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5EE2" w:rsidRPr="00223235" w:rsidP="0096041E" w14:paraId="702C1398" w14:textId="77777777">
      <w:pPr>
        <w:pStyle w:val="Heading1"/>
        <w:jc w:val="center"/>
        <w:rPr>
          <w:b w:val="0"/>
          <w:bCs w:val="0"/>
          <w:szCs w:val="24"/>
          <w:u w:val="single"/>
        </w:rPr>
      </w:pPr>
      <w:r w:rsidRPr="00223235">
        <w:rPr>
          <w:b w:val="0"/>
          <w:bCs w:val="0"/>
          <w:szCs w:val="24"/>
          <w:u w:val="single"/>
        </w:rPr>
        <w:t>Supporting Statement</w:t>
      </w:r>
    </w:p>
    <w:p w:rsidR="00D5206C" w:rsidRPr="00223235" w:rsidP="00D5206C" w14:paraId="65F8B024" w14:textId="6DD53640">
      <w:pPr>
        <w:jc w:val="center"/>
        <w:rPr>
          <w:u w:val="single"/>
        </w:rPr>
      </w:pPr>
      <w:r w:rsidRPr="00223235">
        <w:rPr>
          <w:u w:val="single"/>
        </w:rPr>
        <w:t>O</w:t>
      </w:r>
      <w:r w:rsidRPr="00223235" w:rsidR="006E5EE7">
        <w:rPr>
          <w:u w:val="single"/>
        </w:rPr>
        <w:t>ffice of Management and Budget</w:t>
      </w:r>
      <w:r w:rsidRPr="00223235">
        <w:rPr>
          <w:u w:val="single"/>
        </w:rPr>
        <w:t xml:space="preserve"> Control Numbers 1506-0004, </w:t>
      </w:r>
      <w:r w:rsidRPr="00223235" w:rsidR="006E5EE7">
        <w:rPr>
          <w:u w:val="single"/>
        </w:rPr>
        <w:br/>
      </w:r>
      <w:r w:rsidRPr="00223235">
        <w:rPr>
          <w:u w:val="single"/>
        </w:rPr>
        <w:t>1506-0005, and 1506-0064</w:t>
      </w:r>
    </w:p>
    <w:p w:rsidR="00D5206C" w:rsidRPr="00223235" w:rsidP="00D5206C" w14:paraId="108A5416" w14:textId="77777777"/>
    <w:p w:rsidR="006800B9" w:rsidRPr="00223235" w:rsidP="006A5E34" w14:paraId="311422C3" w14:textId="1855684A">
      <w:r w:rsidRPr="00223235">
        <w:rPr>
          <w:rFonts w:eastAsia="MS Mincho"/>
          <w:bCs/>
          <w:u w:val="single"/>
        </w:rPr>
        <w:t>Bank Secrecy Act Reports of Transactions in Currency Regulations and</w:t>
      </w:r>
      <w:r w:rsidR="006A5E34">
        <w:rPr>
          <w:rFonts w:eastAsia="MS Mincho"/>
          <w:bCs/>
          <w:u w:val="single"/>
        </w:rPr>
        <w:t xml:space="preserve"> </w:t>
      </w:r>
      <w:r w:rsidRPr="00223235" w:rsidR="00846D2D">
        <w:rPr>
          <w:rFonts w:eastAsia="MS Mincho"/>
          <w:bCs/>
          <w:u w:val="single"/>
        </w:rPr>
        <w:t xml:space="preserve">FinCEN </w:t>
      </w:r>
      <w:r w:rsidR="006A5E34">
        <w:rPr>
          <w:rFonts w:eastAsia="MS Mincho"/>
          <w:bCs/>
          <w:u w:val="single"/>
        </w:rPr>
        <w:t>Form</w:t>
      </w:r>
      <w:r w:rsidRPr="00223235" w:rsidR="00846D2D">
        <w:rPr>
          <w:rFonts w:eastAsia="MS Mincho"/>
          <w:bCs/>
          <w:u w:val="single"/>
        </w:rPr>
        <w:t xml:space="preserve"> 112 - </w:t>
      </w:r>
      <w:r w:rsidRPr="00223235" w:rsidR="00305B87">
        <w:rPr>
          <w:u w:val="single"/>
        </w:rPr>
        <w:t>Currency Transaction Report</w:t>
      </w:r>
      <w:r w:rsidRPr="00223235" w:rsidR="006E5EE7">
        <w:rPr>
          <w:u w:val="single"/>
        </w:rPr>
        <w:t xml:space="preserve"> (CTR)</w:t>
      </w:r>
    </w:p>
    <w:p w:rsidR="006800B9" w:rsidRPr="00223235" w:rsidP="0096041E" w14:paraId="6C867093" w14:textId="77777777"/>
    <w:p w:rsidR="003E5EE2" w:rsidRPr="00223235" w:rsidP="0096041E" w14:paraId="7C999A28" w14:textId="208FF36C">
      <w:r w:rsidRPr="00223235">
        <w:t xml:space="preserve">1. </w:t>
      </w:r>
      <w:r w:rsidRPr="00223235">
        <w:rPr>
          <w:u w:val="single"/>
        </w:rPr>
        <w:t xml:space="preserve">Circumstances </w:t>
      </w:r>
      <w:r w:rsidR="006A5E34">
        <w:rPr>
          <w:u w:val="single"/>
        </w:rPr>
        <w:t>n</w:t>
      </w:r>
      <w:r w:rsidRPr="00223235">
        <w:rPr>
          <w:u w:val="single"/>
        </w:rPr>
        <w:t xml:space="preserve">ecessitating </w:t>
      </w:r>
      <w:r w:rsidR="006A5E34">
        <w:rPr>
          <w:u w:val="single"/>
        </w:rPr>
        <w:t>c</w:t>
      </w:r>
      <w:r w:rsidRPr="00223235">
        <w:rPr>
          <w:u w:val="single"/>
        </w:rPr>
        <w:t xml:space="preserve">ollection of </w:t>
      </w:r>
      <w:r w:rsidR="006A5E34">
        <w:rPr>
          <w:u w:val="single"/>
        </w:rPr>
        <w:t>i</w:t>
      </w:r>
      <w:r w:rsidRPr="00223235">
        <w:rPr>
          <w:u w:val="single"/>
        </w:rPr>
        <w:t>nformation.</w:t>
      </w:r>
      <w:r w:rsidRPr="00223235">
        <w:t xml:space="preserve"> </w:t>
      </w:r>
    </w:p>
    <w:p w:rsidR="00815C1E" w:rsidP="00815C1E" w14:paraId="7AF43B4C" w14:textId="77777777">
      <w:pPr>
        <w:pStyle w:val="PlainText"/>
        <w:rPr>
          <w:rFonts w:ascii="Times New Roman" w:eastAsia="MS Mincho" w:hAnsi="Times New Roman" w:cs="Times New Roman"/>
          <w:sz w:val="24"/>
        </w:rPr>
      </w:pPr>
    </w:p>
    <w:p w:rsidR="00815C1E" w:rsidRPr="009A056C" w:rsidP="00815C1E" w14:paraId="0693C434" w14:textId="77777777">
      <w:pPr>
        <w:pStyle w:val="BodyTextIndent"/>
        <w:ind w:left="0" w:firstLine="720"/>
        <w:rPr>
          <w:color w:val="000000"/>
        </w:rPr>
      </w:pPr>
      <w:r w:rsidRPr="009A056C">
        <w:rPr>
          <w:color w:val="000000"/>
        </w:rPr>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color w:val="000000"/>
        </w:rPr>
        <w:footnoteReference w:id="2"/>
      </w:r>
      <w:r w:rsidRPr="009A056C">
        <w:rPr>
          <w:color w:val="000000"/>
        </w:rPr>
        <w:t xml:space="preserve"> and other legislation, including the Anti-Money Laundering Act of 2020 (AML Act).</w:t>
      </w:r>
      <w:r>
        <w:rPr>
          <w:rStyle w:val="FootnoteReference"/>
          <w:color w:val="000000"/>
        </w:rPr>
        <w:footnoteReference w:id="3"/>
      </w:r>
      <w:r w:rsidRPr="009A056C">
        <w:rPr>
          <w:color w:val="000000"/>
          <w:vertAlign w:val="superscript"/>
        </w:rPr>
        <w:t xml:space="preserve"> </w:t>
      </w:r>
      <w:r w:rsidRPr="009A056C">
        <w:rPr>
          <w:color w:val="000000"/>
        </w:rPr>
        <w:t xml:space="preserve"> The BSA is codified at 12 U.S.C. 1829b and 1951–1960 and 31 U.S.C. 5311–5314 and 5316–5336, and notes thereto, with implementing regulations at 31 CFR Chapter X.   </w:t>
      </w:r>
    </w:p>
    <w:p w:rsidR="00815C1E" w:rsidP="00815C1E" w14:paraId="6DDAC073" w14:textId="77777777">
      <w:pPr>
        <w:ind w:firstLine="720"/>
      </w:pPr>
      <w:r w:rsidRPr="001827C0">
        <w:t xml:space="preserve">The BSA authorizes the Secretary of the Treasury (Secretary) to, </w:t>
      </w:r>
      <w:r w:rsidRPr="001827C0">
        <w:rPr>
          <w:i/>
        </w:rPr>
        <w:t>inter alia</w:t>
      </w:r>
      <w:r w:rsidRPr="001827C0">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 anti-money laundering (AML) programs and compliance procedures.</w:t>
      </w:r>
      <w:r>
        <w:rPr>
          <w:rStyle w:val="FootnoteReference"/>
        </w:rPr>
        <w:footnoteReference w:id="4"/>
      </w:r>
      <w:r w:rsidRPr="001827C0">
        <w:rPr>
          <w:vertAlign w:val="superscript"/>
        </w:rPr>
        <w:t xml:space="preserve"> </w:t>
      </w:r>
      <w:r w:rsidRPr="001827C0">
        <w:t xml:space="preserve"> The authority of the Secretary to administer the BSA has been delegated to the Director of FinCEN.</w:t>
      </w:r>
      <w:r>
        <w:rPr>
          <w:rStyle w:val="FootnoteReference"/>
        </w:rPr>
        <w:footnoteReference w:id="5"/>
      </w:r>
    </w:p>
    <w:p w:rsidR="00815C1E" w:rsidP="006A5E34" w14:paraId="30F58859" w14:textId="77777777">
      <w:pPr>
        <w:shd w:val="clear" w:color="auto" w:fill="FFFFFF"/>
        <w:ind w:firstLine="720"/>
      </w:pPr>
    </w:p>
    <w:p w:rsidR="00157874" w:rsidRPr="00223235" w:rsidP="000B7E8F" w14:paraId="60A5555B" w14:textId="5D7483E7">
      <w:pPr>
        <w:pStyle w:val="BodyTextIndent"/>
        <w:spacing w:after="0"/>
        <w:ind w:left="0"/>
      </w:pPr>
      <w:r>
        <w:tab/>
      </w:r>
      <w:r w:rsidRPr="00223235" w:rsidR="00906B03">
        <w:t>Under 31 U.S.C. 5313, the Secretary of the Treasury is authorized to require financial institutions to report currency transactions</w:t>
      </w:r>
      <w:r w:rsidR="00643920">
        <w:rPr>
          <w:lang w:val="en-US"/>
        </w:rPr>
        <w:t xml:space="preserve"> as prescribed by regulation</w:t>
      </w:r>
      <w:r w:rsidRPr="00223235" w:rsidR="00906B03">
        <w:t xml:space="preserve">. </w:t>
      </w:r>
      <w:r w:rsidR="006A5E34">
        <w:rPr>
          <w:lang w:val="en-US"/>
        </w:rPr>
        <w:t xml:space="preserve"> </w:t>
      </w:r>
      <w:r w:rsidRPr="00223235" w:rsidR="00906B03">
        <w:t xml:space="preserve">Regulations implementing 31 U.S.C. 5313 are found at 31 CFR 1010.310 through 1010.314, 31 CFR 1021.311, and 31 CFR 1021.313. </w:t>
      </w:r>
    </w:p>
    <w:p w:rsidR="00157874" w:rsidRPr="00223235" w:rsidP="00D5206C" w14:paraId="41C87D98" w14:textId="77777777">
      <w:pPr>
        <w:pStyle w:val="BodyTextIndent"/>
        <w:spacing w:after="0"/>
        <w:ind w:left="0" w:firstLine="720"/>
      </w:pPr>
    </w:p>
    <w:p w:rsidR="00157874" w:rsidP="00157874" w14:paraId="4386FB86" w14:textId="0C0010EC">
      <w:pPr>
        <w:pStyle w:val="BodyTextIndent"/>
        <w:spacing w:after="0"/>
        <w:ind w:left="0" w:firstLine="720"/>
      </w:pPr>
      <w:r w:rsidRPr="00223235">
        <w:t xml:space="preserve">The regulations and </w:t>
      </w:r>
      <w:r w:rsidRPr="00223235" w:rsidR="004F0402">
        <w:rPr>
          <w:lang w:val="en-US"/>
        </w:rPr>
        <w:t xml:space="preserve">related </w:t>
      </w:r>
      <w:r w:rsidR="006A5E34">
        <w:rPr>
          <w:lang w:val="en-US"/>
        </w:rPr>
        <w:t>form</w:t>
      </w:r>
      <w:r w:rsidRPr="00223235" w:rsidR="006E5EE7">
        <w:rPr>
          <w:lang w:val="en-US"/>
        </w:rPr>
        <w:t xml:space="preserve"> </w:t>
      </w:r>
      <w:r w:rsidRPr="00223235">
        <w:t>correspond to the following OMB control numbers: 1506-0004, 1506-0005, and 1506-0064.</w:t>
      </w:r>
      <w:r>
        <w:rPr>
          <w:rStyle w:val="FootnoteReference"/>
          <w:rFonts w:eastAsia="Courier New"/>
        </w:rPr>
        <w:footnoteReference w:id="6"/>
      </w:r>
      <w:r w:rsidRPr="00223235">
        <w:rPr>
          <w:lang w:val="en-US"/>
        </w:rPr>
        <w:t xml:space="preserve"> </w:t>
      </w:r>
      <w:r w:rsidR="00805898">
        <w:rPr>
          <w:lang w:val="en-US"/>
        </w:rPr>
        <w:t xml:space="preserve"> </w:t>
      </w:r>
      <w:r w:rsidRPr="00223235">
        <w:rPr>
          <w:lang w:val="en-US"/>
        </w:rPr>
        <w:t xml:space="preserve">This supporting statement </w:t>
      </w:r>
      <w:r w:rsidR="00FE5B5B">
        <w:rPr>
          <w:lang w:val="en-US"/>
        </w:rPr>
        <w:t xml:space="preserve">is </w:t>
      </w:r>
      <w:r w:rsidRPr="00223235" w:rsidR="006E5EE7">
        <w:t xml:space="preserve">being issued in connection with the </w:t>
      </w:r>
      <w:r w:rsidRPr="00223235">
        <w:rPr>
          <w:lang w:val="en-US"/>
        </w:rPr>
        <w:t>renew</w:t>
      </w:r>
      <w:r w:rsidRPr="00223235" w:rsidR="006E5EE7">
        <w:rPr>
          <w:lang w:val="en-US"/>
        </w:rPr>
        <w:t xml:space="preserve">al of </w:t>
      </w:r>
      <w:r w:rsidRPr="00223235">
        <w:rPr>
          <w:lang w:val="en-US"/>
        </w:rPr>
        <w:t xml:space="preserve">OMB control numbers 1506-0004, 1506-0005, </w:t>
      </w:r>
      <w:r w:rsidRPr="00223235">
        <w:rPr>
          <w:lang w:val="en-US"/>
        </w:rPr>
        <w:t xml:space="preserve">and 1506-0064. </w:t>
      </w:r>
      <w:r w:rsidR="007A3757">
        <w:rPr>
          <w:lang w:val="en-US"/>
        </w:rPr>
        <w:t xml:space="preserve"> </w:t>
      </w:r>
      <w:r w:rsidRPr="00223235">
        <w:t xml:space="preserve">An administrative burden of one hour is assigned to each of the </w:t>
      </w:r>
      <w:r w:rsidR="00223758">
        <w:rPr>
          <w:lang w:val="en-US"/>
        </w:rPr>
        <w:t xml:space="preserve">two </w:t>
      </w:r>
      <w:r w:rsidRPr="00223235">
        <w:t xml:space="preserve">CTR regulation OMB control numbers </w:t>
      </w:r>
      <w:r w:rsidR="004F07EA">
        <w:rPr>
          <w:lang w:val="en-US"/>
        </w:rPr>
        <w:t xml:space="preserve">1506-0004 and 1506-0005 </w:t>
      </w:r>
      <w:r w:rsidRPr="00223235">
        <w:t>in order to maintain the requirements in force.</w:t>
      </w:r>
      <w:r>
        <w:rPr>
          <w:rStyle w:val="FootnoteReference"/>
          <w:rFonts w:eastAsia="Courier New"/>
        </w:rPr>
        <w:footnoteReference w:id="7"/>
      </w:r>
      <w:r w:rsidRPr="00223235">
        <w:t xml:space="preserve"> </w:t>
      </w:r>
      <w:r w:rsidR="00805898">
        <w:t xml:space="preserve"> </w:t>
      </w:r>
      <w:r w:rsidRPr="00223235">
        <w:t xml:space="preserve">The </w:t>
      </w:r>
      <w:r w:rsidR="00223758">
        <w:rPr>
          <w:lang w:val="en-US"/>
        </w:rPr>
        <w:t xml:space="preserve">full </w:t>
      </w:r>
      <w:r w:rsidRPr="00223235">
        <w:t xml:space="preserve">reporting and recordkeeping burden </w:t>
      </w:r>
      <w:r w:rsidR="00223758">
        <w:rPr>
          <w:lang w:val="en-US"/>
        </w:rPr>
        <w:t xml:space="preserve">associated with the reporting requirement </w:t>
      </w:r>
      <w:r w:rsidRPr="00223235">
        <w:t xml:space="preserve">is </w:t>
      </w:r>
      <w:r w:rsidR="00223758">
        <w:rPr>
          <w:lang w:val="en-US"/>
        </w:rPr>
        <w:t xml:space="preserve">accounted for </w:t>
      </w:r>
      <w:r w:rsidRPr="00223235">
        <w:t xml:space="preserve">in FinCEN </w:t>
      </w:r>
      <w:r w:rsidR="007A3757">
        <w:t>Form</w:t>
      </w:r>
      <w:r w:rsidRPr="00223235">
        <w:t xml:space="preserve"> 112 </w:t>
      </w:r>
      <w:r w:rsidRPr="00223235" w:rsidR="004F0402">
        <w:t>–</w:t>
      </w:r>
      <w:r w:rsidRPr="00223235">
        <w:t xml:space="preserve"> </w:t>
      </w:r>
      <w:r w:rsidRPr="00223235" w:rsidR="004F0402">
        <w:rPr>
          <w:lang w:val="en-US"/>
        </w:rPr>
        <w:t>Currency Transaction Report (</w:t>
      </w:r>
      <w:r w:rsidRPr="00223235">
        <w:t>CTR</w:t>
      </w:r>
      <w:r w:rsidRPr="00223235" w:rsidR="004F0402">
        <w:rPr>
          <w:lang w:val="en-US"/>
        </w:rPr>
        <w:t>)</w:t>
      </w:r>
      <w:r w:rsidRPr="00223235">
        <w:t xml:space="preserve"> under OMB control number 1506-0064. </w:t>
      </w:r>
      <w:r w:rsidR="00805898">
        <w:t xml:space="preserve"> </w:t>
      </w:r>
      <w:r w:rsidRPr="00223235">
        <w:t xml:space="preserve">The rationale for assigning </w:t>
      </w:r>
      <w:r w:rsidR="00223758">
        <w:rPr>
          <w:lang w:val="en-US"/>
        </w:rPr>
        <w:t xml:space="preserve">the nominal amount of </w:t>
      </w:r>
      <w:r w:rsidRPr="00223235">
        <w:t xml:space="preserve">one burden hour to the </w:t>
      </w:r>
      <w:r w:rsidR="00223758">
        <w:rPr>
          <w:lang w:val="en-US"/>
        </w:rPr>
        <w:t xml:space="preserve">two </w:t>
      </w:r>
      <w:r w:rsidRPr="00223235">
        <w:t xml:space="preserve">CTR regulation OMB control numbers </w:t>
      </w:r>
      <w:r w:rsidR="002D5B15">
        <w:rPr>
          <w:lang w:val="en-US"/>
        </w:rPr>
        <w:t xml:space="preserve">1506-0004 and 1506-0005 </w:t>
      </w:r>
      <w:r w:rsidRPr="00223235">
        <w:t xml:space="preserve">is that the annual burden hours would be double counted if FinCEN estimated </w:t>
      </w:r>
      <w:r w:rsidR="00223758">
        <w:rPr>
          <w:lang w:val="en-US"/>
        </w:rPr>
        <w:t xml:space="preserve">the full </w:t>
      </w:r>
      <w:r w:rsidRPr="00223235">
        <w:t xml:space="preserve">burden </w:t>
      </w:r>
      <w:r w:rsidR="00223758">
        <w:rPr>
          <w:lang w:val="en-US"/>
        </w:rPr>
        <w:t xml:space="preserve">of reporting </w:t>
      </w:r>
      <w:r w:rsidRPr="00223235">
        <w:t xml:space="preserve">in each CTR regulation OMB control number </w:t>
      </w:r>
      <w:r w:rsidRPr="00C31DA5">
        <w:rPr>
          <w:i/>
        </w:rPr>
        <w:t>and</w:t>
      </w:r>
      <w:r w:rsidRPr="00223235">
        <w:t xml:space="preserve"> in the CTR</w:t>
      </w:r>
      <w:r w:rsidR="00CF4A00">
        <w:t xml:space="preserve"> – Form 112 </w:t>
      </w:r>
      <w:r w:rsidRPr="00223235">
        <w:t xml:space="preserve">OMB control number.  </w:t>
      </w:r>
    </w:p>
    <w:p w:rsidR="006A5E34" w:rsidRPr="00223235" w:rsidP="00157874" w14:paraId="250437BD" w14:textId="77777777">
      <w:pPr>
        <w:pStyle w:val="BodyTextIndent"/>
        <w:spacing w:after="0"/>
        <w:ind w:left="0" w:firstLine="720"/>
      </w:pPr>
    </w:p>
    <w:p w:rsidR="003E5EE2" w:rsidRPr="00223235" w:rsidP="005256D8" w14:paraId="2C6C0C36" w14:textId="4B5041CA">
      <w:pPr>
        <w:pStyle w:val="BodyTextIndent"/>
        <w:spacing w:after="0"/>
        <w:ind w:left="0"/>
      </w:pPr>
      <w:r w:rsidRPr="00223235">
        <w:t xml:space="preserve">2. </w:t>
      </w:r>
      <w:r w:rsidRPr="00223235">
        <w:rPr>
          <w:u w:val="single"/>
        </w:rPr>
        <w:t xml:space="preserve">Method of </w:t>
      </w:r>
      <w:r w:rsidR="00DF1AF4">
        <w:rPr>
          <w:u w:val="single"/>
          <w:lang w:val="en-US"/>
        </w:rPr>
        <w:t>c</w:t>
      </w:r>
      <w:r w:rsidRPr="00223235">
        <w:rPr>
          <w:u w:val="single"/>
        </w:rPr>
        <w:t xml:space="preserve">ollection and </w:t>
      </w:r>
      <w:r w:rsidR="00DF1AF4">
        <w:rPr>
          <w:u w:val="single"/>
          <w:lang w:val="en-US"/>
        </w:rPr>
        <w:t>u</w:t>
      </w:r>
      <w:r w:rsidRPr="00223235">
        <w:rPr>
          <w:u w:val="single"/>
        </w:rPr>
        <w:t xml:space="preserve">se of </w:t>
      </w:r>
      <w:r w:rsidR="00DF1AF4">
        <w:rPr>
          <w:u w:val="single"/>
          <w:lang w:val="en-US"/>
        </w:rPr>
        <w:t>d</w:t>
      </w:r>
      <w:r w:rsidRPr="00223235">
        <w:rPr>
          <w:u w:val="single"/>
        </w:rPr>
        <w:t>ata.</w:t>
      </w:r>
      <w:r w:rsidRPr="00223235">
        <w:t xml:space="preserve"> </w:t>
      </w:r>
    </w:p>
    <w:p w:rsidR="004C7FA7" w:rsidRPr="00223235" w:rsidP="005256D8" w14:paraId="481D46DD" w14:textId="77777777">
      <w:pPr>
        <w:pStyle w:val="BodyTextIndent"/>
        <w:spacing w:after="0"/>
        <w:ind w:left="0"/>
      </w:pPr>
    </w:p>
    <w:p w:rsidR="00E40A4A" w:rsidRPr="00223235" w:rsidP="005256D8" w14:paraId="26345E8F" w14:textId="522E2B64">
      <w:pPr>
        <w:pStyle w:val="BodyTextIndent"/>
        <w:spacing w:after="0"/>
        <w:ind w:left="0" w:firstLine="720"/>
      </w:pPr>
      <w:r w:rsidRPr="00223235">
        <w:t>Fi</w:t>
      </w:r>
      <w:r w:rsidRPr="00223235" w:rsidR="00E20AD0">
        <w:t>nancial institutions</w:t>
      </w:r>
      <w:r w:rsidRPr="00223235">
        <w:rPr>
          <w:lang w:val="en-US"/>
        </w:rPr>
        <w:t xml:space="preserve"> are required</w:t>
      </w:r>
      <w:r w:rsidRPr="00223235" w:rsidR="00E20AD0">
        <w:t xml:space="preserve"> to report currency (cash or coin) transactions over $10,000 conducted by, or on behalf of, one person, as well as multiple currency transactions that aggregate to over $10,000 in a single day. </w:t>
      </w:r>
      <w:r w:rsidR="00312217">
        <w:t xml:space="preserve"> </w:t>
      </w:r>
      <w:r w:rsidRPr="00223235" w:rsidR="00E20AD0">
        <w:t>T</w:t>
      </w:r>
      <w:r w:rsidRPr="00223235">
        <w:t xml:space="preserve">hese transactions are reported </w:t>
      </w:r>
      <w:r w:rsidRPr="00223235">
        <w:rPr>
          <w:lang w:val="en-US"/>
        </w:rPr>
        <w:t xml:space="preserve">on </w:t>
      </w:r>
      <w:r w:rsidRPr="00223235" w:rsidR="00B61368">
        <w:rPr>
          <w:lang w:val="en-US"/>
        </w:rPr>
        <w:t>CTRs</w:t>
      </w:r>
      <w:r w:rsidRPr="00223235">
        <w:t xml:space="preserve">. </w:t>
      </w:r>
      <w:r w:rsidR="00312217">
        <w:t xml:space="preserve"> </w:t>
      </w:r>
      <w:r w:rsidRPr="00223235">
        <w:rPr>
          <w:lang w:val="en-US"/>
        </w:rPr>
        <w:t>Financial institu</w:t>
      </w:r>
      <w:r w:rsidRPr="00223235" w:rsidR="00F26FAA">
        <w:rPr>
          <w:lang w:val="en-US"/>
        </w:rPr>
        <w:t>tions submit CTRs to FinCEN electronically via the BSA E-filing system.</w:t>
      </w:r>
    </w:p>
    <w:p w:rsidR="00D5206C" w:rsidRPr="00223235" w:rsidP="005256D8" w14:paraId="421C585C" w14:textId="77777777">
      <w:pPr>
        <w:autoSpaceDE w:val="0"/>
        <w:autoSpaceDN w:val="0"/>
        <w:adjustRightInd w:val="0"/>
      </w:pPr>
    </w:p>
    <w:p w:rsidR="00A66BC5" w:rsidRPr="00223235" w:rsidP="005256D8" w14:paraId="5476950A" w14:textId="1C959DB4">
      <w:pPr>
        <w:autoSpaceDE w:val="0"/>
        <w:autoSpaceDN w:val="0"/>
        <w:adjustRightInd w:val="0"/>
        <w:ind w:firstLine="720"/>
      </w:pPr>
      <w:r w:rsidRPr="00223235">
        <w:t>FinCEN’s system of record</w:t>
      </w:r>
      <w:r w:rsidR="00A8369B">
        <w:t>s</w:t>
      </w:r>
      <w:r w:rsidRPr="00223235" w:rsidR="000D1224">
        <w:t xml:space="preserve"> for CTRs</w:t>
      </w:r>
      <w:r w:rsidRPr="00223235">
        <w:t xml:space="preserve"> is the Bank Secrecy Act Reports System (the “BSA System”) - Treasury/FinCEN.003.</w:t>
      </w:r>
      <w:r>
        <w:rPr>
          <w:rStyle w:val="FootnoteReference"/>
        </w:rPr>
        <w:footnoteReference w:id="8"/>
      </w:r>
      <w:r w:rsidR="00312217">
        <w:t xml:space="preserve"> </w:t>
      </w:r>
      <w:r w:rsidRPr="00223235">
        <w:t xml:space="preserve"> </w:t>
      </w:r>
      <w:r w:rsidR="00387DFE">
        <w:t>I</w:t>
      </w:r>
      <w:r w:rsidRPr="00223235">
        <w:t>nformation</w:t>
      </w:r>
      <w:r w:rsidR="00387DFE">
        <w:t xml:space="preserve"> in the BSA System</w:t>
      </w:r>
      <w:r w:rsidRPr="00223235">
        <w:t xml:space="preserve"> is distributed to </w:t>
      </w:r>
      <w:r w:rsidR="001E1C57">
        <w:t>F</w:t>
      </w:r>
      <w:r w:rsidRPr="00223235">
        <w:t>ederal, state</w:t>
      </w:r>
      <w:r w:rsidR="00312217">
        <w:t>,</w:t>
      </w:r>
      <w:r w:rsidRPr="00223235">
        <w:t xml:space="preserve"> and local agencies that engage in criminal, regulatory and tax investigations and proceedings, agencies that engage in intelligence and counterintelligence activities, certain self-regulatory organizations, </w:t>
      </w:r>
      <w:r w:rsidRPr="00387DFE">
        <w:t>appropriate foreign agencies, and foreign financial intelligence units.</w:t>
      </w:r>
      <w:r w:rsidRPr="00223235">
        <w:t xml:space="preserve"> </w:t>
      </w:r>
      <w:r w:rsidR="001E1C57">
        <w:t xml:space="preserve"> </w:t>
      </w:r>
    </w:p>
    <w:p w:rsidR="0031502A" w:rsidRPr="00223235" w:rsidP="00EE6E92" w14:paraId="644095BE" w14:textId="77777777">
      <w:pPr>
        <w:pStyle w:val="BodyText"/>
        <w:autoSpaceDE/>
        <w:autoSpaceDN/>
        <w:adjustRightInd/>
        <w:spacing w:before="0"/>
        <w:rPr>
          <w:bCs/>
          <w:sz w:val="24"/>
          <w:szCs w:val="24"/>
        </w:rPr>
      </w:pPr>
    </w:p>
    <w:p w:rsidR="003E5EE2" w:rsidRPr="00EF1E39" w:rsidP="0096041E" w14:paraId="1CBD968F" w14:textId="5F0F1113">
      <w:r w:rsidRPr="00EF1E39">
        <w:t xml:space="preserve">3. </w:t>
      </w:r>
      <w:r w:rsidRPr="00EF1E39">
        <w:rPr>
          <w:u w:val="single"/>
        </w:rPr>
        <w:t xml:space="preserve">Use of </w:t>
      </w:r>
      <w:r w:rsidR="00DF1AF4">
        <w:rPr>
          <w:u w:val="single"/>
        </w:rPr>
        <w:t>i</w:t>
      </w:r>
      <w:r w:rsidRPr="00EF1E39">
        <w:rPr>
          <w:u w:val="single"/>
        </w:rPr>
        <w:t xml:space="preserve">mproved </w:t>
      </w:r>
      <w:r w:rsidR="00DF1AF4">
        <w:rPr>
          <w:u w:val="single"/>
        </w:rPr>
        <w:t>i</w:t>
      </w:r>
      <w:r w:rsidRPr="00EF1E39">
        <w:rPr>
          <w:u w:val="single"/>
        </w:rPr>
        <w:t xml:space="preserve">nformation </w:t>
      </w:r>
      <w:r w:rsidR="00DF1AF4">
        <w:rPr>
          <w:u w:val="single"/>
        </w:rPr>
        <w:t>t</w:t>
      </w:r>
      <w:r w:rsidRPr="00EF1E39">
        <w:rPr>
          <w:u w:val="single"/>
        </w:rPr>
        <w:t xml:space="preserve">echnology to </w:t>
      </w:r>
      <w:r w:rsidR="00DF1AF4">
        <w:rPr>
          <w:u w:val="single"/>
        </w:rPr>
        <w:t>r</w:t>
      </w:r>
      <w:r w:rsidRPr="00EF1E39">
        <w:rPr>
          <w:u w:val="single"/>
        </w:rPr>
        <w:t xml:space="preserve">educe </w:t>
      </w:r>
      <w:r w:rsidR="00DF1AF4">
        <w:rPr>
          <w:u w:val="single"/>
        </w:rPr>
        <w:t>b</w:t>
      </w:r>
      <w:r w:rsidRPr="00EF1E39">
        <w:rPr>
          <w:u w:val="single"/>
        </w:rPr>
        <w:t>urden.</w:t>
      </w:r>
      <w:r w:rsidRPr="00EF1E39">
        <w:t xml:space="preserve"> </w:t>
      </w:r>
    </w:p>
    <w:p w:rsidR="0096041E" w:rsidRPr="003B6371" w:rsidP="0096041E" w14:paraId="30459B15" w14:textId="77777777"/>
    <w:p w:rsidR="002A13F5" w:rsidRPr="00223235" w:rsidP="005256D8" w14:paraId="795B31C4" w14:textId="7500C348">
      <w:pPr>
        <w:ind w:firstLine="720"/>
      </w:pPr>
      <w:r w:rsidRPr="003B6371">
        <w:rPr>
          <w:color w:val="1B1B1B"/>
          <w:shd w:val="clear" w:color="auto" w:fill="FFFFFF"/>
        </w:rPr>
        <w:t>The BSA E-filing system supports electronic filing of BSA reports, including CTRs (either individually or in batches)</w:t>
      </w:r>
      <w:r>
        <w:rPr>
          <w:rStyle w:val="FootnoteReference"/>
          <w:color w:val="1B1B1B"/>
          <w:shd w:val="clear" w:color="auto" w:fill="FFFFFF"/>
        </w:rPr>
        <w:footnoteReference w:id="9"/>
      </w:r>
      <w:r w:rsidRPr="00223235">
        <w:rPr>
          <w:color w:val="1B1B1B"/>
          <w:shd w:val="clear" w:color="auto" w:fill="FFFFFF"/>
        </w:rPr>
        <w:t xml:space="preserve"> through a FinCEN secure network. </w:t>
      </w:r>
      <w:r w:rsidR="00DF1AF4">
        <w:rPr>
          <w:color w:val="1B1B1B"/>
          <w:shd w:val="clear" w:color="auto" w:fill="FFFFFF"/>
        </w:rPr>
        <w:t xml:space="preserve"> </w:t>
      </w:r>
      <w:r w:rsidRPr="00223235">
        <w:rPr>
          <w:color w:val="1B1B1B"/>
          <w:shd w:val="clear" w:color="auto" w:fill="FFFFFF"/>
        </w:rPr>
        <w:t>BSA E-filing provides a faster</w:t>
      </w:r>
      <w:r w:rsidRPr="00EF1E39" w:rsidR="000E08D1">
        <w:rPr>
          <w:color w:val="1B1B1B"/>
          <w:shd w:val="clear" w:color="auto" w:fill="FFFFFF"/>
        </w:rPr>
        <w:t xml:space="preserve"> and</w:t>
      </w:r>
      <w:r w:rsidRPr="00EF1E39">
        <w:rPr>
          <w:color w:val="1B1B1B"/>
          <w:shd w:val="clear" w:color="auto" w:fill="FFFFFF"/>
        </w:rPr>
        <w:t xml:space="preserve"> more convenient, secure</w:t>
      </w:r>
      <w:r w:rsidR="000B7E8F">
        <w:rPr>
          <w:color w:val="1B1B1B"/>
          <w:shd w:val="clear" w:color="auto" w:fill="FFFFFF"/>
        </w:rPr>
        <w:t>,</w:t>
      </w:r>
      <w:r w:rsidRPr="00EF1E39" w:rsidR="000E08D1">
        <w:rPr>
          <w:color w:val="1B1B1B"/>
          <w:shd w:val="clear" w:color="auto" w:fill="FFFFFF"/>
        </w:rPr>
        <w:t xml:space="preserve"> </w:t>
      </w:r>
      <w:r w:rsidRPr="00EF1E39">
        <w:rPr>
          <w:color w:val="1B1B1B"/>
          <w:shd w:val="clear" w:color="auto" w:fill="FFFFFF"/>
        </w:rPr>
        <w:t xml:space="preserve">and cost-effective method for submitting BSA reports. </w:t>
      </w:r>
      <w:r w:rsidR="00DF1AF4">
        <w:rPr>
          <w:color w:val="1B1B1B"/>
          <w:shd w:val="clear" w:color="auto" w:fill="FFFFFF"/>
        </w:rPr>
        <w:t xml:space="preserve"> </w:t>
      </w:r>
      <w:r w:rsidRPr="003B6371">
        <w:t xml:space="preserve">Discrete and batch versions are available on the FinCEN BSA E-File website at </w:t>
      </w:r>
      <w:hyperlink r:id="rId9" w:history="1">
        <w:r w:rsidRPr="00223235">
          <w:rPr>
            <w:rStyle w:val="Hyperlink"/>
          </w:rPr>
          <w:t>http://bsaefiling.fincen.treas.gov/main.html</w:t>
        </w:r>
      </w:hyperlink>
      <w:r w:rsidRPr="00223235">
        <w:t xml:space="preserve">. </w:t>
      </w:r>
      <w:r w:rsidR="00DF1AF4">
        <w:t xml:space="preserve"> </w:t>
      </w:r>
      <w:r w:rsidRPr="00223235">
        <w:t>FinCEN also upgraded to the industry standard of XML file format for both discrete and batch filers of CTRs.</w:t>
      </w:r>
    </w:p>
    <w:p w:rsidR="0096041E" w:rsidRPr="00EF1E39" w:rsidP="0096041E" w14:paraId="3A9134CC" w14:textId="77777777"/>
    <w:p w:rsidR="0096041E" w:rsidRPr="003B6371" w:rsidP="0096041E" w14:paraId="6FA3550A" w14:textId="7A3F41A8">
      <w:pPr>
        <w:rPr>
          <w:u w:val="single"/>
        </w:rPr>
      </w:pPr>
      <w:r w:rsidRPr="003B6371">
        <w:t xml:space="preserve">4. </w:t>
      </w:r>
      <w:r w:rsidRPr="003B6371">
        <w:rPr>
          <w:u w:val="single"/>
        </w:rPr>
        <w:t xml:space="preserve">Efforts to </w:t>
      </w:r>
      <w:r w:rsidR="00DF1AF4">
        <w:rPr>
          <w:u w:val="single"/>
        </w:rPr>
        <w:t>i</w:t>
      </w:r>
      <w:r w:rsidRPr="003B6371">
        <w:rPr>
          <w:u w:val="single"/>
        </w:rPr>
        <w:t xml:space="preserve">dentify </w:t>
      </w:r>
      <w:r w:rsidR="00DF1AF4">
        <w:rPr>
          <w:u w:val="single"/>
        </w:rPr>
        <w:t>d</w:t>
      </w:r>
      <w:r w:rsidRPr="003B6371">
        <w:rPr>
          <w:u w:val="single"/>
        </w:rPr>
        <w:t>uplication</w:t>
      </w:r>
      <w:r w:rsidRPr="003B6371" w:rsidR="00FB000D">
        <w:rPr>
          <w:u w:val="single"/>
        </w:rPr>
        <w:t>.</w:t>
      </w:r>
    </w:p>
    <w:p w:rsidR="003E5EE2" w:rsidRPr="003B6371" w:rsidP="0096041E" w14:paraId="68026627" w14:textId="77777777">
      <w:pPr>
        <w:rPr>
          <w:u w:val="single"/>
        </w:rPr>
      </w:pPr>
      <w:r w:rsidRPr="003B6371">
        <w:rPr>
          <w:u w:val="single"/>
        </w:rPr>
        <w:t xml:space="preserve"> </w:t>
      </w:r>
    </w:p>
    <w:p w:rsidR="003E5EE2" w:rsidRPr="00A37B2C" w:rsidP="005256D8" w14:paraId="3F15DA62" w14:textId="77777777">
      <w:pPr>
        <w:ind w:firstLine="720"/>
      </w:pPr>
      <w:r w:rsidRPr="003B6371">
        <w:t>There is no similar information avail</w:t>
      </w:r>
      <w:r w:rsidRPr="00A37B2C">
        <w:t>able; thus</w:t>
      </w:r>
      <w:r w:rsidRPr="00A37B2C" w:rsidR="005A16F4">
        <w:t>,</w:t>
      </w:r>
      <w:r w:rsidRPr="00A37B2C">
        <w:t xml:space="preserve"> there is no duplication. </w:t>
      </w:r>
    </w:p>
    <w:p w:rsidR="004C7FA7" w:rsidRPr="00A37B2C" w:rsidP="0096041E" w14:paraId="4467B0E0" w14:textId="77777777"/>
    <w:p w:rsidR="005F60B4" w:rsidRPr="00DE7A15" w:rsidP="0096041E" w14:paraId="58F961F5" w14:textId="1C94E5CC">
      <w:pPr>
        <w:rPr>
          <w:u w:val="single"/>
        </w:rPr>
      </w:pPr>
      <w:r w:rsidRPr="00DE7A15">
        <w:t xml:space="preserve">5. </w:t>
      </w:r>
      <w:r w:rsidRPr="00DE7A15">
        <w:rPr>
          <w:u w:val="single"/>
        </w:rPr>
        <w:t xml:space="preserve">Methods to </w:t>
      </w:r>
      <w:r w:rsidRPr="00DE7A15" w:rsidR="00DF1AF4">
        <w:rPr>
          <w:u w:val="single"/>
        </w:rPr>
        <w:t>m</w:t>
      </w:r>
      <w:r w:rsidRPr="00DE7A15">
        <w:rPr>
          <w:u w:val="single"/>
        </w:rPr>
        <w:t xml:space="preserve">inimize </w:t>
      </w:r>
      <w:r w:rsidRPr="00DE7A15" w:rsidR="00DF1AF4">
        <w:rPr>
          <w:u w:val="single"/>
        </w:rPr>
        <w:t>b</w:t>
      </w:r>
      <w:r w:rsidRPr="00DE7A15">
        <w:rPr>
          <w:u w:val="single"/>
        </w:rPr>
        <w:t xml:space="preserve">urden on </w:t>
      </w:r>
      <w:r w:rsidRPr="00DE7A15" w:rsidR="00DF1AF4">
        <w:rPr>
          <w:u w:val="single"/>
        </w:rPr>
        <w:t>s</w:t>
      </w:r>
      <w:r w:rsidRPr="00DE7A15">
        <w:rPr>
          <w:u w:val="single"/>
        </w:rPr>
        <w:t xml:space="preserve">mall </w:t>
      </w:r>
      <w:r w:rsidRPr="00DE7A15" w:rsidR="00DF1AF4">
        <w:rPr>
          <w:u w:val="single"/>
        </w:rPr>
        <w:t>b</w:t>
      </w:r>
      <w:r w:rsidRPr="00DE7A15">
        <w:rPr>
          <w:u w:val="single"/>
        </w:rPr>
        <w:t xml:space="preserve">usinesses or other </w:t>
      </w:r>
      <w:r w:rsidRPr="00DE7A15" w:rsidR="00DF1AF4">
        <w:rPr>
          <w:u w:val="single"/>
        </w:rPr>
        <w:t>s</w:t>
      </w:r>
      <w:r w:rsidRPr="00DE7A15">
        <w:rPr>
          <w:u w:val="single"/>
        </w:rPr>
        <w:t xml:space="preserve">mall </w:t>
      </w:r>
      <w:r w:rsidRPr="00DE7A15" w:rsidR="00DF1AF4">
        <w:rPr>
          <w:u w:val="single"/>
        </w:rPr>
        <w:t>e</w:t>
      </w:r>
      <w:r w:rsidRPr="00DE7A15">
        <w:rPr>
          <w:u w:val="single"/>
        </w:rPr>
        <w:t>ntities</w:t>
      </w:r>
      <w:r w:rsidRPr="00DE7A15" w:rsidR="00FB000D">
        <w:rPr>
          <w:u w:val="single"/>
        </w:rPr>
        <w:t>.</w:t>
      </w:r>
    </w:p>
    <w:p w:rsidR="0096041E" w:rsidRPr="00DE7A15" w:rsidP="0096041E" w14:paraId="722FD303" w14:textId="77777777"/>
    <w:p w:rsidR="00EC26BD" w:rsidRPr="003B6371" w:rsidP="005256D8" w14:paraId="2FBF0038" w14:textId="777763F6">
      <w:pPr>
        <w:ind w:firstLine="720"/>
      </w:pPr>
      <w:r w:rsidRPr="00DE7A15">
        <w:t>FinCEN has actively encouraged filing institutions to avail themselves of existing filing e</w:t>
      </w:r>
      <w:r w:rsidRPr="00DE7A15" w:rsidR="00C73171">
        <w:t>xemptions whenever applicable.</w:t>
      </w:r>
      <w:r>
        <w:rPr>
          <w:rStyle w:val="FootnoteReference"/>
        </w:rPr>
        <w:footnoteReference w:id="10"/>
      </w:r>
      <w:r w:rsidRPr="00DE7A15" w:rsidR="00C73171">
        <w:t xml:space="preserve"> </w:t>
      </w:r>
      <w:r w:rsidRPr="00DE7A15" w:rsidR="00DF1AF4">
        <w:t xml:space="preserve"> </w:t>
      </w:r>
      <w:r w:rsidRPr="00DE7A15" w:rsidR="00C73171">
        <w:t>H</w:t>
      </w:r>
      <w:r w:rsidRPr="00DE7A15" w:rsidR="004C7FA7">
        <w:t>owever, CTRs</w:t>
      </w:r>
      <w:r w:rsidRPr="00DE7A15" w:rsidR="005A2611">
        <w:t xml:space="preserve"> </w:t>
      </w:r>
      <w:r w:rsidRPr="00DE7A15" w:rsidR="004C7FA7">
        <w:t>provide</w:t>
      </w:r>
      <w:r w:rsidRPr="00DE7A15">
        <w:t xml:space="preserve"> valuabl</w:t>
      </w:r>
      <w:r w:rsidRPr="00DE7A15" w:rsidR="00F26FAA">
        <w:t>e information to Federal, state and local agencies that engage in criminal, regulatory and tax investigations and proceedings, agencies that engage in intelligence and counterintelligence activities, certain self-regulatory organizations, appropriate foreign agencies, and foreign financial intelligence units</w:t>
      </w:r>
      <w:r w:rsidRPr="00DE7A15">
        <w:t xml:space="preserve"> in their efforts to combat money launderi</w:t>
      </w:r>
      <w:r w:rsidRPr="00DE7A15" w:rsidR="00F26FAA">
        <w:t xml:space="preserve">ng and other financial crimes. </w:t>
      </w:r>
      <w:r w:rsidRPr="00DE7A15" w:rsidR="001A43AC">
        <w:t xml:space="preserve"> </w:t>
      </w:r>
      <w:r w:rsidRPr="00DE7A15">
        <w:t xml:space="preserve">Without these collections from entities of all </w:t>
      </w:r>
      <w:r w:rsidRPr="00DE7A15" w:rsidR="00CE020F">
        <w:t>sizes,</w:t>
      </w:r>
      <w:r w:rsidRPr="00DE7A15">
        <w:t xml:space="preserve"> the government’s efforts to counter financial crimes would be negatively impacted.</w:t>
      </w:r>
      <w:r w:rsidRPr="003B6371" w:rsidR="00F26FAA">
        <w:t xml:space="preserve"> </w:t>
      </w:r>
    </w:p>
    <w:p w:rsidR="0096041E" w:rsidRPr="003B6371" w:rsidP="0096041E" w14:paraId="4D782DFF" w14:textId="77777777"/>
    <w:p w:rsidR="00300146" w:rsidRPr="00105151" w:rsidP="0096041E" w14:paraId="16897EAF" w14:textId="1DD8FE3F">
      <w:r w:rsidRPr="00A37B2C">
        <w:t xml:space="preserve">6. </w:t>
      </w:r>
      <w:r w:rsidRPr="00E7709B">
        <w:rPr>
          <w:u w:val="single"/>
        </w:rPr>
        <w:t>Consequence</w:t>
      </w:r>
      <w:r w:rsidRPr="00E7709B" w:rsidR="00F26FAA">
        <w:rPr>
          <w:u w:val="single"/>
        </w:rPr>
        <w:t xml:space="preserve">s to the Federal </w:t>
      </w:r>
      <w:r w:rsidR="00DF1AF4">
        <w:rPr>
          <w:u w:val="single"/>
        </w:rPr>
        <w:t>g</w:t>
      </w:r>
      <w:r w:rsidRPr="00E7709B" w:rsidR="00F26FAA">
        <w:rPr>
          <w:u w:val="single"/>
        </w:rPr>
        <w:t xml:space="preserve">overnment of </w:t>
      </w:r>
      <w:r w:rsidR="00DF1AF4">
        <w:rPr>
          <w:u w:val="single"/>
        </w:rPr>
        <w:t>n</w:t>
      </w:r>
      <w:r w:rsidRPr="00E7709B" w:rsidR="00F26FAA">
        <w:rPr>
          <w:u w:val="single"/>
        </w:rPr>
        <w:t xml:space="preserve">ot </w:t>
      </w:r>
      <w:r w:rsidR="00DF1AF4">
        <w:rPr>
          <w:u w:val="single"/>
        </w:rPr>
        <w:t>c</w:t>
      </w:r>
      <w:r w:rsidRPr="00105151">
        <w:rPr>
          <w:u w:val="single"/>
        </w:rPr>
        <w:t xml:space="preserve">ollecting the </w:t>
      </w:r>
      <w:r w:rsidR="00DF1AF4">
        <w:rPr>
          <w:u w:val="single"/>
        </w:rPr>
        <w:t>i</w:t>
      </w:r>
      <w:r w:rsidRPr="00105151">
        <w:rPr>
          <w:u w:val="single"/>
        </w:rPr>
        <w:t>nformation.</w:t>
      </w:r>
      <w:r w:rsidRPr="00105151">
        <w:t xml:space="preserve"> </w:t>
      </w:r>
    </w:p>
    <w:p w:rsidR="0096041E" w:rsidRPr="00105151" w:rsidP="0096041E" w14:paraId="33CDBA65" w14:textId="77777777"/>
    <w:p w:rsidR="00F26FAA" w:rsidRPr="00105151" w:rsidP="005256D8" w14:paraId="76747EB8" w14:textId="09C7D4FC">
      <w:pPr>
        <w:ind w:firstLine="720"/>
      </w:pPr>
      <w:r w:rsidRPr="00105151">
        <w:t>CTR</w:t>
      </w:r>
      <w:r w:rsidRPr="00105151" w:rsidR="004C7FA7">
        <w:t>s provide</w:t>
      </w:r>
      <w:r w:rsidRPr="00105151">
        <w:t xml:space="preserve"> valuable information to Federal, state</w:t>
      </w:r>
      <w:r w:rsidR="005D636D">
        <w:t>,</w:t>
      </w:r>
      <w:r w:rsidRPr="00105151">
        <w:t xml:space="preserve"> and local agencies that engage in criminal, regulatory and tax investigations and proceedings, agencies that engage in intelligence and counterintelligence activities, certain self-regulatory organizations, appropriate foreign agencies, and foreign financial intelligence units in their efforts to combat money laundering and other financial crimes. </w:t>
      </w:r>
      <w:r w:rsidR="001A43AC">
        <w:t xml:space="preserve"> </w:t>
      </w:r>
      <w:r w:rsidRPr="00105151">
        <w:t xml:space="preserve">Without these collections, the government’s efforts to counter financial crimes </w:t>
      </w:r>
      <w:r w:rsidRPr="00105151" w:rsidR="00CF5FB6">
        <w:t xml:space="preserve">such as money laundering and the financing of terrorism </w:t>
      </w:r>
      <w:r w:rsidRPr="00105151">
        <w:t xml:space="preserve">would be negatively impacted. </w:t>
      </w:r>
    </w:p>
    <w:p w:rsidR="00F26FAA" w:rsidRPr="00105151" w:rsidP="0096041E" w14:paraId="6E2E445D" w14:textId="77777777"/>
    <w:p w:rsidR="00432288" w:rsidRPr="00432288" w:rsidP="00432288" w14:paraId="3A0C1A23" w14:textId="30F62F82">
      <w:pPr>
        <w:rPr>
          <w:u w:val="single"/>
        </w:rPr>
      </w:pPr>
      <w:r w:rsidRPr="00432288">
        <w:t xml:space="preserve">7. </w:t>
      </w:r>
      <w:r w:rsidRPr="00432288">
        <w:rPr>
          <w:u w:val="single"/>
        </w:rPr>
        <w:t xml:space="preserve">Special </w:t>
      </w:r>
      <w:r w:rsidRPr="00432288" w:rsidR="00DF1AF4">
        <w:rPr>
          <w:u w:val="single"/>
        </w:rPr>
        <w:t>c</w:t>
      </w:r>
      <w:r w:rsidRPr="00432288">
        <w:rPr>
          <w:u w:val="single"/>
        </w:rPr>
        <w:t xml:space="preserve">ircumstances </w:t>
      </w:r>
      <w:r w:rsidRPr="00432288" w:rsidR="00DF1AF4">
        <w:rPr>
          <w:u w:val="single"/>
        </w:rPr>
        <w:t>r</w:t>
      </w:r>
      <w:r w:rsidRPr="00432288">
        <w:rPr>
          <w:u w:val="single"/>
        </w:rPr>
        <w:t xml:space="preserve">equiring </w:t>
      </w:r>
      <w:r w:rsidRPr="00432288" w:rsidR="00DF1AF4">
        <w:rPr>
          <w:u w:val="single"/>
        </w:rPr>
        <w:t>d</w:t>
      </w:r>
      <w:r w:rsidRPr="00432288">
        <w:rPr>
          <w:u w:val="single"/>
        </w:rPr>
        <w:t xml:space="preserve">ata </w:t>
      </w:r>
      <w:r w:rsidRPr="00432288" w:rsidR="00DF1AF4">
        <w:rPr>
          <w:u w:val="single"/>
        </w:rPr>
        <w:t>c</w:t>
      </w:r>
      <w:r w:rsidRPr="00432288">
        <w:rPr>
          <w:u w:val="single"/>
        </w:rPr>
        <w:t xml:space="preserve">ollection </w:t>
      </w:r>
      <w:r w:rsidRPr="00432288" w:rsidR="00DF1AF4">
        <w:rPr>
          <w:u w:val="single"/>
        </w:rPr>
        <w:t>i</w:t>
      </w:r>
      <w:r w:rsidRPr="00432288">
        <w:rPr>
          <w:u w:val="single"/>
        </w:rPr>
        <w:t xml:space="preserve">nconsistent with </w:t>
      </w:r>
      <w:r w:rsidRPr="00432288" w:rsidR="00DF1AF4">
        <w:rPr>
          <w:u w:val="single"/>
        </w:rPr>
        <w:t>g</w:t>
      </w:r>
      <w:r w:rsidRPr="00432288">
        <w:rPr>
          <w:u w:val="single"/>
        </w:rPr>
        <w:t>uidelines</w:t>
      </w:r>
      <w:r w:rsidRPr="00432288" w:rsidR="00E404B3">
        <w:rPr>
          <w:u w:val="single"/>
        </w:rPr>
        <w:t xml:space="preserve"> in 5 CFR 1320.5(d)(2).</w:t>
      </w:r>
    </w:p>
    <w:p w:rsidR="00432288" w:rsidRPr="00432288" w:rsidP="006B681A" w14:paraId="7DA9FD1D" w14:textId="06477BE5">
      <w:pPr>
        <w:pStyle w:val="BodyText"/>
        <w:spacing w:before="288"/>
        <w:ind w:firstLine="720"/>
        <w:rPr>
          <w:sz w:val="24"/>
          <w:szCs w:val="24"/>
        </w:rPr>
      </w:pPr>
      <w:r w:rsidRPr="00432288">
        <w:rPr>
          <w:sz w:val="24"/>
          <w:szCs w:val="24"/>
        </w:rPr>
        <w:t xml:space="preserve">The CTR reporting rules </w:t>
      </w:r>
      <w:r w:rsidRPr="00432288" w:rsidR="00813713">
        <w:rPr>
          <w:sz w:val="24"/>
          <w:szCs w:val="24"/>
        </w:rPr>
        <w:t xml:space="preserve">require financial institutions to file reports of currency transactions of more than $10,000 within </w:t>
      </w:r>
      <w:r w:rsidRPr="00432288">
        <w:rPr>
          <w:sz w:val="24"/>
          <w:szCs w:val="24"/>
        </w:rPr>
        <w:t>15</w:t>
      </w:r>
      <w:r w:rsidRPr="00432288" w:rsidR="00813713">
        <w:rPr>
          <w:sz w:val="24"/>
          <w:szCs w:val="24"/>
        </w:rPr>
        <w:t xml:space="preserve"> days </w:t>
      </w:r>
      <w:r w:rsidRPr="00432288">
        <w:rPr>
          <w:sz w:val="24"/>
          <w:szCs w:val="24"/>
        </w:rPr>
        <w:t>following th</w:t>
      </w:r>
      <w:r w:rsidRPr="00432288" w:rsidR="00813713">
        <w:rPr>
          <w:sz w:val="24"/>
          <w:szCs w:val="24"/>
        </w:rPr>
        <w:t>e transaction.  Reporting within this required time frame is necessary to ensure that information about these transactions can be</w:t>
      </w:r>
      <w:r w:rsidRPr="00432288" w:rsidR="005D636D">
        <w:rPr>
          <w:sz w:val="24"/>
          <w:szCs w:val="24"/>
        </w:rPr>
        <w:t xml:space="preserve"> </w:t>
      </w:r>
      <w:r w:rsidRPr="00432288" w:rsidR="00813713">
        <w:rPr>
          <w:sz w:val="24"/>
          <w:szCs w:val="24"/>
        </w:rPr>
        <w:t>promptly made available to law enforcement</w:t>
      </w:r>
      <w:r w:rsidRPr="00432288">
        <w:rPr>
          <w:sz w:val="24"/>
          <w:szCs w:val="24"/>
        </w:rPr>
        <w:t xml:space="preserve"> and regulators</w:t>
      </w:r>
      <w:r w:rsidRPr="00432288" w:rsidR="00E11900">
        <w:rPr>
          <w:sz w:val="24"/>
          <w:szCs w:val="24"/>
        </w:rPr>
        <w:t xml:space="preserve"> for their use in investigations</w:t>
      </w:r>
      <w:r w:rsidRPr="00432288" w:rsidR="00813713">
        <w:rPr>
          <w:sz w:val="24"/>
          <w:szCs w:val="24"/>
        </w:rPr>
        <w:t>.</w:t>
      </w:r>
    </w:p>
    <w:p w:rsidR="00C91F59" w:rsidP="00C91F59" w14:paraId="06283FC8" w14:textId="77777777">
      <w:pPr>
        <w:ind w:right="-90" w:firstLine="720"/>
      </w:pPr>
    </w:p>
    <w:p w:rsidR="00432288" w:rsidRPr="00432288" w:rsidP="006B681A" w14:paraId="10243807" w14:textId="540304E7">
      <w:pPr>
        <w:ind w:right="-90" w:firstLine="720"/>
      </w:pPr>
      <w:r w:rsidRPr="00432288">
        <w:t xml:space="preserve">Under 31 CFR 1010.430(d), </w:t>
      </w:r>
      <w:r w:rsidRPr="00432288">
        <w:rPr>
          <w:lang w:val="en"/>
        </w:rPr>
        <w:t>all records that are required to be retained by 31 CFR Chapter X must be retained for a period of five years</w:t>
      </w:r>
      <w:r w:rsidRPr="00432288" w:rsidR="005D636D">
        <w:rPr>
          <w:lang w:val="en"/>
        </w:rPr>
        <w:t xml:space="preserve">.  This retention period is necessary </w:t>
      </w:r>
      <w:r w:rsidRPr="00432288" w:rsidR="005D636D">
        <w:t>to allow for verification of compliance with the reporting requirement and because such records may relate to substantive violations of law that are subject to statutes of limitation longer than three years.</w:t>
      </w:r>
    </w:p>
    <w:p w:rsidR="004B63BA" w:rsidRPr="00432288" w:rsidP="006B681A" w14:paraId="4DA96B9B" w14:textId="77777777"/>
    <w:p w:rsidR="003E5EE2" w:rsidRPr="003B6371" w:rsidP="00432288" w14:paraId="3779EFD6" w14:textId="5B6D92E3">
      <w:pPr>
        <w:ind w:right="720"/>
      </w:pPr>
      <w:r w:rsidRPr="00EF1E39">
        <w:t xml:space="preserve">8. </w:t>
      </w:r>
      <w:r w:rsidRPr="00EF1E39">
        <w:rPr>
          <w:u w:val="single"/>
        </w:rPr>
        <w:t xml:space="preserve">Consultation with </w:t>
      </w:r>
      <w:r w:rsidR="00611DCC">
        <w:rPr>
          <w:u w:val="single"/>
        </w:rPr>
        <w:t>i</w:t>
      </w:r>
      <w:r w:rsidRPr="00EF1E39">
        <w:rPr>
          <w:u w:val="single"/>
        </w:rPr>
        <w:t xml:space="preserve">ndividuals </w:t>
      </w:r>
      <w:r w:rsidR="00611DCC">
        <w:rPr>
          <w:u w:val="single"/>
        </w:rPr>
        <w:t>o</w:t>
      </w:r>
      <w:r w:rsidRPr="00EF1E39">
        <w:rPr>
          <w:u w:val="single"/>
        </w:rPr>
        <w:t xml:space="preserve">utside of the </w:t>
      </w:r>
      <w:r w:rsidR="00611DCC">
        <w:rPr>
          <w:u w:val="single"/>
        </w:rPr>
        <w:t>a</w:t>
      </w:r>
      <w:r w:rsidRPr="00EF1E39">
        <w:rPr>
          <w:u w:val="single"/>
        </w:rPr>
        <w:t xml:space="preserve">gency on </w:t>
      </w:r>
      <w:r w:rsidR="00611DCC">
        <w:rPr>
          <w:u w:val="single"/>
        </w:rPr>
        <w:t>a</w:t>
      </w:r>
      <w:r w:rsidRPr="00EF1E39">
        <w:rPr>
          <w:u w:val="single"/>
        </w:rPr>
        <w:t xml:space="preserve">vailability of </w:t>
      </w:r>
      <w:r w:rsidR="00611DCC">
        <w:rPr>
          <w:u w:val="single"/>
        </w:rPr>
        <w:t>d</w:t>
      </w:r>
      <w:r w:rsidRPr="00EF1E39">
        <w:rPr>
          <w:u w:val="single"/>
        </w:rPr>
        <w:t>ata</w:t>
      </w:r>
      <w:r w:rsidR="00611DCC">
        <w:rPr>
          <w:u w:val="single"/>
        </w:rPr>
        <w:t>, f</w:t>
      </w:r>
      <w:r w:rsidRPr="003B6371">
        <w:rPr>
          <w:u w:val="single"/>
        </w:rPr>
        <w:t xml:space="preserve">requency of </w:t>
      </w:r>
      <w:r w:rsidR="00611DCC">
        <w:rPr>
          <w:u w:val="single"/>
        </w:rPr>
        <w:t>c</w:t>
      </w:r>
      <w:r w:rsidRPr="003B6371">
        <w:rPr>
          <w:u w:val="single"/>
        </w:rPr>
        <w:t xml:space="preserve">ollection, </w:t>
      </w:r>
      <w:r w:rsidR="00611DCC">
        <w:rPr>
          <w:u w:val="single"/>
        </w:rPr>
        <w:t>c</w:t>
      </w:r>
      <w:r w:rsidRPr="003B6371">
        <w:rPr>
          <w:u w:val="single"/>
        </w:rPr>
        <w:t xml:space="preserve">larity of </w:t>
      </w:r>
      <w:r w:rsidR="00611DCC">
        <w:rPr>
          <w:u w:val="single"/>
        </w:rPr>
        <w:t>i</w:t>
      </w:r>
      <w:r w:rsidRPr="003B6371">
        <w:rPr>
          <w:u w:val="single"/>
        </w:rPr>
        <w:t xml:space="preserve">nstructions and </w:t>
      </w:r>
      <w:r w:rsidR="00611DCC">
        <w:rPr>
          <w:u w:val="single"/>
        </w:rPr>
        <w:t>f</w:t>
      </w:r>
      <w:r w:rsidRPr="003B6371">
        <w:rPr>
          <w:u w:val="single"/>
        </w:rPr>
        <w:t xml:space="preserve">orms, and </w:t>
      </w:r>
      <w:r w:rsidR="00611DCC">
        <w:rPr>
          <w:u w:val="single"/>
        </w:rPr>
        <w:t>d</w:t>
      </w:r>
      <w:r w:rsidRPr="003B6371">
        <w:rPr>
          <w:u w:val="single"/>
        </w:rPr>
        <w:t xml:space="preserve">ata </w:t>
      </w:r>
      <w:r w:rsidR="00611DCC">
        <w:rPr>
          <w:u w:val="single"/>
        </w:rPr>
        <w:t>e</w:t>
      </w:r>
      <w:r w:rsidRPr="003B6371">
        <w:rPr>
          <w:u w:val="single"/>
        </w:rPr>
        <w:t>lements.</w:t>
      </w:r>
      <w:r w:rsidRPr="003B6371">
        <w:t xml:space="preserve"> </w:t>
      </w:r>
    </w:p>
    <w:p w:rsidR="00611DCC" w:rsidP="005256D8" w14:paraId="12985A22" w14:textId="77777777">
      <w:pPr>
        <w:ind w:firstLine="720"/>
      </w:pPr>
    </w:p>
    <w:p w:rsidR="00EA4AB2" w:rsidRPr="003B6371" w:rsidP="005256D8" w14:paraId="09B7351E" w14:textId="6963F71B">
      <w:pPr>
        <w:ind w:firstLine="720"/>
      </w:pPr>
      <w:r>
        <w:t xml:space="preserve">On </w:t>
      </w:r>
      <w:r w:rsidR="00E92B30">
        <w:t>February</w:t>
      </w:r>
      <w:r>
        <w:t xml:space="preserve"> 5, 2024, FinCEN published in the Federal Register a notice and request for comments of its intention to renew, without change, information collection requirements for the reports of transactions in currency regulations and FinCEN Form </w:t>
      </w:r>
      <w:r>
        <w:t>112- Currency Transaction Report</w:t>
      </w:r>
      <w:r w:rsidR="00850952">
        <w:t xml:space="preserve"> (“2024 Notice</w:t>
      </w:r>
      <w:r w:rsidR="00725999">
        <w:t>”</w:t>
      </w:r>
      <w:r w:rsidR="00850952">
        <w:t>)</w:t>
      </w:r>
      <w:r>
        <w:t>.</w:t>
      </w:r>
      <w:r>
        <w:rPr>
          <w:rStyle w:val="FootnoteReference"/>
        </w:rPr>
        <w:footnoteReference w:id="11"/>
      </w:r>
      <w:r>
        <w:t xml:space="preserve">  The comment period closed on April 5, 2024.  FinCEN received </w:t>
      </w:r>
      <w:r w:rsidR="00493E90">
        <w:t>42</w:t>
      </w:r>
      <w:r>
        <w:t xml:space="preserve"> public comments in response to the notice.</w:t>
      </w:r>
      <w:r w:rsidRPr="00223235" w:rsidR="007D3CBD">
        <w:t xml:space="preserve"> </w:t>
      </w:r>
      <w:r w:rsidR="00E92B30">
        <w:t xml:space="preserve"> </w:t>
      </w:r>
    </w:p>
    <w:p w:rsidR="00EA4AB2" w:rsidRPr="003B6371" w:rsidP="00EF20F4" w14:paraId="547D68BC" w14:textId="77777777">
      <w:pPr>
        <w:contextualSpacing/>
        <w:rPr>
          <w:rFonts w:eastAsia="Calibri"/>
        </w:rPr>
      </w:pPr>
    </w:p>
    <w:p w:rsidR="00937580" w:rsidP="00657DF4" w14:paraId="7E5458F5" w14:textId="16B01650">
      <w:pPr>
        <w:autoSpaceDE w:val="0"/>
        <w:autoSpaceDN w:val="0"/>
        <w:adjustRightInd w:val="0"/>
      </w:pPr>
      <w:r>
        <w:tab/>
      </w:r>
      <w:r w:rsidR="00BA4A7C">
        <w:t>One</w:t>
      </w:r>
      <w:r w:rsidR="00E25D2B">
        <w:t xml:space="preserve"> c</w:t>
      </w:r>
      <w:r w:rsidRPr="00105151" w:rsidR="003E728C">
        <w:t>ommen</w:t>
      </w:r>
      <w:r w:rsidRPr="00105151" w:rsidR="006F1E5B">
        <w:t>ter</w:t>
      </w:r>
      <w:r w:rsidR="00E25D2B">
        <w:t xml:space="preserve"> support</w:t>
      </w:r>
      <w:r w:rsidR="00925E33">
        <w:t>ed</w:t>
      </w:r>
      <w:r w:rsidR="00E25D2B">
        <w:t xml:space="preserve"> maintaining the existing CTR threshold of $10,000.</w:t>
      </w:r>
      <w:r w:rsidR="00877588">
        <w:t xml:space="preserve">  39 commenters encouraged FinCEN to increase the filing threshold and proposed various threshold</w:t>
      </w:r>
      <w:r w:rsidR="006B41F3">
        <w:t xml:space="preserve"> amounts</w:t>
      </w:r>
      <w:r w:rsidR="00877588">
        <w:t xml:space="preserve"> ranging from $15,001 to $100,000</w:t>
      </w:r>
      <w:r w:rsidR="006B1868">
        <w:t xml:space="preserve">. </w:t>
      </w:r>
      <w:r w:rsidR="00DE7A15">
        <w:t xml:space="preserve"> </w:t>
      </w:r>
      <w:r w:rsidR="00BA4A7C">
        <w:t>Two</w:t>
      </w:r>
      <w:r w:rsidR="00DE7A15">
        <w:t xml:space="preserve"> commenter</w:t>
      </w:r>
      <w:r w:rsidR="00BA4A7C">
        <w:t xml:space="preserve">s </w:t>
      </w:r>
      <w:r w:rsidR="00DE7A15">
        <w:t>did not comment on the threshold.</w:t>
      </w:r>
      <w:r w:rsidR="006B1868">
        <w:t xml:space="preserve"> </w:t>
      </w:r>
      <w:r w:rsidR="00D113F9">
        <w:t xml:space="preserve"> </w:t>
      </w:r>
      <w:r w:rsidR="006B1868">
        <w:t xml:space="preserve">FinCEN observed that most of the proposed amounts were grounded on two primary arguments.  Firstly, commenters expressed concern that the existing </w:t>
      </w:r>
      <w:r w:rsidR="005C2DB2">
        <w:t xml:space="preserve">filing </w:t>
      </w:r>
      <w:r w:rsidR="006B1868">
        <w:t xml:space="preserve">threshold resulted in an inordinate number of CTRs being filed which </w:t>
      </w:r>
      <w:r w:rsidR="00EC4270">
        <w:t xml:space="preserve">were </w:t>
      </w:r>
      <w:r w:rsidR="006B1868">
        <w:t>not suspicious yet consume</w:t>
      </w:r>
      <w:r w:rsidR="00EC4270">
        <w:t>d</w:t>
      </w:r>
      <w:r w:rsidR="006B1868">
        <w:t xml:space="preserve"> </w:t>
      </w:r>
      <w:r w:rsidR="00EC4270">
        <w:t xml:space="preserve">significant </w:t>
      </w:r>
      <w:r w:rsidR="006B1868">
        <w:t>compliance resource</w:t>
      </w:r>
      <w:r w:rsidR="006B41F3">
        <w:t>s</w:t>
      </w:r>
      <w:r w:rsidR="006B1868">
        <w:t xml:space="preserve">.  Therefore, commenters argued that a higher </w:t>
      </w:r>
      <w:r w:rsidR="008C44C6">
        <w:t xml:space="preserve">filing </w:t>
      </w:r>
      <w:r w:rsidR="006B1868">
        <w:t xml:space="preserve">threshold would </w:t>
      </w:r>
      <w:r w:rsidR="0073221C">
        <w:t>reduce financial institutions’ burden associated with filing,</w:t>
      </w:r>
      <w:r w:rsidR="006B1868">
        <w:t xml:space="preserve"> and </w:t>
      </w:r>
      <w:r w:rsidR="00925E33">
        <w:t xml:space="preserve">provide </w:t>
      </w:r>
      <w:r w:rsidR="006B1868">
        <w:t xml:space="preserve">more </w:t>
      </w:r>
      <w:r w:rsidR="00925E33">
        <w:t xml:space="preserve">targeted, </w:t>
      </w:r>
      <w:r w:rsidR="006B1868">
        <w:t xml:space="preserve">useful data for law enforcement </w:t>
      </w:r>
      <w:r w:rsidR="00814884">
        <w:t>and national security purposes</w:t>
      </w:r>
      <w:r w:rsidR="006B1868">
        <w:t xml:space="preserve">. </w:t>
      </w:r>
      <w:r w:rsidR="007D583B">
        <w:t xml:space="preserve"> </w:t>
      </w:r>
      <w:r w:rsidR="006B1868">
        <w:t>Commenters</w:t>
      </w:r>
      <w:r w:rsidR="0073221C">
        <w:t xml:space="preserve">, including </w:t>
      </w:r>
      <w:r w:rsidR="003767B5">
        <w:t xml:space="preserve">certain Members of </w:t>
      </w:r>
      <w:r w:rsidR="0073221C">
        <w:t>Congress,</w:t>
      </w:r>
      <w:r w:rsidR="006B1868">
        <w:t xml:space="preserve"> also argued that the existing threshold </w:t>
      </w:r>
      <w:r w:rsidR="00E70FD8">
        <w:t xml:space="preserve">did </w:t>
      </w:r>
      <w:r w:rsidR="00FD5160">
        <w:t>not</w:t>
      </w:r>
      <w:r w:rsidR="006B1868">
        <w:t xml:space="preserve"> account for inflation; therefore, </w:t>
      </w:r>
      <w:r w:rsidR="006B1910">
        <w:t xml:space="preserve">the amount should be </w:t>
      </w:r>
      <w:r w:rsidR="00925E33">
        <w:t>adjusted accordingly, whether on a one-time basis or on a set frequency</w:t>
      </w:r>
      <w:r w:rsidR="00FD5160">
        <w:t xml:space="preserve"> such as once every five years</w:t>
      </w:r>
      <w:r w:rsidR="00B92A3F">
        <w:t>.</w:t>
      </w:r>
      <w:r w:rsidR="0008508C">
        <w:t xml:space="preserve"> </w:t>
      </w:r>
      <w:r w:rsidR="00ED76DA">
        <w:t xml:space="preserve"> </w:t>
      </w:r>
      <w:r w:rsidR="0008508C">
        <w:t xml:space="preserve">One commenter added that the current </w:t>
      </w:r>
      <w:r w:rsidR="00E70FD8">
        <w:t xml:space="preserve">filing </w:t>
      </w:r>
      <w:r w:rsidR="0008508C">
        <w:t xml:space="preserve">threshold </w:t>
      </w:r>
      <w:r w:rsidR="00FD5160">
        <w:t>contribute</w:t>
      </w:r>
      <w:r w:rsidR="00E70FD8">
        <w:t>d</w:t>
      </w:r>
      <w:r w:rsidR="00FD5160">
        <w:t xml:space="preserve"> to</w:t>
      </w:r>
      <w:r w:rsidR="0008508C">
        <w:t xml:space="preserve"> </w:t>
      </w:r>
      <w:r w:rsidR="003767B5">
        <w:t>de-risking of money services businesses</w:t>
      </w:r>
      <w:r w:rsidR="0008508C">
        <w:t xml:space="preserve">. </w:t>
      </w:r>
    </w:p>
    <w:p w:rsidR="00D608E6" w:rsidP="00657DF4" w14:paraId="5F01C88C" w14:textId="77777777">
      <w:pPr>
        <w:autoSpaceDE w:val="0"/>
        <w:autoSpaceDN w:val="0"/>
        <w:adjustRightInd w:val="0"/>
      </w:pPr>
    </w:p>
    <w:p w:rsidR="007D791D" w:rsidRPr="00105151" w:rsidP="00057CC9" w14:paraId="5F015B0F" w14:textId="20E3E222">
      <w:pPr>
        <w:autoSpaceDE w:val="0"/>
        <w:autoSpaceDN w:val="0"/>
        <w:adjustRightInd w:val="0"/>
        <w:ind w:firstLine="720"/>
      </w:pPr>
      <w:r>
        <w:t xml:space="preserve">11 </w:t>
      </w:r>
      <w:r>
        <w:t>commenters argued that FinCEN’s eight</w:t>
      </w:r>
      <w:r w:rsidR="00F67B6E">
        <w:t>-</w:t>
      </w:r>
      <w:r>
        <w:t>minute burden estimate for completing CTRs was either too low or did not account for various factors associated with assessing whether a CTR filing was necessary</w:t>
      </w:r>
      <w:r w:rsidR="00FD5160">
        <w:t xml:space="preserve"> or</w:t>
      </w:r>
      <w:r>
        <w:t xml:space="preserve"> </w:t>
      </w:r>
      <w:r w:rsidR="00FD5160">
        <w:t xml:space="preserve">identifying whether there are other individuals or accounts involved, </w:t>
      </w:r>
      <w:r>
        <w:t>amongst other factors.</w:t>
      </w:r>
      <w:r w:rsidR="002014B9">
        <w:t xml:space="preserve"> </w:t>
      </w:r>
      <w:r w:rsidR="00F67B6E">
        <w:t xml:space="preserve"> </w:t>
      </w:r>
    </w:p>
    <w:p w:rsidR="003E728C" w:rsidRPr="00105151" w:rsidP="003E728C" w14:paraId="02F3A9AE" w14:textId="77777777">
      <w:pPr>
        <w:autoSpaceDE w:val="0"/>
        <w:autoSpaceDN w:val="0"/>
        <w:adjustRightInd w:val="0"/>
      </w:pPr>
    </w:p>
    <w:p w:rsidR="003E728C" w:rsidP="00ED76DA" w14:paraId="58C1282A" w14:textId="262B775F">
      <w:pPr>
        <w:autoSpaceDE w:val="0"/>
        <w:autoSpaceDN w:val="0"/>
        <w:adjustRightInd w:val="0"/>
        <w:ind w:firstLine="720"/>
      </w:pPr>
      <w:r>
        <w:t xml:space="preserve">In addition to comments </w:t>
      </w:r>
      <w:r w:rsidR="003767B5">
        <w:t>related to</w:t>
      </w:r>
      <w:r>
        <w:t xml:space="preserve"> the CTR filing threshold</w:t>
      </w:r>
      <w:r w:rsidR="007D791D">
        <w:t xml:space="preserve"> and the estimated burden associated with completing CTR filings</w:t>
      </w:r>
      <w:r>
        <w:t>, s</w:t>
      </w:r>
      <w:r w:rsidRPr="00105151">
        <w:t>ome commenters had specific recommendations regarding the</w:t>
      </w:r>
      <w:r>
        <w:t xml:space="preserve"> CTR form</w:t>
      </w:r>
      <w:r w:rsidR="002B23C1">
        <w:t xml:space="preserve"> and</w:t>
      </w:r>
      <w:r w:rsidRPr="00105151">
        <w:t xml:space="preserve"> </w:t>
      </w:r>
      <w:r w:rsidR="007978D4">
        <w:t>the filing process</w:t>
      </w:r>
      <w:r w:rsidR="002B23C1">
        <w:t xml:space="preserve">. </w:t>
      </w:r>
      <w:r w:rsidRPr="00105151">
        <w:t xml:space="preserve"> Some of the specific recommendations </w:t>
      </w:r>
      <w:r w:rsidRPr="00105151" w:rsidR="00F746D7">
        <w:t xml:space="preserve">from commenters </w:t>
      </w:r>
      <w:r w:rsidR="006B41F3">
        <w:t>include</w:t>
      </w:r>
      <w:r w:rsidR="00F2682A">
        <w:t>d</w:t>
      </w:r>
      <w:r w:rsidRPr="00105151">
        <w:t>:</w:t>
      </w:r>
    </w:p>
    <w:p w:rsidR="006B41F3" w:rsidP="00955104" w14:paraId="2723222E" w14:textId="77777777">
      <w:pPr>
        <w:autoSpaceDE w:val="0"/>
        <w:autoSpaceDN w:val="0"/>
        <w:adjustRightInd w:val="0"/>
        <w:ind w:firstLine="720"/>
      </w:pPr>
    </w:p>
    <w:p w:rsidR="00227A19" w:rsidRPr="006B41F3" w:rsidP="00227A19" w14:paraId="4BD77C5A" w14:textId="382BF825">
      <w:pPr>
        <w:pStyle w:val="ListParagraph"/>
        <w:numPr>
          <w:ilvl w:val="0"/>
          <w:numId w:val="7"/>
        </w:numPr>
        <w:autoSpaceDE w:val="0"/>
        <w:autoSpaceDN w:val="0"/>
        <w:adjustRightInd w:val="0"/>
        <w:spacing w:after="0"/>
        <w:rPr>
          <w:rFonts w:ascii="Times New Roman" w:hAnsi="Times New Roman"/>
          <w:sz w:val="24"/>
          <w:szCs w:val="24"/>
        </w:rPr>
      </w:pPr>
      <w:r>
        <w:rPr>
          <w:rFonts w:ascii="Times New Roman" w:hAnsi="Times New Roman"/>
          <w:sz w:val="24"/>
          <w:szCs w:val="24"/>
        </w:rPr>
        <w:t>Add</w:t>
      </w:r>
      <w:r w:rsidR="006C7F97">
        <w:rPr>
          <w:rFonts w:ascii="Times New Roman" w:hAnsi="Times New Roman"/>
          <w:sz w:val="24"/>
          <w:szCs w:val="24"/>
        </w:rPr>
        <w:t>ing</w:t>
      </w:r>
      <w:r>
        <w:rPr>
          <w:rFonts w:ascii="Times New Roman" w:hAnsi="Times New Roman"/>
          <w:sz w:val="24"/>
          <w:szCs w:val="24"/>
        </w:rPr>
        <w:t xml:space="preserve"> ability to update the date and amount on previously filed CTRs while retaining unchanged information. </w:t>
      </w:r>
    </w:p>
    <w:p w:rsidR="00EB4603" w:rsidP="00EB4603" w14:paraId="3E4086D5" w14:textId="4EC0F76E">
      <w:pPr>
        <w:pStyle w:val="ListParagraph"/>
        <w:numPr>
          <w:ilvl w:val="0"/>
          <w:numId w:val="7"/>
        </w:numPr>
        <w:autoSpaceDE w:val="0"/>
        <w:autoSpaceDN w:val="0"/>
        <w:adjustRightInd w:val="0"/>
        <w:spacing w:after="0"/>
        <w:rPr>
          <w:rFonts w:ascii="Times New Roman" w:hAnsi="Times New Roman"/>
          <w:sz w:val="24"/>
          <w:szCs w:val="24"/>
        </w:rPr>
      </w:pPr>
      <w:r w:rsidRPr="006B41F3">
        <w:rPr>
          <w:rFonts w:ascii="Times New Roman" w:hAnsi="Times New Roman"/>
          <w:sz w:val="24"/>
          <w:szCs w:val="24"/>
        </w:rPr>
        <w:t>Provid</w:t>
      </w:r>
      <w:r w:rsidR="006C7F97">
        <w:rPr>
          <w:rFonts w:ascii="Times New Roman" w:hAnsi="Times New Roman"/>
          <w:sz w:val="24"/>
          <w:szCs w:val="24"/>
        </w:rPr>
        <w:t>ing</w:t>
      </w:r>
      <w:r w:rsidRPr="006B41F3">
        <w:rPr>
          <w:rFonts w:ascii="Times New Roman" w:hAnsi="Times New Roman"/>
          <w:sz w:val="24"/>
          <w:szCs w:val="24"/>
        </w:rPr>
        <w:t xml:space="preserve"> greater transparency</w:t>
      </w:r>
      <w:r w:rsidR="00156252">
        <w:rPr>
          <w:rFonts w:ascii="Times New Roman" w:hAnsi="Times New Roman"/>
          <w:sz w:val="24"/>
          <w:szCs w:val="24"/>
        </w:rPr>
        <w:t xml:space="preserve"> into the usefulness of CTRs to law enforcement</w:t>
      </w:r>
      <w:r w:rsidR="00BC7917">
        <w:rPr>
          <w:rFonts w:ascii="Times New Roman" w:hAnsi="Times New Roman"/>
          <w:sz w:val="24"/>
          <w:szCs w:val="24"/>
        </w:rPr>
        <w:t xml:space="preserve"> as there </w:t>
      </w:r>
      <w:r w:rsidR="0098074D">
        <w:rPr>
          <w:rFonts w:ascii="Times New Roman" w:hAnsi="Times New Roman"/>
          <w:sz w:val="24"/>
          <w:szCs w:val="24"/>
        </w:rPr>
        <w:t xml:space="preserve">was </w:t>
      </w:r>
      <w:r w:rsidR="00BC7917">
        <w:rPr>
          <w:rFonts w:ascii="Times New Roman" w:hAnsi="Times New Roman"/>
          <w:sz w:val="24"/>
          <w:szCs w:val="24"/>
        </w:rPr>
        <w:t xml:space="preserve">a perceived lack of follow-up from </w:t>
      </w:r>
      <w:r w:rsidR="004A682D">
        <w:rPr>
          <w:rFonts w:ascii="Times New Roman" w:hAnsi="Times New Roman"/>
          <w:sz w:val="24"/>
          <w:szCs w:val="24"/>
        </w:rPr>
        <w:t>FinCEN and law enforcement</w:t>
      </w:r>
      <w:r w:rsidR="00156252">
        <w:rPr>
          <w:rFonts w:ascii="Times New Roman" w:hAnsi="Times New Roman"/>
          <w:sz w:val="24"/>
          <w:szCs w:val="24"/>
        </w:rPr>
        <w:t>.</w:t>
      </w:r>
    </w:p>
    <w:p w:rsidR="00156252" w:rsidRPr="006B41F3" w:rsidP="00227A19" w14:paraId="1C7919B4" w14:textId="3591FF23">
      <w:pPr>
        <w:pStyle w:val="ListParagraph"/>
        <w:numPr>
          <w:ilvl w:val="0"/>
          <w:numId w:val="7"/>
        </w:numPr>
        <w:autoSpaceDE w:val="0"/>
        <w:autoSpaceDN w:val="0"/>
        <w:adjustRightInd w:val="0"/>
        <w:spacing w:after="0"/>
        <w:rPr>
          <w:rFonts w:ascii="Times New Roman" w:hAnsi="Times New Roman"/>
          <w:sz w:val="24"/>
          <w:szCs w:val="24"/>
        </w:rPr>
      </w:pPr>
      <w:r>
        <w:rPr>
          <w:rFonts w:ascii="Times New Roman" w:hAnsi="Times New Roman"/>
          <w:sz w:val="24"/>
          <w:szCs w:val="24"/>
        </w:rPr>
        <w:t>Eliminat</w:t>
      </w:r>
      <w:r w:rsidR="0098074D">
        <w:rPr>
          <w:rFonts w:ascii="Times New Roman" w:hAnsi="Times New Roman"/>
          <w:sz w:val="24"/>
          <w:szCs w:val="24"/>
        </w:rPr>
        <w:t>ing</w:t>
      </w:r>
      <w:r>
        <w:rPr>
          <w:rFonts w:ascii="Times New Roman" w:hAnsi="Times New Roman"/>
          <w:sz w:val="24"/>
          <w:szCs w:val="24"/>
        </w:rPr>
        <w:t xml:space="preserve"> or revis</w:t>
      </w:r>
      <w:r w:rsidR="0098074D">
        <w:rPr>
          <w:rFonts w:ascii="Times New Roman" w:hAnsi="Times New Roman"/>
          <w:sz w:val="24"/>
          <w:szCs w:val="24"/>
        </w:rPr>
        <w:t>ing</w:t>
      </w:r>
      <w:r>
        <w:rPr>
          <w:rFonts w:ascii="Times New Roman" w:hAnsi="Times New Roman"/>
          <w:sz w:val="24"/>
          <w:szCs w:val="24"/>
        </w:rPr>
        <w:t xml:space="preserve"> </w:t>
      </w:r>
      <w:r w:rsidR="0035789C">
        <w:rPr>
          <w:rFonts w:ascii="Times New Roman" w:hAnsi="Times New Roman"/>
          <w:sz w:val="24"/>
          <w:szCs w:val="24"/>
        </w:rPr>
        <w:t xml:space="preserve">the </w:t>
      </w:r>
      <w:r>
        <w:rPr>
          <w:rFonts w:ascii="Times New Roman" w:hAnsi="Times New Roman"/>
          <w:sz w:val="24"/>
          <w:szCs w:val="24"/>
        </w:rPr>
        <w:t xml:space="preserve">CTR filing requirement </w:t>
      </w:r>
      <w:r w:rsidR="00BD1E38">
        <w:rPr>
          <w:rFonts w:ascii="Times New Roman" w:hAnsi="Times New Roman"/>
          <w:sz w:val="24"/>
          <w:szCs w:val="24"/>
        </w:rPr>
        <w:t xml:space="preserve">when the transaction(s) also results in a </w:t>
      </w:r>
      <w:r w:rsidR="003767B5">
        <w:rPr>
          <w:rFonts w:ascii="Times New Roman" w:hAnsi="Times New Roman"/>
          <w:sz w:val="24"/>
          <w:szCs w:val="24"/>
        </w:rPr>
        <w:t xml:space="preserve">suspicious activity report (SAR) </w:t>
      </w:r>
      <w:r w:rsidR="00BD1E38">
        <w:rPr>
          <w:rFonts w:ascii="Times New Roman" w:hAnsi="Times New Roman"/>
          <w:sz w:val="24"/>
          <w:szCs w:val="24"/>
        </w:rPr>
        <w:t xml:space="preserve">filing, so that only one report must be filed. </w:t>
      </w:r>
      <w:r w:rsidR="00227A19">
        <w:rPr>
          <w:rFonts w:ascii="Times New Roman" w:hAnsi="Times New Roman"/>
          <w:sz w:val="24"/>
          <w:szCs w:val="24"/>
        </w:rPr>
        <w:t xml:space="preserve"> </w:t>
      </w:r>
    </w:p>
    <w:p w:rsidR="00156252" w:rsidP="00EB4603" w14:paraId="69C40083" w14:textId="26BA24A5">
      <w:pPr>
        <w:pStyle w:val="ListParagraph"/>
        <w:numPr>
          <w:ilvl w:val="0"/>
          <w:numId w:val="7"/>
        </w:numPr>
        <w:autoSpaceDE w:val="0"/>
        <w:autoSpaceDN w:val="0"/>
        <w:adjustRightInd w:val="0"/>
        <w:spacing w:after="0"/>
        <w:rPr>
          <w:rFonts w:ascii="Times New Roman" w:hAnsi="Times New Roman"/>
          <w:sz w:val="24"/>
          <w:szCs w:val="24"/>
        </w:rPr>
      </w:pPr>
      <w:r>
        <w:rPr>
          <w:rFonts w:ascii="Times New Roman" w:hAnsi="Times New Roman"/>
          <w:sz w:val="24"/>
          <w:szCs w:val="24"/>
        </w:rPr>
        <w:t>Add</w:t>
      </w:r>
      <w:r w:rsidR="00864C1F">
        <w:rPr>
          <w:rFonts w:ascii="Times New Roman" w:hAnsi="Times New Roman"/>
          <w:sz w:val="24"/>
          <w:szCs w:val="24"/>
        </w:rPr>
        <w:t>ing</w:t>
      </w:r>
      <w:r>
        <w:rPr>
          <w:rFonts w:ascii="Times New Roman" w:hAnsi="Times New Roman"/>
          <w:sz w:val="24"/>
          <w:szCs w:val="24"/>
        </w:rPr>
        <w:t xml:space="preserve"> </w:t>
      </w:r>
      <w:r w:rsidR="00C12950">
        <w:rPr>
          <w:rFonts w:ascii="Times New Roman" w:hAnsi="Times New Roman"/>
          <w:sz w:val="24"/>
          <w:szCs w:val="24"/>
        </w:rPr>
        <w:t xml:space="preserve">a </w:t>
      </w:r>
      <w:r>
        <w:rPr>
          <w:rFonts w:ascii="Times New Roman" w:hAnsi="Times New Roman"/>
          <w:sz w:val="24"/>
          <w:szCs w:val="24"/>
        </w:rPr>
        <w:t>field on the CTR to include the purpose of the transaction, if known</w:t>
      </w:r>
      <w:r w:rsidR="00143A4A">
        <w:rPr>
          <w:rFonts w:ascii="Times New Roman" w:hAnsi="Times New Roman"/>
          <w:sz w:val="24"/>
          <w:szCs w:val="24"/>
        </w:rPr>
        <w:t>.</w:t>
      </w:r>
    </w:p>
    <w:p w:rsidR="00156252" w:rsidRPr="003E0F73" w:rsidP="00EB4603" w14:paraId="02F8ED96" w14:textId="145B07C8">
      <w:pPr>
        <w:pStyle w:val="ListParagraph"/>
        <w:numPr>
          <w:ilvl w:val="0"/>
          <w:numId w:val="7"/>
        </w:numPr>
        <w:autoSpaceDE w:val="0"/>
        <w:autoSpaceDN w:val="0"/>
        <w:adjustRightInd w:val="0"/>
        <w:spacing w:after="0"/>
        <w:rPr>
          <w:rFonts w:ascii="Times New Roman" w:hAnsi="Times New Roman"/>
          <w:sz w:val="24"/>
          <w:szCs w:val="24"/>
        </w:rPr>
      </w:pPr>
      <w:r w:rsidRPr="003E0F73">
        <w:rPr>
          <w:rFonts w:ascii="Times New Roman" w:hAnsi="Times New Roman"/>
          <w:sz w:val="24"/>
          <w:szCs w:val="24"/>
        </w:rPr>
        <w:t>Remov</w:t>
      </w:r>
      <w:r w:rsidRPr="003E0F73" w:rsidR="00864C1F">
        <w:rPr>
          <w:rFonts w:ascii="Times New Roman" w:hAnsi="Times New Roman"/>
          <w:sz w:val="24"/>
          <w:szCs w:val="24"/>
        </w:rPr>
        <w:t>ing</w:t>
      </w:r>
      <w:r w:rsidRPr="003E0F73">
        <w:rPr>
          <w:rFonts w:ascii="Times New Roman" w:hAnsi="Times New Roman"/>
          <w:sz w:val="24"/>
          <w:szCs w:val="24"/>
        </w:rPr>
        <w:t xml:space="preserve"> the </w:t>
      </w:r>
      <w:r w:rsidRPr="003E0F73" w:rsidR="00813123">
        <w:rPr>
          <w:rFonts w:ascii="Times New Roman" w:hAnsi="Times New Roman"/>
          <w:sz w:val="24"/>
          <w:szCs w:val="24"/>
        </w:rPr>
        <w:t xml:space="preserve">requirement to include an additional </w:t>
      </w:r>
      <w:r w:rsidRPr="003E0F73" w:rsidR="005753EC">
        <w:rPr>
          <w:rFonts w:ascii="Times New Roman" w:hAnsi="Times New Roman"/>
          <w:sz w:val="24"/>
          <w:szCs w:val="24"/>
        </w:rPr>
        <w:t>Part 1 – Person Involved in Transaction(s)</w:t>
      </w:r>
      <w:r w:rsidRPr="003E0F73">
        <w:rPr>
          <w:rFonts w:ascii="Times New Roman" w:hAnsi="Times New Roman"/>
          <w:sz w:val="24"/>
          <w:szCs w:val="24"/>
        </w:rPr>
        <w:t xml:space="preserve"> on the CTR </w:t>
      </w:r>
      <w:r w:rsidRPr="003E0F73" w:rsidR="00D974E0">
        <w:rPr>
          <w:rFonts w:ascii="Times New Roman" w:hAnsi="Times New Roman"/>
          <w:sz w:val="24"/>
          <w:szCs w:val="24"/>
        </w:rPr>
        <w:t xml:space="preserve">for </w:t>
      </w:r>
      <w:r w:rsidRPr="003E0F73">
        <w:rPr>
          <w:rFonts w:ascii="Times New Roman" w:hAnsi="Times New Roman"/>
          <w:sz w:val="24"/>
          <w:szCs w:val="24"/>
        </w:rPr>
        <w:t xml:space="preserve">information pertaining to </w:t>
      </w:r>
      <w:r w:rsidRPr="003E0F73" w:rsidR="005753EC">
        <w:rPr>
          <w:rFonts w:ascii="Times New Roman" w:hAnsi="Times New Roman"/>
          <w:sz w:val="24"/>
          <w:szCs w:val="24"/>
        </w:rPr>
        <w:t>an</w:t>
      </w:r>
      <w:r w:rsidRPr="003E0F73">
        <w:rPr>
          <w:rFonts w:ascii="Times New Roman" w:hAnsi="Times New Roman"/>
          <w:sz w:val="24"/>
          <w:szCs w:val="24"/>
        </w:rPr>
        <w:t xml:space="preserve"> individual who </w:t>
      </w:r>
      <w:r w:rsidRPr="003E0F73" w:rsidR="00D974E0">
        <w:rPr>
          <w:rFonts w:ascii="Times New Roman" w:hAnsi="Times New Roman"/>
          <w:sz w:val="24"/>
          <w:szCs w:val="24"/>
        </w:rPr>
        <w:t xml:space="preserve">served </w:t>
      </w:r>
      <w:r w:rsidRPr="003E0F73">
        <w:rPr>
          <w:rFonts w:ascii="Times New Roman" w:hAnsi="Times New Roman"/>
          <w:sz w:val="24"/>
          <w:szCs w:val="24"/>
        </w:rPr>
        <w:t>a dual role</w:t>
      </w:r>
      <w:r w:rsidRPr="003E0F73" w:rsidR="005753EC">
        <w:rPr>
          <w:rFonts w:ascii="Times New Roman" w:hAnsi="Times New Roman"/>
          <w:sz w:val="24"/>
          <w:szCs w:val="24"/>
        </w:rPr>
        <w:t xml:space="preserve"> (more than one Item 2 option applies to a Part I person).</w:t>
      </w:r>
      <w:r>
        <w:rPr>
          <w:rStyle w:val="FootnoteReference"/>
          <w:rFonts w:ascii="Times New Roman" w:hAnsi="Times New Roman"/>
          <w:sz w:val="24"/>
          <w:szCs w:val="24"/>
        </w:rPr>
        <w:footnoteReference w:id="12"/>
      </w:r>
      <w:r w:rsidRPr="003E0F73" w:rsidR="005753EC">
        <w:rPr>
          <w:rFonts w:ascii="Times New Roman" w:hAnsi="Times New Roman"/>
          <w:sz w:val="24"/>
          <w:szCs w:val="24"/>
        </w:rPr>
        <w:t xml:space="preserve"> </w:t>
      </w:r>
    </w:p>
    <w:p w:rsidR="00143A4A" w:rsidP="00EB4603" w14:paraId="6AB5B7D6" w14:textId="368A52DD">
      <w:pPr>
        <w:pStyle w:val="ListParagraph"/>
        <w:numPr>
          <w:ilvl w:val="0"/>
          <w:numId w:val="7"/>
        </w:numPr>
        <w:autoSpaceDE w:val="0"/>
        <w:autoSpaceDN w:val="0"/>
        <w:adjustRightInd w:val="0"/>
        <w:spacing w:after="0"/>
        <w:rPr>
          <w:rFonts w:ascii="Times New Roman" w:hAnsi="Times New Roman"/>
          <w:sz w:val="24"/>
          <w:szCs w:val="24"/>
        </w:rPr>
      </w:pPr>
      <w:r>
        <w:rPr>
          <w:rFonts w:ascii="Times New Roman" w:hAnsi="Times New Roman"/>
          <w:sz w:val="24"/>
          <w:szCs w:val="24"/>
        </w:rPr>
        <w:t>Reviewing a</w:t>
      </w:r>
      <w:r w:rsidRPr="006B41F3">
        <w:rPr>
          <w:rFonts w:ascii="Times New Roman" w:hAnsi="Times New Roman"/>
          <w:sz w:val="24"/>
          <w:szCs w:val="24"/>
        </w:rPr>
        <w:t xml:space="preserve">ggregation </w:t>
      </w:r>
      <w:r w:rsidRPr="006B41F3">
        <w:rPr>
          <w:rFonts w:ascii="Times New Roman" w:hAnsi="Times New Roman"/>
          <w:sz w:val="24"/>
          <w:szCs w:val="24"/>
        </w:rPr>
        <w:t>requirements.</w:t>
      </w:r>
    </w:p>
    <w:p w:rsidR="00067933" w:rsidRPr="00657DF4" w:rsidP="00167C54" w14:paraId="6967C9C9" w14:textId="0CA8FCEE">
      <w:pPr>
        <w:pStyle w:val="ListParagraph"/>
        <w:numPr>
          <w:ilvl w:val="0"/>
          <w:numId w:val="7"/>
        </w:numPr>
        <w:autoSpaceDE w:val="0"/>
        <w:autoSpaceDN w:val="0"/>
        <w:adjustRightInd w:val="0"/>
        <w:spacing w:after="0"/>
        <w:rPr>
          <w:rFonts w:ascii="Times New Roman" w:hAnsi="Times New Roman"/>
          <w:sz w:val="24"/>
          <w:szCs w:val="24"/>
        </w:rPr>
      </w:pPr>
      <w:r>
        <w:rPr>
          <w:rFonts w:ascii="Times New Roman" w:hAnsi="Times New Roman"/>
          <w:sz w:val="24"/>
          <w:szCs w:val="24"/>
        </w:rPr>
        <w:t>Providing</w:t>
      </w:r>
      <w:r w:rsidRPr="00657DF4" w:rsidR="00167C54">
        <w:rPr>
          <w:rFonts w:ascii="Times New Roman" w:hAnsi="Times New Roman"/>
          <w:sz w:val="24"/>
          <w:szCs w:val="24"/>
        </w:rPr>
        <w:t xml:space="preserve"> “waivers,” or exemptions from CTR filing requirements. </w:t>
      </w:r>
    </w:p>
    <w:p w:rsidR="006F3813" w:rsidP="006F3813" w14:paraId="332C0B39" w14:textId="77777777"/>
    <w:p w:rsidR="006F3813" w:rsidRPr="00850952" w:rsidP="00850952" w14:paraId="26C86B8A" w14:textId="138D0842">
      <w:pPr>
        <w:ind w:firstLine="720"/>
        <w:rPr>
          <w:rFonts w:eastAsia="Calibri"/>
        </w:rPr>
      </w:pPr>
      <w:r w:rsidRPr="00893753">
        <w:t xml:space="preserve">These suggestions for modifications to the applicable regulations will be </w:t>
      </w:r>
      <w:r>
        <w:t>considered</w:t>
      </w:r>
      <w:r w:rsidRPr="00893753">
        <w:t xml:space="preserve"> in FinCEN’s </w:t>
      </w:r>
      <w:r w:rsidR="003767B5">
        <w:t xml:space="preserve">ongoing </w:t>
      </w:r>
      <w:r w:rsidRPr="00893753">
        <w:t xml:space="preserve">review of </w:t>
      </w:r>
      <w:r w:rsidR="003767B5">
        <w:t>CTR and SAR forms, processes, and thresholds</w:t>
      </w:r>
      <w:r>
        <w:t xml:space="preserve">, as required by </w:t>
      </w:r>
      <w:r w:rsidR="003767B5">
        <w:t>s</w:t>
      </w:r>
      <w:r>
        <w:t>ection</w:t>
      </w:r>
      <w:r w:rsidR="003767B5">
        <w:t>s</w:t>
      </w:r>
      <w:r>
        <w:t xml:space="preserve"> 62</w:t>
      </w:r>
      <w:r w:rsidR="003767B5">
        <w:t>04 and 6205</w:t>
      </w:r>
      <w:r>
        <w:t xml:space="preserve"> of </w:t>
      </w:r>
      <w:r w:rsidRPr="00925C64">
        <w:t>the AML Act.</w:t>
      </w:r>
      <w:r w:rsidRPr="006F3813">
        <w:rPr>
          <w:vertAlign w:val="superscript"/>
        </w:rPr>
        <w:t xml:space="preserve">   </w:t>
      </w:r>
      <w:r w:rsidRPr="001D4A63">
        <w:t>FinCEN appreciates the</w:t>
      </w:r>
      <w:r w:rsidR="00910A5D">
        <w:t>se</w:t>
      </w:r>
      <w:r w:rsidRPr="001D4A63">
        <w:t xml:space="preserve"> recommendations</w:t>
      </w:r>
      <w:r>
        <w:t xml:space="preserve"> and will continue to evaluate ways to clarify CTR reporting requirements and minimize burden to the public.  </w:t>
      </w:r>
      <w:r w:rsidRPr="004873B6">
        <w:t>I</w:t>
      </w:r>
      <w:r w:rsidRPr="006F3813">
        <w:rPr>
          <w:rStyle w:val="CommentReference"/>
          <w:sz w:val="24"/>
          <w:szCs w:val="24"/>
        </w:rPr>
        <w:t>n connection with a variety of initiatives FinCEN is undertaking to implement the AML Act, F</w:t>
      </w:r>
      <w:r w:rsidRPr="004873B6">
        <w:t xml:space="preserve">inCEN intends to conduct, in the future, additional assessments of the PRA burden associated with BSA requirements, including </w:t>
      </w:r>
      <w:r>
        <w:t>CTR</w:t>
      </w:r>
      <w:r w:rsidRPr="004873B6">
        <w:t xml:space="preserve"> requirements.</w:t>
      </w:r>
    </w:p>
    <w:p w:rsidR="00CE388A" w:rsidRPr="00105151" w:rsidP="00E07F6F" w14:paraId="16B24B75" w14:textId="77777777"/>
    <w:p w:rsidR="003E5EE2" w:rsidRPr="00105151" w:rsidP="0096041E" w14:paraId="51058FCF" w14:textId="75AF9A8F">
      <w:r w:rsidRPr="00105151">
        <w:t>9</w:t>
      </w:r>
      <w:r w:rsidRPr="00105151">
        <w:t xml:space="preserve">. </w:t>
      </w:r>
      <w:r w:rsidR="006F3813">
        <w:rPr>
          <w:u w:val="single"/>
        </w:rPr>
        <w:t>Explanation of decision to provide any payment or gift to respondents</w:t>
      </w:r>
      <w:r w:rsidRPr="00105151" w:rsidR="00FB000D">
        <w:rPr>
          <w:u w:val="single"/>
        </w:rPr>
        <w:t>.</w:t>
      </w:r>
      <w:r w:rsidRPr="00105151">
        <w:t xml:space="preserve"> </w:t>
      </w:r>
    </w:p>
    <w:p w:rsidR="00CE388A" w:rsidRPr="00105151" w:rsidP="0096041E" w14:paraId="5D6ADCE7" w14:textId="77777777"/>
    <w:p w:rsidR="003E5EE2" w:rsidRPr="00105151" w:rsidP="00955104" w14:paraId="67A9688D" w14:textId="77777777">
      <w:pPr>
        <w:ind w:firstLine="720"/>
      </w:pPr>
      <w:r w:rsidRPr="00105151">
        <w:t xml:space="preserve">No payments or gifts were made to respondents. </w:t>
      </w:r>
    </w:p>
    <w:p w:rsidR="00CE388A" w:rsidRPr="00105151" w:rsidP="0096041E" w14:paraId="691CD2DF" w14:textId="77777777"/>
    <w:p w:rsidR="003E5EE2" w:rsidRPr="00105151" w:rsidP="0096041E" w14:paraId="11D29333" w14:textId="49CD8992">
      <w:pPr>
        <w:pStyle w:val="BodyText"/>
        <w:spacing w:before="0"/>
        <w:rPr>
          <w:sz w:val="24"/>
          <w:szCs w:val="24"/>
        </w:rPr>
      </w:pPr>
      <w:r w:rsidRPr="00105151">
        <w:rPr>
          <w:sz w:val="24"/>
          <w:szCs w:val="24"/>
        </w:rPr>
        <w:t xml:space="preserve">10. </w:t>
      </w:r>
      <w:r w:rsidRPr="00105151">
        <w:rPr>
          <w:sz w:val="24"/>
          <w:szCs w:val="24"/>
          <w:u w:val="single"/>
        </w:rPr>
        <w:t xml:space="preserve">Assurance of </w:t>
      </w:r>
      <w:r w:rsidR="006F3813">
        <w:rPr>
          <w:sz w:val="24"/>
          <w:szCs w:val="24"/>
          <w:u w:val="single"/>
        </w:rPr>
        <w:t>c</w:t>
      </w:r>
      <w:r w:rsidRPr="00105151">
        <w:rPr>
          <w:sz w:val="24"/>
          <w:szCs w:val="24"/>
          <w:u w:val="single"/>
        </w:rPr>
        <w:t xml:space="preserve">onfidentiality of </w:t>
      </w:r>
      <w:r w:rsidR="006F3813">
        <w:rPr>
          <w:sz w:val="24"/>
          <w:szCs w:val="24"/>
          <w:u w:val="single"/>
        </w:rPr>
        <w:t>r</w:t>
      </w:r>
      <w:r w:rsidRPr="00105151">
        <w:rPr>
          <w:sz w:val="24"/>
          <w:szCs w:val="24"/>
          <w:u w:val="single"/>
        </w:rPr>
        <w:t>esponses.</w:t>
      </w:r>
      <w:r w:rsidRPr="00105151">
        <w:rPr>
          <w:sz w:val="24"/>
          <w:szCs w:val="24"/>
        </w:rPr>
        <w:t xml:space="preserve"> </w:t>
      </w:r>
    </w:p>
    <w:p w:rsidR="00CE388A" w:rsidRPr="00105151" w:rsidP="0096041E" w14:paraId="5665CB5D" w14:textId="77777777"/>
    <w:p w:rsidR="004D6B4C" w:rsidRPr="006F3813" w:rsidP="00850952" w14:paraId="5EE4F819" w14:textId="7DB0C2FE">
      <w:pPr>
        <w:tabs>
          <w:tab w:val="left" w:pos="0"/>
        </w:tabs>
        <w:ind w:firstLine="720"/>
        <w:rPr>
          <w:vertAlign w:val="superscript"/>
        </w:rPr>
      </w:pPr>
      <w:r w:rsidRPr="006A0111">
        <w:t>Information collected on t</w:t>
      </w:r>
      <w:r>
        <w:t>he CTR</w:t>
      </w:r>
      <w:r w:rsidRPr="006A0111">
        <w:t xml:space="preserve"> is made available to appropriate agencies and organizations as disclosed in FinCEN's Privacy Act System of Records Notice (SORN) relating to BSA reports.</w:t>
      </w:r>
      <w:r>
        <w:rPr>
          <w:rStyle w:val="FootnoteReference"/>
        </w:rPr>
        <w:footnoteReference w:id="13"/>
      </w:r>
    </w:p>
    <w:p w:rsidR="00CE388A" w:rsidRPr="00EF1E39" w:rsidP="00850952" w14:paraId="1D657014" w14:textId="77777777">
      <w:pPr>
        <w:ind w:firstLine="720"/>
      </w:pPr>
    </w:p>
    <w:p w:rsidR="003E5EE2" w:rsidRPr="003B6371" w:rsidP="0096041E" w14:paraId="57897566" w14:textId="7D1CC6ED">
      <w:r w:rsidRPr="003B6371">
        <w:t xml:space="preserve">11. </w:t>
      </w:r>
      <w:r w:rsidRPr="003B6371">
        <w:rPr>
          <w:u w:val="single"/>
        </w:rPr>
        <w:t xml:space="preserve">Justification of </w:t>
      </w:r>
      <w:r w:rsidR="006F3813">
        <w:rPr>
          <w:u w:val="single"/>
        </w:rPr>
        <w:t>s</w:t>
      </w:r>
      <w:r w:rsidRPr="003B6371">
        <w:rPr>
          <w:u w:val="single"/>
        </w:rPr>
        <w:t xml:space="preserve">ensitive </w:t>
      </w:r>
      <w:r w:rsidR="006F3813">
        <w:rPr>
          <w:u w:val="single"/>
        </w:rPr>
        <w:t>q</w:t>
      </w:r>
      <w:r w:rsidRPr="003B6371">
        <w:rPr>
          <w:u w:val="single"/>
        </w:rPr>
        <w:t>uestions.</w:t>
      </w:r>
      <w:r w:rsidRPr="003B6371">
        <w:t xml:space="preserve"> </w:t>
      </w:r>
    </w:p>
    <w:p w:rsidR="00E404B3" w:rsidRPr="003B6371" w:rsidP="0096041E" w14:paraId="4F69A47E" w14:textId="77777777">
      <w:pPr>
        <w:jc w:val="center"/>
      </w:pPr>
    </w:p>
    <w:p w:rsidR="003E5EE2" w:rsidRPr="006F3813" w:rsidP="006F3813" w14:paraId="22D858D5" w14:textId="16C4A0BB">
      <w:pPr>
        <w:ind w:firstLine="720"/>
        <w:rPr>
          <w:szCs w:val="22"/>
        </w:rPr>
      </w:pPr>
      <w:r>
        <w:t>The information requested concerns</w:t>
      </w:r>
      <w:r w:rsidRPr="00DF2016" w:rsidR="006F3813">
        <w:t xml:space="preserve"> </w:t>
      </w:r>
      <w:r w:rsidRPr="00223235">
        <w:t>report</w:t>
      </w:r>
      <w:r>
        <w:t>s</w:t>
      </w:r>
      <w:r w:rsidRPr="00223235">
        <w:t xml:space="preserve"> </w:t>
      </w:r>
      <w:r w:rsidR="00CB1340">
        <w:t xml:space="preserve">of </w:t>
      </w:r>
      <w:r w:rsidRPr="00223235">
        <w:t>currency transactions over $10,000 conducted by, or on behalf of, one person, as well as multiple currency transactions that aggregate to over $10,000 in a single day.</w:t>
      </w:r>
      <w:r w:rsidR="0045275C">
        <w:t xml:space="preserve">  </w:t>
      </w:r>
      <w:r>
        <w:t xml:space="preserve">Personally identifiable information, such as name, address, date of birth, and taxpayer identification number, are necessary to identify a party to a transaction covered by the </w:t>
      </w:r>
      <w:r w:rsidR="0045275C">
        <w:t xml:space="preserve">CTR requirements. </w:t>
      </w:r>
      <w:r w:rsidRPr="00DF2016">
        <w:t xml:space="preserve"> </w:t>
      </w:r>
      <w:r w:rsidRPr="00DF2016" w:rsidR="006F3813">
        <w:t>Any personally identifiable information collected under the BSA is strictly controlled as outlined in FinCEN’s S</w:t>
      </w:r>
      <w:r w:rsidR="006F3813">
        <w:rPr>
          <w:szCs w:val="22"/>
        </w:rPr>
        <w:t>ORN.</w:t>
      </w:r>
      <w:r w:rsidRPr="008341FC" w:rsidR="006F3813">
        <w:rPr>
          <w:vertAlign w:val="superscript"/>
        </w:rPr>
        <w:t xml:space="preserve"> </w:t>
      </w:r>
      <w:r>
        <w:rPr>
          <w:rStyle w:val="FootnoteReference"/>
        </w:rPr>
        <w:footnoteReference w:id="14"/>
      </w:r>
    </w:p>
    <w:p w:rsidR="00CE388A" w:rsidRPr="00EF1E39" w:rsidP="0096041E" w14:paraId="60D49BCC" w14:textId="77777777"/>
    <w:p w:rsidR="003E5EE2" w:rsidRPr="003B6371" w:rsidP="0096041E" w14:paraId="5769D8B2" w14:textId="4FFD56CC">
      <w:r w:rsidRPr="003B6371">
        <w:t xml:space="preserve">12. </w:t>
      </w:r>
      <w:r w:rsidRPr="003B6371">
        <w:rPr>
          <w:u w:val="single"/>
        </w:rPr>
        <w:t xml:space="preserve">Estimated </w:t>
      </w:r>
      <w:r w:rsidR="006F3813">
        <w:rPr>
          <w:u w:val="single"/>
        </w:rPr>
        <w:t>a</w:t>
      </w:r>
      <w:r w:rsidRPr="003B6371">
        <w:rPr>
          <w:u w:val="single"/>
        </w:rPr>
        <w:t xml:space="preserve">nnual </w:t>
      </w:r>
      <w:r w:rsidR="006F3813">
        <w:rPr>
          <w:u w:val="single"/>
        </w:rPr>
        <w:t>h</w:t>
      </w:r>
      <w:r w:rsidRPr="003B6371">
        <w:rPr>
          <w:u w:val="single"/>
        </w:rPr>
        <w:t xml:space="preserve">ourly </w:t>
      </w:r>
      <w:r w:rsidR="006F3813">
        <w:rPr>
          <w:u w:val="single"/>
        </w:rPr>
        <w:t>b</w:t>
      </w:r>
      <w:r w:rsidRPr="003B6371">
        <w:rPr>
          <w:u w:val="single"/>
        </w:rPr>
        <w:t>urden.</w:t>
      </w:r>
      <w:r w:rsidRPr="003B6371">
        <w:t xml:space="preserve"> </w:t>
      </w:r>
    </w:p>
    <w:p w:rsidR="006E24A6" w:rsidRPr="003B6371" w:rsidP="0096041E" w14:paraId="12AAFA9C" w14:textId="77777777">
      <w:pPr>
        <w:rPr>
          <w:u w:val="single"/>
        </w:rPr>
      </w:pPr>
    </w:p>
    <w:p w:rsidR="00730BBB" w:rsidRPr="00A37B2C" w:rsidP="0096041E" w14:paraId="445CF343" w14:textId="481344CD">
      <w:r w:rsidRPr="003B6371">
        <w:rPr>
          <w:u w:val="single"/>
        </w:rPr>
        <w:t>Frequency</w:t>
      </w:r>
      <w:r w:rsidRPr="00850952">
        <w:t>:</w:t>
      </w:r>
      <w:r w:rsidRPr="006F3813">
        <w:t xml:space="preserve"> </w:t>
      </w:r>
      <w:r w:rsidR="006F3813">
        <w:t xml:space="preserve"> </w:t>
      </w:r>
      <w:r w:rsidRPr="00A37B2C">
        <w:t xml:space="preserve">As required. </w:t>
      </w:r>
    </w:p>
    <w:p w:rsidR="00381DD0" w:rsidRPr="00105151" w:rsidP="0096041E" w14:paraId="3CED1AD8" w14:textId="77777777"/>
    <w:p w:rsidR="00381DD0" w:rsidRPr="00105151" w:rsidP="00381DD0" w14:paraId="6F2BB193" w14:textId="77777777">
      <w:pPr>
        <w:pStyle w:val="FootnoteText"/>
        <w:rPr>
          <w:sz w:val="24"/>
          <w:szCs w:val="24"/>
          <w:u w:val="single"/>
        </w:rPr>
      </w:pPr>
      <w:r w:rsidRPr="00105151">
        <w:rPr>
          <w:sz w:val="24"/>
          <w:szCs w:val="24"/>
          <w:u w:val="single"/>
        </w:rPr>
        <w:t xml:space="preserve">Estimated Burden of OMB Control Numbers </w:t>
      </w:r>
      <w:r w:rsidRPr="00105151">
        <w:rPr>
          <w:rFonts w:eastAsia="Calibri"/>
          <w:sz w:val="24"/>
          <w:szCs w:val="24"/>
          <w:u w:val="single"/>
        </w:rPr>
        <w:t>1506-0004 and 1506-0005</w:t>
      </w:r>
      <w:r w:rsidRPr="00105151">
        <w:rPr>
          <w:sz w:val="24"/>
          <w:szCs w:val="24"/>
          <w:u w:val="single"/>
        </w:rPr>
        <w:t xml:space="preserve">: </w:t>
      </w:r>
    </w:p>
    <w:p w:rsidR="00381DD0" w:rsidRPr="00105151" w:rsidP="0096041E" w14:paraId="7A483DD3" w14:textId="77777777"/>
    <w:p w:rsidR="0012361A" w:rsidP="0096041E" w14:paraId="4078B75F" w14:textId="458ACAA5">
      <w:pPr>
        <w:tabs>
          <w:tab w:val="left" w:pos="0"/>
        </w:tabs>
        <w:suppressAutoHyphens/>
      </w:pPr>
      <w:r w:rsidRPr="00105151">
        <w:tab/>
      </w:r>
      <w:r w:rsidRPr="00105151" w:rsidR="0095295A">
        <w:t xml:space="preserve">An administrative burden of one hour is assigned to each of the CTR regulation OMB control numbers </w:t>
      </w:r>
      <w:r w:rsidR="005C5F7A">
        <w:t xml:space="preserve">1506-0004 and 1506-0005 </w:t>
      </w:r>
      <w:r w:rsidRPr="00105151" w:rsidR="0095295A">
        <w:t>to maintain the requirements in force.</w:t>
      </w:r>
      <w:r>
        <w:rPr>
          <w:rStyle w:val="FootnoteReference"/>
          <w:rFonts w:eastAsia="Courier New"/>
        </w:rPr>
        <w:footnoteReference w:id="15"/>
      </w:r>
      <w:r w:rsidRPr="00223235" w:rsidR="0095295A">
        <w:t xml:space="preserve"> </w:t>
      </w:r>
      <w:r w:rsidR="00C91F59">
        <w:t xml:space="preserve"> </w:t>
      </w:r>
      <w:r w:rsidRPr="00223235" w:rsidR="0095295A">
        <w:t xml:space="preserve">The reporting and recordkeeping burden is reflected in FinCEN </w:t>
      </w:r>
      <w:r w:rsidR="00205174">
        <w:t>Form</w:t>
      </w:r>
      <w:r w:rsidRPr="00223235" w:rsidR="0095295A">
        <w:t xml:space="preserve"> 112 - CTR, under OMB control number 1506-0064. </w:t>
      </w:r>
      <w:r w:rsidR="00C91F59">
        <w:t xml:space="preserve"> </w:t>
      </w:r>
      <w:r w:rsidRPr="00223235" w:rsidR="0095295A">
        <w:t xml:space="preserve">The rationale for assigning </w:t>
      </w:r>
      <w:r w:rsidR="006B4F53">
        <w:t xml:space="preserve">the nominal amount of </w:t>
      </w:r>
      <w:r w:rsidRPr="00223235" w:rsidR="0095295A">
        <w:t xml:space="preserve">one burden hour to each of the CTR regulation OMB control numbers is that the annual </w:t>
      </w:r>
      <w:r w:rsidRPr="00223235" w:rsidR="0095295A">
        <w:t xml:space="preserve">burden hours would be double counted if FinCEN </w:t>
      </w:r>
      <w:r w:rsidRPr="00EF1E39" w:rsidR="0095295A">
        <w:t>estimated burden in each CTR regulation OMB control number and</w:t>
      </w:r>
      <w:r w:rsidR="00B47CBC">
        <w:t>,</w:t>
      </w:r>
      <w:r w:rsidRPr="00EF1E39" w:rsidR="0095295A">
        <w:t xml:space="preserve"> </w:t>
      </w:r>
      <w:r w:rsidR="006B4F53">
        <w:t>also</w:t>
      </w:r>
      <w:r w:rsidR="00B47CBC">
        <w:t>,</w:t>
      </w:r>
      <w:r w:rsidR="006B4F53">
        <w:t xml:space="preserve"> </w:t>
      </w:r>
      <w:r w:rsidRPr="00EF1E39" w:rsidR="0095295A">
        <w:t xml:space="preserve">in the FinCEN Report 112 - CTR OMB control number.  </w:t>
      </w:r>
    </w:p>
    <w:p w:rsidR="00C1268D" w:rsidP="0096041E" w14:paraId="55E6F39C" w14:textId="77777777">
      <w:pPr>
        <w:tabs>
          <w:tab w:val="left" w:pos="0"/>
        </w:tabs>
        <w:suppressAutoHyphens/>
      </w:pPr>
    </w:p>
    <w:p w:rsidR="00C1268D" w:rsidRPr="00EF1E39" w:rsidP="0096041E" w14:paraId="2B2DEB60" w14:textId="0F64A34C">
      <w:pPr>
        <w:tabs>
          <w:tab w:val="left" w:pos="0"/>
        </w:tabs>
        <w:suppressAutoHyphens/>
      </w:pPr>
      <w:r w:rsidRPr="004D263B">
        <w:rPr>
          <w:u w:val="single"/>
        </w:rPr>
        <w:t>Estimated Burden of OMB Control Number 1506-0064</w:t>
      </w:r>
      <w:r>
        <w:t>:</w:t>
      </w:r>
    </w:p>
    <w:p w:rsidR="006E24A6" w:rsidRPr="003B6371" w:rsidP="0096041E" w14:paraId="721F8AC1" w14:textId="77777777">
      <w:pPr>
        <w:tabs>
          <w:tab w:val="left" w:pos="0"/>
        </w:tabs>
        <w:suppressAutoHyphens/>
      </w:pPr>
    </w:p>
    <w:p w:rsidR="00B76F81" w:rsidRPr="00223235" w:rsidP="00B76F81" w14:paraId="3F1B06C0" w14:textId="4A80EDB1">
      <w:pPr>
        <w:rPr>
          <w:rFonts w:eastAsia="Calibri"/>
        </w:rPr>
      </w:pPr>
      <w:r w:rsidRPr="003B6371">
        <w:rPr>
          <w:rFonts w:eastAsia="Calibri"/>
          <w:u w:val="single"/>
        </w:rPr>
        <w:t>Estimated Number of Respondents</w:t>
      </w:r>
      <w:r w:rsidRPr="003B6371">
        <w:rPr>
          <w:rFonts w:eastAsia="Calibri"/>
        </w:rPr>
        <w:t xml:space="preserve">: </w:t>
      </w:r>
      <w:r w:rsidR="007E50A3">
        <w:rPr>
          <w:rFonts w:eastAsia="Calibri"/>
        </w:rPr>
        <w:t>15,468</w:t>
      </w:r>
      <w:r w:rsidRPr="003B6371">
        <w:rPr>
          <w:rFonts w:eastAsia="Calibri"/>
        </w:rPr>
        <w:t xml:space="preserve"> financial institutions.</w:t>
      </w:r>
      <w:r>
        <w:rPr>
          <w:rStyle w:val="FootnoteReference"/>
          <w:rFonts w:eastAsia="Calibri"/>
        </w:rPr>
        <w:footnoteReference w:id="16"/>
      </w:r>
    </w:p>
    <w:p w:rsidR="0012361A" w:rsidRPr="00EF1E39" w:rsidP="00B76F81" w14:paraId="0ADEB850" w14:textId="77777777">
      <w:pPr>
        <w:rPr>
          <w:rFonts w:eastAsia="Calibri"/>
        </w:rPr>
      </w:pPr>
    </w:p>
    <w:p w:rsidR="00C91F59" w:rsidRPr="00223235" w:rsidP="007D2475" w14:paraId="522DB742" w14:textId="3149AEBE">
      <w:pPr>
        <w:rPr>
          <w:rFonts w:eastAsia="Calibri"/>
        </w:rPr>
      </w:pPr>
      <w:r w:rsidRPr="003B6371">
        <w:rPr>
          <w:rFonts w:eastAsia="Calibri"/>
          <w:u w:val="single"/>
        </w:rPr>
        <w:t>Estimated Total Annual Responses</w:t>
      </w:r>
      <w:r w:rsidRPr="003B6371">
        <w:rPr>
          <w:rFonts w:eastAsia="Calibri"/>
        </w:rPr>
        <w:t xml:space="preserve">: </w:t>
      </w:r>
      <w:r w:rsidR="009035B4">
        <w:rPr>
          <w:rFonts w:eastAsia="Calibri"/>
        </w:rPr>
        <w:t>20,564,724</w:t>
      </w:r>
      <w:r>
        <w:rPr>
          <w:rFonts w:eastAsia="Calibri"/>
        </w:rPr>
        <w:t xml:space="preserve"> CTRs</w:t>
      </w:r>
      <w:r w:rsidR="000D5E59">
        <w:rPr>
          <w:rFonts w:eastAsia="Calibri"/>
        </w:rPr>
        <w:t>.</w:t>
      </w:r>
      <w:r>
        <w:rPr>
          <w:rFonts w:eastAsia="Calibri"/>
          <w:vertAlign w:val="superscript"/>
        </w:rPr>
        <w:footnoteReference w:id="17"/>
      </w:r>
    </w:p>
    <w:p w:rsidR="00381DD0" w:rsidRPr="00EF1E39" w:rsidP="00850952" w14:paraId="5D17FA7C" w14:textId="77777777">
      <w:pPr>
        <w:rPr>
          <w:lang w:val="en-GB"/>
        </w:rPr>
      </w:pPr>
    </w:p>
    <w:p w:rsidR="000D5E59" w:rsidP="00850952" w14:paraId="5AF38D6A" w14:textId="4CC7CC2A">
      <w:pPr>
        <w:spacing w:line="480" w:lineRule="auto"/>
      </w:pPr>
      <w:r w:rsidRPr="00223235">
        <w:rPr>
          <w:u w:val="single"/>
        </w:rPr>
        <w:t>Estimated Reporting and Recordkeeping Burden Per Response</w:t>
      </w:r>
      <w:r w:rsidRPr="00223235">
        <w:t xml:space="preserve">: </w:t>
      </w:r>
      <w:r>
        <w:t xml:space="preserve"> </w:t>
      </w:r>
    </w:p>
    <w:p w:rsidR="000D5E59" w:rsidRPr="00D7744D" w:rsidP="000D5E59" w14:paraId="727B63BD" w14:textId="60A3B091">
      <w:pPr>
        <w:ind w:firstLine="720"/>
        <w:rPr>
          <w:rFonts w:eastAsia="Calibri"/>
        </w:rPr>
      </w:pPr>
      <w:r w:rsidRPr="00D7744D">
        <w:t>The average estimated PRA burden, measured in minutes per CTR, is approximately eight minutes.</w:t>
      </w:r>
      <w:r>
        <w:rPr>
          <w:rStyle w:val="FootnoteReference"/>
        </w:rPr>
        <w:footnoteReference w:id="18"/>
      </w:r>
      <w:r w:rsidRPr="00D7744D">
        <w:t xml:space="preserve">  On May 14, 2020, FinCEN issued a 60-day notice to renew the CTR OMB control numbers (“2020 Notice”).  In the 2020 Notice, FinCEN proposed to expand the scope of factors to consider as part of the PRA burden of complying with CTR requirements.  To better estimate the burden associated with complying with CTR requirements, FinCEN conducted an in-depth analysis of the population of 2019 CTR filing statistics, as described in the 2020 Notice.  FinCEN analyzed the 2019 CTR filings grouped by a number of different factors, including the following: (i) how many CTRs the filer filed in a year; (ii) the filer’s financial institution type; (iii) the type of CTR submission (batch filing versus discrete filing); and (iv) the type of person(s) identified in the CTR (e.g., a person that conducts a transaction on its own behalf or a person that conducts a transaction on behalf of another).  </w:t>
      </w:r>
      <w:r w:rsidRPr="00D7744D">
        <w:rPr>
          <w:rFonts w:eastAsia="Calibri"/>
        </w:rPr>
        <w:t xml:space="preserve">The analysis and calculations detailed in the 2020 Notice ultimately resulted in an estimate of approximately eight minutes of filer burden per CTR filed.  </w:t>
      </w:r>
    </w:p>
    <w:p w:rsidR="000D5E59" w:rsidRPr="00D7744D" w:rsidP="000D5E59" w14:paraId="1A4BC36A" w14:textId="77777777">
      <w:pPr>
        <w:rPr>
          <w:rFonts w:eastAsia="Calibri"/>
        </w:rPr>
      </w:pPr>
    </w:p>
    <w:p w:rsidR="00C91F59" w:rsidRPr="000D5E59" w:rsidP="000D5E59" w14:paraId="4AC1DD0D" w14:textId="4275FAC4">
      <w:pPr>
        <w:ind w:firstLine="720"/>
      </w:pPr>
      <w:r w:rsidRPr="00D7744D">
        <w:rPr>
          <w:rFonts w:eastAsia="Calibri"/>
        </w:rPr>
        <w:t>FinCEN received 18 public comments in response to the 2020 Notice.  Commenters were generally supportive of FinCEN’s efforts to more accurately estimate the PRA burden associated with the CTR filing requirements.  Some commenter</w:t>
      </w:r>
      <w:r w:rsidRPr="00D7744D" w:rsidR="006B4F53">
        <w:rPr>
          <w:rFonts w:eastAsia="Calibri"/>
        </w:rPr>
        <w:t>s</w:t>
      </w:r>
      <w:r w:rsidRPr="00D7744D">
        <w:rPr>
          <w:rFonts w:eastAsia="Calibri"/>
        </w:rPr>
        <w:t xml:space="preserve"> had specific recommendations regarding factors for FinCEN to consider in future in-depth analysis of the CTR filing population.  However, none of those commenters provided specific sources of data to contradict the burden estimate of eight minutes of burden per CTR filed.  In the absence of public comments to suggest otherwise, FinCEN considers it reasonable to continue to use the estimate of eight minutes per CTR filed for the population of 2022 CTR filing statistics as outlined in </w:t>
      </w:r>
      <w:r w:rsidRPr="00D7744D">
        <w:rPr>
          <w:rFonts w:eastAsia="Calibri"/>
        </w:rPr>
        <w:t>the</w:t>
      </w:r>
      <w:r w:rsidRPr="00D7744D">
        <w:rPr>
          <w:rFonts w:eastAsia="Calibri"/>
        </w:rPr>
        <w:t xml:space="preserve"> notice.  Furthermore, </w:t>
      </w:r>
      <w:r w:rsidRPr="00D7744D">
        <w:rPr>
          <w:rStyle w:val="CommentReference"/>
          <w:sz w:val="24"/>
          <w:szCs w:val="24"/>
        </w:rPr>
        <w:t xml:space="preserve">in connection with a variety of initiatives FinCEN is undertaking to implement the AML </w:t>
      </w:r>
      <w:r w:rsidRPr="00D7744D">
        <w:rPr>
          <w:rStyle w:val="CommentReference"/>
          <w:sz w:val="24"/>
          <w:szCs w:val="24"/>
        </w:rPr>
        <w:t>Act, F</w:t>
      </w:r>
      <w:r w:rsidRPr="00D7744D">
        <w:t>inCEN intends to conduct, in the future, additional assessments of the PRA burden associated with BSA requirements, including CTR requirements.</w:t>
      </w:r>
    </w:p>
    <w:p w:rsidR="00A30DD4" w:rsidRPr="00223235" w:rsidP="00850952" w14:paraId="5B108012" w14:textId="0CDA9B0C">
      <w:pPr>
        <w:ind w:firstLine="720"/>
        <w:rPr>
          <w:u w:val="single"/>
        </w:rPr>
      </w:pPr>
    </w:p>
    <w:p w:rsidR="0012361A" w:rsidRPr="00223235" w:rsidP="00A30DD4" w14:paraId="2ECDAFF6" w14:textId="2AC91062">
      <w:pPr>
        <w:spacing w:line="480" w:lineRule="auto"/>
        <w:rPr>
          <w:rFonts w:eastAsia="Calibri"/>
          <w:u w:val="single"/>
        </w:rPr>
      </w:pPr>
      <w:r w:rsidRPr="00EF1E39">
        <w:rPr>
          <w:rFonts w:eastAsia="Calibri"/>
          <w:u w:val="single"/>
        </w:rPr>
        <w:t>Estimated Total Annual Reporting and Recordkeeping Burden</w:t>
      </w:r>
      <w:r w:rsidRPr="00EF1E39">
        <w:rPr>
          <w:rFonts w:eastAsia="Calibri"/>
        </w:rPr>
        <w:t xml:space="preserve">: </w:t>
      </w:r>
      <w:r w:rsidR="000D5E59">
        <w:rPr>
          <w:color w:val="000000"/>
        </w:rPr>
        <w:t xml:space="preserve"> 2,741,963 hours.</w:t>
      </w:r>
      <w:r>
        <w:rPr>
          <w:rStyle w:val="FootnoteReference"/>
          <w:color w:val="000000"/>
        </w:rPr>
        <w:footnoteReference w:id="19"/>
      </w:r>
    </w:p>
    <w:p w:rsidR="001154CC" w:rsidRPr="00EF1E39" w:rsidP="00A537F3" w14:paraId="23E44F4E" w14:textId="7C7D6791">
      <w:pPr>
        <w:spacing w:line="480" w:lineRule="auto"/>
        <w:rPr>
          <w:u w:val="single"/>
        </w:rPr>
      </w:pPr>
      <w:r w:rsidRPr="00EF1E39">
        <w:t xml:space="preserve">13. </w:t>
      </w:r>
      <w:r w:rsidRPr="00EF1E39">
        <w:rPr>
          <w:u w:val="single"/>
        </w:rPr>
        <w:t>Estimated</w:t>
      </w:r>
      <w:r w:rsidR="0030388A">
        <w:rPr>
          <w:u w:val="single"/>
        </w:rPr>
        <w:t xml:space="preserve"> total annual cost burden of the information collection</w:t>
      </w:r>
      <w:r w:rsidRPr="00EF1E39">
        <w:rPr>
          <w:u w:val="single"/>
        </w:rPr>
        <w:t>.</w:t>
      </w:r>
    </w:p>
    <w:p w:rsidR="00B97419" w:rsidP="00B97419" w14:paraId="159BFB78" w14:textId="1138D9A3">
      <w:pPr>
        <w:pStyle w:val="Default"/>
        <w:rPr>
          <w:rFonts w:ascii="Times New Roman" w:hAnsi="Times New Roman" w:cs="Times New Roman"/>
        </w:rPr>
      </w:pPr>
      <w:r w:rsidRPr="00B97419">
        <w:rPr>
          <w:rFonts w:ascii="Times New Roman" w:hAnsi="Times New Roman" w:cs="Times New Roman"/>
          <w:u w:val="single"/>
        </w:rPr>
        <w:t>Estimated Total Annual Reporting and Recordkeeping Cost</w:t>
      </w:r>
      <w:r w:rsidRPr="00850952">
        <w:rPr>
          <w:rFonts w:ascii="Times New Roman" w:hAnsi="Times New Roman" w:cs="Times New Roman"/>
        </w:rPr>
        <w:t xml:space="preserve">: </w:t>
      </w:r>
      <w:r w:rsidRPr="00850952">
        <w:rPr>
          <w:rFonts w:ascii="Times New Roman" w:hAnsi="Times New Roman" w:cs="Times New Roman"/>
        </w:rPr>
        <w:t xml:space="preserve"> </w:t>
      </w:r>
      <w:r w:rsidRPr="0030388A">
        <w:rPr>
          <w:rFonts w:ascii="Times New Roman" w:hAnsi="Times New Roman" w:cs="Times New Roman"/>
          <w:szCs w:val="18"/>
        </w:rPr>
        <w:t>$</w:t>
      </w:r>
      <w:r w:rsidRPr="00B97419">
        <w:rPr>
          <w:rFonts w:ascii="Times New Roman" w:hAnsi="Times New Roman" w:cs="Times New Roman"/>
          <w:szCs w:val="18"/>
        </w:rPr>
        <w:t xml:space="preserve">76,007,214.  This estimate applies </w:t>
      </w:r>
      <w:r w:rsidRPr="00B97419">
        <w:rPr>
          <w:rFonts w:ascii="Times New Roman" w:hAnsi="Times New Roman" w:cs="Times New Roman"/>
        </w:rPr>
        <w:t>the weighted average hourly cost of $27.72 (derived in Tables 1 and 2 below</w:t>
      </w:r>
      <w:r w:rsidRPr="00D7744D">
        <w:rPr>
          <w:rFonts w:ascii="Times New Roman" w:hAnsi="Times New Roman" w:cs="Times New Roman"/>
        </w:rPr>
        <w:t xml:space="preserve">) </w:t>
      </w:r>
      <w:r w:rsidR="00D7744D">
        <w:rPr>
          <w:rFonts w:ascii="Times New Roman" w:hAnsi="Times New Roman" w:cs="Times New Roman"/>
        </w:rPr>
        <w:t xml:space="preserve">to </w:t>
      </w:r>
      <w:r w:rsidRPr="00D7744D">
        <w:rPr>
          <w:rFonts w:ascii="Times New Roman" w:hAnsi="Times New Roman" w:cs="Times New Roman"/>
        </w:rPr>
        <w:t>the estimated total annual reporting and recordkeeping burden above</w:t>
      </w:r>
      <w:r w:rsidRPr="00D7744D">
        <w:rPr>
          <w:rFonts w:ascii="Times New Roman" w:hAnsi="Times New Roman" w:cs="Times New Roman"/>
          <w:szCs w:val="18"/>
        </w:rPr>
        <w:t xml:space="preserve"> (2,741,963 hours</w:t>
      </w:r>
      <w:r w:rsidRPr="00D7744D">
        <w:rPr>
          <w:rFonts w:ascii="Times New Roman" w:hAnsi="Times New Roman" w:cs="Times New Roman"/>
        </w:rPr>
        <w:t>).</w:t>
      </w:r>
      <w:r>
        <w:rPr>
          <w:rStyle w:val="FootnoteReference"/>
          <w:rFonts w:ascii="Times New Roman" w:hAnsi="Times New Roman" w:cs="Times New Roman"/>
        </w:rPr>
        <w:footnoteReference w:id="20"/>
      </w:r>
    </w:p>
    <w:p w:rsidR="00B97419" w:rsidP="00B97419" w14:paraId="6093807B" w14:textId="77777777">
      <w:pPr>
        <w:pStyle w:val="Default"/>
        <w:rPr>
          <w:rFonts w:ascii="Times New Roman" w:hAnsi="Times New Roman" w:cs="Times New Roman"/>
        </w:rPr>
      </w:pPr>
    </w:p>
    <w:tbl>
      <w:tblPr>
        <w:tblW w:w="9465" w:type="dxa"/>
        <w:tblInd w:w="-470" w:type="dxa"/>
        <w:tblLook w:val="04A0"/>
      </w:tblPr>
      <w:tblGrid>
        <w:gridCol w:w="1725"/>
        <w:gridCol w:w="1620"/>
        <w:gridCol w:w="1800"/>
        <w:gridCol w:w="1350"/>
        <w:gridCol w:w="1350"/>
        <w:gridCol w:w="1620"/>
      </w:tblGrid>
      <w:tr w14:paraId="5DB08F52" w14:textId="77777777" w:rsidTr="00205174">
        <w:tblPrEx>
          <w:tblW w:w="9465" w:type="dxa"/>
          <w:tblInd w:w="-470" w:type="dxa"/>
          <w:tblLook w:val="04A0"/>
        </w:tblPrEx>
        <w:trPr>
          <w:trHeight w:val="615"/>
        </w:trPr>
        <w:tc>
          <w:tcPr>
            <w:tcW w:w="9465" w:type="dxa"/>
            <w:gridSpan w:val="6"/>
            <w:tcBorders>
              <w:top w:val="single" w:sz="4" w:space="0" w:color="auto"/>
              <w:left w:val="single" w:sz="4" w:space="0" w:color="auto"/>
              <w:bottom w:val="single" w:sz="4" w:space="0" w:color="auto"/>
              <w:right w:val="single" w:sz="4" w:space="0" w:color="auto"/>
            </w:tcBorders>
            <w:shd w:val="clear" w:color="auto" w:fill="auto"/>
            <w:hideMark/>
          </w:tcPr>
          <w:p w:rsidR="00B97419" w:rsidRPr="00657DF4" w:rsidP="003F6F44" w14:paraId="3A2FFAAD" w14:textId="77777777">
            <w:pPr>
              <w:jc w:val="center"/>
              <w:rPr>
                <w:b/>
                <w:bCs/>
                <w:color w:val="000000"/>
                <w:sz w:val="20"/>
                <w:szCs w:val="20"/>
              </w:rPr>
            </w:pPr>
            <w:r w:rsidRPr="00657DF4">
              <w:rPr>
                <w:b/>
                <w:bCs/>
                <w:color w:val="000000"/>
                <w:sz w:val="20"/>
                <w:szCs w:val="20"/>
              </w:rPr>
              <w:t>Table 1 - Total Hourly (Fully-Loaded Hourly Wage) Per Role and Bureau of Labor and Statistics (BLS) Job Position</w:t>
            </w:r>
          </w:p>
        </w:tc>
      </w:tr>
      <w:tr w14:paraId="69E39474" w14:textId="77777777" w:rsidTr="00205174">
        <w:tblPrEx>
          <w:tblW w:w="9465" w:type="dxa"/>
          <w:tblInd w:w="-470" w:type="dxa"/>
          <w:tblLook w:val="04A0"/>
        </w:tblPrEx>
        <w:trPr>
          <w:trHeight w:val="1260"/>
        </w:trPr>
        <w:tc>
          <w:tcPr>
            <w:tcW w:w="1725" w:type="dxa"/>
            <w:tcBorders>
              <w:top w:val="nil"/>
              <w:left w:val="single" w:sz="4" w:space="0" w:color="auto"/>
              <w:bottom w:val="single" w:sz="4" w:space="0" w:color="auto"/>
              <w:right w:val="single" w:sz="4" w:space="0" w:color="auto"/>
            </w:tcBorders>
            <w:shd w:val="clear" w:color="auto" w:fill="E7E6E6" w:themeFill="background2"/>
            <w:hideMark/>
          </w:tcPr>
          <w:p w:rsidR="00B97419" w:rsidRPr="00657DF4" w:rsidP="003F6F44" w14:paraId="597719C6" w14:textId="77777777">
            <w:pPr>
              <w:jc w:val="center"/>
              <w:rPr>
                <w:color w:val="000000"/>
                <w:sz w:val="20"/>
                <w:szCs w:val="20"/>
              </w:rPr>
            </w:pPr>
            <w:r w:rsidRPr="00657DF4">
              <w:rPr>
                <w:color w:val="000000"/>
                <w:sz w:val="20"/>
                <w:szCs w:val="20"/>
              </w:rPr>
              <w:t>Role</w:t>
            </w:r>
          </w:p>
        </w:tc>
        <w:tc>
          <w:tcPr>
            <w:tcW w:w="1620" w:type="dxa"/>
            <w:tcBorders>
              <w:top w:val="nil"/>
              <w:left w:val="nil"/>
              <w:bottom w:val="single" w:sz="4" w:space="0" w:color="auto"/>
              <w:right w:val="single" w:sz="4" w:space="0" w:color="auto"/>
            </w:tcBorders>
            <w:shd w:val="clear" w:color="auto" w:fill="E7E6E6" w:themeFill="background2"/>
            <w:hideMark/>
          </w:tcPr>
          <w:p w:rsidR="00B97419" w:rsidRPr="00657DF4" w:rsidP="003F6F44" w14:paraId="4924AABA" w14:textId="77777777">
            <w:pPr>
              <w:jc w:val="center"/>
              <w:rPr>
                <w:color w:val="000000"/>
                <w:sz w:val="20"/>
                <w:szCs w:val="20"/>
              </w:rPr>
            </w:pPr>
            <w:r w:rsidRPr="00657DF4">
              <w:rPr>
                <w:color w:val="000000"/>
                <w:sz w:val="20"/>
                <w:szCs w:val="20"/>
              </w:rPr>
              <w:t>BLS - Code</w:t>
            </w:r>
            <w:r>
              <w:rPr>
                <w:rStyle w:val="FootnoteReference"/>
                <w:color w:val="000000"/>
                <w:sz w:val="20"/>
                <w:szCs w:val="20"/>
              </w:rPr>
              <w:footnoteReference w:id="21"/>
            </w:r>
          </w:p>
        </w:tc>
        <w:tc>
          <w:tcPr>
            <w:tcW w:w="1800" w:type="dxa"/>
            <w:tcBorders>
              <w:top w:val="nil"/>
              <w:left w:val="nil"/>
              <w:bottom w:val="single" w:sz="4" w:space="0" w:color="auto"/>
              <w:right w:val="single" w:sz="4" w:space="0" w:color="auto"/>
            </w:tcBorders>
            <w:shd w:val="clear" w:color="auto" w:fill="E7E6E6" w:themeFill="background2"/>
            <w:hideMark/>
          </w:tcPr>
          <w:p w:rsidR="00B97419" w:rsidRPr="00657DF4" w:rsidP="003F6F44" w14:paraId="1EB68DB2" w14:textId="77777777">
            <w:pPr>
              <w:jc w:val="center"/>
              <w:rPr>
                <w:color w:val="000000"/>
                <w:sz w:val="20"/>
                <w:szCs w:val="20"/>
              </w:rPr>
            </w:pPr>
            <w:r w:rsidRPr="00657DF4">
              <w:rPr>
                <w:color w:val="000000"/>
                <w:sz w:val="20"/>
                <w:szCs w:val="20"/>
              </w:rPr>
              <w:t>BLS - Name</w:t>
            </w:r>
          </w:p>
        </w:tc>
        <w:tc>
          <w:tcPr>
            <w:tcW w:w="1350" w:type="dxa"/>
            <w:tcBorders>
              <w:top w:val="nil"/>
              <w:left w:val="nil"/>
              <w:bottom w:val="single" w:sz="4" w:space="0" w:color="auto"/>
              <w:right w:val="single" w:sz="4" w:space="0" w:color="auto"/>
            </w:tcBorders>
            <w:shd w:val="clear" w:color="auto" w:fill="E7E6E6" w:themeFill="background2"/>
            <w:hideMark/>
          </w:tcPr>
          <w:p w:rsidR="00B97419" w:rsidRPr="00657DF4" w:rsidP="003F6F44" w14:paraId="5C669D42" w14:textId="77777777">
            <w:pPr>
              <w:jc w:val="center"/>
              <w:rPr>
                <w:color w:val="000000"/>
                <w:sz w:val="20"/>
                <w:szCs w:val="20"/>
              </w:rPr>
            </w:pPr>
            <w:r w:rsidRPr="00657DF4">
              <w:rPr>
                <w:color w:val="000000"/>
                <w:sz w:val="20"/>
                <w:szCs w:val="20"/>
              </w:rPr>
              <w:t>Median Hourly Wage</w:t>
            </w:r>
          </w:p>
        </w:tc>
        <w:tc>
          <w:tcPr>
            <w:tcW w:w="1350" w:type="dxa"/>
            <w:tcBorders>
              <w:top w:val="nil"/>
              <w:left w:val="nil"/>
              <w:bottom w:val="single" w:sz="4" w:space="0" w:color="auto"/>
              <w:right w:val="single" w:sz="4" w:space="0" w:color="auto"/>
            </w:tcBorders>
            <w:shd w:val="clear" w:color="auto" w:fill="E7E6E6" w:themeFill="background2"/>
            <w:hideMark/>
          </w:tcPr>
          <w:p w:rsidR="00B97419" w:rsidRPr="00657DF4" w:rsidP="003F6F44" w14:paraId="67ABE4A3" w14:textId="77777777">
            <w:pPr>
              <w:jc w:val="center"/>
              <w:rPr>
                <w:color w:val="000000"/>
                <w:sz w:val="20"/>
                <w:szCs w:val="20"/>
              </w:rPr>
            </w:pPr>
            <w:r w:rsidRPr="00657DF4">
              <w:rPr>
                <w:color w:val="000000"/>
                <w:sz w:val="20"/>
                <w:szCs w:val="20"/>
              </w:rPr>
              <w:t>Benefit Factor</w:t>
            </w:r>
          </w:p>
        </w:tc>
        <w:tc>
          <w:tcPr>
            <w:tcW w:w="1620" w:type="dxa"/>
            <w:tcBorders>
              <w:top w:val="nil"/>
              <w:left w:val="nil"/>
              <w:bottom w:val="single" w:sz="4" w:space="0" w:color="auto"/>
              <w:right w:val="single" w:sz="4" w:space="0" w:color="auto"/>
            </w:tcBorders>
            <w:shd w:val="clear" w:color="auto" w:fill="E7E6E6" w:themeFill="background2"/>
            <w:hideMark/>
          </w:tcPr>
          <w:p w:rsidR="00B97419" w:rsidRPr="00657DF4" w:rsidP="003F6F44" w14:paraId="486F1E20" w14:textId="77777777">
            <w:pPr>
              <w:jc w:val="center"/>
              <w:rPr>
                <w:color w:val="000000"/>
                <w:sz w:val="20"/>
                <w:szCs w:val="20"/>
              </w:rPr>
            </w:pPr>
            <w:r w:rsidRPr="00657DF4">
              <w:rPr>
                <w:color w:val="000000"/>
                <w:sz w:val="20"/>
                <w:szCs w:val="20"/>
              </w:rPr>
              <w:t>Fully-Loaded Hourly Wage</w:t>
            </w:r>
          </w:p>
        </w:tc>
      </w:tr>
      <w:tr w14:paraId="3B7D6604" w14:textId="77777777" w:rsidTr="00205174">
        <w:tblPrEx>
          <w:tblW w:w="9465" w:type="dxa"/>
          <w:tblInd w:w="-470" w:type="dxa"/>
          <w:tblLook w:val="04A0"/>
        </w:tblPrEx>
        <w:trPr>
          <w:trHeight w:val="630"/>
        </w:trPr>
        <w:tc>
          <w:tcPr>
            <w:tcW w:w="1725" w:type="dxa"/>
            <w:tcBorders>
              <w:top w:val="nil"/>
              <w:left w:val="single" w:sz="4" w:space="0" w:color="auto"/>
              <w:bottom w:val="single" w:sz="4" w:space="0" w:color="auto"/>
              <w:right w:val="single" w:sz="4" w:space="0" w:color="auto"/>
            </w:tcBorders>
            <w:shd w:val="clear" w:color="auto" w:fill="auto"/>
            <w:hideMark/>
          </w:tcPr>
          <w:p w:rsidR="00B97419" w:rsidRPr="00657DF4" w:rsidP="003F6F44" w14:paraId="5AC31662" w14:textId="77777777">
            <w:pPr>
              <w:jc w:val="center"/>
              <w:rPr>
                <w:color w:val="000000"/>
                <w:sz w:val="20"/>
                <w:szCs w:val="20"/>
              </w:rPr>
            </w:pPr>
            <w:r w:rsidRPr="00657DF4">
              <w:rPr>
                <w:color w:val="000000"/>
                <w:sz w:val="20"/>
                <w:szCs w:val="20"/>
              </w:rPr>
              <w:t>Remote Supervision</w:t>
            </w:r>
          </w:p>
        </w:tc>
        <w:tc>
          <w:tcPr>
            <w:tcW w:w="1620" w:type="dxa"/>
            <w:tcBorders>
              <w:top w:val="nil"/>
              <w:left w:val="nil"/>
              <w:bottom w:val="single" w:sz="4" w:space="0" w:color="auto"/>
              <w:right w:val="single" w:sz="4" w:space="0" w:color="auto"/>
            </w:tcBorders>
            <w:shd w:val="clear" w:color="auto" w:fill="auto"/>
            <w:hideMark/>
          </w:tcPr>
          <w:p w:rsidR="00B97419" w:rsidRPr="00657DF4" w:rsidP="003F6F44" w14:paraId="093E8B31" w14:textId="77777777">
            <w:pPr>
              <w:jc w:val="center"/>
              <w:rPr>
                <w:color w:val="000000"/>
                <w:sz w:val="20"/>
                <w:szCs w:val="20"/>
              </w:rPr>
            </w:pPr>
            <w:r w:rsidRPr="00657DF4">
              <w:rPr>
                <w:color w:val="000000"/>
                <w:sz w:val="20"/>
                <w:szCs w:val="20"/>
              </w:rPr>
              <w:t>11 – 3031</w:t>
            </w:r>
          </w:p>
        </w:tc>
        <w:tc>
          <w:tcPr>
            <w:tcW w:w="1800" w:type="dxa"/>
            <w:tcBorders>
              <w:top w:val="nil"/>
              <w:left w:val="nil"/>
              <w:bottom w:val="single" w:sz="4" w:space="0" w:color="auto"/>
              <w:right w:val="single" w:sz="4" w:space="0" w:color="auto"/>
            </w:tcBorders>
            <w:shd w:val="clear" w:color="auto" w:fill="auto"/>
            <w:hideMark/>
          </w:tcPr>
          <w:p w:rsidR="00B97419" w:rsidRPr="00657DF4" w:rsidP="003F6F44" w14:paraId="3F6E8542" w14:textId="77777777">
            <w:pPr>
              <w:jc w:val="center"/>
              <w:rPr>
                <w:color w:val="000000"/>
                <w:sz w:val="20"/>
                <w:szCs w:val="20"/>
              </w:rPr>
            </w:pPr>
            <w:r w:rsidRPr="00657DF4">
              <w:rPr>
                <w:color w:val="000000"/>
                <w:sz w:val="20"/>
                <w:szCs w:val="20"/>
              </w:rPr>
              <w:t>Financial Manager</w:t>
            </w:r>
          </w:p>
        </w:tc>
        <w:tc>
          <w:tcPr>
            <w:tcW w:w="1350" w:type="dxa"/>
            <w:tcBorders>
              <w:top w:val="nil"/>
              <w:left w:val="nil"/>
              <w:bottom w:val="single" w:sz="4" w:space="0" w:color="auto"/>
              <w:right w:val="single" w:sz="4" w:space="0" w:color="auto"/>
            </w:tcBorders>
            <w:shd w:val="clear" w:color="auto" w:fill="auto"/>
            <w:hideMark/>
          </w:tcPr>
          <w:p w:rsidR="00B97419" w:rsidRPr="00657DF4" w:rsidP="003F6F44" w14:paraId="0DFB0022" w14:textId="77777777">
            <w:pPr>
              <w:jc w:val="center"/>
              <w:rPr>
                <w:color w:val="000000"/>
                <w:sz w:val="20"/>
                <w:szCs w:val="20"/>
              </w:rPr>
            </w:pPr>
            <w:r w:rsidRPr="00657DF4">
              <w:rPr>
                <w:color w:val="000000"/>
                <w:sz w:val="20"/>
                <w:szCs w:val="20"/>
              </w:rPr>
              <w:t xml:space="preserve"> $  67.21 </w:t>
            </w:r>
          </w:p>
        </w:tc>
        <w:tc>
          <w:tcPr>
            <w:tcW w:w="1350" w:type="dxa"/>
            <w:tcBorders>
              <w:top w:val="nil"/>
              <w:left w:val="nil"/>
              <w:bottom w:val="single" w:sz="4" w:space="0" w:color="auto"/>
              <w:right w:val="single" w:sz="4" w:space="0" w:color="auto"/>
            </w:tcBorders>
            <w:shd w:val="clear" w:color="auto" w:fill="auto"/>
            <w:hideMark/>
          </w:tcPr>
          <w:p w:rsidR="00B97419" w:rsidRPr="00657DF4" w:rsidP="003F6F44" w14:paraId="7140D2F1" w14:textId="77777777">
            <w:pPr>
              <w:jc w:val="center"/>
              <w:rPr>
                <w:color w:val="000000"/>
                <w:sz w:val="20"/>
                <w:szCs w:val="20"/>
              </w:rPr>
            </w:pPr>
            <w:r w:rsidRPr="00657DF4">
              <w:rPr>
                <w:color w:val="000000"/>
                <w:sz w:val="20"/>
                <w:szCs w:val="20"/>
              </w:rPr>
              <w:t>1.42</w:t>
            </w:r>
            <w:r>
              <w:rPr>
                <w:rStyle w:val="FootnoteReference"/>
                <w:color w:val="000000"/>
                <w:sz w:val="20"/>
                <w:szCs w:val="20"/>
              </w:rPr>
              <w:footnoteReference w:id="22"/>
            </w:r>
          </w:p>
        </w:tc>
        <w:tc>
          <w:tcPr>
            <w:tcW w:w="1620" w:type="dxa"/>
            <w:tcBorders>
              <w:top w:val="nil"/>
              <w:left w:val="nil"/>
              <w:bottom w:val="single" w:sz="4" w:space="0" w:color="auto"/>
              <w:right w:val="single" w:sz="4" w:space="0" w:color="auto"/>
            </w:tcBorders>
            <w:shd w:val="clear" w:color="auto" w:fill="auto"/>
            <w:hideMark/>
          </w:tcPr>
          <w:p w:rsidR="00B97419" w:rsidRPr="00657DF4" w:rsidP="003F6F44" w14:paraId="5EE96966" w14:textId="77777777">
            <w:pPr>
              <w:jc w:val="center"/>
              <w:rPr>
                <w:color w:val="000000"/>
                <w:sz w:val="20"/>
                <w:szCs w:val="20"/>
              </w:rPr>
            </w:pPr>
            <w:r w:rsidRPr="00657DF4">
              <w:rPr>
                <w:color w:val="000000"/>
                <w:sz w:val="20"/>
                <w:szCs w:val="20"/>
              </w:rPr>
              <w:t xml:space="preserve"> $   95.44 </w:t>
            </w:r>
          </w:p>
        </w:tc>
      </w:tr>
      <w:tr w14:paraId="62844947" w14:textId="77777777" w:rsidTr="00205174">
        <w:tblPrEx>
          <w:tblW w:w="9465" w:type="dxa"/>
          <w:tblInd w:w="-470" w:type="dxa"/>
          <w:tblLook w:val="04A0"/>
        </w:tblPrEx>
        <w:trPr>
          <w:trHeight w:val="630"/>
        </w:trPr>
        <w:tc>
          <w:tcPr>
            <w:tcW w:w="1725" w:type="dxa"/>
            <w:tcBorders>
              <w:top w:val="nil"/>
              <w:left w:val="single" w:sz="4" w:space="0" w:color="auto"/>
              <w:bottom w:val="single" w:sz="4" w:space="0" w:color="auto"/>
              <w:right w:val="single" w:sz="4" w:space="0" w:color="auto"/>
            </w:tcBorders>
            <w:shd w:val="clear" w:color="auto" w:fill="auto"/>
            <w:hideMark/>
          </w:tcPr>
          <w:p w:rsidR="00B97419" w:rsidRPr="00657DF4" w:rsidP="003F6F44" w14:paraId="54BF79E0" w14:textId="77777777">
            <w:pPr>
              <w:jc w:val="center"/>
              <w:rPr>
                <w:color w:val="000000"/>
                <w:sz w:val="20"/>
                <w:szCs w:val="20"/>
              </w:rPr>
            </w:pPr>
            <w:r w:rsidRPr="00657DF4">
              <w:rPr>
                <w:color w:val="000000"/>
                <w:sz w:val="20"/>
                <w:szCs w:val="20"/>
              </w:rPr>
              <w:t>Direct Supervision</w:t>
            </w:r>
          </w:p>
        </w:tc>
        <w:tc>
          <w:tcPr>
            <w:tcW w:w="1620" w:type="dxa"/>
            <w:tcBorders>
              <w:top w:val="nil"/>
              <w:left w:val="nil"/>
              <w:bottom w:val="single" w:sz="4" w:space="0" w:color="auto"/>
              <w:right w:val="single" w:sz="4" w:space="0" w:color="auto"/>
            </w:tcBorders>
            <w:shd w:val="clear" w:color="auto" w:fill="auto"/>
            <w:hideMark/>
          </w:tcPr>
          <w:p w:rsidR="00B97419" w:rsidRPr="00657DF4" w:rsidP="003F6F44" w14:paraId="50B358B8" w14:textId="77777777">
            <w:pPr>
              <w:jc w:val="center"/>
              <w:rPr>
                <w:color w:val="000000"/>
                <w:sz w:val="20"/>
                <w:szCs w:val="20"/>
              </w:rPr>
            </w:pPr>
            <w:r w:rsidRPr="00657DF4">
              <w:rPr>
                <w:color w:val="000000"/>
                <w:sz w:val="20"/>
                <w:szCs w:val="20"/>
              </w:rPr>
              <w:t>13 – 1041</w:t>
            </w:r>
          </w:p>
        </w:tc>
        <w:tc>
          <w:tcPr>
            <w:tcW w:w="1800" w:type="dxa"/>
            <w:tcBorders>
              <w:top w:val="nil"/>
              <w:left w:val="nil"/>
              <w:bottom w:val="single" w:sz="4" w:space="0" w:color="auto"/>
              <w:right w:val="single" w:sz="4" w:space="0" w:color="auto"/>
            </w:tcBorders>
            <w:shd w:val="clear" w:color="auto" w:fill="auto"/>
            <w:hideMark/>
          </w:tcPr>
          <w:p w:rsidR="00B97419" w:rsidRPr="00657DF4" w:rsidP="003F6F44" w14:paraId="0B5F7C97" w14:textId="77777777">
            <w:pPr>
              <w:jc w:val="center"/>
              <w:rPr>
                <w:color w:val="000000"/>
                <w:sz w:val="20"/>
                <w:szCs w:val="20"/>
              </w:rPr>
            </w:pPr>
            <w:r w:rsidRPr="00657DF4">
              <w:rPr>
                <w:color w:val="000000"/>
                <w:sz w:val="20"/>
                <w:szCs w:val="20"/>
              </w:rPr>
              <w:t>Compliance Officer</w:t>
            </w:r>
          </w:p>
        </w:tc>
        <w:tc>
          <w:tcPr>
            <w:tcW w:w="1350" w:type="dxa"/>
            <w:tcBorders>
              <w:top w:val="nil"/>
              <w:left w:val="nil"/>
              <w:bottom w:val="single" w:sz="4" w:space="0" w:color="auto"/>
              <w:right w:val="single" w:sz="4" w:space="0" w:color="auto"/>
            </w:tcBorders>
            <w:shd w:val="clear" w:color="auto" w:fill="auto"/>
            <w:hideMark/>
          </w:tcPr>
          <w:p w:rsidR="00B97419" w:rsidRPr="00657DF4" w:rsidP="003F6F44" w14:paraId="693B55FD" w14:textId="77777777">
            <w:pPr>
              <w:jc w:val="center"/>
              <w:rPr>
                <w:color w:val="000000"/>
                <w:sz w:val="20"/>
                <w:szCs w:val="20"/>
              </w:rPr>
            </w:pPr>
            <w:r w:rsidRPr="00657DF4">
              <w:rPr>
                <w:color w:val="000000"/>
                <w:sz w:val="20"/>
                <w:szCs w:val="20"/>
              </w:rPr>
              <w:t xml:space="preserve"> $  34.47 </w:t>
            </w:r>
          </w:p>
        </w:tc>
        <w:tc>
          <w:tcPr>
            <w:tcW w:w="1350" w:type="dxa"/>
            <w:tcBorders>
              <w:top w:val="nil"/>
              <w:left w:val="nil"/>
              <w:bottom w:val="single" w:sz="4" w:space="0" w:color="auto"/>
              <w:right w:val="single" w:sz="4" w:space="0" w:color="auto"/>
            </w:tcBorders>
            <w:shd w:val="clear" w:color="auto" w:fill="auto"/>
            <w:hideMark/>
          </w:tcPr>
          <w:p w:rsidR="00B97419" w:rsidRPr="00657DF4" w:rsidP="003F6F44" w14:paraId="245EC066" w14:textId="77777777">
            <w:pPr>
              <w:jc w:val="center"/>
              <w:rPr>
                <w:color w:val="000000"/>
                <w:sz w:val="20"/>
                <w:szCs w:val="20"/>
              </w:rPr>
            </w:pPr>
            <w:r w:rsidRPr="00657DF4">
              <w:rPr>
                <w:color w:val="000000"/>
                <w:sz w:val="20"/>
                <w:szCs w:val="20"/>
              </w:rPr>
              <w:t>1.42</w:t>
            </w:r>
          </w:p>
        </w:tc>
        <w:tc>
          <w:tcPr>
            <w:tcW w:w="1620" w:type="dxa"/>
            <w:tcBorders>
              <w:top w:val="nil"/>
              <w:left w:val="nil"/>
              <w:bottom w:val="single" w:sz="4" w:space="0" w:color="auto"/>
              <w:right w:val="single" w:sz="4" w:space="0" w:color="auto"/>
            </w:tcBorders>
            <w:shd w:val="clear" w:color="auto" w:fill="auto"/>
            <w:hideMark/>
          </w:tcPr>
          <w:p w:rsidR="00B97419" w:rsidRPr="00657DF4" w:rsidP="003F6F44" w14:paraId="6207DBB3" w14:textId="77777777">
            <w:pPr>
              <w:jc w:val="center"/>
              <w:rPr>
                <w:color w:val="000000"/>
                <w:sz w:val="20"/>
                <w:szCs w:val="20"/>
              </w:rPr>
            </w:pPr>
            <w:r w:rsidRPr="00657DF4">
              <w:rPr>
                <w:color w:val="000000"/>
                <w:sz w:val="20"/>
                <w:szCs w:val="20"/>
              </w:rPr>
              <w:t xml:space="preserve"> $   48.95 </w:t>
            </w:r>
          </w:p>
        </w:tc>
      </w:tr>
      <w:tr w14:paraId="3984D20E" w14:textId="77777777" w:rsidTr="00205174">
        <w:tblPrEx>
          <w:tblW w:w="9465" w:type="dxa"/>
          <w:tblInd w:w="-470" w:type="dxa"/>
          <w:tblLook w:val="04A0"/>
        </w:tblPrEx>
        <w:trPr>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B97419" w:rsidRPr="00657DF4" w:rsidP="003F6F44" w14:paraId="07FC0E2D" w14:textId="77777777">
            <w:pPr>
              <w:jc w:val="center"/>
              <w:rPr>
                <w:color w:val="000000"/>
                <w:sz w:val="20"/>
                <w:szCs w:val="20"/>
              </w:rPr>
            </w:pPr>
            <w:r w:rsidRPr="00657DF4">
              <w:rPr>
                <w:color w:val="000000"/>
                <w:sz w:val="20"/>
                <w:szCs w:val="20"/>
              </w:rPr>
              <w:t>Operations</w:t>
            </w:r>
          </w:p>
        </w:tc>
        <w:tc>
          <w:tcPr>
            <w:tcW w:w="1620" w:type="dxa"/>
            <w:tcBorders>
              <w:top w:val="nil"/>
              <w:left w:val="nil"/>
              <w:bottom w:val="single" w:sz="4" w:space="0" w:color="auto"/>
              <w:right w:val="single" w:sz="4" w:space="0" w:color="auto"/>
            </w:tcBorders>
            <w:shd w:val="clear" w:color="auto" w:fill="auto"/>
            <w:hideMark/>
          </w:tcPr>
          <w:p w:rsidR="00B97419" w:rsidRPr="00657DF4" w:rsidP="003F6F44" w14:paraId="6BB87E9B" w14:textId="77777777">
            <w:pPr>
              <w:jc w:val="center"/>
              <w:rPr>
                <w:color w:val="000000"/>
                <w:sz w:val="20"/>
                <w:szCs w:val="20"/>
              </w:rPr>
            </w:pPr>
            <w:r w:rsidRPr="00657DF4">
              <w:rPr>
                <w:color w:val="000000"/>
                <w:sz w:val="20"/>
                <w:szCs w:val="20"/>
              </w:rPr>
              <w:t>43 – 3071</w:t>
            </w:r>
          </w:p>
        </w:tc>
        <w:tc>
          <w:tcPr>
            <w:tcW w:w="1800" w:type="dxa"/>
            <w:tcBorders>
              <w:top w:val="nil"/>
              <w:left w:val="nil"/>
              <w:bottom w:val="single" w:sz="4" w:space="0" w:color="auto"/>
              <w:right w:val="single" w:sz="4" w:space="0" w:color="auto"/>
            </w:tcBorders>
            <w:shd w:val="clear" w:color="auto" w:fill="auto"/>
            <w:hideMark/>
          </w:tcPr>
          <w:p w:rsidR="00B97419" w:rsidRPr="00657DF4" w:rsidP="003F6F44" w14:paraId="1FDDEB3C" w14:textId="77777777">
            <w:pPr>
              <w:jc w:val="center"/>
              <w:rPr>
                <w:color w:val="000000"/>
                <w:sz w:val="20"/>
                <w:szCs w:val="20"/>
              </w:rPr>
            </w:pPr>
            <w:r w:rsidRPr="00657DF4">
              <w:rPr>
                <w:color w:val="000000"/>
                <w:sz w:val="20"/>
                <w:szCs w:val="20"/>
              </w:rPr>
              <w:t>Teller</w:t>
            </w:r>
          </w:p>
        </w:tc>
        <w:tc>
          <w:tcPr>
            <w:tcW w:w="1350" w:type="dxa"/>
            <w:tcBorders>
              <w:top w:val="nil"/>
              <w:left w:val="nil"/>
              <w:bottom w:val="single" w:sz="4" w:space="0" w:color="auto"/>
              <w:right w:val="single" w:sz="4" w:space="0" w:color="auto"/>
            </w:tcBorders>
            <w:shd w:val="clear" w:color="auto" w:fill="auto"/>
            <w:hideMark/>
          </w:tcPr>
          <w:p w:rsidR="00B97419" w:rsidRPr="00657DF4" w:rsidP="003F6F44" w14:paraId="1F961811" w14:textId="77777777">
            <w:pPr>
              <w:jc w:val="center"/>
              <w:rPr>
                <w:color w:val="000000"/>
                <w:sz w:val="20"/>
                <w:szCs w:val="20"/>
              </w:rPr>
            </w:pPr>
            <w:r w:rsidRPr="00657DF4">
              <w:rPr>
                <w:color w:val="000000"/>
                <w:sz w:val="20"/>
                <w:szCs w:val="20"/>
              </w:rPr>
              <w:t xml:space="preserve"> $  17.49 </w:t>
            </w:r>
          </w:p>
        </w:tc>
        <w:tc>
          <w:tcPr>
            <w:tcW w:w="1350" w:type="dxa"/>
            <w:tcBorders>
              <w:top w:val="nil"/>
              <w:left w:val="nil"/>
              <w:bottom w:val="single" w:sz="4" w:space="0" w:color="auto"/>
              <w:right w:val="single" w:sz="4" w:space="0" w:color="auto"/>
            </w:tcBorders>
            <w:shd w:val="clear" w:color="auto" w:fill="auto"/>
            <w:hideMark/>
          </w:tcPr>
          <w:p w:rsidR="00B97419" w:rsidRPr="00657DF4" w:rsidP="003F6F44" w14:paraId="5C2611A6" w14:textId="77777777">
            <w:pPr>
              <w:jc w:val="center"/>
              <w:rPr>
                <w:color w:val="000000"/>
                <w:sz w:val="20"/>
                <w:szCs w:val="20"/>
              </w:rPr>
            </w:pPr>
            <w:r w:rsidRPr="00657DF4">
              <w:rPr>
                <w:color w:val="000000"/>
                <w:sz w:val="20"/>
                <w:szCs w:val="20"/>
              </w:rPr>
              <w:t>1.42</w:t>
            </w:r>
          </w:p>
        </w:tc>
        <w:tc>
          <w:tcPr>
            <w:tcW w:w="1620" w:type="dxa"/>
            <w:tcBorders>
              <w:top w:val="nil"/>
              <w:left w:val="nil"/>
              <w:bottom w:val="single" w:sz="4" w:space="0" w:color="auto"/>
              <w:right w:val="single" w:sz="4" w:space="0" w:color="auto"/>
            </w:tcBorders>
            <w:shd w:val="clear" w:color="auto" w:fill="auto"/>
            <w:hideMark/>
          </w:tcPr>
          <w:p w:rsidR="00B97419" w:rsidRPr="00657DF4" w:rsidP="003F6F44" w14:paraId="3B800677" w14:textId="77777777">
            <w:pPr>
              <w:jc w:val="center"/>
              <w:rPr>
                <w:color w:val="000000"/>
                <w:sz w:val="20"/>
                <w:szCs w:val="20"/>
              </w:rPr>
            </w:pPr>
            <w:r w:rsidRPr="00657DF4">
              <w:rPr>
                <w:color w:val="000000"/>
                <w:sz w:val="20"/>
                <w:szCs w:val="20"/>
              </w:rPr>
              <w:t xml:space="preserve"> $   24.84 </w:t>
            </w:r>
          </w:p>
        </w:tc>
      </w:tr>
    </w:tbl>
    <w:p w:rsidR="00205174" w:rsidP="005011F0" w14:paraId="556AB96A" w14:textId="77777777">
      <w:pPr>
        <w:pStyle w:val="Default"/>
        <w:rPr>
          <w:rFonts w:ascii="Times New Roman" w:hAnsi="Times New Roman" w:cs="Times New Roman"/>
        </w:rPr>
      </w:pPr>
    </w:p>
    <w:p w:rsidR="005D2C57" w:rsidP="005011F0" w14:paraId="14032339" w14:textId="77777777">
      <w:pPr>
        <w:pStyle w:val="Default"/>
        <w:rPr>
          <w:rFonts w:ascii="Times New Roman" w:hAnsi="Times New Roman" w:cs="Times New Roman"/>
        </w:rPr>
      </w:pPr>
    </w:p>
    <w:p w:rsidR="005D2C57" w:rsidP="005011F0" w14:paraId="3EB70D74" w14:textId="77777777">
      <w:pPr>
        <w:pStyle w:val="Default"/>
        <w:rPr>
          <w:rFonts w:ascii="Times New Roman" w:hAnsi="Times New Roman" w:cs="Times New Roman"/>
        </w:rPr>
      </w:pPr>
    </w:p>
    <w:p w:rsidR="005D2C57" w:rsidP="005011F0" w14:paraId="041D3712" w14:textId="77777777">
      <w:pPr>
        <w:pStyle w:val="Default"/>
        <w:rPr>
          <w:rFonts w:ascii="Times New Roman" w:hAnsi="Times New Roman" w:cs="Times New Roman"/>
        </w:rPr>
      </w:pPr>
    </w:p>
    <w:p w:rsidR="005D2C57" w:rsidP="005011F0" w14:paraId="0EB663BB" w14:textId="77777777">
      <w:pPr>
        <w:pStyle w:val="Default"/>
        <w:rPr>
          <w:rFonts w:ascii="Times New Roman" w:hAnsi="Times New Roman" w:cs="Times New Roman"/>
        </w:rPr>
      </w:pPr>
    </w:p>
    <w:p w:rsidR="005D2C57" w:rsidP="005011F0" w14:paraId="1796E793" w14:textId="77777777">
      <w:pPr>
        <w:pStyle w:val="Default"/>
        <w:rPr>
          <w:rFonts w:ascii="Times New Roman" w:hAnsi="Times New Roman" w:cs="Times New Roman"/>
        </w:rPr>
      </w:pPr>
    </w:p>
    <w:p w:rsidR="005D2C57" w:rsidP="005011F0" w14:paraId="685F9886" w14:textId="77777777">
      <w:pPr>
        <w:pStyle w:val="Default"/>
        <w:rPr>
          <w:rFonts w:ascii="Times New Roman" w:hAnsi="Times New Roman" w:cs="Times New Roman"/>
        </w:rPr>
      </w:pPr>
    </w:p>
    <w:p w:rsidR="005D2C57" w:rsidP="005011F0" w14:paraId="4C8B561E" w14:textId="77777777">
      <w:pPr>
        <w:pStyle w:val="Default"/>
        <w:rPr>
          <w:rFonts w:ascii="Times New Roman" w:hAnsi="Times New Roman" w:cs="Times New Roman"/>
        </w:rPr>
      </w:pPr>
    </w:p>
    <w:p w:rsidR="005D2C57" w:rsidRPr="00B97419" w:rsidP="005011F0" w14:paraId="28C33BCB" w14:textId="77777777">
      <w:pPr>
        <w:pStyle w:val="Default"/>
        <w:rPr>
          <w:rFonts w:ascii="Times New Roman" w:hAnsi="Times New Roman" w:cs="Times New Roman"/>
        </w:rPr>
      </w:pPr>
    </w:p>
    <w:tbl>
      <w:tblPr>
        <w:tblpPr w:leftFromText="180" w:rightFromText="180" w:vertAnchor="text" w:horzAnchor="page" w:tblpX="1561" w:tblpY="464"/>
        <w:tblW w:w="9625" w:type="dxa"/>
        <w:tblLayout w:type="fixed"/>
        <w:tblLook w:val="04A0"/>
      </w:tblPr>
      <w:tblGrid>
        <w:gridCol w:w="1165"/>
        <w:gridCol w:w="720"/>
        <w:gridCol w:w="900"/>
        <w:gridCol w:w="810"/>
        <w:gridCol w:w="720"/>
        <w:gridCol w:w="900"/>
        <w:gridCol w:w="810"/>
        <w:gridCol w:w="720"/>
        <w:gridCol w:w="900"/>
        <w:gridCol w:w="900"/>
        <w:gridCol w:w="1080"/>
      </w:tblGrid>
      <w:tr w14:paraId="5A705854" w14:textId="77777777" w:rsidTr="005011F0">
        <w:tblPrEx>
          <w:tblW w:w="9625" w:type="dxa"/>
          <w:tblLayout w:type="fixed"/>
          <w:tblLook w:val="04A0"/>
        </w:tblPrEx>
        <w:trPr>
          <w:trHeight w:val="315"/>
        </w:trPr>
        <w:tc>
          <w:tcPr>
            <w:tcW w:w="9625"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7419" w:rsidRPr="00657DF4" w:rsidP="005011F0" w14:paraId="3487D7D8" w14:textId="77777777">
            <w:pPr>
              <w:jc w:val="center"/>
              <w:rPr>
                <w:b/>
                <w:bCs/>
                <w:color w:val="000000"/>
                <w:sz w:val="20"/>
                <w:szCs w:val="20"/>
              </w:rPr>
            </w:pPr>
            <w:r w:rsidRPr="00657DF4">
              <w:rPr>
                <w:b/>
                <w:bCs/>
                <w:color w:val="000000"/>
                <w:sz w:val="20"/>
                <w:szCs w:val="20"/>
              </w:rPr>
              <w:t>Table 2 - Weighted Average Hourly Cost</w:t>
            </w:r>
          </w:p>
        </w:tc>
      </w:tr>
      <w:tr w14:paraId="36F4A54F" w14:textId="77777777" w:rsidTr="005011F0">
        <w:tblPrEx>
          <w:tblW w:w="9625" w:type="dxa"/>
          <w:tblLayout w:type="fixed"/>
          <w:tblLook w:val="04A0"/>
        </w:tblPrEx>
        <w:trPr>
          <w:trHeight w:val="315"/>
        </w:trPr>
        <w:tc>
          <w:tcPr>
            <w:tcW w:w="1165" w:type="dxa"/>
            <w:tcBorders>
              <w:top w:val="nil"/>
              <w:left w:val="single" w:sz="4" w:space="0" w:color="auto"/>
              <w:bottom w:val="single" w:sz="4" w:space="0" w:color="auto"/>
              <w:right w:val="single" w:sz="4" w:space="0" w:color="auto"/>
            </w:tcBorders>
            <w:shd w:val="clear" w:color="auto" w:fill="AEAAAA" w:themeFill="background2" w:themeFillShade="BF"/>
            <w:hideMark/>
          </w:tcPr>
          <w:p w:rsidR="00B97419" w:rsidRPr="00657DF4" w:rsidP="005011F0" w14:paraId="22F966B5" w14:textId="77777777">
            <w:pPr>
              <w:jc w:val="center"/>
              <w:rPr>
                <w:color w:val="000000"/>
                <w:sz w:val="20"/>
                <w:szCs w:val="20"/>
              </w:rPr>
            </w:pPr>
            <w:r w:rsidRPr="00657DF4">
              <w:rPr>
                <w:color w:val="000000"/>
                <w:sz w:val="20"/>
                <w:szCs w:val="20"/>
              </w:rPr>
              <w:t>Component</w:t>
            </w:r>
          </w:p>
        </w:tc>
        <w:tc>
          <w:tcPr>
            <w:tcW w:w="2430" w:type="dxa"/>
            <w:gridSpan w:val="3"/>
            <w:tcBorders>
              <w:top w:val="single" w:sz="4" w:space="0" w:color="auto"/>
              <w:left w:val="nil"/>
              <w:bottom w:val="single" w:sz="4" w:space="0" w:color="auto"/>
              <w:right w:val="single" w:sz="4" w:space="0" w:color="auto"/>
            </w:tcBorders>
            <w:shd w:val="clear" w:color="auto" w:fill="AEAAAA" w:themeFill="background2" w:themeFillShade="BF"/>
            <w:hideMark/>
          </w:tcPr>
          <w:p w:rsidR="00B97419" w:rsidRPr="00657DF4" w:rsidP="005011F0" w14:paraId="54E5FF93" w14:textId="77777777">
            <w:pPr>
              <w:jc w:val="center"/>
              <w:rPr>
                <w:color w:val="000000"/>
                <w:sz w:val="20"/>
                <w:szCs w:val="20"/>
              </w:rPr>
            </w:pPr>
            <w:r w:rsidRPr="00657DF4">
              <w:rPr>
                <w:color w:val="000000"/>
                <w:sz w:val="20"/>
                <w:szCs w:val="20"/>
              </w:rPr>
              <w:t>Remote Supervision</w:t>
            </w:r>
          </w:p>
        </w:tc>
        <w:tc>
          <w:tcPr>
            <w:tcW w:w="2430" w:type="dxa"/>
            <w:gridSpan w:val="3"/>
            <w:tcBorders>
              <w:top w:val="single" w:sz="4" w:space="0" w:color="auto"/>
              <w:left w:val="nil"/>
              <w:bottom w:val="single" w:sz="4" w:space="0" w:color="auto"/>
              <w:right w:val="single" w:sz="4" w:space="0" w:color="auto"/>
            </w:tcBorders>
            <w:shd w:val="clear" w:color="auto" w:fill="AEAAAA" w:themeFill="background2" w:themeFillShade="BF"/>
            <w:hideMark/>
          </w:tcPr>
          <w:p w:rsidR="00B97419" w:rsidRPr="00657DF4" w:rsidP="005011F0" w14:paraId="168A91BB" w14:textId="77777777">
            <w:pPr>
              <w:jc w:val="center"/>
              <w:rPr>
                <w:color w:val="000000"/>
                <w:sz w:val="20"/>
                <w:szCs w:val="20"/>
              </w:rPr>
            </w:pPr>
            <w:r w:rsidRPr="00657DF4">
              <w:rPr>
                <w:color w:val="000000"/>
                <w:sz w:val="20"/>
                <w:szCs w:val="20"/>
              </w:rPr>
              <w:t>Direct Supervision</w:t>
            </w:r>
          </w:p>
        </w:tc>
        <w:tc>
          <w:tcPr>
            <w:tcW w:w="2520" w:type="dxa"/>
            <w:gridSpan w:val="3"/>
            <w:tcBorders>
              <w:top w:val="single" w:sz="4" w:space="0" w:color="auto"/>
              <w:left w:val="nil"/>
              <w:bottom w:val="single" w:sz="4" w:space="0" w:color="auto"/>
              <w:right w:val="single" w:sz="4" w:space="0" w:color="auto"/>
            </w:tcBorders>
            <w:shd w:val="clear" w:color="auto" w:fill="AEAAAA" w:themeFill="background2" w:themeFillShade="BF"/>
            <w:hideMark/>
          </w:tcPr>
          <w:p w:rsidR="00B97419" w:rsidRPr="00657DF4" w:rsidP="005011F0" w14:paraId="5D0578EA" w14:textId="77777777">
            <w:pPr>
              <w:jc w:val="center"/>
              <w:rPr>
                <w:color w:val="000000"/>
                <w:sz w:val="20"/>
                <w:szCs w:val="20"/>
              </w:rPr>
            </w:pPr>
            <w:r w:rsidRPr="00657DF4">
              <w:rPr>
                <w:color w:val="000000"/>
                <w:sz w:val="20"/>
                <w:szCs w:val="20"/>
              </w:rPr>
              <w:t>Operations</w:t>
            </w:r>
          </w:p>
        </w:tc>
        <w:tc>
          <w:tcPr>
            <w:tcW w:w="1080" w:type="dxa"/>
            <w:vMerge w:val="restart"/>
            <w:tcBorders>
              <w:top w:val="nil"/>
              <w:left w:val="single" w:sz="4" w:space="0" w:color="auto"/>
              <w:bottom w:val="single" w:sz="4" w:space="0" w:color="auto"/>
              <w:right w:val="single" w:sz="4" w:space="0" w:color="auto"/>
            </w:tcBorders>
            <w:shd w:val="clear" w:color="auto" w:fill="AEAAAA" w:themeFill="background2" w:themeFillShade="BF"/>
            <w:hideMark/>
          </w:tcPr>
          <w:p w:rsidR="00B97419" w:rsidRPr="00657DF4" w:rsidP="005011F0" w14:paraId="35FC9BE0" w14:textId="77777777">
            <w:pPr>
              <w:jc w:val="center"/>
              <w:rPr>
                <w:color w:val="000000"/>
                <w:sz w:val="20"/>
                <w:szCs w:val="20"/>
              </w:rPr>
            </w:pPr>
            <w:r w:rsidRPr="00657DF4">
              <w:rPr>
                <w:color w:val="000000"/>
                <w:sz w:val="20"/>
                <w:szCs w:val="20"/>
              </w:rPr>
              <w:t>Weighted Average Hourly Cost</w:t>
            </w:r>
          </w:p>
        </w:tc>
      </w:tr>
      <w:tr w14:paraId="3D62C322" w14:textId="77777777" w:rsidTr="005011F0">
        <w:tblPrEx>
          <w:tblW w:w="9625" w:type="dxa"/>
          <w:tblLayout w:type="fixed"/>
          <w:tblLook w:val="04A0"/>
        </w:tblPrEx>
        <w:trPr>
          <w:trHeight w:val="1043"/>
        </w:trPr>
        <w:tc>
          <w:tcPr>
            <w:tcW w:w="1165" w:type="dxa"/>
            <w:tcBorders>
              <w:top w:val="nil"/>
              <w:left w:val="single" w:sz="4" w:space="0" w:color="auto"/>
              <w:bottom w:val="single" w:sz="4" w:space="0" w:color="auto"/>
              <w:right w:val="single" w:sz="4" w:space="0" w:color="auto"/>
            </w:tcBorders>
            <w:shd w:val="clear" w:color="auto" w:fill="auto"/>
            <w:hideMark/>
          </w:tcPr>
          <w:p w:rsidR="00B97419" w:rsidRPr="00657DF4" w:rsidP="005011F0" w14:paraId="6276A5BC" w14:textId="77777777">
            <w:pPr>
              <w:jc w:val="center"/>
              <w:rPr>
                <w:color w:val="000000"/>
                <w:sz w:val="20"/>
                <w:szCs w:val="20"/>
              </w:rPr>
            </w:pPr>
            <w:r w:rsidRPr="00657DF4">
              <w:rPr>
                <w:color w:val="000000"/>
                <w:sz w:val="20"/>
                <w:szCs w:val="20"/>
              </w:rPr>
              <w:t> </w:t>
            </w:r>
          </w:p>
        </w:tc>
        <w:tc>
          <w:tcPr>
            <w:tcW w:w="72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7CC0F58F" w14:textId="77777777">
            <w:pPr>
              <w:jc w:val="center"/>
              <w:rPr>
                <w:color w:val="000000"/>
                <w:sz w:val="20"/>
                <w:szCs w:val="20"/>
              </w:rPr>
            </w:pPr>
            <w:r w:rsidRPr="00657DF4">
              <w:rPr>
                <w:color w:val="000000"/>
                <w:sz w:val="20"/>
                <w:szCs w:val="20"/>
              </w:rPr>
              <w:t>% Time</w:t>
            </w:r>
          </w:p>
        </w:tc>
        <w:tc>
          <w:tcPr>
            <w:tcW w:w="90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11996E1B" w14:textId="77777777">
            <w:pPr>
              <w:jc w:val="center"/>
              <w:rPr>
                <w:color w:val="000000"/>
                <w:sz w:val="20"/>
                <w:szCs w:val="20"/>
              </w:rPr>
            </w:pPr>
            <w:r w:rsidRPr="00657DF4">
              <w:rPr>
                <w:color w:val="000000"/>
                <w:sz w:val="20"/>
                <w:szCs w:val="20"/>
              </w:rPr>
              <w:t>Fully-Loaded Hourly Wage</w:t>
            </w:r>
          </w:p>
        </w:tc>
        <w:tc>
          <w:tcPr>
            <w:tcW w:w="81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4621BEBA" w14:textId="77777777">
            <w:pPr>
              <w:jc w:val="center"/>
              <w:rPr>
                <w:color w:val="000000"/>
                <w:sz w:val="20"/>
                <w:szCs w:val="20"/>
              </w:rPr>
            </w:pPr>
            <w:r w:rsidRPr="00657DF4">
              <w:rPr>
                <w:color w:val="000000"/>
                <w:sz w:val="20"/>
                <w:szCs w:val="20"/>
              </w:rPr>
              <w:t>Hourly Cost</w:t>
            </w:r>
          </w:p>
        </w:tc>
        <w:tc>
          <w:tcPr>
            <w:tcW w:w="72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179EB2E6" w14:textId="77777777">
            <w:pPr>
              <w:jc w:val="center"/>
              <w:rPr>
                <w:color w:val="000000"/>
                <w:sz w:val="20"/>
                <w:szCs w:val="20"/>
              </w:rPr>
            </w:pPr>
            <w:r w:rsidRPr="00657DF4">
              <w:rPr>
                <w:color w:val="000000"/>
                <w:sz w:val="20"/>
                <w:szCs w:val="20"/>
              </w:rPr>
              <w:t>% Time</w:t>
            </w:r>
          </w:p>
        </w:tc>
        <w:tc>
          <w:tcPr>
            <w:tcW w:w="90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3E41E66A" w14:textId="77777777">
            <w:pPr>
              <w:jc w:val="center"/>
              <w:rPr>
                <w:color w:val="000000"/>
                <w:sz w:val="20"/>
                <w:szCs w:val="20"/>
              </w:rPr>
            </w:pPr>
            <w:r w:rsidRPr="00657DF4">
              <w:rPr>
                <w:color w:val="000000"/>
                <w:sz w:val="20"/>
                <w:szCs w:val="20"/>
              </w:rPr>
              <w:t>Fully-Loaded Hourly Wage</w:t>
            </w:r>
          </w:p>
        </w:tc>
        <w:tc>
          <w:tcPr>
            <w:tcW w:w="81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01314794" w14:textId="77777777">
            <w:pPr>
              <w:jc w:val="center"/>
              <w:rPr>
                <w:color w:val="000000"/>
                <w:sz w:val="20"/>
                <w:szCs w:val="20"/>
              </w:rPr>
            </w:pPr>
            <w:r w:rsidRPr="00657DF4">
              <w:rPr>
                <w:color w:val="000000"/>
                <w:sz w:val="20"/>
                <w:szCs w:val="20"/>
              </w:rPr>
              <w:t>Hourly Cost</w:t>
            </w:r>
          </w:p>
        </w:tc>
        <w:tc>
          <w:tcPr>
            <w:tcW w:w="72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5A93AECA" w14:textId="77777777">
            <w:pPr>
              <w:jc w:val="center"/>
              <w:rPr>
                <w:color w:val="000000"/>
                <w:sz w:val="20"/>
                <w:szCs w:val="20"/>
              </w:rPr>
            </w:pPr>
            <w:r w:rsidRPr="00657DF4">
              <w:rPr>
                <w:color w:val="000000"/>
                <w:sz w:val="20"/>
                <w:szCs w:val="20"/>
              </w:rPr>
              <w:t>% Time</w:t>
            </w:r>
          </w:p>
        </w:tc>
        <w:tc>
          <w:tcPr>
            <w:tcW w:w="90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6EA553CC" w14:textId="77777777">
            <w:pPr>
              <w:jc w:val="center"/>
              <w:rPr>
                <w:color w:val="000000"/>
                <w:sz w:val="20"/>
                <w:szCs w:val="20"/>
              </w:rPr>
            </w:pPr>
            <w:r w:rsidRPr="00657DF4">
              <w:rPr>
                <w:color w:val="000000"/>
                <w:sz w:val="20"/>
                <w:szCs w:val="20"/>
              </w:rPr>
              <w:t>Fully-Loaded Hourly Wage</w:t>
            </w:r>
          </w:p>
        </w:tc>
        <w:tc>
          <w:tcPr>
            <w:tcW w:w="900" w:type="dxa"/>
            <w:tcBorders>
              <w:top w:val="nil"/>
              <w:left w:val="nil"/>
              <w:bottom w:val="single" w:sz="4" w:space="0" w:color="auto"/>
              <w:right w:val="single" w:sz="4" w:space="0" w:color="auto"/>
            </w:tcBorders>
            <w:shd w:val="clear" w:color="auto" w:fill="E7E6E6" w:themeFill="background2"/>
            <w:hideMark/>
          </w:tcPr>
          <w:p w:rsidR="00B97419" w:rsidRPr="00657DF4" w:rsidP="005011F0" w14:paraId="578CAB4D" w14:textId="77777777">
            <w:pPr>
              <w:jc w:val="center"/>
              <w:rPr>
                <w:color w:val="000000"/>
                <w:sz w:val="20"/>
                <w:szCs w:val="20"/>
              </w:rPr>
            </w:pPr>
            <w:r w:rsidRPr="00657DF4">
              <w:rPr>
                <w:color w:val="000000"/>
                <w:sz w:val="20"/>
                <w:szCs w:val="20"/>
              </w:rPr>
              <w:t>Hourly Cost</w:t>
            </w:r>
          </w:p>
        </w:tc>
        <w:tc>
          <w:tcPr>
            <w:tcW w:w="1080" w:type="dxa"/>
            <w:vMerge/>
            <w:tcBorders>
              <w:top w:val="nil"/>
              <w:left w:val="single" w:sz="4" w:space="0" w:color="auto"/>
              <w:bottom w:val="single" w:sz="4" w:space="0" w:color="auto"/>
              <w:right w:val="single" w:sz="4" w:space="0" w:color="auto"/>
            </w:tcBorders>
            <w:vAlign w:val="center"/>
            <w:hideMark/>
          </w:tcPr>
          <w:p w:rsidR="00B97419" w:rsidRPr="00657DF4" w:rsidP="005011F0" w14:paraId="4A947BEB" w14:textId="77777777">
            <w:pPr>
              <w:rPr>
                <w:color w:val="000000"/>
                <w:sz w:val="20"/>
                <w:szCs w:val="20"/>
              </w:rPr>
            </w:pPr>
          </w:p>
        </w:tc>
      </w:tr>
      <w:tr w14:paraId="06206D63" w14:textId="77777777" w:rsidTr="005011F0">
        <w:tblPrEx>
          <w:tblW w:w="9625" w:type="dxa"/>
          <w:tblLayout w:type="fixed"/>
          <w:tblLook w:val="04A0"/>
        </w:tblPrEx>
        <w:trPr>
          <w:trHeight w:val="953"/>
        </w:trPr>
        <w:tc>
          <w:tcPr>
            <w:tcW w:w="1165" w:type="dxa"/>
            <w:tcBorders>
              <w:top w:val="nil"/>
              <w:left w:val="single" w:sz="4" w:space="0" w:color="auto"/>
              <w:bottom w:val="single" w:sz="4" w:space="0" w:color="auto"/>
              <w:right w:val="single" w:sz="4" w:space="0" w:color="auto"/>
            </w:tcBorders>
            <w:shd w:val="clear" w:color="auto" w:fill="auto"/>
            <w:hideMark/>
          </w:tcPr>
          <w:p w:rsidR="00B97419" w:rsidRPr="00657DF4" w:rsidP="005011F0" w14:paraId="10E4C440" w14:textId="77777777">
            <w:pPr>
              <w:jc w:val="center"/>
              <w:rPr>
                <w:color w:val="000000"/>
                <w:sz w:val="20"/>
                <w:szCs w:val="20"/>
              </w:rPr>
            </w:pPr>
            <w:r w:rsidRPr="00657DF4">
              <w:rPr>
                <w:color w:val="000000"/>
                <w:sz w:val="20"/>
                <w:szCs w:val="20"/>
              </w:rPr>
              <w:t>Record-keeping and Reporting</w:t>
            </w:r>
          </w:p>
        </w:tc>
        <w:tc>
          <w:tcPr>
            <w:tcW w:w="720" w:type="dxa"/>
            <w:tcBorders>
              <w:top w:val="nil"/>
              <w:left w:val="nil"/>
              <w:bottom w:val="single" w:sz="4" w:space="0" w:color="auto"/>
              <w:right w:val="single" w:sz="4" w:space="0" w:color="auto"/>
            </w:tcBorders>
            <w:shd w:val="clear" w:color="auto" w:fill="auto"/>
            <w:hideMark/>
          </w:tcPr>
          <w:p w:rsidR="00B97419" w:rsidRPr="00657DF4" w:rsidP="005011F0" w14:paraId="33497702" w14:textId="77777777">
            <w:pPr>
              <w:jc w:val="center"/>
              <w:rPr>
                <w:color w:val="000000"/>
                <w:sz w:val="20"/>
                <w:szCs w:val="20"/>
              </w:rPr>
            </w:pPr>
            <w:r w:rsidRPr="00657DF4">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B97419" w:rsidRPr="00657DF4" w:rsidP="005011F0" w14:paraId="24676491" w14:textId="77777777">
            <w:pPr>
              <w:jc w:val="center"/>
              <w:rPr>
                <w:color w:val="000000"/>
                <w:sz w:val="20"/>
                <w:szCs w:val="20"/>
              </w:rPr>
            </w:pPr>
            <w:r w:rsidRPr="00657DF4">
              <w:rPr>
                <w:color w:val="000000"/>
                <w:sz w:val="20"/>
                <w:szCs w:val="20"/>
              </w:rPr>
              <w:t xml:space="preserve"> $95.44 </w:t>
            </w:r>
          </w:p>
        </w:tc>
        <w:tc>
          <w:tcPr>
            <w:tcW w:w="810" w:type="dxa"/>
            <w:tcBorders>
              <w:top w:val="nil"/>
              <w:left w:val="nil"/>
              <w:bottom w:val="single" w:sz="4" w:space="0" w:color="auto"/>
              <w:right w:val="single" w:sz="4" w:space="0" w:color="auto"/>
            </w:tcBorders>
            <w:shd w:val="clear" w:color="auto" w:fill="auto"/>
            <w:hideMark/>
          </w:tcPr>
          <w:p w:rsidR="00B97419" w:rsidRPr="00657DF4" w:rsidP="005011F0" w14:paraId="2D89C42D" w14:textId="77777777">
            <w:pPr>
              <w:jc w:val="center"/>
              <w:rPr>
                <w:color w:val="000000"/>
                <w:sz w:val="20"/>
                <w:szCs w:val="20"/>
              </w:rPr>
            </w:pPr>
            <w:r w:rsidRPr="00657DF4">
              <w:rPr>
                <w:color w:val="000000"/>
                <w:sz w:val="20"/>
                <w:szCs w:val="20"/>
              </w:rPr>
              <w:t xml:space="preserve"> $ 0.95 </w:t>
            </w:r>
          </w:p>
        </w:tc>
        <w:tc>
          <w:tcPr>
            <w:tcW w:w="720" w:type="dxa"/>
            <w:tcBorders>
              <w:top w:val="nil"/>
              <w:left w:val="nil"/>
              <w:bottom w:val="single" w:sz="4" w:space="0" w:color="auto"/>
              <w:right w:val="single" w:sz="4" w:space="0" w:color="auto"/>
            </w:tcBorders>
            <w:shd w:val="clear" w:color="auto" w:fill="auto"/>
            <w:hideMark/>
          </w:tcPr>
          <w:p w:rsidR="00B97419" w:rsidRPr="00657DF4" w:rsidP="005011F0" w14:paraId="1937C05A" w14:textId="77777777">
            <w:pPr>
              <w:jc w:val="center"/>
              <w:rPr>
                <w:color w:val="000000"/>
                <w:sz w:val="20"/>
                <w:szCs w:val="20"/>
              </w:rPr>
            </w:pPr>
            <w:r w:rsidRPr="00657DF4">
              <w:rPr>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rsidR="00B97419" w:rsidRPr="00657DF4" w:rsidP="005011F0" w14:paraId="0ADAF38C" w14:textId="77777777">
            <w:pPr>
              <w:jc w:val="center"/>
              <w:rPr>
                <w:color w:val="000000"/>
                <w:sz w:val="20"/>
                <w:szCs w:val="20"/>
              </w:rPr>
            </w:pPr>
            <w:r w:rsidRPr="00657DF4">
              <w:rPr>
                <w:color w:val="000000"/>
                <w:sz w:val="20"/>
                <w:szCs w:val="20"/>
              </w:rPr>
              <w:t xml:space="preserve"> $ 48.95 </w:t>
            </w:r>
          </w:p>
        </w:tc>
        <w:tc>
          <w:tcPr>
            <w:tcW w:w="810" w:type="dxa"/>
            <w:tcBorders>
              <w:top w:val="nil"/>
              <w:left w:val="nil"/>
              <w:bottom w:val="single" w:sz="4" w:space="0" w:color="auto"/>
              <w:right w:val="single" w:sz="4" w:space="0" w:color="auto"/>
            </w:tcBorders>
            <w:shd w:val="clear" w:color="auto" w:fill="auto"/>
            <w:hideMark/>
          </w:tcPr>
          <w:p w:rsidR="00B97419" w:rsidRPr="00657DF4" w:rsidP="005011F0" w14:paraId="0CBDF3D7" w14:textId="77777777">
            <w:pPr>
              <w:jc w:val="center"/>
              <w:rPr>
                <w:color w:val="000000"/>
                <w:sz w:val="20"/>
                <w:szCs w:val="20"/>
              </w:rPr>
            </w:pPr>
            <w:r w:rsidRPr="00657DF4">
              <w:rPr>
                <w:color w:val="000000"/>
                <w:sz w:val="20"/>
                <w:szCs w:val="20"/>
              </w:rPr>
              <w:t xml:space="preserve"> $ 4.41 </w:t>
            </w:r>
          </w:p>
        </w:tc>
        <w:tc>
          <w:tcPr>
            <w:tcW w:w="720" w:type="dxa"/>
            <w:tcBorders>
              <w:top w:val="nil"/>
              <w:left w:val="nil"/>
              <w:bottom w:val="single" w:sz="4" w:space="0" w:color="auto"/>
              <w:right w:val="single" w:sz="4" w:space="0" w:color="auto"/>
            </w:tcBorders>
            <w:shd w:val="clear" w:color="auto" w:fill="auto"/>
            <w:hideMark/>
          </w:tcPr>
          <w:p w:rsidR="00B97419" w:rsidRPr="00657DF4" w:rsidP="005011F0" w14:paraId="6E40387F" w14:textId="77777777">
            <w:pPr>
              <w:jc w:val="center"/>
              <w:rPr>
                <w:color w:val="000000"/>
                <w:sz w:val="20"/>
                <w:szCs w:val="20"/>
              </w:rPr>
            </w:pPr>
            <w:r w:rsidRPr="00657DF4">
              <w:rPr>
                <w:color w:val="000000"/>
                <w:sz w:val="20"/>
                <w:szCs w:val="20"/>
              </w:rPr>
              <w:t>90%</w:t>
            </w:r>
          </w:p>
        </w:tc>
        <w:tc>
          <w:tcPr>
            <w:tcW w:w="900" w:type="dxa"/>
            <w:tcBorders>
              <w:top w:val="nil"/>
              <w:left w:val="nil"/>
              <w:bottom w:val="single" w:sz="4" w:space="0" w:color="auto"/>
              <w:right w:val="single" w:sz="4" w:space="0" w:color="auto"/>
            </w:tcBorders>
            <w:shd w:val="clear" w:color="auto" w:fill="auto"/>
            <w:hideMark/>
          </w:tcPr>
          <w:p w:rsidR="00B97419" w:rsidRPr="00657DF4" w:rsidP="005011F0" w14:paraId="30C46596" w14:textId="77777777">
            <w:pPr>
              <w:jc w:val="center"/>
              <w:rPr>
                <w:color w:val="000000"/>
                <w:sz w:val="20"/>
                <w:szCs w:val="20"/>
              </w:rPr>
            </w:pPr>
            <w:r w:rsidRPr="00657DF4">
              <w:rPr>
                <w:color w:val="000000"/>
                <w:sz w:val="20"/>
                <w:szCs w:val="20"/>
              </w:rPr>
              <w:t xml:space="preserve"> $ 24.84 </w:t>
            </w:r>
          </w:p>
        </w:tc>
        <w:tc>
          <w:tcPr>
            <w:tcW w:w="900" w:type="dxa"/>
            <w:tcBorders>
              <w:top w:val="nil"/>
              <w:left w:val="nil"/>
              <w:bottom w:val="single" w:sz="4" w:space="0" w:color="auto"/>
              <w:right w:val="single" w:sz="4" w:space="0" w:color="auto"/>
            </w:tcBorders>
            <w:shd w:val="clear" w:color="auto" w:fill="auto"/>
            <w:hideMark/>
          </w:tcPr>
          <w:p w:rsidR="00B97419" w:rsidRPr="00657DF4" w:rsidP="005011F0" w14:paraId="7979F24C" w14:textId="77777777">
            <w:pPr>
              <w:jc w:val="center"/>
              <w:rPr>
                <w:color w:val="000000"/>
                <w:sz w:val="20"/>
                <w:szCs w:val="20"/>
              </w:rPr>
            </w:pPr>
            <w:r w:rsidRPr="00657DF4">
              <w:rPr>
                <w:color w:val="000000"/>
                <w:sz w:val="20"/>
                <w:szCs w:val="20"/>
              </w:rPr>
              <w:t xml:space="preserve"> $ 22.36 </w:t>
            </w:r>
          </w:p>
        </w:tc>
        <w:tc>
          <w:tcPr>
            <w:tcW w:w="1080" w:type="dxa"/>
            <w:tcBorders>
              <w:top w:val="nil"/>
              <w:left w:val="nil"/>
              <w:bottom w:val="single" w:sz="4" w:space="0" w:color="auto"/>
              <w:right w:val="single" w:sz="4" w:space="0" w:color="auto"/>
            </w:tcBorders>
            <w:shd w:val="clear" w:color="auto" w:fill="auto"/>
            <w:hideMark/>
          </w:tcPr>
          <w:p w:rsidR="00B97419" w:rsidRPr="00657DF4" w:rsidP="005011F0" w14:paraId="56514066" w14:textId="77777777">
            <w:pPr>
              <w:jc w:val="center"/>
              <w:rPr>
                <w:color w:val="000000"/>
                <w:sz w:val="20"/>
                <w:szCs w:val="20"/>
              </w:rPr>
            </w:pPr>
            <w:r w:rsidRPr="00657DF4">
              <w:rPr>
                <w:color w:val="000000"/>
                <w:sz w:val="20"/>
                <w:szCs w:val="20"/>
              </w:rPr>
              <w:t xml:space="preserve"> $  27.72 </w:t>
            </w:r>
          </w:p>
        </w:tc>
      </w:tr>
    </w:tbl>
    <w:p w:rsidR="00B97419" w:rsidP="005011F0" w14:paraId="268F31EB" w14:textId="77777777"/>
    <w:p w:rsidR="00B97419" w:rsidRPr="003B6371" w:rsidP="007D2475" w14:paraId="3655C08C" w14:textId="77777777"/>
    <w:p w:rsidR="001154CC" w:rsidRPr="003B6371" w:rsidP="007D2475" w14:paraId="5E6359B5" w14:textId="0E32937C">
      <w:pPr>
        <w:rPr>
          <w:u w:val="single"/>
        </w:rPr>
      </w:pPr>
      <w:r w:rsidRPr="00EF1E39">
        <w:t xml:space="preserve">14. </w:t>
      </w:r>
      <w:r w:rsidRPr="00EF1E39">
        <w:rPr>
          <w:u w:val="single"/>
        </w:rPr>
        <w:t xml:space="preserve">Estimated </w:t>
      </w:r>
      <w:r w:rsidR="006F3813">
        <w:rPr>
          <w:u w:val="single"/>
        </w:rPr>
        <w:t>a</w:t>
      </w:r>
      <w:r w:rsidRPr="00EF1E39">
        <w:rPr>
          <w:u w:val="single"/>
        </w:rPr>
        <w:t xml:space="preserve">nnual </w:t>
      </w:r>
      <w:r w:rsidR="006F3813">
        <w:rPr>
          <w:u w:val="single"/>
        </w:rPr>
        <w:t>c</w:t>
      </w:r>
      <w:r w:rsidRPr="00EF1E39">
        <w:rPr>
          <w:u w:val="single"/>
        </w:rPr>
        <w:t xml:space="preserve">ost to the Federal </w:t>
      </w:r>
      <w:r w:rsidR="006F3813">
        <w:rPr>
          <w:u w:val="single"/>
        </w:rPr>
        <w:t>g</w:t>
      </w:r>
      <w:r w:rsidRPr="00EF1E39">
        <w:rPr>
          <w:u w:val="single"/>
        </w:rPr>
        <w:t>overnment.</w:t>
      </w:r>
    </w:p>
    <w:p w:rsidR="007D2475" w:rsidRPr="003B6371" w:rsidP="007D2475" w14:paraId="247561ED" w14:textId="77777777">
      <w:pPr>
        <w:rPr>
          <w:u w:val="single"/>
        </w:rPr>
      </w:pPr>
    </w:p>
    <w:p w:rsidR="003E5EE2" w:rsidRPr="00EF1E39" w:rsidP="00157874" w14:paraId="463A8D86" w14:textId="425C4582">
      <w:pPr>
        <w:ind w:firstLine="720"/>
      </w:pPr>
      <w:r>
        <w:rPr>
          <w:rFonts w:eastAsia="Calibri"/>
        </w:rPr>
        <w:t>20,564,724</w:t>
      </w:r>
      <w:r>
        <w:rPr>
          <w:rStyle w:val="FootnoteReference"/>
          <w:rFonts w:eastAsia="Calibri"/>
        </w:rPr>
        <w:footnoteReference w:id="23"/>
      </w:r>
      <w:r w:rsidRPr="00223235" w:rsidR="00A30DD4">
        <w:t xml:space="preserve"> x</w:t>
      </w:r>
      <w:r w:rsidRPr="00223235" w:rsidR="00DE6C34">
        <w:t xml:space="preserve"> $0.10</w:t>
      </w:r>
      <w:r>
        <w:rPr>
          <w:rStyle w:val="FootnoteReference"/>
        </w:rPr>
        <w:footnoteReference w:id="24"/>
      </w:r>
      <w:r w:rsidRPr="00223235" w:rsidR="00DE6C34">
        <w:t xml:space="preserve"> per filing = </w:t>
      </w:r>
      <w:r w:rsidRPr="00223235" w:rsidR="005C462D">
        <w:t>$</w:t>
      </w:r>
      <w:r>
        <w:t>2,056,472.40</w:t>
      </w:r>
      <w:r w:rsidRPr="00223235" w:rsidR="007B4138">
        <w:t>.</w:t>
      </w:r>
      <w:r w:rsidRPr="00EF1E39">
        <w:t xml:space="preserve"> </w:t>
      </w:r>
    </w:p>
    <w:p w:rsidR="007D2475" w:rsidRPr="003B6371" w:rsidP="007D2475" w14:paraId="4F543202" w14:textId="77777777"/>
    <w:p w:rsidR="003E5EE2" w:rsidRPr="003B6371" w:rsidP="007D2475" w14:paraId="6C0F58E1" w14:textId="774DE627">
      <w:r w:rsidRPr="003B6371">
        <w:t xml:space="preserve">15. </w:t>
      </w:r>
      <w:r w:rsidRPr="003B6371">
        <w:rPr>
          <w:u w:val="single"/>
        </w:rPr>
        <w:t xml:space="preserve">Reason for </w:t>
      </w:r>
      <w:r w:rsidR="006F3813">
        <w:rPr>
          <w:u w:val="single"/>
        </w:rPr>
        <w:t>c</w:t>
      </w:r>
      <w:r w:rsidRPr="003B6371">
        <w:rPr>
          <w:u w:val="single"/>
        </w:rPr>
        <w:t xml:space="preserve">hange in </w:t>
      </w:r>
      <w:r w:rsidR="006F3813">
        <w:rPr>
          <w:u w:val="single"/>
        </w:rPr>
        <w:t>b</w:t>
      </w:r>
      <w:r w:rsidRPr="003B6371">
        <w:rPr>
          <w:u w:val="single"/>
        </w:rPr>
        <w:t>urden.</w:t>
      </w:r>
      <w:r w:rsidRPr="003B6371">
        <w:t xml:space="preserve"> </w:t>
      </w:r>
    </w:p>
    <w:p w:rsidR="00003D2A" w:rsidRPr="003B6371" w:rsidP="007D2475" w14:paraId="23D1ADFF" w14:textId="77777777"/>
    <w:p w:rsidR="000F3B43" w:rsidRPr="00105151" w:rsidP="00157874" w14:paraId="2A1ED385" w14:textId="721C8677">
      <w:pPr>
        <w:ind w:firstLine="720"/>
      </w:pPr>
      <w:r>
        <w:t xml:space="preserve">The estimated total annual burden hours increased by </w:t>
      </w:r>
      <w:r w:rsidR="005A2343">
        <w:t>616,971</w:t>
      </w:r>
      <w:r>
        <w:t xml:space="preserve"> hours from </w:t>
      </w:r>
      <w:r w:rsidR="005A2343">
        <w:t>2,124,992</w:t>
      </w:r>
      <w:r>
        <w:t xml:space="preserve"> hours in 20</w:t>
      </w:r>
      <w:r w:rsidR="005A2343">
        <w:t>20</w:t>
      </w:r>
      <w:r>
        <w:t xml:space="preserve"> </w:t>
      </w:r>
      <w:r w:rsidR="0030388A">
        <w:t xml:space="preserve">PRA renewal </w:t>
      </w:r>
      <w:r>
        <w:t xml:space="preserve">to </w:t>
      </w:r>
      <w:r w:rsidR="00DA69A4">
        <w:rPr>
          <w:color w:val="000000"/>
        </w:rPr>
        <w:t>2,741,963 hours</w:t>
      </w:r>
      <w:r>
        <w:rPr>
          <w:color w:val="000000"/>
        </w:rPr>
        <w:t xml:space="preserve"> as part of the 2024 PRA renewal.  </w:t>
      </w:r>
      <w:r w:rsidRPr="00D7744D">
        <w:rPr>
          <w:color w:val="000000"/>
        </w:rPr>
        <w:t xml:space="preserve">The increase in burden is a result of an increase in the estimated annual </w:t>
      </w:r>
      <w:r w:rsidRPr="00D7744D">
        <w:rPr>
          <w:color w:val="000000"/>
        </w:rPr>
        <w:t>responses</w:t>
      </w:r>
      <w:r w:rsidR="00D7744D">
        <w:rPr>
          <w:color w:val="000000"/>
        </w:rPr>
        <w:t>,</w:t>
      </w:r>
      <w:r w:rsidRPr="00D7744D">
        <w:rPr>
          <w:color w:val="000000"/>
        </w:rPr>
        <w:t xml:space="preserve"> from </w:t>
      </w:r>
      <w:r w:rsidRPr="00D7744D" w:rsidR="005A2343">
        <w:rPr>
          <w:color w:val="000000"/>
        </w:rPr>
        <w:t>16,087,182</w:t>
      </w:r>
      <w:r w:rsidRPr="00D7744D">
        <w:rPr>
          <w:color w:val="000000"/>
        </w:rPr>
        <w:t xml:space="preserve"> </w:t>
      </w:r>
      <w:r w:rsidRPr="00D7744D" w:rsidR="0030388A">
        <w:rPr>
          <w:color w:val="000000"/>
        </w:rPr>
        <w:t xml:space="preserve">CTRs filed </w:t>
      </w:r>
      <w:r w:rsidRPr="00D7744D">
        <w:rPr>
          <w:color w:val="000000"/>
        </w:rPr>
        <w:t xml:space="preserve">in </w:t>
      </w:r>
      <w:r w:rsidRPr="00D7744D" w:rsidR="005A2343">
        <w:rPr>
          <w:color w:val="000000"/>
        </w:rPr>
        <w:t>calendar year 2019</w:t>
      </w:r>
      <w:r w:rsidRPr="00D7744D">
        <w:rPr>
          <w:color w:val="000000"/>
        </w:rPr>
        <w:t xml:space="preserve"> to </w:t>
      </w:r>
      <w:r w:rsidRPr="00D7744D" w:rsidR="00DA69A4">
        <w:rPr>
          <w:rFonts w:eastAsia="Calibri"/>
        </w:rPr>
        <w:t xml:space="preserve">20,564,724 CTRs filed in </w:t>
      </w:r>
      <w:r w:rsidRPr="00D7744D" w:rsidR="0030388A">
        <w:rPr>
          <w:rFonts w:eastAsia="Calibri"/>
        </w:rPr>
        <w:t>calendar year 2022</w:t>
      </w:r>
      <w:r w:rsidRPr="00D7744D" w:rsidR="00DA69A4">
        <w:rPr>
          <w:rFonts w:eastAsia="Calibri"/>
        </w:rPr>
        <w:t>.</w:t>
      </w:r>
    </w:p>
    <w:p w:rsidR="007D2475" w:rsidRPr="00EF1E39" w:rsidP="007D2475" w14:paraId="21E55A10" w14:textId="77777777"/>
    <w:p w:rsidR="003E5EE2" w:rsidRPr="003B6371" w:rsidP="007D2475" w14:paraId="76BCDEEB" w14:textId="76C25365">
      <w:r w:rsidRPr="003B6371">
        <w:t xml:space="preserve">16. </w:t>
      </w:r>
      <w:r w:rsidRPr="003B6371">
        <w:rPr>
          <w:u w:val="single"/>
        </w:rPr>
        <w:t xml:space="preserve">Plans for </w:t>
      </w:r>
      <w:r w:rsidR="003A27BD">
        <w:rPr>
          <w:u w:val="single"/>
        </w:rPr>
        <w:t>t</w:t>
      </w:r>
      <w:r w:rsidRPr="003B6371">
        <w:rPr>
          <w:u w:val="single"/>
        </w:rPr>
        <w:t xml:space="preserve">abulation, </w:t>
      </w:r>
      <w:r w:rsidR="003A27BD">
        <w:rPr>
          <w:u w:val="single"/>
        </w:rPr>
        <w:t>s</w:t>
      </w:r>
      <w:r w:rsidRPr="003B6371">
        <w:rPr>
          <w:u w:val="single"/>
        </w:rPr>
        <w:t xml:space="preserve">tatistical </w:t>
      </w:r>
      <w:r w:rsidR="003A27BD">
        <w:rPr>
          <w:u w:val="single"/>
        </w:rPr>
        <w:t>a</w:t>
      </w:r>
      <w:r w:rsidRPr="003B6371">
        <w:rPr>
          <w:u w:val="single"/>
        </w:rPr>
        <w:t xml:space="preserve">nalysis, and </w:t>
      </w:r>
      <w:r w:rsidR="003A27BD">
        <w:rPr>
          <w:u w:val="single"/>
        </w:rPr>
        <w:t>p</w:t>
      </w:r>
      <w:r w:rsidRPr="003B6371">
        <w:rPr>
          <w:u w:val="single"/>
        </w:rPr>
        <w:t>ublication.</w:t>
      </w:r>
      <w:r w:rsidRPr="003B6371">
        <w:t xml:space="preserve"> </w:t>
      </w:r>
    </w:p>
    <w:p w:rsidR="00F81D3C" w:rsidRPr="003B6371" w:rsidP="007D2475" w14:paraId="46C0C5AC" w14:textId="77777777"/>
    <w:p w:rsidR="003E5EE2" w:rsidRPr="00A37B2C" w:rsidP="00157874" w14:paraId="6C6C2B54" w14:textId="77777777">
      <w:pPr>
        <w:ind w:firstLine="720"/>
      </w:pPr>
      <w:r w:rsidRPr="003B6371">
        <w:t>The information will not b</w:t>
      </w:r>
      <w:r w:rsidRPr="00A37B2C">
        <w:t>e tabulated or compiled for publication.</w:t>
      </w:r>
    </w:p>
    <w:p w:rsidR="007D2475" w:rsidRPr="00E7709B" w:rsidP="007D2475" w14:paraId="0CC7192C" w14:textId="77777777"/>
    <w:p w:rsidR="003E5EE2" w:rsidRPr="00105151" w:rsidP="007D2475" w14:paraId="4D1D76F0" w14:textId="03CD725A">
      <w:r w:rsidRPr="00105151">
        <w:t xml:space="preserve">17. </w:t>
      </w:r>
      <w:r w:rsidRPr="00105151">
        <w:rPr>
          <w:u w:val="single"/>
        </w:rPr>
        <w:t xml:space="preserve">Request not to </w:t>
      </w:r>
      <w:r w:rsidR="003A27BD">
        <w:rPr>
          <w:u w:val="single"/>
        </w:rPr>
        <w:t>d</w:t>
      </w:r>
      <w:r w:rsidRPr="00105151">
        <w:rPr>
          <w:u w:val="single"/>
        </w:rPr>
        <w:t xml:space="preserve">isplay </w:t>
      </w:r>
      <w:r w:rsidR="003A27BD">
        <w:rPr>
          <w:u w:val="single"/>
        </w:rPr>
        <w:t>e</w:t>
      </w:r>
      <w:r w:rsidRPr="00105151">
        <w:rPr>
          <w:u w:val="single"/>
        </w:rPr>
        <w:t xml:space="preserve">xpiration </w:t>
      </w:r>
      <w:r w:rsidR="003A27BD">
        <w:rPr>
          <w:u w:val="single"/>
        </w:rPr>
        <w:t>d</w:t>
      </w:r>
      <w:r w:rsidRPr="00105151">
        <w:rPr>
          <w:u w:val="single"/>
        </w:rPr>
        <w:t xml:space="preserve">ate of OMB </w:t>
      </w:r>
      <w:r w:rsidR="003A27BD">
        <w:rPr>
          <w:u w:val="single"/>
        </w:rPr>
        <w:t>c</w:t>
      </w:r>
      <w:r w:rsidRPr="00105151">
        <w:rPr>
          <w:u w:val="single"/>
        </w:rPr>
        <w:t xml:space="preserve">ontrol </w:t>
      </w:r>
      <w:r w:rsidR="003A27BD">
        <w:rPr>
          <w:u w:val="single"/>
        </w:rPr>
        <w:t>n</w:t>
      </w:r>
      <w:r w:rsidRPr="00105151">
        <w:rPr>
          <w:u w:val="single"/>
        </w:rPr>
        <w:t>umber.</w:t>
      </w:r>
      <w:r w:rsidRPr="00105151">
        <w:t xml:space="preserve"> </w:t>
      </w:r>
    </w:p>
    <w:p w:rsidR="00F81D3C" w:rsidRPr="00105151" w:rsidP="007D2475" w14:paraId="7E68B9BD" w14:textId="77777777"/>
    <w:p w:rsidR="002A13F5" w:rsidRPr="00105151" w:rsidP="00157874" w14:paraId="12AA7EB9" w14:textId="1F97C082">
      <w:pPr>
        <w:ind w:firstLine="720"/>
      </w:pPr>
      <w:r w:rsidRPr="00105151">
        <w:t xml:space="preserve">FinCEN requests that the expiration date of the control number </w:t>
      </w:r>
      <w:r w:rsidR="00CB1340">
        <w:t>relating to the CTR regulations and forms</w:t>
      </w:r>
      <w:r w:rsidRPr="00105151">
        <w:t xml:space="preserve"> not be displayed on the</w:t>
      </w:r>
      <w:r w:rsidR="003A27BD">
        <w:t xml:space="preserve"> </w:t>
      </w:r>
      <w:r w:rsidR="00CB1340">
        <w:t>regulations/</w:t>
      </w:r>
      <w:r w:rsidR="003A27BD">
        <w:t>form</w:t>
      </w:r>
      <w:r w:rsidRPr="00105151">
        <w:t xml:space="preserve"> so that there is no confusion as to whether the</w:t>
      </w:r>
      <w:r w:rsidR="003A27BD">
        <w:t xml:space="preserve"> form </w:t>
      </w:r>
      <w:r w:rsidRPr="00105151" w:rsidR="004D7946">
        <w:t xml:space="preserve">is still valid. </w:t>
      </w:r>
      <w:r w:rsidR="003A27BD">
        <w:t xml:space="preserve"> </w:t>
      </w:r>
      <w:r w:rsidRPr="00105151">
        <w:t>This request will not affect the norma</w:t>
      </w:r>
      <w:r w:rsidRPr="00105151" w:rsidR="00157874">
        <w:t xml:space="preserve">l </w:t>
      </w:r>
      <w:r w:rsidR="007E50A3">
        <w:t>three</w:t>
      </w:r>
      <w:r w:rsidRPr="00105151" w:rsidR="00157874">
        <w:t>-year PRA</w:t>
      </w:r>
      <w:r w:rsidRPr="00105151">
        <w:t xml:space="preserve"> renewal process.</w:t>
      </w:r>
    </w:p>
    <w:p w:rsidR="002A13F5" w:rsidRPr="00105151" w:rsidP="007D2475" w14:paraId="31CC4AD0" w14:textId="77777777"/>
    <w:p w:rsidR="00713308" w:rsidRPr="00105151" w:rsidP="00157874" w14:paraId="055ECB9B" w14:textId="584C6A9D">
      <w:r w:rsidRPr="00105151">
        <w:t xml:space="preserve">18. </w:t>
      </w:r>
      <w:r w:rsidRPr="00105151">
        <w:rPr>
          <w:u w:val="single"/>
        </w:rPr>
        <w:t>Exceptions</w:t>
      </w:r>
      <w:r w:rsidRPr="00105151" w:rsidR="002E29FC">
        <w:rPr>
          <w:u w:val="single"/>
        </w:rPr>
        <w:t xml:space="preserve"> to the </w:t>
      </w:r>
      <w:r w:rsidR="003A27BD">
        <w:rPr>
          <w:u w:val="single"/>
        </w:rPr>
        <w:t>c</w:t>
      </w:r>
      <w:r w:rsidRPr="00105151" w:rsidR="002E29FC">
        <w:rPr>
          <w:u w:val="single"/>
        </w:rPr>
        <w:t xml:space="preserve">ertification </w:t>
      </w:r>
      <w:r w:rsidR="003A27BD">
        <w:rPr>
          <w:u w:val="single"/>
        </w:rPr>
        <w:t>s</w:t>
      </w:r>
      <w:r w:rsidRPr="00105151" w:rsidR="0081396D">
        <w:rPr>
          <w:u w:val="single"/>
        </w:rPr>
        <w:t>tatement.</w:t>
      </w:r>
      <w:r w:rsidRPr="00105151">
        <w:t xml:space="preserve"> </w:t>
      </w:r>
    </w:p>
    <w:p w:rsidR="004D0952" w:rsidRPr="00105151" w:rsidP="007D2475" w14:paraId="20B5BC12" w14:textId="77777777"/>
    <w:p w:rsidR="00E279C1" w:rsidRPr="00105151" w:rsidP="00157874" w14:paraId="76FCD24E" w14:textId="77777777">
      <w:pPr>
        <w:ind w:firstLine="720"/>
      </w:pPr>
      <w:r w:rsidRPr="00105151">
        <w:t>There are no exceptions to the certification statement.</w:t>
      </w:r>
    </w:p>
    <w:p w:rsidR="003E5EE2" w:rsidRPr="00105151" w:rsidP="007D2475" w14:paraId="5C1CFD62" w14:textId="77777777"/>
    <w:sectPr w:rsidSect="001F21A1">
      <w:headerReference w:type="default" r:id="rId10"/>
      <w:footerReference w:type="default" r:id="rId11"/>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B1A" w14:paraId="7239E8BA" w14:textId="6A1BC6B1">
    <w:pPr>
      <w:pStyle w:val="Footer"/>
      <w:jc w:val="center"/>
    </w:pPr>
    <w:r>
      <w:fldChar w:fldCharType="begin"/>
    </w:r>
    <w:r>
      <w:instrText xml:space="preserve"> PAGE   \* MERGEFORMAT </w:instrText>
    </w:r>
    <w:r>
      <w:fldChar w:fldCharType="separate"/>
    </w:r>
    <w:r w:rsidR="00223758">
      <w:rPr>
        <w:noProof/>
      </w:rPr>
      <w:t>2</w:t>
    </w:r>
    <w:r>
      <w:rPr>
        <w:noProof/>
      </w:rPr>
      <w:fldChar w:fldCharType="end"/>
    </w:r>
  </w:p>
  <w:p w:rsidR="00472B1A" w14:paraId="32A21C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36E10" w:rsidP="006B1C67" w14:paraId="27C4DDB6" w14:textId="77777777">
      <w:r>
        <w:separator/>
      </w:r>
    </w:p>
  </w:footnote>
  <w:footnote w:type="continuationSeparator" w:id="1">
    <w:p w:rsidR="00F36E10" w:rsidP="006B1C67" w14:paraId="6010DC92" w14:textId="77777777">
      <w:r>
        <w:continuationSeparator/>
      </w:r>
    </w:p>
  </w:footnote>
  <w:footnote w:id="2">
    <w:p w:rsidR="00815C1E" w:rsidRPr="001827C0" w:rsidP="00815C1E" w14:paraId="7C15F981" w14:textId="77777777">
      <w:pPr>
        <w:pStyle w:val="FootnoteText"/>
      </w:pPr>
      <w:r w:rsidRPr="001827C0">
        <w:rPr>
          <w:rStyle w:val="FootnoteReference"/>
        </w:rPr>
        <w:footnoteRef/>
      </w:r>
      <w:r w:rsidRPr="001827C0">
        <w:t xml:space="preserve"> USA PATRIOT Act, Pub. L. 107–56.</w:t>
      </w:r>
    </w:p>
  </w:footnote>
  <w:footnote w:id="3">
    <w:p w:rsidR="00815C1E" w:rsidRPr="001827C0" w:rsidP="00815C1E" w14:paraId="7211C245" w14:textId="77777777">
      <w:pPr>
        <w:pStyle w:val="FootnoteText"/>
      </w:pPr>
      <w:r w:rsidRPr="001827C0">
        <w:rPr>
          <w:rStyle w:val="FootnoteReference"/>
        </w:rPr>
        <w:footnoteRef/>
      </w:r>
      <w:r w:rsidRPr="001827C0">
        <w:t xml:space="preserve"> The AML Act was enacted as Division F, sections 6001-6511, of the William M. (Mac) Thornberry National Defense Authorization Act for Fiscal Year 2021, Pub. L. 116-283, 134 Stat. 3388 (NDAA).</w:t>
      </w:r>
    </w:p>
  </w:footnote>
  <w:footnote w:id="4">
    <w:p w:rsidR="00815C1E" w:rsidRPr="001827C0" w:rsidP="00815C1E" w14:paraId="2E56CD60" w14:textId="77777777">
      <w:pPr>
        <w:pStyle w:val="FootnoteText"/>
      </w:pPr>
      <w:r w:rsidRPr="001827C0">
        <w:rPr>
          <w:rStyle w:val="FootnoteReference"/>
        </w:rPr>
        <w:footnoteRef/>
      </w:r>
      <w:r w:rsidRPr="00F5371D">
        <w:t xml:space="preserve"> </w:t>
      </w:r>
      <w:r w:rsidRPr="001827C0">
        <w:t xml:space="preserve">Section 358 of the USA PATRIOT Act expanded the purpose of the BSA by including a reference to reports and records “that have a high degree of usefulness in intelligence or counterintelligence activities to protect against international terrorism.”  </w:t>
      </w:r>
      <w:r w:rsidRPr="001827C0">
        <w:rPr>
          <w:i/>
          <w:iCs/>
        </w:rPr>
        <w:t>See</w:t>
      </w:r>
      <w:r w:rsidRPr="001827C0">
        <w:t xml:space="preserve"> 12 U.S.C. 1829b(a).  Section 6101 of the AML Act further expanded the purpose of the BSA to cover such matters as preventing money laundering, tracking illicit funds, assessing risk, and establishing appropriate frameworks for information sharing.  </w:t>
      </w:r>
      <w:r w:rsidRPr="001827C0">
        <w:rPr>
          <w:i/>
          <w:iCs/>
        </w:rPr>
        <w:t>See</w:t>
      </w:r>
      <w:r w:rsidRPr="001827C0">
        <w:t xml:space="preserve"> 31 U.S.C. 5311.</w:t>
      </w:r>
    </w:p>
  </w:footnote>
  <w:footnote w:id="5">
    <w:p w:rsidR="00815C1E" w:rsidRPr="00750696" w:rsidP="00815C1E" w14:paraId="53119C8A" w14:textId="77777777">
      <w:pPr>
        <w:rPr>
          <w:sz w:val="20"/>
          <w:szCs w:val="20"/>
        </w:rPr>
      </w:pPr>
      <w:r w:rsidRPr="00750696">
        <w:rPr>
          <w:rStyle w:val="FootnoteReference"/>
          <w:sz w:val="20"/>
          <w:szCs w:val="20"/>
        </w:rPr>
        <w:footnoteRef/>
      </w:r>
      <w:r w:rsidRPr="00750696">
        <w:rPr>
          <w:sz w:val="20"/>
          <w:szCs w:val="20"/>
        </w:rPr>
        <w:t xml:space="preserve"> Treasury Order 180-01 (Jan. 14, 2020).</w:t>
      </w:r>
    </w:p>
  </w:footnote>
  <w:footnote w:id="6">
    <w:p w:rsidR="0071732F" w:rsidRPr="001B1D04" w:rsidP="0071732F" w14:paraId="703EF6A0" w14:textId="31A5804B">
      <w:pPr>
        <w:pStyle w:val="FootnoteText"/>
      </w:pPr>
      <w:r w:rsidRPr="001B1D04">
        <w:rPr>
          <w:rStyle w:val="FootnoteReference"/>
          <w:rFonts w:eastAsia="Courier New"/>
        </w:rPr>
        <w:footnoteRef/>
      </w:r>
      <w:r w:rsidRPr="001B1D04">
        <w:t xml:space="preserve"> </w:t>
      </w:r>
      <w:r w:rsidRPr="00387DFE">
        <w:t>OMB control number 1506-0004</w:t>
      </w:r>
      <w:r w:rsidRPr="00387DFE" w:rsidR="00223758">
        <w:t xml:space="preserve"> applies to</w:t>
      </w:r>
      <w:r w:rsidRPr="00387DFE">
        <w:t xml:space="preserve"> General provisions - 31 CFR 1010.310 - Reports of transactions in currency, 31 CFR 1010.311 - Filing obligations for reports of transactions in currency, 31 CFR 1010.312 - Identification required, 31 CFR 1010.313 - Aggregation, and 31 CFR 1010.314 - Structured transactions</w:t>
      </w:r>
      <w:r w:rsidRPr="00387DFE" w:rsidR="00223758">
        <w:t xml:space="preserve">.  OMB control number </w:t>
      </w:r>
      <w:r w:rsidRPr="00387DFE">
        <w:t xml:space="preserve">1506-0005 </w:t>
      </w:r>
      <w:r w:rsidRPr="00387DFE" w:rsidR="00223758">
        <w:t xml:space="preserve">applies to </w:t>
      </w:r>
      <w:r w:rsidRPr="00387DFE">
        <w:t xml:space="preserve">Rules for casinos and card clubs - 31 CFR 1021.311 - Reports of transaction in currency and 31 CFR 1021.313 - Aggregation. </w:t>
      </w:r>
      <w:r w:rsidRPr="00387DFE" w:rsidR="00805898">
        <w:t xml:space="preserve"> </w:t>
      </w:r>
      <w:r w:rsidRPr="00387DFE">
        <w:t xml:space="preserve">OMB control number 1506-0064 applies to FinCEN </w:t>
      </w:r>
      <w:r w:rsidRPr="00387DFE" w:rsidR="00657DF4">
        <w:t>Form</w:t>
      </w:r>
      <w:r w:rsidRPr="00387DFE">
        <w:t xml:space="preserve"> 112 - CTR.</w:t>
      </w:r>
    </w:p>
  </w:footnote>
  <w:footnote w:id="7">
    <w:p w:rsidR="00157874" w:rsidRPr="00A537F3" w:rsidP="00157874" w14:paraId="3A88522F" w14:textId="77777777">
      <w:pPr>
        <w:pStyle w:val="FootnoteText"/>
      </w:pPr>
      <w:r w:rsidRPr="00A537F3">
        <w:rPr>
          <w:rStyle w:val="FootnoteReference"/>
          <w:rFonts w:eastAsia="Courier New"/>
        </w:rPr>
        <w:footnoteRef/>
      </w:r>
      <w:r w:rsidRPr="00A537F3">
        <w:t xml:space="preserve"> One hour of burden is estimated under each of the following OMB control numbers: </w:t>
      </w:r>
      <w:r w:rsidRPr="00A537F3">
        <w:rPr>
          <w:rFonts w:eastAsia="Calibri"/>
        </w:rPr>
        <w:t xml:space="preserve">1506-0004 and 1506-0005. </w:t>
      </w:r>
    </w:p>
  </w:footnote>
  <w:footnote w:id="8">
    <w:p w:rsidR="00B61368" w:rsidRPr="000D1224" w:rsidP="00B61368" w14:paraId="1AC5AADF" w14:textId="44BA76AE">
      <w:pPr>
        <w:pStyle w:val="HTMLPreformatted"/>
        <w:shd w:val="clear" w:color="auto" w:fill="FFFFFF"/>
        <w:rPr>
          <w:rFonts w:ascii="Times New Roman" w:hAnsi="Times New Roman"/>
          <w:color w:val="000000"/>
          <w:lang w:val="en-US"/>
        </w:rPr>
      </w:pPr>
      <w:r w:rsidRPr="004C7FA7">
        <w:rPr>
          <w:rStyle w:val="FootnoteReference"/>
          <w:rFonts w:ascii="Times New Roman" w:hAnsi="Times New Roman"/>
        </w:rPr>
        <w:footnoteRef/>
      </w:r>
      <w:r>
        <w:rPr>
          <w:rFonts w:ascii="Times New Roman" w:hAnsi="Times New Roman"/>
        </w:rPr>
        <w:t xml:space="preserve"> </w:t>
      </w:r>
      <w:r w:rsidRPr="000B7E8F" w:rsidR="000D1224">
        <w:rPr>
          <w:rFonts w:ascii="Times New Roman" w:hAnsi="Times New Roman"/>
          <w:i/>
          <w:iCs/>
        </w:rPr>
        <w:t>See</w:t>
      </w:r>
      <w:r w:rsidR="000D1224">
        <w:rPr>
          <w:rFonts w:ascii="Times New Roman" w:hAnsi="Times New Roman"/>
          <w:lang w:val="en-US"/>
        </w:rPr>
        <w:t xml:space="preserve"> </w:t>
      </w:r>
      <w:r w:rsidRPr="004C7FA7" w:rsidR="000D1224">
        <w:rPr>
          <w:rFonts w:ascii="Times New Roman" w:hAnsi="Times New Roman"/>
          <w:color w:val="000000"/>
        </w:rPr>
        <w:t>FinCEN</w:t>
      </w:r>
      <w:r w:rsidR="001E1C57">
        <w:rPr>
          <w:rFonts w:ascii="Times New Roman" w:hAnsi="Times New Roman"/>
          <w:color w:val="000000"/>
        </w:rPr>
        <w:t>,</w:t>
      </w:r>
      <w:r w:rsidRPr="004C7FA7" w:rsidR="000D1224">
        <w:rPr>
          <w:rFonts w:ascii="Times New Roman" w:hAnsi="Times New Roman"/>
          <w:color w:val="000000"/>
        </w:rPr>
        <w:t xml:space="preserve"> </w:t>
      </w:r>
      <w:r w:rsidRPr="001C1240" w:rsidR="001E1C57">
        <w:rPr>
          <w:rFonts w:ascii="Times New Roman" w:hAnsi="Times New Roman"/>
          <w:i/>
          <w:iCs/>
          <w:color w:val="000000"/>
        </w:rPr>
        <w:t xml:space="preserve">Privacy Act of 1974, </w:t>
      </w:r>
      <w:r w:rsidRPr="001C1240" w:rsidR="000D1224">
        <w:rPr>
          <w:rFonts w:ascii="Times New Roman" w:hAnsi="Times New Roman"/>
          <w:i/>
          <w:iCs/>
          <w:color w:val="000000"/>
        </w:rPr>
        <w:t>System of Records Notice</w:t>
      </w:r>
      <w:r w:rsidR="001E1C57">
        <w:rPr>
          <w:rFonts w:ascii="Times New Roman" w:hAnsi="Times New Roman"/>
          <w:lang w:val="en-US"/>
        </w:rPr>
        <w:t>,</w:t>
      </w:r>
      <w:r w:rsidR="00312217">
        <w:rPr>
          <w:rFonts w:ascii="Times New Roman" w:hAnsi="Times New Roman"/>
          <w:lang w:val="en-US"/>
        </w:rPr>
        <w:t xml:space="preserve"> </w:t>
      </w:r>
      <w:hyperlink r:id="rId1" w:history="1">
        <w:r w:rsidR="001E1C57">
          <w:rPr>
            <w:rStyle w:val="Hyperlink"/>
            <w:rFonts w:ascii="Times New Roman" w:hAnsi="Times New Roman"/>
          </w:rPr>
          <w:t>79 FR 20969</w:t>
        </w:r>
      </w:hyperlink>
      <w:r w:rsidR="001E1C57">
        <w:rPr>
          <w:rFonts w:ascii="Times New Roman" w:hAnsi="Times New Roman"/>
        </w:rPr>
        <w:t xml:space="preserve"> (Apr. 14, 2014)</w:t>
      </w:r>
      <w:r w:rsidRPr="004C7FA7" w:rsidR="000D1224">
        <w:rPr>
          <w:rFonts w:ascii="Times New Roman" w:hAnsi="Times New Roman"/>
          <w:color w:val="000000"/>
          <w:lang w:val="en-US"/>
        </w:rPr>
        <w:t xml:space="preserve">. </w:t>
      </w:r>
    </w:p>
  </w:footnote>
  <w:footnote w:id="9">
    <w:p w:rsidR="00E40A4A" w14:paraId="2C38DFAA" w14:textId="1FA1D723">
      <w:pPr>
        <w:pStyle w:val="FootnoteText"/>
      </w:pPr>
      <w:r>
        <w:rPr>
          <w:rStyle w:val="FootnoteReference"/>
        </w:rPr>
        <w:footnoteRef/>
      </w:r>
      <w:r>
        <w:t xml:space="preserve"> </w:t>
      </w:r>
      <w:r w:rsidRPr="00D64CB2">
        <w:t>In batch-filing, a filer submits a single electronic file containing several reports.</w:t>
      </w:r>
      <w:r w:rsidR="00DF1AF4">
        <w:t xml:space="preserve"> </w:t>
      </w:r>
      <w:r w:rsidRPr="00D64CB2">
        <w:t xml:space="preserve"> In discrete-filing, the filer fills in an electronic form individually, using a data entry screen that FinCEN provides.</w:t>
      </w:r>
    </w:p>
  </w:footnote>
  <w:footnote w:id="10">
    <w:p w:rsidR="008B4189" w14:paraId="1CE94E82" w14:textId="77777777">
      <w:pPr>
        <w:pStyle w:val="FootnoteText"/>
      </w:pPr>
      <w:r>
        <w:rPr>
          <w:rStyle w:val="FootnoteReference"/>
        </w:rPr>
        <w:footnoteRef/>
      </w:r>
      <w:r>
        <w:t xml:space="preserve"> </w:t>
      </w:r>
      <w:r w:rsidRPr="000B7E8F">
        <w:rPr>
          <w:i/>
          <w:iCs/>
        </w:rPr>
        <w:t>See</w:t>
      </w:r>
      <w:r>
        <w:t xml:space="preserve"> 31 CFR 1020</w:t>
      </w:r>
      <w:r w:rsidR="005A2611">
        <w:t>.315 - Transactions of exempt</w:t>
      </w:r>
      <w:r>
        <w:t xml:space="preserve"> persons and 31 CFR 1010.315 – Exemptions for non-bank financial institutions.</w:t>
      </w:r>
    </w:p>
  </w:footnote>
  <w:footnote w:id="11">
    <w:p w:rsidR="00611DCC" w:rsidRPr="00D46975" w:rsidP="00611DCC" w14:paraId="6B666FD5" w14:textId="29DD2541">
      <w:pPr>
        <w:pStyle w:val="FootnoteText"/>
      </w:pPr>
      <w:r>
        <w:rPr>
          <w:rStyle w:val="FootnoteReference"/>
        </w:rPr>
        <w:footnoteRef/>
      </w:r>
      <w:r>
        <w:t xml:space="preserve"> </w:t>
      </w:r>
      <w:r w:rsidRPr="00415D97">
        <w:rPr>
          <w:i/>
          <w:iCs/>
        </w:rPr>
        <w:t>See</w:t>
      </w:r>
      <w:r>
        <w:t xml:space="preserve"> FinCEN, </w:t>
      </w:r>
      <w:r>
        <w:rPr>
          <w:i/>
          <w:iCs/>
        </w:rPr>
        <w:t>Agency Information Collection Activities; Proposed Renewal; Comment Request; Renewal Without Change of Reports of Transactions in Currency Regulations and FinCEN Form 112- Currency Transaction Report</w:t>
      </w:r>
      <w:r>
        <w:t xml:space="preserve">, </w:t>
      </w:r>
      <w:hyperlink r:id="rId2" w:history="1">
        <w:r w:rsidR="00A321CC">
          <w:rPr>
            <w:rStyle w:val="Hyperlink"/>
          </w:rPr>
          <w:t>89 FR 7767</w:t>
        </w:r>
      </w:hyperlink>
      <w:r>
        <w:t xml:space="preserve"> (Feb. 5</w:t>
      </w:r>
      <w:r w:rsidR="00A321CC">
        <w:t>,</w:t>
      </w:r>
      <w:r>
        <w:t xml:space="preserve"> 2024).</w:t>
      </w:r>
    </w:p>
  </w:footnote>
  <w:footnote w:id="12">
    <w:p w:rsidR="005753EC" w14:paraId="47524722" w14:textId="421EEFAE">
      <w:pPr>
        <w:pStyle w:val="FootnoteText"/>
      </w:pPr>
      <w:r>
        <w:rPr>
          <w:rStyle w:val="FootnoteReference"/>
        </w:rPr>
        <w:footnoteRef/>
      </w:r>
      <w:r>
        <w:t xml:space="preserve"> See the FinCEN CTR Electronic Filing Requirements - Part I Person Involved in a Transaction(s) at </w:t>
      </w:r>
      <w:hyperlink r:id="rId3" w:history="1">
        <w:r w:rsidRPr="00880432">
          <w:rPr>
            <w:rStyle w:val="Hyperlink"/>
          </w:rPr>
          <w:t>https://bsaefiling.fincen.treas.gov/docs/XMLUserGuide_FinCENCTR.pdf</w:t>
        </w:r>
      </w:hyperlink>
      <w:r w:rsidR="00C1268D">
        <w:t>.</w:t>
      </w:r>
    </w:p>
  </w:footnote>
  <w:footnote w:id="13">
    <w:p w:rsidR="006F3813" w:rsidP="006F3813" w14:paraId="35A32ED5" w14:textId="2AC68647">
      <w:pPr>
        <w:pStyle w:val="HTMLPreformatted"/>
        <w:shd w:val="clear" w:color="auto" w:fill="FFFFFF"/>
      </w:pPr>
      <w:r w:rsidRPr="001F7618">
        <w:rPr>
          <w:rStyle w:val="FootnoteReference"/>
          <w:rFonts w:ascii="Times New Roman" w:hAnsi="Times New Roman"/>
        </w:rPr>
        <w:footnoteRef/>
      </w:r>
      <w:r w:rsidR="004D6B4C">
        <w:rPr>
          <w:rFonts w:ascii="Times New Roman" w:hAnsi="Times New Roman"/>
          <w:i/>
          <w:iCs/>
        </w:rPr>
        <w:t xml:space="preserve"> </w:t>
      </w:r>
      <w:r w:rsidRPr="004B3BE0">
        <w:rPr>
          <w:rFonts w:ascii="Times New Roman" w:hAnsi="Times New Roman"/>
          <w:i/>
          <w:iCs/>
        </w:rPr>
        <w:t>See</w:t>
      </w:r>
      <w:r w:rsidRPr="001F7618">
        <w:rPr>
          <w:rFonts w:ascii="Times New Roman" w:hAnsi="Times New Roman"/>
        </w:rPr>
        <w:t xml:space="preserve"> </w:t>
      </w:r>
      <w:r w:rsidRPr="001F7618">
        <w:rPr>
          <w:rFonts w:ascii="Times New Roman" w:hAnsi="Times New Roman"/>
          <w:color w:val="000000"/>
        </w:rPr>
        <w:t>FinCEN</w:t>
      </w:r>
      <w:r>
        <w:rPr>
          <w:rFonts w:ascii="Times New Roman" w:hAnsi="Times New Roman"/>
          <w:color w:val="000000"/>
        </w:rPr>
        <w:t xml:space="preserve">, </w:t>
      </w:r>
      <w:r>
        <w:rPr>
          <w:rFonts w:ascii="Times New Roman" w:hAnsi="Times New Roman"/>
          <w:i/>
          <w:iCs/>
          <w:color w:val="000000"/>
        </w:rPr>
        <w:t>Privacy Act of 1974, Systems of Records Notice</w:t>
      </w:r>
      <w:r>
        <w:rPr>
          <w:rFonts w:ascii="Times New Roman" w:hAnsi="Times New Roman"/>
          <w:color w:val="000000"/>
        </w:rPr>
        <w:t>,</w:t>
      </w:r>
      <w:r>
        <w:rPr>
          <w:rFonts w:ascii="Times New Roman" w:hAnsi="Times New Roman"/>
        </w:rPr>
        <w:t xml:space="preserve"> </w:t>
      </w:r>
      <w:hyperlink r:id="rId1" w:history="1">
        <w:r>
          <w:rPr>
            <w:rFonts w:ascii="Times New Roman" w:hAnsi="Times New Roman"/>
            <w:color w:val="0000FF"/>
            <w:u w:val="single"/>
          </w:rPr>
          <w:t>79 FR 20969</w:t>
        </w:r>
      </w:hyperlink>
      <w:r w:rsidRPr="009C64C0">
        <w:rPr>
          <w:rFonts w:ascii="Times New Roman" w:hAnsi="Times New Roman"/>
          <w:color w:val="0000FF"/>
        </w:rPr>
        <w:t xml:space="preserve"> </w:t>
      </w:r>
      <w:r w:rsidRPr="009C64C0">
        <w:rPr>
          <w:rFonts w:ascii="Times New Roman" w:hAnsi="Times New Roman"/>
        </w:rPr>
        <w:t xml:space="preserve">(Apr. 14, 2014). </w:t>
      </w:r>
    </w:p>
  </w:footnote>
  <w:footnote w:id="14">
    <w:p w:rsidR="006F3813" w:rsidRPr="008341FC" w:rsidP="006F3813" w14:paraId="703F55B5" w14:textId="77777777">
      <w:pPr>
        <w:pStyle w:val="FootnoteText"/>
        <w:rPr>
          <w:i/>
          <w:iCs/>
        </w:rPr>
      </w:pPr>
      <w:r w:rsidRPr="001F7618">
        <w:rPr>
          <w:rStyle w:val="FootnoteReference"/>
        </w:rPr>
        <w:footnoteRef/>
      </w:r>
      <w:r w:rsidRPr="001F7618">
        <w:t xml:space="preserve"> </w:t>
      </w:r>
      <w:r w:rsidRPr="008341FC">
        <w:rPr>
          <w:i/>
          <w:iCs/>
        </w:rPr>
        <w:t>Id.</w:t>
      </w:r>
    </w:p>
  </w:footnote>
  <w:footnote w:id="15">
    <w:p w:rsidR="0095295A" w:rsidRPr="00A537F3" w:rsidP="0095295A" w14:paraId="26D342C1" w14:textId="77777777">
      <w:pPr>
        <w:pStyle w:val="FootnoteText"/>
      </w:pPr>
      <w:r w:rsidRPr="00A537F3">
        <w:rPr>
          <w:rStyle w:val="FootnoteReference"/>
          <w:rFonts w:eastAsia="Courier New"/>
        </w:rPr>
        <w:footnoteRef/>
      </w:r>
      <w:r w:rsidRPr="00A537F3">
        <w:t xml:space="preserve"> One hour of burden is estimated under each of the following OMB control numbers: </w:t>
      </w:r>
      <w:r w:rsidRPr="00A537F3">
        <w:rPr>
          <w:rFonts w:eastAsia="Calibri"/>
        </w:rPr>
        <w:t xml:space="preserve">1506-0004 and 1506-0005. </w:t>
      </w:r>
    </w:p>
  </w:footnote>
  <w:footnote w:id="16">
    <w:p w:rsidR="007E50A3" w14:paraId="47915923" w14:textId="0FB86166">
      <w:pPr>
        <w:pStyle w:val="FootnoteText"/>
      </w:pPr>
      <w:r>
        <w:rPr>
          <w:rStyle w:val="FootnoteReference"/>
        </w:rPr>
        <w:footnoteRef/>
      </w:r>
      <w:r>
        <w:t xml:space="preserve"> This estimate is </w:t>
      </w:r>
      <w:r w:rsidRPr="00296FDA">
        <w:t xml:space="preserve">based on </w:t>
      </w:r>
      <w:r>
        <w:t xml:space="preserve">the observed number of unique filers associated with at least one CTR fling received in calendar year 2022, </w:t>
      </w:r>
      <w:r w:rsidRPr="00296FDA">
        <w:t>as reported by the BSA E-Filing System as of 12/31</w:t>
      </w:r>
      <w:r>
        <w:t>/2022.</w:t>
      </w:r>
    </w:p>
  </w:footnote>
  <w:footnote w:id="17">
    <w:p w:rsidR="0012361A" w:rsidRPr="004B2A63" w:rsidP="0012361A" w14:paraId="5DB08B43" w14:textId="6FF527AC">
      <w:pPr>
        <w:pStyle w:val="FootnoteText"/>
      </w:pPr>
      <w:r w:rsidRPr="00296FDA">
        <w:rPr>
          <w:rStyle w:val="FootnoteReference"/>
          <w:rFonts w:eastAsia="Courier New"/>
        </w:rPr>
        <w:footnoteRef/>
      </w:r>
      <w:r w:rsidRPr="00296FDA">
        <w:t xml:space="preserve"> </w:t>
      </w:r>
      <w:r w:rsidR="000D5E59">
        <w:t xml:space="preserve">This estimate is </w:t>
      </w:r>
      <w:r w:rsidRPr="00296FDA" w:rsidR="000D5E59">
        <w:t>based on</w:t>
      </w:r>
      <w:r w:rsidR="000D5E59">
        <w:t xml:space="preserve"> the observed number of CTR filings received in calendar year 2022, </w:t>
      </w:r>
      <w:r w:rsidRPr="00296FDA" w:rsidR="000D5E59">
        <w:t>as reported by the BSA E-Filing System as of 12/31</w:t>
      </w:r>
      <w:r w:rsidR="000D5E59">
        <w:t>/2022.</w:t>
      </w:r>
    </w:p>
  </w:footnote>
  <w:footnote w:id="18">
    <w:p w:rsidR="000D5E59" w:rsidRPr="000D5E59" w:rsidP="000D5E59" w14:paraId="6FBF7E36" w14:textId="77777777">
      <w:pPr>
        <w:pStyle w:val="Heading1"/>
        <w:textAlignment w:val="baseline"/>
        <w:rPr>
          <w:b w:val="0"/>
          <w:bCs w:val="0"/>
          <w:sz w:val="20"/>
          <w:szCs w:val="20"/>
        </w:rPr>
      </w:pPr>
      <w:r w:rsidRPr="000D5E59">
        <w:rPr>
          <w:rStyle w:val="FootnoteReference"/>
          <w:b w:val="0"/>
          <w:bCs w:val="0"/>
          <w:sz w:val="20"/>
          <w:szCs w:val="20"/>
        </w:rPr>
        <w:footnoteRef/>
      </w:r>
      <w:r w:rsidRPr="000D5E59">
        <w:rPr>
          <w:b w:val="0"/>
          <w:bCs w:val="0"/>
          <w:i/>
          <w:iCs/>
          <w:sz w:val="20"/>
          <w:szCs w:val="20"/>
        </w:rPr>
        <w:t xml:space="preserve"> See</w:t>
      </w:r>
      <w:r w:rsidRPr="000D5E59">
        <w:rPr>
          <w:b w:val="0"/>
          <w:bCs w:val="0"/>
          <w:sz w:val="20"/>
          <w:szCs w:val="20"/>
        </w:rPr>
        <w:t xml:space="preserve"> FinCEN, </w:t>
      </w:r>
      <w:r w:rsidRPr="000D5E59">
        <w:rPr>
          <w:b w:val="0"/>
          <w:bCs w:val="0"/>
          <w:i/>
          <w:iCs/>
          <w:sz w:val="20"/>
          <w:szCs w:val="20"/>
        </w:rPr>
        <w:t>Agency Information Collection Activities; Proposed Renewal; Comment Request; Renewal Without Change of the Bank Secrecy Act Reports of Transactions in Currency Regulations at 31 CFR 1010.310 Through 1010.314, 31 CFR 1021.311, and 31 CFR 1021.313, and FinCEN Report 112-Currency Transaction Report</w:t>
      </w:r>
      <w:r w:rsidRPr="000D5E59">
        <w:rPr>
          <w:b w:val="0"/>
          <w:bCs w:val="0"/>
          <w:sz w:val="20"/>
          <w:szCs w:val="20"/>
        </w:rPr>
        <w:t xml:space="preserve">, </w:t>
      </w:r>
      <w:hyperlink r:id="rId4" w:history="1">
        <w:r w:rsidRPr="000D5E59">
          <w:rPr>
            <w:rStyle w:val="Hyperlink"/>
            <w:b w:val="0"/>
            <w:bCs w:val="0"/>
            <w:sz w:val="20"/>
            <w:szCs w:val="20"/>
          </w:rPr>
          <w:t>85 FR 29022</w:t>
        </w:r>
      </w:hyperlink>
      <w:r w:rsidRPr="000D5E59">
        <w:rPr>
          <w:b w:val="0"/>
          <w:bCs w:val="0"/>
          <w:sz w:val="20"/>
          <w:szCs w:val="20"/>
        </w:rPr>
        <w:t xml:space="preserve"> (May 14, 2020).  Refer to </w:t>
      </w:r>
      <w:r w:rsidRPr="00D7744D">
        <w:rPr>
          <w:b w:val="0"/>
          <w:bCs w:val="0"/>
          <w:sz w:val="20"/>
          <w:szCs w:val="20"/>
        </w:rPr>
        <w:t>85 FR 29029</w:t>
      </w:r>
      <w:r w:rsidRPr="000D5E59">
        <w:rPr>
          <w:b w:val="0"/>
          <w:bCs w:val="0"/>
          <w:sz w:val="20"/>
          <w:szCs w:val="20"/>
        </w:rPr>
        <w:t xml:space="preserve"> for the specific reference to the estimated recordkeeping and reporting burden estimate of eight minutes per CTR.</w:t>
      </w:r>
    </w:p>
  </w:footnote>
  <w:footnote w:id="19">
    <w:p w:rsidR="000D5E59" w:rsidP="000D5E59" w14:paraId="6A63215B" w14:textId="77777777">
      <w:pPr>
        <w:pStyle w:val="FootnoteText"/>
      </w:pPr>
      <w:r>
        <w:rPr>
          <w:rStyle w:val="FootnoteReference"/>
        </w:rPr>
        <w:footnoteRef/>
      </w:r>
      <w:r>
        <w:t xml:space="preserve"> This estimate is derived from the calculation </w:t>
      </w:r>
      <w:r>
        <w:rPr>
          <w:rFonts w:eastAsia="Calibri"/>
        </w:rPr>
        <w:t>20,564,724 CTRs multiplied by eight minutes per CTR and converted to hours.</w:t>
      </w:r>
    </w:p>
  </w:footnote>
  <w:footnote w:id="20">
    <w:p w:rsidR="00B97419" w:rsidRPr="00C11750" w:rsidP="00B97419" w14:paraId="70CF1156" w14:textId="750A3B7A">
      <w:pPr>
        <w:pStyle w:val="FootnoteText"/>
      </w:pPr>
      <w:r w:rsidRPr="00C11750">
        <w:rPr>
          <w:rStyle w:val="FootnoteReference"/>
        </w:rPr>
        <w:footnoteRef/>
      </w:r>
      <w:r w:rsidRPr="00C11750">
        <w:t xml:space="preserve"> Tables 1 and 2</w:t>
      </w:r>
      <w:r>
        <w:t>,</w:t>
      </w:r>
      <w:r w:rsidRPr="00C11750">
        <w:t xml:space="preserve"> </w:t>
      </w:r>
      <w:r>
        <w:t xml:space="preserve">in </w:t>
      </w:r>
      <w:r w:rsidRPr="009F65B7">
        <w:t>the 2024 60-</w:t>
      </w:r>
      <w:r w:rsidRPr="009F65B7" w:rsidR="00850952">
        <w:t>N</w:t>
      </w:r>
      <w:r w:rsidRPr="009F65B7">
        <w:t>otice, use the same methodology to estimate the weighted average hourly cost as was used in the 2020 Notice.  The tables,</w:t>
      </w:r>
      <w:r w:rsidRPr="00C11750">
        <w:t xml:space="preserve"> however</w:t>
      </w:r>
      <w:r>
        <w:t>,</w:t>
      </w:r>
      <w:r w:rsidRPr="00C11750">
        <w:t xml:space="preserve"> include the most recent statistics available as described in further detail in </w:t>
      </w:r>
      <w:r w:rsidR="00850952">
        <w:t>the 2024 Notice</w:t>
      </w:r>
      <w:r w:rsidRPr="00C11750">
        <w:t xml:space="preserve">.  </w:t>
      </w:r>
    </w:p>
  </w:footnote>
  <w:footnote w:id="21">
    <w:p w:rsidR="00B97419" w:rsidRPr="00C11750" w:rsidP="00B97419" w14:paraId="377B4039" w14:textId="77777777">
      <w:pPr>
        <w:pStyle w:val="FootnoteText"/>
      </w:pPr>
      <w:r w:rsidRPr="00C11750">
        <w:rPr>
          <w:rStyle w:val="FootnoteReference"/>
        </w:rPr>
        <w:footnoteRef/>
      </w:r>
      <w:r w:rsidRPr="00C11750">
        <w:t xml:space="preserve"> The average hourly wage rate is calculated from the May 2022 U.S. Bureau of Labor Statistics (BLS) median hourly wage </w:t>
      </w:r>
      <w:r>
        <w:t xml:space="preserve">for </w:t>
      </w:r>
      <w:r w:rsidRPr="00C11750">
        <w:t xml:space="preserve">the BLS codes listed in Table 1.  </w:t>
      </w:r>
      <w:r w:rsidRPr="00C11750">
        <w:rPr>
          <w:i/>
          <w:iCs/>
        </w:rPr>
        <w:t>See</w:t>
      </w:r>
      <w:r w:rsidRPr="00C11750">
        <w:t xml:space="preserve"> BLS, </w:t>
      </w:r>
      <w:r w:rsidRPr="00C11750">
        <w:rPr>
          <w:i/>
          <w:iCs/>
        </w:rPr>
        <w:t>Occupational Employment and Wages</w:t>
      </w:r>
      <w:r w:rsidRPr="00C11750">
        <w:t xml:space="preserve"> </w:t>
      </w:r>
      <w:r w:rsidRPr="00C11750">
        <w:rPr>
          <w:i/>
          <w:iCs/>
        </w:rPr>
        <w:t xml:space="preserve">Statistics </w:t>
      </w:r>
      <w:r w:rsidRPr="00C11750">
        <w:t xml:space="preserve">(May 2022), available at </w:t>
      </w:r>
      <w:hyperlink r:id="rId5" w:history="1">
        <w:r w:rsidRPr="00C11750">
          <w:rPr>
            <w:rStyle w:val="Hyperlink"/>
          </w:rPr>
          <w:t>https://www.bls.gov/oes/tables.htm</w:t>
        </w:r>
      </w:hyperlink>
      <w:r w:rsidRPr="00C11750">
        <w:rPr>
          <w:rStyle w:val="Hyperlink"/>
        </w:rPr>
        <w:t>.</w:t>
      </w:r>
    </w:p>
  </w:footnote>
  <w:footnote w:id="22">
    <w:p w:rsidR="00B97419" w:rsidRPr="006748D5" w:rsidP="00B97419" w14:paraId="0E5B9C15" w14:textId="77777777">
      <w:pPr>
        <w:pStyle w:val="FootnoteText"/>
      </w:pPr>
      <w:r w:rsidRPr="00C11750">
        <w:rPr>
          <w:rStyle w:val="FootnoteReference"/>
        </w:rPr>
        <w:footnoteRef/>
      </w:r>
      <w:r w:rsidRPr="00C11750">
        <w:t xml:space="preserve"> The ratio between benefits and wages for private industry workers is $</w:t>
      </w:r>
      <w:r>
        <w:t>12.19</w:t>
      </w:r>
      <w:r w:rsidRPr="00C11750">
        <w:t xml:space="preserve"> (hourly benefits)/$2</w:t>
      </w:r>
      <w:r>
        <w:t>9.34</w:t>
      </w:r>
      <w:r w:rsidRPr="00C11750">
        <w:t xml:space="preserve"> (hourly wages) = 0.42, as of</w:t>
      </w:r>
      <w:r>
        <w:t xml:space="preserve"> September</w:t>
      </w:r>
      <w:r w:rsidRPr="00C11750">
        <w:t xml:space="preserve"> 2023.  The benefit factor is 1 plus the benefit/wages ratio, or 1.42.  </w:t>
      </w:r>
      <w:r w:rsidRPr="00C11750">
        <w:rPr>
          <w:i/>
          <w:iCs/>
        </w:rPr>
        <w:t>See</w:t>
      </w:r>
      <w:r w:rsidRPr="00C11750">
        <w:t xml:space="preserve"> BLS, </w:t>
      </w:r>
      <w:r>
        <w:rPr>
          <w:i/>
          <w:iCs/>
        </w:rPr>
        <w:t>Employee Costs for Employee Compensation</w:t>
      </w:r>
      <w:r w:rsidRPr="00C11750">
        <w:rPr>
          <w:i/>
          <w:iCs/>
        </w:rPr>
        <w:t xml:space="preserve"> </w:t>
      </w:r>
      <w:r w:rsidRPr="00C11750">
        <w:t>(</w:t>
      </w:r>
      <w:r>
        <w:t>September 2023</w:t>
      </w:r>
      <w:r w:rsidRPr="00C11750">
        <w:t xml:space="preserve">), </w:t>
      </w:r>
      <w:r w:rsidRPr="006748D5">
        <w:t xml:space="preserve">available at </w:t>
      </w:r>
      <w:hyperlink r:id="rId6" w:anchor=":~:text=Employer%20costs%20for%20private%20industry,percent%20of%20total%20compensation%20costs" w:history="1">
        <w:r w:rsidRPr="006748D5">
          <w:rPr>
            <w:rStyle w:val="Hyperlink"/>
          </w:rPr>
          <w:t>ECEC Home : U.S. Bureau of Labor Statistics (bls.gov)</w:t>
        </w:r>
      </w:hyperlink>
      <w:r w:rsidRPr="006748D5">
        <w:t>.</w:t>
      </w:r>
    </w:p>
    <w:p w:rsidR="00B97419" w:rsidRPr="00C11750" w:rsidP="00B97419" w14:paraId="6B7F8F25" w14:textId="77777777">
      <w:pPr>
        <w:pStyle w:val="FootnoteText"/>
      </w:pPr>
    </w:p>
  </w:footnote>
  <w:footnote w:id="23">
    <w:p w:rsidR="00A30DD4" w14:paraId="6820D446" w14:textId="04B04569">
      <w:pPr>
        <w:pStyle w:val="FootnoteText"/>
      </w:pPr>
      <w:r>
        <w:rPr>
          <w:rStyle w:val="FootnoteReference"/>
        </w:rPr>
        <w:footnoteRef/>
      </w:r>
      <w:r>
        <w:t xml:space="preserve"> </w:t>
      </w:r>
      <w:r w:rsidR="002E29FC">
        <w:t xml:space="preserve">See supra </w:t>
      </w:r>
      <w:r w:rsidRPr="005A4920" w:rsidR="002E29FC">
        <w:t xml:space="preserve">note </w:t>
      </w:r>
      <w:r w:rsidRPr="005A4920" w:rsidR="005A4920">
        <w:t>1</w:t>
      </w:r>
      <w:r w:rsidR="001A0D7F">
        <w:t>6</w:t>
      </w:r>
      <w:r w:rsidRPr="005A4920">
        <w:t>.</w:t>
      </w:r>
    </w:p>
  </w:footnote>
  <w:footnote w:id="24">
    <w:p w:rsidR="007D05CD" w:rsidRPr="00F21BEB" w:rsidP="007D05CD" w14:paraId="09EFD063" w14:textId="77777777">
      <w:pPr>
        <w:pStyle w:val="FootnoteText"/>
      </w:pPr>
      <w:r>
        <w:rPr>
          <w:rStyle w:val="FootnoteReference"/>
        </w:rPr>
        <w:footnoteRef/>
      </w:r>
      <w:r>
        <w:t xml:space="preserve"> </w:t>
      </w:r>
      <w:r w:rsidRPr="008A536D">
        <w:rPr>
          <w:color w:val="000000" w:themeColor="text1"/>
        </w:rPr>
        <w:t xml:space="preserve">The estimated cost per electronic response </w:t>
      </w:r>
      <w:r w:rsidRPr="008A536D">
        <w:t xml:space="preserve">is calculated as part of an annual report FinCEN creates and provides to the Department of the Treasury and OMB, entitled </w:t>
      </w:r>
      <w:r>
        <w:t>T</w:t>
      </w:r>
      <w:r w:rsidRPr="008A536D">
        <w:t>he Cost per BSA Filing Transaction.</w:t>
      </w:r>
    </w:p>
    <w:p w:rsidR="00DE6C34" w14:paraId="4E7C5FEA" w14:textId="2A6432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E34" w14:paraId="0020B8BE" w14:textId="24168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C263C"/>
    <w:multiLevelType w:val="hybridMultilevel"/>
    <w:tmpl w:val="4C8E4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FD3799"/>
    <w:multiLevelType w:val="hybridMultilevel"/>
    <w:tmpl w:val="40B610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2F04C93"/>
    <w:multiLevelType w:val="hybridMultilevel"/>
    <w:tmpl w:val="0C149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5D92A65"/>
    <w:multiLevelType w:val="hybridMultilevel"/>
    <w:tmpl w:val="5EB6F4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4B7AD8"/>
    <w:multiLevelType w:val="hybridMultilevel"/>
    <w:tmpl w:val="1506F8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7166307"/>
    <w:multiLevelType w:val="hybridMultilevel"/>
    <w:tmpl w:val="86388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A2C3183"/>
    <w:multiLevelType w:val="hybridMultilevel"/>
    <w:tmpl w:val="43904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0566410">
    <w:abstractNumId w:val="4"/>
  </w:num>
  <w:num w:numId="2" w16cid:durableId="2143573540">
    <w:abstractNumId w:val="3"/>
  </w:num>
  <w:num w:numId="3" w16cid:durableId="579098917">
    <w:abstractNumId w:val="6"/>
  </w:num>
  <w:num w:numId="4" w16cid:durableId="1746225937">
    <w:abstractNumId w:val="2"/>
  </w:num>
  <w:num w:numId="5" w16cid:durableId="524289406">
    <w:abstractNumId w:val="1"/>
  </w:num>
  <w:num w:numId="6" w16cid:durableId="2017419733">
    <w:abstractNumId w:val="5"/>
  </w:num>
  <w:num w:numId="7" w16cid:durableId="110916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20"/>
    <w:rsid w:val="00003D2A"/>
    <w:rsid w:val="0000712B"/>
    <w:rsid w:val="00007FDA"/>
    <w:rsid w:val="00016571"/>
    <w:rsid w:val="00022A59"/>
    <w:rsid w:val="00034697"/>
    <w:rsid w:val="00041027"/>
    <w:rsid w:val="000461F3"/>
    <w:rsid w:val="000502EA"/>
    <w:rsid w:val="00057CC9"/>
    <w:rsid w:val="00067933"/>
    <w:rsid w:val="000740FA"/>
    <w:rsid w:val="000805DC"/>
    <w:rsid w:val="0008508C"/>
    <w:rsid w:val="000A3005"/>
    <w:rsid w:val="000A67DC"/>
    <w:rsid w:val="000B52E9"/>
    <w:rsid w:val="000B60F2"/>
    <w:rsid w:val="000B7E8F"/>
    <w:rsid w:val="000C2897"/>
    <w:rsid w:val="000D1224"/>
    <w:rsid w:val="000D5E59"/>
    <w:rsid w:val="000E08D1"/>
    <w:rsid w:val="000E2308"/>
    <w:rsid w:val="000E758E"/>
    <w:rsid w:val="000F3B43"/>
    <w:rsid w:val="000F42C4"/>
    <w:rsid w:val="000F4613"/>
    <w:rsid w:val="001010C8"/>
    <w:rsid w:val="00105151"/>
    <w:rsid w:val="001154CC"/>
    <w:rsid w:val="00120BCB"/>
    <w:rsid w:val="0012361A"/>
    <w:rsid w:val="00123C1D"/>
    <w:rsid w:val="00135FA2"/>
    <w:rsid w:val="00140080"/>
    <w:rsid w:val="00143A4A"/>
    <w:rsid w:val="0014482A"/>
    <w:rsid w:val="001539A7"/>
    <w:rsid w:val="00155B8D"/>
    <w:rsid w:val="00156252"/>
    <w:rsid w:val="00157874"/>
    <w:rsid w:val="00167C54"/>
    <w:rsid w:val="001809D0"/>
    <w:rsid w:val="001827C0"/>
    <w:rsid w:val="00182AAB"/>
    <w:rsid w:val="001839A2"/>
    <w:rsid w:val="00191BF5"/>
    <w:rsid w:val="00192CF8"/>
    <w:rsid w:val="001A0D7F"/>
    <w:rsid w:val="001A1455"/>
    <w:rsid w:val="001A43AC"/>
    <w:rsid w:val="001B15BE"/>
    <w:rsid w:val="001B1D04"/>
    <w:rsid w:val="001C1240"/>
    <w:rsid w:val="001C4C86"/>
    <w:rsid w:val="001C5460"/>
    <w:rsid w:val="001C6DC0"/>
    <w:rsid w:val="001D4A63"/>
    <w:rsid w:val="001D59A9"/>
    <w:rsid w:val="001E1C57"/>
    <w:rsid w:val="001F21A1"/>
    <w:rsid w:val="001F5BBA"/>
    <w:rsid w:val="001F7618"/>
    <w:rsid w:val="002014B9"/>
    <w:rsid w:val="002022E7"/>
    <w:rsid w:val="002024B1"/>
    <w:rsid w:val="00205174"/>
    <w:rsid w:val="00223235"/>
    <w:rsid w:val="00223758"/>
    <w:rsid w:val="0022724E"/>
    <w:rsid w:val="00227A19"/>
    <w:rsid w:val="00227BD2"/>
    <w:rsid w:val="002544D1"/>
    <w:rsid w:val="00260784"/>
    <w:rsid w:val="00266084"/>
    <w:rsid w:val="002857A9"/>
    <w:rsid w:val="00290829"/>
    <w:rsid w:val="00296FDA"/>
    <w:rsid w:val="002A13F5"/>
    <w:rsid w:val="002A7EAE"/>
    <w:rsid w:val="002B23C1"/>
    <w:rsid w:val="002B38AE"/>
    <w:rsid w:val="002B456F"/>
    <w:rsid w:val="002B66C8"/>
    <w:rsid w:val="002C1A65"/>
    <w:rsid w:val="002D2E02"/>
    <w:rsid w:val="002D4BD5"/>
    <w:rsid w:val="002D5B15"/>
    <w:rsid w:val="002E29FC"/>
    <w:rsid w:val="00300146"/>
    <w:rsid w:val="00300771"/>
    <w:rsid w:val="0030388A"/>
    <w:rsid w:val="00305B87"/>
    <w:rsid w:val="00312217"/>
    <w:rsid w:val="0031502A"/>
    <w:rsid w:val="00332CFD"/>
    <w:rsid w:val="00343DAC"/>
    <w:rsid w:val="00346473"/>
    <w:rsid w:val="00355914"/>
    <w:rsid w:val="0035789C"/>
    <w:rsid w:val="00360FBB"/>
    <w:rsid w:val="00376741"/>
    <w:rsid w:val="003767B5"/>
    <w:rsid w:val="00381DD0"/>
    <w:rsid w:val="00383FBB"/>
    <w:rsid w:val="003868E6"/>
    <w:rsid w:val="00387DFE"/>
    <w:rsid w:val="003903CB"/>
    <w:rsid w:val="00392E2C"/>
    <w:rsid w:val="00396489"/>
    <w:rsid w:val="00396C8F"/>
    <w:rsid w:val="003A27BD"/>
    <w:rsid w:val="003B108C"/>
    <w:rsid w:val="003B5253"/>
    <w:rsid w:val="003B6371"/>
    <w:rsid w:val="003C41D6"/>
    <w:rsid w:val="003E0F73"/>
    <w:rsid w:val="003E2860"/>
    <w:rsid w:val="003E5130"/>
    <w:rsid w:val="003E5EE2"/>
    <w:rsid w:val="003E728C"/>
    <w:rsid w:val="003F6F44"/>
    <w:rsid w:val="004147A5"/>
    <w:rsid w:val="00415D97"/>
    <w:rsid w:val="00422938"/>
    <w:rsid w:val="004240C2"/>
    <w:rsid w:val="00425D84"/>
    <w:rsid w:val="00432288"/>
    <w:rsid w:val="0044085E"/>
    <w:rsid w:val="00440A2D"/>
    <w:rsid w:val="00444A91"/>
    <w:rsid w:val="00445C71"/>
    <w:rsid w:val="0045275C"/>
    <w:rsid w:val="00454426"/>
    <w:rsid w:val="00455F63"/>
    <w:rsid w:val="00470FE2"/>
    <w:rsid w:val="00472B1A"/>
    <w:rsid w:val="004744C7"/>
    <w:rsid w:val="004873B6"/>
    <w:rsid w:val="00492248"/>
    <w:rsid w:val="00493E90"/>
    <w:rsid w:val="004A151C"/>
    <w:rsid w:val="004A682D"/>
    <w:rsid w:val="004A7C6C"/>
    <w:rsid w:val="004B2A63"/>
    <w:rsid w:val="004B3BE0"/>
    <w:rsid w:val="004B5533"/>
    <w:rsid w:val="004B63BA"/>
    <w:rsid w:val="004C7FA7"/>
    <w:rsid w:val="004D0952"/>
    <w:rsid w:val="004D263B"/>
    <w:rsid w:val="004D6B4C"/>
    <w:rsid w:val="004D7946"/>
    <w:rsid w:val="004E3BAE"/>
    <w:rsid w:val="004F0402"/>
    <w:rsid w:val="004F07EA"/>
    <w:rsid w:val="004F2B99"/>
    <w:rsid w:val="005011F0"/>
    <w:rsid w:val="005040A8"/>
    <w:rsid w:val="00513F10"/>
    <w:rsid w:val="00521A0B"/>
    <w:rsid w:val="005256D8"/>
    <w:rsid w:val="00532256"/>
    <w:rsid w:val="00541FB2"/>
    <w:rsid w:val="0054370F"/>
    <w:rsid w:val="00554A99"/>
    <w:rsid w:val="00562A86"/>
    <w:rsid w:val="005639C4"/>
    <w:rsid w:val="00563C90"/>
    <w:rsid w:val="005753EC"/>
    <w:rsid w:val="005755BB"/>
    <w:rsid w:val="005811C5"/>
    <w:rsid w:val="00584895"/>
    <w:rsid w:val="00595893"/>
    <w:rsid w:val="0059711E"/>
    <w:rsid w:val="005A16F4"/>
    <w:rsid w:val="005A2343"/>
    <w:rsid w:val="005A2611"/>
    <w:rsid w:val="005A478C"/>
    <w:rsid w:val="005A4920"/>
    <w:rsid w:val="005A7358"/>
    <w:rsid w:val="005B38D8"/>
    <w:rsid w:val="005C2DB2"/>
    <w:rsid w:val="005C462D"/>
    <w:rsid w:val="005C5F7A"/>
    <w:rsid w:val="005D2BBF"/>
    <w:rsid w:val="005D2C57"/>
    <w:rsid w:val="005D636D"/>
    <w:rsid w:val="005F05CA"/>
    <w:rsid w:val="005F5189"/>
    <w:rsid w:val="005F60B4"/>
    <w:rsid w:val="005F7C57"/>
    <w:rsid w:val="00611DCC"/>
    <w:rsid w:val="006223C8"/>
    <w:rsid w:val="00637053"/>
    <w:rsid w:val="00640351"/>
    <w:rsid w:val="00641889"/>
    <w:rsid w:val="00643920"/>
    <w:rsid w:val="00655420"/>
    <w:rsid w:val="006561E5"/>
    <w:rsid w:val="00657DF4"/>
    <w:rsid w:val="006677E9"/>
    <w:rsid w:val="006748D5"/>
    <w:rsid w:val="00677B2F"/>
    <w:rsid w:val="006800B9"/>
    <w:rsid w:val="006820CB"/>
    <w:rsid w:val="006825FB"/>
    <w:rsid w:val="00690561"/>
    <w:rsid w:val="00690687"/>
    <w:rsid w:val="006A0111"/>
    <w:rsid w:val="006A5E34"/>
    <w:rsid w:val="006B1868"/>
    <w:rsid w:val="006B1910"/>
    <w:rsid w:val="006B1C67"/>
    <w:rsid w:val="006B41F3"/>
    <w:rsid w:val="006B4F53"/>
    <w:rsid w:val="006B681A"/>
    <w:rsid w:val="006C7F97"/>
    <w:rsid w:val="006E24A6"/>
    <w:rsid w:val="006E5EE7"/>
    <w:rsid w:val="006E7D50"/>
    <w:rsid w:val="006F0809"/>
    <w:rsid w:val="006F1E5B"/>
    <w:rsid w:val="006F2C88"/>
    <w:rsid w:val="006F3813"/>
    <w:rsid w:val="006F760C"/>
    <w:rsid w:val="00713308"/>
    <w:rsid w:val="00716044"/>
    <w:rsid w:val="0071732F"/>
    <w:rsid w:val="00725999"/>
    <w:rsid w:val="00730BBB"/>
    <w:rsid w:val="0073221C"/>
    <w:rsid w:val="00733618"/>
    <w:rsid w:val="00742C0C"/>
    <w:rsid w:val="00750696"/>
    <w:rsid w:val="00760772"/>
    <w:rsid w:val="007750D8"/>
    <w:rsid w:val="00775305"/>
    <w:rsid w:val="00780A65"/>
    <w:rsid w:val="00780F41"/>
    <w:rsid w:val="0078724C"/>
    <w:rsid w:val="00794078"/>
    <w:rsid w:val="0079490A"/>
    <w:rsid w:val="007978D4"/>
    <w:rsid w:val="007A3757"/>
    <w:rsid w:val="007B30AF"/>
    <w:rsid w:val="007B4138"/>
    <w:rsid w:val="007C146A"/>
    <w:rsid w:val="007D05CD"/>
    <w:rsid w:val="007D2475"/>
    <w:rsid w:val="007D3CBD"/>
    <w:rsid w:val="007D583B"/>
    <w:rsid w:val="007D791D"/>
    <w:rsid w:val="007E50A3"/>
    <w:rsid w:val="007E7C59"/>
    <w:rsid w:val="00805898"/>
    <w:rsid w:val="00813123"/>
    <w:rsid w:val="00813713"/>
    <w:rsid w:val="0081396D"/>
    <w:rsid w:val="00814884"/>
    <w:rsid w:val="00815C1E"/>
    <w:rsid w:val="00816581"/>
    <w:rsid w:val="00827C66"/>
    <w:rsid w:val="008341FC"/>
    <w:rsid w:val="0084459E"/>
    <w:rsid w:val="008457B5"/>
    <w:rsid w:val="00846D2D"/>
    <w:rsid w:val="00850952"/>
    <w:rsid w:val="00864C1F"/>
    <w:rsid w:val="00865DC0"/>
    <w:rsid w:val="00877588"/>
    <w:rsid w:val="00880432"/>
    <w:rsid w:val="00884136"/>
    <w:rsid w:val="008848B5"/>
    <w:rsid w:val="008877A7"/>
    <w:rsid w:val="00890143"/>
    <w:rsid w:val="008935D1"/>
    <w:rsid w:val="00893753"/>
    <w:rsid w:val="008A536D"/>
    <w:rsid w:val="008A547C"/>
    <w:rsid w:val="008B4189"/>
    <w:rsid w:val="008B7EB0"/>
    <w:rsid w:val="008C44C6"/>
    <w:rsid w:val="008D06C8"/>
    <w:rsid w:val="008E3C3F"/>
    <w:rsid w:val="008F6284"/>
    <w:rsid w:val="009008E3"/>
    <w:rsid w:val="009017A3"/>
    <w:rsid w:val="009035B4"/>
    <w:rsid w:val="00905215"/>
    <w:rsid w:val="009058CD"/>
    <w:rsid w:val="00906B03"/>
    <w:rsid w:val="00910A5D"/>
    <w:rsid w:val="00916114"/>
    <w:rsid w:val="0092401F"/>
    <w:rsid w:val="00925C64"/>
    <w:rsid w:val="00925E33"/>
    <w:rsid w:val="009336E0"/>
    <w:rsid w:val="00937580"/>
    <w:rsid w:val="009375C2"/>
    <w:rsid w:val="00937DE5"/>
    <w:rsid w:val="0095295A"/>
    <w:rsid w:val="00954CFE"/>
    <w:rsid w:val="00955104"/>
    <w:rsid w:val="0095666C"/>
    <w:rsid w:val="0096041E"/>
    <w:rsid w:val="00966C31"/>
    <w:rsid w:val="00975165"/>
    <w:rsid w:val="0098074D"/>
    <w:rsid w:val="00982064"/>
    <w:rsid w:val="009A056C"/>
    <w:rsid w:val="009A3FF5"/>
    <w:rsid w:val="009A482D"/>
    <w:rsid w:val="009A7CF5"/>
    <w:rsid w:val="009B3352"/>
    <w:rsid w:val="009C21A9"/>
    <w:rsid w:val="009C2849"/>
    <w:rsid w:val="009C289D"/>
    <w:rsid w:val="009C45EC"/>
    <w:rsid w:val="009C64C0"/>
    <w:rsid w:val="009D24A2"/>
    <w:rsid w:val="009E7D08"/>
    <w:rsid w:val="009F1F4B"/>
    <w:rsid w:val="009F65B7"/>
    <w:rsid w:val="00A301A8"/>
    <w:rsid w:val="00A30DD4"/>
    <w:rsid w:val="00A31513"/>
    <w:rsid w:val="00A321CC"/>
    <w:rsid w:val="00A322AB"/>
    <w:rsid w:val="00A35CB2"/>
    <w:rsid w:val="00A3600D"/>
    <w:rsid w:val="00A36B1B"/>
    <w:rsid w:val="00A37B2C"/>
    <w:rsid w:val="00A51CB4"/>
    <w:rsid w:val="00A537F3"/>
    <w:rsid w:val="00A62820"/>
    <w:rsid w:val="00A65380"/>
    <w:rsid w:val="00A666D3"/>
    <w:rsid w:val="00A66BC5"/>
    <w:rsid w:val="00A7229D"/>
    <w:rsid w:val="00A736BE"/>
    <w:rsid w:val="00A8369B"/>
    <w:rsid w:val="00A94598"/>
    <w:rsid w:val="00AA57C1"/>
    <w:rsid w:val="00AC204A"/>
    <w:rsid w:val="00AD5488"/>
    <w:rsid w:val="00AD7928"/>
    <w:rsid w:val="00B14AAF"/>
    <w:rsid w:val="00B26CDA"/>
    <w:rsid w:val="00B36B1E"/>
    <w:rsid w:val="00B41BE5"/>
    <w:rsid w:val="00B4242C"/>
    <w:rsid w:val="00B4248E"/>
    <w:rsid w:val="00B47CBC"/>
    <w:rsid w:val="00B51C87"/>
    <w:rsid w:val="00B57188"/>
    <w:rsid w:val="00B61368"/>
    <w:rsid w:val="00B76F81"/>
    <w:rsid w:val="00B87139"/>
    <w:rsid w:val="00B92A3F"/>
    <w:rsid w:val="00B94BA4"/>
    <w:rsid w:val="00B97419"/>
    <w:rsid w:val="00BA31E7"/>
    <w:rsid w:val="00BA4A7C"/>
    <w:rsid w:val="00BB25DE"/>
    <w:rsid w:val="00BC0BF2"/>
    <w:rsid w:val="00BC7917"/>
    <w:rsid w:val="00BD1E38"/>
    <w:rsid w:val="00BD3805"/>
    <w:rsid w:val="00BD5D7F"/>
    <w:rsid w:val="00BE7FEC"/>
    <w:rsid w:val="00BF2305"/>
    <w:rsid w:val="00C063B6"/>
    <w:rsid w:val="00C07C62"/>
    <w:rsid w:val="00C11750"/>
    <w:rsid w:val="00C11A77"/>
    <w:rsid w:val="00C1268D"/>
    <w:rsid w:val="00C12950"/>
    <w:rsid w:val="00C203F2"/>
    <w:rsid w:val="00C31DA5"/>
    <w:rsid w:val="00C35C17"/>
    <w:rsid w:val="00C40781"/>
    <w:rsid w:val="00C46580"/>
    <w:rsid w:val="00C66A9C"/>
    <w:rsid w:val="00C671AB"/>
    <w:rsid w:val="00C71072"/>
    <w:rsid w:val="00C73171"/>
    <w:rsid w:val="00C91F59"/>
    <w:rsid w:val="00C97DAE"/>
    <w:rsid w:val="00CB1340"/>
    <w:rsid w:val="00CC4655"/>
    <w:rsid w:val="00CD3867"/>
    <w:rsid w:val="00CE020F"/>
    <w:rsid w:val="00CE117A"/>
    <w:rsid w:val="00CE1815"/>
    <w:rsid w:val="00CE388A"/>
    <w:rsid w:val="00CF1C75"/>
    <w:rsid w:val="00CF222E"/>
    <w:rsid w:val="00CF4A00"/>
    <w:rsid w:val="00CF5FB6"/>
    <w:rsid w:val="00D0568C"/>
    <w:rsid w:val="00D113F9"/>
    <w:rsid w:val="00D46975"/>
    <w:rsid w:val="00D477DD"/>
    <w:rsid w:val="00D5206C"/>
    <w:rsid w:val="00D608E6"/>
    <w:rsid w:val="00D619AD"/>
    <w:rsid w:val="00D64CB2"/>
    <w:rsid w:val="00D7506F"/>
    <w:rsid w:val="00D7744D"/>
    <w:rsid w:val="00D774EC"/>
    <w:rsid w:val="00D87CAF"/>
    <w:rsid w:val="00D974E0"/>
    <w:rsid w:val="00D974EF"/>
    <w:rsid w:val="00DA69A4"/>
    <w:rsid w:val="00DB0D14"/>
    <w:rsid w:val="00DC3E3A"/>
    <w:rsid w:val="00DC624B"/>
    <w:rsid w:val="00DC7CA5"/>
    <w:rsid w:val="00DE0CF9"/>
    <w:rsid w:val="00DE394D"/>
    <w:rsid w:val="00DE6C34"/>
    <w:rsid w:val="00DE7122"/>
    <w:rsid w:val="00DE7A15"/>
    <w:rsid w:val="00DF1AF4"/>
    <w:rsid w:val="00DF2016"/>
    <w:rsid w:val="00DF77BD"/>
    <w:rsid w:val="00E0349F"/>
    <w:rsid w:val="00E05D91"/>
    <w:rsid w:val="00E0655E"/>
    <w:rsid w:val="00E07624"/>
    <w:rsid w:val="00E07F6F"/>
    <w:rsid w:val="00E11900"/>
    <w:rsid w:val="00E20AD0"/>
    <w:rsid w:val="00E23E7F"/>
    <w:rsid w:val="00E25D2B"/>
    <w:rsid w:val="00E279C1"/>
    <w:rsid w:val="00E3520C"/>
    <w:rsid w:val="00E3587C"/>
    <w:rsid w:val="00E35CD2"/>
    <w:rsid w:val="00E404B3"/>
    <w:rsid w:val="00E40A4A"/>
    <w:rsid w:val="00E42E3A"/>
    <w:rsid w:val="00E57276"/>
    <w:rsid w:val="00E70FD8"/>
    <w:rsid w:val="00E7709B"/>
    <w:rsid w:val="00E92B30"/>
    <w:rsid w:val="00E97D7F"/>
    <w:rsid w:val="00EA02AB"/>
    <w:rsid w:val="00EA4AB2"/>
    <w:rsid w:val="00EB4603"/>
    <w:rsid w:val="00EB6764"/>
    <w:rsid w:val="00EB676B"/>
    <w:rsid w:val="00EC26BD"/>
    <w:rsid w:val="00EC4270"/>
    <w:rsid w:val="00ED380E"/>
    <w:rsid w:val="00ED76DA"/>
    <w:rsid w:val="00EE2652"/>
    <w:rsid w:val="00EE6E92"/>
    <w:rsid w:val="00EF1E39"/>
    <w:rsid w:val="00EF20F4"/>
    <w:rsid w:val="00F06555"/>
    <w:rsid w:val="00F17996"/>
    <w:rsid w:val="00F21BEB"/>
    <w:rsid w:val="00F24746"/>
    <w:rsid w:val="00F2682A"/>
    <w:rsid w:val="00F26FAA"/>
    <w:rsid w:val="00F36E10"/>
    <w:rsid w:val="00F4414E"/>
    <w:rsid w:val="00F5371D"/>
    <w:rsid w:val="00F6060E"/>
    <w:rsid w:val="00F67B6E"/>
    <w:rsid w:val="00F704A7"/>
    <w:rsid w:val="00F736C6"/>
    <w:rsid w:val="00F746D7"/>
    <w:rsid w:val="00F77BEF"/>
    <w:rsid w:val="00F81321"/>
    <w:rsid w:val="00F81D3C"/>
    <w:rsid w:val="00F84E02"/>
    <w:rsid w:val="00FA1A98"/>
    <w:rsid w:val="00FA603F"/>
    <w:rsid w:val="00FA7281"/>
    <w:rsid w:val="00FB000D"/>
    <w:rsid w:val="00FC6522"/>
    <w:rsid w:val="00FD3B3B"/>
    <w:rsid w:val="00FD5160"/>
    <w:rsid w:val="00FE5B5B"/>
    <w:rsid w:val="00FE5B81"/>
    <w:rsid w:val="00FF480B"/>
  </w:rsids>
  <w:docVars>
    <w:docVar w:name="_AMO_ReportControlsVisible"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3313D2"/>
  <w15:chartTrackingRefBased/>
  <w15:docId w15:val="{C95145AF-9AF6-4D3E-9E28-7312188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189"/>
    <w:rPr>
      <w:sz w:val="24"/>
      <w:szCs w:val="24"/>
    </w:rPr>
  </w:style>
  <w:style w:type="paragraph" w:styleId="Heading1">
    <w:name w:val="heading 1"/>
    <w:basedOn w:val="Normal"/>
    <w:next w:val="Normal"/>
    <w:qFormat/>
    <w:pPr>
      <w:keepNext/>
      <w:autoSpaceDE w:val="0"/>
      <w:autoSpaceDN w:val="0"/>
      <w:adjustRightInd w:val="0"/>
      <w:outlineLvl w:val="0"/>
    </w:pPr>
    <w:rPr>
      <w:b/>
      <w:bCs/>
      <w:szCs w:val="26"/>
    </w:rPr>
  </w:style>
  <w:style w:type="paragraph" w:styleId="Heading2">
    <w:name w:val="heading 2"/>
    <w:basedOn w:val="Normal"/>
    <w:next w:val="Normal"/>
    <w:link w:val="Heading2Char"/>
    <w:uiPriority w:val="9"/>
    <w:semiHidden/>
    <w:unhideWhenUsed/>
    <w:qFormat/>
    <w:rsid w:val="008B418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F84E0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before="283"/>
    </w:pPr>
    <w:rPr>
      <w:sz w:val="22"/>
      <w:szCs w:val="22"/>
    </w:rPr>
  </w:style>
  <w:style w:type="paragraph" w:styleId="BalloonText">
    <w:name w:val="Balloon Text"/>
    <w:basedOn w:val="Normal"/>
    <w:semiHidden/>
    <w:rsid w:val="00541FB2"/>
    <w:rPr>
      <w:rFonts w:ascii="Tahoma" w:hAnsi="Tahoma" w:cs="Tahoma"/>
      <w:sz w:val="16"/>
      <w:szCs w:val="16"/>
    </w:rPr>
  </w:style>
  <w:style w:type="paragraph" w:customStyle="1" w:styleId="Default">
    <w:name w:val="Default"/>
    <w:rsid w:val="004B5533"/>
    <w:pPr>
      <w:autoSpaceDE w:val="0"/>
      <w:autoSpaceDN w:val="0"/>
      <w:adjustRightInd w:val="0"/>
    </w:pPr>
    <w:rPr>
      <w:rFonts w:ascii="Verdana" w:eastAsia="Calibri" w:hAnsi="Verdana" w:cs="Verdana"/>
      <w:color w:val="000000"/>
      <w:sz w:val="24"/>
      <w:szCs w:val="24"/>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uiPriority w:val="99"/>
    <w:unhideWhenUsed/>
    <w:qFormat/>
    <w:rsid w:val="006B1C67"/>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6B1C67"/>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nhideWhenUsed/>
    <w:qFormat/>
    <w:rsid w:val="006B1C67"/>
    <w:rPr>
      <w:vertAlign w:val="superscript"/>
    </w:rPr>
  </w:style>
  <w:style w:type="paragraph" w:styleId="HTMLPreformatted">
    <w:name w:val="HTML Preformatted"/>
    <w:basedOn w:val="Normal"/>
    <w:link w:val="HTMLPreformattedChar"/>
    <w:rsid w:val="006B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
    <w:name w:val="HTML Preformatted Char"/>
    <w:link w:val="HTMLPreformatted"/>
    <w:rsid w:val="006B1C67"/>
    <w:rPr>
      <w:rFonts w:ascii="Courier New" w:eastAsia="Courier New" w:hAnsi="Courier New" w:cs="Courier New"/>
    </w:rPr>
  </w:style>
  <w:style w:type="character" w:styleId="Hyperlink">
    <w:name w:val="Hyperlink"/>
    <w:uiPriority w:val="99"/>
    <w:unhideWhenUsed/>
    <w:rsid w:val="00034697"/>
    <w:rPr>
      <w:color w:val="0000FF"/>
      <w:u w:val="single"/>
    </w:rPr>
  </w:style>
  <w:style w:type="character" w:styleId="CommentReference">
    <w:name w:val="annotation reference"/>
    <w:uiPriority w:val="99"/>
    <w:unhideWhenUsed/>
    <w:rsid w:val="007B4138"/>
    <w:rPr>
      <w:sz w:val="16"/>
      <w:szCs w:val="16"/>
    </w:rPr>
  </w:style>
  <w:style w:type="paragraph" w:styleId="CommentText">
    <w:name w:val="annotation text"/>
    <w:basedOn w:val="Normal"/>
    <w:link w:val="CommentTextChar"/>
    <w:uiPriority w:val="99"/>
    <w:unhideWhenUsed/>
    <w:rsid w:val="007B4138"/>
    <w:rPr>
      <w:sz w:val="20"/>
      <w:szCs w:val="20"/>
    </w:rPr>
  </w:style>
  <w:style w:type="character" w:customStyle="1" w:styleId="CommentTextChar">
    <w:name w:val="Comment Text Char"/>
    <w:basedOn w:val="DefaultParagraphFont"/>
    <w:link w:val="CommentText"/>
    <w:uiPriority w:val="99"/>
    <w:rsid w:val="007B4138"/>
  </w:style>
  <w:style w:type="paragraph" w:styleId="CommentSubject">
    <w:name w:val="annotation subject"/>
    <w:basedOn w:val="CommentText"/>
    <w:next w:val="CommentText"/>
    <w:link w:val="CommentSubjectChar"/>
    <w:uiPriority w:val="99"/>
    <w:semiHidden/>
    <w:unhideWhenUsed/>
    <w:rsid w:val="007B4138"/>
    <w:rPr>
      <w:b/>
      <w:bCs/>
      <w:lang w:val="x-none" w:eastAsia="x-none"/>
    </w:rPr>
  </w:style>
  <w:style w:type="character" w:customStyle="1" w:styleId="CommentSubjectChar">
    <w:name w:val="Comment Subject Char"/>
    <w:link w:val="CommentSubject"/>
    <w:uiPriority w:val="99"/>
    <w:semiHidden/>
    <w:rsid w:val="007B4138"/>
    <w:rPr>
      <w:b/>
      <w:bCs/>
    </w:rPr>
  </w:style>
  <w:style w:type="paragraph" w:styleId="BodyTextIndent">
    <w:name w:val="Body Text Indent"/>
    <w:basedOn w:val="Normal"/>
    <w:link w:val="BodyTextIndentChar"/>
    <w:unhideWhenUsed/>
    <w:rsid w:val="007B4138"/>
    <w:pPr>
      <w:spacing w:after="120"/>
      <w:ind w:left="360"/>
    </w:pPr>
    <w:rPr>
      <w:lang w:val="x-none" w:eastAsia="x-none"/>
    </w:rPr>
  </w:style>
  <w:style w:type="character" w:customStyle="1" w:styleId="BodyTextIndentChar">
    <w:name w:val="Body Text Indent Char"/>
    <w:link w:val="BodyTextIndent"/>
    <w:uiPriority w:val="99"/>
    <w:rsid w:val="007B4138"/>
    <w:rPr>
      <w:sz w:val="24"/>
      <w:szCs w:val="24"/>
    </w:rPr>
  </w:style>
  <w:style w:type="paragraph" w:styleId="Header">
    <w:name w:val="header"/>
    <w:basedOn w:val="Normal"/>
    <w:link w:val="HeaderChar"/>
    <w:uiPriority w:val="99"/>
    <w:unhideWhenUsed/>
    <w:rsid w:val="00472B1A"/>
    <w:pPr>
      <w:tabs>
        <w:tab w:val="center" w:pos="4680"/>
        <w:tab w:val="right" w:pos="9360"/>
      </w:tabs>
    </w:pPr>
  </w:style>
  <w:style w:type="character" w:customStyle="1" w:styleId="HeaderChar">
    <w:name w:val="Header Char"/>
    <w:link w:val="Header"/>
    <w:uiPriority w:val="99"/>
    <w:rsid w:val="00472B1A"/>
    <w:rPr>
      <w:sz w:val="24"/>
      <w:szCs w:val="24"/>
    </w:rPr>
  </w:style>
  <w:style w:type="paragraph" w:styleId="Footer">
    <w:name w:val="footer"/>
    <w:basedOn w:val="Normal"/>
    <w:link w:val="FooterChar"/>
    <w:uiPriority w:val="99"/>
    <w:unhideWhenUsed/>
    <w:rsid w:val="00472B1A"/>
    <w:pPr>
      <w:tabs>
        <w:tab w:val="center" w:pos="4680"/>
        <w:tab w:val="right" w:pos="9360"/>
      </w:tabs>
    </w:pPr>
  </w:style>
  <w:style w:type="character" w:customStyle="1" w:styleId="FooterChar">
    <w:name w:val="Footer Char"/>
    <w:link w:val="Footer"/>
    <w:uiPriority w:val="99"/>
    <w:rsid w:val="00472B1A"/>
    <w:rPr>
      <w:sz w:val="24"/>
      <w:szCs w:val="24"/>
    </w:rPr>
  </w:style>
  <w:style w:type="character" w:customStyle="1" w:styleId="Heading3Char">
    <w:name w:val="Heading 3 Char"/>
    <w:link w:val="Heading3"/>
    <w:uiPriority w:val="9"/>
    <w:semiHidden/>
    <w:rsid w:val="00F84E02"/>
    <w:rPr>
      <w:rFonts w:ascii="Calibri Light" w:eastAsia="Times New Roman" w:hAnsi="Calibri Light" w:cs="Times New Roman"/>
      <w:b/>
      <w:bCs/>
      <w:sz w:val="26"/>
      <w:szCs w:val="26"/>
    </w:rPr>
  </w:style>
  <w:style w:type="paragraph" w:styleId="ListParagraph">
    <w:name w:val="List Paragraph"/>
    <w:basedOn w:val="Normal"/>
    <w:uiPriority w:val="34"/>
    <w:qFormat/>
    <w:rsid w:val="003E2860"/>
    <w:pPr>
      <w:spacing w:after="160" w:line="259"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4744C7"/>
    <w:rPr>
      <w:color w:val="954F72"/>
      <w:u w:val="single"/>
    </w:rPr>
  </w:style>
  <w:style w:type="character" w:customStyle="1" w:styleId="Heading2Char">
    <w:name w:val="Heading 2 Char"/>
    <w:link w:val="Heading2"/>
    <w:uiPriority w:val="9"/>
    <w:semiHidden/>
    <w:rsid w:val="008B4189"/>
    <w:rPr>
      <w:rFonts w:ascii="Calibri Light" w:eastAsia="Times New Roman" w:hAnsi="Calibri Light" w:cs="Times New Roman"/>
      <w:b/>
      <w:bCs/>
      <w:i/>
      <w:iCs/>
      <w:sz w:val="28"/>
      <w:szCs w:val="28"/>
    </w:rPr>
  </w:style>
  <w:style w:type="paragraph" w:styleId="NormalWeb">
    <w:name w:val="Normal (Web)"/>
    <w:basedOn w:val="Normal"/>
    <w:uiPriority w:val="99"/>
    <w:unhideWhenUsed/>
    <w:rsid w:val="008B4189"/>
    <w:pPr>
      <w:spacing w:before="100" w:beforeAutospacing="1" w:after="100" w:afterAutospacing="1"/>
      <w:ind w:firstLine="480"/>
    </w:pPr>
  </w:style>
  <w:style w:type="paragraph" w:customStyle="1" w:styleId="psection-2">
    <w:name w:val="psection-2"/>
    <w:basedOn w:val="Normal"/>
    <w:rsid w:val="004B63BA"/>
    <w:pPr>
      <w:spacing w:after="150"/>
      <w:ind w:left="240"/>
    </w:pPr>
  </w:style>
  <w:style w:type="paragraph" w:customStyle="1" w:styleId="psection-3">
    <w:name w:val="psection-3"/>
    <w:basedOn w:val="Normal"/>
    <w:rsid w:val="004B63BA"/>
    <w:pPr>
      <w:spacing w:after="150"/>
      <w:ind w:left="480"/>
    </w:pPr>
  </w:style>
  <w:style w:type="character" w:customStyle="1" w:styleId="enumxml1">
    <w:name w:val="enumxml1"/>
    <w:rsid w:val="004B63BA"/>
    <w:rPr>
      <w:b/>
      <w:bCs/>
    </w:rPr>
  </w:style>
  <w:style w:type="character" w:customStyle="1" w:styleId="enumxml2">
    <w:name w:val="enumxml2"/>
    <w:rsid w:val="004B63BA"/>
    <w:rPr>
      <w:b/>
      <w:bCs/>
    </w:rPr>
  </w:style>
  <w:style w:type="character" w:customStyle="1" w:styleId="BodyTextChar">
    <w:name w:val="Body Text Char"/>
    <w:link w:val="BodyText"/>
    <w:rsid w:val="002B66C8"/>
    <w:rPr>
      <w:sz w:val="22"/>
      <w:szCs w:val="22"/>
    </w:rPr>
  </w:style>
  <w:style w:type="paragraph" w:styleId="Revision">
    <w:name w:val="Revision"/>
    <w:hidden/>
    <w:uiPriority w:val="99"/>
    <w:semiHidden/>
    <w:rsid w:val="006A5E34"/>
    <w:rPr>
      <w:sz w:val="24"/>
      <w:szCs w:val="24"/>
    </w:rPr>
  </w:style>
  <w:style w:type="paragraph" w:customStyle="1" w:styleId="pf0">
    <w:name w:val="pf0"/>
    <w:basedOn w:val="Normal"/>
    <w:rsid w:val="00611DCC"/>
    <w:pPr>
      <w:spacing w:before="100" w:beforeAutospacing="1" w:after="100" w:afterAutospacing="1"/>
    </w:pPr>
  </w:style>
  <w:style w:type="character" w:customStyle="1" w:styleId="UnresolvedMention1">
    <w:name w:val="Unresolved Mention1"/>
    <w:basedOn w:val="DefaultParagraphFont"/>
    <w:uiPriority w:val="99"/>
    <w:semiHidden/>
    <w:unhideWhenUsed/>
    <w:rsid w:val="00A321CC"/>
    <w:rPr>
      <w:color w:val="605E5C"/>
      <w:shd w:val="clear" w:color="auto" w:fill="E1DFDD"/>
    </w:rPr>
  </w:style>
  <w:style w:type="paragraph" w:styleId="PlainText">
    <w:name w:val="Plain Text"/>
    <w:basedOn w:val="Normal"/>
    <w:link w:val="PlainTextChar"/>
    <w:rsid w:val="00815C1E"/>
    <w:rPr>
      <w:rFonts w:ascii="Courier New" w:hAnsi="Courier New" w:cs="Courier New"/>
      <w:sz w:val="20"/>
      <w:szCs w:val="20"/>
    </w:rPr>
  </w:style>
  <w:style w:type="character" w:customStyle="1" w:styleId="PlainTextChar">
    <w:name w:val="Plain Text Char"/>
    <w:basedOn w:val="DefaultParagraphFont"/>
    <w:link w:val="PlainText"/>
    <w:rsid w:val="00815C1E"/>
    <w:rPr>
      <w:rFonts w:ascii="Courier New" w:hAnsi="Courier New" w:cs="Courier New"/>
    </w:rPr>
  </w:style>
  <w:style w:type="character" w:styleId="UnresolvedMention">
    <w:name w:val="Unresolved Mention"/>
    <w:basedOn w:val="DefaultParagraphFont"/>
    <w:uiPriority w:val="99"/>
    <w:semiHidden/>
    <w:unhideWhenUsed/>
    <w:rsid w:val="00575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bsaefiling.fincen.treas.gov/main.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14/04/14/2014-08254/privacy-act-of-1974-as-amended-system-of-records-notice" TargetMode="External" /><Relationship Id="rId2" Type="http://schemas.openxmlformats.org/officeDocument/2006/relationships/hyperlink" Target="https://www.federalregister.gov/documents/2024/02/05/2024-02186/agency-information-collection-activities-proposed-renewal-comment-request-renewal-without-change-of" TargetMode="External" /><Relationship Id="rId3" Type="http://schemas.openxmlformats.org/officeDocument/2006/relationships/hyperlink" Target="https://bsaefiling.fincen.treas.gov/docs/XMLUserGuide_FinCENCTR.pdf" TargetMode="External" /><Relationship Id="rId4" Type="http://schemas.openxmlformats.org/officeDocument/2006/relationships/hyperlink" Target="https://www.federalregister.gov/documents/2020/05/14/2020-10310/agency-information-collection-activities-proposed-renewal-comment-request-renewal-without-change-of" TargetMode="External" /><Relationship Id="rId5" Type="http://schemas.openxmlformats.org/officeDocument/2006/relationships/hyperlink" Target="https://www.bls.gov/oes/tables.htm" TargetMode="External" /><Relationship Id="rId6" Type="http://schemas.openxmlformats.org/officeDocument/2006/relationships/hyperlink" Target="https://www.bls.gov/ecec/hom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C3B9197B4174190673D75876A1A89" ma:contentTypeVersion="14" ma:contentTypeDescription="Create a new document." ma:contentTypeScope="" ma:versionID="fef368a85e574d1a4c9a9f233027785b">
  <xsd:schema xmlns:xsd="http://www.w3.org/2001/XMLSchema" xmlns:xs="http://www.w3.org/2001/XMLSchema" xmlns:p="http://schemas.microsoft.com/office/2006/metadata/properties" xmlns:ns3="891fa32f-ee06-4e1d-8fff-3ade5b571d7f" xmlns:ns4="a2c4f627-f854-48dc-b51e-16309a73e1b9" targetNamespace="http://schemas.microsoft.com/office/2006/metadata/properties" ma:root="true" ma:fieldsID="25e9477a762918bed213b8a1f84d8e2d" ns3:_="" ns4:_="">
    <xsd:import namespace="891fa32f-ee06-4e1d-8fff-3ade5b571d7f"/>
    <xsd:import namespace="a2c4f627-f854-48dc-b51e-16309a73e1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fa32f-ee06-4e1d-8fff-3ade5b571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4f627-f854-48dc-b51e-16309a73e1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91fa32f-ee06-4e1d-8fff-3ade5b571d7f" xsi:nil="true"/>
  </documentManagement>
</p:properties>
</file>

<file path=customXml/itemProps1.xml><?xml version="1.0" encoding="utf-8"?>
<ds:datastoreItem xmlns:ds="http://schemas.openxmlformats.org/officeDocument/2006/customXml" ds:itemID="{5CDC2EE2-F304-4969-B0C2-C67D479BE75F}">
  <ds:schemaRefs>
    <ds:schemaRef ds:uri="http://schemas.microsoft.com/sharepoint/v3/contenttype/forms"/>
  </ds:schemaRefs>
</ds:datastoreItem>
</file>

<file path=customXml/itemProps2.xml><?xml version="1.0" encoding="utf-8"?>
<ds:datastoreItem xmlns:ds="http://schemas.openxmlformats.org/officeDocument/2006/customXml" ds:itemID="{7B68F80F-8015-4245-BC92-354F1A840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fa32f-ee06-4e1d-8fff-3ade5b571d7f"/>
    <ds:schemaRef ds:uri="a2c4f627-f854-48dc-b51e-16309a73e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8A875-7316-41C1-AF98-4CF89573E76F}">
  <ds:schemaRefs>
    <ds:schemaRef ds:uri="http://schemas.openxmlformats.org/officeDocument/2006/bibliography"/>
  </ds:schemaRefs>
</ds:datastoreItem>
</file>

<file path=customXml/itemProps4.xml><?xml version="1.0" encoding="utf-8"?>
<ds:datastoreItem xmlns:ds="http://schemas.openxmlformats.org/officeDocument/2006/customXml" ds:itemID="{EA17F04B-1C14-417E-A9CC-ADE8AB74999E}">
  <ds:schemaRefs>
    <ds:schemaRef ds:uri="http://schemas.microsoft.com/office/2006/metadata/properties"/>
    <ds:schemaRef ds:uri="http://schemas.microsoft.com/office/infopath/2007/PartnerControls"/>
    <ds:schemaRef ds:uri="891fa32f-ee06-4e1d-8fff-3ade5b571d7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StephR</dc:creator>
  <cp:lastModifiedBy>Stewart, Jaclyn</cp:lastModifiedBy>
  <cp:revision>6</cp:revision>
  <cp:lastPrinted>2013-01-10T14:07:00Z</cp:lastPrinted>
  <dcterms:created xsi:type="dcterms:W3CDTF">2024-05-29T19:42:00Z</dcterms:created>
  <dcterms:modified xsi:type="dcterms:W3CDTF">2024-05-29T19:53:00Z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0x0101008E5C3B9197B4174190673D75876A1A89</vt:lpwstr>
  </property>
</Properties>
</file>