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085F" w:rsidRPr="00A46B9C" w:rsidP="008D362B" w14:paraId="7221233B" w14:textId="4ACE5FB9">
      <w:pPr>
        <w:tabs>
          <w:tab w:val="center" w:pos="4680"/>
        </w:tabs>
        <w:jc w:val="center"/>
        <w:rPr>
          <w:rFonts w:ascii="Times New Roman" w:hAnsi="Times New Roman"/>
          <w:b/>
          <w:bCs/>
        </w:rPr>
      </w:pPr>
      <w:r w:rsidRPr="00A46B9C">
        <w:rPr>
          <w:rFonts w:ascii="Times New Roman" w:hAnsi="Times New Roman"/>
          <w:b/>
          <w:bCs/>
        </w:rPr>
        <w:t>SUPPORTING STATEMENT</w:t>
      </w:r>
    </w:p>
    <w:p w:rsidR="0023085F" w:rsidRPr="00A46B9C" w:rsidP="008D362B" w14:paraId="7C5172E9" w14:textId="6A3B184B">
      <w:pPr>
        <w:tabs>
          <w:tab w:val="center" w:pos="4680"/>
        </w:tabs>
        <w:jc w:val="center"/>
        <w:rPr>
          <w:rFonts w:ascii="Times New Roman" w:hAnsi="Times New Roman"/>
        </w:rPr>
      </w:pPr>
      <w:r w:rsidRPr="00A46B9C">
        <w:rPr>
          <w:rFonts w:ascii="Times New Roman" w:hAnsi="Times New Roman"/>
        </w:rPr>
        <w:t>Internal Revenue Service</w:t>
      </w:r>
    </w:p>
    <w:p w:rsidR="00AE0454" w:rsidRPr="00A46B9C" w:rsidP="008D362B" w14:paraId="5BB244D0" w14:textId="64FD5524">
      <w:pPr>
        <w:tabs>
          <w:tab w:val="center" w:pos="4680"/>
        </w:tabs>
        <w:jc w:val="center"/>
        <w:rPr>
          <w:rFonts w:ascii="Times New Roman" w:hAnsi="Times New Roman"/>
        </w:rPr>
      </w:pPr>
      <w:r w:rsidRPr="00A46B9C">
        <w:rPr>
          <w:rFonts w:ascii="Times New Roman" w:hAnsi="Times New Roman"/>
        </w:rPr>
        <w:t xml:space="preserve">TD 9082, </w:t>
      </w:r>
      <w:r w:rsidRPr="00A46B9C" w:rsidR="00423C8F">
        <w:rPr>
          <w:rFonts w:ascii="Times New Roman" w:hAnsi="Times New Roman"/>
        </w:rPr>
        <w:t xml:space="preserve">Guidance </w:t>
      </w:r>
      <w:r w:rsidRPr="00A46B9C">
        <w:rPr>
          <w:rFonts w:ascii="Times New Roman" w:hAnsi="Times New Roman"/>
        </w:rPr>
        <w:t>under Sections 897, 1445, and 6109 to require use of Taxpayer Identifying Numbers on Submission under the Section 897 and 1445</w:t>
      </w:r>
    </w:p>
    <w:p w:rsidR="00A1731C" w:rsidRPr="00A46B9C" w:rsidP="008D362B" w14:paraId="65B844C8" w14:textId="5E06E9B8">
      <w:pPr>
        <w:tabs>
          <w:tab w:val="center" w:pos="4680"/>
        </w:tabs>
        <w:jc w:val="center"/>
        <w:rPr>
          <w:rFonts w:ascii="Times New Roman" w:hAnsi="Times New Roman"/>
        </w:rPr>
      </w:pPr>
      <w:r w:rsidRPr="00A46B9C">
        <w:rPr>
          <w:rFonts w:ascii="Times New Roman" w:hAnsi="Times New Roman"/>
        </w:rPr>
        <w:t>TD 9751, PATH Act Changes to Section 1445</w:t>
      </w:r>
    </w:p>
    <w:p w:rsidR="000B6330" w:rsidRPr="00A46B9C" w:rsidP="008D362B" w14:paraId="6106B641" w14:textId="516FEF02">
      <w:pPr>
        <w:tabs>
          <w:tab w:val="center" w:pos="4680"/>
        </w:tabs>
        <w:jc w:val="center"/>
        <w:rPr>
          <w:rFonts w:ascii="Times New Roman" w:hAnsi="Times New Roman"/>
        </w:rPr>
      </w:pPr>
      <w:r w:rsidRPr="00A46B9C">
        <w:rPr>
          <w:rFonts w:ascii="Times New Roman" w:hAnsi="Times New Roman"/>
        </w:rPr>
        <w:t>OMB</w:t>
      </w:r>
      <w:r w:rsidRPr="00A46B9C" w:rsidR="008D362B">
        <w:rPr>
          <w:rFonts w:ascii="Times New Roman" w:hAnsi="Times New Roman"/>
        </w:rPr>
        <w:t xml:space="preserve"> Control Number</w:t>
      </w:r>
      <w:r w:rsidRPr="00A46B9C">
        <w:rPr>
          <w:rFonts w:ascii="Times New Roman" w:hAnsi="Times New Roman"/>
        </w:rPr>
        <w:t xml:space="preserve"> </w:t>
      </w:r>
      <w:r w:rsidRPr="00A46B9C">
        <w:rPr>
          <w:rFonts w:ascii="Times New Roman" w:hAnsi="Times New Roman"/>
          <w:b/>
          <w:bCs/>
        </w:rPr>
        <w:t>1545-1797</w:t>
      </w:r>
    </w:p>
    <w:p w:rsidR="000B6330" w:rsidRPr="00A46B9C" w14:paraId="598ABB85" w14:textId="77777777">
      <w:pPr>
        <w:rPr>
          <w:rFonts w:ascii="Times New Roman" w:hAnsi="Times New Roman"/>
        </w:rPr>
      </w:pPr>
    </w:p>
    <w:p w:rsidR="000B6330" w:rsidRPr="00A46B9C" w14:paraId="3A48CA56" w14:textId="77777777">
      <w:pPr>
        <w:tabs>
          <w:tab w:val="left" w:pos="-1440"/>
        </w:tabs>
        <w:ind w:left="720" w:hanging="720"/>
        <w:rPr>
          <w:rFonts w:ascii="Times New Roman" w:hAnsi="Times New Roman"/>
        </w:rPr>
      </w:pPr>
      <w:r w:rsidRPr="00A46B9C">
        <w:rPr>
          <w:rFonts w:ascii="Times New Roman" w:hAnsi="Times New Roman"/>
        </w:rPr>
        <w:t>1.</w:t>
      </w:r>
      <w:r w:rsidRPr="00A46B9C">
        <w:rPr>
          <w:rFonts w:ascii="Times New Roman" w:hAnsi="Times New Roman"/>
        </w:rPr>
        <w:tab/>
      </w:r>
      <w:r w:rsidRPr="00A46B9C">
        <w:rPr>
          <w:rFonts w:ascii="Times New Roman" w:hAnsi="Times New Roman"/>
          <w:u w:val="single"/>
        </w:rPr>
        <w:t>CIRCUMSTANCES NECESSITATING COLLECTION OF INFORMATION</w:t>
      </w:r>
    </w:p>
    <w:p w:rsidR="000B6330" w:rsidRPr="00A46B9C" w14:paraId="15872A19" w14:textId="77777777">
      <w:pPr>
        <w:rPr>
          <w:rFonts w:ascii="Times New Roman" w:hAnsi="Times New Roman"/>
        </w:rPr>
      </w:pPr>
    </w:p>
    <w:p w:rsidR="000B6330" w:rsidRPr="00A46B9C" w14:paraId="7D66C749" w14:textId="3CB84F2A">
      <w:pPr>
        <w:ind w:left="720"/>
        <w:rPr>
          <w:rFonts w:ascii="Times New Roman" w:hAnsi="Times New Roman"/>
        </w:rPr>
      </w:pPr>
      <w:r w:rsidRPr="00A46B9C">
        <w:rPr>
          <w:rFonts w:ascii="Times New Roman" w:hAnsi="Times New Roman"/>
        </w:rPr>
        <w:t xml:space="preserve">Under </w:t>
      </w:r>
      <w:r w:rsidRPr="00A46B9C" w:rsidR="00DA73B3">
        <w:rPr>
          <w:rFonts w:ascii="Times New Roman" w:hAnsi="Times New Roman"/>
        </w:rPr>
        <w:t xml:space="preserve">the Internal Revenue Code (IRC) </w:t>
      </w:r>
      <w:r w:rsidRPr="00A46B9C">
        <w:rPr>
          <w:rFonts w:ascii="Times New Roman" w:hAnsi="Times New Roman"/>
        </w:rPr>
        <w:t xml:space="preserve">section 897, a foreign transferor of a U.S. real property interest (USRPI) is generally taxed on gain from the disposition of the USRPI as if the taxpayer were engaged in a U.S. trade or business and as if such gain were effectively connected with a trade or business under </w:t>
      </w:r>
      <w:r w:rsidRPr="00A46B9C" w:rsidR="00DA73B3">
        <w:rPr>
          <w:rFonts w:ascii="Times New Roman" w:hAnsi="Times New Roman"/>
        </w:rPr>
        <w:t xml:space="preserve">IRC </w:t>
      </w:r>
      <w:r w:rsidRPr="00A46B9C">
        <w:rPr>
          <w:rFonts w:ascii="Times New Roman" w:hAnsi="Times New Roman"/>
        </w:rPr>
        <w:t xml:space="preserve">section 871 or 882 (ECI).   </w:t>
      </w:r>
      <w:r w:rsidRPr="00A46B9C" w:rsidR="00423C8F">
        <w:rPr>
          <w:rFonts w:ascii="Times New Roman" w:hAnsi="Times New Roman"/>
        </w:rPr>
        <w:t>To</w:t>
      </w:r>
      <w:r w:rsidRPr="00A46B9C">
        <w:rPr>
          <w:rFonts w:ascii="Times New Roman" w:hAnsi="Times New Roman"/>
        </w:rPr>
        <w:t xml:space="preserve"> ensure the collection of the tax, the transferee of the USRPI generally has a withholding tax obligation under </w:t>
      </w:r>
      <w:r w:rsidRPr="00A46B9C" w:rsidR="00DA73B3">
        <w:rPr>
          <w:rFonts w:ascii="Times New Roman" w:hAnsi="Times New Roman"/>
        </w:rPr>
        <w:t xml:space="preserve">IRC </w:t>
      </w:r>
      <w:r w:rsidRPr="00A46B9C">
        <w:rPr>
          <w:rFonts w:ascii="Times New Roman" w:hAnsi="Times New Roman"/>
        </w:rPr>
        <w:t xml:space="preserve">section 1445, which is generally 10 percent of the gross amount paid over to the transferor. </w:t>
      </w:r>
    </w:p>
    <w:p w:rsidR="000B6330" w:rsidRPr="00A46B9C" w14:paraId="6AF8434A" w14:textId="77777777">
      <w:pPr>
        <w:rPr>
          <w:rFonts w:ascii="Times New Roman" w:hAnsi="Times New Roman"/>
        </w:rPr>
      </w:pPr>
    </w:p>
    <w:p w:rsidR="000B6330" w:rsidRPr="00A46B9C" w:rsidP="00140C82" w14:paraId="513A4CD1" w14:textId="0D79FC4F">
      <w:pPr>
        <w:ind w:left="720"/>
        <w:rPr>
          <w:rFonts w:ascii="Times New Roman" w:hAnsi="Times New Roman"/>
        </w:rPr>
      </w:pPr>
      <w:r w:rsidRPr="00A46B9C">
        <w:rPr>
          <w:rFonts w:ascii="Times New Roman" w:hAnsi="Times New Roman"/>
        </w:rPr>
        <w:t xml:space="preserve">TD 9082, published August 5, 2003 (68 F.R. 46081), </w:t>
      </w:r>
      <w:r w:rsidRPr="00A46B9C" w:rsidR="00423C8F">
        <w:rPr>
          <w:rFonts w:ascii="Times New Roman" w:hAnsi="Times New Roman"/>
        </w:rPr>
        <w:t xml:space="preserve">contains final and temporary regulations to require the use of taxpayer identifying numbers on submissions under sections 897 and 1445.  The regulations are necessary to properly identify foreign taxpayers for which submissions are made for the reduction or elimination of tax under sections 897 and 1445. </w:t>
      </w:r>
    </w:p>
    <w:p w:rsidR="000B6330" w:rsidRPr="00A46B9C" w14:paraId="44A1CD29" w14:textId="77777777">
      <w:pPr>
        <w:rPr>
          <w:rFonts w:ascii="Times New Roman" w:hAnsi="Times New Roman"/>
        </w:rPr>
      </w:pPr>
    </w:p>
    <w:p w:rsidR="00140C82" w:rsidRPr="00A46B9C" w:rsidP="00140C82" w14:paraId="0E487291" w14:textId="77777777">
      <w:pPr>
        <w:ind w:left="720"/>
        <w:rPr>
          <w:rFonts w:ascii="Times New Roman" w:hAnsi="Times New Roman"/>
        </w:rPr>
      </w:pPr>
      <w:r w:rsidRPr="00A46B9C">
        <w:rPr>
          <w:rFonts w:ascii="Times New Roman" w:hAnsi="Times New Roman"/>
        </w:rPr>
        <w:t>TD 9751, published February 19, 2016 (81 F.R. 3421), contains final and temporary regulations relating to the taxation of, and withholding on, foreign persons upon certain dispositions of, and distributions with respect to, United States real property interests (USRPIs).  The regulations reflect changes made by the Protecting Americans from Tax Hikes Act of 2015 (the PATH Act). In addition, the regulations update certain mailing addresses listed in regulations under sections 897 and 1445. These regulations affect</w:t>
      </w:r>
    </w:p>
    <w:p w:rsidR="000B6330" w:rsidRPr="00A46B9C" w:rsidP="00140C82" w14:paraId="0C5FE1E5" w14:textId="77777777">
      <w:pPr>
        <w:ind w:left="720"/>
        <w:rPr>
          <w:rFonts w:ascii="Times New Roman" w:hAnsi="Times New Roman"/>
        </w:rPr>
      </w:pPr>
      <w:r w:rsidRPr="00A46B9C">
        <w:rPr>
          <w:rFonts w:ascii="Times New Roman" w:hAnsi="Times New Roman"/>
        </w:rPr>
        <w:t xml:space="preserve">certain holders of USRPIs and withholding agents that are required to withhold tax on certain dispositions of, and distributions with respect to, USRPIs. </w:t>
      </w:r>
    </w:p>
    <w:p w:rsidR="009258E6" w:rsidRPr="00A46B9C" w:rsidP="00140C82" w14:paraId="38EAD7F9" w14:textId="77777777">
      <w:pPr>
        <w:ind w:left="720"/>
        <w:rPr>
          <w:rFonts w:ascii="Times New Roman" w:hAnsi="Times New Roman"/>
        </w:rPr>
      </w:pPr>
    </w:p>
    <w:p w:rsidR="00DA73B3" w:rsidRPr="00A46B9C" w:rsidP="00DA73B3" w14:paraId="59ED6F7C" w14:textId="77777777">
      <w:pPr>
        <w:ind w:left="720"/>
        <w:rPr>
          <w:rFonts w:ascii="Times New Roman" w:hAnsi="Times New Roman"/>
        </w:rPr>
      </w:pPr>
      <w:r w:rsidRPr="00A46B9C">
        <w:rPr>
          <w:rFonts w:ascii="Times New Roman" w:hAnsi="Times New Roman"/>
        </w:rPr>
        <w:t xml:space="preserve">Under 26 CFR 1.1445-2(d)(2), a transferee is not required to withhold tax on a disposition of a U.S. real property interest if the transferor notifies the transferee that the transferor is not required to recognize any gain or loss with respect to the transfer because of the operation of a nonrecognition provision of the IRC.  The transferee must provide a copy of the notice of nonrecognition to the Internal Revenue Service (IRS) within 20 days of the transfer.  </w:t>
      </w:r>
    </w:p>
    <w:p w:rsidR="00DA73B3" w:rsidRPr="00A46B9C" w:rsidP="00DA73B3" w14:paraId="04DAC723" w14:textId="77777777">
      <w:pPr>
        <w:ind w:left="720"/>
        <w:rPr>
          <w:rFonts w:ascii="Times New Roman" w:hAnsi="Times New Roman"/>
        </w:rPr>
      </w:pPr>
    </w:p>
    <w:p w:rsidR="00DA73B3" w:rsidRPr="00A46B9C" w:rsidP="00DA73B3" w14:paraId="61F010AC" w14:textId="58162A15">
      <w:pPr>
        <w:ind w:left="720"/>
        <w:rPr>
          <w:rFonts w:ascii="Times New Roman" w:hAnsi="Times New Roman"/>
        </w:rPr>
      </w:pPr>
      <w:r w:rsidRPr="00A46B9C">
        <w:rPr>
          <w:rFonts w:ascii="Times New Roman" w:hAnsi="Times New Roman"/>
        </w:rPr>
        <w:t>Under 26 CFR 1.1445-3, the withholding tax may be reduced or eliminated pursuant to a withholding certificate issued by the IRS.  If the withholding certificate is issued by the IRS prior to the disposition of the USRPI, it serves to notify the withholding agent that no withholding or reduced withholding is required.  If an application for a withholding certificate is pending with the IRS at the time of transfer, the withholding agent is not required to file a withholding tax return and pay over the withholding tax until 20 days after the date the IRS mails the withholding certificate or notice of denial.  Form 8288-B is used apply for the withholding certificate and is approved by the Office of Management and Budget (OMB) under OMB Control Number 1545-1060.</w:t>
      </w:r>
    </w:p>
    <w:p w:rsidR="00DA73B3" w:rsidRPr="00A46B9C" w:rsidP="00DA73B3" w14:paraId="7700FE75" w14:textId="77777777">
      <w:pPr>
        <w:rPr>
          <w:rFonts w:ascii="Times New Roman" w:hAnsi="Times New Roman"/>
        </w:rPr>
      </w:pPr>
    </w:p>
    <w:p w:rsidR="009258E6" w:rsidRPr="00A46B9C" w:rsidP="00140C82" w14:paraId="68AB4647" w14:textId="78C8653A">
      <w:pPr>
        <w:ind w:left="720"/>
        <w:rPr>
          <w:rFonts w:ascii="Times New Roman" w:hAnsi="Times New Roman"/>
        </w:rPr>
      </w:pPr>
      <w:r w:rsidRPr="00A46B9C">
        <w:rPr>
          <w:rFonts w:ascii="Times New Roman" w:hAnsi="Times New Roman"/>
          <w:bCs/>
        </w:rPr>
        <w:t>This is a request to renew the OMB approval of an existing Information Collection (IC) tool.</w:t>
      </w:r>
    </w:p>
    <w:p w:rsidR="000B6330" w:rsidRPr="00A46B9C" w14:paraId="5569D107" w14:textId="77777777">
      <w:pPr>
        <w:rPr>
          <w:rFonts w:ascii="Times New Roman" w:hAnsi="Times New Roman"/>
        </w:rPr>
      </w:pPr>
    </w:p>
    <w:p w:rsidR="000B6330" w:rsidRPr="00A46B9C" w14:paraId="5784D448" w14:textId="642BCDB5">
      <w:pPr>
        <w:tabs>
          <w:tab w:val="left" w:pos="-1440"/>
        </w:tabs>
        <w:ind w:left="720" w:hanging="720"/>
        <w:rPr>
          <w:rFonts w:ascii="Times New Roman" w:hAnsi="Times New Roman"/>
        </w:rPr>
      </w:pPr>
      <w:r w:rsidRPr="00A46B9C">
        <w:rPr>
          <w:rFonts w:ascii="Times New Roman" w:hAnsi="Times New Roman"/>
        </w:rPr>
        <w:t>2.</w:t>
      </w:r>
      <w:r w:rsidRPr="00A46B9C">
        <w:rPr>
          <w:rFonts w:ascii="Times New Roman" w:hAnsi="Times New Roman"/>
        </w:rPr>
        <w:tab/>
      </w:r>
      <w:r w:rsidRPr="00A46B9C">
        <w:rPr>
          <w:rFonts w:ascii="Times New Roman" w:hAnsi="Times New Roman"/>
          <w:u w:val="single"/>
        </w:rPr>
        <w:t>USE OF DATA</w:t>
      </w:r>
      <w:r w:rsidRPr="00A46B9C">
        <w:rPr>
          <w:rFonts w:ascii="Times New Roman" w:hAnsi="Times New Roman"/>
        </w:rPr>
        <w:t xml:space="preserve"> </w:t>
      </w:r>
    </w:p>
    <w:p w:rsidR="000B6330" w:rsidRPr="00A46B9C" w14:paraId="1DD0A6B9" w14:textId="77777777">
      <w:pPr>
        <w:rPr>
          <w:rFonts w:ascii="Times New Roman" w:hAnsi="Times New Roman"/>
        </w:rPr>
      </w:pPr>
    </w:p>
    <w:p w:rsidR="000B6330" w:rsidRPr="00A46B9C" w14:paraId="4A43AEF2" w14:textId="1EEF5CDD">
      <w:pPr>
        <w:ind w:left="720"/>
        <w:rPr>
          <w:rFonts w:ascii="Times New Roman" w:hAnsi="Times New Roman"/>
          <w:bCs/>
        </w:rPr>
      </w:pPr>
      <w:r w:rsidRPr="00A46B9C">
        <w:rPr>
          <w:rFonts w:ascii="Times New Roman" w:hAnsi="Times New Roman"/>
          <w:bCs/>
        </w:rPr>
        <w:t xml:space="preserve">These collections of information are required to notify the IRS of dispositions of U.S. real property interests by foreign persons that otherwise are subject to taxation under section 897 and the collection of a withholding tax under section 1445.  </w:t>
      </w:r>
    </w:p>
    <w:p w:rsidR="00266AE5" w:rsidRPr="00A46B9C" w14:paraId="46AA1019" w14:textId="77777777">
      <w:pPr>
        <w:ind w:left="720"/>
        <w:rPr>
          <w:rFonts w:ascii="Times New Roman" w:hAnsi="Times New Roman"/>
        </w:rPr>
      </w:pPr>
    </w:p>
    <w:p w:rsidR="000B6330" w:rsidRPr="00A46B9C" w14:paraId="61F6C19B" w14:textId="77777777">
      <w:pPr>
        <w:tabs>
          <w:tab w:val="left" w:pos="-1440"/>
        </w:tabs>
        <w:ind w:left="720" w:hanging="720"/>
        <w:rPr>
          <w:rFonts w:ascii="Times New Roman" w:hAnsi="Times New Roman"/>
        </w:rPr>
      </w:pPr>
      <w:r w:rsidRPr="00A46B9C">
        <w:rPr>
          <w:rFonts w:ascii="Times New Roman" w:hAnsi="Times New Roman"/>
        </w:rPr>
        <w:t>3.</w:t>
      </w:r>
      <w:r w:rsidRPr="00A46B9C">
        <w:rPr>
          <w:rFonts w:ascii="Times New Roman" w:hAnsi="Times New Roman"/>
        </w:rPr>
        <w:tab/>
      </w:r>
      <w:r w:rsidRPr="00A46B9C">
        <w:rPr>
          <w:rFonts w:ascii="Times New Roman" w:hAnsi="Times New Roman"/>
          <w:u w:val="single"/>
        </w:rPr>
        <w:t>USE OF IMPROVED INFORMATION TECHNOLOGY TO REDUCE BURDEN</w:t>
      </w:r>
    </w:p>
    <w:p w:rsidR="000B6330" w:rsidRPr="00A46B9C" w14:paraId="526E4EAB" w14:textId="77777777">
      <w:pPr>
        <w:rPr>
          <w:rFonts w:ascii="Times New Roman" w:hAnsi="Times New Roman"/>
        </w:rPr>
      </w:pPr>
    </w:p>
    <w:p w:rsidR="000B6330" w:rsidRPr="00A46B9C" w14:paraId="6CCCDD85" w14:textId="521741F0">
      <w:pPr>
        <w:ind w:left="720"/>
        <w:rPr>
          <w:rFonts w:ascii="Times New Roman" w:hAnsi="Times New Roman"/>
        </w:rPr>
      </w:pPr>
      <w:bookmarkStart w:id="0" w:name="_Hlk504984057"/>
      <w:r w:rsidRPr="00A46B9C">
        <w:rPr>
          <w:rFonts w:ascii="Times New Roman" w:hAnsi="Times New Roman"/>
        </w:rPr>
        <w:t xml:space="preserve">There are no plans to provide electronic filing </w:t>
      </w:r>
      <w:r w:rsidRPr="00A46B9C" w:rsidR="00A32AB7">
        <w:rPr>
          <w:rFonts w:ascii="Times New Roman" w:hAnsi="Times New Roman"/>
        </w:rPr>
        <w:t>due to the requirement for the transferor to provide notice to the transferee; and for the transferee to send IRS a copy of the transferor’s notice.</w:t>
      </w:r>
    </w:p>
    <w:bookmarkEnd w:id="0"/>
    <w:p w:rsidR="000B6330" w:rsidRPr="00A46B9C" w14:paraId="0A5B2AA2" w14:textId="77777777">
      <w:pPr>
        <w:rPr>
          <w:rFonts w:ascii="Times New Roman" w:hAnsi="Times New Roman"/>
        </w:rPr>
      </w:pPr>
    </w:p>
    <w:p w:rsidR="000B6330" w:rsidRPr="00A46B9C" w14:paraId="667F514E" w14:textId="77777777">
      <w:pPr>
        <w:tabs>
          <w:tab w:val="left" w:pos="-1440"/>
        </w:tabs>
        <w:ind w:left="720" w:hanging="720"/>
        <w:rPr>
          <w:rFonts w:ascii="Times New Roman" w:hAnsi="Times New Roman"/>
        </w:rPr>
      </w:pPr>
      <w:r w:rsidRPr="00A46B9C">
        <w:rPr>
          <w:rFonts w:ascii="Times New Roman" w:hAnsi="Times New Roman"/>
        </w:rPr>
        <w:t>4.</w:t>
      </w:r>
      <w:r w:rsidRPr="00A46B9C">
        <w:rPr>
          <w:rFonts w:ascii="Times New Roman" w:hAnsi="Times New Roman"/>
        </w:rPr>
        <w:tab/>
      </w:r>
      <w:r w:rsidRPr="00A46B9C">
        <w:rPr>
          <w:rFonts w:ascii="Times New Roman" w:hAnsi="Times New Roman"/>
          <w:u w:val="single"/>
        </w:rPr>
        <w:t>EFFORTS TO IDENTIFY DUPLICATION</w:t>
      </w:r>
    </w:p>
    <w:p w:rsidR="000B6330" w:rsidRPr="00A46B9C" w14:paraId="3D5F0FFA" w14:textId="77777777">
      <w:pPr>
        <w:rPr>
          <w:rFonts w:ascii="Times New Roman" w:hAnsi="Times New Roman"/>
        </w:rPr>
      </w:pPr>
    </w:p>
    <w:p w:rsidR="001B0514" w:rsidRPr="00A46B9C" w14:paraId="02F4C037" w14:textId="77777777">
      <w:pPr>
        <w:ind w:left="720"/>
        <w:rPr>
          <w:rFonts w:ascii="Times New Roman" w:hAnsi="Times New Roman"/>
          <w:iCs/>
        </w:rPr>
      </w:pPr>
      <w:r w:rsidRPr="00A46B9C">
        <w:rPr>
          <w:rFonts w:ascii="Times New Roman" w:hAnsi="Times New Roman"/>
          <w:iCs/>
        </w:rPr>
        <w:t>The information obtained through this collection is unique and is not already available for use or adaptation from another source.</w:t>
      </w:r>
    </w:p>
    <w:p w:rsidR="000B6330" w:rsidRPr="00A46B9C" w:rsidP="00140C82" w14:paraId="027EC205" w14:textId="77777777">
      <w:pPr>
        <w:ind w:left="720"/>
        <w:rPr>
          <w:rFonts w:ascii="Times New Roman" w:hAnsi="Times New Roman"/>
        </w:rPr>
      </w:pPr>
      <w:r w:rsidRPr="00A46B9C">
        <w:rPr>
          <w:rFonts w:ascii="Times New Roman" w:hAnsi="Times New Roman"/>
        </w:rPr>
        <w:t xml:space="preserve"> </w:t>
      </w:r>
    </w:p>
    <w:p w:rsidR="000B6330" w:rsidRPr="00A46B9C" w14:paraId="53E5EA99" w14:textId="77777777">
      <w:pPr>
        <w:tabs>
          <w:tab w:val="left" w:pos="-1440"/>
        </w:tabs>
        <w:ind w:left="720" w:hanging="720"/>
        <w:rPr>
          <w:rFonts w:ascii="Times New Roman" w:hAnsi="Times New Roman"/>
        </w:rPr>
      </w:pPr>
      <w:r w:rsidRPr="00A46B9C">
        <w:rPr>
          <w:rFonts w:ascii="Times New Roman" w:hAnsi="Times New Roman"/>
        </w:rPr>
        <w:t>5.</w:t>
      </w:r>
      <w:r w:rsidRPr="00A46B9C">
        <w:rPr>
          <w:rFonts w:ascii="Times New Roman" w:hAnsi="Times New Roman"/>
        </w:rPr>
        <w:tab/>
      </w:r>
      <w:r w:rsidRPr="00A46B9C">
        <w:rPr>
          <w:rFonts w:ascii="Times New Roman" w:hAnsi="Times New Roman"/>
          <w:u w:val="single"/>
        </w:rPr>
        <w:t>METHODS TO MINIMIZE BURDEN ON SMALL BUSINESSES OR OTHER</w:t>
      </w:r>
      <w:r w:rsidRPr="00A46B9C" w:rsidR="00AD5EF7">
        <w:rPr>
          <w:rFonts w:ascii="Times New Roman" w:hAnsi="Times New Roman"/>
          <w:u w:val="single"/>
        </w:rPr>
        <w:t xml:space="preserve"> </w:t>
      </w:r>
      <w:r w:rsidRPr="00A46B9C">
        <w:rPr>
          <w:rFonts w:ascii="Times New Roman" w:hAnsi="Times New Roman"/>
          <w:u w:val="single"/>
        </w:rPr>
        <w:t>SMALL ENTITIES</w:t>
      </w:r>
    </w:p>
    <w:p w:rsidR="000B6330" w:rsidRPr="00A46B9C" w14:paraId="3665C393" w14:textId="77777777">
      <w:pPr>
        <w:rPr>
          <w:rFonts w:ascii="Times New Roman" w:hAnsi="Times New Roman"/>
        </w:rPr>
      </w:pPr>
    </w:p>
    <w:p w:rsidR="000B6330" w:rsidRPr="00A46B9C" w:rsidP="00962AEC" w14:paraId="790CA1FC" w14:textId="76563492">
      <w:pPr>
        <w:ind w:left="720"/>
        <w:rPr>
          <w:rFonts w:ascii="Times New Roman" w:hAnsi="Times New Roman"/>
        </w:rPr>
      </w:pPr>
      <w:r w:rsidRPr="00A46B9C">
        <w:rPr>
          <w:rFonts w:ascii="Times New Roman" w:hAnsi="Times New Roman"/>
        </w:rPr>
        <w:t>The collection of information requirement will not have a significant economic impact on a substantial number of small entities</w:t>
      </w:r>
      <w:r w:rsidRPr="00A46B9C" w:rsidR="001B0514">
        <w:rPr>
          <w:rFonts w:ascii="Times New Roman" w:hAnsi="Times New Roman"/>
        </w:rPr>
        <w:t>.</w:t>
      </w:r>
    </w:p>
    <w:p w:rsidR="000B6330" w:rsidRPr="00A46B9C" w14:paraId="74AF3A9A" w14:textId="77777777">
      <w:pPr>
        <w:rPr>
          <w:rFonts w:ascii="Times New Roman" w:hAnsi="Times New Roman"/>
        </w:rPr>
      </w:pPr>
    </w:p>
    <w:p w:rsidR="000B6330" w:rsidRPr="00A46B9C" w14:paraId="0168221B" w14:textId="77777777">
      <w:pPr>
        <w:tabs>
          <w:tab w:val="left" w:pos="-1440"/>
        </w:tabs>
        <w:ind w:left="720" w:hanging="720"/>
        <w:rPr>
          <w:rFonts w:ascii="Times New Roman" w:hAnsi="Times New Roman"/>
        </w:rPr>
      </w:pPr>
      <w:r w:rsidRPr="00A46B9C">
        <w:rPr>
          <w:rFonts w:ascii="Times New Roman" w:hAnsi="Times New Roman"/>
        </w:rPr>
        <w:t>6.</w:t>
      </w:r>
      <w:r w:rsidRPr="00A46B9C">
        <w:rPr>
          <w:rFonts w:ascii="Times New Roman" w:hAnsi="Times New Roman"/>
        </w:rPr>
        <w:tab/>
      </w:r>
      <w:r w:rsidRPr="00A46B9C">
        <w:rPr>
          <w:rFonts w:ascii="Times New Roman" w:hAnsi="Times New Roman"/>
          <w:u w:val="single"/>
        </w:rPr>
        <w:t>CONSEQUENCES OF LESS FREQUENT COLLECTION ON FEDERAL PROGRAMS OR POLICY ACTIVITIES</w:t>
      </w:r>
    </w:p>
    <w:p w:rsidR="000B6330" w:rsidRPr="00A46B9C" w14:paraId="12F1188A" w14:textId="77777777">
      <w:pPr>
        <w:rPr>
          <w:rFonts w:ascii="Times New Roman" w:hAnsi="Times New Roman"/>
        </w:rPr>
      </w:pPr>
    </w:p>
    <w:p w:rsidR="000B6330" w:rsidRPr="00A46B9C" w:rsidP="001B0514" w14:paraId="4647187C" w14:textId="2E08FA2E">
      <w:pPr>
        <w:ind w:left="720"/>
        <w:rPr>
          <w:rFonts w:ascii="Times New Roman" w:hAnsi="Times New Roman"/>
        </w:rPr>
      </w:pPr>
      <w:r w:rsidRPr="00A46B9C">
        <w:rPr>
          <w:rFonts w:ascii="Times New Roman" w:hAnsi="Times New Roman"/>
        </w:rPr>
        <w:t>Without the collections under 26 FR 1.1445-2(d)(2), transferees would not be able to verify that the transferor is eligible for a withholding exemption.</w:t>
      </w:r>
      <w:r w:rsidRPr="00A46B9C" w:rsidR="00027DE7">
        <w:rPr>
          <w:rFonts w:ascii="Times New Roman" w:hAnsi="Times New Roman"/>
        </w:rPr>
        <w:t xml:space="preserve"> A less frequent collection would prevent the taxpayer from applying this benefit</w:t>
      </w:r>
      <w:r w:rsidRPr="00A46B9C" w:rsidR="00AD5EF7">
        <w:rPr>
          <w:rFonts w:ascii="Times New Roman" w:hAnsi="Times New Roman"/>
        </w:rPr>
        <w:t xml:space="preserve"> and hinder the IRS from meeting its mission</w:t>
      </w:r>
      <w:r w:rsidRPr="00A46B9C" w:rsidR="00027DE7">
        <w:rPr>
          <w:rFonts w:ascii="Times New Roman" w:hAnsi="Times New Roman"/>
        </w:rPr>
        <w:t>.</w:t>
      </w:r>
    </w:p>
    <w:p w:rsidR="000B6330" w:rsidRPr="00A46B9C" w14:paraId="308334C9" w14:textId="77777777">
      <w:pPr>
        <w:rPr>
          <w:rFonts w:ascii="Times New Roman" w:hAnsi="Times New Roman"/>
        </w:rPr>
      </w:pPr>
    </w:p>
    <w:p w:rsidR="000B6330" w:rsidRPr="00A46B9C" w14:paraId="348CDC2F" w14:textId="77777777">
      <w:pPr>
        <w:tabs>
          <w:tab w:val="left" w:pos="-1440"/>
        </w:tabs>
        <w:ind w:left="720" w:hanging="720"/>
        <w:rPr>
          <w:rFonts w:ascii="Times New Roman" w:hAnsi="Times New Roman"/>
        </w:rPr>
      </w:pPr>
      <w:r w:rsidRPr="00A46B9C">
        <w:rPr>
          <w:rFonts w:ascii="Times New Roman" w:hAnsi="Times New Roman"/>
        </w:rPr>
        <w:t>7.</w:t>
      </w:r>
      <w:r w:rsidRPr="00A46B9C">
        <w:rPr>
          <w:rFonts w:ascii="Times New Roman" w:hAnsi="Times New Roman"/>
        </w:rPr>
        <w:tab/>
      </w:r>
      <w:r w:rsidRPr="00A46B9C">
        <w:rPr>
          <w:rFonts w:ascii="Times New Roman" w:hAnsi="Times New Roman"/>
          <w:u w:val="single"/>
        </w:rPr>
        <w:t>SPECIAL CIRCUMSTANCES REQUIRING DATA COLLECTION TO BE</w:t>
      </w:r>
      <w:r w:rsidRPr="00A46B9C" w:rsidR="00AD5EF7">
        <w:rPr>
          <w:rFonts w:ascii="Times New Roman" w:hAnsi="Times New Roman"/>
          <w:u w:val="single"/>
        </w:rPr>
        <w:t xml:space="preserve"> </w:t>
      </w:r>
      <w:r w:rsidRPr="00A46B9C">
        <w:rPr>
          <w:rFonts w:ascii="Times New Roman" w:hAnsi="Times New Roman"/>
          <w:u w:val="single"/>
        </w:rPr>
        <w:t>INCONSISTENT WITH GUIDELINES IN 5 CFR 1320.5(d)(2)</w:t>
      </w:r>
    </w:p>
    <w:p w:rsidR="000B6330" w:rsidRPr="00A46B9C" w14:paraId="1AE7D6C3" w14:textId="77777777">
      <w:pPr>
        <w:rPr>
          <w:rFonts w:ascii="Times New Roman" w:hAnsi="Times New Roman"/>
        </w:rPr>
      </w:pPr>
    </w:p>
    <w:p w:rsidR="000B6330" w:rsidRPr="00A46B9C" w:rsidP="00140C82" w14:paraId="4B26A898" w14:textId="19475F63">
      <w:pPr>
        <w:ind w:left="720"/>
        <w:jc w:val="both"/>
        <w:rPr>
          <w:rFonts w:ascii="Times New Roman" w:hAnsi="Times New Roman"/>
        </w:rPr>
      </w:pPr>
      <w:r w:rsidRPr="00A46B9C">
        <w:rPr>
          <w:rFonts w:ascii="Times New Roman" w:hAnsi="Times New Roman"/>
        </w:rPr>
        <w:t>There are no special circumstances requiring data collection to be inconsistent with guidelines in 5 CFR 1320.5(d)(2).</w:t>
      </w:r>
    </w:p>
    <w:p w:rsidR="000B6330" w:rsidRPr="00A46B9C" w14:paraId="251E9A13" w14:textId="77777777">
      <w:pPr>
        <w:rPr>
          <w:rFonts w:ascii="Times New Roman" w:hAnsi="Times New Roman"/>
        </w:rPr>
      </w:pPr>
    </w:p>
    <w:p w:rsidR="000B6330" w:rsidRPr="00A46B9C" w14:paraId="22098FFD" w14:textId="77777777">
      <w:pPr>
        <w:tabs>
          <w:tab w:val="left" w:pos="-1440"/>
        </w:tabs>
        <w:ind w:left="720" w:hanging="720"/>
        <w:rPr>
          <w:rFonts w:ascii="Times New Roman" w:hAnsi="Times New Roman"/>
        </w:rPr>
      </w:pPr>
      <w:r w:rsidRPr="00A46B9C">
        <w:rPr>
          <w:rFonts w:ascii="Times New Roman" w:hAnsi="Times New Roman"/>
        </w:rPr>
        <w:t>8.</w:t>
      </w:r>
      <w:r w:rsidRPr="00A46B9C">
        <w:rPr>
          <w:rFonts w:ascii="Times New Roman" w:hAnsi="Times New Roman"/>
        </w:rPr>
        <w:tab/>
      </w:r>
      <w:r w:rsidRPr="00A46B9C">
        <w:rPr>
          <w:rFonts w:ascii="Times New Roman" w:hAnsi="Times New Roman"/>
          <w:u w:val="single"/>
        </w:rPr>
        <w:t>CONSULTATION WITH INDIVIDUALS OUTSIDE OF THE AGENCY ON</w:t>
      </w:r>
      <w:r w:rsidRPr="00A46B9C" w:rsidR="00AD5EF7">
        <w:rPr>
          <w:rFonts w:ascii="Times New Roman" w:hAnsi="Times New Roman"/>
          <w:u w:val="single"/>
        </w:rPr>
        <w:t xml:space="preserve"> </w:t>
      </w:r>
      <w:r w:rsidRPr="00A46B9C">
        <w:rPr>
          <w:rFonts w:ascii="Times New Roman" w:hAnsi="Times New Roman"/>
          <w:u w:val="single"/>
        </w:rPr>
        <w:t>AVAILABILITY OF DATA, FREQUENCY OF COLLECTION, CLARITY OF INSTRUCTIONS AND FORMS, AND DATA ELEMENTS</w:t>
      </w:r>
    </w:p>
    <w:p w:rsidR="000B6330" w:rsidRPr="00A46B9C" w14:paraId="63E5A284" w14:textId="77777777">
      <w:pPr>
        <w:rPr>
          <w:rFonts w:ascii="Times New Roman" w:hAnsi="Times New Roman"/>
        </w:rPr>
      </w:pPr>
    </w:p>
    <w:p w:rsidR="003260E2" w:rsidRPr="00A46B9C" w:rsidP="00962AEC" w14:paraId="663336AD" w14:textId="6F4FCE21">
      <w:pPr>
        <w:ind w:left="720"/>
        <w:rPr>
          <w:rFonts w:ascii="Times New Roman" w:hAnsi="Times New Roman"/>
        </w:rPr>
      </w:pPr>
      <w:r w:rsidRPr="00A46B9C">
        <w:rPr>
          <w:rFonts w:ascii="Times New Roman" w:hAnsi="Times New Roman"/>
        </w:rPr>
        <w:t xml:space="preserve">In response to the Federal Register notice dated </w:t>
      </w:r>
      <w:r w:rsidRPr="00A46B9C" w:rsidR="009258E6">
        <w:rPr>
          <w:rFonts w:ascii="Times New Roman" w:hAnsi="Times New Roman"/>
        </w:rPr>
        <w:t xml:space="preserve">March </w:t>
      </w:r>
      <w:r w:rsidRPr="00A46B9C" w:rsidR="009C0A60">
        <w:rPr>
          <w:rFonts w:ascii="Times New Roman" w:hAnsi="Times New Roman"/>
        </w:rPr>
        <w:t>5</w:t>
      </w:r>
      <w:r w:rsidRPr="00A46B9C" w:rsidR="009258E6">
        <w:rPr>
          <w:rFonts w:ascii="Times New Roman" w:hAnsi="Times New Roman"/>
        </w:rPr>
        <w:t>, 2024</w:t>
      </w:r>
      <w:r w:rsidRPr="00A46B9C">
        <w:rPr>
          <w:rFonts w:ascii="Times New Roman" w:hAnsi="Times New Roman"/>
        </w:rPr>
        <w:t xml:space="preserve"> (</w:t>
      </w:r>
      <w:r w:rsidRPr="00A46B9C" w:rsidR="009C0A60">
        <w:rPr>
          <w:rFonts w:ascii="Times New Roman" w:hAnsi="Times New Roman"/>
        </w:rPr>
        <w:t>89</w:t>
      </w:r>
      <w:r w:rsidRPr="00A46B9C">
        <w:rPr>
          <w:rFonts w:ascii="Times New Roman" w:hAnsi="Times New Roman"/>
        </w:rPr>
        <w:t xml:space="preserve"> FR </w:t>
      </w:r>
      <w:r w:rsidRPr="00A46B9C" w:rsidR="009C0A60">
        <w:rPr>
          <w:rFonts w:ascii="Times New Roman" w:hAnsi="Times New Roman"/>
        </w:rPr>
        <w:t>15926</w:t>
      </w:r>
      <w:r w:rsidRPr="00A46B9C">
        <w:rPr>
          <w:rFonts w:ascii="Times New Roman" w:hAnsi="Times New Roman"/>
        </w:rPr>
        <w:t>), we received no comments during the comment period regarding this guidance</w:t>
      </w:r>
      <w:r w:rsidRPr="00A46B9C" w:rsidR="0032747C">
        <w:rPr>
          <w:rFonts w:ascii="Times New Roman" w:hAnsi="Times New Roman"/>
        </w:rPr>
        <w:t>.</w:t>
      </w:r>
    </w:p>
    <w:p w:rsidR="00140C82" w:rsidRPr="00A46B9C" w14:paraId="6B45E149" w14:textId="34BEECA4">
      <w:pPr>
        <w:rPr>
          <w:rFonts w:ascii="Times New Roman" w:hAnsi="Times New Roman"/>
        </w:rPr>
      </w:pPr>
    </w:p>
    <w:p w:rsidR="000B6330" w:rsidRPr="00A46B9C" w14:paraId="72E098AA" w14:textId="77777777">
      <w:pPr>
        <w:tabs>
          <w:tab w:val="left" w:pos="-1440"/>
        </w:tabs>
        <w:ind w:left="720" w:hanging="720"/>
        <w:rPr>
          <w:rFonts w:ascii="Times New Roman" w:hAnsi="Times New Roman"/>
        </w:rPr>
      </w:pPr>
      <w:r w:rsidRPr="00A46B9C">
        <w:rPr>
          <w:rFonts w:ascii="Times New Roman" w:hAnsi="Times New Roman"/>
        </w:rPr>
        <w:t>9.</w:t>
      </w:r>
      <w:r w:rsidRPr="00A46B9C">
        <w:rPr>
          <w:rFonts w:ascii="Times New Roman" w:hAnsi="Times New Roman"/>
        </w:rPr>
        <w:tab/>
      </w:r>
      <w:r w:rsidRPr="00A46B9C">
        <w:rPr>
          <w:rFonts w:ascii="Times New Roman" w:hAnsi="Times New Roman"/>
          <w:u w:val="single"/>
        </w:rPr>
        <w:t>EXPLANATION OF DECISION TO PROVIDE ANY PAYMENT OR GIFT TO</w:t>
      </w:r>
      <w:r w:rsidRPr="00A46B9C" w:rsidR="00AD5EF7">
        <w:rPr>
          <w:rFonts w:ascii="Times New Roman" w:hAnsi="Times New Roman"/>
          <w:u w:val="single"/>
        </w:rPr>
        <w:t xml:space="preserve"> </w:t>
      </w:r>
      <w:r w:rsidRPr="00A46B9C">
        <w:rPr>
          <w:rFonts w:ascii="Times New Roman" w:hAnsi="Times New Roman"/>
          <w:u w:val="single"/>
        </w:rPr>
        <w:t>RESPONDENTS</w:t>
      </w:r>
    </w:p>
    <w:p w:rsidR="000B6330" w:rsidRPr="00A46B9C" w14:paraId="2D4DA85F" w14:textId="77777777">
      <w:pPr>
        <w:rPr>
          <w:rFonts w:ascii="Times New Roman" w:hAnsi="Times New Roman"/>
        </w:rPr>
      </w:pPr>
    </w:p>
    <w:p w:rsidR="0032747C" w:rsidRPr="00A46B9C" w14:paraId="17410CAC" w14:textId="7AD31DDF">
      <w:pPr>
        <w:ind w:left="720"/>
        <w:rPr>
          <w:rFonts w:ascii="Times New Roman" w:hAnsi="Times New Roman"/>
        </w:rPr>
      </w:pPr>
      <w:r w:rsidRPr="00A46B9C">
        <w:rPr>
          <w:rFonts w:ascii="Times New Roman" w:hAnsi="Times New Roman"/>
        </w:rPr>
        <w:t>There are no special circumstances requiring data collection to be inconsistent with Guidelines in 5 CFR 1320.5(d)(2).</w:t>
      </w:r>
    </w:p>
    <w:p w:rsidR="00606186" w:rsidRPr="00A46B9C" w14:paraId="102DDD5D" w14:textId="77777777">
      <w:pPr>
        <w:ind w:left="720"/>
        <w:rPr>
          <w:rFonts w:ascii="Times New Roman" w:hAnsi="Times New Roman"/>
        </w:rPr>
      </w:pPr>
    </w:p>
    <w:p w:rsidR="000B6330" w:rsidRPr="00A46B9C" w14:paraId="699A3557" w14:textId="77777777">
      <w:pPr>
        <w:rPr>
          <w:rFonts w:ascii="Times New Roman" w:hAnsi="Times New Roman"/>
        </w:rPr>
      </w:pPr>
      <w:r w:rsidRPr="00A46B9C">
        <w:rPr>
          <w:rFonts w:ascii="Times New Roman" w:hAnsi="Times New Roman"/>
        </w:rPr>
        <w:t>10.</w:t>
      </w:r>
      <w:r w:rsidRPr="00A46B9C">
        <w:rPr>
          <w:rFonts w:ascii="Times New Roman" w:hAnsi="Times New Roman"/>
        </w:rPr>
        <w:tab/>
      </w:r>
      <w:r w:rsidRPr="00A46B9C">
        <w:rPr>
          <w:rFonts w:ascii="Times New Roman" w:hAnsi="Times New Roman"/>
          <w:u w:val="single"/>
        </w:rPr>
        <w:t>ASSURANCE OF CONFIDENTIALITY OF RESPONSES</w:t>
      </w:r>
    </w:p>
    <w:p w:rsidR="000B6330" w:rsidRPr="00A46B9C" w14:paraId="5BFD3381" w14:textId="77777777">
      <w:pPr>
        <w:rPr>
          <w:rFonts w:ascii="Times New Roman" w:hAnsi="Times New Roman"/>
        </w:rPr>
      </w:pPr>
    </w:p>
    <w:p w:rsidR="000B6330" w:rsidRPr="00A46B9C" w14:paraId="1BADC118" w14:textId="4F0EA9AE">
      <w:pPr>
        <w:ind w:left="720"/>
        <w:rPr>
          <w:rFonts w:ascii="Times New Roman" w:hAnsi="Times New Roman"/>
        </w:rPr>
      </w:pPr>
      <w:r w:rsidRPr="00A46B9C">
        <w:rPr>
          <w:rFonts w:ascii="Times New Roman" w:hAnsi="Times New Roman"/>
        </w:rPr>
        <w:t>Generally, tax returns and tax return information are confidential as required by 26</w:t>
      </w:r>
      <w:r w:rsidRPr="00A46B9C" w:rsidR="00606186">
        <w:rPr>
          <w:rFonts w:ascii="Times New Roman" w:hAnsi="Times New Roman"/>
        </w:rPr>
        <w:t xml:space="preserve"> </w:t>
      </w:r>
      <w:r w:rsidRPr="00A46B9C">
        <w:rPr>
          <w:rFonts w:ascii="Times New Roman" w:hAnsi="Times New Roman"/>
        </w:rPr>
        <w:t>USC 6103.</w:t>
      </w:r>
    </w:p>
    <w:p w:rsidR="000B6330" w:rsidRPr="00A46B9C" w14:paraId="73D57867" w14:textId="77777777">
      <w:pPr>
        <w:rPr>
          <w:rFonts w:ascii="Times New Roman" w:hAnsi="Times New Roman"/>
        </w:rPr>
      </w:pPr>
    </w:p>
    <w:p w:rsidR="000B6330" w:rsidRPr="00A46B9C" w14:paraId="3F320703" w14:textId="77777777">
      <w:pPr>
        <w:tabs>
          <w:tab w:val="left" w:pos="-1440"/>
        </w:tabs>
        <w:ind w:left="720" w:hanging="720"/>
        <w:rPr>
          <w:rFonts w:ascii="Times New Roman" w:hAnsi="Times New Roman"/>
          <w:u w:val="single"/>
        </w:rPr>
      </w:pPr>
      <w:r w:rsidRPr="00A46B9C">
        <w:rPr>
          <w:rFonts w:ascii="Times New Roman" w:hAnsi="Times New Roman"/>
        </w:rPr>
        <w:t>11.</w:t>
      </w:r>
      <w:r w:rsidRPr="00A46B9C">
        <w:rPr>
          <w:rFonts w:ascii="Times New Roman" w:hAnsi="Times New Roman"/>
        </w:rPr>
        <w:tab/>
      </w:r>
      <w:r w:rsidRPr="00A46B9C">
        <w:rPr>
          <w:rFonts w:ascii="Times New Roman" w:hAnsi="Times New Roman"/>
          <w:u w:val="single"/>
        </w:rPr>
        <w:t>JUSTIFICATION OF SENSITIVE QUESTIONS</w:t>
      </w:r>
    </w:p>
    <w:p w:rsidR="000B6330" w:rsidRPr="00A46B9C" w14:paraId="7D43D29B" w14:textId="77777777">
      <w:pPr>
        <w:rPr>
          <w:rFonts w:ascii="Times New Roman" w:hAnsi="Times New Roman"/>
          <w:u w:val="single"/>
        </w:rPr>
      </w:pPr>
    </w:p>
    <w:p w:rsidR="008D362B" w:rsidRPr="00A46B9C" w:rsidP="008D362B" w14:paraId="545E1280" w14:textId="46C049F5">
      <w:pPr>
        <w:ind w:left="720"/>
        <w:rPr>
          <w:rFonts w:ascii="Times New Roman" w:hAnsi="Times New Roman"/>
          <w:bCs/>
        </w:rPr>
      </w:pPr>
      <w:r w:rsidRPr="00A46B9C">
        <w:rPr>
          <w:rFonts w:ascii="Times New Roman" w:hAnsi="Times New Roman"/>
          <w:bCs/>
        </w:rPr>
        <w:t>A privacy impact assessment (PIA) has been conducted for information collected under</w:t>
      </w:r>
      <w:r w:rsidRPr="00A46B9C" w:rsidR="007060A1">
        <w:rPr>
          <w:rFonts w:ascii="Times New Roman" w:hAnsi="Times New Roman"/>
          <w:bCs/>
        </w:rPr>
        <w:t xml:space="preserve"> </w:t>
      </w:r>
      <w:r w:rsidRPr="00A46B9C">
        <w:rPr>
          <w:rFonts w:ascii="Times New Roman" w:hAnsi="Times New Roman"/>
          <w:bCs/>
        </w:rPr>
        <w:t xml:space="preserve">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sidRPr="00A46B9C">
          <w:rPr>
            <w:rStyle w:val="Hyperlink"/>
            <w:rFonts w:ascii="Times New Roman" w:hAnsi="Times New Roman"/>
            <w:bCs/>
          </w:rPr>
          <w:t>https://www.irs.gov/uac/Privacy-Impact-Assessments-PIA</w:t>
        </w:r>
      </w:hyperlink>
      <w:r w:rsidRPr="00A46B9C">
        <w:rPr>
          <w:rFonts w:ascii="Times New Roman" w:hAnsi="Times New Roman"/>
          <w:bCs/>
        </w:rPr>
        <w:t>.</w:t>
      </w:r>
    </w:p>
    <w:p w:rsidR="008D362B" w:rsidRPr="00A46B9C" w:rsidP="008D362B" w14:paraId="37F8A2D3" w14:textId="77777777">
      <w:pPr>
        <w:ind w:left="720"/>
        <w:rPr>
          <w:rFonts w:ascii="Times New Roman" w:hAnsi="Times New Roman"/>
          <w:bCs/>
        </w:rPr>
      </w:pPr>
    </w:p>
    <w:p w:rsidR="008D362B" w:rsidRPr="00A46B9C" w:rsidP="008D362B" w14:paraId="588B48D3" w14:textId="77777777">
      <w:pPr>
        <w:ind w:left="720"/>
        <w:rPr>
          <w:rFonts w:ascii="Times New Roman" w:hAnsi="Times New Roman"/>
          <w:bCs/>
        </w:rPr>
      </w:pPr>
      <w:r w:rsidRPr="00A46B9C">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0B6330" w:rsidRPr="00A46B9C" w14:paraId="718E6E93" w14:textId="77777777">
      <w:pPr>
        <w:rPr>
          <w:rFonts w:ascii="Times New Roman" w:hAnsi="Times New Roman"/>
        </w:rPr>
      </w:pPr>
    </w:p>
    <w:p w:rsidR="000B6330" w:rsidRPr="00A46B9C" w:rsidP="007060A1" w14:paraId="0D0308D9" w14:textId="0CB38070">
      <w:pPr>
        <w:tabs>
          <w:tab w:val="left" w:pos="-1440"/>
        </w:tabs>
        <w:ind w:left="720" w:hanging="720"/>
        <w:rPr>
          <w:rFonts w:ascii="Times New Roman" w:hAnsi="Times New Roman"/>
          <w:u w:val="single"/>
        </w:rPr>
      </w:pPr>
      <w:r w:rsidRPr="00A46B9C">
        <w:rPr>
          <w:rFonts w:ascii="Times New Roman" w:hAnsi="Times New Roman"/>
        </w:rPr>
        <w:t>12.</w:t>
      </w:r>
      <w:r w:rsidRPr="00A46B9C">
        <w:rPr>
          <w:rFonts w:ascii="Times New Roman" w:hAnsi="Times New Roman"/>
        </w:rPr>
        <w:tab/>
      </w:r>
      <w:r w:rsidRPr="00A46B9C">
        <w:rPr>
          <w:rFonts w:ascii="Times New Roman" w:hAnsi="Times New Roman"/>
          <w:u w:val="single"/>
        </w:rPr>
        <w:t>ESTIMATED BURDEN OF INFORMATION COLLECTION</w:t>
      </w:r>
    </w:p>
    <w:p w:rsidR="000B6330" w:rsidRPr="00A46B9C" w:rsidP="0092401A" w14:paraId="487725EE" w14:textId="4917AE72">
      <w:pPr>
        <w:ind w:left="720"/>
        <w:rPr>
          <w:rFonts w:ascii="Times New Roman" w:hAnsi="Times New Roman"/>
        </w:rPr>
      </w:pPr>
      <w:r w:rsidRPr="00A46B9C">
        <w:rPr>
          <w:rFonts w:ascii="Times New Roman" w:hAnsi="Times New Roman"/>
        </w:rPr>
        <w:t>The collection of information in these final regulations are in sections</w:t>
      </w:r>
      <w:r w:rsidRPr="00A46B9C" w:rsidR="00A1731C">
        <w:rPr>
          <w:rFonts w:ascii="Times New Roman" w:hAnsi="Times New Roman"/>
        </w:rPr>
        <w:t xml:space="preserve"> </w:t>
      </w:r>
      <w:r w:rsidRPr="00A46B9C">
        <w:rPr>
          <w:rFonts w:ascii="Times New Roman" w:hAnsi="Times New Roman"/>
        </w:rPr>
        <w:t>1.1445–2(d)(2) and 1.1445–3. These collections of information are required to notify the IRS of dispositions of U.S. real property interests by foreign persons that otherwise are subject to taxation under section 897 and the collection of a withholding tax under section 1445.</w:t>
      </w:r>
    </w:p>
    <w:p w:rsidR="0092401A" w:rsidRPr="00A46B9C" w:rsidP="0092401A" w14:paraId="1DF6ED0D" w14:textId="77777777">
      <w:pPr>
        <w:ind w:left="720"/>
        <w:rPr>
          <w:rFonts w:ascii="Times New Roman" w:hAnsi="Times New Roman"/>
        </w:rPr>
      </w:pPr>
    </w:p>
    <w:p w:rsidR="000B6330" w:rsidRPr="00A46B9C" w14:paraId="24F0CEDC" w14:textId="003A022A">
      <w:pPr>
        <w:ind w:left="720"/>
        <w:rPr>
          <w:rFonts w:ascii="Times New Roman" w:hAnsi="Times New Roman"/>
        </w:rPr>
      </w:pPr>
      <w:r w:rsidRPr="00A46B9C">
        <w:rPr>
          <w:rFonts w:ascii="Times New Roman" w:hAnsi="Times New Roman"/>
        </w:rPr>
        <w:t xml:space="preserve">The IRS receives on average 50 notices of nonrecognition under </w:t>
      </w:r>
      <w:r w:rsidRPr="00A46B9C" w:rsidR="007960A0">
        <w:rPr>
          <w:rFonts w:ascii="Times New Roman" w:hAnsi="Times New Roman"/>
        </w:rPr>
        <w:t>section</w:t>
      </w:r>
      <w:r w:rsidRPr="00A46B9C">
        <w:rPr>
          <w:rFonts w:ascii="Times New Roman" w:hAnsi="Times New Roman"/>
        </w:rPr>
        <w:t xml:space="preserve">1.1445-2(d)(2).  The estimated average annual burden per applicant to report these types of transactions is 2 hours, and the total annual reporting burden is 100 hours.  </w:t>
      </w:r>
    </w:p>
    <w:p w:rsidR="000B6330" w:rsidRPr="00A46B9C" w14:paraId="453C9E2C" w14:textId="77777777">
      <w:pPr>
        <w:rPr>
          <w:rFonts w:ascii="Times New Roman" w:hAnsi="Times New Roman"/>
        </w:rPr>
      </w:pPr>
    </w:p>
    <w:p w:rsidR="000B6330" w:rsidRPr="00A46B9C" w14:paraId="418CC611" w14:textId="4B5D84FA">
      <w:pPr>
        <w:ind w:left="720"/>
        <w:rPr>
          <w:rFonts w:ascii="Times New Roman" w:hAnsi="Times New Roman"/>
        </w:rPr>
      </w:pPr>
    </w:p>
    <w:p w:rsidR="000B6330" w:rsidRPr="00A46B9C" w14:paraId="509749F9" w14:textId="77777777">
      <w:pPr>
        <w:rPr>
          <w:rFonts w:ascii="Times New Roman" w:hAnsi="Times New Roman"/>
        </w:rPr>
      </w:pPr>
    </w:p>
    <w:p w:rsidR="000B6330" w:rsidRPr="00A46B9C" w14:paraId="56FDC074" w14:textId="3FA623CE">
      <w:pPr>
        <w:ind w:left="720"/>
        <w:rPr>
          <w:rFonts w:ascii="Times New Roman" w:hAnsi="Times New Roman"/>
        </w:rPr>
      </w:pPr>
    </w:p>
    <w:p w:rsidR="000B6330" w:rsidRPr="00A46B9C" w14:paraId="5FCD0AAA" w14:textId="77777777">
      <w:pPr>
        <w:rPr>
          <w:rFonts w:ascii="Times New Roman" w:hAnsi="Times New Roman"/>
        </w:rPr>
      </w:pPr>
    </w:p>
    <w:p w:rsidR="000B6330" w:rsidRPr="00A46B9C" w14:paraId="581F0482" w14:textId="63B8633C">
      <w:pPr>
        <w:tabs>
          <w:tab w:val="left" w:pos="-1440"/>
        </w:tabs>
        <w:ind w:left="720" w:hanging="720"/>
        <w:rPr>
          <w:rFonts w:ascii="Times New Roman" w:hAnsi="Times New Roman"/>
        </w:rPr>
      </w:pPr>
      <w:r w:rsidRPr="00A46B9C">
        <w:rPr>
          <w:rFonts w:ascii="Times New Roman" w:hAnsi="Times New Roman"/>
        </w:rPr>
        <w:t xml:space="preserve"> </w:t>
      </w:r>
      <w:r w:rsidRPr="00A46B9C">
        <w:rPr>
          <w:rFonts w:ascii="Times New Roman" w:hAnsi="Times New Roman"/>
        </w:rPr>
        <w:tab/>
        <w:t xml:space="preserve"> </w:t>
      </w:r>
    </w:p>
    <w:p w:rsidR="008D362B" w:rsidRPr="00A46B9C" w14:paraId="2058D961" w14:textId="0B9830BD">
      <w:pPr>
        <w:tabs>
          <w:tab w:val="left" w:pos="-1440"/>
        </w:tabs>
        <w:ind w:left="720" w:hanging="720"/>
        <w:rPr>
          <w:rFonts w:ascii="Times New Roman" w:hAnsi="Times New Roma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1"/>
        <w:gridCol w:w="1425"/>
        <w:gridCol w:w="1364"/>
        <w:gridCol w:w="1302"/>
        <w:gridCol w:w="1241"/>
        <w:gridCol w:w="1005"/>
      </w:tblGrid>
      <w:tr w14:paraId="27D1DF8C" w14:textId="77777777" w:rsidTr="008D362B">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1" w:type="dxa"/>
          </w:tcPr>
          <w:p w:rsidR="000539D3" w:rsidRPr="00A46B9C" w:rsidP="008D362B" w14:paraId="31DE79B2" w14:textId="77777777">
            <w:pPr>
              <w:numPr>
                <w:ilvl w:val="12"/>
                <w:numId w:val="0"/>
              </w:numPr>
              <w:jc w:val="center"/>
              <w:rPr>
                <w:rFonts w:ascii="Times New Roman" w:hAnsi="Times New Roman"/>
                <w:bCs/>
                <w:sz w:val="18"/>
                <w:szCs w:val="18"/>
              </w:rPr>
            </w:pPr>
          </w:p>
          <w:p w:rsidR="000539D3" w:rsidRPr="00A46B9C" w:rsidP="008D362B" w14:paraId="3EEF69BF" w14:textId="77777777">
            <w:pPr>
              <w:numPr>
                <w:ilvl w:val="12"/>
                <w:numId w:val="0"/>
              </w:numPr>
              <w:jc w:val="center"/>
              <w:rPr>
                <w:rFonts w:ascii="Times New Roman" w:hAnsi="Times New Roman"/>
                <w:bCs/>
                <w:sz w:val="18"/>
                <w:szCs w:val="18"/>
              </w:rPr>
            </w:pPr>
            <w:r w:rsidRPr="00A46B9C">
              <w:rPr>
                <w:rFonts w:ascii="Times New Roman" w:hAnsi="Times New Roman"/>
                <w:bCs/>
                <w:sz w:val="18"/>
                <w:szCs w:val="18"/>
              </w:rPr>
              <w:t>Authority</w:t>
            </w:r>
          </w:p>
        </w:tc>
        <w:tc>
          <w:tcPr>
            <w:tcW w:w="1425" w:type="dxa"/>
            <w:shd w:val="clear" w:color="auto" w:fill="auto"/>
            <w:vAlign w:val="center"/>
          </w:tcPr>
          <w:p w:rsidR="000539D3" w:rsidRPr="00A46B9C" w:rsidP="008D362B" w14:paraId="01B89431" w14:textId="542688A1">
            <w:pPr>
              <w:numPr>
                <w:ilvl w:val="12"/>
                <w:numId w:val="0"/>
              </w:numPr>
              <w:jc w:val="center"/>
              <w:rPr>
                <w:rFonts w:ascii="Times New Roman" w:hAnsi="Times New Roman"/>
                <w:bCs/>
                <w:sz w:val="18"/>
                <w:szCs w:val="18"/>
              </w:rPr>
            </w:pPr>
            <w:r w:rsidRPr="00A46B9C">
              <w:rPr>
                <w:rFonts w:ascii="Times New Roman" w:hAnsi="Times New Roman"/>
                <w:bCs/>
                <w:sz w:val="18"/>
                <w:szCs w:val="18"/>
              </w:rPr>
              <w:t># Respondents</w:t>
            </w:r>
          </w:p>
        </w:tc>
        <w:tc>
          <w:tcPr>
            <w:tcW w:w="1364" w:type="dxa"/>
            <w:shd w:val="clear" w:color="auto" w:fill="auto"/>
            <w:vAlign w:val="center"/>
          </w:tcPr>
          <w:p w:rsidR="000539D3" w:rsidRPr="00A46B9C" w:rsidP="008D362B" w14:paraId="2119BA13" w14:textId="77777777">
            <w:pPr>
              <w:numPr>
                <w:ilvl w:val="12"/>
                <w:numId w:val="0"/>
              </w:numPr>
              <w:jc w:val="center"/>
              <w:rPr>
                <w:rFonts w:ascii="Times New Roman" w:hAnsi="Times New Roman"/>
                <w:bCs/>
                <w:sz w:val="18"/>
                <w:szCs w:val="18"/>
              </w:rPr>
            </w:pPr>
            <w:r w:rsidRPr="00A46B9C">
              <w:rPr>
                <w:rFonts w:ascii="Times New Roman" w:hAnsi="Times New Roman"/>
                <w:bCs/>
                <w:sz w:val="18"/>
                <w:szCs w:val="18"/>
              </w:rPr>
              <w:t># Responses Per Respondent</w:t>
            </w:r>
          </w:p>
        </w:tc>
        <w:tc>
          <w:tcPr>
            <w:tcW w:w="1302" w:type="dxa"/>
            <w:shd w:val="clear" w:color="auto" w:fill="auto"/>
            <w:vAlign w:val="center"/>
          </w:tcPr>
          <w:p w:rsidR="000539D3" w:rsidRPr="00A46B9C" w:rsidP="008D362B" w14:paraId="73042D10" w14:textId="77777777">
            <w:pPr>
              <w:numPr>
                <w:ilvl w:val="12"/>
                <w:numId w:val="0"/>
              </w:numPr>
              <w:jc w:val="center"/>
              <w:rPr>
                <w:rFonts w:ascii="Times New Roman" w:hAnsi="Times New Roman"/>
                <w:bCs/>
                <w:sz w:val="18"/>
                <w:szCs w:val="18"/>
              </w:rPr>
            </w:pPr>
            <w:r w:rsidRPr="00A46B9C">
              <w:rPr>
                <w:rFonts w:ascii="Times New Roman" w:hAnsi="Times New Roman"/>
                <w:bCs/>
                <w:sz w:val="18"/>
                <w:szCs w:val="18"/>
              </w:rPr>
              <w:t>Total Annual Responses</w:t>
            </w:r>
          </w:p>
        </w:tc>
        <w:tc>
          <w:tcPr>
            <w:tcW w:w="1241" w:type="dxa"/>
            <w:shd w:val="clear" w:color="auto" w:fill="auto"/>
            <w:vAlign w:val="center"/>
          </w:tcPr>
          <w:p w:rsidR="000539D3" w:rsidRPr="00A46B9C" w:rsidP="008D362B" w14:paraId="0241BE92" w14:textId="77777777">
            <w:pPr>
              <w:numPr>
                <w:ilvl w:val="12"/>
                <w:numId w:val="0"/>
              </w:numPr>
              <w:jc w:val="center"/>
              <w:rPr>
                <w:rFonts w:ascii="Times New Roman" w:hAnsi="Times New Roman"/>
                <w:bCs/>
                <w:sz w:val="18"/>
                <w:szCs w:val="18"/>
              </w:rPr>
            </w:pPr>
            <w:r w:rsidRPr="00A46B9C">
              <w:rPr>
                <w:rFonts w:ascii="Times New Roman" w:hAnsi="Times New Roman"/>
                <w:bCs/>
                <w:sz w:val="18"/>
                <w:szCs w:val="18"/>
              </w:rPr>
              <w:t>Hours Per Response</w:t>
            </w:r>
          </w:p>
        </w:tc>
        <w:tc>
          <w:tcPr>
            <w:tcW w:w="1005" w:type="dxa"/>
            <w:shd w:val="clear" w:color="auto" w:fill="auto"/>
            <w:vAlign w:val="center"/>
          </w:tcPr>
          <w:p w:rsidR="000539D3" w:rsidRPr="00A46B9C" w:rsidP="008D362B" w14:paraId="2F388EFA" w14:textId="77777777">
            <w:pPr>
              <w:numPr>
                <w:ilvl w:val="12"/>
                <w:numId w:val="0"/>
              </w:numPr>
              <w:jc w:val="center"/>
              <w:rPr>
                <w:rFonts w:ascii="Times New Roman" w:hAnsi="Times New Roman"/>
                <w:bCs/>
                <w:sz w:val="18"/>
                <w:szCs w:val="18"/>
              </w:rPr>
            </w:pPr>
            <w:r w:rsidRPr="00A46B9C">
              <w:rPr>
                <w:rFonts w:ascii="Times New Roman" w:hAnsi="Times New Roman"/>
                <w:bCs/>
                <w:sz w:val="18"/>
                <w:szCs w:val="18"/>
              </w:rPr>
              <w:t>Total Burden</w:t>
            </w:r>
          </w:p>
        </w:tc>
      </w:tr>
      <w:tr w14:paraId="34BF854F" w14:textId="77777777" w:rsidTr="008D362B">
        <w:tblPrEx>
          <w:tblW w:w="0" w:type="auto"/>
          <w:tblInd w:w="828" w:type="dxa"/>
          <w:tblLook w:val="04A0"/>
        </w:tblPrEx>
        <w:trPr>
          <w:trHeight w:val="557"/>
        </w:trPr>
        <w:tc>
          <w:tcPr>
            <w:tcW w:w="1071" w:type="dxa"/>
          </w:tcPr>
          <w:p w:rsidR="000539D3" w:rsidRPr="00A46B9C" w:rsidP="008D362B" w14:paraId="3979B65B" w14:textId="77777777">
            <w:pPr>
              <w:numPr>
                <w:ilvl w:val="12"/>
                <w:numId w:val="0"/>
              </w:numPr>
              <w:jc w:val="center"/>
              <w:rPr>
                <w:rFonts w:ascii="Times New Roman" w:hAnsi="Times New Roman"/>
                <w:bCs/>
                <w:sz w:val="18"/>
                <w:szCs w:val="18"/>
              </w:rPr>
            </w:pPr>
          </w:p>
          <w:p w:rsidR="000539D3" w:rsidRPr="00A46B9C" w:rsidP="008D362B" w14:paraId="0D559941" w14:textId="0ED23591">
            <w:pPr>
              <w:numPr>
                <w:ilvl w:val="12"/>
                <w:numId w:val="0"/>
              </w:numPr>
              <w:jc w:val="center"/>
              <w:rPr>
                <w:rFonts w:ascii="Times New Roman" w:hAnsi="Times New Roman"/>
                <w:bCs/>
                <w:sz w:val="18"/>
                <w:szCs w:val="18"/>
              </w:rPr>
            </w:pPr>
            <w:r w:rsidRPr="00A46B9C">
              <w:rPr>
                <w:rFonts w:ascii="Times New Roman" w:hAnsi="Times New Roman"/>
                <w:bCs/>
                <w:sz w:val="18"/>
                <w:szCs w:val="18"/>
              </w:rPr>
              <w:t>1.1445-2(d)(2)</w:t>
            </w:r>
          </w:p>
        </w:tc>
        <w:tc>
          <w:tcPr>
            <w:tcW w:w="1425" w:type="dxa"/>
            <w:shd w:val="clear" w:color="auto" w:fill="auto"/>
            <w:vAlign w:val="center"/>
          </w:tcPr>
          <w:p w:rsidR="000539D3" w:rsidRPr="00A46B9C" w:rsidP="008D362B" w14:paraId="27E4FE13" w14:textId="02FD37BA">
            <w:pPr>
              <w:numPr>
                <w:ilvl w:val="12"/>
                <w:numId w:val="0"/>
              </w:numPr>
              <w:jc w:val="center"/>
              <w:rPr>
                <w:rFonts w:ascii="Times New Roman" w:hAnsi="Times New Roman"/>
                <w:bCs/>
                <w:sz w:val="18"/>
                <w:szCs w:val="18"/>
              </w:rPr>
            </w:pPr>
            <w:r w:rsidRPr="00A46B9C">
              <w:rPr>
                <w:rFonts w:ascii="Times New Roman" w:hAnsi="Times New Roman"/>
                <w:bCs/>
                <w:sz w:val="18"/>
                <w:szCs w:val="18"/>
              </w:rPr>
              <w:t>50</w:t>
            </w:r>
          </w:p>
        </w:tc>
        <w:tc>
          <w:tcPr>
            <w:tcW w:w="1364" w:type="dxa"/>
            <w:shd w:val="clear" w:color="auto" w:fill="auto"/>
            <w:vAlign w:val="center"/>
          </w:tcPr>
          <w:p w:rsidR="000539D3" w:rsidRPr="00A46B9C" w:rsidP="008D362B" w14:paraId="16F3DFDE" w14:textId="77777777">
            <w:pPr>
              <w:numPr>
                <w:ilvl w:val="12"/>
                <w:numId w:val="0"/>
              </w:numPr>
              <w:jc w:val="center"/>
              <w:rPr>
                <w:rFonts w:ascii="Times New Roman" w:hAnsi="Times New Roman"/>
                <w:bCs/>
                <w:sz w:val="18"/>
                <w:szCs w:val="18"/>
              </w:rPr>
            </w:pPr>
            <w:r w:rsidRPr="00A46B9C">
              <w:rPr>
                <w:rFonts w:ascii="Times New Roman" w:hAnsi="Times New Roman"/>
                <w:bCs/>
                <w:sz w:val="18"/>
                <w:szCs w:val="18"/>
              </w:rPr>
              <w:t>1</w:t>
            </w:r>
          </w:p>
        </w:tc>
        <w:tc>
          <w:tcPr>
            <w:tcW w:w="1302" w:type="dxa"/>
            <w:shd w:val="clear" w:color="auto" w:fill="auto"/>
            <w:vAlign w:val="center"/>
          </w:tcPr>
          <w:p w:rsidR="000539D3" w:rsidRPr="00A46B9C" w:rsidP="008D362B" w14:paraId="24E00DA2" w14:textId="677C4628">
            <w:pPr>
              <w:numPr>
                <w:ilvl w:val="12"/>
                <w:numId w:val="0"/>
              </w:numPr>
              <w:jc w:val="center"/>
              <w:rPr>
                <w:rFonts w:ascii="Times New Roman" w:hAnsi="Times New Roman"/>
                <w:bCs/>
                <w:sz w:val="18"/>
                <w:szCs w:val="18"/>
              </w:rPr>
            </w:pPr>
            <w:r w:rsidRPr="00A46B9C">
              <w:rPr>
                <w:rFonts w:ascii="Times New Roman" w:hAnsi="Times New Roman"/>
                <w:bCs/>
                <w:sz w:val="18"/>
                <w:szCs w:val="18"/>
              </w:rPr>
              <w:t>50</w:t>
            </w:r>
          </w:p>
        </w:tc>
        <w:tc>
          <w:tcPr>
            <w:tcW w:w="1241" w:type="dxa"/>
            <w:shd w:val="clear" w:color="auto" w:fill="auto"/>
            <w:vAlign w:val="center"/>
          </w:tcPr>
          <w:p w:rsidR="000539D3" w:rsidRPr="00A46B9C" w:rsidP="008D362B" w14:paraId="4277CC5B" w14:textId="7F768096">
            <w:pPr>
              <w:numPr>
                <w:ilvl w:val="12"/>
                <w:numId w:val="0"/>
              </w:numPr>
              <w:jc w:val="center"/>
              <w:rPr>
                <w:rFonts w:ascii="Times New Roman" w:hAnsi="Times New Roman"/>
                <w:bCs/>
                <w:sz w:val="18"/>
                <w:szCs w:val="18"/>
              </w:rPr>
            </w:pPr>
            <w:r w:rsidRPr="00A46B9C">
              <w:rPr>
                <w:rFonts w:ascii="Times New Roman" w:hAnsi="Times New Roman"/>
                <w:bCs/>
                <w:sz w:val="18"/>
                <w:szCs w:val="18"/>
              </w:rPr>
              <w:t>2</w:t>
            </w:r>
          </w:p>
        </w:tc>
        <w:tc>
          <w:tcPr>
            <w:tcW w:w="1005" w:type="dxa"/>
            <w:shd w:val="clear" w:color="auto" w:fill="auto"/>
            <w:vAlign w:val="center"/>
          </w:tcPr>
          <w:p w:rsidR="000539D3" w:rsidRPr="00A46B9C" w:rsidP="008D362B" w14:paraId="08E783FF" w14:textId="4E528AD2">
            <w:pPr>
              <w:numPr>
                <w:ilvl w:val="12"/>
                <w:numId w:val="0"/>
              </w:numPr>
              <w:jc w:val="center"/>
              <w:rPr>
                <w:rFonts w:ascii="Times New Roman" w:hAnsi="Times New Roman"/>
                <w:bCs/>
                <w:sz w:val="18"/>
                <w:szCs w:val="18"/>
              </w:rPr>
            </w:pPr>
            <w:r w:rsidRPr="00A46B9C">
              <w:rPr>
                <w:rFonts w:ascii="Times New Roman" w:hAnsi="Times New Roman"/>
                <w:bCs/>
                <w:sz w:val="18"/>
                <w:szCs w:val="18"/>
              </w:rPr>
              <w:t>100</w:t>
            </w:r>
          </w:p>
        </w:tc>
      </w:tr>
      <w:tr w14:paraId="49E2C081" w14:textId="77777777" w:rsidTr="008D362B">
        <w:tblPrEx>
          <w:tblW w:w="0" w:type="auto"/>
          <w:tblInd w:w="828" w:type="dxa"/>
          <w:tblLook w:val="04A0"/>
        </w:tblPrEx>
        <w:trPr>
          <w:trHeight w:val="557"/>
        </w:trPr>
        <w:tc>
          <w:tcPr>
            <w:tcW w:w="1071" w:type="dxa"/>
            <w:vAlign w:val="center"/>
          </w:tcPr>
          <w:p w:rsidR="000539D3" w:rsidRPr="00A46B9C" w:rsidP="008D362B" w14:paraId="6D1F048B" w14:textId="77777777">
            <w:pPr>
              <w:numPr>
                <w:ilvl w:val="12"/>
                <w:numId w:val="0"/>
              </w:numPr>
              <w:jc w:val="center"/>
              <w:rPr>
                <w:rFonts w:ascii="Times New Roman" w:hAnsi="Times New Roman"/>
                <w:bCs/>
                <w:sz w:val="18"/>
                <w:szCs w:val="18"/>
              </w:rPr>
            </w:pPr>
            <w:r w:rsidRPr="00A46B9C">
              <w:rPr>
                <w:rFonts w:ascii="Times New Roman" w:hAnsi="Times New Roman"/>
                <w:sz w:val="18"/>
                <w:szCs w:val="18"/>
              </w:rPr>
              <w:t>Totals</w:t>
            </w:r>
          </w:p>
        </w:tc>
        <w:tc>
          <w:tcPr>
            <w:tcW w:w="1425" w:type="dxa"/>
            <w:shd w:val="clear" w:color="auto" w:fill="auto"/>
            <w:vAlign w:val="center"/>
          </w:tcPr>
          <w:p w:rsidR="000539D3" w:rsidRPr="00A46B9C" w:rsidP="008D362B" w14:paraId="59FE29D4" w14:textId="33C3E6FD">
            <w:pPr>
              <w:numPr>
                <w:ilvl w:val="12"/>
                <w:numId w:val="0"/>
              </w:numPr>
              <w:jc w:val="center"/>
              <w:rPr>
                <w:rFonts w:ascii="Times New Roman" w:hAnsi="Times New Roman"/>
                <w:bCs/>
                <w:sz w:val="18"/>
                <w:szCs w:val="18"/>
              </w:rPr>
            </w:pPr>
            <w:r w:rsidRPr="00A46B9C">
              <w:rPr>
                <w:rFonts w:ascii="Times New Roman" w:hAnsi="Times New Roman"/>
                <w:bCs/>
                <w:sz w:val="18"/>
                <w:szCs w:val="18"/>
              </w:rPr>
              <w:t>50</w:t>
            </w:r>
          </w:p>
        </w:tc>
        <w:tc>
          <w:tcPr>
            <w:tcW w:w="1364" w:type="dxa"/>
            <w:shd w:val="clear" w:color="auto" w:fill="auto"/>
            <w:vAlign w:val="center"/>
          </w:tcPr>
          <w:p w:rsidR="000539D3" w:rsidRPr="00A46B9C" w:rsidP="008D362B" w14:paraId="0697820F" w14:textId="77777777">
            <w:pPr>
              <w:numPr>
                <w:ilvl w:val="12"/>
                <w:numId w:val="0"/>
              </w:numPr>
              <w:jc w:val="center"/>
              <w:rPr>
                <w:rFonts w:ascii="Times New Roman" w:hAnsi="Times New Roman"/>
                <w:bCs/>
                <w:sz w:val="18"/>
                <w:szCs w:val="18"/>
              </w:rPr>
            </w:pPr>
          </w:p>
        </w:tc>
        <w:tc>
          <w:tcPr>
            <w:tcW w:w="1302" w:type="dxa"/>
            <w:shd w:val="clear" w:color="auto" w:fill="auto"/>
            <w:vAlign w:val="center"/>
          </w:tcPr>
          <w:p w:rsidR="000539D3" w:rsidRPr="00A46B9C" w:rsidP="008D362B" w14:paraId="7D653D55" w14:textId="7D814ADA">
            <w:pPr>
              <w:numPr>
                <w:ilvl w:val="12"/>
                <w:numId w:val="0"/>
              </w:numPr>
              <w:jc w:val="center"/>
              <w:rPr>
                <w:rFonts w:ascii="Times New Roman" w:hAnsi="Times New Roman"/>
                <w:bCs/>
                <w:sz w:val="18"/>
                <w:szCs w:val="18"/>
              </w:rPr>
            </w:pPr>
            <w:r w:rsidRPr="00A46B9C">
              <w:rPr>
                <w:rFonts w:ascii="Times New Roman" w:hAnsi="Times New Roman"/>
                <w:bCs/>
                <w:sz w:val="18"/>
                <w:szCs w:val="18"/>
              </w:rPr>
              <w:t>50</w:t>
            </w:r>
          </w:p>
        </w:tc>
        <w:tc>
          <w:tcPr>
            <w:tcW w:w="1241" w:type="dxa"/>
            <w:shd w:val="clear" w:color="auto" w:fill="auto"/>
            <w:vAlign w:val="center"/>
          </w:tcPr>
          <w:p w:rsidR="000539D3" w:rsidRPr="00A46B9C" w:rsidP="008D362B" w14:paraId="2FEED573" w14:textId="77777777">
            <w:pPr>
              <w:numPr>
                <w:ilvl w:val="12"/>
                <w:numId w:val="0"/>
              </w:numPr>
              <w:jc w:val="center"/>
              <w:rPr>
                <w:rFonts w:ascii="Times New Roman" w:hAnsi="Times New Roman"/>
                <w:bCs/>
                <w:sz w:val="18"/>
                <w:szCs w:val="18"/>
              </w:rPr>
            </w:pPr>
          </w:p>
        </w:tc>
        <w:tc>
          <w:tcPr>
            <w:tcW w:w="1005" w:type="dxa"/>
            <w:shd w:val="clear" w:color="auto" w:fill="auto"/>
            <w:vAlign w:val="center"/>
          </w:tcPr>
          <w:p w:rsidR="000539D3" w:rsidRPr="00A46B9C" w:rsidP="008D362B" w14:paraId="787F6215" w14:textId="76AA6ED4">
            <w:pPr>
              <w:numPr>
                <w:ilvl w:val="12"/>
                <w:numId w:val="0"/>
              </w:numPr>
              <w:jc w:val="center"/>
              <w:rPr>
                <w:rFonts w:ascii="Times New Roman" w:hAnsi="Times New Roman"/>
                <w:bCs/>
                <w:sz w:val="18"/>
                <w:szCs w:val="18"/>
              </w:rPr>
            </w:pPr>
            <w:r w:rsidRPr="00A46B9C">
              <w:rPr>
                <w:rFonts w:ascii="Times New Roman" w:hAnsi="Times New Roman"/>
                <w:bCs/>
                <w:sz w:val="18"/>
                <w:szCs w:val="18"/>
              </w:rPr>
              <w:t>100</w:t>
            </w:r>
          </w:p>
        </w:tc>
      </w:tr>
    </w:tbl>
    <w:p w:rsidR="0092401A" w:rsidRPr="00A46B9C" w14:paraId="38FCC685" w14:textId="77777777">
      <w:pPr>
        <w:tabs>
          <w:tab w:val="left" w:pos="-1440"/>
        </w:tabs>
        <w:ind w:left="720" w:hanging="720"/>
        <w:rPr>
          <w:rFonts w:ascii="Times New Roman" w:hAnsi="Times New Roman"/>
        </w:rPr>
      </w:pPr>
    </w:p>
    <w:p w:rsidR="00962AEC" w:rsidRPr="00A46B9C" w:rsidP="00962AEC" w14:paraId="606974B2" w14:textId="61B448A6">
      <w:pPr>
        <w:ind w:left="720"/>
        <w:rPr>
          <w:rFonts w:ascii="Times New Roman" w:hAnsi="Times New Roman"/>
        </w:rPr>
      </w:pPr>
      <w:r w:rsidRPr="00A46B9C">
        <w:rPr>
          <w:rFonts w:ascii="Times New Roman" w:hAnsi="Times New Roman"/>
        </w:rPr>
        <w:t>Please continue to assign OMB number 1545-1797 to these regulations</w:t>
      </w:r>
      <w:r w:rsidRPr="00A46B9C" w:rsidR="008D362B">
        <w:rPr>
          <w:rFonts w:ascii="Times New Roman" w:hAnsi="Times New Roman"/>
        </w:rPr>
        <w:t>:</w:t>
      </w:r>
    </w:p>
    <w:p w:rsidR="00962AEC" w:rsidRPr="00A46B9C" w:rsidP="00962AEC" w14:paraId="48AEC1A8" w14:textId="77777777">
      <w:pPr>
        <w:ind w:left="720"/>
        <w:rPr>
          <w:rFonts w:ascii="Times New Roman" w:hAnsi="Times New Roman"/>
        </w:rPr>
      </w:pPr>
    </w:p>
    <w:p w:rsidR="000B6330" w:rsidRPr="00A46B9C" w:rsidP="00962AEC" w14:paraId="73482092" w14:textId="77777777">
      <w:pPr>
        <w:ind w:left="720"/>
        <w:rPr>
          <w:rFonts w:ascii="Times New Roman" w:hAnsi="Times New Roman"/>
        </w:rPr>
      </w:pPr>
      <w:r w:rsidRPr="00A46B9C">
        <w:rPr>
          <w:rFonts w:ascii="Times New Roman" w:hAnsi="Times New Roman"/>
        </w:rPr>
        <w:t>1.1445-2</w:t>
      </w:r>
    </w:p>
    <w:p w:rsidR="00962AEC" w:rsidRPr="00A46B9C" w:rsidP="00962AEC" w14:paraId="31167960" w14:textId="77777777">
      <w:pPr>
        <w:ind w:left="720"/>
        <w:rPr>
          <w:rFonts w:ascii="Times New Roman" w:hAnsi="Times New Roman"/>
        </w:rPr>
      </w:pPr>
      <w:r w:rsidRPr="00A46B9C">
        <w:rPr>
          <w:rFonts w:ascii="Times New Roman" w:hAnsi="Times New Roman"/>
        </w:rPr>
        <w:t>1.1445-3</w:t>
      </w:r>
    </w:p>
    <w:p w:rsidR="000B6330" w:rsidRPr="00A46B9C" w14:paraId="463B26ED" w14:textId="4A3C3349">
      <w:pPr>
        <w:rPr>
          <w:rFonts w:ascii="Times New Roman" w:hAnsi="Times New Roman"/>
        </w:rPr>
      </w:pPr>
    </w:p>
    <w:p w:rsidR="000B6330" w:rsidRPr="00A46B9C" w14:paraId="66511DC6" w14:textId="26AC2203">
      <w:pPr>
        <w:tabs>
          <w:tab w:val="left" w:pos="-1440"/>
        </w:tabs>
        <w:ind w:left="720" w:hanging="720"/>
        <w:rPr>
          <w:rFonts w:ascii="Times New Roman" w:hAnsi="Times New Roman"/>
        </w:rPr>
      </w:pPr>
      <w:r w:rsidRPr="00A46B9C">
        <w:rPr>
          <w:rFonts w:ascii="Times New Roman" w:hAnsi="Times New Roman"/>
        </w:rPr>
        <w:t>13.</w:t>
      </w:r>
      <w:r w:rsidRPr="00A46B9C">
        <w:rPr>
          <w:rFonts w:ascii="Times New Roman" w:hAnsi="Times New Roman"/>
        </w:rPr>
        <w:tab/>
      </w:r>
      <w:r w:rsidRPr="00A46B9C">
        <w:rPr>
          <w:rFonts w:ascii="Times New Roman" w:hAnsi="Times New Roman"/>
          <w:u w:val="single"/>
        </w:rPr>
        <w:t>ESTIMATED TOTAL ANNUAL COST BURDEN TO RESPONDENTS</w:t>
      </w:r>
    </w:p>
    <w:p w:rsidR="007060A1" w:rsidRPr="00A46B9C" w:rsidP="007060A1" w14:paraId="042C6636" w14:textId="77777777">
      <w:pPr>
        <w:rPr>
          <w:rFonts w:ascii="Times New Roman" w:hAnsi="Times New Roman"/>
        </w:rPr>
      </w:pPr>
    </w:p>
    <w:p w:rsidR="00B0485F" w:rsidRPr="00A46B9C" w:rsidP="007060A1" w14:paraId="6287BCE5" w14:textId="546A1174">
      <w:pPr>
        <w:ind w:left="720"/>
        <w:rPr>
          <w:rFonts w:ascii="Times New Roman" w:hAnsi="Times New Roman"/>
        </w:rPr>
      </w:pPr>
      <w:r w:rsidRPr="00A46B9C">
        <w:rPr>
          <w:rFonts w:ascii="Times New Roman" w:hAnsi="Times New Roman"/>
        </w:rPr>
        <w:t xml:space="preserve">From our Federal Register notice dated March </w:t>
      </w:r>
      <w:r w:rsidRPr="00A46B9C" w:rsidR="009C0A60">
        <w:rPr>
          <w:rFonts w:ascii="Times New Roman" w:hAnsi="Times New Roman"/>
        </w:rPr>
        <w:t>5</w:t>
      </w:r>
      <w:r w:rsidRPr="00A46B9C">
        <w:rPr>
          <w:rFonts w:ascii="Times New Roman" w:hAnsi="Times New Roman"/>
        </w:rPr>
        <w:t>, 2024,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r w:rsidRPr="00A46B9C" w:rsidR="001B0514">
        <w:rPr>
          <w:rFonts w:ascii="Times New Roman" w:hAnsi="Times New Roman"/>
        </w:rPr>
        <w:t xml:space="preserve"> </w:t>
      </w:r>
    </w:p>
    <w:p w:rsidR="000B6330" w:rsidRPr="00A46B9C" w14:paraId="0C667CE1" w14:textId="77777777">
      <w:pPr>
        <w:rPr>
          <w:rFonts w:ascii="Times New Roman" w:hAnsi="Times New Roman"/>
        </w:rPr>
      </w:pPr>
    </w:p>
    <w:p w:rsidR="000B6330" w:rsidRPr="00A46B9C" w14:paraId="52D1757D" w14:textId="77777777">
      <w:pPr>
        <w:tabs>
          <w:tab w:val="left" w:pos="-1440"/>
        </w:tabs>
        <w:ind w:left="720" w:hanging="720"/>
        <w:rPr>
          <w:rFonts w:ascii="Times New Roman" w:hAnsi="Times New Roman"/>
        </w:rPr>
      </w:pPr>
      <w:r w:rsidRPr="00A46B9C">
        <w:rPr>
          <w:rFonts w:ascii="Times New Roman" w:hAnsi="Times New Roman"/>
        </w:rPr>
        <w:t>14.</w:t>
      </w:r>
      <w:r w:rsidRPr="00A46B9C">
        <w:rPr>
          <w:rFonts w:ascii="Times New Roman" w:hAnsi="Times New Roman"/>
        </w:rPr>
        <w:tab/>
      </w:r>
      <w:r w:rsidRPr="00A46B9C">
        <w:rPr>
          <w:rFonts w:ascii="Times New Roman" w:hAnsi="Times New Roman"/>
          <w:u w:val="single"/>
        </w:rPr>
        <w:t>ESTIMATED ANNUALIZED COST TO THE FEDERAL GOVERNMENT</w:t>
      </w:r>
    </w:p>
    <w:p w:rsidR="000B6330" w:rsidRPr="00A46B9C" w14:paraId="48952DA0" w14:textId="77777777">
      <w:pPr>
        <w:rPr>
          <w:rFonts w:ascii="Times New Roman" w:hAnsi="Times New Roman"/>
        </w:rPr>
      </w:pPr>
    </w:p>
    <w:p w:rsidR="00D87B61" w:rsidRPr="00A46B9C" w:rsidP="009258E6" w14:paraId="23E15303" w14:textId="26F9784F">
      <w:pPr>
        <w:ind w:left="720"/>
        <w:rPr>
          <w:rFonts w:ascii="Times New Roman" w:hAnsi="Times New Roman"/>
        </w:rPr>
      </w:pPr>
      <w:r w:rsidRPr="00A46B9C">
        <w:rPr>
          <w:rFonts w:ascii="Times New Roman" w:hAnsi="Times New Roman"/>
        </w:rPr>
        <w:t>There is no cost to the Federal government for the third-party disclosures and to receive copies of the notifications.</w:t>
      </w:r>
    </w:p>
    <w:p w:rsidR="007060A1" w:rsidRPr="00A46B9C" w:rsidP="009258E6" w14:paraId="6DE232C8" w14:textId="77777777">
      <w:pPr>
        <w:ind w:left="720"/>
        <w:rPr>
          <w:rFonts w:ascii="Times New Roman" w:hAnsi="Times New Roman"/>
        </w:rPr>
      </w:pPr>
    </w:p>
    <w:p w:rsidR="000B6330" w:rsidRPr="00A46B9C" w14:paraId="163A6A1E" w14:textId="77777777">
      <w:pPr>
        <w:tabs>
          <w:tab w:val="left" w:pos="-1440"/>
        </w:tabs>
        <w:ind w:left="720" w:hanging="720"/>
        <w:rPr>
          <w:rFonts w:ascii="Times New Roman" w:hAnsi="Times New Roman"/>
        </w:rPr>
      </w:pPr>
      <w:r w:rsidRPr="00A46B9C">
        <w:rPr>
          <w:rFonts w:ascii="Times New Roman" w:hAnsi="Times New Roman"/>
        </w:rPr>
        <w:t>15.</w:t>
      </w:r>
      <w:r w:rsidRPr="00A46B9C">
        <w:rPr>
          <w:rFonts w:ascii="Times New Roman" w:hAnsi="Times New Roman"/>
        </w:rPr>
        <w:tab/>
      </w:r>
      <w:r w:rsidRPr="00A46B9C">
        <w:rPr>
          <w:rFonts w:ascii="Times New Roman" w:hAnsi="Times New Roman"/>
          <w:u w:val="single"/>
        </w:rPr>
        <w:t>REASONS FOR CHANGE IN BURDEN</w:t>
      </w:r>
    </w:p>
    <w:p w:rsidR="000B6330" w:rsidRPr="00A46B9C" w14:paraId="5A05B413" w14:textId="77777777">
      <w:pPr>
        <w:rPr>
          <w:rFonts w:ascii="Times New Roman" w:hAnsi="Times New Roman"/>
        </w:rPr>
      </w:pPr>
    </w:p>
    <w:p w:rsidR="003260E2" w:rsidRPr="00A46B9C" w:rsidP="00962AEC" w14:paraId="27DA1911" w14:textId="2575AF2D">
      <w:pPr>
        <w:ind w:left="720"/>
        <w:rPr>
          <w:rFonts w:ascii="Times New Roman" w:hAnsi="Times New Roman"/>
        </w:rPr>
      </w:pPr>
      <w:r w:rsidRPr="00A46B9C">
        <w:rPr>
          <w:rFonts w:ascii="Times New Roman" w:hAnsi="Times New Roman"/>
        </w:rPr>
        <w:t>There is no change in the paperwork burden previously approved by OMB</w:t>
      </w:r>
      <w:r w:rsidRPr="00A46B9C" w:rsidR="000B6330">
        <w:rPr>
          <w:rFonts w:ascii="Times New Roman" w:hAnsi="Times New Roman"/>
        </w:rPr>
        <w:t>.</w:t>
      </w:r>
      <w:r w:rsidRPr="00A46B9C" w:rsidR="00484576">
        <w:rPr>
          <w:rFonts w:ascii="Times New Roman" w:hAnsi="Times New Roman"/>
        </w:rPr>
        <w:t xml:space="preserve"> </w:t>
      </w:r>
      <w:r w:rsidRPr="00A46B9C">
        <w:rPr>
          <w:rFonts w:ascii="Times New Roman" w:hAnsi="Times New Roman"/>
        </w:rPr>
        <w:t>We are making this submission to renew the OMB approval.</w:t>
      </w:r>
      <w:r w:rsidRPr="00A46B9C" w:rsidR="00EF07EF">
        <w:rPr>
          <w:rFonts w:ascii="Times New Roman" w:hAnsi="Times New Roman"/>
        </w:rPr>
        <w:t xml:space="preserve">  IRS has updated the OMB submission to remove the duplicative burden for the collections under 1.1445-3 which are approved by OMB under 1545-1060.   This has decreased the burden by 100 responses and 500 hours. </w:t>
      </w:r>
    </w:p>
    <w:p w:rsidR="000B6330" w:rsidRPr="00A46B9C" w14:paraId="750064AF" w14:textId="77777777">
      <w:pPr>
        <w:rPr>
          <w:rFonts w:ascii="Times New Roman" w:hAnsi="Times New Roman"/>
        </w:rPr>
      </w:pPr>
    </w:p>
    <w:p w:rsidR="000B6330" w:rsidRPr="00A46B9C" w14:paraId="2B2380AA" w14:textId="77777777">
      <w:pPr>
        <w:tabs>
          <w:tab w:val="left" w:pos="-1440"/>
        </w:tabs>
        <w:ind w:left="720" w:hanging="720"/>
        <w:rPr>
          <w:rFonts w:ascii="Times New Roman" w:hAnsi="Times New Roman"/>
        </w:rPr>
      </w:pPr>
      <w:r w:rsidRPr="00A46B9C">
        <w:rPr>
          <w:rFonts w:ascii="Times New Roman" w:hAnsi="Times New Roman"/>
        </w:rPr>
        <w:t>16.</w:t>
      </w:r>
      <w:r w:rsidRPr="00A46B9C">
        <w:rPr>
          <w:rFonts w:ascii="Times New Roman" w:hAnsi="Times New Roman"/>
        </w:rPr>
        <w:tab/>
      </w:r>
      <w:r w:rsidRPr="00A46B9C">
        <w:rPr>
          <w:rFonts w:ascii="Times New Roman" w:hAnsi="Times New Roman"/>
          <w:u w:val="single"/>
        </w:rPr>
        <w:t>PLANS FOR TABULATION, STATISTICAL ANALYSIS AND PUBLICATION</w:t>
      </w:r>
    </w:p>
    <w:p w:rsidR="000B6330" w:rsidRPr="00A46B9C" w14:paraId="0C0BD39A" w14:textId="77777777">
      <w:pPr>
        <w:rPr>
          <w:rFonts w:ascii="Times New Roman" w:hAnsi="Times New Roman"/>
        </w:rPr>
      </w:pPr>
    </w:p>
    <w:p w:rsidR="00D87B61" w:rsidRPr="00A46B9C" w:rsidP="00D87B61" w14:paraId="3CC16641" w14:textId="6BE35479">
      <w:pPr>
        <w:ind w:left="720"/>
        <w:rPr>
          <w:rFonts w:ascii="Times New Roman" w:hAnsi="Times New Roman"/>
        </w:rPr>
      </w:pPr>
      <w:r w:rsidRPr="00A46B9C">
        <w:rPr>
          <w:rFonts w:ascii="Times New Roman" w:hAnsi="Times New Roman"/>
        </w:rPr>
        <w:t xml:space="preserve">There are no plans for tabulation, statistical </w:t>
      </w:r>
      <w:r w:rsidRPr="00A46B9C" w:rsidR="009C0A60">
        <w:rPr>
          <w:rFonts w:ascii="Times New Roman" w:hAnsi="Times New Roman"/>
        </w:rPr>
        <w:t>analysis,</w:t>
      </w:r>
      <w:r w:rsidRPr="00A46B9C">
        <w:rPr>
          <w:rFonts w:ascii="Times New Roman" w:hAnsi="Times New Roman"/>
        </w:rPr>
        <w:t xml:space="preserve"> and publication. </w:t>
      </w:r>
    </w:p>
    <w:p w:rsidR="000B6330" w:rsidRPr="00A46B9C" w14:paraId="627CA500" w14:textId="77777777">
      <w:pPr>
        <w:ind w:left="720"/>
        <w:rPr>
          <w:rFonts w:ascii="Times New Roman" w:hAnsi="Times New Roman"/>
        </w:rPr>
      </w:pPr>
      <w:r w:rsidRPr="00A46B9C">
        <w:rPr>
          <w:rFonts w:ascii="Times New Roman" w:hAnsi="Times New Roman"/>
        </w:rPr>
        <w:t xml:space="preserve"> </w:t>
      </w:r>
    </w:p>
    <w:p w:rsidR="00EB685F" w:rsidRPr="00A46B9C" w14:paraId="503C1ED9" w14:textId="77777777">
      <w:pPr>
        <w:ind w:left="720"/>
        <w:rPr>
          <w:rFonts w:ascii="Times New Roman" w:hAnsi="Times New Roman"/>
        </w:rPr>
      </w:pPr>
    </w:p>
    <w:p w:rsidR="00EB685F" w:rsidRPr="00A46B9C" w14:paraId="7C173353" w14:textId="77777777">
      <w:pPr>
        <w:ind w:left="720"/>
        <w:rPr>
          <w:rFonts w:ascii="Times New Roman" w:hAnsi="Times New Roman"/>
        </w:rPr>
      </w:pPr>
    </w:p>
    <w:p w:rsidR="00EB685F" w:rsidRPr="00A46B9C" w14:paraId="522D19F7" w14:textId="77777777">
      <w:pPr>
        <w:ind w:left="720"/>
        <w:rPr>
          <w:rFonts w:ascii="Times New Roman" w:hAnsi="Times New Roman"/>
        </w:rPr>
      </w:pPr>
    </w:p>
    <w:p w:rsidR="000B6330" w:rsidRPr="00A46B9C" w14:paraId="4AB4BFF5" w14:textId="77777777">
      <w:pPr>
        <w:tabs>
          <w:tab w:val="left" w:pos="-1440"/>
        </w:tabs>
        <w:ind w:left="720" w:hanging="720"/>
        <w:rPr>
          <w:rFonts w:ascii="Times New Roman" w:hAnsi="Times New Roman"/>
        </w:rPr>
      </w:pPr>
      <w:r w:rsidRPr="00A46B9C">
        <w:rPr>
          <w:rFonts w:ascii="Times New Roman" w:hAnsi="Times New Roman"/>
        </w:rPr>
        <w:t>17.</w:t>
      </w:r>
      <w:r w:rsidRPr="00A46B9C">
        <w:rPr>
          <w:rFonts w:ascii="Times New Roman" w:hAnsi="Times New Roman"/>
        </w:rPr>
        <w:tab/>
      </w:r>
      <w:r w:rsidRPr="00A46B9C">
        <w:rPr>
          <w:rFonts w:ascii="Times New Roman" w:hAnsi="Times New Roman"/>
          <w:u w:val="single"/>
        </w:rPr>
        <w:t>REASONS WHY DISPLAYING THE OMB EXPIRATION DATE IS</w:t>
      </w:r>
      <w:r w:rsidRPr="00A46B9C" w:rsidR="00962AEC">
        <w:rPr>
          <w:rFonts w:ascii="Times New Roman" w:hAnsi="Times New Roman"/>
          <w:u w:val="single"/>
        </w:rPr>
        <w:t xml:space="preserve"> </w:t>
      </w:r>
      <w:r w:rsidRPr="00A46B9C">
        <w:rPr>
          <w:rFonts w:ascii="Times New Roman" w:hAnsi="Times New Roman"/>
          <w:u w:val="single"/>
        </w:rPr>
        <w:t>INAPPROPRIATE</w:t>
      </w:r>
    </w:p>
    <w:p w:rsidR="000B6330" w:rsidRPr="00A46B9C" w14:paraId="1334EFA6" w14:textId="77777777">
      <w:pPr>
        <w:rPr>
          <w:rFonts w:ascii="Times New Roman" w:hAnsi="Times New Roman"/>
        </w:rPr>
      </w:pPr>
    </w:p>
    <w:p w:rsidR="000B6330" w:rsidRPr="00A46B9C" w14:paraId="70DA7E61" w14:textId="4B892373">
      <w:pPr>
        <w:ind w:left="720"/>
        <w:rPr>
          <w:rFonts w:ascii="Times New Roman" w:hAnsi="Times New Roman"/>
        </w:rPr>
      </w:pPr>
      <w:r w:rsidRPr="00A46B9C">
        <w:rPr>
          <w:rFonts w:ascii="Times New Roman" w:hAnsi="Times New Roman"/>
        </w:rPr>
        <w:t xml:space="preserve">IRS believes that displaying the OMB expiration date is inappropriate because it could cause confusion by leading taxpayers to believe that the regulations sunset as of the expiration date.  Taxpayers are not likely to be aware that the </w:t>
      </w:r>
      <w:r w:rsidRPr="00A46B9C" w:rsidR="00EF07EF">
        <w:rPr>
          <w:rFonts w:ascii="Times New Roman" w:hAnsi="Times New Roman"/>
        </w:rPr>
        <w:t xml:space="preserve">IRS </w:t>
      </w:r>
      <w:r w:rsidRPr="00A46B9C">
        <w:rPr>
          <w:rFonts w:ascii="Times New Roman" w:hAnsi="Times New Roman"/>
        </w:rPr>
        <w:t>intends to request renewal of the OMB approval and obtain a new expiration date before the old one expires.</w:t>
      </w:r>
    </w:p>
    <w:p w:rsidR="000B6330" w:rsidRPr="00A46B9C" w14:paraId="092F4F98" w14:textId="77777777">
      <w:pPr>
        <w:rPr>
          <w:rFonts w:ascii="Times New Roman" w:hAnsi="Times New Roman"/>
        </w:rPr>
      </w:pPr>
    </w:p>
    <w:p w:rsidR="000B6330" w:rsidRPr="00A46B9C" w14:paraId="770D3389" w14:textId="77777777">
      <w:pPr>
        <w:tabs>
          <w:tab w:val="left" w:pos="-1440"/>
        </w:tabs>
        <w:ind w:left="720" w:hanging="720"/>
        <w:rPr>
          <w:rFonts w:ascii="Times New Roman" w:hAnsi="Times New Roman"/>
        </w:rPr>
      </w:pPr>
      <w:r w:rsidRPr="00A46B9C">
        <w:rPr>
          <w:rFonts w:ascii="Times New Roman" w:hAnsi="Times New Roman"/>
        </w:rPr>
        <w:t>18.</w:t>
      </w:r>
      <w:r w:rsidRPr="00A46B9C">
        <w:rPr>
          <w:rFonts w:ascii="Times New Roman" w:hAnsi="Times New Roman"/>
        </w:rPr>
        <w:tab/>
      </w:r>
      <w:r w:rsidRPr="00A46B9C">
        <w:rPr>
          <w:rFonts w:ascii="Times New Roman" w:hAnsi="Times New Roman"/>
          <w:u w:val="single"/>
        </w:rPr>
        <w:t>EXCEPTIONS TO THE CERTIFICATION STATEMENT</w:t>
      </w:r>
    </w:p>
    <w:p w:rsidR="000B6330" w:rsidRPr="00A46B9C" w14:paraId="507F0D3F" w14:textId="77777777">
      <w:pPr>
        <w:rPr>
          <w:rFonts w:ascii="Times New Roman" w:hAnsi="Times New Roman"/>
        </w:rPr>
      </w:pPr>
    </w:p>
    <w:p w:rsidR="000B6330" w:rsidRPr="00A46B9C" w14:paraId="352C1B1B" w14:textId="77777777">
      <w:pPr>
        <w:ind w:left="720"/>
        <w:rPr>
          <w:rFonts w:ascii="Times New Roman" w:hAnsi="Times New Roman"/>
        </w:rPr>
      </w:pPr>
      <w:r w:rsidRPr="00A46B9C">
        <w:rPr>
          <w:rFonts w:ascii="Times New Roman" w:hAnsi="Times New Roman"/>
        </w:rPr>
        <w:t>There are no exceptions.</w:t>
      </w:r>
    </w:p>
    <w:p w:rsidR="000B6330" w:rsidRPr="00A46B9C" w14:paraId="78189FE4" w14:textId="77777777">
      <w:pPr>
        <w:rPr>
          <w:rFonts w:ascii="Times New Roman" w:hAnsi="Times New Roman"/>
        </w:rPr>
      </w:pPr>
    </w:p>
    <w:p w:rsidR="000B6330" w:rsidRPr="00A46B9C" w:rsidP="008D362B" w14:paraId="63BAD9CC" w14:textId="3E290D31">
      <w:pPr>
        <w:ind w:left="720"/>
        <w:rPr>
          <w:rFonts w:ascii="Times New Roman" w:hAnsi="Times New Roman"/>
        </w:rPr>
      </w:pPr>
      <w:r w:rsidRPr="00A46B9C">
        <w:rPr>
          <w:rFonts w:ascii="Times New Roman" w:hAnsi="Times New Roman"/>
          <w:b/>
          <w:bCs/>
          <w:u w:val="single"/>
        </w:rPr>
        <w:t>Note:</w:t>
      </w:r>
      <w:r w:rsidRPr="00A46B9C">
        <w:rPr>
          <w:rFonts w:ascii="Times New Roman" w:hAnsi="Times New Roman"/>
          <w:b/>
          <w:bCs/>
        </w:rPr>
        <w:t xml:space="preserve"> </w:t>
      </w:r>
      <w:r w:rsidRPr="00A46B9C">
        <w:rPr>
          <w:rFonts w:ascii="Times New Roman" w:hAnsi="Times New Roman"/>
        </w:rPr>
        <w:t xml:space="preserve">  The following paragraph applies to </w:t>
      </w:r>
      <w:r w:rsidRPr="00A46B9C" w:rsidR="009258E6">
        <w:rPr>
          <w:rFonts w:ascii="Times New Roman" w:hAnsi="Times New Roman"/>
        </w:rPr>
        <w:t>all</w:t>
      </w:r>
      <w:r w:rsidRPr="00A46B9C">
        <w:rPr>
          <w:rFonts w:ascii="Times New Roman" w:hAnsi="Times New Roman"/>
        </w:rPr>
        <w:t xml:space="preserve"> the collections of information in this submission:</w:t>
      </w:r>
    </w:p>
    <w:p w:rsidR="000B6330" w:rsidRPr="00A46B9C" w14:paraId="12425D93" w14:textId="77777777">
      <w:pPr>
        <w:rPr>
          <w:rFonts w:ascii="Times New Roman" w:hAnsi="Times New Roman"/>
        </w:rPr>
      </w:pPr>
    </w:p>
    <w:p w:rsidR="000B6330" w:rsidRPr="00A46B9C" w:rsidP="008D362B" w14:paraId="170C8A8D" w14:textId="313BBB49">
      <w:pPr>
        <w:ind w:left="720"/>
        <w:rPr>
          <w:rFonts w:ascii="Times New Roman" w:hAnsi="Times New Roman"/>
        </w:rPr>
      </w:pPr>
      <w:r w:rsidRPr="00A46B9C">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A46B9C" w:rsidR="009258E6">
        <w:rPr>
          <w:rFonts w:ascii="Times New Roman" w:hAnsi="Times New Roman"/>
        </w:rPr>
        <w:t>if</w:t>
      </w:r>
      <w:r w:rsidRPr="00A46B9C">
        <w:rPr>
          <w:rFonts w:ascii="Times New Roman" w:hAnsi="Times New Roman"/>
        </w:rPr>
        <w:t xml:space="preserve"> their contents may become material in the administration of any internal revenue law.  Generally, tax returns and tax return information are confidential, as required by 26 U.S.C. 6103.</w:t>
      </w:r>
    </w:p>
    <w:p w:rsidR="000B6330" w:rsidRPr="00A46B9C" w14:paraId="572BF4E6" w14:textId="77777777">
      <w:pPr>
        <w:rPr>
          <w:rFonts w:ascii="Times New Roman" w:hAnsi="Times New Roman"/>
          <w:sz w:val="22"/>
          <w:szCs w:val="22"/>
        </w:rPr>
      </w:pPr>
    </w:p>
    <w:p w:rsidR="000B6330" w:rsidRPr="00A46B9C" w14:paraId="4C5F05CD" w14:textId="77777777">
      <w:pPr>
        <w:rPr>
          <w:rFonts w:ascii="Times New Roman" w:hAnsi="Times New Roman"/>
          <w:sz w:val="22"/>
          <w:szCs w:val="22"/>
        </w:rPr>
      </w:pPr>
    </w:p>
    <w:sectPr w:rsidSect="000B6330">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85F" w14:paraId="1B4F0B1C" w14:textId="77777777">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rsidR="00B0485F" w14:paraId="426A0039" w14:textId="77777777"/>
  <w:p w:rsidR="00B0485F" w14:paraId="77975662"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127B1"/>
    <w:rsid w:val="00027DE7"/>
    <w:rsid w:val="00035123"/>
    <w:rsid w:val="00046021"/>
    <w:rsid w:val="000539D3"/>
    <w:rsid w:val="00063D00"/>
    <w:rsid w:val="000B6330"/>
    <w:rsid w:val="000C1D42"/>
    <w:rsid w:val="000F1C51"/>
    <w:rsid w:val="00101153"/>
    <w:rsid w:val="00140C82"/>
    <w:rsid w:val="001761A2"/>
    <w:rsid w:val="001B0514"/>
    <w:rsid w:val="001D7358"/>
    <w:rsid w:val="002015FB"/>
    <w:rsid w:val="0023085F"/>
    <w:rsid w:val="00233386"/>
    <w:rsid w:val="00266AE5"/>
    <w:rsid w:val="00271437"/>
    <w:rsid w:val="0027270E"/>
    <w:rsid w:val="003260E2"/>
    <w:rsid w:val="0032747C"/>
    <w:rsid w:val="003C34BB"/>
    <w:rsid w:val="003C6CF3"/>
    <w:rsid w:val="00400A6F"/>
    <w:rsid w:val="00423C8F"/>
    <w:rsid w:val="00484576"/>
    <w:rsid w:val="00490784"/>
    <w:rsid w:val="00555E43"/>
    <w:rsid w:val="005814A2"/>
    <w:rsid w:val="005D272B"/>
    <w:rsid w:val="00606186"/>
    <w:rsid w:val="00625B87"/>
    <w:rsid w:val="007060A1"/>
    <w:rsid w:val="007251AD"/>
    <w:rsid w:val="00727F59"/>
    <w:rsid w:val="00735D2F"/>
    <w:rsid w:val="007571B1"/>
    <w:rsid w:val="007960A0"/>
    <w:rsid w:val="008268FD"/>
    <w:rsid w:val="00852671"/>
    <w:rsid w:val="0087466F"/>
    <w:rsid w:val="00874A30"/>
    <w:rsid w:val="008B40C8"/>
    <w:rsid w:val="008D362B"/>
    <w:rsid w:val="0092401A"/>
    <w:rsid w:val="009258E6"/>
    <w:rsid w:val="00962AEC"/>
    <w:rsid w:val="009A0830"/>
    <w:rsid w:val="009A2DCF"/>
    <w:rsid w:val="009C0A60"/>
    <w:rsid w:val="009E3E50"/>
    <w:rsid w:val="009F0CB5"/>
    <w:rsid w:val="00A14273"/>
    <w:rsid w:val="00A1731C"/>
    <w:rsid w:val="00A32AB7"/>
    <w:rsid w:val="00A46B9C"/>
    <w:rsid w:val="00AA5388"/>
    <w:rsid w:val="00AB68A3"/>
    <w:rsid w:val="00AD5EF7"/>
    <w:rsid w:val="00AD6FBE"/>
    <w:rsid w:val="00AE0454"/>
    <w:rsid w:val="00B0485F"/>
    <w:rsid w:val="00B17BDF"/>
    <w:rsid w:val="00B608B3"/>
    <w:rsid w:val="00BC7C1A"/>
    <w:rsid w:val="00C02144"/>
    <w:rsid w:val="00C81947"/>
    <w:rsid w:val="00CA66AB"/>
    <w:rsid w:val="00D064B3"/>
    <w:rsid w:val="00D87B61"/>
    <w:rsid w:val="00DA73B3"/>
    <w:rsid w:val="00E136DA"/>
    <w:rsid w:val="00E2289B"/>
    <w:rsid w:val="00E45685"/>
    <w:rsid w:val="00EB685F"/>
    <w:rsid w:val="00EC02EA"/>
    <w:rsid w:val="00ED3EC7"/>
    <w:rsid w:val="00EF07EF"/>
    <w:rsid w:val="00F26F71"/>
    <w:rsid w:val="00F87B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D692226"/>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Hyperlink">
    <w:name w:val="Hyperlink"/>
    <w:basedOn w:val="DefaultParagraphFont"/>
    <w:rsid w:val="008D362B"/>
    <w:rPr>
      <w:color w:val="0563C1" w:themeColor="hyperlink"/>
      <w:u w:val="single"/>
    </w:rPr>
  </w:style>
  <w:style w:type="character" w:styleId="UnresolvedMention">
    <w:name w:val="Unresolved Mention"/>
    <w:basedOn w:val="DefaultParagraphFont"/>
    <w:uiPriority w:val="99"/>
    <w:semiHidden/>
    <w:unhideWhenUsed/>
    <w:rsid w:val="008D362B"/>
    <w:rPr>
      <w:color w:val="605E5C"/>
      <w:shd w:val="clear" w:color="auto" w:fill="E1DFDD"/>
    </w:rPr>
  </w:style>
  <w:style w:type="character" w:styleId="FollowedHyperlink">
    <w:name w:val="FollowedHyperlink"/>
    <w:basedOn w:val="DefaultParagraphFont"/>
    <w:rsid w:val="00606186"/>
    <w:rPr>
      <w:color w:val="954F72" w:themeColor="followedHyperlink"/>
      <w:u w:val="single"/>
    </w:rPr>
  </w:style>
  <w:style w:type="character" w:styleId="CommentReference">
    <w:name w:val="annotation reference"/>
    <w:basedOn w:val="DefaultParagraphFont"/>
    <w:rsid w:val="00606186"/>
    <w:rPr>
      <w:sz w:val="16"/>
      <w:szCs w:val="16"/>
    </w:rPr>
  </w:style>
  <w:style w:type="paragraph" w:styleId="CommentText">
    <w:name w:val="annotation text"/>
    <w:basedOn w:val="Normal"/>
    <w:link w:val="CommentTextChar"/>
    <w:rsid w:val="00606186"/>
    <w:rPr>
      <w:sz w:val="20"/>
      <w:szCs w:val="20"/>
    </w:rPr>
  </w:style>
  <w:style w:type="character" w:customStyle="1" w:styleId="CommentTextChar">
    <w:name w:val="Comment Text Char"/>
    <w:basedOn w:val="DefaultParagraphFont"/>
    <w:link w:val="CommentText"/>
    <w:rsid w:val="00606186"/>
    <w:rPr>
      <w:rFonts w:ascii="Courier" w:hAnsi="Courier"/>
    </w:rPr>
  </w:style>
  <w:style w:type="paragraph" w:styleId="CommentSubject">
    <w:name w:val="annotation subject"/>
    <w:basedOn w:val="CommentText"/>
    <w:next w:val="CommentText"/>
    <w:link w:val="CommentSubjectChar"/>
    <w:rsid w:val="00606186"/>
    <w:rPr>
      <w:b/>
      <w:bCs/>
    </w:rPr>
  </w:style>
  <w:style w:type="character" w:customStyle="1" w:styleId="CommentSubjectChar">
    <w:name w:val="Comment Subject Char"/>
    <w:basedOn w:val="CommentTextChar"/>
    <w:link w:val="CommentSubject"/>
    <w:rsid w:val="00606186"/>
    <w:rPr>
      <w:rFonts w:ascii="Courier" w:hAnsi="Courier"/>
      <w:b/>
      <w:bCs/>
    </w:rPr>
  </w:style>
  <w:style w:type="paragraph" w:styleId="Revision">
    <w:name w:val="Revision"/>
    <w:hidden/>
    <w:uiPriority w:val="99"/>
    <w:semiHidden/>
    <w:rsid w:val="00DA73B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Stasko Molly J</cp:lastModifiedBy>
  <cp:revision>10</cp:revision>
  <cp:lastPrinted>2005-08-19T14:51:00Z</cp:lastPrinted>
  <dcterms:created xsi:type="dcterms:W3CDTF">2024-07-15T17:06:00Z</dcterms:created>
  <dcterms:modified xsi:type="dcterms:W3CDTF">2024-07-15T17:10:00Z</dcterms:modified>
</cp:coreProperties>
</file>