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2E1554" w:rsidP="002E1554" w14:paraId="473E2EF2" w14:textId="388B31C9">
      <w:pPr>
        <w:tabs>
          <w:tab w:val="left" w:pos="3470"/>
          <w:tab w:val="center" w:pos="4680"/>
        </w:tabs>
        <w:jc w:val="center"/>
        <w:rPr>
          <w:rFonts w:ascii="Calibri" w:hAnsi="Calibri" w:cs="Berylium"/>
          <w:sz w:val="22"/>
          <w:szCs w:val="22"/>
        </w:rPr>
      </w:pPr>
      <w:r w:rsidRPr="002E1554">
        <w:rPr>
          <w:rFonts w:ascii="Calibri" w:hAnsi="Calibri" w:cs="Berylium"/>
          <w:sz w:val="22"/>
          <w:szCs w:val="22"/>
        </w:rPr>
        <w:t>SUPPORTING STATEMENT</w:t>
      </w:r>
    </w:p>
    <w:p w:rsidR="00E9076D" w:rsidRPr="002E1554" w:rsidP="00E9076D" w14:paraId="379BC285" w14:textId="30143DE9">
      <w:pPr>
        <w:tabs>
          <w:tab w:val="center" w:pos="4680"/>
        </w:tabs>
        <w:jc w:val="center"/>
        <w:rPr>
          <w:rFonts w:ascii="Calibri" w:hAnsi="Calibri" w:cs="Berylium"/>
          <w:sz w:val="22"/>
          <w:szCs w:val="22"/>
        </w:rPr>
      </w:pPr>
      <w:r w:rsidRPr="002E1554">
        <w:rPr>
          <w:rFonts w:ascii="Calibri" w:hAnsi="Calibri" w:cs="Berylium"/>
          <w:sz w:val="22"/>
          <w:szCs w:val="22"/>
        </w:rPr>
        <w:t>Internal Revenue Service</w:t>
      </w:r>
      <w:r w:rsidR="00E54675">
        <w:rPr>
          <w:rFonts w:ascii="Calibri" w:hAnsi="Calibri" w:cs="Berylium"/>
          <w:sz w:val="22"/>
          <w:szCs w:val="22"/>
        </w:rPr>
        <w:t xml:space="preserve"> (IRS)</w:t>
      </w:r>
    </w:p>
    <w:p w:rsidR="00417330" w:rsidP="00E9076D" w14:paraId="6D824287" w14:textId="67DDC1EA">
      <w:pPr>
        <w:tabs>
          <w:tab w:val="center" w:pos="4680"/>
        </w:tabs>
        <w:jc w:val="center"/>
        <w:rPr>
          <w:rFonts w:ascii="Calibri" w:hAnsi="Calibri" w:cs="Berylium"/>
          <w:b/>
          <w:bCs/>
          <w:sz w:val="22"/>
          <w:szCs w:val="22"/>
        </w:rPr>
      </w:pPr>
      <w:r w:rsidRPr="001A62B9">
        <w:rPr>
          <w:rFonts w:ascii="Calibri" w:hAnsi="Calibri" w:cs="Berylium"/>
          <w:sz w:val="22"/>
          <w:szCs w:val="22"/>
        </w:rPr>
        <w:t>Form 730,</w:t>
      </w:r>
      <w:r>
        <w:rPr>
          <w:rFonts w:ascii="Calibri" w:hAnsi="Calibri" w:cs="Berylium"/>
          <w:b/>
          <w:bCs/>
          <w:sz w:val="22"/>
          <w:szCs w:val="22"/>
        </w:rPr>
        <w:t xml:space="preserve"> </w:t>
      </w:r>
      <w:r w:rsidRPr="002E1554">
        <w:rPr>
          <w:rFonts w:ascii="Calibri" w:hAnsi="Calibri" w:cs="Berylium"/>
          <w:sz w:val="22"/>
          <w:szCs w:val="22"/>
        </w:rPr>
        <w:t>Monthly Tax Return for Wagers</w:t>
      </w:r>
    </w:p>
    <w:p w:rsidR="00E9076D" w:rsidRPr="002E1554" w:rsidP="00E9076D" w14:paraId="472A17CF" w14:textId="32502BF0">
      <w:pPr>
        <w:tabs>
          <w:tab w:val="center" w:pos="4680"/>
        </w:tabs>
        <w:jc w:val="center"/>
        <w:rPr>
          <w:rFonts w:ascii="Calibri" w:hAnsi="Calibri" w:cs="Berylium"/>
          <w:sz w:val="22"/>
          <w:szCs w:val="22"/>
        </w:rPr>
      </w:pPr>
      <w:r w:rsidRPr="002E1554">
        <w:rPr>
          <w:rFonts w:ascii="Calibri" w:hAnsi="Calibri" w:cs="Berylium"/>
          <w:sz w:val="22"/>
          <w:szCs w:val="22"/>
        </w:rPr>
        <w:t xml:space="preserve">OMB </w:t>
      </w:r>
      <w:r w:rsidRPr="002E1554" w:rsidR="0027250B">
        <w:rPr>
          <w:rFonts w:ascii="Calibri" w:hAnsi="Calibri" w:cs="Berylium"/>
          <w:sz w:val="22"/>
          <w:szCs w:val="22"/>
        </w:rPr>
        <w:t xml:space="preserve">Control </w:t>
      </w:r>
      <w:r w:rsidRPr="002E1554">
        <w:rPr>
          <w:rFonts w:ascii="Calibri" w:hAnsi="Calibri" w:cs="Berylium"/>
          <w:sz w:val="22"/>
          <w:szCs w:val="22"/>
        </w:rPr>
        <w:t>Number 1545-</w:t>
      </w:r>
      <w:r w:rsidRPr="002E1554" w:rsidR="00417330">
        <w:rPr>
          <w:rFonts w:ascii="Calibri" w:hAnsi="Calibri" w:cs="Berylium"/>
          <w:sz w:val="22"/>
          <w:szCs w:val="22"/>
        </w:rPr>
        <w:t>0235</w:t>
      </w:r>
    </w:p>
    <w:p w:rsidR="00801A34" w:rsidRPr="003127E4" w:rsidP="00801A34" w14:paraId="34E03744" w14:textId="77777777">
      <w:pPr>
        <w:tabs>
          <w:tab w:val="center" w:pos="4680"/>
        </w:tabs>
        <w:rPr>
          <w:rFonts w:ascii="Calibri" w:hAnsi="Calibri" w:cs="Berylium"/>
          <w:b/>
          <w:bCs/>
          <w:sz w:val="22"/>
          <w:szCs w:val="22"/>
        </w:rPr>
      </w:pPr>
    </w:p>
    <w:p w:rsidR="007E2EEB" w:rsidRPr="00417330" w14:paraId="740432C5"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p>
    <w:p w:rsidR="00417330" w:rsidP="00417330" w14:paraId="601C964B" w14:textId="77777777">
      <w:pPr>
        <w:pStyle w:val="Level1"/>
        <w:numPr>
          <w:ilvl w:val="0"/>
          <w:numId w:val="0"/>
        </w:numPr>
        <w:tabs>
          <w:tab w:val="left" w:pos="-1440"/>
        </w:tabs>
        <w:ind w:left="720" w:hanging="720"/>
        <w:rPr>
          <w:rFonts w:ascii="Calibri" w:hAnsi="Calibri"/>
          <w:b/>
          <w:sz w:val="22"/>
          <w:szCs w:val="22"/>
          <w:u w:val="single"/>
        </w:rPr>
      </w:pPr>
    </w:p>
    <w:p w:rsidR="00417330" w:rsidRPr="00417330" w:rsidP="00417330" w14:paraId="43BE9649" w14:textId="436491D0">
      <w:pPr>
        <w:pStyle w:val="Level1"/>
        <w:numPr>
          <w:ilvl w:val="0"/>
          <w:numId w:val="0"/>
        </w:numPr>
        <w:tabs>
          <w:tab w:val="left" w:pos="-1440"/>
        </w:tabs>
        <w:ind w:left="720" w:hanging="720"/>
        <w:rPr>
          <w:rFonts w:ascii="Calibri" w:hAnsi="Calibri"/>
          <w:sz w:val="22"/>
          <w:szCs w:val="22"/>
        </w:rPr>
      </w:pPr>
      <w:r w:rsidRPr="00417330">
        <w:rPr>
          <w:rFonts w:ascii="Calibri" w:hAnsi="Calibri"/>
          <w:sz w:val="22"/>
          <w:szCs w:val="22"/>
        </w:rPr>
        <w:t xml:space="preserve">             </w:t>
      </w:r>
      <w:r w:rsidR="0099011C">
        <w:rPr>
          <w:rFonts w:ascii="Calibri" w:hAnsi="Calibri"/>
          <w:sz w:val="22"/>
          <w:szCs w:val="22"/>
        </w:rPr>
        <w:t xml:space="preserve"> </w:t>
      </w:r>
      <w:r w:rsidRPr="00417330">
        <w:rPr>
          <w:rFonts w:ascii="Calibri" w:hAnsi="Calibri"/>
          <w:sz w:val="22"/>
          <w:szCs w:val="22"/>
        </w:rPr>
        <w:t xml:space="preserve"> Internal Revenue Code </w:t>
      </w:r>
      <w:r w:rsidR="007633C6">
        <w:rPr>
          <w:rFonts w:ascii="Calibri" w:hAnsi="Calibri"/>
          <w:sz w:val="22"/>
          <w:szCs w:val="22"/>
        </w:rPr>
        <w:t xml:space="preserve">(IRC) </w:t>
      </w:r>
      <w:r w:rsidR="009D1433">
        <w:rPr>
          <w:rFonts w:ascii="Calibri" w:hAnsi="Calibri"/>
          <w:sz w:val="22"/>
          <w:szCs w:val="22"/>
        </w:rPr>
        <w:t>S</w:t>
      </w:r>
      <w:r w:rsidRPr="00417330">
        <w:rPr>
          <w:rFonts w:ascii="Calibri" w:hAnsi="Calibri"/>
          <w:sz w:val="22"/>
          <w:szCs w:val="22"/>
        </w:rPr>
        <w:t xml:space="preserve">ection 4401(a)(1) imposes a .25 percent (.0025) tax on the amount of any wager authorized under state law.  </w:t>
      </w:r>
      <w:r w:rsidR="007633C6">
        <w:rPr>
          <w:rFonts w:ascii="Calibri" w:hAnsi="Calibri"/>
          <w:sz w:val="22"/>
          <w:szCs w:val="22"/>
        </w:rPr>
        <w:t xml:space="preserve">IRC </w:t>
      </w:r>
      <w:r w:rsidR="009D1433">
        <w:rPr>
          <w:rFonts w:ascii="Calibri" w:hAnsi="Calibri"/>
          <w:sz w:val="22"/>
          <w:szCs w:val="22"/>
        </w:rPr>
        <w:t>S</w:t>
      </w:r>
      <w:r w:rsidRPr="00417330">
        <w:rPr>
          <w:rFonts w:ascii="Calibri" w:hAnsi="Calibri"/>
          <w:sz w:val="22"/>
          <w:szCs w:val="22"/>
        </w:rPr>
        <w:t xml:space="preserve">ection 4401(a)(2) imposes a 2 percent (.02) excise tax on the amount of any wager not taxed at the .25 percent rate.  Regulations </w:t>
      </w:r>
      <w:r w:rsidR="009D1433">
        <w:rPr>
          <w:rFonts w:ascii="Calibri" w:hAnsi="Calibri"/>
          <w:sz w:val="22"/>
          <w:szCs w:val="22"/>
        </w:rPr>
        <w:t>S</w:t>
      </w:r>
      <w:r w:rsidRPr="00417330">
        <w:rPr>
          <w:rFonts w:ascii="Calibri" w:hAnsi="Calibri"/>
          <w:sz w:val="22"/>
          <w:szCs w:val="22"/>
        </w:rPr>
        <w:t xml:space="preserve">ection 44.6011(a)-1(a) states that Form 730 is to be used on a monthly basis to report the wagers and pay the tax.  </w:t>
      </w:r>
      <w:r w:rsidRPr="00511068" w:rsidR="00511068">
        <w:rPr>
          <w:rFonts w:ascii="Calibri" w:hAnsi="Calibri"/>
          <w:sz w:val="22"/>
          <w:szCs w:val="22"/>
        </w:rPr>
        <w:t xml:space="preserve">Respondents are </w:t>
      </w:r>
      <w:r w:rsidR="00511068">
        <w:rPr>
          <w:rFonts w:ascii="Calibri" w:hAnsi="Calibri"/>
          <w:sz w:val="22"/>
          <w:szCs w:val="22"/>
        </w:rPr>
        <w:t>b</w:t>
      </w:r>
      <w:r w:rsidRPr="00511068" w:rsidR="00511068">
        <w:rPr>
          <w:rFonts w:ascii="Calibri" w:hAnsi="Calibri"/>
          <w:sz w:val="22"/>
          <w:szCs w:val="22"/>
        </w:rPr>
        <w:t>usinesses or other for-profits</w:t>
      </w:r>
      <w:r w:rsidR="008577A1">
        <w:rPr>
          <w:rFonts w:ascii="Calibri" w:hAnsi="Calibri"/>
          <w:sz w:val="22"/>
          <w:szCs w:val="22"/>
        </w:rPr>
        <w:t xml:space="preserve"> in the business of</w:t>
      </w:r>
      <w:r w:rsidRPr="00511068" w:rsidR="00511068">
        <w:rPr>
          <w:rFonts w:ascii="Calibri" w:hAnsi="Calibri"/>
          <w:sz w:val="22"/>
          <w:szCs w:val="22"/>
        </w:rPr>
        <w:t xml:space="preserve"> accepting wagers, </w:t>
      </w:r>
      <w:r w:rsidR="008577A1">
        <w:rPr>
          <w:rFonts w:ascii="Calibri" w:hAnsi="Calibri"/>
          <w:sz w:val="22"/>
          <w:szCs w:val="22"/>
        </w:rPr>
        <w:t xml:space="preserve">that </w:t>
      </w:r>
      <w:r w:rsidRPr="00511068" w:rsidR="00511068">
        <w:rPr>
          <w:rFonts w:ascii="Calibri" w:hAnsi="Calibri"/>
          <w:sz w:val="22"/>
          <w:szCs w:val="22"/>
        </w:rPr>
        <w:t>conduct a wagering pool or lottery, or are required to be registered and you received wagers for or on behalf of another person but did not report that person’s name and address.</w:t>
      </w:r>
    </w:p>
    <w:p w:rsidR="00E9076D" w:rsidP="00E9076D" w14:paraId="01983C99" w14:textId="77777777">
      <w:pPr>
        <w:pStyle w:val="Level1"/>
        <w:numPr>
          <w:ilvl w:val="0"/>
          <w:numId w:val="0"/>
        </w:numPr>
        <w:tabs>
          <w:tab w:val="left" w:pos="-1440"/>
        </w:tabs>
        <w:ind w:left="720" w:hanging="720"/>
        <w:rPr>
          <w:rFonts w:ascii="Calibri" w:hAnsi="Calibri"/>
          <w:b/>
          <w:sz w:val="22"/>
          <w:szCs w:val="22"/>
          <w:u w:val="single"/>
        </w:rPr>
      </w:pPr>
    </w:p>
    <w:p w:rsidR="00417330" w14:paraId="4859776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417330" w:rsidP="00417330" w14:paraId="2B465847" w14:textId="77777777">
      <w:pPr>
        <w:pStyle w:val="Level1"/>
        <w:numPr>
          <w:ilvl w:val="0"/>
          <w:numId w:val="0"/>
        </w:numPr>
        <w:tabs>
          <w:tab w:val="left" w:pos="-1440"/>
        </w:tabs>
        <w:ind w:left="720" w:hanging="720"/>
        <w:rPr>
          <w:rFonts w:ascii="Calibri" w:hAnsi="Calibri"/>
          <w:b/>
          <w:sz w:val="22"/>
          <w:szCs w:val="22"/>
        </w:rPr>
      </w:pPr>
    </w:p>
    <w:p w:rsidR="007E2EEB" w:rsidRPr="00417330" w:rsidP="00417330" w14:paraId="44B56107" w14:textId="77777777">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417330">
        <w:rPr>
          <w:rFonts w:ascii="Calibri" w:hAnsi="Calibri"/>
          <w:sz w:val="22"/>
          <w:szCs w:val="22"/>
        </w:rPr>
        <w:t xml:space="preserve">The information is used by the IRS to verify that the respondent is complying with the law by correctly reporting the wagers and paying the tax. </w:t>
      </w:r>
    </w:p>
    <w:p w:rsidR="007E2EEB" w:rsidRPr="003127E4" w14:paraId="7D581D16" w14:textId="77777777">
      <w:pPr>
        <w:rPr>
          <w:rFonts w:ascii="Calibri" w:hAnsi="Calibri"/>
          <w:sz w:val="22"/>
          <w:szCs w:val="22"/>
        </w:rPr>
      </w:pPr>
    </w:p>
    <w:p w:rsidR="007E2EEB" w:rsidRPr="003127E4" w14:paraId="3860C32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007E2EEB" w:rsidRPr="003127E4" w14:paraId="732AF027" w14:textId="77777777">
      <w:pPr>
        <w:rPr>
          <w:rFonts w:ascii="Calibri" w:hAnsi="Calibri"/>
          <w:sz w:val="22"/>
          <w:szCs w:val="22"/>
        </w:rPr>
      </w:pPr>
    </w:p>
    <w:p w:rsidR="00D02EBE" w:rsidRPr="00D02EBE" w:rsidP="00D02EBE" w14:paraId="0044DBC9" w14:textId="0FC5429E">
      <w:pPr>
        <w:ind w:left="720"/>
        <w:rPr>
          <w:rFonts w:ascii="Calibri" w:hAnsi="Calibri"/>
          <w:sz w:val="22"/>
          <w:szCs w:val="22"/>
        </w:rPr>
      </w:pPr>
      <w:r w:rsidRPr="00D02EBE">
        <w:rPr>
          <w:rFonts w:ascii="Calibri" w:hAnsi="Calibri"/>
          <w:sz w:val="22"/>
          <w:szCs w:val="22"/>
        </w:rPr>
        <w:t>The IRS has no plans at this time to offer electronic filing due to the low number of filers.</w:t>
      </w:r>
    </w:p>
    <w:p w:rsidR="007E2EEB" w:rsidRPr="003127E4" w14:paraId="688BC8A4" w14:textId="77777777">
      <w:pPr>
        <w:rPr>
          <w:rFonts w:ascii="Calibri" w:hAnsi="Calibri"/>
          <w:sz w:val="22"/>
          <w:szCs w:val="22"/>
        </w:rPr>
      </w:pPr>
    </w:p>
    <w:p w:rsidR="007E2EEB" w:rsidRPr="003127E4" w14:paraId="559D1ABC"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0717925D" w14:textId="77777777">
      <w:pPr>
        <w:rPr>
          <w:rFonts w:ascii="Calibri" w:hAnsi="Calibri"/>
          <w:sz w:val="22"/>
          <w:szCs w:val="22"/>
        </w:rPr>
      </w:pPr>
    </w:p>
    <w:p w:rsidR="007E2EEB" w:rsidRPr="003127E4" w:rsidP="00715FFF" w14:paraId="2E56BB20" w14:textId="763086C2">
      <w:pPr>
        <w:ind w:left="720"/>
        <w:rPr>
          <w:rFonts w:ascii="Calibri" w:hAnsi="Calibri"/>
          <w:sz w:val="22"/>
          <w:szCs w:val="22"/>
        </w:rPr>
      </w:pPr>
      <w:r w:rsidRPr="00715FFF">
        <w:rPr>
          <w:rFonts w:ascii="Calibri" w:hAnsi="Calibri"/>
          <w:sz w:val="22"/>
          <w:szCs w:val="22"/>
        </w:rPr>
        <w:t xml:space="preserve">The information obtained through this collection is unique and is not already available </w:t>
      </w:r>
      <w:r w:rsidR="00C95532">
        <w:rPr>
          <w:rFonts w:ascii="Calibri" w:hAnsi="Calibri"/>
          <w:sz w:val="22"/>
          <w:szCs w:val="22"/>
        </w:rPr>
        <w:t>f</w:t>
      </w:r>
      <w:r w:rsidRPr="00715FFF">
        <w:rPr>
          <w:rFonts w:ascii="Calibri" w:hAnsi="Calibri"/>
          <w:sz w:val="22"/>
          <w:szCs w:val="22"/>
        </w:rPr>
        <w:t>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r w:rsidRPr="003127E4">
        <w:rPr>
          <w:rFonts w:ascii="Calibri" w:hAnsi="Calibri"/>
          <w:sz w:val="22"/>
          <w:szCs w:val="22"/>
        </w:rPr>
        <w:t xml:space="preserve">  </w:t>
      </w:r>
    </w:p>
    <w:p w:rsidR="007E2EEB" w:rsidRPr="003127E4" w14:paraId="50557D16" w14:textId="77777777">
      <w:pPr>
        <w:rPr>
          <w:rFonts w:ascii="Calibri" w:hAnsi="Calibri"/>
          <w:sz w:val="22"/>
          <w:szCs w:val="22"/>
        </w:rPr>
      </w:pPr>
    </w:p>
    <w:p w:rsidR="007E2EEB" w:rsidRPr="003127E4" w14:paraId="7AAC9340" w14:textId="77777777">
      <w:pPr>
        <w:pStyle w:val="Level1"/>
        <w:numPr>
          <w:ilvl w:val="0"/>
          <w:numId w:val="1"/>
        </w:numPr>
        <w:tabs>
          <w:tab w:val="left" w:pos="-1440"/>
          <w:tab w:val="num" w:pos="720"/>
        </w:tabs>
        <w:rPr>
          <w:rFonts w:ascii="Calibri" w:hAnsi="Calibri"/>
          <w:b/>
          <w:sz w:val="22"/>
          <w:szCs w:val="22"/>
        </w:rPr>
      </w:pPr>
      <w:r w:rsidRPr="00703EF1">
        <w:rPr>
          <w:rFonts w:ascii="Calibri" w:hAnsi="Calibri"/>
          <w:b/>
          <w:sz w:val="22"/>
          <w:szCs w:val="22"/>
          <w:u w:val="single"/>
        </w:rPr>
        <w:t>ME</w:t>
      </w:r>
      <w:r w:rsidR="00095AD8">
        <w:rPr>
          <w:rFonts w:ascii="Calibri" w:hAnsi="Calibri"/>
          <w:b/>
          <w:sz w:val="22"/>
          <w:szCs w:val="22"/>
          <w:u w:val="single"/>
        </w:rPr>
        <w:t>T</w:t>
      </w:r>
      <w:r w:rsidRPr="003127E4">
        <w:rPr>
          <w:rFonts w:ascii="Calibri" w:hAnsi="Calibri"/>
          <w:b/>
          <w:sz w:val="22"/>
          <w:szCs w:val="22"/>
          <w:u w:val="single"/>
        </w:rPr>
        <w:t>HODS TO MINIMIZE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4999EB6C" w14:textId="77777777">
      <w:pPr>
        <w:rPr>
          <w:rFonts w:ascii="Calibri" w:hAnsi="Calibri"/>
          <w:sz w:val="22"/>
          <w:szCs w:val="22"/>
        </w:rPr>
      </w:pPr>
    </w:p>
    <w:p w:rsidR="00D02EBE" w:rsidP="00D02EBE" w14:paraId="502390C9" w14:textId="7B74B4A3">
      <w:pPr>
        <w:ind w:left="720"/>
        <w:rPr>
          <w:rFonts w:ascii="Calibri" w:hAnsi="Calibri"/>
          <w:sz w:val="22"/>
          <w:szCs w:val="22"/>
        </w:rPr>
      </w:pPr>
      <w:r w:rsidRPr="00D02EBE">
        <w:rPr>
          <w:rFonts w:ascii="Calibri" w:hAnsi="Calibri"/>
          <w:bCs/>
          <w:sz w:val="22"/>
          <w:szCs w:val="22"/>
        </w:rPr>
        <w:t>The IRS proactively works with both internal and external stakeholders to minimize the burden on small businesses, while maintaining tax compliance. The</w:t>
      </w:r>
      <w:r w:rsidR="007633C6">
        <w:rPr>
          <w:rFonts w:ascii="Calibri" w:hAnsi="Calibri"/>
          <w:bCs/>
          <w:sz w:val="22"/>
          <w:szCs w:val="22"/>
        </w:rPr>
        <w:t xml:space="preserve"> IRS</w:t>
      </w:r>
      <w:r w:rsidRPr="00D02EBE">
        <w:rPr>
          <w:rFonts w:ascii="Calibri" w:hAnsi="Calibri"/>
          <w:bCs/>
          <w:sz w:val="22"/>
          <w:szCs w:val="22"/>
        </w:rPr>
        <w:t xml:space="preserve"> also seeks input regarding the burden estimates from the public via notices and tax product instructions. The </w:t>
      </w:r>
      <w:r w:rsidR="007633C6">
        <w:rPr>
          <w:rFonts w:ascii="Calibri" w:hAnsi="Calibri"/>
          <w:bCs/>
          <w:sz w:val="22"/>
          <w:szCs w:val="22"/>
        </w:rPr>
        <w:t>IRS</w:t>
      </w:r>
      <w:r w:rsidRPr="00D02EBE">
        <w:rPr>
          <w:rFonts w:ascii="Calibri" w:hAnsi="Calibri"/>
          <w:bCs/>
          <w:sz w:val="22"/>
          <w:szCs w:val="22"/>
        </w:rPr>
        <w:t xml:space="preserve"> will continue to find ways </w:t>
      </w:r>
      <w:r w:rsidRPr="00D02EBE">
        <w:rPr>
          <w:rFonts w:ascii="Calibri" w:hAnsi="Calibri"/>
          <w:sz w:val="22"/>
          <w:szCs w:val="22"/>
        </w:rPr>
        <w:t>to reduce the burden on small businesses or other small entities.</w:t>
      </w:r>
    </w:p>
    <w:p w:rsidR="005649AE" w:rsidRPr="003127E4" w14:paraId="034AC999" w14:textId="77777777">
      <w:pPr>
        <w:ind w:left="720"/>
        <w:rPr>
          <w:rFonts w:ascii="Calibri" w:hAnsi="Calibri"/>
          <w:sz w:val="22"/>
          <w:szCs w:val="22"/>
        </w:rPr>
      </w:pPr>
    </w:p>
    <w:p w:rsidR="007E2EEB" w:rsidRPr="001A62B9" w:rsidP="001A62B9" w14:paraId="6724AA40" w14:textId="4742C188">
      <w:pPr>
        <w:pStyle w:val="Level1"/>
        <w:numPr>
          <w:ilvl w:val="0"/>
          <w:numId w:val="1"/>
        </w:numPr>
        <w:tabs>
          <w:tab w:val="left" w:pos="-1440"/>
          <w:tab w:val="num" w:pos="720"/>
        </w:tabs>
        <w:ind w:left="720" w:hanging="720"/>
        <w:rPr>
          <w:rFonts w:ascii="Calibri" w:hAnsi="Calibri"/>
          <w:b/>
          <w:sz w:val="22"/>
          <w:szCs w:val="22"/>
          <w:u w:val="single"/>
        </w:rPr>
      </w:pPr>
      <w:r w:rsidRPr="003127E4">
        <w:rPr>
          <w:rFonts w:ascii="Calibri" w:hAnsi="Calibri"/>
          <w:b/>
          <w:sz w:val="22"/>
          <w:szCs w:val="22"/>
          <w:u w:val="single"/>
        </w:rPr>
        <w:t>CONSEQUENCES OF LESS FREQUENT COLLECTION ON FEDERAL PROGRAMS OR POLICY ACTIVITIES</w:t>
      </w:r>
    </w:p>
    <w:p w:rsidR="007E2EEB" w:rsidRPr="003127E4" w14:paraId="04A457E3" w14:textId="77777777">
      <w:pPr>
        <w:rPr>
          <w:rFonts w:ascii="Calibri" w:hAnsi="Calibri"/>
          <w:sz w:val="22"/>
          <w:szCs w:val="22"/>
        </w:rPr>
      </w:pPr>
    </w:p>
    <w:p w:rsidR="007E2EEB" w:rsidRPr="003127E4" w14:paraId="2FCC4288" w14:textId="3413D25E">
      <w:pPr>
        <w:ind w:left="720"/>
        <w:rPr>
          <w:rFonts w:ascii="Calibri" w:hAnsi="Calibri"/>
          <w:sz w:val="22"/>
          <w:szCs w:val="22"/>
        </w:rPr>
      </w:pPr>
      <w:r w:rsidRPr="00473D0D">
        <w:rPr>
          <w:rFonts w:ascii="Calibri" w:hAnsi="Calibri"/>
          <w:sz w:val="22"/>
          <w:szCs w:val="22"/>
        </w:rPr>
        <w:t xml:space="preserve">The information required is needed to verify compliance with Section </w:t>
      </w:r>
      <w:r w:rsidR="00095AD8">
        <w:rPr>
          <w:rFonts w:ascii="Calibri" w:hAnsi="Calibri"/>
          <w:sz w:val="22"/>
          <w:szCs w:val="22"/>
        </w:rPr>
        <w:t>4401</w:t>
      </w:r>
      <w:r w:rsidRPr="00044F37" w:rsidR="00044F37">
        <w:rPr>
          <w:rFonts w:ascii="Calibri" w:hAnsi="Calibri"/>
          <w:sz w:val="22"/>
          <w:szCs w:val="22"/>
        </w:rPr>
        <w:t xml:space="preserve"> of the </w:t>
      </w:r>
      <w:r w:rsidR="009D1433">
        <w:rPr>
          <w:rFonts w:ascii="Calibri" w:hAnsi="Calibri"/>
          <w:sz w:val="22"/>
          <w:szCs w:val="22"/>
        </w:rPr>
        <w:t xml:space="preserve">IRC and </w:t>
      </w:r>
      <w:r w:rsidRPr="00473D0D">
        <w:rPr>
          <w:rFonts w:ascii="Calibri" w:hAnsi="Calibri"/>
          <w:sz w:val="22"/>
          <w:szCs w:val="22"/>
        </w:rPr>
        <w:t xml:space="preserve">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frequent collection of taxes and tax information could adversely affect the government’s effectiveness and would reduce the oversight of the public in ensuring compliance with I</w:t>
      </w:r>
      <w:r w:rsidR="009D1433">
        <w:rPr>
          <w:rFonts w:ascii="Calibri" w:hAnsi="Calibri"/>
          <w:sz w:val="22"/>
          <w:szCs w:val="22"/>
        </w:rPr>
        <w:t xml:space="preserve">RC </w:t>
      </w:r>
      <w:r w:rsidR="00293354">
        <w:rPr>
          <w:rFonts w:ascii="Calibri" w:hAnsi="Calibri"/>
          <w:sz w:val="22"/>
          <w:szCs w:val="22"/>
        </w:rPr>
        <w:t>and hinder the IRS from meeting its mission</w:t>
      </w:r>
      <w:r w:rsidRPr="00473D0D">
        <w:rPr>
          <w:rFonts w:ascii="Calibri" w:hAnsi="Calibri"/>
          <w:sz w:val="22"/>
          <w:szCs w:val="22"/>
        </w:rPr>
        <w:t>.</w:t>
      </w:r>
    </w:p>
    <w:p w:rsidR="007E2EEB" w:rsidRPr="003127E4" w14:paraId="4A21358B" w14:textId="77777777">
      <w:pPr>
        <w:rPr>
          <w:rFonts w:ascii="Calibri" w:hAnsi="Calibri"/>
          <w:sz w:val="22"/>
          <w:szCs w:val="22"/>
        </w:rPr>
      </w:pPr>
    </w:p>
    <w:p w:rsidR="007E2EEB" w:rsidRPr="001A62B9" w:rsidP="001A62B9" w14:paraId="7710030A" w14:textId="77777777">
      <w:pPr>
        <w:pStyle w:val="Level1"/>
        <w:numPr>
          <w:ilvl w:val="0"/>
          <w:numId w:val="1"/>
        </w:numPr>
        <w:tabs>
          <w:tab w:val="left" w:pos="-1440"/>
          <w:tab w:val="num" w:pos="720"/>
        </w:tabs>
        <w:ind w:left="720" w:hanging="720"/>
        <w:rPr>
          <w:rFonts w:ascii="Calibri" w:hAnsi="Calibri"/>
          <w:b/>
          <w:sz w:val="22"/>
          <w:szCs w:val="22"/>
          <w:u w:val="single"/>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3C5185E7" w14:textId="77777777">
      <w:pPr>
        <w:rPr>
          <w:rFonts w:ascii="Calibri" w:hAnsi="Calibri"/>
          <w:sz w:val="22"/>
          <w:szCs w:val="22"/>
        </w:rPr>
      </w:pPr>
    </w:p>
    <w:p w:rsidR="007E2EEB" w:rsidRPr="003127E4" w14:paraId="1E8ABEB8" w14:textId="67076308">
      <w:pPr>
        <w:ind w:left="720"/>
        <w:rPr>
          <w:rFonts w:ascii="Calibri" w:hAnsi="Calibri"/>
          <w:sz w:val="22"/>
          <w:szCs w:val="22"/>
        </w:rPr>
      </w:pPr>
      <w:r w:rsidRPr="00473D0D">
        <w:rPr>
          <w:rFonts w:ascii="Calibri" w:hAnsi="Calibri"/>
          <w:sz w:val="22"/>
          <w:szCs w:val="22"/>
        </w:rPr>
        <w:t xml:space="preserve">There are no special circumstances requiring data collection to be inconsistent with </w:t>
      </w:r>
      <w:r w:rsidR="00E54675">
        <w:rPr>
          <w:rFonts w:ascii="Calibri" w:hAnsi="Calibri"/>
          <w:sz w:val="22"/>
          <w:szCs w:val="22"/>
        </w:rPr>
        <w:t>g</w:t>
      </w:r>
      <w:r w:rsidRPr="00473D0D">
        <w:rPr>
          <w:rFonts w:ascii="Calibri" w:hAnsi="Calibri"/>
          <w:sz w:val="22"/>
          <w:szCs w:val="22"/>
        </w:rPr>
        <w:t>uidelines in 5 CFR 1320.5(d)(2).</w:t>
      </w:r>
    </w:p>
    <w:p w:rsidR="007E2EEB" w:rsidRPr="003127E4" w14:paraId="4BC35D7A" w14:textId="77777777">
      <w:pPr>
        <w:rPr>
          <w:rFonts w:ascii="Calibri" w:hAnsi="Calibri"/>
          <w:sz w:val="22"/>
          <w:szCs w:val="22"/>
        </w:rPr>
      </w:pPr>
    </w:p>
    <w:p w:rsidR="007E2EEB" w:rsidRPr="003127E4" w:rsidP="00AF1AEA" w14:paraId="20E5F9D9"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Pr>
          <w:rFonts w:ascii="Calibri" w:hAnsi="Calibri"/>
          <w:b/>
          <w:sz w:val="22"/>
          <w:szCs w:val="22"/>
          <w:u w:val="single"/>
        </w:rPr>
        <w:t>CONSULTATION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p>
    <w:p w:rsidR="001D621C" w:rsidRPr="001D621C" w:rsidP="001D621C" w14:paraId="758F4A6D" w14:textId="77777777">
      <w:pPr>
        <w:ind w:left="720"/>
        <w:rPr>
          <w:rFonts w:ascii="Calibri" w:hAnsi="Calibri"/>
          <w:sz w:val="22"/>
          <w:szCs w:val="22"/>
        </w:rPr>
      </w:pPr>
    </w:p>
    <w:p w:rsidR="007E2EEB" w:rsidRPr="003127E4" w:rsidP="001D621C" w14:paraId="177787A3" w14:textId="11D604B2">
      <w:pPr>
        <w:ind w:left="720"/>
        <w:rPr>
          <w:rFonts w:ascii="Calibri" w:hAnsi="Calibri"/>
          <w:sz w:val="22"/>
          <w:szCs w:val="22"/>
        </w:rPr>
      </w:pPr>
      <w:r w:rsidRPr="001D621C">
        <w:rPr>
          <w:rFonts w:ascii="Calibri" w:hAnsi="Calibri"/>
          <w:sz w:val="22"/>
          <w:szCs w:val="22"/>
        </w:rPr>
        <w:t>The IRS received no comments during the public comment period in response to the Federal Register notice (89 FR 2</w:t>
      </w:r>
      <w:r>
        <w:rPr>
          <w:rFonts w:ascii="Calibri" w:hAnsi="Calibri"/>
          <w:sz w:val="22"/>
          <w:szCs w:val="22"/>
        </w:rPr>
        <w:t>4571</w:t>
      </w:r>
      <w:r w:rsidRPr="001D621C">
        <w:rPr>
          <w:rFonts w:ascii="Calibri" w:hAnsi="Calibri"/>
          <w:sz w:val="22"/>
          <w:szCs w:val="22"/>
        </w:rPr>
        <w:t xml:space="preserve">), dated April </w:t>
      </w:r>
      <w:r>
        <w:rPr>
          <w:rFonts w:ascii="Calibri" w:hAnsi="Calibri"/>
          <w:sz w:val="22"/>
          <w:szCs w:val="22"/>
        </w:rPr>
        <w:t>8</w:t>
      </w:r>
      <w:r w:rsidRPr="001D621C">
        <w:rPr>
          <w:rFonts w:ascii="Calibri" w:hAnsi="Calibri"/>
          <w:sz w:val="22"/>
          <w:szCs w:val="22"/>
        </w:rPr>
        <w:t xml:space="preserve">, 2024. </w:t>
      </w:r>
      <w:r>
        <w:rPr>
          <w:rFonts w:ascii="Calibri" w:hAnsi="Calibri"/>
          <w:sz w:val="22"/>
          <w:szCs w:val="22"/>
        </w:rPr>
        <w:t xml:space="preserve">  </w:t>
      </w:r>
      <w:r w:rsidRPr="00044F37" w:rsidR="00044F37">
        <w:rPr>
          <w:rFonts w:ascii="Calibri" w:hAnsi="Calibri"/>
          <w:sz w:val="22"/>
          <w:szCs w:val="22"/>
        </w:rPr>
        <w:t xml:space="preserve"> </w:t>
      </w:r>
      <w:r w:rsidRPr="003127E4">
        <w:rPr>
          <w:rFonts w:ascii="Calibri" w:hAnsi="Calibri"/>
          <w:sz w:val="22"/>
          <w:szCs w:val="22"/>
        </w:rPr>
        <w:t xml:space="preserve"> </w:t>
      </w:r>
    </w:p>
    <w:p w:rsidR="007E2EEB" w:rsidRPr="003127E4" w14:paraId="5F9B4324" w14:textId="77777777">
      <w:pPr>
        <w:tabs>
          <w:tab w:val="center" w:pos="4680"/>
        </w:tabs>
        <w:rPr>
          <w:rFonts w:ascii="Calibri" w:hAnsi="Calibri"/>
          <w:sz w:val="22"/>
          <w:szCs w:val="22"/>
        </w:rPr>
      </w:pPr>
    </w:p>
    <w:p w:rsidR="007E2EEB" w:rsidRPr="003127E4" w:rsidP="00AF1AEA" w14:paraId="626BAE7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5811FF9F" w14:textId="77777777">
      <w:pPr>
        <w:rPr>
          <w:rFonts w:ascii="Calibri" w:hAnsi="Calibri"/>
          <w:sz w:val="22"/>
          <w:szCs w:val="22"/>
        </w:rPr>
      </w:pPr>
    </w:p>
    <w:p w:rsidR="006E6E53" w:rsidRPr="002A31A5" w:rsidP="006E6E53" w14:paraId="45886D86"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1DDE83B3" w14:textId="77777777">
      <w:pPr>
        <w:rPr>
          <w:rFonts w:ascii="Calibri" w:hAnsi="Calibri" w:cs="Calibri"/>
          <w:sz w:val="22"/>
          <w:szCs w:val="22"/>
        </w:rPr>
      </w:pPr>
    </w:p>
    <w:p w:rsidR="007E2EEB" w:rsidRPr="003127E4" w:rsidP="00AF1AEA" w14:paraId="7C6F3195"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50CE0CE0" w14:textId="77777777">
      <w:pPr>
        <w:rPr>
          <w:rFonts w:ascii="Calibri" w:hAnsi="Calibri"/>
          <w:sz w:val="22"/>
          <w:szCs w:val="22"/>
        </w:rPr>
      </w:pPr>
    </w:p>
    <w:p w:rsidR="007E2EEB" w:rsidRPr="003127E4" w14:paraId="0BD0CF03" w14:textId="0727BD29">
      <w:pPr>
        <w:ind w:left="720"/>
        <w:rPr>
          <w:rFonts w:ascii="Calibri" w:hAnsi="Calibri"/>
          <w:sz w:val="22"/>
          <w:szCs w:val="22"/>
        </w:rPr>
      </w:pPr>
      <w:r w:rsidRPr="003127E4">
        <w:rPr>
          <w:rFonts w:ascii="Calibri" w:hAnsi="Calibri"/>
          <w:sz w:val="22"/>
          <w:szCs w:val="22"/>
        </w:rPr>
        <w:t>Generally, tax returns and tax return information are confidential as required by 26 U</w:t>
      </w:r>
      <w:r w:rsidR="009D1433">
        <w:rPr>
          <w:rFonts w:ascii="Calibri" w:hAnsi="Calibri"/>
          <w:sz w:val="22"/>
          <w:szCs w:val="22"/>
        </w:rPr>
        <w:t>.</w:t>
      </w:r>
      <w:r w:rsidRPr="003127E4">
        <w:rPr>
          <w:rFonts w:ascii="Calibri" w:hAnsi="Calibri"/>
          <w:sz w:val="22"/>
          <w:szCs w:val="22"/>
        </w:rPr>
        <w:t>S</w:t>
      </w:r>
      <w:r w:rsidR="009D1433">
        <w:rPr>
          <w:rFonts w:ascii="Calibri" w:hAnsi="Calibri"/>
          <w:sz w:val="22"/>
          <w:szCs w:val="22"/>
        </w:rPr>
        <w:t>.</w:t>
      </w:r>
      <w:r w:rsidRPr="003127E4">
        <w:rPr>
          <w:rFonts w:ascii="Calibri" w:hAnsi="Calibri"/>
          <w:sz w:val="22"/>
          <w:szCs w:val="22"/>
        </w:rPr>
        <w:t>C</w:t>
      </w:r>
      <w:r w:rsidR="009D1433">
        <w:rPr>
          <w:rFonts w:ascii="Calibri" w:hAnsi="Calibri"/>
          <w:sz w:val="22"/>
          <w:szCs w:val="22"/>
        </w:rPr>
        <w:t>.</w:t>
      </w:r>
      <w:r w:rsidRPr="003127E4">
        <w:rPr>
          <w:rFonts w:ascii="Calibri" w:hAnsi="Calibri"/>
          <w:sz w:val="22"/>
          <w:szCs w:val="22"/>
        </w:rPr>
        <w:t xml:space="preserve"> 6103.</w:t>
      </w:r>
    </w:p>
    <w:p w:rsidR="007E2EEB" w:rsidRPr="003127E4" w14:paraId="64A24D33" w14:textId="77777777">
      <w:pPr>
        <w:rPr>
          <w:rFonts w:ascii="Calibri" w:hAnsi="Calibri"/>
          <w:sz w:val="22"/>
          <w:szCs w:val="22"/>
        </w:rPr>
      </w:pPr>
    </w:p>
    <w:p w:rsidR="007E2EEB" w:rsidRPr="003127E4" w:rsidP="00AF1AEA" w14:paraId="417896B0" w14:textId="77777777">
      <w:pPr>
        <w:pStyle w:val="Level1"/>
        <w:numPr>
          <w:ilvl w:val="0"/>
          <w:numId w:val="4"/>
        </w:numPr>
        <w:tabs>
          <w:tab w:val="left" w:pos="-1440"/>
        </w:tabs>
        <w:rPr>
          <w:rFonts w:ascii="Calibri" w:hAnsi="Calibri"/>
          <w:b/>
          <w:sz w:val="22"/>
          <w:szCs w:val="22"/>
          <w:u w:val="single"/>
        </w:rPr>
      </w:pPr>
      <w:r w:rsidRPr="005471FB">
        <w:rPr>
          <w:rFonts w:ascii="Calibri" w:hAnsi="Calibri"/>
          <w:b/>
          <w:sz w:val="22"/>
          <w:szCs w:val="22"/>
          <w:u w:val="single"/>
        </w:rPr>
        <w:t>JUST</w:t>
      </w:r>
      <w:r w:rsidRPr="003127E4">
        <w:rPr>
          <w:rFonts w:ascii="Calibri" w:hAnsi="Calibri"/>
          <w:b/>
          <w:sz w:val="22"/>
          <w:szCs w:val="22"/>
          <w:u w:val="single"/>
        </w:rPr>
        <w:t>IFICATION OF SENSITIVE QUESTIONS</w:t>
      </w:r>
    </w:p>
    <w:p w:rsidR="007E2EEB" w:rsidRPr="003127E4" w14:paraId="4A39ACC3" w14:textId="77777777">
      <w:pPr>
        <w:rPr>
          <w:rFonts w:ascii="Calibri" w:hAnsi="Calibri"/>
          <w:sz w:val="22"/>
          <w:szCs w:val="22"/>
          <w:u w:val="single"/>
        </w:rPr>
      </w:pPr>
    </w:p>
    <w:p w:rsidR="00044F37" w:rsidRPr="00044F37" w:rsidP="005471FB" w14:paraId="67DDF531" w14:textId="3B67F995">
      <w:pPr>
        <w:ind w:left="720"/>
        <w:rPr>
          <w:rFonts w:ascii="Calibri" w:hAnsi="Calibri"/>
          <w:sz w:val="22"/>
          <w:szCs w:val="22"/>
        </w:rPr>
      </w:pPr>
      <w:r w:rsidRPr="00044F37">
        <w:rPr>
          <w:rFonts w:ascii="Calibri" w:hAnsi="Calibri"/>
          <w:sz w:val="22"/>
          <w:szCs w:val="22"/>
        </w:rPr>
        <w:t xml:space="preserve">A privacy impact assessment (PIA) has been conducted for information collected under this request as part of the </w:t>
      </w:r>
      <w:r w:rsidR="005471FB">
        <w:rPr>
          <w:rFonts w:ascii="Calibri" w:hAnsi="Calibri"/>
          <w:sz w:val="22"/>
          <w:szCs w:val="22"/>
        </w:rPr>
        <w:t xml:space="preserve">“Business Master File, BMF” </w:t>
      </w:r>
      <w:r w:rsidRPr="00044F37">
        <w:rPr>
          <w:rFonts w:ascii="Calibri" w:hAnsi="Calibri"/>
          <w:sz w:val="22"/>
          <w:szCs w:val="22"/>
        </w:rPr>
        <w:t>and a Privacy Act System of Records notice (SORN) ha</w:t>
      </w:r>
      <w:r w:rsidR="00DE2BF3">
        <w:rPr>
          <w:rFonts w:ascii="Calibri" w:hAnsi="Calibri"/>
          <w:sz w:val="22"/>
          <w:szCs w:val="22"/>
        </w:rPr>
        <w:t>ve</w:t>
      </w:r>
      <w:r w:rsidRPr="00044F37">
        <w:rPr>
          <w:rFonts w:ascii="Calibri" w:hAnsi="Calibri"/>
          <w:sz w:val="22"/>
          <w:szCs w:val="22"/>
        </w:rPr>
        <w:t xml:space="preserve"> been issued for th</w:t>
      </w:r>
      <w:r w:rsidR="00DE2BF3">
        <w:rPr>
          <w:rFonts w:ascii="Calibri" w:hAnsi="Calibri"/>
          <w:sz w:val="22"/>
          <w:szCs w:val="22"/>
        </w:rPr>
        <w:t>is</w:t>
      </w:r>
      <w:r w:rsidRPr="00044F37">
        <w:rPr>
          <w:rFonts w:ascii="Calibri" w:hAnsi="Calibri"/>
          <w:sz w:val="22"/>
          <w:szCs w:val="22"/>
        </w:rPr>
        <w:t xml:space="preserve"> system under </w:t>
      </w:r>
      <w:r w:rsidR="00DE2BF3">
        <w:rPr>
          <w:rFonts w:ascii="Calibri" w:hAnsi="Calibri"/>
          <w:sz w:val="22"/>
          <w:szCs w:val="22"/>
        </w:rPr>
        <w:t xml:space="preserve">IRS </w:t>
      </w:r>
      <w:r w:rsidRPr="005471FB" w:rsidR="005471FB">
        <w:rPr>
          <w:rFonts w:ascii="Calibri" w:hAnsi="Calibri"/>
          <w:sz w:val="22"/>
          <w:szCs w:val="22"/>
        </w:rPr>
        <w:t>24.046</w:t>
      </w:r>
      <w:r w:rsidR="00DE2BF3">
        <w:rPr>
          <w:rFonts w:ascii="Calibri" w:hAnsi="Calibri"/>
          <w:sz w:val="22"/>
          <w:szCs w:val="22"/>
        </w:rPr>
        <w:t xml:space="preserve"> – Customer Account Data Engine Business Master File, </w:t>
      </w:r>
      <w:r w:rsidR="005471FB">
        <w:rPr>
          <w:rFonts w:ascii="Calibri" w:hAnsi="Calibri"/>
          <w:sz w:val="22"/>
          <w:szCs w:val="22"/>
        </w:rPr>
        <w:t xml:space="preserve">and </w:t>
      </w:r>
      <w:r w:rsidR="00DE2BF3">
        <w:rPr>
          <w:rFonts w:ascii="Calibri" w:hAnsi="Calibri"/>
          <w:sz w:val="22"/>
          <w:szCs w:val="22"/>
        </w:rPr>
        <w:t xml:space="preserve">IRS </w:t>
      </w:r>
      <w:r w:rsidRPr="005471FB" w:rsidR="005471FB">
        <w:rPr>
          <w:rFonts w:ascii="Calibri" w:hAnsi="Calibri"/>
          <w:sz w:val="22"/>
          <w:szCs w:val="22"/>
        </w:rPr>
        <w:t>34.0</w:t>
      </w:r>
      <w:r w:rsidR="00902CD7">
        <w:rPr>
          <w:rFonts w:ascii="Calibri" w:hAnsi="Calibri"/>
          <w:sz w:val="22"/>
          <w:szCs w:val="22"/>
        </w:rPr>
        <w:t>3</w:t>
      </w:r>
      <w:r w:rsidRPr="005471FB" w:rsidR="005471FB">
        <w:rPr>
          <w:rFonts w:ascii="Calibri" w:hAnsi="Calibri"/>
          <w:sz w:val="22"/>
          <w:szCs w:val="22"/>
        </w:rPr>
        <w:t>7</w:t>
      </w:r>
      <w:r w:rsidR="00DE2BF3">
        <w:rPr>
          <w:rFonts w:ascii="Calibri" w:hAnsi="Calibri"/>
          <w:sz w:val="22"/>
          <w:szCs w:val="22"/>
        </w:rPr>
        <w:t xml:space="preserve"> – IRS Audit Trail and Security Records System. </w:t>
      </w:r>
      <w:r w:rsidRPr="00044F37">
        <w:rPr>
          <w:rFonts w:ascii="Calibri" w:hAnsi="Calibri"/>
          <w:sz w:val="22"/>
          <w:szCs w:val="22"/>
        </w:rPr>
        <w:t xml:space="preserve">The </w:t>
      </w:r>
      <w:r>
        <w:rPr>
          <w:rFonts w:ascii="Calibri" w:hAnsi="Calibri"/>
          <w:sz w:val="22"/>
          <w:szCs w:val="22"/>
        </w:rPr>
        <w:t>Internal Revenue Service</w:t>
      </w:r>
      <w:r w:rsidRPr="00044F37">
        <w:rPr>
          <w:rFonts w:ascii="Calibri" w:hAnsi="Calibri"/>
          <w:sz w:val="22"/>
          <w:szCs w:val="22"/>
        </w:rPr>
        <w:t xml:space="preserve"> PIAs can be found at </w:t>
      </w:r>
    </w:p>
    <w:p w:rsidR="00044F37" w:rsidRPr="00DE2BF3" w:rsidP="00044F37" w14:paraId="2868BDEC" w14:textId="6EDADECC">
      <w:pPr>
        <w:ind w:left="720"/>
        <w:rPr>
          <w:rFonts w:asciiTheme="minorHAnsi" w:hAnsiTheme="minorHAnsi" w:cstheme="minorHAnsi"/>
          <w:sz w:val="22"/>
          <w:szCs w:val="22"/>
        </w:rPr>
      </w:pPr>
      <w:hyperlink r:id="rId4" w:history="1">
        <w:r w:rsidRPr="00DE2BF3" w:rsidR="00DE2BF3">
          <w:rPr>
            <w:rStyle w:val="Hyperlink"/>
            <w:rFonts w:asciiTheme="minorHAnsi" w:hAnsiTheme="minorHAnsi" w:cstheme="minorHAnsi"/>
            <w:sz w:val="22"/>
            <w:szCs w:val="22"/>
          </w:rPr>
          <w:t>https://www.irs.gov/privacy-disclosure/privacy-impact-assessments-pia</w:t>
        </w:r>
      </w:hyperlink>
      <w:r w:rsidRPr="00DE2BF3" w:rsidR="00DE2BF3">
        <w:rPr>
          <w:rFonts w:asciiTheme="minorHAnsi" w:hAnsiTheme="minorHAnsi" w:cstheme="minorHAnsi"/>
          <w:sz w:val="22"/>
          <w:szCs w:val="22"/>
        </w:rPr>
        <w:t>.</w:t>
      </w:r>
    </w:p>
    <w:p w:rsidR="00DE2BF3" w:rsidRPr="00044F37" w:rsidP="00044F37" w14:paraId="2C9A4D26" w14:textId="77777777">
      <w:pPr>
        <w:ind w:left="720"/>
        <w:rPr>
          <w:rFonts w:ascii="Calibri" w:hAnsi="Calibri"/>
          <w:sz w:val="22"/>
          <w:szCs w:val="22"/>
        </w:rPr>
      </w:pPr>
    </w:p>
    <w:p w:rsidR="007E2EEB" w:rsidRPr="003127E4" w:rsidP="00044F37" w14:paraId="554AD0FD" w14:textId="01B2EAD7">
      <w:pPr>
        <w:ind w:left="720"/>
        <w:rPr>
          <w:rFonts w:ascii="Calibri" w:hAnsi="Calibri"/>
          <w:sz w:val="22"/>
          <w:szCs w:val="22"/>
        </w:rPr>
      </w:pPr>
      <w:r w:rsidRPr="00044F37">
        <w:rPr>
          <w:rFonts w:ascii="Calibri" w:hAnsi="Calibri"/>
          <w:sz w:val="22"/>
          <w:szCs w:val="22"/>
        </w:rPr>
        <w:t>Title 26 U</w:t>
      </w:r>
      <w:r w:rsidR="00E54675">
        <w:rPr>
          <w:rFonts w:ascii="Calibri" w:hAnsi="Calibri"/>
          <w:sz w:val="22"/>
          <w:szCs w:val="22"/>
        </w:rPr>
        <w:t>.</w:t>
      </w:r>
      <w:r w:rsidRPr="00044F37">
        <w:rPr>
          <w:rFonts w:ascii="Calibri" w:hAnsi="Calibri"/>
          <w:sz w:val="22"/>
          <w:szCs w:val="22"/>
        </w:rPr>
        <w:t>S</w:t>
      </w:r>
      <w:r w:rsidR="00E54675">
        <w:rPr>
          <w:rFonts w:ascii="Calibri" w:hAnsi="Calibri"/>
          <w:sz w:val="22"/>
          <w:szCs w:val="22"/>
        </w:rPr>
        <w:t>.</w:t>
      </w:r>
      <w:r w:rsidRPr="00044F37">
        <w:rPr>
          <w:rFonts w:ascii="Calibri" w:hAnsi="Calibri"/>
          <w:sz w:val="22"/>
          <w:szCs w:val="22"/>
        </w:rPr>
        <w:t>C</w:t>
      </w:r>
      <w:r w:rsidR="00E54675">
        <w:rPr>
          <w:rFonts w:ascii="Calibri" w:hAnsi="Calibri"/>
          <w:sz w:val="22"/>
          <w:szCs w:val="22"/>
        </w:rPr>
        <w:t>.</w:t>
      </w:r>
      <w:r w:rsidRPr="00044F37">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D02EBE" w:rsidRPr="003127E4" w14:paraId="412491D7" w14:textId="77777777">
      <w:pPr>
        <w:ind w:left="720"/>
        <w:rPr>
          <w:rFonts w:ascii="Calibri" w:hAnsi="Calibri"/>
          <w:sz w:val="22"/>
          <w:szCs w:val="22"/>
        </w:rPr>
      </w:pPr>
    </w:p>
    <w:p w:rsidR="00166349" w:rsidRPr="001A62B9" w:rsidP="001A62B9" w14:paraId="68E25E08" w14:textId="77777777">
      <w:pPr>
        <w:pStyle w:val="Level1"/>
        <w:numPr>
          <w:ilvl w:val="0"/>
          <w:numId w:val="4"/>
        </w:numPr>
        <w:tabs>
          <w:tab w:val="left" w:pos="-1440"/>
        </w:tabs>
        <w:rPr>
          <w:rFonts w:ascii="Calibri" w:hAnsi="Calibri"/>
          <w:b/>
          <w:sz w:val="22"/>
          <w:szCs w:val="22"/>
          <w:u w:val="single"/>
        </w:rPr>
      </w:pPr>
      <w:r w:rsidRPr="009738C1">
        <w:rPr>
          <w:rFonts w:ascii="Calibri" w:hAnsi="Calibri"/>
          <w:b/>
          <w:sz w:val="22"/>
          <w:szCs w:val="22"/>
          <w:u w:val="single"/>
        </w:rPr>
        <w:t>ESTIM</w:t>
      </w:r>
      <w:r w:rsidRPr="001D55A7">
        <w:rPr>
          <w:rFonts w:ascii="Calibri" w:hAnsi="Calibri"/>
          <w:b/>
          <w:sz w:val="22"/>
          <w:szCs w:val="22"/>
          <w:u w:val="single"/>
        </w:rPr>
        <w:t>ATED BURDEN OF INFORMATION COLLECTION</w:t>
      </w:r>
    </w:p>
    <w:p w:rsidR="001D55A7" w14:paraId="1A41FD2C" w14:textId="77777777">
      <w:pPr>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39C0FEC3" w14:textId="77777777" w:rsidTr="001A62B9">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993BB3" w:rsidRPr="001222FC" w:rsidP="00301C09" w14:paraId="08E5DD26"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546" w:type="dxa"/>
            <w:vAlign w:val="bottom"/>
          </w:tcPr>
          <w:p w:rsidR="00993BB3" w:rsidRPr="001222FC" w:rsidP="00301C09" w14:paraId="7561A73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993BB3" w:rsidRPr="001222FC" w:rsidP="00301C09" w14:paraId="3E599DF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08" w:type="dxa"/>
            <w:vAlign w:val="bottom"/>
          </w:tcPr>
          <w:p w:rsidR="00993BB3" w:rsidRPr="001222FC" w:rsidP="00301C09" w14:paraId="0F0EA9B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993BB3" w:rsidRPr="001222FC" w:rsidP="00301C09" w14:paraId="40906FF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993BB3" w:rsidRPr="001222FC" w:rsidP="00301C09" w14:paraId="00237AC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993BB3" w:rsidRPr="001222FC" w:rsidP="00301C09" w14:paraId="6C2A9C7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147DB1FB" w14:textId="77777777" w:rsidTr="001A62B9">
        <w:tblPrEx>
          <w:tblW w:w="8640" w:type="dxa"/>
          <w:tblInd w:w="715" w:type="dxa"/>
          <w:tblLayout w:type="fixed"/>
          <w:tblLook w:val="04A0"/>
        </w:tblPrEx>
        <w:tc>
          <w:tcPr>
            <w:tcW w:w="1154" w:type="dxa"/>
            <w:shd w:val="clear" w:color="auto" w:fill="auto"/>
            <w:vAlign w:val="bottom"/>
          </w:tcPr>
          <w:p w:rsidR="00993BB3" w:rsidRPr="001222FC" w:rsidP="00301C09" w14:paraId="3BFA4101" w14:textId="44AE6E29">
            <w:pPr>
              <w:keepNext/>
              <w:keepLines/>
              <w:numPr>
                <w:ilvl w:val="12"/>
                <w:numId w:val="0"/>
              </w:numPr>
              <w:jc w:val="center"/>
              <w:rPr>
                <w:rFonts w:ascii="Arial Narrow" w:hAnsi="Arial Narrow"/>
                <w:sz w:val="20"/>
                <w:szCs w:val="20"/>
              </w:rPr>
            </w:pPr>
            <w:r>
              <w:rPr>
                <w:rFonts w:ascii="Arial Narrow" w:hAnsi="Arial Narrow"/>
                <w:sz w:val="20"/>
                <w:szCs w:val="20"/>
              </w:rPr>
              <w:t>IRC § 4401</w:t>
            </w:r>
          </w:p>
        </w:tc>
        <w:tc>
          <w:tcPr>
            <w:tcW w:w="1546" w:type="dxa"/>
            <w:vAlign w:val="bottom"/>
          </w:tcPr>
          <w:p w:rsidR="00993BB3" w:rsidRPr="001222FC" w:rsidP="00301C09" w14:paraId="0A9C85C1" w14:textId="66B6B910">
            <w:pPr>
              <w:keepNext/>
              <w:keepLines/>
              <w:numPr>
                <w:ilvl w:val="12"/>
                <w:numId w:val="0"/>
              </w:numPr>
              <w:jc w:val="center"/>
              <w:rPr>
                <w:rFonts w:ascii="Arial Narrow" w:hAnsi="Arial Narrow"/>
                <w:sz w:val="20"/>
                <w:szCs w:val="20"/>
              </w:rPr>
            </w:pPr>
            <w:r>
              <w:rPr>
                <w:rFonts w:ascii="Arial Narrow" w:hAnsi="Arial Narrow"/>
                <w:sz w:val="20"/>
                <w:szCs w:val="20"/>
              </w:rPr>
              <w:t>Form 730</w:t>
            </w:r>
          </w:p>
        </w:tc>
        <w:tc>
          <w:tcPr>
            <w:tcW w:w="1283" w:type="dxa"/>
            <w:vAlign w:val="bottom"/>
          </w:tcPr>
          <w:p w:rsidR="00993BB3" w:rsidRPr="001222FC" w:rsidP="00301C09" w14:paraId="31C3EE0B" w14:textId="196EC312">
            <w:pPr>
              <w:keepNext/>
              <w:keepLines/>
              <w:numPr>
                <w:ilvl w:val="12"/>
                <w:numId w:val="0"/>
              </w:numPr>
              <w:jc w:val="center"/>
              <w:rPr>
                <w:rFonts w:ascii="Arial Narrow" w:hAnsi="Arial Narrow"/>
                <w:sz w:val="20"/>
                <w:szCs w:val="20"/>
              </w:rPr>
            </w:pPr>
            <w:r>
              <w:rPr>
                <w:rFonts w:ascii="Arial Narrow" w:hAnsi="Arial Narrow"/>
                <w:sz w:val="20"/>
                <w:szCs w:val="20"/>
              </w:rPr>
              <w:t>1</w:t>
            </w:r>
            <w:r w:rsidR="00B4275E">
              <w:rPr>
                <w:rFonts w:ascii="Arial Narrow" w:hAnsi="Arial Narrow"/>
                <w:sz w:val="20"/>
                <w:szCs w:val="20"/>
              </w:rPr>
              <w:t>,</w:t>
            </w:r>
            <w:r>
              <w:rPr>
                <w:rFonts w:ascii="Arial Narrow" w:hAnsi="Arial Narrow"/>
                <w:sz w:val="20"/>
                <w:szCs w:val="20"/>
              </w:rPr>
              <w:t>48</w:t>
            </w:r>
            <w:r w:rsidR="00B67735">
              <w:rPr>
                <w:rFonts w:ascii="Arial Narrow" w:hAnsi="Arial Narrow"/>
                <w:sz w:val="20"/>
                <w:szCs w:val="20"/>
              </w:rPr>
              <w:t>3</w:t>
            </w:r>
          </w:p>
        </w:tc>
        <w:tc>
          <w:tcPr>
            <w:tcW w:w="1308" w:type="dxa"/>
            <w:vAlign w:val="bottom"/>
          </w:tcPr>
          <w:p w:rsidR="00993BB3" w:rsidRPr="001222FC" w:rsidP="00301C09" w14:paraId="448FE6ED" w14:textId="54863D14">
            <w:pPr>
              <w:keepNext/>
              <w:keepLines/>
              <w:numPr>
                <w:ilvl w:val="12"/>
                <w:numId w:val="0"/>
              </w:numPr>
              <w:jc w:val="center"/>
              <w:rPr>
                <w:rFonts w:ascii="Arial Narrow" w:hAnsi="Arial Narrow"/>
                <w:sz w:val="20"/>
                <w:szCs w:val="20"/>
              </w:rPr>
            </w:pPr>
            <w:r>
              <w:rPr>
                <w:rFonts w:ascii="Arial Narrow" w:hAnsi="Arial Narrow"/>
                <w:sz w:val="20"/>
                <w:szCs w:val="20"/>
              </w:rPr>
              <w:t>12</w:t>
            </w:r>
          </w:p>
        </w:tc>
        <w:tc>
          <w:tcPr>
            <w:tcW w:w="1091" w:type="dxa"/>
            <w:shd w:val="clear" w:color="auto" w:fill="auto"/>
            <w:vAlign w:val="bottom"/>
          </w:tcPr>
          <w:p w:rsidR="00993BB3" w:rsidRPr="001222FC" w:rsidP="00301C09" w14:paraId="5F9ADE26" w14:textId="17764493">
            <w:pPr>
              <w:keepNext/>
              <w:keepLines/>
              <w:numPr>
                <w:ilvl w:val="12"/>
                <w:numId w:val="0"/>
              </w:numPr>
              <w:jc w:val="center"/>
              <w:rPr>
                <w:rFonts w:ascii="Arial Narrow" w:hAnsi="Arial Narrow"/>
                <w:sz w:val="20"/>
                <w:szCs w:val="20"/>
              </w:rPr>
            </w:pPr>
            <w:r>
              <w:rPr>
                <w:rFonts w:ascii="Arial Narrow" w:hAnsi="Arial Narrow"/>
                <w:sz w:val="20"/>
                <w:szCs w:val="20"/>
              </w:rPr>
              <w:t>17,</w:t>
            </w:r>
            <w:r w:rsidR="00B67735">
              <w:rPr>
                <w:rFonts w:ascii="Arial Narrow" w:hAnsi="Arial Narrow"/>
                <w:sz w:val="20"/>
                <w:szCs w:val="20"/>
              </w:rPr>
              <w:t>796</w:t>
            </w:r>
          </w:p>
        </w:tc>
        <w:tc>
          <w:tcPr>
            <w:tcW w:w="1158" w:type="dxa"/>
            <w:vAlign w:val="bottom"/>
          </w:tcPr>
          <w:p w:rsidR="00993BB3" w:rsidRPr="001222FC" w:rsidP="00301C09" w14:paraId="53493FA8" w14:textId="75E41DA4">
            <w:pPr>
              <w:keepNext/>
              <w:keepLines/>
              <w:numPr>
                <w:ilvl w:val="12"/>
                <w:numId w:val="0"/>
              </w:numPr>
              <w:jc w:val="center"/>
              <w:rPr>
                <w:rFonts w:ascii="Arial Narrow" w:hAnsi="Arial Narrow"/>
                <w:sz w:val="20"/>
                <w:szCs w:val="20"/>
              </w:rPr>
            </w:pPr>
            <w:r>
              <w:rPr>
                <w:rFonts w:ascii="Arial Narrow" w:hAnsi="Arial Narrow"/>
                <w:sz w:val="20"/>
                <w:szCs w:val="20"/>
              </w:rPr>
              <w:t>8.19</w:t>
            </w:r>
          </w:p>
        </w:tc>
        <w:tc>
          <w:tcPr>
            <w:tcW w:w="1100" w:type="dxa"/>
            <w:shd w:val="clear" w:color="auto" w:fill="auto"/>
            <w:vAlign w:val="bottom"/>
          </w:tcPr>
          <w:p w:rsidR="00993BB3" w:rsidRPr="001222FC" w:rsidP="00301C09" w14:paraId="3C1BE06E" w14:textId="120B34DF">
            <w:pPr>
              <w:keepNext/>
              <w:keepLines/>
              <w:numPr>
                <w:ilvl w:val="12"/>
                <w:numId w:val="0"/>
              </w:numPr>
              <w:jc w:val="center"/>
              <w:rPr>
                <w:rFonts w:ascii="Arial Narrow" w:hAnsi="Arial Narrow"/>
                <w:sz w:val="20"/>
                <w:szCs w:val="20"/>
              </w:rPr>
            </w:pPr>
            <w:r>
              <w:rPr>
                <w:rFonts w:ascii="Arial Narrow" w:hAnsi="Arial Narrow"/>
                <w:sz w:val="20"/>
                <w:szCs w:val="20"/>
              </w:rPr>
              <w:t>145,</w:t>
            </w:r>
            <w:r w:rsidR="00B67735">
              <w:rPr>
                <w:rFonts w:ascii="Arial Narrow" w:hAnsi="Arial Narrow"/>
                <w:sz w:val="20"/>
                <w:szCs w:val="20"/>
              </w:rPr>
              <w:t>749</w:t>
            </w:r>
          </w:p>
        </w:tc>
      </w:tr>
      <w:tr w14:paraId="7D88B48C" w14:textId="77777777" w:rsidTr="001A62B9">
        <w:tblPrEx>
          <w:tblW w:w="8640" w:type="dxa"/>
          <w:tblInd w:w="715" w:type="dxa"/>
          <w:tblLayout w:type="fixed"/>
          <w:tblLook w:val="04A0"/>
        </w:tblPrEx>
        <w:tc>
          <w:tcPr>
            <w:tcW w:w="1154" w:type="dxa"/>
            <w:shd w:val="clear" w:color="auto" w:fill="auto"/>
            <w:vAlign w:val="bottom"/>
          </w:tcPr>
          <w:p w:rsidR="00993BB3" w:rsidRPr="001222FC" w:rsidP="00301C09" w14:paraId="3521B1BE"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546" w:type="dxa"/>
            <w:vAlign w:val="bottom"/>
          </w:tcPr>
          <w:p w:rsidR="00993BB3" w:rsidRPr="001222FC" w:rsidP="00301C09" w14:paraId="68AC8B68" w14:textId="77777777">
            <w:pPr>
              <w:keepNext/>
              <w:keepLines/>
              <w:numPr>
                <w:ilvl w:val="12"/>
                <w:numId w:val="0"/>
              </w:numPr>
              <w:jc w:val="center"/>
              <w:rPr>
                <w:rFonts w:ascii="Arial Narrow" w:hAnsi="Arial Narrow"/>
                <w:b/>
                <w:bCs/>
                <w:sz w:val="20"/>
                <w:szCs w:val="20"/>
              </w:rPr>
            </w:pPr>
          </w:p>
        </w:tc>
        <w:tc>
          <w:tcPr>
            <w:tcW w:w="1283" w:type="dxa"/>
            <w:vAlign w:val="bottom"/>
          </w:tcPr>
          <w:p w:rsidR="00993BB3" w:rsidRPr="001222FC" w:rsidP="00301C09" w14:paraId="3E6CF643" w14:textId="7646F6A3">
            <w:pPr>
              <w:keepNext/>
              <w:keepLines/>
              <w:numPr>
                <w:ilvl w:val="12"/>
                <w:numId w:val="0"/>
              </w:numPr>
              <w:jc w:val="center"/>
              <w:rPr>
                <w:rFonts w:ascii="Arial Narrow" w:hAnsi="Arial Narrow"/>
                <w:b/>
                <w:bCs/>
                <w:sz w:val="20"/>
                <w:szCs w:val="20"/>
              </w:rPr>
            </w:pPr>
            <w:r>
              <w:rPr>
                <w:rFonts w:ascii="Arial Narrow" w:hAnsi="Arial Narrow"/>
                <w:b/>
                <w:bCs/>
                <w:sz w:val="20"/>
                <w:szCs w:val="20"/>
              </w:rPr>
              <w:t>1</w:t>
            </w:r>
            <w:r w:rsidR="00B4275E">
              <w:rPr>
                <w:rFonts w:ascii="Arial Narrow" w:hAnsi="Arial Narrow"/>
                <w:b/>
                <w:bCs/>
                <w:sz w:val="20"/>
                <w:szCs w:val="20"/>
              </w:rPr>
              <w:t>,</w:t>
            </w:r>
            <w:r>
              <w:rPr>
                <w:rFonts w:ascii="Arial Narrow" w:hAnsi="Arial Narrow"/>
                <w:b/>
                <w:bCs/>
                <w:sz w:val="20"/>
                <w:szCs w:val="20"/>
              </w:rPr>
              <w:t>48</w:t>
            </w:r>
            <w:r w:rsidR="00B67735">
              <w:rPr>
                <w:rFonts w:ascii="Arial Narrow" w:hAnsi="Arial Narrow"/>
                <w:b/>
                <w:bCs/>
                <w:sz w:val="20"/>
                <w:szCs w:val="20"/>
              </w:rPr>
              <w:t>3</w:t>
            </w:r>
          </w:p>
        </w:tc>
        <w:tc>
          <w:tcPr>
            <w:tcW w:w="1308" w:type="dxa"/>
            <w:vAlign w:val="bottom"/>
          </w:tcPr>
          <w:p w:rsidR="00993BB3" w:rsidRPr="001222FC" w:rsidP="00301C09" w14:paraId="75304E3D"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993BB3" w:rsidRPr="001222FC" w:rsidP="00301C09" w14:paraId="59367B8F" w14:textId="6B775FF7">
            <w:pPr>
              <w:keepNext/>
              <w:keepLines/>
              <w:numPr>
                <w:ilvl w:val="12"/>
                <w:numId w:val="0"/>
              </w:numPr>
              <w:jc w:val="center"/>
              <w:rPr>
                <w:rFonts w:ascii="Arial Narrow" w:hAnsi="Arial Narrow"/>
                <w:b/>
                <w:bCs/>
                <w:sz w:val="20"/>
                <w:szCs w:val="20"/>
              </w:rPr>
            </w:pPr>
            <w:r>
              <w:rPr>
                <w:rFonts w:ascii="Arial Narrow" w:hAnsi="Arial Narrow"/>
                <w:b/>
                <w:bCs/>
                <w:sz w:val="20"/>
                <w:szCs w:val="20"/>
              </w:rPr>
              <w:t>17,</w:t>
            </w:r>
            <w:r w:rsidR="00B67735">
              <w:rPr>
                <w:rFonts w:ascii="Arial Narrow" w:hAnsi="Arial Narrow"/>
                <w:b/>
                <w:bCs/>
                <w:sz w:val="20"/>
                <w:szCs w:val="20"/>
              </w:rPr>
              <w:t>796</w:t>
            </w:r>
          </w:p>
        </w:tc>
        <w:tc>
          <w:tcPr>
            <w:tcW w:w="1158" w:type="dxa"/>
            <w:vAlign w:val="bottom"/>
          </w:tcPr>
          <w:p w:rsidR="00993BB3" w:rsidRPr="001222FC" w:rsidP="00301C09" w14:paraId="1A2F1177"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993BB3" w:rsidRPr="001222FC" w:rsidP="00301C09" w14:paraId="1ABDC704" w14:textId="09D0B4DA">
            <w:pPr>
              <w:keepNext/>
              <w:keepLines/>
              <w:numPr>
                <w:ilvl w:val="12"/>
                <w:numId w:val="0"/>
              </w:numPr>
              <w:jc w:val="center"/>
              <w:rPr>
                <w:rFonts w:ascii="Arial Narrow" w:hAnsi="Arial Narrow"/>
                <w:b/>
                <w:bCs/>
                <w:sz w:val="20"/>
                <w:szCs w:val="20"/>
              </w:rPr>
            </w:pPr>
            <w:r>
              <w:rPr>
                <w:rFonts w:ascii="Arial Narrow" w:hAnsi="Arial Narrow"/>
                <w:b/>
                <w:bCs/>
                <w:sz w:val="20"/>
                <w:szCs w:val="20"/>
              </w:rPr>
              <w:t>145,</w:t>
            </w:r>
            <w:r w:rsidR="00B67735">
              <w:rPr>
                <w:rFonts w:ascii="Arial Narrow" w:hAnsi="Arial Narrow"/>
                <w:b/>
                <w:bCs/>
                <w:sz w:val="20"/>
                <w:szCs w:val="20"/>
              </w:rPr>
              <w:t>749</w:t>
            </w:r>
          </w:p>
        </w:tc>
      </w:tr>
      <w:bookmarkEnd w:id="0"/>
    </w:tbl>
    <w:p w:rsidR="00993BB3" w:rsidP="001D55A7" w14:paraId="0E96E0D0" w14:textId="77777777">
      <w:pPr>
        <w:ind w:left="720"/>
        <w:rPr>
          <w:rFonts w:ascii="Calibri" w:hAnsi="Calibri"/>
          <w:sz w:val="22"/>
          <w:szCs w:val="22"/>
        </w:rPr>
      </w:pPr>
    </w:p>
    <w:p w:rsidR="001D55A7" w:rsidP="001D55A7" w14:paraId="709A4F22" w14:textId="7BA4ECC9">
      <w:pPr>
        <w:ind w:left="720"/>
        <w:rPr>
          <w:rFonts w:ascii="Calibri" w:hAnsi="Calibri"/>
          <w:sz w:val="22"/>
          <w:szCs w:val="22"/>
        </w:rPr>
      </w:pPr>
      <w:r w:rsidRPr="00152BE2">
        <w:rPr>
          <w:rFonts w:ascii="Calibri" w:hAnsi="Calibri"/>
          <w:sz w:val="22"/>
          <w:szCs w:val="22"/>
        </w:rPr>
        <w:t>The following regulations impose no additional burden. Please continue to assign OMB number 1545-0235 to these regulations:</w:t>
      </w:r>
    </w:p>
    <w:p w:rsidR="00D02EBE" w:rsidP="001D55A7" w14:paraId="6D31E9A2" w14:textId="2EDCDE91">
      <w:pPr>
        <w:ind w:left="720"/>
        <w:rPr>
          <w:rFonts w:ascii="Calibri" w:hAnsi="Calibri"/>
          <w:sz w:val="22"/>
          <w:szCs w:val="22"/>
        </w:rPr>
      </w:pPr>
    </w:p>
    <w:tbl>
      <w:tblPr>
        <w:tblStyle w:val="TableGrid"/>
        <w:tblW w:w="0" w:type="auto"/>
        <w:tblInd w:w="720" w:type="dxa"/>
        <w:tblLook w:val="04A0"/>
      </w:tblPr>
      <w:tblGrid>
        <w:gridCol w:w="1713"/>
        <w:gridCol w:w="1757"/>
        <w:gridCol w:w="1714"/>
        <w:gridCol w:w="1732"/>
        <w:gridCol w:w="1714"/>
      </w:tblGrid>
      <w:tr w14:paraId="36A3CDAA" w14:textId="77777777" w:rsidTr="00A05BB6">
        <w:tblPrEx>
          <w:tblW w:w="0" w:type="auto"/>
          <w:tblInd w:w="720" w:type="dxa"/>
          <w:tblLook w:val="04A0"/>
        </w:tblPrEx>
        <w:tc>
          <w:tcPr>
            <w:tcW w:w="1713" w:type="dxa"/>
          </w:tcPr>
          <w:p w:rsidR="00D02EBE" w:rsidRPr="00A05BB6" w:rsidP="001D55A7" w14:paraId="7FCF17DB" w14:textId="7A3C344C">
            <w:pPr>
              <w:rPr>
                <w:rFonts w:ascii="Calibri" w:hAnsi="Calibri"/>
                <w:sz w:val="22"/>
                <w:szCs w:val="22"/>
              </w:rPr>
            </w:pPr>
            <w:r w:rsidRPr="00A05BB6">
              <w:rPr>
                <w:rFonts w:ascii="Calibri" w:hAnsi="Calibri"/>
                <w:sz w:val="22"/>
                <w:szCs w:val="22"/>
              </w:rPr>
              <w:t>44.4401-1</w:t>
            </w:r>
          </w:p>
        </w:tc>
        <w:tc>
          <w:tcPr>
            <w:tcW w:w="1757" w:type="dxa"/>
          </w:tcPr>
          <w:p w:rsidR="00D02EBE" w:rsidRPr="00A05BB6" w:rsidP="001D55A7" w14:paraId="46D3171B" w14:textId="547A4528">
            <w:pPr>
              <w:rPr>
                <w:rFonts w:ascii="Calibri" w:hAnsi="Calibri"/>
                <w:sz w:val="22"/>
                <w:szCs w:val="22"/>
              </w:rPr>
            </w:pPr>
            <w:r w:rsidRPr="00A05BB6">
              <w:rPr>
                <w:rFonts w:ascii="Calibri" w:hAnsi="Calibri"/>
                <w:sz w:val="22"/>
                <w:szCs w:val="22"/>
              </w:rPr>
              <w:t>44.60</w:t>
            </w:r>
            <w:r w:rsidRPr="00A05BB6" w:rsidR="00507B8D">
              <w:rPr>
                <w:rFonts w:ascii="Calibri" w:hAnsi="Calibri"/>
                <w:sz w:val="22"/>
                <w:szCs w:val="22"/>
              </w:rPr>
              <w:t>01-1</w:t>
            </w:r>
          </w:p>
        </w:tc>
        <w:tc>
          <w:tcPr>
            <w:tcW w:w="1714" w:type="dxa"/>
          </w:tcPr>
          <w:p w:rsidR="00D02EBE" w:rsidRPr="00A05BB6" w:rsidP="001D55A7" w14:paraId="2B2A4C0A" w14:textId="783F3A5E">
            <w:pPr>
              <w:rPr>
                <w:rFonts w:ascii="Calibri" w:hAnsi="Calibri"/>
                <w:sz w:val="22"/>
                <w:szCs w:val="22"/>
              </w:rPr>
            </w:pPr>
            <w:r w:rsidRPr="00A05BB6">
              <w:rPr>
                <w:rFonts w:ascii="Calibri" w:hAnsi="Calibri"/>
                <w:sz w:val="22"/>
                <w:szCs w:val="22"/>
              </w:rPr>
              <w:t>44.60</w:t>
            </w:r>
            <w:r w:rsidRPr="00A05BB6" w:rsidR="00507B8D">
              <w:rPr>
                <w:rFonts w:ascii="Calibri" w:hAnsi="Calibri"/>
                <w:sz w:val="22"/>
                <w:szCs w:val="22"/>
              </w:rPr>
              <w:t>71-1(a)</w:t>
            </w:r>
          </w:p>
        </w:tc>
        <w:tc>
          <w:tcPr>
            <w:tcW w:w="1732" w:type="dxa"/>
          </w:tcPr>
          <w:p w:rsidR="00D02EBE" w:rsidRPr="00A05BB6" w:rsidP="001D55A7" w14:paraId="10B3DE52" w14:textId="4570E4EB">
            <w:pPr>
              <w:rPr>
                <w:rFonts w:ascii="Calibri" w:hAnsi="Calibri"/>
                <w:sz w:val="22"/>
                <w:szCs w:val="22"/>
              </w:rPr>
            </w:pPr>
            <w:r w:rsidRPr="00A05BB6">
              <w:rPr>
                <w:rFonts w:ascii="Calibri" w:hAnsi="Calibri"/>
                <w:sz w:val="22"/>
                <w:szCs w:val="22"/>
              </w:rPr>
              <w:t>44.6</w:t>
            </w:r>
            <w:r w:rsidRPr="00A05BB6" w:rsidR="00507B8D">
              <w:rPr>
                <w:rFonts w:ascii="Calibri" w:hAnsi="Calibri"/>
                <w:sz w:val="22"/>
                <w:szCs w:val="22"/>
              </w:rPr>
              <w:t>151-1</w:t>
            </w:r>
          </w:p>
        </w:tc>
        <w:tc>
          <w:tcPr>
            <w:tcW w:w="1714" w:type="dxa"/>
            <w:tcBorders>
              <w:bottom w:val="single" w:sz="4" w:space="0" w:color="auto"/>
            </w:tcBorders>
          </w:tcPr>
          <w:p w:rsidR="00D02EBE" w:rsidRPr="00A05BB6" w:rsidP="001D55A7" w14:paraId="5F64BC97" w14:textId="125C4B6D">
            <w:pPr>
              <w:rPr>
                <w:rFonts w:ascii="Calibri" w:hAnsi="Calibri"/>
                <w:sz w:val="22"/>
                <w:szCs w:val="22"/>
              </w:rPr>
            </w:pPr>
            <w:r w:rsidRPr="00A05BB6">
              <w:rPr>
                <w:rFonts w:ascii="Calibri" w:hAnsi="Calibri"/>
                <w:sz w:val="22"/>
                <w:szCs w:val="22"/>
              </w:rPr>
              <w:t>4</w:t>
            </w:r>
            <w:r w:rsidRPr="00A05BB6" w:rsidR="00507B8D">
              <w:rPr>
                <w:rFonts w:ascii="Calibri" w:hAnsi="Calibri"/>
                <w:sz w:val="22"/>
                <w:szCs w:val="22"/>
              </w:rPr>
              <w:t>4</w:t>
            </w:r>
            <w:r w:rsidRPr="00A05BB6">
              <w:rPr>
                <w:rFonts w:ascii="Calibri" w:hAnsi="Calibri"/>
                <w:sz w:val="22"/>
                <w:szCs w:val="22"/>
              </w:rPr>
              <w:t>.</w:t>
            </w:r>
            <w:r w:rsidRPr="00A05BB6" w:rsidR="00507B8D">
              <w:rPr>
                <w:rFonts w:ascii="Calibri" w:hAnsi="Calibri"/>
                <w:sz w:val="22"/>
                <w:szCs w:val="22"/>
              </w:rPr>
              <w:t>6419-2</w:t>
            </w:r>
          </w:p>
        </w:tc>
      </w:tr>
      <w:tr w14:paraId="4A8C47E2" w14:textId="77777777" w:rsidTr="00A05BB6">
        <w:tblPrEx>
          <w:tblW w:w="0" w:type="auto"/>
          <w:tblInd w:w="720" w:type="dxa"/>
          <w:tblLook w:val="04A0"/>
        </w:tblPrEx>
        <w:tc>
          <w:tcPr>
            <w:tcW w:w="1713" w:type="dxa"/>
          </w:tcPr>
          <w:p w:rsidR="00D02EBE" w:rsidRPr="00A05BB6" w:rsidP="001D55A7" w14:paraId="4515C04F" w14:textId="3895A5C7">
            <w:pPr>
              <w:rPr>
                <w:rFonts w:ascii="Calibri" w:hAnsi="Calibri"/>
                <w:sz w:val="22"/>
                <w:szCs w:val="22"/>
              </w:rPr>
            </w:pPr>
            <w:r w:rsidRPr="00A05BB6">
              <w:rPr>
                <w:rFonts w:ascii="Calibri" w:hAnsi="Calibri"/>
                <w:sz w:val="22"/>
                <w:szCs w:val="22"/>
              </w:rPr>
              <w:t>44.4403-1</w:t>
            </w:r>
          </w:p>
        </w:tc>
        <w:tc>
          <w:tcPr>
            <w:tcW w:w="1757" w:type="dxa"/>
          </w:tcPr>
          <w:p w:rsidR="00D02EBE" w:rsidRPr="00A05BB6" w:rsidP="001D55A7" w14:paraId="6E7F7076" w14:textId="4467DB52">
            <w:pPr>
              <w:rPr>
                <w:rFonts w:ascii="Calibri" w:hAnsi="Calibri"/>
                <w:sz w:val="22"/>
                <w:szCs w:val="22"/>
              </w:rPr>
            </w:pPr>
            <w:r w:rsidRPr="00A05BB6">
              <w:rPr>
                <w:rFonts w:ascii="Calibri" w:hAnsi="Calibri"/>
                <w:sz w:val="22"/>
                <w:szCs w:val="22"/>
              </w:rPr>
              <w:t>44.6</w:t>
            </w:r>
            <w:r w:rsidRPr="00A05BB6" w:rsidR="00507B8D">
              <w:rPr>
                <w:rFonts w:ascii="Calibri" w:hAnsi="Calibri"/>
                <w:sz w:val="22"/>
                <w:szCs w:val="22"/>
              </w:rPr>
              <w:t>011(a)-1</w:t>
            </w:r>
          </w:p>
        </w:tc>
        <w:tc>
          <w:tcPr>
            <w:tcW w:w="1714" w:type="dxa"/>
          </w:tcPr>
          <w:p w:rsidR="00D02EBE" w:rsidRPr="00A05BB6" w:rsidP="001D55A7" w14:paraId="2A0A4FF0" w14:textId="690202C9">
            <w:pPr>
              <w:rPr>
                <w:rFonts w:ascii="Calibri" w:hAnsi="Calibri"/>
                <w:sz w:val="22"/>
                <w:szCs w:val="22"/>
              </w:rPr>
            </w:pPr>
            <w:r w:rsidRPr="00A05BB6">
              <w:rPr>
                <w:rFonts w:ascii="Calibri" w:hAnsi="Calibri"/>
                <w:sz w:val="22"/>
                <w:szCs w:val="22"/>
              </w:rPr>
              <w:t>44.</w:t>
            </w:r>
            <w:r w:rsidRPr="00A05BB6" w:rsidR="00507B8D">
              <w:rPr>
                <w:rFonts w:ascii="Calibri" w:hAnsi="Calibri"/>
                <w:sz w:val="22"/>
                <w:szCs w:val="22"/>
              </w:rPr>
              <w:t xml:space="preserve">6091-1 </w:t>
            </w:r>
          </w:p>
        </w:tc>
        <w:tc>
          <w:tcPr>
            <w:tcW w:w="1732" w:type="dxa"/>
            <w:tcBorders>
              <w:right w:val="single" w:sz="4" w:space="0" w:color="auto"/>
            </w:tcBorders>
          </w:tcPr>
          <w:p w:rsidR="00D02EBE" w:rsidRPr="00A05BB6" w:rsidP="001D55A7" w14:paraId="68A96168" w14:textId="476E8B13">
            <w:pPr>
              <w:rPr>
                <w:rFonts w:ascii="Calibri" w:hAnsi="Calibri"/>
                <w:sz w:val="22"/>
                <w:szCs w:val="22"/>
              </w:rPr>
            </w:pPr>
            <w:r w:rsidRPr="00A05BB6">
              <w:rPr>
                <w:rFonts w:ascii="Calibri" w:hAnsi="Calibri"/>
                <w:sz w:val="22"/>
                <w:szCs w:val="22"/>
              </w:rPr>
              <w:t>44.6419-</w:t>
            </w:r>
            <w:r w:rsidRPr="00A05BB6" w:rsidR="00507B8D">
              <w:rPr>
                <w:rFonts w:ascii="Calibri" w:hAnsi="Calibri"/>
                <w:sz w:val="22"/>
                <w:szCs w:val="22"/>
              </w:rPr>
              <w:t>1</w:t>
            </w:r>
          </w:p>
        </w:tc>
        <w:tc>
          <w:tcPr>
            <w:tcW w:w="1714" w:type="dxa"/>
            <w:tcBorders>
              <w:top w:val="single" w:sz="4" w:space="0" w:color="auto"/>
              <w:left w:val="single" w:sz="4" w:space="0" w:color="auto"/>
              <w:bottom w:val="single" w:sz="4" w:space="0" w:color="auto"/>
              <w:right w:val="single" w:sz="4" w:space="0" w:color="auto"/>
            </w:tcBorders>
          </w:tcPr>
          <w:p w:rsidR="00D02EBE" w:rsidP="001D55A7" w14:paraId="450ACDF7" w14:textId="77777777">
            <w:pPr>
              <w:rPr>
                <w:rFonts w:ascii="Calibri" w:hAnsi="Calibri"/>
                <w:sz w:val="22"/>
                <w:szCs w:val="22"/>
              </w:rPr>
            </w:pPr>
          </w:p>
        </w:tc>
      </w:tr>
    </w:tbl>
    <w:p w:rsidR="007E2EEB" w:rsidRPr="003127E4" w14:paraId="1BED433D"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007E2EEB" w:rsidRPr="003127E4" w:rsidP="00AF1AEA" w14:paraId="78393DB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4700BAE4" w14:textId="77777777">
      <w:pPr>
        <w:rPr>
          <w:rFonts w:ascii="Calibri" w:hAnsi="Calibri"/>
          <w:b/>
          <w:sz w:val="22"/>
          <w:szCs w:val="22"/>
        </w:rPr>
      </w:pPr>
    </w:p>
    <w:p w:rsidR="00D46069" w:rsidP="00FE0D7C" w14:paraId="0701556A" w14:textId="7B09689C">
      <w:pPr>
        <w:ind w:left="720"/>
        <w:rPr>
          <w:rFonts w:ascii="Calibri" w:hAnsi="Calibri"/>
          <w:sz w:val="22"/>
          <w:szCs w:val="22"/>
        </w:rPr>
      </w:pPr>
      <w:r w:rsidRPr="00BF7562">
        <w:rPr>
          <w:rFonts w:ascii="Calibri" w:hAnsi="Calibri"/>
          <w:sz w:val="22"/>
          <w:szCs w:val="22"/>
        </w:rPr>
        <w:t>There are no start-up or maintenance costs for this collection. The collection does not require respondents to obtain specialized equipment or professional services.</w:t>
      </w:r>
    </w:p>
    <w:p w:rsidR="00BF7562" w:rsidRPr="003127E4" w:rsidP="00F26675" w14:paraId="7FF5A088" w14:textId="77777777">
      <w:pPr>
        <w:ind w:left="720"/>
        <w:rPr>
          <w:rFonts w:ascii="Calibri" w:hAnsi="Calibri"/>
          <w:sz w:val="22"/>
          <w:szCs w:val="22"/>
        </w:rPr>
      </w:pPr>
    </w:p>
    <w:p w:rsidR="007E2EEB" w:rsidRPr="003127E4" w14:paraId="593679D5"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00371C5F" w14:paraId="2208CF04" w14:textId="77777777">
      <w:pPr>
        <w:rPr>
          <w:rFonts w:ascii="Calibri" w:hAnsi="Calibri"/>
          <w:sz w:val="22"/>
          <w:szCs w:val="22"/>
        </w:rPr>
      </w:pPr>
    </w:p>
    <w:p w:rsidR="00371C5F" w:rsidRPr="00371C5F" w:rsidP="00FE0D7C" w14:paraId="46E85A54" w14:textId="77777777">
      <w:pPr>
        <w:ind w:left="720"/>
        <w:rPr>
          <w:rFonts w:ascii="Calibri" w:hAnsi="Calibri"/>
          <w:sz w:val="22"/>
          <w:szCs w:val="22"/>
        </w:rPr>
      </w:pPr>
      <w:r w:rsidRPr="00371C5F">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371C5F" w:rsidRPr="00371C5F" w:rsidP="00FE0D7C" w14:paraId="5ADE1EAF" w14:textId="77777777">
      <w:pPr>
        <w:ind w:left="720"/>
        <w:rPr>
          <w:rFonts w:ascii="Calibri" w:hAnsi="Calibri"/>
          <w:sz w:val="22"/>
          <w:szCs w:val="22"/>
        </w:rPr>
      </w:pPr>
    </w:p>
    <w:p w:rsidR="00371C5F" w:rsidRPr="00371C5F" w:rsidP="00FE0D7C" w14:paraId="164BF512" w14:textId="77777777">
      <w:pPr>
        <w:ind w:left="720"/>
        <w:rPr>
          <w:rFonts w:ascii="Calibri" w:hAnsi="Calibri"/>
          <w:sz w:val="22"/>
          <w:szCs w:val="22"/>
        </w:rPr>
      </w:pPr>
      <w:r w:rsidRPr="00371C5F">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371C5F" w:rsidRPr="00371C5F" w:rsidP="00FE0D7C" w14:paraId="7B0570AD" w14:textId="77777777">
      <w:pPr>
        <w:ind w:left="720"/>
        <w:rPr>
          <w:rFonts w:ascii="Calibri" w:hAnsi="Calibri"/>
          <w:sz w:val="22"/>
          <w:szCs w:val="22"/>
        </w:rPr>
      </w:pPr>
    </w:p>
    <w:p w:rsidR="00371C5F" w:rsidRPr="00371C5F" w:rsidP="00FE0D7C" w14:paraId="1AC0A572" w14:textId="77777777">
      <w:pPr>
        <w:ind w:left="720"/>
        <w:rPr>
          <w:rFonts w:ascii="Calibri" w:hAnsi="Calibri"/>
          <w:sz w:val="22"/>
          <w:szCs w:val="22"/>
        </w:rPr>
      </w:pPr>
      <w:r w:rsidRPr="00371C5F">
        <w:rPr>
          <w:rFonts w:ascii="Calibri" w:hAnsi="Calibri"/>
          <w:sz w:val="22"/>
          <w:szCs w:val="22"/>
        </w:rPr>
        <w:t>The government cost estimate for this collection is summarized in the table below.</w:t>
      </w:r>
    </w:p>
    <w:p w:rsidR="00371C5F" w:rsidRPr="003127E4" w14:paraId="12DCA134" w14:textId="77777777">
      <w:pPr>
        <w:rPr>
          <w:rFonts w:ascii="Calibri" w:hAnsi="Calibri"/>
          <w:sz w:val="22"/>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1973"/>
        <w:gridCol w:w="326"/>
        <w:gridCol w:w="1741"/>
        <w:gridCol w:w="386"/>
        <w:gridCol w:w="1810"/>
      </w:tblGrid>
      <w:tr w14:paraId="75A29A1A" w14:textId="77777777" w:rsidTr="00A335F3">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94" w:type="dxa"/>
            <w:shd w:val="clear" w:color="auto" w:fill="auto"/>
            <w:vAlign w:val="bottom"/>
          </w:tcPr>
          <w:p w:rsidR="00570A7F" w:rsidRPr="001A62B9" w:rsidP="0072600F" w14:paraId="6FC3DFAD" w14:textId="77777777">
            <w:pPr>
              <w:keepNext/>
              <w:keepLines/>
              <w:jc w:val="center"/>
              <w:rPr>
                <w:rFonts w:ascii="Arial Narrow" w:hAnsi="Arial Narrow" w:cstheme="minorHAnsi"/>
                <w:bCs/>
                <w:sz w:val="20"/>
                <w:szCs w:val="20"/>
                <w:u w:val="single"/>
              </w:rPr>
            </w:pPr>
            <w:r w:rsidRPr="001A62B9">
              <w:rPr>
                <w:rFonts w:ascii="Arial Narrow" w:hAnsi="Arial Narrow" w:cstheme="minorHAnsi"/>
                <w:bCs/>
                <w:sz w:val="20"/>
                <w:szCs w:val="20"/>
                <w:u w:val="single"/>
              </w:rPr>
              <w:t>Product</w:t>
            </w:r>
          </w:p>
        </w:tc>
        <w:tc>
          <w:tcPr>
            <w:tcW w:w="1973" w:type="dxa"/>
            <w:shd w:val="clear" w:color="auto" w:fill="auto"/>
            <w:vAlign w:val="bottom"/>
          </w:tcPr>
          <w:p w:rsidR="00570A7F" w:rsidRPr="001A62B9" w:rsidP="0072600F" w14:paraId="4868F37F" w14:textId="77777777">
            <w:pPr>
              <w:keepNext/>
              <w:keepLines/>
              <w:jc w:val="center"/>
              <w:rPr>
                <w:rFonts w:ascii="Arial Narrow" w:hAnsi="Arial Narrow" w:cstheme="minorHAnsi"/>
                <w:bCs/>
                <w:sz w:val="20"/>
                <w:szCs w:val="20"/>
                <w:u w:val="single"/>
              </w:rPr>
            </w:pPr>
            <w:r w:rsidRPr="001A62B9">
              <w:rPr>
                <w:rFonts w:ascii="Arial Narrow" w:hAnsi="Arial Narrow" w:cstheme="minorHAnsi"/>
                <w:bCs/>
                <w:sz w:val="20"/>
                <w:szCs w:val="20"/>
                <w:u w:val="single"/>
              </w:rPr>
              <w:t>Aggregate Cost per Product (factor applied)</w:t>
            </w:r>
          </w:p>
        </w:tc>
        <w:tc>
          <w:tcPr>
            <w:tcW w:w="326" w:type="dxa"/>
            <w:shd w:val="clear" w:color="auto" w:fill="auto"/>
          </w:tcPr>
          <w:p w:rsidR="00570A7F" w:rsidRPr="001A62B9" w:rsidP="0072600F" w14:paraId="7D522E84" w14:textId="77777777">
            <w:pPr>
              <w:keepNext/>
              <w:keepLines/>
              <w:jc w:val="center"/>
              <w:rPr>
                <w:rFonts w:ascii="Arial Narrow" w:hAnsi="Arial Narrow" w:cstheme="minorHAnsi"/>
                <w:bCs/>
                <w:sz w:val="20"/>
                <w:szCs w:val="20"/>
                <w:u w:val="single"/>
              </w:rPr>
            </w:pPr>
          </w:p>
        </w:tc>
        <w:tc>
          <w:tcPr>
            <w:tcW w:w="1741" w:type="dxa"/>
            <w:shd w:val="clear" w:color="auto" w:fill="auto"/>
            <w:vAlign w:val="bottom"/>
          </w:tcPr>
          <w:p w:rsidR="00570A7F" w:rsidRPr="001A62B9" w:rsidP="0072600F" w14:paraId="54CF86EC" w14:textId="77777777">
            <w:pPr>
              <w:keepNext/>
              <w:keepLines/>
              <w:jc w:val="center"/>
              <w:rPr>
                <w:rFonts w:ascii="Arial Narrow" w:hAnsi="Arial Narrow" w:cstheme="minorHAnsi"/>
                <w:bCs/>
                <w:sz w:val="20"/>
                <w:szCs w:val="20"/>
                <w:u w:val="single"/>
              </w:rPr>
            </w:pPr>
            <w:r w:rsidRPr="001A62B9">
              <w:rPr>
                <w:rFonts w:ascii="Arial Narrow" w:hAnsi="Arial Narrow" w:cstheme="minorHAnsi"/>
                <w:bCs/>
                <w:sz w:val="20"/>
                <w:szCs w:val="20"/>
                <w:u w:val="single"/>
              </w:rPr>
              <w:t>Printing and Distribution</w:t>
            </w:r>
          </w:p>
        </w:tc>
        <w:tc>
          <w:tcPr>
            <w:tcW w:w="386" w:type="dxa"/>
            <w:shd w:val="clear" w:color="auto" w:fill="auto"/>
          </w:tcPr>
          <w:p w:rsidR="00570A7F" w:rsidRPr="001A62B9" w:rsidP="0072600F" w14:paraId="3877E713" w14:textId="77777777">
            <w:pPr>
              <w:keepNext/>
              <w:keepLines/>
              <w:jc w:val="center"/>
              <w:rPr>
                <w:rFonts w:ascii="Arial Narrow" w:hAnsi="Arial Narrow" w:cstheme="minorHAnsi"/>
                <w:bCs/>
                <w:sz w:val="20"/>
                <w:szCs w:val="20"/>
                <w:u w:val="single"/>
              </w:rPr>
            </w:pPr>
          </w:p>
        </w:tc>
        <w:tc>
          <w:tcPr>
            <w:tcW w:w="1810" w:type="dxa"/>
            <w:shd w:val="clear" w:color="auto" w:fill="auto"/>
            <w:vAlign w:val="bottom"/>
          </w:tcPr>
          <w:p w:rsidR="00570A7F" w:rsidRPr="001A62B9" w:rsidP="0072600F" w14:paraId="6AE8877C" w14:textId="77777777">
            <w:pPr>
              <w:keepNext/>
              <w:keepLines/>
              <w:jc w:val="center"/>
              <w:rPr>
                <w:rFonts w:ascii="Arial Narrow" w:hAnsi="Arial Narrow" w:cstheme="minorHAnsi"/>
                <w:bCs/>
                <w:sz w:val="20"/>
                <w:szCs w:val="20"/>
                <w:u w:val="single"/>
              </w:rPr>
            </w:pPr>
            <w:r w:rsidRPr="001A62B9">
              <w:rPr>
                <w:rFonts w:ascii="Arial Narrow" w:hAnsi="Arial Narrow" w:cstheme="minorHAnsi"/>
                <w:bCs/>
                <w:sz w:val="20"/>
                <w:szCs w:val="20"/>
                <w:u w:val="single"/>
              </w:rPr>
              <w:t>Government Cost Estimate per Product</w:t>
            </w:r>
          </w:p>
        </w:tc>
      </w:tr>
      <w:tr w14:paraId="4ED18964" w14:textId="77777777" w:rsidTr="00A335F3">
        <w:tblPrEx>
          <w:tblW w:w="8730" w:type="dxa"/>
          <w:tblInd w:w="715" w:type="dxa"/>
          <w:tblLook w:val="04A0"/>
        </w:tblPrEx>
        <w:tc>
          <w:tcPr>
            <w:tcW w:w="2494" w:type="dxa"/>
            <w:shd w:val="clear" w:color="auto" w:fill="auto"/>
            <w:vAlign w:val="bottom"/>
          </w:tcPr>
          <w:p w:rsidR="00570A7F" w:rsidRPr="001A62B9" w:rsidP="0072600F" w14:paraId="79FED399" w14:textId="50188A1F">
            <w:pPr>
              <w:keepNext/>
              <w:keepLines/>
              <w:numPr>
                <w:ilvl w:val="12"/>
                <w:numId w:val="0"/>
              </w:numPr>
              <w:rPr>
                <w:rFonts w:ascii="Arial Narrow" w:hAnsi="Arial Narrow" w:cstheme="minorHAnsi"/>
                <w:sz w:val="20"/>
                <w:szCs w:val="20"/>
              </w:rPr>
            </w:pPr>
            <w:r w:rsidRPr="001A62B9">
              <w:rPr>
                <w:rFonts w:ascii="Arial Narrow" w:hAnsi="Arial Narrow" w:cstheme="minorHAnsi"/>
                <w:sz w:val="20"/>
                <w:szCs w:val="20"/>
              </w:rPr>
              <w:t>Form 730</w:t>
            </w:r>
            <w:r w:rsidRPr="001A62B9" w:rsidR="00DB62EE">
              <w:rPr>
                <w:rFonts w:ascii="Arial Narrow" w:hAnsi="Arial Narrow" w:cstheme="minorHAnsi"/>
                <w:sz w:val="20"/>
                <w:szCs w:val="20"/>
              </w:rPr>
              <w:t xml:space="preserve"> </w:t>
            </w:r>
          </w:p>
        </w:tc>
        <w:tc>
          <w:tcPr>
            <w:tcW w:w="1973" w:type="dxa"/>
            <w:shd w:val="clear" w:color="auto" w:fill="auto"/>
          </w:tcPr>
          <w:p w:rsidR="00570A7F" w:rsidRPr="001A62B9" w:rsidP="0072600F" w14:paraId="40089409" w14:textId="78DB04F3">
            <w:pPr>
              <w:keepNext/>
              <w:keepLines/>
              <w:jc w:val="center"/>
              <w:rPr>
                <w:rFonts w:ascii="Arial Narrow" w:hAnsi="Arial Narrow" w:cstheme="minorHAnsi"/>
                <w:sz w:val="20"/>
                <w:szCs w:val="20"/>
              </w:rPr>
            </w:pPr>
            <w:r w:rsidRPr="001A62B9">
              <w:rPr>
                <w:rFonts w:ascii="Arial Narrow" w:hAnsi="Arial Narrow" w:cstheme="minorHAnsi"/>
                <w:sz w:val="20"/>
                <w:szCs w:val="20"/>
              </w:rPr>
              <w:t>$22,499</w:t>
            </w:r>
          </w:p>
        </w:tc>
        <w:tc>
          <w:tcPr>
            <w:tcW w:w="326" w:type="dxa"/>
            <w:shd w:val="clear" w:color="auto" w:fill="auto"/>
          </w:tcPr>
          <w:p w:rsidR="00570A7F" w:rsidRPr="001A62B9" w:rsidP="0072600F" w14:paraId="2423F610" w14:textId="3D15B18F">
            <w:pPr>
              <w:keepNext/>
              <w:keepLines/>
              <w:jc w:val="center"/>
              <w:rPr>
                <w:rFonts w:ascii="Arial Narrow" w:hAnsi="Arial Narrow" w:cstheme="minorHAnsi"/>
                <w:sz w:val="20"/>
                <w:szCs w:val="20"/>
              </w:rPr>
            </w:pPr>
            <w:r w:rsidRPr="001A62B9">
              <w:rPr>
                <w:rFonts w:ascii="Arial Narrow" w:hAnsi="Arial Narrow" w:cstheme="minorHAnsi"/>
                <w:sz w:val="20"/>
                <w:szCs w:val="20"/>
              </w:rPr>
              <w:t>+</w:t>
            </w:r>
          </w:p>
        </w:tc>
        <w:tc>
          <w:tcPr>
            <w:tcW w:w="1741" w:type="dxa"/>
            <w:shd w:val="clear" w:color="auto" w:fill="auto"/>
          </w:tcPr>
          <w:p w:rsidR="00570A7F" w:rsidRPr="001A62B9" w:rsidP="0072600F" w14:paraId="12A380A8" w14:textId="17B825B8">
            <w:pPr>
              <w:keepNext/>
              <w:keepLines/>
              <w:jc w:val="center"/>
              <w:rPr>
                <w:rFonts w:ascii="Arial Narrow" w:hAnsi="Arial Narrow" w:cstheme="minorHAnsi"/>
                <w:sz w:val="20"/>
                <w:szCs w:val="20"/>
              </w:rPr>
            </w:pPr>
            <w:r w:rsidRPr="001A62B9">
              <w:rPr>
                <w:rFonts w:ascii="Arial Narrow" w:hAnsi="Arial Narrow" w:cstheme="minorHAnsi"/>
                <w:sz w:val="20"/>
                <w:szCs w:val="20"/>
              </w:rPr>
              <w:t>$0</w:t>
            </w:r>
          </w:p>
        </w:tc>
        <w:tc>
          <w:tcPr>
            <w:tcW w:w="386" w:type="dxa"/>
            <w:shd w:val="clear" w:color="auto" w:fill="auto"/>
          </w:tcPr>
          <w:p w:rsidR="00570A7F" w:rsidRPr="001A62B9" w:rsidP="0072600F" w14:paraId="258B7364" w14:textId="2288A501">
            <w:pPr>
              <w:keepNext/>
              <w:keepLines/>
              <w:jc w:val="center"/>
              <w:rPr>
                <w:rFonts w:ascii="Arial Narrow" w:hAnsi="Arial Narrow" w:cstheme="minorHAnsi"/>
                <w:sz w:val="20"/>
                <w:szCs w:val="20"/>
              </w:rPr>
            </w:pPr>
            <w:r w:rsidRPr="001A62B9">
              <w:rPr>
                <w:rFonts w:ascii="Arial Narrow" w:hAnsi="Arial Narrow" w:cstheme="minorHAnsi"/>
                <w:sz w:val="20"/>
                <w:szCs w:val="20"/>
              </w:rPr>
              <w:t>=</w:t>
            </w:r>
          </w:p>
        </w:tc>
        <w:tc>
          <w:tcPr>
            <w:tcW w:w="1810" w:type="dxa"/>
            <w:shd w:val="clear" w:color="auto" w:fill="auto"/>
          </w:tcPr>
          <w:p w:rsidR="00570A7F" w:rsidRPr="001A62B9" w:rsidP="0072600F" w14:paraId="71D68C4E" w14:textId="6F81D4B4">
            <w:pPr>
              <w:keepNext/>
              <w:keepLines/>
              <w:jc w:val="center"/>
              <w:rPr>
                <w:rFonts w:ascii="Arial Narrow" w:hAnsi="Arial Narrow" w:cstheme="minorHAnsi"/>
                <w:sz w:val="20"/>
                <w:szCs w:val="20"/>
              </w:rPr>
            </w:pPr>
            <w:r w:rsidRPr="001A62B9">
              <w:rPr>
                <w:rFonts w:ascii="Arial Narrow" w:hAnsi="Arial Narrow" w:cstheme="minorHAnsi"/>
                <w:sz w:val="20"/>
                <w:szCs w:val="20"/>
              </w:rPr>
              <w:t>$22,499</w:t>
            </w:r>
          </w:p>
        </w:tc>
      </w:tr>
      <w:tr w14:paraId="550B0EE9" w14:textId="77777777" w:rsidTr="00A335F3">
        <w:tblPrEx>
          <w:tblW w:w="8730" w:type="dxa"/>
          <w:tblInd w:w="715" w:type="dxa"/>
          <w:tblLook w:val="04A0"/>
        </w:tblPrEx>
        <w:tc>
          <w:tcPr>
            <w:tcW w:w="2494" w:type="dxa"/>
            <w:shd w:val="clear" w:color="auto" w:fill="auto"/>
          </w:tcPr>
          <w:p w:rsidR="00570A7F" w:rsidRPr="001A62B9" w:rsidP="0072600F" w14:paraId="1A7DDA64" w14:textId="77777777">
            <w:pPr>
              <w:keepNext/>
              <w:keepLines/>
              <w:rPr>
                <w:rFonts w:ascii="Arial Narrow" w:hAnsi="Arial Narrow" w:cstheme="minorHAnsi"/>
                <w:bCs/>
                <w:sz w:val="20"/>
                <w:szCs w:val="20"/>
              </w:rPr>
            </w:pPr>
            <w:r w:rsidRPr="001A62B9">
              <w:rPr>
                <w:rFonts w:ascii="Arial Narrow" w:hAnsi="Arial Narrow" w:cstheme="minorHAnsi"/>
                <w:bCs/>
                <w:sz w:val="20"/>
                <w:szCs w:val="20"/>
              </w:rPr>
              <w:t>Grand Total</w:t>
            </w:r>
          </w:p>
        </w:tc>
        <w:tc>
          <w:tcPr>
            <w:tcW w:w="1973" w:type="dxa"/>
            <w:shd w:val="clear" w:color="auto" w:fill="auto"/>
          </w:tcPr>
          <w:p w:rsidR="00570A7F" w:rsidRPr="001A62B9" w:rsidP="0072600F" w14:paraId="692FF7FB" w14:textId="48F7F3DA">
            <w:pPr>
              <w:keepNext/>
              <w:keepLines/>
              <w:jc w:val="center"/>
              <w:rPr>
                <w:rFonts w:ascii="Arial Narrow" w:hAnsi="Arial Narrow" w:cstheme="minorHAnsi"/>
                <w:bCs/>
                <w:sz w:val="20"/>
                <w:szCs w:val="20"/>
              </w:rPr>
            </w:pPr>
            <w:r w:rsidRPr="001A62B9">
              <w:rPr>
                <w:rFonts w:ascii="Arial Narrow" w:hAnsi="Arial Narrow" w:cstheme="minorHAnsi"/>
                <w:bCs/>
                <w:sz w:val="20"/>
                <w:szCs w:val="20"/>
              </w:rPr>
              <w:t>$22,499</w:t>
            </w:r>
          </w:p>
        </w:tc>
        <w:tc>
          <w:tcPr>
            <w:tcW w:w="326" w:type="dxa"/>
            <w:shd w:val="clear" w:color="auto" w:fill="auto"/>
          </w:tcPr>
          <w:p w:rsidR="00570A7F" w:rsidRPr="001A62B9" w:rsidP="0072600F" w14:paraId="7049473A" w14:textId="6590A326">
            <w:pPr>
              <w:keepNext/>
              <w:keepLines/>
              <w:jc w:val="center"/>
              <w:rPr>
                <w:rFonts w:ascii="Arial Narrow" w:hAnsi="Arial Narrow" w:cstheme="minorHAnsi"/>
                <w:bCs/>
                <w:sz w:val="20"/>
                <w:szCs w:val="20"/>
              </w:rPr>
            </w:pPr>
            <w:r w:rsidRPr="001A62B9">
              <w:rPr>
                <w:rFonts w:ascii="Arial Narrow" w:hAnsi="Arial Narrow" w:cstheme="minorHAnsi"/>
                <w:bCs/>
                <w:sz w:val="20"/>
                <w:szCs w:val="20"/>
              </w:rPr>
              <w:t>+</w:t>
            </w:r>
          </w:p>
        </w:tc>
        <w:tc>
          <w:tcPr>
            <w:tcW w:w="1741" w:type="dxa"/>
            <w:shd w:val="clear" w:color="auto" w:fill="auto"/>
          </w:tcPr>
          <w:p w:rsidR="00570A7F" w:rsidRPr="001A62B9" w:rsidP="0072600F" w14:paraId="463E5D41" w14:textId="2CCFA898">
            <w:pPr>
              <w:keepNext/>
              <w:keepLines/>
              <w:jc w:val="center"/>
              <w:rPr>
                <w:rFonts w:ascii="Arial Narrow" w:hAnsi="Arial Narrow" w:cstheme="minorHAnsi"/>
                <w:bCs/>
                <w:sz w:val="20"/>
                <w:szCs w:val="20"/>
              </w:rPr>
            </w:pPr>
            <w:r w:rsidRPr="001A62B9">
              <w:rPr>
                <w:rFonts w:ascii="Arial Narrow" w:hAnsi="Arial Narrow" w:cstheme="minorHAnsi"/>
                <w:bCs/>
                <w:sz w:val="20"/>
                <w:szCs w:val="20"/>
              </w:rPr>
              <w:t>$0</w:t>
            </w:r>
          </w:p>
        </w:tc>
        <w:tc>
          <w:tcPr>
            <w:tcW w:w="386" w:type="dxa"/>
            <w:shd w:val="clear" w:color="auto" w:fill="auto"/>
          </w:tcPr>
          <w:p w:rsidR="00570A7F" w:rsidRPr="001A62B9" w:rsidP="0072600F" w14:paraId="618C50B7" w14:textId="360A25AA">
            <w:pPr>
              <w:keepNext/>
              <w:keepLines/>
              <w:jc w:val="center"/>
              <w:rPr>
                <w:rFonts w:ascii="Arial Narrow" w:hAnsi="Arial Narrow" w:cstheme="minorHAnsi"/>
                <w:bCs/>
                <w:sz w:val="20"/>
                <w:szCs w:val="20"/>
              </w:rPr>
            </w:pPr>
            <w:r w:rsidRPr="001A62B9">
              <w:rPr>
                <w:rFonts w:ascii="Arial Narrow" w:hAnsi="Arial Narrow" w:cstheme="minorHAnsi"/>
                <w:bCs/>
                <w:sz w:val="20"/>
                <w:szCs w:val="20"/>
              </w:rPr>
              <w:t>=</w:t>
            </w:r>
          </w:p>
        </w:tc>
        <w:tc>
          <w:tcPr>
            <w:tcW w:w="1810" w:type="dxa"/>
            <w:shd w:val="clear" w:color="auto" w:fill="auto"/>
          </w:tcPr>
          <w:p w:rsidR="00570A7F" w:rsidRPr="001A62B9" w:rsidP="0072600F" w14:paraId="5F016EF8" w14:textId="097DE4AC">
            <w:pPr>
              <w:keepNext/>
              <w:keepLines/>
              <w:jc w:val="center"/>
              <w:rPr>
                <w:rFonts w:ascii="Arial Narrow" w:hAnsi="Arial Narrow" w:cstheme="minorHAnsi"/>
                <w:bCs/>
                <w:sz w:val="20"/>
                <w:szCs w:val="20"/>
              </w:rPr>
            </w:pPr>
            <w:r w:rsidRPr="001A62B9">
              <w:rPr>
                <w:rFonts w:ascii="Arial Narrow" w:hAnsi="Arial Narrow" w:cstheme="minorHAnsi"/>
                <w:bCs/>
                <w:sz w:val="20"/>
                <w:szCs w:val="20"/>
              </w:rPr>
              <w:t>$22,499</w:t>
            </w:r>
          </w:p>
        </w:tc>
      </w:tr>
      <w:tr w14:paraId="774D0DE9" w14:textId="77777777" w:rsidTr="00A335F3">
        <w:tblPrEx>
          <w:tblW w:w="8730" w:type="dxa"/>
          <w:tblInd w:w="715" w:type="dxa"/>
          <w:tblLook w:val="04A0"/>
        </w:tblPrEx>
        <w:tc>
          <w:tcPr>
            <w:tcW w:w="8730" w:type="dxa"/>
            <w:gridSpan w:val="6"/>
            <w:shd w:val="clear" w:color="auto" w:fill="auto"/>
          </w:tcPr>
          <w:p w:rsidR="00570A7F" w:rsidRPr="001A62B9" w:rsidP="0072600F" w14:paraId="2447F349" w14:textId="77E93F96">
            <w:pPr>
              <w:keepNext/>
              <w:keepLines/>
              <w:rPr>
                <w:rFonts w:ascii="Arial Narrow" w:hAnsi="Arial Narrow" w:cstheme="minorHAnsi"/>
                <w:sz w:val="20"/>
                <w:szCs w:val="20"/>
              </w:rPr>
            </w:pPr>
            <w:r w:rsidRPr="001A62B9">
              <w:rPr>
                <w:rFonts w:ascii="Arial Narrow" w:hAnsi="Arial Narrow" w:cstheme="minorHAnsi"/>
                <w:sz w:val="20"/>
                <w:szCs w:val="20"/>
              </w:rPr>
              <w:t>Table costs are based on 20</w:t>
            </w:r>
            <w:r w:rsidRPr="001A62B9" w:rsidR="00D02EBE">
              <w:rPr>
                <w:rFonts w:ascii="Arial Narrow" w:hAnsi="Arial Narrow" w:cstheme="minorHAnsi"/>
                <w:sz w:val="20"/>
                <w:szCs w:val="20"/>
              </w:rPr>
              <w:t>2</w:t>
            </w:r>
            <w:r w:rsidRPr="001A62B9" w:rsidR="00E54675">
              <w:rPr>
                <w:rFonts w:ascii="Arial Narrow" w:hAnsi="Arial Narrow" w:cstheme="minorHAnsi"/>
                <w:sz w:val="20"/>
                <w:szCs w:val="20"/>
              </w:rPr>
              <w:t>3</w:t>
            </w:r>
            <w:r w:rsidRPr="001A62B9">
              <w:rPr>
                <w:rFonts w:ascii="Arial Narrow" w:hAnsi="Arial Narrow" w:cstheme="minorHAnsi"/>
                <w:sz w:val="20"/>
                <w:szCs w:val="20"/>
              </w:rPr>
              <w:t xml:space="preserve"> actuals obtained from IRS Chief Financial Office and Media and Publications</w:t>
            </w:r>
          </w:p>
        </w:tc>
      </w:tr>
    </w:tbl>
    <w:p w:rsidR="007E2EEB" w:rsidRPr="003127E4" w14:paraId="30E17179" w14:textId="77777777">
      <w:pPr>
        <w:rPr>
          <w:rFonts w:ascii="Calibri" w:hAnsi="Calibri"/>
          <w:sz w:val="22"/>
          <w:szCs w:val="22"/>
        </w:rPr>
      </w:pPr>
    </w:p>
    <w:p w:rsidR="007E2EEB" w:rsidRPr="003127E4" w14:paraId="53CB0AF8"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FOR CHANGE IN BURDEN</w:t>
      </w:r>
    </w:p>
    <w:p w:rsidR="007E2EEB" w:rsidRPr="003127E4" w14:paraId="2F70A808" w14:textId="77777777">
      <w:pPr>
        <w:rPr>
          <w:rFonts w:ascii="Calibri" w:hAnsi="Calibri"/>
          <w:sz w:val="22"/>
          <w:szCs w:val="22"/>
        </w:rPr>
      </w:pPr>
    </w:p>
    <w:p w:rsidR="00B4275E" w:rsidP="006D1FB6" w14:paraId="108A6956" w14:textId="15704624">
      <w:pPr>
        <w:ind w:left="720"/>
        <w:rPr>
          <w:rFonts w:ascii="Calibri" w:hAnsi="Calibri"/>
          <w:sz w:val="22"/>
          <w:szCs w:val="22"/>
        </w:rPr>
      </w:pPr>
      <w:r w:rsidRPr="00B4275E">
        <w:rPr>
          <w:rFonts w:ascii="Calibri" w:hAnsi="Calibri"/>
          <w:sz w:val="22"/>
          <w:szCs w:val="22"/>
        </w:rPr>
        <w:t xml:space="preserve">There is no change in the paperwork burden previously approved by OMB. However, the number of responses was updated based on current filing data. This reduces the number of responses by </w:t>
      </w:r>
      <w:r>
        <w:rPr>
          <w:rFonts w:ascii="Calibri" w:hAnsi="Calibri"/>
          <w:sz w:val="22"/>
          <w:szCs w:val="22"/>
        </w:rPr>
        <w:t>33,276</w:t>
      </w:r>
      <w:r w:rsidRPr="00B4275E">
        <w:rPr>
          <w:rFonts w:ascii="Calibri" w:hAnsi="Calibri"/>
          <w:sz w:val="22"/>
          <w:szCs w:val="22"/>
        </w:rPr>
        <w:t xml:space="preserve"> and the burden hours by </w:t>
      </w:r>
      <w:r>
        <w:rPr>
          <w:rFonts w:ascii="Calibri" w:hAnsi="Calibri"/>
          <w:sz w:val="22"/>
          <w:szCs w:val="22"/>
        </w:rPr>
        <w:t>272,530</w:t>
      </w:r>
      <w:r w:rsidRPr="00B4275E">
        <w:rPr>
          <w:rFonts w:ascii="Calibri" w:hAnsi="Calibri"/>
          <w:sz w:val="22"/>
          <w:szCs w:val="22"/>
        </w:rPr>
        <w:t xml:space="preserve"> annually due to Agency Estimate.</w:t>
      </w:r>
    </w:p>
    <w:p w:rsidR="00B4275E" w:rsidP="006D1FB6" w14:paraId="12E2CB4F" w14:textId="77777777">
      <w:pPr>
        <w:ind w:left="720"/>
        <w:rPr>
          <w:rFonts w:ascii="Calibri" w:hAnsi="Calibr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949798D" w14:textId="77777777" w:rsidTr="00301C09">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428DF602"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5B237488"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7A3A5C05"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2BE92B1F"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2B280F1E"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B4275E" w:rsidRPr="00B4275E" w:rsidP="00B4275E" w14:paraId="3AD8B6FC"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B4275E" w:rsidRPr="00B4275E" w:rsidP="00B4275E" w14:paraId="26F0A728" w14:textId="77777777">
            <w:pPr>
              <w:keepNext/>
              <w:keepLines/>
              <w:autoSpaceDE/>
              <w:autoSpaceDN/>
              <w:adjustRightInd/>
              <w:jc w:val="center"/>
              <w:rPr>
                <w:rFonts w:ascii="Arial Narrow" w:hAnsi="Arial Narrow" w:cs="Arial"/>
                <w:b/>
                <w:bCs/>
                <w:color w:val="000000"/>
                <w:sz w:val="20"/>
                <w:szCs w:val="20"/>
              </w:rPr>
            </w:pPr>
            <w:r w:rsidRPr="00B4275E">
              <w:rPr>
                <w:rFonts w:ascii="Arial Narrow" w:hAnsi="Arial Narrow" w:cs="Arial"/>
                <w:b/>
                <w:bCs/>
                <w:color w:val="000000"/>
                <w:sz w:val="20"/>
                <w:szCs w:val="20"/>
              </w:rPr>
              <w:t>Previously Approved</w:t>
            </w:r>
          </w:p>
        </w:tc>
      </w:tr>
      <w:tr w14:paraId="6CB0B3CF" w14:textId="77777777" w:rsidTr="00301C0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12C91621" w14:textId="77777777">
            <w:pPr>
              <w:keepNext/>
              <w:keepLines/>
              <w:autoSpaceDE/>
              <w:autoSpaceDN/>
              <w:adjustRightInd/>
              <w:rPr>
                <w:rFonts w:ascii="Arial Narrow" w:hAnsi="Arial Narrow" w:cs="Arial"/>
                <w:color w:val="000000"/>
                <w:sz w:val="20"/>
                <w:szCs w:val="20"/>
              </w:rPr>
            </w:pPr>
            <w:r w:rsidRPr="00B4275E">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4762A5DD" w14:textId="6A84C19C">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17,</w:t>
            </w:r>
            <w:r w:rsidR="00B67735">
              <w:rPr>
                <w:rFonts w:ascii="Arial Narrow" w:hAnsi="Arial Narrow" w:cs="Arial"/>
                <w:color w:val="000000"/>
                <w:sz w:val="20"/>
                <w:szCs w:val="20"/>
              </w:rPr>
              <w:t>796</w:t>
            </w:r>
          </w:p>
        </w:tc>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2E81D9C4"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468BFCCF"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036E6B6B" w14:textId="4014D28B">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w:t>
            </w:r>
            <w:r w:rsidRPr="00B4275E">
              <w:rPr>
                <w:rFonts w:ascii="Arial Narrow" w:hAnsi="Arial Narrow" w:cs="Arial"/>
                <w:color w:val="000000"/>
                <w:sz w:val="20"/>
                <w:szCs w:val="20"/>
              </w:rPr>
              <w:t>33,</w:t>
            </w:r>
            <w:r>
              <w:rPr>
                <w:rFonts w:ascii="Arial Narrow" w:hAnsi="Arial Narrow" w:cs="Arial"/>
                <w:color w:val="000000"/>
                <w:sz w:val="20"/>
                <w:szCs w:val="20"/>
              </w:rPr>
              <w:t>2</w:t>
            </w:r>
            <w:r w:rsidR="00B67735">
              <w:rPr>
                <w:rFonts w:ascii="Arial Narrow" w:hAnsi="Arial Narrow" w:cs="Arial"/>
                <w:color w:val="000000"/>
                <w:sz w:val="20"/>
                <w:szCs w:val="20"/>
              </w:rPr>
              <w:t>88</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3E1B8FA9"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B4275E" w:rsidRPr="00B4275E" w:rsidP="00B4275E" w14:paraId="42630B2E" w14:textId="043E1C2C">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51,084</w:t>
            </w:r>
          </w:p>
        </w:tc>
      </w:tr>
      <w:tr w14:paraId="02F94063" w14:textId="77777777" w:rsidTr="00301C0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51EEECB5" w14:textId="77777777">
            <w:pPr>
              <w:keepNext/>
              <w:keepLines/>
              <w:autoSpaceDE/>
              <w:autoSpaceDN/>
              <w:adjustRightInd/>
              <w:rPr>
                <w:rFonts w:ascii="Arial Narrow" w:hAnsi="Arial Narrow" w:cs="Arial"/>
                <w:color w:val="000000"/>
                <w:sz w:val="20"/>
                <w:szCs w:val="20"/>
              </w:rPr>
            </w:pPr>
            <w:r w:rsidRPr="00B4275E">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55FBB3CB" w14:textId="231D979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145,</w:t>
            </w:r>
            <w:r w:rsidR="00B67735">
              <w:rPr>
                <w:rFonts w:ascii="Arial Narrow" w:hAnsi="Arial Narrow" w:cs="Arial"/>
                <w:color w:val="000000"/>
                <w:sz w:val="20"/>
                <w:szCs w:val="20"/>
              </w:rPr>
              <w:t>749</w:t>
            </w:r>
          </w:p>
        </w:tc>
        <w:tc>
          <w:tcPr>
            <w:tcW w:w="1170" w:type="dxa"/>
            <w:tcBorders>
              <w:top w:val="outset" w:sz="6" w:space="0" w:color="auto"/>
              <w:left w:val="outset" w:sz="6" w:space="0" w:color="auto"/>
              <w:bottom w:val="outset" w:sz="6" w:space="0" w:color="auto"/>
              <w:right w:val="outset" w:sz="6" w:space="0" w:color="auto"/>
            </w:tcBorders>
            <w:hideMark/>
          </w:tcPr>
          <w:p w:rsidR="00B4275E" w:rsidRPr="00B4275E" w:rsidP="00B4275E" w14:paraId="342D5CFF"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4B556BD7"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271702B4" w14:textId="341986F4">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-272,</w:t>
            </w:r>
            <w:r w:rsidR="00B67735">
              <w:rPr>
                <w:rFonts w:ascii="Arial Narrow" w:hAnsi="Arial Narrow" w:cs="Arial"/>
                <w:color w:val="000000"/>
                <w:sz w:val="20"/>
                <w:szCs w:val="20"/>
              </w:rPr>
              <w:t>629</w:t>
            </w:r>
          </w:p>
        </w:tc>
        <w:tc>
          <w:tcPr>
            <w:tcW w:w="1350" w:type="dxa"/>
            <w:tcBorders>
              <w:top w:val="outset" w:sz="6" w:space="0" w:color="auto"/>
              <w:left w:val="outset" w:sz="6" w:space="0" w:color="auto"/>
              <w:bottom w:val="outset" w:sz="6" w:space="0" w:color="auto"/>
              <w:right w:val="outset" w:sz="6" w:space="0" w:color="auto"/>
            </w:tcBorders>
            <w:hideMark/>
          </w:tcPr>
          <w:p w:rsidR="00B4275E" w:rsidRPr="00B4275E" w:rsidP="00B4275E" w14:paraId="38CF86F0" w14:textId="77777777">
            <w:pPr>
              <w:keepNext/>
              <w:keepLines/>
              <w:autoSpaceDE/>
              <w:autoSpaceDN/>
              <w:adjustRightInd/>
              <w:jc w:val="center"/>
              <w:rPr>
                <w:rFonts w:ascii="Arial Narrow" w:hAnsi="Arial Narrow" w:cs="Arial"/>
                <w:color w:val="000000"/>
                <w:sz w:val="20"/>
                <w:szCs w:val="20"/>
              </w:rPr>
            </w:pPr>
            <w:r w:rsidRPr="00B4275E">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B4275E" w:rsidRPr="00B4275E" w:rsidP="00B4275E" w14:paraId="0C786CF9" w14:textId="0E2756DF">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418,378</w:t>
            </w:r>
          </w:p>
        </w:tc>
      </w:tr>
      <w:bookmarkEnd w:id="1"/>
    </w:tbl>
    <w:p w:rsidR="006D1FB6" w:rsidP="00025B5A" w14:paraId="759B635D" w14:textId="4D54D0B8">
      <w:pPr>
        <w:rPr>
          <w:rFonts w:ascii="Calibri" w:hAnsi="Calibri"/>
          <w:sz w:val="22"/>
          <w:szCs w:val="22"/>
        </w:rPr>
      </w:pPr>
    </w:p>
    <w:p w:rsidR="007E2EEB" w:rsidRPr="003127E4" w:rsidP="006D1FB6" w14:paraId="47CCDD77" w14:textId="27A1648E">
      <w:pPr>
        <w:rPr>
          <w:rFonts w:ascii="Calibri" w:hAnsi="Calibri"/>
          <w:sz w:val="22"/>
          <w:szCs w:val="22"/>
        </w:rPr>
      </w:pPr>
      <w:r w:rsidRPr="003127E4">
        <w:rPr>
          <w:rFonts w:ascii="Calibri" w:hAnsi="Calibri"/>
          <w:sz w:val="22"/>
          <w:szCs w:val="22"/>
        </w:rPr>
        <w:t xml:space="preserve">     </w:t>
      </w:r>
    </w:p>
    <w:p w:rsidR="007E2EEB" w:rsidRPr="003127E4" w14:paraId="1958F6F3"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PLANS FOR TABULATION, STATISTICAL ANALYSIS AND PUBLICATION</w:t>
      </w:r>
    </w:p>
    <w:p w:rsidR="007E2EEB" w:rsidRPr="003127E4" w14:paraId="05067E28" w14:textId="77777777">
      <w:pPr>
        <w:rPr>
          <w:rFonts w:ascii="Calibri" w:hAnsi="Calibri"/>
          <w:sz w:val="22"/>
          <w:szCs w:val="22"/>
        </w:rPr>
      </w:pPr>
    </w:p>
    <w:p w:rsidR="00D46069" w:rsidRPr="002A31A5" w:rsidP="00D46069" w14:paraId="652268A5" w14:textId="77777777">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00D46069" w:rsidRPr="002A31A5" w:rsidP="00D46069" w14:paraId="741570E8" w14:textId="77777777">
      <w:pPr>
        <w:rPr>
          <w:rFonts w:ascii="Calibri" w:hAnsi="Calibri" w:cs="Calibri"/>
          <w:sz w:val="22"/>
          <w:szCs w:val="22"/>
        </w:rPr>
      </w:pPr>
    </w:p>
    <w:p w:rsidR="007E2EEB" w:rsidRPr="003127E4" w14:paraId="759974DB"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w:t>
      </w:r>
      <w:r w:rsidRPr="003127E4" w:rsidR="00715FFF">
        <w:rPr>
          <w:rFonts w:ascii="Calibri" w:hAnsi="Calibri"/>
          <w:b/>
          <w:sz w:val="22"/>
          <w:szCs w:val="22"/>
          <w:u w:val="single"/>
        </w:rPr>
        <w:t xml:space="preserve"> </w:t>
      </w:r>
      <w:r w:rsidRPr="003127E4">
        <w:rPr>
          <w:rFonts w:ascii="Calibri" w:hAnsi="Calibri"/>
          <w:b/>
          <w:sz w:val="22"/>
          <w:szCs w:val="22"/>
          <w:u w:val="single"/>
        </w:rPr>
        <w:t>INAPPROPRIATE</w:t>
      </w:r>
    </w:p>
    <w:p w:rsidR="007E2EEB" w:rsidRPr="003127E4" w14:paraId="1B24EA13" w14:textId="77777777">
      <w:pPr>
        <w:rPr>
          <w:rFonts w:ascii="Calibri" w:hAnsi="Calibri"/>
          <w:sz w:val="22"/>
          <w:szCs w:val="22"/>
        </w:rPr>
      </w:pPr>
    </w:p>
    <w:p w:rsidR="00F435C4" w:rsidRPr="00F435C4" w:rsidP="00F435C4" w14:paraId="4E45E897" w14:textId="49D7FF15">
      <w:pPr>
        <w:ind w:left="720"/>
        <w:rPr>
          <w:rFonts w:ascii="Calibri" w:hAnsi="Calibri"/>
          <w:sz w:val="22"/>
          <w:szCs w:val="22"/>
        </w:rPr>
      </w:pPr>
      <w:r>
        <w:rPr>
          <w:rFonts w:ascii="Calibri" w:hAnsi="Calibri"/>
          <w:sz w:val="22"/>
          <w:szCs w:val="22"/>
        </w:rPr>
        <w:t xml:space="preserve">The IRS </w:t>
      </w:r>
      <w:r w:rsidRPr="00F435C4">
        <w:rPr>
          <w:rFonts w:ascii="Calibri" w:hAnsi="Calibri"/>
          <w:sz w:val="22"/>
          <w:szCs w:val="22"/>
        </w:rPr>
        <w:t>believe</w:t>
      </w:r>
      <w:r>
        <w:rPr>
          <w:rFonts w:ascii="Calibri" w:hAnsi="Calibri"/>
          <w:sz w:val="22"/>
          <w:szCs w:val="22"/>
        </w:rPr>
        <w:t>s</w:t>
      </w:r>
      <w:r w:rsidRPr="00F435C4">
        <w:rPr>
          <w:rFonts w:ascii="Calibri" w:hAnsi="Calibri"/>
          <w:sz w:val="22"/>
          <w:szCs w:val="22"/>
        </w:rPr>
        <w:t xml:space="preserve"> that displaying the OMB expiration date is inappropriate because it could cause confusion by leading taxpayers to believe that the form </w:t>
      </w:r>
      <w:r>
        <w:rPr>
          <w:rFonts w:ascii="Calibri" w:hAnsi="Calibri"/>
          <w:sz w:val="22"/>
          <w:szCs w:val="22"/>
        </w:rPr>
        <w:t xml:space="preserve">expires as of the expiration date.  </w:t>
      </w:r>
      <w:r w:rsidRPr="00F435C4">
        <w:rPr>
          <w:rFonts w:ascii="Calibri" w:hAnsi="Calibri"/>
          <w:sz w:val="22"/>
          <w:szCs w:val="22"/>
        </w:rPr>
        <w:t xml:space="preserve">Taxpayers are not likely to be aware that the </w:t>
      </w:r>
      <w:r w:rsidR="00E54675">
        <w:rPr>
          <w:rFonts w:ascii="Calibri" w:hAnsi="Calibri"/>
          <w:sz w:val="22"/>
          <w:szCs w:val="22"/>
        </w:rPr>
        <w:t>IRS</w:t>
      </w:r>
      <w:r w:rsidRPr="00F435C4" w:rsidR="00E54675">
        <w:rPr>
          <w:rFonts w:ascii="Calibri" w:hAnsi="Calibri"/>
          <w:sz w:val="22"/>
          <w:szCs w:val="22"/>
        </w:rPr>
        <w:t xml:space="preserve"> </w:t>
      </w:r>
      <w:r w:rsidRPr="00F435C4">
        <w:rPr>
          <w:rFonts w:ascii="Calibri" w:hAnsi="Calibri"/>
          <w:sz w:val="22"/>
          <w:szCs w:val="22"/>
        </w:rPr>
        <w:t>intends to request renewal of the OMB approval and obtain a new expiration date before the old one expires.</w:t>
      </w:r>
    </w:p>
    <w:p w:rsidR="007E2EEB" w:rsidP="009D6FB2" w14:paraId="3B8D1A2E" w14:textId="77777777">
      <w:pPr>
        <w:rPr>
          <w:rFonts w:ascii="Calibri" w:hAnsi="Calibri"/>
          <w:sz w:val="22"/>
          <w:szCs w:val="22"/>
        </w:rPr>
      </w:pPr>
      <w:r w:rsidRPr="009D6FB2">
        <w:rPr>
          <w:rFonts w:ascii="Calibri" w:hAnsi="Calibri"/>
          <w:sz w:val="22"/>
          <w:szCs w:val="22"/>
        </w:rPr>
        <w:t xml:space="preserve">   </w:t>
      </w:r>
    </w:p>
    <w:p w:rsidR="007E2EEB" w:rsidRPr="003127E4" w14:paraId="2F3238A5"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007E2EEB" w:rsidRPr="003127E4" w14:paraId="34B3D4EE" w14:textId="77777777">
      <w:pPr>
        <w:rPr>
          <w:rFonts w:ascii="Calibri" w:hAnsi="Calibri"/>
          <w:b/>
          <w:sz w:val="22"/>
          <w:szCs w:val="22"/>
        </w:rPr>
      </w:pPr>
    </w:p>
    <w:p w:rsidR="007E2EEB" w:rsidRPr="003127E4" w14:paraId="71FC70C5" w14:textId="77777777">
      <w:pPr>
        <w:ind w:left="720"/>
        <w:rPr>
          <w:rFonts w:ascii="Calibri" w:hAnsi="Calibri"/>
          <w:sz w:val="22"/>
          <w:szCs w:val="22"/>
        </w:rPr>
      </w:pPr>
      <w:r w:rsidRPr="00801A34">
        <w:rPr>
          <w:rFonts w:ascii="Calibri" w:hAnsi="Calibri"/>
          <w:sz w:val="22"/>
          <w:szCs w:val="22"/>
        </w:rPr>
        <w:t>There are no exceptions to the certification statement.</w:t>
      </w:r>
    </w:p>
    <w:p w:rsidR="005C66C6" w:rsidRPr="003127E4" w14:paraId="35D188AA" w14:textId="77777777">
      <w:pPr>
        <w:rPr>
          <w:rFonts w:ascii="Calibri" w:hAnsi="Calibri"/>
          <w:sz w:val="22"/>
          <w:szCs w:val="22"/>
        </w:rPr>
      </w:pPr>
    </w:p>
    <w:p w:rsidR="007E2EEB" w:rsidRPr="003127E4" w:rsidP="00F435C4" w14:paraId="4274AD83"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007E2EEB" w:rsidRPr="003127E4" w:rsidP="00F435C4" w14:paraId="11314692" w14:textId="77777777">
      <w:pPr>
        <w:ind w:left="720"/>
        <w:rPr>
          <w:rFonts w:ascii="Calibri" w:hAnsi="Calibri"/>
          <w:sz w:val="22"/>
          <w:szCs w:val="22"/>
        </w:rPr>
      </w:pPr>
    </w:p>
    <w:p w:rsidR="007E2EEB" w:rsidRPr="003127E4" w:rsidP="00F435C4" w14:paraId="2A6D098F" w14:textId="77777777">
      <w:pPr>
        <w:ind w:left="720"/>
        <w:rPr>
          <w:rFonts w:ascii="Calibri" w:hAnsi="Calibri"/>
          <w:sz w:val="22"/>
          <w:szCs w:val="22"/>
        </w:rPr>
        <w:sectPr w:rsidSect="006D1FB6">
          <w:headerReference w:type="default" r:id="rId5"/>
          <w:footerReference w:type="default" r:id="rId6"/>
          <w:type w:val="continuous"/>
          <w:pgSz w:w="12240" w:h="15840"/>
          <w:pgMar w:top="1440" w:right="1440" w:bottom="1440" w:left="1440" w:header="1440" w:footer="1440" w:gutter="0"/>
          <w:cols w:space="720"/>
          <w:noEndnote/>
          <w:docGrid w:linePitch="326"/>
        </w:sectPr>
      </w:pPr>
    </w:p>
    <w:p w:rsidR="007E2EEB" w:rsidRPr="003127E4" w:rsidP="006D1FB6" w14:paraId="34148778" w14:textId="77777777">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6D1FB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8477593"/>
      <w:docPartObj>
        <w:docPartGallery w:val="Page Numbers (Bottom of Page)"/>
        <w:docPartUnique/>
      </w:docPartObj>
    </w:sdtPr>
    <w:sdtEndPr>
      <w:rPr>
        <w:noProof/>
      </w:rPr>
    </w:sdtEndPr>
    <w:sdtContent>
      <w:p w:rsidR="0027250B" w14:paraId="3FD4D1DE" w14:textId="7BCB4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250B" w14:paraId="270FBC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1B2F3D0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8154159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8519228">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33215339">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679187735">
    <w:abstractNumId w:val="3"/>
  </w:num>
  <w:num w:numId="5" w16cid:durableId="1063410382">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992373521">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1333195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5B5A"/>
    <w:rsid w:val="00026C64"/>
    <w:rsid w:val="00044F37"/>
    <w:rsid w:val="0006588D"/>
    <w:rsid w:val="00095AD8"/>
    <w:rsid w:val="000A7FC1"/>
    <w:rsid w:val="000B0A97"/>
    <w:rsid w:val="000C3396"/>
    <w:rsid w:val="001222FC"/>
    <w:rsid w:val="001337C1"/>
    <w:rsid w:val="00152BE2"/>
    <w:rsid w:val="00157A7E"/>
    <w:rsid w:val="00161268"/>
    <w:rsid w:val="001642E1"/>
    <w:rsid w:val="00166349"/>
    <w:rsid w:val="001A62B9"/>
    <w:rsid w:val="001A6F7B"/>
    <w:rsid w:val="001B24BC"/>
    <w:rsid w:val="001C3980"/>
    <w:rsid w:val="001C3D05"/>
    <w:rsid w:val="001D55A7"/>
    <w:rsid w:val="001D621C"/>
    <w:rsid w:val="0021075C"/>
    <w:rsid w:val="0023566C"/>
    <w:rsid w:val="00246391"/>
    <w:rsid w:val="00251ED2"/>
    <w:rsid w:val="00267888"/>
    <w:rsid w:val="0027250B"/>
    <w:rsid w:val="00282B0F"/>
    <w:rsid w:val="00293354"/>
    <w:rsid w:val="002A31A5"/>
    <w:rsid w:val="002C109A"/>
    <w:rsid w:val="002C7EDE"/>
    <w:rsid w:val="002E0A50"/>
    <w:rsid w:val="002E1554"/>
    <w:rsid w:val="002F0411"/>
    <w:rsid w:val="002F1933"/>
    <w:rsid w:val="00301C09"/>
    <w:rsid w:val="00305112"/>
    <w:rsid w:val="00305478"/>
    <w:rsid w:val="003127E4"/>
    <w:rsid w:val="00371C5F"/>
    <w:rsid w:val="00381820"/>
    <w:rsid w:val="003F2EB3"/>
    <w:rsid w:val="0040164F"/>
    <w:rsid w:val="00413D86"/>
    <w:rsid w:val="00417330"/>
    <w:rsid w:val="00427C16"/>
    <w:rsid w:val="00473D0D"/>
    <w:rsid w:val="00482C18"/>
    <w:rsid w:val="004B0113"/>
    <w:rsid w:val="004D3707"/>
    <w:rsid w:val="005011E6"/>
    <w:rsid w:val="00507B8D"/>
    <w:rsid w:val="00511068"/>
    <w:rsid w:val="0051280C"/>
    <w:rsid w:val="005235D0"/>
    <w:rsid w:val="005471FB"/>
    <w:rsid w:val="005649AE"/>
    <w:rsid w:val="00570A7F"/>
    <w:rsid w:val="005B3EEF"/>
    <w:rsid w:val="005C66C6"/>
    <w:rsid w:val="005D3DAB"/>
    <w:rsid w:val="005D6094"/>
    <w:rsid w:val="005D7415"/>
    <w:rsid w:val="00623431"/>
    <w:rsid w:val="00630912"/>
    <w:rsid w:val="006368E6"/>
    <w:rsid w:val="006726A1"/>
    <w:rsid w:val="00676AAC"/>
    <w:rsid w:val="006D1FB6"/>
    <w:rsid w:val="006E6E53"/>
    <w:rsid w:val="00703EF1"/>
    <w:rsid w:val="0071083F"/>
    <w:rsid w:val="00715FFF"/>
    <w:rsid w:val="0072600F"/>
    <w:rsid w:val="007369BD"/>
    <w:rsid w:val="007633C6"/>
    <w:rsid w:val="00763B45"/>
    <w:rsid w:val="0077019E"/>
    <w:rsid w:val="007D68E4"/>
    <w:rsid w:val="007E2EEB"/>
    <w:rsid w:val="007F12A5"/>
    <w:rsid w:val="00801A34"/>
    <w:rsid w:val="00802F39"/>
    <w:rsid w:val="008173D5"/>
    <w:rsid w:val="00833904"/>
    <w:rsid w:val="00853C81"/>
    <w:rsid w:val="008577A1"/>
    <w:rsid w:val="008723DC"/>
    <w:rsid w:val="00894004"/>
    <w:rsid w:val="008A6E2E"/>
    <w:rsid w:val="008C4FFC"/>
    <w:rsid w:val="00902CD7"/>
    <w:rsid w:val="00902FB3"/>
    <w:rsid w:val="00903CA4"/>
    <w:rsid w:val="00904DDF"/>
    <w:rsid w:val="009545DF"/>
    <w:rsid w:val="00972A93"/>
    <w:rsid w:val="009738C1"/>
    <w:rsid w:val="009846A4"/>
    <w:rsid w:val="0099011C"/>
    <w:rsid w:val="00993BB3"/>
    <w:rsid w:val="00995E2E"/>
    <w:rsid w:val="009978F9"/>
    <w:rsid w:val="009D1433"/>
    <w:rsid w:val="009D6FB2"/>
    <w:rsid w:val="00A05BB6"/>
    <w:rsid w:val="00A335F3"/>
    <w:rsid w:val="00A96104"/>
    <w:rsid w:val="00AB244D"/>
    <w:rsid w:val="00AF18A6"/>
    <w:rsid w:val="00AF1AEA"/>
    <w:rsid w:val="00B07E63"/>
    <w:rsid w:val="00B34FA0"/>
    <w:rsid w:val="00B4275E"/>
    <w:rsid w:val="00B50ECF"/>
    <w:rsid w:val="00B65514"/>
    <w:rsid w:val="00B67735"/>
    <w:rsid w:val="00BA436D"/>
    <w:rsid w:val="00BB463B"/>
    <w:rsid w:val="00BC0691"/>
    <w:rsid w:val="00BF7562"/>
    <w:rsid w:val="00C14144"/>
    <w:rsid w:val="00C375B6"/>
    <w:rsid w:val="00C40223"/>
    <w:rsid w:val="00C47A0C"/>
    <w:rsid w:val="00C63750"/>
    <w:rsid w:val="00C8774D"/>
    <w:rsid w:val="00C95532"/>
    <w:rsid w:val="00CA1998"/>
    <w:rsid w:val="00CA46B1"/>
    <w:rsid w:val="00CB4537"/>
    <w:rsid w:val="00CF4DC7"/>
    <w:rsid w:val="00D02EBE"/>
    <w:rsid w:val="00D13BCE"/>
    <w:rsid w:val="00D16EAA"/>
    <w:rsid w:val="00D2184B"/>
    <w:rsid w:val="00D46069"/>
    <w:rsid w:val="00DA737D"/>
    <w:rsid w:val="00DB62EE"/>
    <w:rsid w:val="00DC0C44"/>
    <w:rsid w:val="00DD4528"/>
    <w:rsid w:val="00DE2BF3"/>
    <w:rsid w:val="00E15E0F"/>
    <w:rsid w:val="00E47E5F"/>
    <w:rsid w:val="00E54675"/>
    <w:rsid w:val="00E612B6"/>
    <w:rsid w:val="00E67DB8"/>
    <w:rsid w:val="00E9076D"/>
    <w:rsid w:val="00E94AD8"/>
    <w:rsid w:val="00E954EF"/>
    <w:rsid w:val="00ED51E5"/>
    <w:rsid w:val="00EE71B3"/>
    <w:rsid w:val="00F00DD1"/>
    <w:rsid w:val="00F23C20"/>
    <w:rsid w:val="00F26675"/>
    <w:rsid w:val="00F358A3"/>
    <w:rsid w:val="00F435C4"/>
    <w:rsid w:val="00F820B4"/>
    <w:rsid w:val="00FA1F7C"/>
    <w:rsid w:val="00FA2466"/>
    <w:rsid w:val="00FB0E12"/>
    <w:rsid w:val="00FB13EB"/>
    <w:rsid w:val="00FE0D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C6F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rsid w:val="005471FB"/>
    <w:rPr>
      <w:color w:val="800080"/>
      <w:u w:val="single"/>
    </w:rPr>
  </w:style>
  <w:style w:type="table" w:styleId="TableGrid">
    <w:name w:val="Table Grid"/>
    <w:basedOn w:val="TableNormal"/>
    <w:rsid w:val="00D0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B0113"/>
    <w:rPr>
      <w:sz w:val="16"/>
      <w:szCs w:val="16"/>
    </w:rPr>
  </w:style>
  <w:style w:type="paragraph" w:styleId="CommentText">
    <w:name w:val="annotation text"/>
    <w:basedOn w:val="Normal"/>
    <w:link w:val="CommentTextChar"/>
    <w:rsid w:val="004B0113"/>
    <w:rPr>
      <w:sz w:val="20"/>
      <w:szCs w:val="20"/>
    </w:rPr>
  </w:style>
  <w:style w:type="character" w:customStyle="1" w:styleId="CommentTextChar">
    <w:name w:val="Comment Text Char"/>
    <w:basedOn w:val="DefaultParagraphFont"/>
    <w:link w:val="CommentText"/>
    <w:rsid w:val="004B0113"/>
    <w:rPr>
      <w:rFonts w:ascii="Courier" w:hAnsi="Courier"/>
    </w:rPr>
  </w:style>
  <w:style w:type="paragraph" w:styleId="CommentSubject">
    <w:name w:val="annotation subject"/>
    <w:basedOn w:val="CommentText"/>
    <w:next w:val="CommentText"/>
    <w:link w:val="CommentSubjectChar"/>
    <w:rsid w:val="004B0113"/>
    <w:rPr>
      <w:b/>
      <w:bCs/>
    </w:rPr>
  </w:style>
  <w:style w:type="character" w:customStyle="1" w:styleId="CommentSubjectChar">
    <w:name w:val="Comment Subject Char"/>
    <w:basedOn w:val="CommentTextChar"/>
    <w:link w:val="CommentSubject"/>
    <w:rsid w:val="004B0113"/>
    <w:rPr>
      <w:rFonts w:ascii="Courier" w:hAnsi="Courier"/>
      <w:b/>
      <w:bCs/>
    </w:rPr>
  </w:style>
  <w:style w:type="character" w:styleId="UnresolvedMention">
    <w:name w:val="Unresolved Mention"/>
    <w:basedOn w:val="DefaultParagraphFont"/>
    <w:uiPriority w:val="99"/>
    <w:semiHidden/>
    <w:unhideWhenUsed/>
    <w:rsid w:val="00DE2BF3"/>
    <w:rPr>
      <w:color w:val="605E5C"/>
      <w:shd w:val="clear" w:color="auto" w:fill="E1DFDD"/>
    </w:rPr>
  </w:style>
  <w:style w:type="paragraph" w:styleId="Revision">
    <w:name w:val="Revision"/>
    <w:hidden/>
    <w:uiPriority w:val="99"/>
    <w:semiHidden/>
    <w:rsid w:val="00E5467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2024-07-19T15:56:00Z</dcterms:created>
  <dcterms:modified xsi:type="dcterms:W3CDTF">2024-07-19T15:56:00Z</dcterms:modified>
</cp:coreProperties>
</file>