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51EF" w:rsidR="00CE51EF" w:rsidP="00CE51EF" w:rsidRDefault="00CE51EF" w14:paraId="42805D16" w14:textId="51FDED26">
      <w:pPr>
        <w:pBdr>
          <w:bottom w:val="single" w:color="auto" w:sz="12" w:space="1"/>
        </w:pBdr>
        <w:autoSpaceDE w:val="0"/>
        <w:autoSpaceDN w:val="0"/>
        <w:adjustRightInd w:val="0"/>
        <w:spacing w:after="0" w:line="240" w:lineRule="auto"/>
        <w:ind w:hanging="720"/>
        <w:rPr>
          <w:rFonts w:ascii="CG Omega" w:hAnsi="CG Omega" w:cs="CG Omega"/>
          <w:color w:val="000000"/>
          <w:sz w:val="31"/>
          <w:szCs w:val="31"/>
        </w:rPr>
      </w:pPr>
      <w:r w:rsidRPr="00CE51EF">
        <w:rPr>
          <w:rFonts w:ascii="CG Omega" w:hAnsi="CG Omega" w:cs="CG Omega"/>
          <w:b/>
          <w:bCs/>
          <w:color w:val="000000"/>
          <w:sz w:val="31"/>
          <w:szCs w:val="31"/>
        </w:rPr>
        <w:t xml:space="preserve">Instructions – Articles of Association </w:t>
      </w:r>
    </w:p>
    <w:p w:rsidRPr="00CE51EF" w:rsidR="00CE51EF" w:rsidP="00CE51EF" w:rsidRDefault="00CE51EF" w14:paraId="0C6D23AA" w14:textId="77777777">
      <w:pPr>
        <w:autoSpaceDE w:val="0"/>
        <w:autoSpaceDN w:val="0"/>
        <w:adjustRightInd w:val="0"/>
        <w:spacing w:after="0" w:line="240" w:lineRule="auto"/>
        <w:ind w:hanging="720"/>
        <w:rPr>
          <w:rFonts w:ascii="CG Omega" w:hAnsi="CG Omega" w:cs="CG Omega"/>
          <w:color w:val="000000"/>
        </w:rPr>
      </w:pPr>
    </w:p>
    <w:p w:rsidR="00CE51EF" w:rsidP="00CE51EF" w:rsidRDefault="00CE51EF" w14:paraId="517FF5E0" w14:textId="309CB9D6">
      <w:pPr>
        <w:autoSpaceDE w:val="0"/>
        <w:autoSpaceDN w:val="0"/>
        <w:adjustRightInd w:val="0"/>
        <w:spacing w:after="0" w:line="240" w:lineRule="auto"/>
        <w:ind w:hanging="720"/>
        <w:rPr>
          <w:rFonts w:ascii="CG Omega" w:hAnsi="CG Omega" w:cs="CG Omega"/>
          <w:color w:val="000000"/>
          <w:sz w:val="31"/>
          <w:szCs w:val="31"/>
        </w:rPr>
      </w:pPr>
      <w:r w:rsidRPr="00CE51EF">
        <w:rPr>
          <w:rFonts w:ascii="CG Omega" w:hAnsi="CG Omega" w:cs="CG Omega"/>
          <w:color w:val="000000"/>
          <w:sz w:val="31"/>
          <w:szCs w:val="31"/>
        </w:rPr>
        <w:t xml:space="preserve">General Instructions </w:t>
      </w:r>
    </w:p>
    <w:p w:rsidRPr="00CE51EF" w:rsidR="00431C95" w:rsidP="00CE51EF" w:rsidRDefault="00431C95" w14:paraId="079216B2" w14:textId="77777777">
      <w:pPr>
        <w:autoSpaceDE w:val="0"/>
        <w:autoSpaceDN w:val="0"/>
        <w:adjustRightInd w:val="0"/>
        <w:spacing w:after="0" w:line="240" w:lineRule="auto"/>
        <w:ind w:hanging="720"/>
        <w:rPr>
          <w:rFonts w:ascii="CG Omega" w:hAnsi="CG Omega" w:cs="CG Omega"/>
          <w:color w:val="000000"/>
        </w:rPr>
      </w:pPr>
    </w:p>
    <w:p w:rsidR="00CE51EF" w:rsidP="00CE51EF" w:rsidRDefault="00CE51EF" w14:paraId="350866E5" w14:textId="4B805084">
      <w:pPr>
        <w:autoSpaceDE w:val="0"/>
        <w:autoSpaceDN w:val="0"/>
        <w:adjustRightInd w:val="0"/>
        <w:spacing w:after="0" w:line="240" w:lineRule="auto"/>
        <w:ind w:left="-270"/>
        <w:jc w:val="both"/>
        <w:rPr>
          <w:rFonts w:ascii="CG Omega" w:hAnsi="CG Omega" w:cs="CG Omega"/>
          <w:color w:val="000000"/>
          <w:sz w:val="23"/>
          <w:szCs w:val="23"/>
        </w:rPr>
      </w:pPr>
      <w:r w:rsidRPr="00CE51EF">
        <w:rPr>
          <w:rFonts w:ascii="CG Omega" w:hAnsi="CG Omega" w:cs="CG Omega"/>
          <w:color w:val="000000"/>
          <w:sz w:val="23"/>
          <w:szCs w:val="23"/>
        </w:rPr>
        <w:t>The OCC recommends that the Articles of Association (articles) and any subsequent amendments be</w:t>
      </w:r>
      <w:r>
        <w:rPr>
          <w:rFonts w:ascii="CG Omega" w:hAnsi="CG Omega" w:cs="CG Omega"/>
          <w:color w:val="000000"/>
          <w:sz w:val="23"/>
          <w:szCs w:val="23"/>
        </w:rPr>
        <w:t xml:space="preserve"> </w:t>
      </w:r>
      <w:r w:rsidRPr="00CE51EF">
        <w:rPr>
          <w:rFonts w:ascii="CG Omega" w:hAnsi="CG Omega" w:cs="CG Omega"/>
          <w:color w:val="000000"/>
          <w:sz w:val="23"/>
          <w:szCs w:val="23"/>
        </w:rPr>
        <w:t xml:space="preserve">executed in duplicate. One should be retained as an original document at the bank. The other should be forwarded to the OCC for its retention. </w:t>
      </w:r>
    </w:p>
    <w:p w:rsidRPr="00CE51EF" w:rsidR="00CE51EF" w:rsidP="00CE51EF" w:rsidRDefault="00CE51EF" w14:paraId="149DC760" w14:textId="77777777">
      <w:pPr>
        <w:autoSpaceDE w:val="0"/>
        <w:autoSpaceDN w:val="0"/>
        <w:adjustRightInd w:val="0"/>
        <w:spacing w:after="0" w:line="240" w:lineRule="auto"/>
        <w:ind w:left="-270"/>
        <w:jc w:val="both"/>
        <w:rPr>
          <w:rFonts w:ascii="CG Omega" w:hAnsi="CG Omega" w:cs="CG Omega"/>
          <w:color w:val="000000"/>
          <w:sz w:val="23"/>
          <w:szCs w:val="23"/>
        </w:rPr>
      </w:pPr>
    </w:p>
    <w:p w:rsidR="00CE51EF" w:rsidP="00CE51EF" w:rsidRDefault="00CE51EF" w14:paraId="1E6034D6" w14:textId="03F6652D">
      <w:pPr>
        <w:autoSpaceDE w:val="0"/>
        <w:autoSpaceDN w:val="0"/>
        <w:adjustRightInd w:val="0"/>
        <w:spacing w:after="0" w:line="240" w:lineRule="auto"/>
        <w:ind w:left="-270"/>
        <w:jc w:val="both"/>
        <w:rPr>
          <w:rFonts w:ascii="CG Omega" w:hAnsi="CG Omega" w:cs="CG Omega"/>
          <w:color w:val="000000"/>
          <w:sz w:val="23"/>
          <w:szCs w:val="23"/>
        </w:rPr>
      </w:pPr>
      <w:r w:rsidRPr="00CE51EF">
        <w:rPr>
          <w:rFonts w:ascii="CG Omega" w:hAnsi="CG Omega" w:cs="CG Omega"/>
          <w:color w:val="000000"/>
          <w:sz w:val="23"/>
          <w:szCs w:val="23"/>
        </w:rPr>
        <w:t xml:space="preserve">The paragraphs marked with an asterisk (*) in the sample document are optional. </w:t>
      </w:r>
    </w:p>
    <w:p w:rsidR="00CE51EF" w:rsidP="00CE51EF" w:rsidRDefault="00CE51EF" w14:paraId="1E9424C6" w14:textId="1E837659">
      <w:pPr>
        <w:autoSpaceDE w:val="0"/>
        <w:autoSpaceDN w:val="0"/>
        <w:adjustRightInd w:val="0"/>
        <w:spacing w:after="0" w:line="240" w:lineRule="auto"/>
        <w:ind w:left="-270"/>
        <w:jc w:val="both"/>
        <w:rPr>
          <w:rFonts w:ascii="CG Omega" w:hAnsi="CG Omega" w:cs="CG Omega"/>
          <w:color w:val="000000"/>
          <w:sz w:val="23"/>
          <w:szCs w:val="23"/>
        </w:rPr>
      </w:pPr>
    </w:p>
    <w:p w:rsidR="00851297" w:rsidP="00CE51EF" w:rsidRDefault="00851297" w14:paraId="34600927" w14:textId="634BE852">
      <w:pPr>
        <w:autoSpaceDE w:val="0"/>
        <w:autoSpaceDN w:val="0"/>
        <w:adjustRightInd w:val="0"/>
        <w:spacing w:after="0" w:line="240" w:lineRule="auto"/>
        <w:ind w:left="-270"/>
        <w:jc w:val="both"/>
        <w:rPr>
          <w:rFonts w:ascii="CG Omega" w:hAnsi="CG Omega" w:cs="CG Omega"/>
          <w:color w:val="000000"/>
          <w:sz w:val="23"/>
          <w:szCs w:val="23"/>
        </w:rPr>
      </w:pPr>
      <w:r xmlns:w="http://schemas.openxmlformats.org/wordprocessingml/2006/main">
        <w:rPr>
          <w:rFonts w:ascii="Segoe UI" w:hAnsi="Segoe UI" w:cs="Segoe UI"/>
          <w:color w:val="000000"/>
          <w:sz w:val="23"/>
          <w:szCs w:val="23"/>
        </w:rPr>
        <w:t xml:space="preserve">The language in the model articles of association is recommended, not required. The model articles do not address every situation but have been drafted to incorporate compliance with applicable laws and regulations.  The organizers should identify any changes from the model articles and explain the reasons for the change.  The </w:t>
      </w:r>
      <w:r xmlns:w="http://schemas.openxmlformats.org/wordprocessingml/2006/main" w:rsidRPr="00CE51EF">
        <w:rPr>
          <w:rFonts w:ascii="CG Omega" w:hAnsi="CG Omega" w:cs="CG Omega"/>
          <w:color w:val="000000"/>
          <w:sz w:val="23"/>
          <w:szCs w:val="23"/>
        </w:rPr>
        <w:t>organizers should tailor the articles for special purpose banks or banks with a special focus, as appropriate</w:t>
      </w:r>
    </w:p>
    <w:p w:rsidRPr="00CE51EF" w:rsidR="00851297" w:rsidP="00CE51EF" w:rsidRDefault="00851297" w14:paraId="2EC3899F" w14:textId="77777777">
      <w:pPr>
        <w:autoSpaceDE w:val="0"/>
        <w:autoSpaceDN w:val="0"/>
        <w:adjustRightInd w:val="0"/>
        <w:spacing w:after="0" w:line="240" w:lineRule="auto"/>
        <w:ind w:left="-270"/>
        <w:jc w:val="both"/>
        <w:rPr>
          <w:rFonts w:ascii="CG Omega" w:hAnsi="CG Omega" w:cs="CG Omega"/>
          <w:color w:val="000000"/>
          <w:sz w:val="23"/>
          <w:szCs w:val="23"/>
        </w:rPr>
      </w:pPr>
    </w:p>
    <w:p w:rsidR="00CE51EF" w:rsidDel="00851297" w:rsidP="00CE51EF" w:rsidRDefault="00CE51EF" w14:paraId="6BD7C0D1" w14:textId="78CE2768">
      <w:pPr>
        <w:autoSpaceDE w:val="0"/>
        <w:autoSpaceDN w:val="0"/>
        <w:adjustRightInd w:val="0"/>
        <w:spacing w:after="0" w:line="240" w:lineRule="auto"/>
        <w:ind w:left="-270"/>
        <w:jc w:val="both"/>
        <w:rPr>
          <w:rFonts w:ascii="CG Omega" w:hAnsi="CG Omega" w:cs="CG Omega"/>
          <w:color w:val="000000"/>
          <w:sz w:val="23"/>
          <w:szCs w:val="23"/>
        </w:rPr>
      </w:pPr>
    </w:p>
    <w:p w:rsidRPr="00CE51EF" w:rsidR="00CE51EF" w:rsidP="00CE51EF" w:rsidRDefault="00CE51EF" w14:paraId="036D6CB4" w14:textId="77777777">
      <w:pPr>
        <w:autoSpaceDE w:val="0"/>
        <w:autoSpaceDN w:val="0"/>
        <w:adjustRightInd w:val="0"/>
        <w:spacing w:after="0" w:line="240" w:lineRule="auto"/>
        <w:ind w:left="-270"/>
        <w:jc w:val="both"/>
        <w:rPr>
          <w:rFonts w:ascii="CG Omega" w:hAnsi="CG Omega" w:cs="CG Omega"/>
          <w:color w:val="000000"/>
          <w:sz w:val="23"/>
          <w:szCs w:val="23"/>
        </w:rPr>
      </w:pPr>
    </w:p>
    <w:p w:rsidR="00CE51EF" w:rsidP="00CE51EF" w:rsidRDefault="00CE51EF" w14:paraId="005B7C65" w14:textId="77777777">
      <w:pPr>
        <w:autoSpaceDE w:val="0"/>
        <w:autoSpaceDN w:val="0"/>
        <w:adjustRightInd w:val="0"/>
        <w:spacing w:after="0" w:line="240" w:lineRule="auto"/>
        <w:ind w:hanging="720"/>
        <w:rPr>
          <w:rFonts w:ascii="CG Omega" w:hAnsi="CG Omega" w:cs="CG Omega"/>
          <w:color w:val="000000"/>
          <w:sz w:val="31"/>
          <w:szCs w:val="31"/>
        </w:rPr>
      </w:pPr>
      <w:r w:rsidRPr="00CE51EF">
        <w:rPr>
          <w:rFonts w:ascii="CG Omega" w:hAnsi="CG Omega" w:cs="CG Omega"/>
          <w:color w:val="000000"/>
          <w:sz w:val="31"/>
          <w:szCs w:val="31"/>
        </w:rPr>
        <w:t>Adoption Procedures</w:t>
      </w:r>
    </w:p>
    <w:p w:rsidRPr="00CE51EF" w:rsidR="00CE51EF" w:rsidP="00CE51EF" w:rsidRDefault="00CE51EF" w14:paraId="4F0D1247" w14:textId="22807CC5">
      <w:pPr>
        <w:autoSpaceDE w:val="0"/>
        <w:autoSpaceDN w:val="0"/>
        <w:adjustRightInd w:val="0"/>
        <w:spacing w:after="0" w:line="240" w:lineRule="auto"/>
        <w:ind w:hanging="720"/>
        <w:rPr>
          <w:rFonts w:ascii="CG Omega" w:hAnsi="CG Omega" w:cs="CG Omega"/>
          <w:color w:val="000000"/>
        </w:rPr>
      </w:pPr>
    </w:p>
    <w:p w:rsidR="00CE51EF" w:rsidP="00CE51EF" w:rsidRDefault="00CE51EF" w14:paraId="43830D7A" w14:textId="6AEA51D4">
      <w:pPr>
        <w:pStyle w:val="ListParagraph"/>
        <w:numPr>
          <w:ilvl w:val="0"/>
          <w:numId w:val="8"/>
        </w:numPr>
        <w:autoSpaceDE w:val="0"/>
        <w:autoSpaceDN w:val="0"/>
        <w:adjustRightInd w:val="0"/>
        <w:spacing w:after="0" w:line="240" w:lineRule="auto"/>
        <w:rPr>
          <w:rFonts w:ascii="CG Omega" w:hAnsi="CG Omega" w:cs="CG Omega"/>
          <w:color w:val="000000"/>
          <w:sz w:val="23"/>
          <w:szCs w:val="23"/>
        </w:rPr>
      </w:pPr>
      <w:r w:rsidRPr="00CE51EF">
        <w:rPr>
          <w:rFonts w:ascii="CG Omega" w:hAnsi="CG Omega" w:cs="CG Omega"/>
          <w:color w:val="000000"/>
          <w:sz w:val="23"/>
          <w:szCs w:val="23"/>
        </w:rPr>
        <w:t>At the first meeting, the organizers execute the articles in duplicate. (See the “</w:t>
      </w:r>
      <w:hyperlink w:history="1" r:id="rId10">
        <w:r w:rsidRPr="00CE51EF">
          <w:rPr>
            <w:rStyle w:val="Hyperlink"/>
            <w:rFonts w:ascii="CG Omega" w:hAnsi="CG Omega" w:cs="CG Omega"/>
            <w:sz w:val="23"/>
            <w:szCs w:val="23"/>
          </w:rPr>
          <w:t>Charters</w:t>
        </w:r>
      </w:hyperlink>
      <w:r w:rsidRPr="00CE51EF">
        <w:rPr>
          <w:rFonts w:ascii="CG Omega" w:hAnsi="CG Omega" w:cs="CG Omega"/>
          <w:color w:val="000000"/>
          <w:sz w:val="23"/>
          <w:szCs w:val="23"/>
        </w:rPr>
        <w:t xml:space="preserve">” booklet of the </w:t>
      </w:r>
      <w:r w:rsidRPr="00CE51EF">
        <w:rPr>
          <w:rFonts w:ascii="CG Omega" w:hAnsi="CG Omega" w:cs="CG Omega"/>
          <w:i/>
          <w:iCs/>
          <w:color w:val="000000"/>
          <w:sz w:val="23"/>
          <w:szCs w:val="23"/>
        </w:rPr>
        <w:t>Comptroller’s Licensing Manual</w:t>
      </w:r>
      <w:r w:rsidRPr="00CE51EF">
        <w:rPr>
          <w:rFonts w:ascii="CG Omega" w:hAnsi="CG Omega" w:cs="CG Omega"/>
          <w:color w:val="000000"/>
          <w:sz w:val="23"/>
          <w:szCs w:val="23"/>
        </w:rPr>
        <w:t xml:space="preserve">.) </w:t>
      </w:r>
    </w:p>
    <w:p w:rsidRPr="00CE51EF" w:rsidR="00CE51EF" w:rsidP="00CE51EF" w:rsidRDefault="00CE51EF" w14:paraId="3A521C0A" w14:textId="77777777">
      <w:pPr>
        <w:pStyle w:val="ListParagraph"/>
        <w:autoSpaceDE w:val="0"/>
        <w:autoSpaceDN w:val="0"/>
        <w:adjustRightInd w:val="0"/>
        <w:spacing w:after="0" w:line="240" w:lineRule="auto"/>
        <w:ind w:left="360"/>
        <w:rPr>
          <w:rFonts w:ascii="CG Omega" w:hAnsi="CG Omega" w:cs="CG Omega"/>
          <w:color w:val="000000"/>
          <w:sz w:val="23"/>
          <w:szCs w:val="23"/>
        </w:rPr>
      </w:pPr>
    </w:p>
    <w:p w:rsidR="00CE51EF" w:rsidP="00CE51EF" w:rsidRDefault="00CE51EF" w14:paraId="15A8D970" w14:textId="6E9C0849">
      <w:pPr>
        <w:pStyle w:val="ListParagraph"/>
        <w:numPr>
          <w:ilvl w:val="0"/>
          <w:numId w:val="8"/>
        </w:numPr>
        <w:autoSpaceDE w:val="0"/>
        <w:autoSpaceDN w:val="0"/>
        <w:adjustRightInd w:val="0"/>
        <w:spacing w:after="0" w:line="240" w:lineRule="auto"/>
        <w:rPr>
          <w:rFonts w:ascii="CG Omega" w:hAnsi="CG Omega" w:cs="CG Omega"/>
          <w:color w:val="000000"/>
          <w:sz w:val="23"/>
          <w:szCs w:val="23"/>
        </w:rPr>
      </w:pPr>
      <w:r w:rsidRPr="00CE51EF">
        <w:rPr>
          <w:rFonts w:ascii="CG Omega" w:hAnsi="CG Omega" w:cs="CG Omega"/>
          <w:color w:val="000000"/>
          <w:sz w:val="23"/>
          <w:szCs w:val="23"/>
        </w:rPr>
        <w:t xml:space="preserve">The organizers may include additional articles provided they are not contrary to law. </w:t>
      </w:r>
    </w:p>
    <w:p w:rsidRPr="00CE51EF" w:rsidR="00CE51EF" w:rsidP="00CE51EF" w:rsidRDefault="00CE51EF" w14:paraId="02412A68" w14:textId="77777777">
      <w:pPr>
        <w:pStyle w:val="ListParagraph"/>
        <w:rPr>
          <w:rFonts w:ascii="CG Omega" w:hAnsi="CG Omega" w:cs="CG Omega"/>
          <w:color w:val="000000"/>
          <w:sz w:val="23"/>
          <w:szCs w:val="23"/>
        </w:rPr>
      </w:pPr>
    </w:p>
    <w:p w:rsidR="00CE51EF" w:rsidP="00CE51EF" w:rsidRDefault="00CE51EF" w14:paraId="09AA688B" w14:textId="78A3C342">
      <w:pPr>
        <w:pStyle w:val="ListParagraph"/>
        <w:numPr>
          <w:ilvl w:val="0"/>
          <w:numId w:val="8"/>
        </w:numPr>
        <w:autoSpaceDE w:val="0"/>
        <w:autoSpaceDN w:val="0"/>
        <w:adjustRightInd w:val="0"/>
        <w:spacing w:after="0" w:line="240" w:lineRule="auto"/>
        <w:rPr>
          <w:rFonts w:ascii="CG Omega" w:hAnsi="CG Omega" w:cs="CG Omega"/>
          <w:color w:val="000000"/>
          <w:sz w:val="23"/>
          <w:szCs w:val="23"/>
        </w:rPr>
      </w:pPr>
      <w:r w:rsidRPr="00CE51EF">
        <w:rPr>
          <w:rFonts w:ascii="CG Omega" w:hAnsi="CG Omega" w:cs="CG Omega"/>
          <w:color w:val="000000"/>
          <w:sz w:val="23"/>
          <w:szCs w:val="23"/>
        </w:rPr>
        <w:t xml:space="preserve">The organizers submit a signed original of the articles to the Licensing staff in the appropriate district office and retain the other signed original for the bank’s records. </w:t>
      </w:r>
    </w:p>
    <w:p w:rsidRPr="00CE51EF" w:rsidR="00CE51EF" w:rsidP="00CE51EF" w:rsidRDefault="00CE51EF" w14:paraId="74B6663B" w14:textId="77777777">
      <w:pPr>
        <w:pStyle w:val="ListParagraph"/>
        <w:rPr>
          <w:rFonts w:ascii="CG Omega" w:hAnsi="CG Omega" w:cs="CG Omega"/>
          <w:color w:val="000000"/>
          <w:sz w:val="23"/>
          <w:szCs w:val="23"/>
        </w:rPr>
      </w:pPr>
    </w:p>
    <w:p w:rsidRPr="00CE51EF" w:rsidR="00CE51EF" w:rsidP="00CE51EF" w:rsidRDefault="00CE51EF" w14:paraId="69796194" w14:textId="46DA556E">
      <w:pPr>
        <w:pStyle w:val="ListParagraph"/>
        <w:numPr>
          <w:ilvl w:val="0"/>
          <w:numId w:val="8"/>
        </w:numPr>
        <w:autoSpaceDE w:val="0"/>
        <w:autoSpaceDN w:val="0"/>
        <w:adjustRightInd w:val="0"/>
        <w:spacing w:after="0" w:line="240" w:lineRule="auto"/>
        <w:rPr>
          <w:rFonts w:ascii="CG Omega" w:hAnsi="CG Omega" w:cs="CG Omega"/>
          <w:color w:val="000000"/>
          <w:sz w:val="23"/>
          <w:szCs w:val="23"/>
        </w:rPr>
      </w:pPr>
      <w:r w:rsidRPr="00CE51EF">
        <w:rPr>
          <w:rFonts w:ascii="CG Omega" w:hAnsi="CG Omega" w:cs="CG Omega"/>
          <w:color w:val="000000"/>
          <w:sz w:val="23"/>
          <w:szCs w:val="23"/>
        </w:rPr>
        <w:t xml:space="preserve">The OCC will maintain its original in the bank’s corporate history file in Washington, DC. </w:t>
      </w:r>
    </w:p>
    <w:p w:rsidRPr="00431C95" w:rsidR="00CE51EF" w:rsidP="00CE51EF" w:rsidRDefault="00CE51EF" w14:paraId="697D818D" w14:textId="77777777">
      <w:pPr>
        <w:autoSpaceDE w:val="0"/>
        <w:autoSpaceDN w:val="0"/>
        <w:adjustRightInd w:val="0"/>
        <w:spacing w:after="0" w:line="240" w:lineRule="auto"/>
        <w:ind w:hanging="720"/>
        <w:rPr>
          <w:rFonts w:ascii="CG Omega" w:hAnsi="CG Omega" w:cs="CG Omega"/>
          <w:color w:val="000000"/>
        </w:rPr>
      </w:pPr>
    </w:p>
    <w:p w:rsidR="00CE51EF" w:rsidP="00CE51EF" w:rsidRDefault="00CE51EF" w14:paraId="70A156BC" w14:textId="5562AFBB">
      <w:pPr>
        <w:autoSpaceDE w:val="0"/>
        <w:autoSpaceDN w:val="0"/>
        <w:adjustRightInd w:val="0"/>
        <w:spacing w:after="0" w:line="240" w:lineRule="auto"/>
        <w:ind w:hanging="720"/>
        <w:rPr>
          <w:rFonts w:ascii="CG Omega" w:hAnsi="CG Omega" w:cs="CG Omega"/>
          <w:color w:val="000000"/>
          <w:sz w:val="31"/>
          <w:szCs w:val="31"/>
        </w:rPr>
      </w:pPr>
      <w:r w:rsidRPr="00CE51EF">
        <w:rPr>
          <w:rFonts w:ascii="CG Omega" w:hAnsi="CG Omega" w:cs="CG Omega"/>
          <w:color w:val="000000"/>
          <w:sz w:val="31"/>
          <w:szCs w:val="31"/>
        </w:rPr>
        <w:t xml:space="preserve">Amendment Procedures for an Existing National Bank </w:t>
      </w:r>
    </w:p>
    <w:p w:rsidRPr="00CE51EF" w:rsidR="00CE51EF" w:rsidP="00CE51EF" w:rsidRDefault="00CE51EF" w14:paraId="45FC8F52" w14:textId="77777777">
      <w:pPr>
        <w:autoSpaceDE w:val="0"/>
        <w:autoSpaceDN w:val="0"/>
        <w:adjustRightInd w:val="0"/>
        <w:spacing w:after="0" w:line="240" w:lineRule="auto"/>
        <w:ind w:hanging="720"/>
        <w:rPr>
          <w:rFonts w:ascii="CG Omega" w:hAnsi="CG Omega" w:cs="CG Omega"/>
          <w:color w:val="000000"/>
        </w:rPr>
      </w:pPr>
    </w:p>
    <w:p w:rsidR="00CE51EF" w:rsidP="00CE51EF" w:rsidRDefault="00CE51EF" w14:paraId="788960AE" w14:textId="5BB411BC">
      <w:pPr>
        <w:pStyle w:val="ListParagraph"/>
        <w:numPr>
          <w:ilvl w:val="0"/>
          <w:numId w:val="10"/>
        </w:numPr>
        <w:autoSpaceDE w:val="0"/>
        <w:autoSpaceDN w:val="0"/>
        <w:adjustRightInd w:val="0"/>
        <w:spacing w:after="0" w:line="240" w:lineRule="auto"/>
        <w:ind w:left="360"/>
        <w:rPr>
          <w:rFonts w:ascii="CG Omega" w:hAnsi="CG Omega" w:cs="CG Omega"/>
          <w:color w:val="000000"/>
          <w:sz w:val="23"/>
          <w:szCs w:val="23"/>
        </w:rPr>
      </w:pPr>
      <w:r w:rsidRPr="00CE51EF">
        <w:rPr>
          <w:rFonts w:ascii="CG Omega" w:hAnsi="CG Omega" w:cs="CG Omega"/>
          <w:color w:val="000000"/>
          <w:sz w:val="23"/>
          <w:szCs w:val="23"/>
        </w:rPr>
        <w:t xml:space="preserve">The majority of the shareholders voting at a meeting held pursuant to 10 days notice by mail or pursuant to a waiver by all stockholders eligible to receive notice may take any action requiring approval of the stockholders. (12 USC 21a) </w:t>
      </w:r>
    </w:p>
    <w:p w:rsidRPr="00CE51EF" w:rsidR="00CE51EF" w:rsidP="00CE51EF" w:rsidRDefault="00CE51EF" w14:paraId="26192E1E" w14:textId="77777777">
      <w:pPr>
        <w:pStyle w:val="ListParagraph"/>
        <w:autoSpaceDE w:val="0"/>
        <w:autoSpaceDN w:val="0"/>
        <w:adjustRightInd w:val="0"/>
        <w:spacing w:after="0" w:line="240" w:lineRule="auto"/>
        <w:ind w:left="360"/>
        <w:rPr>
          <w:rFonts w:ascii="CG Omega" w:hAnsi="CG Omega" w:cs="CG Omega"/>
          <w:color w:val="000000"/>
          <w:sz w:val="23"/>
          <w:szCs w:val="23"/>
        </w:rPr>
      </w:pPr>
    </w:p>
    <w:p w:rsidRPr="00CE51EF" w:rsidR="00CE51EF" w:rsidP="00CE51EF" w:rsidRDefault="00CE51EF" w14:paraId="494EF31D" w14:textId="77777777">
      <w:pPr>
        <w:numPr>
          <w:ilvl w:val="0"/>
          <w:numId w:val="10"/>
        </w:numPr>
        <w:autoSpaceDE w:val="0"/>
        <w:autoSpaceDN w:val="0"/>
        <w:adjustRightInd w:val="0"/>
        <w:spacing w:after="0" w:line="240" w:lineRule="auto"/>
        <w:ind w:left="360"/>
        <w:rPr>
          <w:rFonts w:ascii="CG Omega" w:hAnsi="CG Omega" w:cs="CG Omega"/>
          <w:color w:val="000000"/>
          <w:sz w:val="23"/>
          <w:szCs w:val="23"/>
        </w:rPr>
      </w:pPr>
      <w:r w:rsidRPr="00CE51EF">
        <w:rPr>
          <w:rFonts w:ascii="CG Omega" w:hAnsi="CG Omega" w:cs="CG Omega"/>
          <w:color w:val="000000"/>
          <w:sz w:val="23"/>
          <w:szCs w:val="23"/>
        </w:rPr>
        <w:t xml:space="preserve">Whenever changes occur in the Articles of Association at a shareholders’ meeting, the secretary of the board forwards the amendment with a corporate resolution certifying action by the shareholders to the Licensing staff in the appropriate district office. </w:t>
      </w:r>
    </w:p>
    <w:p w:rsidRPr="00CE51EF" w:rsidR="00CE51EF" w:rsidP="00CE51EF" w:rsidRDefault="00CE51EF" w14:paraId="74D17BC5" w14:textId="77777777">
      <w:pPr>
        <w:autoSpaceDE w:val="0"/>
        <w:autoSpaceDN w:val="0"/>
        <w:adjustRightInd w:val="0"/>
        <w:spacing w:after="0" w:line="240" w:lineRule="auto"/>
        <w:rPr>
          <w:rFonts w:ascii="CG Omega" w:hAnsi="CG Omega" w:cs="CG Omega"/>
          <w:color w:val="000000"/>
          <w:sz w:val="23"/>
          <w:szCs w:val="23"/>
        </w:rPr>
      </w:pPr>
    </w:p>
    <w:p w:rsidRPr="00CE51EF" w:rsidR="00CE51EF" w:rsidP="00CE51EF" w:rsidRDefault="00CE51EF" w14:paraId="23862569" w14:textId="77777777">
      <w:pPr>
        <w:numPr>
          <w:ilvl w:val="0"/>
          <w:numId w:val="10"/>
        </w:numPr>
        <w:autoSpaceDE w:val="0"/>
        <w:autoSpaceDN w:val="0"/>
        <w:adjustRightInd w:val="0"/>
        <w:spacing w:after="0" w:line="240" w:lineRule="auto"/>
        <w:ind w:left="360"/>
        <w:rPr>
          <w:rFonts w:ascii="CG Omega" w:hAnsi="CG Omega" w:cs="CG Omega"/>
          <w:color w:val="000000"/>
          <w:sz w:val="23"/>
          <w:szCs w:val="23"/>
        </w:rPr>
      </w:pPr>
      <w:r w:rsidRPr="00CE51EF">
        <w:rPr>
          <w:rFonts w:ascii="CG Omega" w:hAnsi="CG Omega" w:cs="CG Omega"/>
          <w:color w:val="000000"/>
          <w:sz w:val="23"/>
          <w:szCs w:val="23"/>
        </w:rPr>
        <w:t xml:space="preserve">When acknowledged, the OCC’s Licensing staff maintains its original in the bank’s corporate history file in Washington, DC. </w:t>
      </w:r>
    </w:p>
    <w:p w:rsidR="008249D7" w:rsidRDefault="008249D7" w14:paraId="6C55F5E6" w14:textId="2828D342">
      <w:pPr>
        <w:rPr>
          <w:rFonts w:ascii="CG Omega" w:hAnsi="CG Omega" w:cs="CG Omega"/>
          <w:color w:val="000000"/>
          <w:sz w:val="23"/>
          <w:szCs w:val="23"/>
        </w:rPr>
      </w:pPr>
    </w:p>
    <w:p w:rsidR="00CE51EF" w:rsidP="00CE51EF" w:rsidRDefault="00CE51EF" w14:paraId="38C760B5" w14:textId="2F0B000E">
      <w:pPr>
        <w:autoSpaceDE w:val="0"/>
        <w:autoSpaceDN w:val="0"/>
        <w:adjustRightInd w:val="0"/>
        <w:spacing w:after="0" w:line="240" w:lineRule="auto"/>
        <w:ind w:hanging="720"/>
        <w:rPr>
          <w:rFonts w:ascii="CG Omega" w:hAnsi="CG Omega" w:cs="CG Omega"/>
          <w:color w:val="000000"/>
          <w:sz w:val="31"/>
          <w:szCs w:val="31"/>
        </w:rPr>
      </w:pPr>
      <w:r w:rsidRPr="00CE51EF">
        <w:rPr>
          <w:rFonts w:ascii="CG Omega" w:hAnsi="CG Omega" w:cs="CG Omega"/>
          <w:color w:val="000000"/>
          <w:sz w:val="31"/>
          <w:szCs w:val="31"/>
        </w:rPr>
        <w:t xml:space="preserve">Specific Requirements </w:t>
      </w:r>
    </w:p>
    <w:p w:rsidRPr="00CE51EF" w:rsidR="00CE51EF" w:rsidP="00431C95" w:rsidRDefault="00CE51EF" w14:paraId="540DD3AE" w14:textId="77777777">
      <w:pPr>
        <w:autoSpaceDE w:val="0"/>
        <w:autoSpaceDN w:val="0"/>
        <w:adjustRightInd w:val="0"/>
        <w:spacing w:after="0" w:line="240" w:lineRule="auto"/>
        <w:ind w:left="720" w:hanging="720"/>
        <w:rPr>
          <w:rFonts w:ascii="CG Omega" w:hAnsi="CG Omega" w:cs="CG Omega"/>
          <w:color w:val="000000"/>
        </w:rPr>
      </w:pPr>
    </w:p>
    <w:p w:rsidR="00CE51EF" w:rsidP="008249D7" w:rsidRDefault="00CE51EF" w14:paraId="53D5C5D0" w14:textId="276599E1">
      <w:pPr>
        <w:pStyle w:val="ListParagraph"/>
        <w:numPr>
          <w:ilvl w:val="0"/>
          <w:numId w:val="21"/>
        </w:numPr>
        <w:autoSpaceDE w:val="0"/>
        <w:autoSpaceDN w:val="0"/>
        <w:adjustRightInd w:val="0"/>
        <w:spacing w:after="0" w:line="240" w:lineRule="auto"/>
        <w:ind w:left="360"/>
        <w:rPr>
          <w:rFonts w:ascii="CG Omega" w:hAnsi="CG Omega" w:cs="CG Omega"/>
          <w:color w:val="000000"/>
          <w:sz w:val="23"/>
          <w:szCs w:val="23"/>
        </w:rPr>
      </w:pPr>
      <w:r w:rsidRPr="00431C95">
        <w:rPr>
          <w:rFonts w:ascii="CG Omega" w:hAnsi="CG Omega" w:cs="CG Omega"/>
          <w:color w:val="000000"/>
          <w:sz w:val="23"/>
          <w:szCs w:val="23"/>
        </w:rPr>
        <w:t>The name of the association must include the word “National.” If the word “Association” is used in the name, it must be spelled out completely. (12 USC 22, 30) (See the Branch and Trade Names discussion in the</w:t>
      </w:r>
      <w:r xmlns:w="http://schemas.openxmlformats.org/wordprocessingml/2006/main" w:rsidR="00851297">
        <w:rPr>
          <w:rFonts w:ascii="CG Omega" w:hAnsi="CG Omega" w:cs="CG Omega"/>
          <w:color w:val="000000"/>
          <w:sz w:val="23"/>
          <w:szCs w:val="23"/>
        </w:rPr>
        <w:t xml:space="preserve"> “</w:t>
      </w:r>
      <w:r xmlns:w="http://schemas.openxmlformats.org/wordprocessingml/2006/main" w:rsidR="00851297">
        <w:fldChar w:fldCharType="end"/>
      </w:r>
      <w:r xmlns:w="http://schemas.openxmlformats.org/wordprocessingml/2006/main" w:rsidR="00851297">
        <w:rPr>
          <w:rStyle w:val="Hyperlink"/>
        </w:rPr>
        <w:t>Branches and Relocations” booklet</w:t>
      </w:r>
      <w:r xmlns:w="http://schemas.openxmlformats.org/wordprocessingml/2006/main" w:rsidR="00851297">
        <w:fldChar w:fldCharType="separate"/>
      </w:r>
      <w:r xmlns:w="http://schemas.openxmlformats.org/wordprocessingml/2006/main" w:rsidR="00851297">
        <w:instrText>HYPERLINK "https://occ.gov/publications-and-resources/publications/comptrollers-licensing-manual/files/licensing-booklet-branches-and-relocations.html"</w:instrText>
      </w:r>
      <w:r xmlns:w="http://schemas.openxmlformats.org/wordprocessingml/2006/main" w:rsidR="00851297">
        <w:fldChar w:fldCharType="begin"/>
      </w:r>
      <w:r w:rsidRPr="00431C95">
        <w:rPr>
          <w:rFonts w:ascii="CG Omega" w:hAnsi="CG Omega" w:cs="CG Omega"/>
          <w:color w:val="000000"/>
          <w:sz w:val="23"/>
          <w:szCs w:val="23"/>
        </w:rPr>
        <w:t xml:space="preserve"> “</w:t>
      </w:r>
    </w:p>
    <w:p w:rsidRPr="00431C95" w:rsidR="00431C95" w:rsidP="008249D7" w:rsidRDefault="00431C95" w14:paraId="579D94F8" w14:textId="77777777">
      <w:pPr>
        <w:pStyle w:val="ListParagraph"/>
        <w:autoSpaceDE w:val="0"/>
        <w:autoSpaceDN w:val="0"/>
        <w:adjustRightInd w:val="0"/>
        <w:spacing w:after="0" w:line="240" w:lineRule="auto"/>
        <w:ind w:left="0"/>
        <w:rPr>
          <w:rFonts w:ascii="CG Omega" w:hAnsi="CG Omega" w:cs="CG Omega"/>
          <w:color w:val="000000"/>
          <w:sz w:val="23"/>
          <w:szCs w:val="23"/>
        </w:rPr>
      </w:pPr>
    </w:p>
    <w:p w:rsidR="00431C95" w:rsidP="008249D7" w:rsidRDefault="00CE51EF" w14:paraId="549B0414" w14:textId="526C6AE7">
      <w:pPr>
        <w:pStyle w:val="ListParagraph"/>
        <w:numPr>
          <w:ilvl w:val="0"/>
          <w:numId w:val="21"/>
        </w:numPr>
        <w:ind w:left="360"/>
      </w:pPr>
      <w:r w:rsidRPr="00431C95">
        <w:t xml:space="preserve">In most cases, the location should include a city/town/village, county, and state, territory, or district. A street name should not be given. The location should be the same as that originally proposed and approved by the OCC. (12 USC 22, 30, 81) </w:t>
      </w:r>
    </w:p>
    <w:p w:rsidR="00431C95" w:rsidP="008249D7" w:rsidRDefault="00431C95" w14:paraId="5DB8818E" w14:textId="77777777">
      <w:pPr>
        <w:pStyle w:val="ListParagraph"/>
        <w:ind w:left="360"/>
      </w:pPr>
    </w:p>
    <w:p w:rsidR="00CE51EF" w:rsidP="008249D7" w:rsidRDefault="00CE51EF" w14:paraId="222C6A16" w14:textId="59F42619">
      <w:pPr>
        <w:pStyle w:val="ListParagraph"/>
        <w:numPr>
          <w:ilvl w:val="0"/>
          <w:numId w:val="21"/>
        </w:numPr>
        <w:ind w:left="360"/>
      </w:pPr>
      <w:r w:rsidRPr="00431C95">
        <w:t>Appropriate limitations on operations or services, for example, bankers’ banks, trust companies, and CEBA credit card banks, should be consistent with the preliminary conditional approval letter or subsequent correspondence. (12 USC 27, 92a, 1841(c)(2)(</w:t>
      </w:r>
      <w:r xmlns:w="http://schemas.openxmlformats.org/wordprocessingml/2006/main" w:rsidR="00ED6B9D">
        <w:t>D</w:t>
      </w:r>
      <w:r w:rsidRPr="00431C95">
        <w:t xml:space="preserve">) or </w:t>
      </w:r>
      <w:r xmlns:w="http://schemas.openxmlformats.org/wordprocessingml/2006/main" w:rsidR="00ED6B9D">
        <w:t>(c)(2)</w:t>
      </w:r>
      <w:r w:rsidRPr="00431C95">
        <w:t>(</w:t>
      </w:r>
      <w:r xmlns:w="http://schemas.openxmlformats.org/wordprocessingml/2006/main" w:rsidR="00ED6B9D">
        <w:t>F</w:t>
      </w:r>
      <w:r w:rsidRPr="00431C95">
        <w:t xml:space="preserve">)) </w:t>
      </w:r>
    </w:p>
    <w:p w:rsidRPr="00431C95" w:rsidR="008249D7" w:rsidP="008249D7" w:rsidRDefault="008249D7" w14:paraId="79F91B69" w14:textId="77777777">
      <w:pPr>
        <w:pStyle w:val="ListParagraph"/>
        <w:ind w:left="360"/>
      </w:pPr>
    </w:p>
    <w:p w:rsidR="00CE51EF" w:rsidP="008249D7" w:rsidRDefault="00CE51EF" w14:paraId="1CEE860B" w14:textId="4BC76533">
      <w:pPr>
        <w:pStyle w:val="ListParagraph"/>
        <w:numPr>
          <w:ilvl w:val="0"/>
          <w:numId w:val="21"/>
        </w:numPr>
        <w:ind w:left="360"/>
      </w:pPr>
      <w:r w:rsidRPr="00431C95">
        <w:t xml:space="preserve">Directors should number no less than five and no more than twenty-five, unless the OCC has exempted the bank from the 25-member limit. Information about qualifying shares and vacancies should be included. For a bankers’ bank, information about replacing participating banks should be included. (12 USC 27(b), 71a, 72, 73, 74 and 12 CFR 7.2005, 7.2007, and 7.2008) </w:t>
      </w:r>
    </w:p>
    <w:p w:rsidRPr="00431C95" w:rsidR="008249D7" w:rsidP="008249D7" w:rsidRDefault="008249D7" w14:paraId="3B822327" w14:textId="77777777">
      <w:pPr>
        <w:pStyle w:val="ListParagraph"/>
        <w:ind w:left="360"/>
      </w:pPr>
    </w:p>
    <w:p w:rsidR="00CE51EF" w:rsidP="008249D7" w:rsidRDefault="00CE51EF" w14:paraId="05990261" w14:textId="4E43AFA2">
      <w:pPr>
        <w:pStyle w:val="ListParagraph"/>
        <w:numPr>
          <w:ilvl w:val="0"/>
          <w:numId w:val="21"/>
        </w:numPr>
        <w:ind w:left="360"/>
      </w:pPr>
      <w:r w:rsidRPr="00431C95">
        <w:t>The annual shareholders’ meeting and the election of directors should be discussed. (12 USC 71, 75 and 12 CFR</w:t>
      </w:r>
      <w:r w:rsidRPr="00431C95">
        <w:t>, 7.2002, 7.2003, 7.2004, 7.2005, 7.2006, 7.2007)</w:t>
      </w:r>
    </w:p>
    <w:p w:rsidR="008249D7" w:rsidP="008249D7" w:rsidRDefault="008249D7" w14:paraId="277D866E" w14:textId="77777777">
      <w:pPr>
        <w:pStyle w:val="ListParagraph"/>
        <w:ind w:left="360"/>
      </w:pPr>
    </w:p>
    <w:p w:rsidRPr="00431C95" w:rsidR="00CE51EF" w:rsidP="008249D7" w:rsidRDefault="00CE51EF" w14:paraId="59FD076C" w14:textId="596D3C9D">
      <w:pPr>
        <w:pStyle w:val="ListParagraph"/>
        <w:numPr>
          <w:ilvl w:val="0"/>
          <w:numId w:val="21"/>
        </w:numPr>
        <w:ind w:left="360"/>
      </w:pPr>
      <w:r w:rsidRPr="00431C95">
        <w:t xml:space="preserve">There should be a discussion of all types and classes of the bank’s capital stock. (12 USC 51a, 51b, 51c, 52, 56, 57, 59 and 12 CFR 7.2021) </w:t>
      </w:r>
    </w:p>
    <w:p w:rsidRPr="00CE51EF" w:rsidR="00CE51EF" w:rsidP="008249D7" w:rsidRDefault="00CE51EF" w14:paraId="5B129F50" w14:textId="77777777">
      <w:pPr>
        <w:pStyle w:val="ListParagraph"/>
        <w:numPr>
          <w:ilvl w:val="0"/>
          <w:numId w:val="23"/>
        </w:numPr>
        <w:ind w:left="720"/>
      </w:pPr>
      <w:r w:rsidRPr="00CE51EF">
        <w:t xml:space="preserve">The par value of the stock should equal the amount that was approved by the OCC. </w:t>
      </w:r>
    </w:p>
    <w:p w:rsidRPr="00CE51EF" w:rsidR="00CE51EF" w:rsidP="008249D7" w:rsidRDefault="00CE51EF" w14:paraId="74769B2C" w14:textId="77777777">
      <w:pPr>
        <w:pStyle w:val="ListParagraph"/>
        <w:numPr>
          <w:ilvl w:val="0"/>
          <w:numId w:val="23"/>
        </w:numPr>
        <w:ind w:left="720"/>
      </w:pPr>
      <w:r w:rsidRPr="00CE51EF">
        <w:t xml:space="preserve">The authorized number of shares should equal the amount proposed by the bank and approved by the OCC. </w:t>
      </w:r>
    </w:p>
    <w:p w:rsidRPr="00CE51EF" w:rsidR="00CE51EF" w:rsidP="008249D7" w:rsidRDefault="00CE51EF" w14:paraId="7F98F675" w14:textId="54DF707F">
      <w:pPr>
        <w:pStyle w:val="ListParagraph"/>
        <w:numPr>
          <w:ilvl w:val="0"/>
          <w:numId w:val="23"/>
        </w:numPr>
        <w:ind w:left="720"/>
      </w:pPr>
      <w:r w:rsidRPr="00CE51EF">
        <w:t>Certain capital changes may require OCC approval. (See the “</w:t>
      </w:r>
      <w:r w:rsidRPr="008249D7">
        <w:rPr>
          <w:color w:val="0000FF"/>
          <w:u w:val="single"/>
        </w:rPr>
        <w:t xml:space="preserve">Capital </w:t>
      </w:r>
      <w:hyperlink w:history="1" r:id="rId11">
        <w:r w:rsidRPr="00332F83">
          <w:rPr>
            <w:color w:val="0000FF"/>
            <w:u w:val="single"/>
          </w:rPr>
          <w:t>and</w:t>
        </w:r>
      </w:hyperlink>
      <w:r w:rsidRPr="008249D7">
        <w:rPr>
          <w:color w:val="0000FF"/>
          <w:u w:val="single"/>
        </w:rPr>
        <w:t xml:space="preserve"> Dividends</w:t>
      </w:r>
      <w:r w:rsidRPr="00CE51EF">
        <w:t xml:space="preserve">” booklet.) </w:t>
      </w:r>
    </w:p>
    <w:p w:rsidRPr="00CE51EF" w:rsidR="00CE51EF" w:rsidP="008249D7" w:rsidRDefault="00CE51EF" w14:paraId="24689C9A" w14:textId="77777777">
      <w:pPr>
        <w:pStyle w:val="ListParagraph"/>
        <w:numPr>
          <w:ilvl w:val="0"/>
          <w:numId w:val="23"/>
        </w:numPr>
        <w:ind w:left="720"/>
      </w:pPr>
      <w:r w:rsidRPr="00CE51EF">
        <w:t xml:space="preserve">The shareholder preemptive rights discussion should follow the sample. (12 CFR 7.2021) </w:t>
      </w:r>
    </w:p>
    <w:p w:rsidRPr="00CE51EF" w:rsidR="00CE51EF" w:rsidP="008249D7" w:rsidRDefault="00CE51EF" w14:paraId="01052D96" w14:textId="77777777">
      <w:pPr>
        <w:pStyle w:val="ListParagraph"/>
        <w:numPr>
          <w:ilvl w:val="0"/>
          <w:numId w:val="23"/>
        </w:numPr>
        <w:ind w:left="720"/>
      </w:pPr>
      <w:r w:rsidRPr="00CE51EF">
        <w:t xml:space="preserve">If included, the issuance of subordinated debt discussion should follow the sample. </w:t>
      </w:r>
    </w:p>
    <w:p w:rsidR="00CE51EF" w:rsidP="008249D7" w:rsidRDefault="00CE51EF" w14:paraId="5F4D2828" w14:textId="32384588">
      <w:pPr>
        <w:pStyle w:val="ListParagraph"/>
        <w:numPr>
          <w:ilvl w:val="0"/>
          <w:numId w:val="23"/>
        </w:numPr>
        <w:ind w:left="720"/>
      </w:pPr>
      <w:r w:rsidRPr="00CE51EF">
        <w:t xml:space="preserve">For bankers’ banks only: Bankers’ banks may sell their stock only to depository institutions or their holding companies. </w:t>
      </w:r>
    </w:p>
    <w:p w:rsidRPr="00CE51EF" w:rsidR="008249D7" w:rsidP="008249D7" w:rsidRDefault="008249D7" w14:paraId="33D03C70" w14:textId="77777777">
      <w:pPr>
        <w:pStyle w:val="ListParagraph"/>
      </w:pPr>
    </w:p>
    <w:p w:rsidR="00CE51EF" w:rsidP="008249D7" w:rsidRDefault="00CE51EF" w14:paraId="622DCB01" w14:textId="7BE0C3FC">
      <w:pPr>
        <w:pStyle w:val="ListParagraph"/>
        <w:numPr>
          <w:ilvl w:val="0"/>
          <w:numId w:val="21"/>
        </w:numPr>
        <w:ind w:left="360"/>
      </w:pPr>
      <w:r w:rsidRPr="00431C95">
        <w:t xml:space="preserve">The articles must include the requirement that the president be a member of the board and discuss the board’s powers, including its ability to appoint and dismiss management. (12 USC 24(5), 76 and 12 CFR 7.2010 and 7.2012) </w:t>
      </w:r>
    </w:p>
    <w:p w:rsidRPr="00431C95" w:rsidR="008249D7" w:rsidP="008249D7" w:rsidRDefault="008249D7" w14:paraId="78CB8398" w14:textId="77777777">
      <w:pPr>
        <w:pStyle w:val="ListParagraph"/>
        <w:ind w:left="360"/>
      </w:pPr>
    </w:p>
    <w:p w:rsidR="00CE51EF" w:rsidP="008249D7" w:rsidRDefault="00CE51EF" w14:paraId="11D1DCBA" w14:textId="0890FE8E">
      <w:pPr>
        <w:pStyle w:val="ListParagraph"/>
        <w:numPr>
          <w:ilvl w:val="0"/>
          <w:numId w:val="21"/>
        </w:numPr>
        <w:ind w:left="360"/>
      </w:pPr>
      <w:r w:rsidRPr="00431C95">
        <w:t xml:space="preserve">The location of the main office and the establishment of branches should be discussed. (12 USC 30, 36) </w:t>
      </w:r>
    </w:p>
    <w:p w:rsidR="008249D7" w:rsidP="008249D7" w:rsidRDefault="008249D7" w14:paraId="4A57255A" w14:textId="77777777">
      <w:pPr>
        <w:pStyle w:val="ListParagraph"/>
        <w:ind w:left="360"/>
      </w:pPr>
    </w:p>
    <w:p w:rsidR="00CE51EF" w:rsidP="008249D7" w:rsidRDefault="00CE51EF" w14:paraId="3B0D8C9C" w14:textId="574D7530">
      <w:pPr>
        <w:pStyle w:val="ListParagraph"/>
        <w:numPr>
          <w:ilvl w:val="0"/>
          <w:numId w:val="21"/>
        </w:numPr>
        <w:ind w:left="360"/>
      </w:pPr>
      <w:r w:rsidRPr="00431C95">
        <w:t xml:space="preserve">The corporate existence of the association should be mentioned. (12 USC 24(2)) </w:t>
      </w:r>
    </w:p>
    <w:p w:rsidR="00332F83" w:rsidP="00332F83" w:rsidRDefault="00332F83" w14:paraId="71B78B83" w14:textId="77777777">
      <w:pPr>
        <w:pStyle w:val="ListParagraph"/>
      </w:pPr>
    </w:p>
    <w:p w:rsidR="00CE51EF" w:rsidP="008249D7" w:rsidRDefault="00CE51EF" w14:paraId="11D809A0" w14:textId="7ABAEC5F">
      <w:pPr>
        <w:pStyle w:val="ListParagraph"/>
        <w:numPr>
          <w:ilvl w:val="0"/>
          <w:numId w:val="21"/>
        </w:numPr>
        <w:ind w:left="360"/>
      </w:pPr>
      <w:r w:rsidRPr="008249D7">
        <w:lastRenderedPageBreak/>
        <w:t xml:space="preserve">The ability to call special meetings of the shareholders should be discussed. (Various statutes and regulations, including: 12 USC 30(b), 51a, 57, 59, 75, 181, 214a, 215, 215a, 215a-2, 215a-3, and 12 CFR 5.33) </w:t>
      </w:r>
    </w:p>
    <w:p w:rsidR="008249D7" w:rsidP="008249D7" w:rsidRDefault="00CE51EF" w14:paraId="4510EE84" w14:textId="77777777">
      <w:pPr>
        <w:pStyle w:val="ListParagraph"/>
        <w:numPr>
          <w:ilvl w:val="0"/>
          <w:numId w:val="21"/>
        </w:numPr>
        <w:ind w:left="360"/>
      </w:pPr>
      <w:r w:rsidRPr="008249D7">
        <w:t>Indemnity agreements should be consistent with 12 CFR 7.2014. If the payment of insurance premiums is included, the article should explicitly exclude coverage of liability for a formal order assessing civil money penalties against a director or employee.</w:t>
      </w:r>
    </w:p>
    <w:p w:rsidRPr="008249D7" w:rsidR="00CE51EF" w:rsidP="008249D7" w:rsidRDefault="00CE51EF" w14:paraId="27F60782" w14:textId="646A4C4E">
      <w:pPr>
        <w:pStyle w:val="ListParagraph"/>
        <w:ind w:left="360"/>
      </w:pPr>
    </w:p>
    <w:p w:rsidR="00CE51EF" w:rsidP="008249D7" w:rsidRDefault="00CE51EF" w14:paraId="248ACB8A" w14:textId="11C5FF72">
      <w:pPr>
        <w:pStyle w:val="ListParagraph"/>
        <w:numPr>
          <w:ilvl w:val="0"/>
          <w:numId w:val="21"/>
        </w:numPr>
        <w:ind w:left="360"/>
      </w:pPr>
      <w:r w:rsidRPr="008249D7">
        <w:t xml:space="preserve">National banking laws and regulations prohibit the adoption of certain anti- takeover and super-majority voting requirements that conflict with statutes and/or regulations specifying percentages of shareholder and director affirmative votes required to approve certain transactions. The OCC will evaluate all anti-takeover and super-majority voting requirements individually for consistency with legal, regulatory, policy, and supervisory considerations. </w:t>
      </w:r>
      <w:r xmlns:w="http://schemas.openxmlformats.org/wordprocessingml/2006/main" w:rsidR="007326F7">
        <w:t>Refer to 12 CFR 7.2001</w:t>
      </w:r>
      <w:r xmlns:w="http://schemas.openxmlformats.org/wordprocessingml/2006/main" w:rsidR="007326F7">
        <w:t>.</w:t>
      </w:r>
    </w:p>
    <w:p w:rsidR="008249D7" w:rsidP="008249D7" w:rsidRDefault="008249D7" w14:paraId="13E721A0" w14:textId="77777777">
      <w:pPr>
        <w:pStyle w:val="ListParagraph"/>
        <w:ind w:left="360"/>
      </w:pPr>
    </w:p>
    <w:p w:rsidR="00EF265F" w:rsidP="008249D7" w:rsidRDefault="00CE51EF" w14:paraId="6DF45EAD" w14:textId="50A6A48C">
      <w:pPr>
        <w:pStyle w:val="ListParagraph"/>
        <w:numPr>
          <w:ilvl w:val="0"/>
          <w:numId w:val="21"/>
        </w:numPr>
        <w:ind w:left="360"/>
      </w:pPr>
      <w:r w:rsidRPr="008249D7">
        <w:t xml:space="preserve"> At least five persons, all of whom signed the original application, must sign the articles. If there are more than five persons joining to organize a bank, all must sign the articles.</w:t>
      </w:r>
    </w:p>
    <w:sectPr w:rsidR="00EF2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52E0D5"/>
    <w:multiLevelType w:val="hybridMultilevel"/>
    <w:tmpl w:val="7A8BAD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071D7F"/>
    <w:multiLevelType w:val="hybridMultilevel"/>
    <w:tmpl w:val="DDE133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078BDE"/>
    <w:multiLevelType w:val="hybridMultilevel"/>
    <w:tmpl w:val="3C66D1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1A8F93"/>
    <w:multiLevelType w:val="hybridMultilevel"/>
    <w:tmpl w:val="53764FB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18CD1A"/>
    <w:multiLevelType w:val="hybridMultilevel"/>
    <w:tmpl w:val="40B82C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CB3FD6"/>
    <w:multiLevelType w:val="hybridMultilevel"/>
    <w:tmpl w:val="EE7E0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F1F41"/>
    <w:multiLevelType w:val="hybridMultilevel"/>
    <w:tmpl w:val="7868AF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1B6927"/>
    <w:multiLevelType w:val="hybridMultilevel"/>
    <w:tmpl w:val="9CCE0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16732"/>
    <w:multiLevelType w:val="hybridMultilevel"/>
    <w:tmpl w:val="59F20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81E7C"/>
    <w:multiLevelType w:val="hybridMultilevel"/>
    <w:tmpl w:val="80E2F6BC"/>
    <w:lvl w:ilvl="0" w:tplc="0409000F">
      <w:start w:val="1"/>
      <w:numFmt w:val="decimal"/>
      <w:lvlText w:val="%1."/>
      <w:lvlJc w:val="left"/>
      <w:pPr>
        <w:ind w:left="-360" w:hanging="360"/>
      </w:pPr>
    </w:lvl>
    <w:lvl w:ilvl="1" w:tplc="0409000F">
      <w:start w:val="1"/>
      <w:numFmt w:val="decimal"/>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6E721CC"/>
    <w:multiLevelType w:val="hybridMultilevel"/>
    <w:tmpl w:val="8D4C1B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3384EB"/>
    <w:multiLevelType w:val="hybridMultilevel"/>
    <w:tmpl w:val="DE95E30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0741DC3"/>
    <w:multiLevelType w:val="hybridMultilevel"/>
    <w:tmpl w:val="E28ED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F1428E"/>
    <w:multiLevelType w:val="hybridMultilevel"/>
    <w:tmpl w:val="AF5CE8E6"/>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3AB2756F"/>
    <w:multiLevelType w:val="hybridMultilevel"/>
    <w:tmpl w:val="84927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85412"/>
    <w:multiLevelType w:val="hybridMultilevel"/>
    <w:tmpl w:val="E55ED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53F39"/>
    <w:multiLevelType w:val="hybridMultilevel"/>
    <w:tmpl w:val="4EEC4D6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7242365"/>
    <w:multiLevelType w:val="hybridMultilevel"/>
    <w:tmpl w:val="8F2225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A40360C"/>
    <w:multiLevelType w:val="hybridMultilevel"/>
    <w:tmpl w:val="4B904F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3D6B64"/>
    <w:multiLevelType w:val="hybridMultilevel"/>
    <w:tmpl w:val="57D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05EFB"/>
    <w:multiLevelType w:val="hybridMultilevel"/>
    <w:tmpl w:val="11F6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171A0"/>
    <w:multiLevelType w:val="hybridMultilevel"/>
    <w:tmpl w:val="B582F0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931FE1"/>
    <w:multiLevelType w:val="hybridMultilevel"/>
    <w:tmpl w:val="752228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4173AF"/>
    <w:multiLevelType w:val="hybridMultilevel"/>
    <w:tmpl w:val="A1387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2"/>
  </w:num>
  <w:num w:numId="5">
    <w:abstractNumId w:val="0"/>
  </w:num>
  <w:num w:numId="6">
    <w:abstractNumId w:val="1"/>
  </w:num>
  <w:num w:numId="7">
    <w:abstractNumId w:val="17"/>
  </w:num>
  <w:num w:numId="8">
    <w:abstractNumId w:val="18"/>
  </w:num>
  <w:num w:numId="9">
    <w:abstractNumId w:val="14"/>
  </w:num>
  <w:num w:numId="10">
    <w:abstractNumId w:val="20"/>
  </w:num>
  <w:num w:numId="11">
    <w:abstractNumId w:val="21"/>
  </w:num>
  <w:num w:numId="12">
    <w:abstractNumId w:val="15"/>
  </w:num>
  <w:num w:numId="13">
    <w:abstractNumId w:val="6"/>
  </w:num>
  <w:num w:numId="14">
    <w:abstractNumId w:val="13"/>
  </w:num>
  <w:num w:numId="15">
    <w:abstractNumId w:val="10"/>
  </w:num>
  <w:num w:numId="16">
    <w:abstractNumId w:val="9"/>
  </w:num>
  <w:num w:numId="17">
    <w:abstractNumId w:val="5"/>
  </w:num>
  <w:num w:numId="18">
    <w:abstractNumId w:val="22"/>
  </w:num>
  <w:num w:numId="19">
    <w:abstractNumId w:val="19"/>
  </w:num>
  <w:num w:numId="20">
    <w:abstractNumId w:val="16"/>
  </w:num>
  <w:num w:numId="21">
    <w:abstractNumId w:val="8"/>
  </w:num>
  <w:num w:numId="22">
    <w:abstractNumId w:val="7"/>
  </w:num>
  <w:num w:numId="23">
    <w:abstractNumId w:val="12"/>
  </w:num>
  <w:num w:numId="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otman, Meisha M">
    <w15:presenceInfo w15:providerId="AD" w15:userId="S::MEISHA.BOOTMAN@OCC.TREAS.GOV::f83f624d-ba01-4590-b45a-c0ce59db2efe"/>
  </w15:person>
  <w15:person w15:author="Behne, Kevin">
    <w15:presenceInfo w15:providerId="AD" w15:userId="S::Kevin.Behne@occ.treas.gov::d3d7220d-1eae-4d8d-b3a4-09c77e3c42a0"/>
  </w15:person>
  <w15:person w15:author="Cleva, Richard">
    <w15:presenceInfo w15:providerId="AD" w15:userId="S::Richard.Cleva@occ.treas.gov::b0db3e95-dc4f-46d5-ac53-d67a02e0a5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EF"/>
    <w:rsid w:val="00035460"/>
    <w:rsid w:val="002238DE"/>
    <w:rsid w:val="00332F83"/>
    <w:rsid w:val="00431C95"/>
    <w:rsid w:val="004611D5"/>
    <w:rsid w:val="004D3EF3"/>
    <w:rsid w:val="00701483"/>
    <w:rsid w:val="007326F7"/>
    <w:rsid w:val="007D1964"/>
    <w:rsid w:val="008249D7"/>
    <w:rsid w:val="00851297"/>
    <w:rsid w:val="00906743"/>
    <w:rsid w:val="00A33DEF"/>
    <w:rsid w:val="00CE51EF"/>
    <w:rsid w:val="00CF5783"/>
    <w:rsid w:val="00D328DB"/>
    <w:rsid w:val="00E832F9"/>
    <w:rsid w:val="00ED6B9D"/>
    <w:rsid w:val="00FB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9BD7"/>
  <w15:chartTrackingRefBased/>
  <w15:docId w15:val="{D14A9DDA-E7FE-4AE9-B673-5ECA985E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51EF"/>
    <w:pPr>
      <w:autoSpaceDE w:val="0"/>
      <w:autoSpaceDN w:val="0"/>
      <w:adjustRightInd w:val="0"/>
      <w:spacing w:after="0" w:line="240" w:lineRule="auto"/>
    </w:pPr>
    <w:rPr>
      <w:rFonts w:ascii="CG Omega" w:hAnsi="CG Omega" w:cs="CG Omega"/>
      <w:color w:val="000000"/>
      <w:sz w:val="24"/>
      <w:szCs w:val="24"/>
    </w:rPr>
  </w:style>
  <w:style w:type="paragraph" w:styleId="BodyTextIndent">
    <w:name w:val="Body Text Indent"/>
    <w:basedOn w:val="Default"/>
    <w:next w:val="Default"/>
    <w:link w:val="BodyTextIndentChar"/>
    <w:uiPriority w:val="99"/>
    <w:rsid w:val="00CE51EF"/>
    <w:rPr>
      <w:rFonts w:cstheme="minorBidi"/>
      <w:color w:val="auto"/>
    </w:rPr>
  </w:style>
  <w:style w:type="character" w:customStyle="1" w:styleId="BodyTextIndentChar">
    <w:name w:val="Body Text Indent Char"/>
    <w:basedOn w:val="DefaultParagraphFont"/>
    <w:link w:val="BodyTextIndent"/>
    <w:uiPriority w:val="99"/>
    <w:rsid w:val="00CE51EF"/>
    <w:rPr>
      <w:rFonts w:ascii="CG Omega" w:hAnsi="CG Omega"/>
      <w:sz w:val="24"/>
      <w:szCs w:val="24"/>
    </w:rPr>
  </w:style>
  <w:style w:type="paragraph" w:styleId="BodyTextIndent2">
    <w:name w:val="Body Text Indent 2"/>
    <w:basedOn w:val="Default"/>
    <w:next w:val="Default"/>
    <w:link w:val="BodyTextIndent2Char"/>
    <w:uiPriority w:val="99"/>
    <w:rsid w:val="00CE51EF"/>
    <w:rPr>
      <w:rFonts w:cstheme="minorBidi"/>
      <w:color w:val="auto"/>
    </w:rPr>
  </w:style>
  <w:style w:type="character" w:customStyle="1" w:styleId="BodyTextIndent2Char">
    <w:name w:val="Body Text Indent 2 Char"/>
    <w:basedOn w:val="DefaultParagraphFont"/>
    <w:link w:val="BodyTextIndent2"/>
    <w:uiPriority w:val="99"/>
    <w:rsid w:val="00CE51EF"/>
    <w:rPr>
      <w:rFonts w:ascii="CG Omega" w:hAnsi="CG Omega"/>
      <w:sz w:val="24"/>
      <w:szCs w:val="24"/>
    </w:rPr>
  </w:style>
  <w:style w:type="paragraph" w:styleId="ListParagraph">
    <w:name w:val="List Paragraph"/>
    <w:basedOn w:val="Normal"/>
    <w:uiPriority w:val="34"/>
    <w:qFormat/>
    <w:rsid w:val="00CE51EF"/>
    <w:pPr>
      <w:ind w:left="720"/>
      <w:contextualSpacing/>
    </w:pPr>
  </w:style>
  <w:style w:type="character" w:styleId="Hyperlink">
    <w:name w:val="Hyperlink"/>
    <w:basedOn w:val="DefaultParagraphFont"/>
    <w:uiPriority w:val="99"/>
    <w:unhideWhenUsed/>
    <w:rsid w:val="00CE51EF"/>
    <w:rPr>
      <w:color w:val="0563C1" w:themeColor="hyperlink"/>
      <w:u w:val="single"/>
    </w:rPr>
  </w:style>
  <w:style w:type="character" w:styleId="UnresolvedMention">
    <w:name w:val="Unresolved Mention"/>
    <w:basedOn w:val="DefaultParagraphFont"/>
    <w:uiPriority w:val="99"/>
    <w:semiHidden/>
    <w:unhideWhenUsed/>
    <w:rsid w:val="00CE51EF"/>
    <w:rPr>
      <w:color w:val="605E5C"/>
      <w:shd w:val="clear" w:color="auto" w:fill="E1DFDD"/>
    </w:rPr>
  </w:style>
  <w:style w:type="character" w:styleId="FollowedHyperlink">
    <w:name w:val="FollowedHyperlink"/>
    <w:basedOn w:val="DefaultParagraphFont"/>
    <w:uiPriority w:val="99"/>
    <w:semiHidden/>
    <w:unhideWhenUsed/>
    <w:rsid w:val="00CE51EF"/>
    <w:rPr>
      <w:color w:val="954F72" w:themeColor="followedHyperlink"/>
      <w:u w:val="single"/>
    </w:rPr>
  </w:style>
  <w:style w:type="character" w:styleId="CommentReference">
    <w:name w:val="annotation reference"/>
    <w:basedOn w:val="DefaultParagraphFont"/>
    <w:uiPriority w:val="99"/>
    <w:semiHidden/>
    <w:unhideWhenUsed/>
    <w:rsid w:val="004D3EF3"/>
    <w:rPr>
      <w:sz w:val="16"/>
      <w:szCs w:val="16"/>
    </w:rPr>
  </w:style>
  <w:style w:type="paragraph" w:styleId="CommentText">
    <w:name w:val="annotation text"/>
    <w:basedOn w:val="Normal"/>
    <w:link w:val="CommentTextChar"/>
    <w:uiPriority w:val="99"/>
    <w:semiHidden/>
    <w:unhideWhenUsed/>
    <w:rsid w:val="004D3EF3"/>
    <w:pPr>
      <w:spacing w:line="240" w:lineRule="auto"/>
    </w:pPr>
    <w:rPr>
      <w:sz w:val="20"/>
      <w:szCs w:val="20"/>
    </w:rPr>
  </w:style>
  <w:style w:type="character" w:customStyle="1" w:styleId="CommentTextChar">
    <w:name w:val="Comment Text Char"/>
    <w:basedOn w:val="DefaultParagraphFont"/>
    <w:link w:val="CommentText"/>
    <w:uiPriority w:val="99"/>
    <w:semiHidden/>
    <w:rsid w:val="004D3EF3"/>
    <w:rPr>
      <w:sz w:val="20"/>
      <w:szCs w:val="20"/>
    </w:rPr>
  </w:style>
  <w:style w:type="paragraph" w:styleId="CommentSubject">
    <w:name w:val="annotation subject"/>
    <w:basedOn w:val="CommentText"/>
    <w:next w:val="CommentText"/>
    <w:link w:val="CommentSubjectChar"/>
    <w:uiPriority w:val="99"/>
    <w:semiHidden/>
    <w:unhideWhenUsed/>
    <w:rsid w:val="004D3EF3"/>
    <w:rPr>
      <w:b/>
      <w:bCs/>
    </w:rPr>
  </w:style>
  <w:style w:type="character" w:customStyle="1" w:styleId="CommentSubjectChar">
    <w:name w:val="Comment Subject Char"/>
    <w:basedOn w:val="CommentTextChar"/>
    <w:link w:val="CommentSubject"/>
    <w:uiPriority w:val="99"/>
    <w:semiHidden/>
    <w:rsid w:val="004D3EF3"/>
    <w:rPr>
      <w:b/>
      <w:bCs/>
      <w:sz w:val="20"/>
      <w:szCs w:val="20"/>
    </w:rPr>
  </w:style>
  <w:style w:type="paragraph" w:styleId="BalloonText">
    <w:name w:val="Balloon Text"/>
    <w:basedOn w:val="Normal"/>
    <w:link w:val="BalloonTextChar"/>
    <w:uiPriority w:val="99"/>
    <w:semiHidden/>
    <w:unhideWhenUsed/>
    <w:rsid w:val="004D3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occ.gov/publications-and-resources/publications/comptrollers-licensing-manual/files/licensing-booklet-capital-and-dividends.html" TargetMode="External"/><Relationship Id="rId5" Type="http://schemas.openxmlformats.org/officeDocument/2006/relationships/customXml" Target="../customXml/item5.xml"/><Relationship Id="rId10" Type="http://schemas.openxmlformats.org/officeDocument/2006/relationships/hyperlink" Target="https://www.occ.gov/publications-and-resources/publications/comptrollers-licensing-manual/files/licensing-booklet-charter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aa48f0ae-7653-44c8-b127-2d83e9d522e5"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2DCAC-6DBB-4615-B615-8398C9061950}">
  <ds:schemaRefs>
    <ds:schemaRef ds:uri="http://schemas.openxmlformats.org/officeDocument/2006/bibliography"/>
  </ds:schemaRefs>
</ds:datastoreItem>
</file>

<file path=customXml/itemProps2.xml><?xml version="1.0" encoding="utf-8"?>
<ds:datastoreItem xmlns:ds="http://schemas.openxmlformats.org/officeDocument/2006/customXml" ds:itemID="{56C369C2-8B4D-4292-A83E-66CA1BED57D1}">
  <ds:schemaRefs>
    <ds:schemaRef ds:uri="Microsoft.SharePoint.Taxonomy.ContentTypeSync"/>
  </ds:schemaRefs>
</ds:datastoreItem>
</file>

<file path=customXml/itemProps3.xml><?xml version="1.0" encoding="utf-8"?>
<ds:datastoreItem xmlns:ds="http://schemas.openxmlformats.org/officeDocument/2006/customXml" ds:itemID="{E1553956-4995-4772-826B-DCDD2DB7F124}">
  <ds:schemaRefs>
    <ds:schemaRef ds:uri="http://schemas.microsoft.com/sharepoint/v3/contenttype/forms"/>
  </ds:schemaRefs>
</ds:datastoreItem>
</file>

<file path=customXml/itemProps4.xml><?xml version="1.0" encoding="utf-8"?>
<ds:datastoreItem xmlns:ds="http://schemas.openxmlformats.org/officeDocument/2006/customXml" ds:itemID="{21889208-4BAA-41EC-8F5B-CCD7AC5649C4}">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6f095830-e5d4-4888-b370-1bdc7e94aad0"/>
    <ds:schemaRef ds:uri="http://purl.org/dc/elements/1.1/"/>
  </ds:schemaRefs>
</ds:datastoreItem>
</file>

<file path=customXml/itemProps5.xml><?xml version="1.0" encoding="utf-8"?>
<ds:datastoreItem xmlns:ds="http://schemas.openxmlformats.org/officeDocument/2006/customXml" ds:itemID="{F516877D-E8FF-47D6-BD93-5179B5B4A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the Comptroller of the Currency</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Bootman, Meisha M</dc:creator>
  <cp:keywords/>
  <dc:description/>
  <cp:lastModifiedBy>Gottlieb, Mary</cp:lastModifiedBy>
  <cp:revision>2</cp:revision>
  <dcterms:created xsi:type="dcterms:W3CDTF">2022-05-11T18:32:00Z</dcterms:created>
  <dcterms:modified xsi:type="dcterms:W3CDTF">2022-05-11T18:32:00Z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ies>
</file>