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895" w:rsidRPr="00AD381B" w:rsidP="00973895" w14:paraId="4A6DC4C6" w14:textId="77777777">
      <w:pPr>
        <w:pStyle w:val="Heading1"/>
        <w:rPr>
          <w:sz w:val="24"/>
          <w:szCs w:val="24"/>
        </w:rPr>
      </w:pPr>
      <w:r w:rsidRPr="00AD381B">
        <w:rPr>
          <w:sz w:val="24"/>
          <w:szCs w:val="24"/>
        </w:rPr>
        <w:t>SUPPORTING STATEMENT</w:t>
      </w:r>
    </w:p>
    <w:p w:rsidR="00973895" w:rsidRPr="00AD381B" w:rsidP="00973895" w14:paraId="7022C2D5" w14:textId="77777777">
      <w:pPr>
        <w:pStyle w:val="Heading1"/>
        <w:rPr>
          <w:sz w:val="24"/>
          <w:szCs w:val="24"/>
        </w:rPr>
      </w:pPr>
      <w:r w:rsidRPr="00AD381B">
        <w:rPr>
          <w:sz w:val="24"/>
          <w:szCs w:val="24"/>
        </w:rPr>
        <w:t>FOR PAPERWORK REDUCTION ACT SUBMISSION</w:t>
      </w:r>
    </w:p>
    <w:p w:rsidR="00973895" w:rsidRPr="00AD381B" w:rsidP="00973895" w14:paraId="00995C98" w14:textId="77777777">
      <w:pPr>
        <w:tabs>
          <w:tab w:val="left" w:pos="0"/>
        </w:tabs>
        <w:suppressAutoHyphens/>
        <w:rPr>
          <w:rFonts w:ascii="Times New Roman" w:hAnsi="Times New Roman"/>
          <w:szCs w:val="24"/>
        </w:rPr>
      </w:pPr>
    </w:p>
    <w:p w:rsidR="00973895" w:rsidRPr="00AD381B" w:rsidP="00973895" w14:paraId="1681E666"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973895" w:rsidP="00973895" w14:paraId="10708CDC" w14:textId="77777777">
      <w:pPr>
        <w:pStyle w:val="ListParagraph"/>
        <w:suppressAutoHyphens/>
        <w:spacing w:line="240" w:lineRule="exact"/>
        <w:rPr>
          <w:rFonts w:ascii="Times New Roman" w:hAnsi="Times New Roman"/>
          <w:szCs w:val="24"/>
        </w:rPr>
      </w:pPr>
    </w:p>
    <w:p w:rsidR="00973895" w:rsidRPr="00AF2284" w:rsidP="00973895" w14:paraId="48D87C92" w14:textId="1104E83A">
      <w:pPr>
        <w:pStyle w:val="ListParagraph"/>
        <w:suppressAutoHyphens/>
        <w:spacing w:line="240" w:lineRule="exact"/>
        <w:rPr>
          <w:rFonts w:ascii="Times New Roman" w:hAnsi="Times New Roman"/>
        </w:rPr>
      </w:pPr>
      <w:r w:rsidRPr="00474A4B">
        <w:rPr>
          <w:rFonts w:ascii="Times New Roman" w:hAnsi="Times New Roman"/>
        </w:rPr>
        <w:t>This is a request for</w:t>
      </w:r>
      <w:r>
        <w:rPr>
          <w:rFonts w:ascii="Times New Roman" w:hAnsi="Times New Roman"/>
        </w:rPr>
        <w:t xml:space="preserve"> an extension without change of</w:t>
      </w:r>
      <w:r w:rsidRPr="00474A4B">
        <w:rPr>
          <w:rFonts w:ascii="Times New Roman" w:hAnsi="Times New Roman"/>
        </w:rPr>
        <w:t xml:space="preserve"> a</w:t>
      </w:r>
      <w:r>
        <w:rPr>
          <w:rFonts w:ascii="Times New Roman" w:hAnsi="Times New Roman"/>
        </w:rPr>
        <w:t>n existing</w:t>
      </w:r>
      <w:r w:rsidRPr="00474A4B">
        <w:rPr>
          <w:rFonts w:ascii="Times New Roman" w:hAnsi="Times New Roman"/>
        </w:rPr>
        <w:t xml:space="preserve"> information collection</w:t>
      </w:r>
      <w:r>
        <w:rPr>
          <w:rFonts w:ascii="Times New Roman" w:hAnsi="Times New Roman"/>
        </w:rPr>
        <w:t>, 1810-0745</w:t>
      </w:r>
      <w:r>
        <w:rPr>
          <w:rFonts w:ascii="Times New Roman" w:hAnsi="Times New Roman"/>
        </w:rPr>
        <w:t>. This collection</w:t>
      </w:r>
      <w:r w:rsidRPr="00474A4B">
        <w:rPr>
          <w:rFonts w:ascii="Times New Roman" w:hAnsi="Times New Roman"/>
        </w:rPr>
        <w:t xml:space="preserve"> solicit</w:t>
      </w:r>
      <w:r>
        <w:rPr>
          <w:rFonts w:ascii="Times New Roman" w:hAnsi="Times New Roman"/>
        </w:rPr>
        <w:t>s</w:t>
      </w:r>
      <w:r w:rsidRPr="00474A4B">
        <w:rPr>
          <w:rFonts w:ascii="Times New Roman" w:hAnsi="Times New Roman"/>
        </w:rPr>
        <w:t xml:space="preserve"> from States, Outlying Areas, and State educational agencies (SEAs) maintenance of effort (MOE) data under section 18008 of the CARES Act.  Under four programs – the Governor’s Emergency Education Relief Fund (GEER Fund, Section 18002) and the Elementary and Secondary School Emergency Relief Fund (ESSER Fund, Section 18003) and two formula grant programs to the Outlying Areas authorized under Section 18001(a)(1),Education Stabilization Fund-State Educational Agencies (ESF-SEA) and Education Stabilization Fund-Governors (ESF-Governor) – States are required to maintain fiscal effort on behalf of elementary, secondary and postsecondary education. Recipients of the resources from the ESSER Fund, the GEER Fund, the ESF-SEA Fund, and the ESF-Governor Fund have signed Certifications and Agreements, in which they agree to abide by the provisions of the CARES Act, including MOE requirement.</w:t>
      </w:r>
      <w:r>
        <w:rPr>
          <w:rFonts w:ascii="Times New Roman" w:hAnsi="Times New Roman"/>
        </w:rPr>
        <w:t xml:space="preserve"> I</w:t>
      </w:r>
      <w:r w:rsidRPr="001A1339">
        <w:rPr>
          <w:rFonts w:ascii="Times New Roman" w:hAnsi="Times New Roman"/>
        </w:rPr>
        <w:t xml:space="preserve">n the publication of frequently asked questions regarding the Maintenance of Effort requirement, ED issued guidance and a sample form for States and Outlying Areas to submit this statutorily required data. (See Appendix </w:t>
      </w:r>
      <w:r w:rsidR="004C6185">
        <w:rPr>
          <w:rFonts w:ascii="Times New Roman" w:hAnsi="Times New Roman"/>
        </w:rPr>
        <w:t>B</w:t>
      </w:r>
      <w:r w:rsidRPr="001A1339" w:rsidR="004C6185">
        <w:rPr>
          <w:rFonts w:ascii="Times New Roman" w:hAnsi="Times New Roman"/>
        </w:rPr>
        <w:t xml:space="preserve"> </w:t>
      </w:r>
      <w:r w:rsidRPr="001A1339">
        <w:rPr>
          <w:rFonts w:ascii="Times New Roman" w:hAnsi="Times New Roman"/>
        </w:rPr>
        <w:t>in</w:t>
      </w:r>
      <w:r w:rsidRPr="00744F86" w:rsidR="00744F86">
        <w:rPr>
          <w:rFonts w:ascii="Times New Roman" w:hAnsi="Times New Roman"/>
        </w:rPr>
        <w:t>https://oese.ed.gov/files/2022/09/8.15.22-Update_MOE-Chart-with-waiver-FAQs-Rounding-and-Appendices-Updated1.pdf</w:t>
      </w:r>
      <w:r w:rsidRPr="001A1339">
        <w:rPr>
          <w:rFonts w:ascii="Times New Roman" w:hAnsi="Times New Roman"/>
        </w:rPr>
        <w:t>)</w:t>
      </w:r>
    </w:p>
    <w:p w:rsidR="00973895" w:rsidRPr="00AD381B" w:rsidP="00973895" w14:paraId="342FC86A" w14:textId="77777777">
      <w:pPr>
        <w:pStyle w:val="ListParagraph"/>
        <w:suppressAutoHyphens/>
        <w:spacing w:line="240" w:lineRule="exact"/>
        <w:contextualSpacing w:val="0"/>
        <w:rPr>
          <w:rFonts w:ascii="Times New Roman" w:hAnsi="Times New Roman"/>
          <w:szCs w:val="24"/>
        </w:rPr>
      </w:pPr>
    </w:p>
    <w:p w:rsidR="00973895" w:rsidP="00973895" w14:paraId="282864B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73895" w:rsidP="00973895" w14:paraId="30ACDB5C" w14:textId="77777777">
      <w:pPr>
        <w:suppressAutoHyphens/>
        <w:spacing w:line="240" w:lineRule="exact"/>
        <w:ind w:firstLine="720"/>
        <w:rPr>
          <w:rFonts w:ascii="Times New Roman" w:hAnsi="Times New Roman"/>
          <w:szCs w:val="24"/>
        </w:rPr>
      </w:pPr>
    </w:p>
    <w:p w:rsidR="00973895" w:rsidRPr="006B2BF5" w:rsidP="00CF586D" w14:paraId="72681D34" w14:textId="7BA85A74">
      <w:pPr>
        <w:pStyle w:val="ListParagraph"/>
        <w:suppressAutoHyphens/>
        <w:spacing w:line="240" w:lineRule="exact"/>
        <w:rPr>
          <w:rFonts w:ascii="Times New Roman" w:hAnsi="Times New Roman"/>
        </w:rPr>
      </w:pPr>
      <w:r w:rsidRPr="00474A4B">
        <w:rPr>
          <w:rFonts w:ascii="Times New Roman" w:hAnsi="Times New Roman"/>
        </w:rPr>
        <w:t>The information will be reviewed by U.S. Department of Education employees to ensure that States and Outlying Areas maintain support for elementary and secondary education, and State support for higher education in fiscal years 2020 and 2021 at least at the levels of such support that is the average of such State’s support for elementary and secondary education and for higher education provided in the 3 fiscal years preceding the date of enactment of the CARES Act.</w:t>
      </w:r>
      <w:r>
        <w:rPr>
          <w:rFonts w:ascii="Times New Roman" w:hAnsi="Times New Roman"/>
        </w:rPr>
        <w:t xml:space="preserve"> </w:t>
      </w:r>
      <w:r w:rsidR="0020474A">
        <w:rPr>
          <w:rFonts w:ascii="Times New Roman" w:hAnsi="Times New Roman"/>
        </w:rPr>
        <w:t>The information will also allow the U.S. Department of Education to ensure</w:t>
      </w:r>
      <w:r w:rsidRPr="0020474A" w:rsidR="0020474A">
        <w:rPr>
          <w:rFonts w:ascii="Times New Roman" w:hAnsi="Times New Roman"/>
        </w:rPr>
        <w:t xml:space="preserve"> </w:t>
      </w:r>
      <w:r w:rsidRPr="00474A4B" w:rsidR="0020474A">
        <w:rPr>
          <w:rFonts w:ascii="Times New Roman" w:hAnsi="Times New Roman"/>
        </w:rPr>
        <w:t xml:space="preserve">that States and Outlying Areas maintain </w:t>
      </w:r>
      <w:r w:rsidR="00CF586D">
        <w:rPr>
          <w:rFonts w:ascii="Times New Roman" w:hAnsi="Times New Roman"/>
        </w:rPr>
        <w:t>t</w:t>
      </w:r>
      <w:r w:rsidRPr="00CF586D" w:rsidR="00CF586D">
        <w:rPr>
          <w:rFonts w:ascii="Times New Roman" w:hAnsi="Times New Roman"/>
        </w:rPr>
        <w:t>he proportion of spending used to support elementary and secondary education</w:t>
      </w:r>
      <w:r w:rsidR="00022660">
        <w:rPr>
          <w:rFonts w:ascii="Times New Roman" w:hAnsi="Times New Roman"/>
        </w:rPr>
        <w:t xml:space="preserve"> and</w:t>
      </w:r>
      <w:r w:rsidR="00CF586D">
        <w:rPr>
          <w:rFonts w:ascii="Times New Roman" w:hAnsi="Times New Roman"/>
        </w:rPr>
        <w:t xml:space="preserve"> high</w:t>
      </w:r>
      <w:r w:rsidR="00022660">
        <w:rPr>
          <w:rFonts w:ascii="Times New Roman" w:hAnsi="Times New Roman"/>
        </w:rPr>
        <w:t>er</w:t>
      </w:r>
      <w:r w:rsidR="00CF586D">
        <w:rPr>
          <w:rFonts w:ascii="Times New Roman" w:hAnsi="Times New Roman"/>
        </w:rPr>
        <w:t xml:space="preserve"> education, </w:t>
      </w:r>
      <w:r w:rsidRPr="006D0756" w:rsidR="00022660">
        <w:rPr>
          <w:rFonts w:ascii="Times New Roman" w:hAnsi="Times New Roman"/>
        </w:rPr>
        <w:t>relative to the State’s overall spending</w:t>
      </w:r>
      <w:r w:rsidR="00022660">
        <w:rPr>
          <w:rFonts w:ascii="Times New Roman" w:hAnsi="Times New Roman"/>
        </w:rPr>
        <w:t>,</w:t>
      </w:r>
      <w:r w:rsidRPr="00022660" w:rsidR="00022660">
        <w:rPr>
          <w:rFonts w:ascii="Times New Roman" w:hAnsi="Times New Roman"/>
        </w:rPr>
        <w:t xml:space="preserve"> </w:t>
      </w:r>
      <w:r w:rsidRPr="006B2BF5" w:rsidR="0020474A">
        <w:rPr>
          <w:rFonts w:ascii="Times New Roman" w:hAnsi="Times New Roman"/>
        </w:rPr>
        <w:t>in fiscal years 2022 and 2023</w:t>
      </w:r>
      <w:r w:rsidR="0078789E">
        <w:rPr>
          <w:rFonts w:ascii="Times New Roman" w:hAnsi="Times New Roman"/>
        </w:rPr>
        <w:t xml:space="preserve"> for </w:t>
      </w:r>
      <w:r w:rsidRPr="00474A4B" w:rsidR="0078789E">
        <w:rPr>
          <w:rFonts w:ascii="Times New Roman" w:hAnsi="Times New Roman"/>
        </w:rPr>
        <w:t>elementary and secondary education and for higher education</w:t>
      </w:r>
      <w:r w:rsidR="0078789E">
        <w:rPr>
          <w:rFonts w:ascii="Times New Roman" w:hAnsi="Times New Roman"/>
        </w:rPr>
        <w:t xml:space="preserve"> </w:t>
      </w:r>
      <w:r w:rsidR="00B934EC">
        <w:rPr>
          <w:rFonts w:ascii="Times New Roman" w:hAnsi="Times New Roman"/>
        </w:rPr>
        <w:t xml:space="preserve">in the </w:t>
      </w:r>
      <w:r w:rsidR="0078789E">
        <w:rPr>
          <w:rFonts w:ascii="Times New Roman" w:hAnsi="Times New Roman"/>
        </w:rPr>
        <w:t>baseline years (the average of fiscal years 2017, 2018,</w:t>
      </w:r>
      <w:r w:rsidR="006B2BF5">
        <w:rPr>
          <w:rFonts w:ascii="Times New Roman" w:hAnsi="Times New Roman"/>
        </w:rPr>
        <w:t xml:space="preserve"> and</w:t>
      </w:r>
      <w:r w:rsidR="0078789E">
        <w:rPr>
          <w:rFonts w:ascii="Times New Roman" w:hAnsi="Times New Roman"/>
        </w:rPr>
        <w:t xml:space="preserve"> 2019).</w:t>
      </w:r>
    </w:p>
    <w:p w:rsidR="00973895" w:rsidRPr="00AD381B" w:rsidP="00973895" w14:paraId="1F354A5B" w14:textId="77777777">
      <w:pPr>
        <w:suppressAutoHyphens/>
        <w:spacing w:line="240" w:lineRule="exact"/>
        <w:rPr>
          <w:rFonts w:ascii="Times New Roman" w:hAnsi="Times New Roman"/>
          <w:szCs w:val="24"/>
        </w:rPr>
      </w:pPr>
    </w:p>
    <w:p w:rsidR="00973895" w:rsidRPr="00AD381B" w:rsidP="00973895" w14:paraId="5A723F4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w:t>
      </w:r>
      <w:r>
        <w:rPr>
          <w:rFonts w:ascii="Times New Roman" w:hAnsi="Times New Roman"/>
          <w:b/>
          <w:szCs w:val="24"/>
        </w:rPr>
        <w:t>decrease in burden related to using technology (e.g. using an electronic form, system or website from paper), please explain in number 12.</w:t>
      </w:r>
    </w:p>
    <w:p w:rsidR="00973895" w:rsidP="00973895" w14:paraId="6BF265CD" w14:textId="77777777">
      <w:pPr>
        <w:pStyle w:val="ListParagraph"/>
        <w:tabs>
          <w:tab w:val="left" w:pos="-720"/>
        </w:tabs>
        <w:suppressAutoHyphens/>
        <w:contextualSpacing w:val="0"/>
        <w:rPr>
          <w:rFonts w:ascii="Times New Roman" w:hAnsi="Times New Roman"/>
          <w:szCs w:val="24"/>
        </w:rPr>
      </w:pPr>
    </w:p>
    <w:p w:rsidR="00973895" w:rsidRPr="00D97CD3" w:rsidP="00973895" w14:paraId="4D384F99" w14:textId="3CB1D751">
      <w:pPr>
        <w:pStyle w:val="ListParagraph"/>
        <w:suppressAutoHyphens/>
        <w:spacing w:line="240" w:lineRule="exact"/>
        <w:rPr>
          <w:rFonts w:ascii="Times New Roman" w:hAnsi="Times New Roman"/>
        </w:rPr>
      </w:pPr>
      <w:r w:rsidRPr="7E3E215E">
        <w:rPr>
          <w:rFonts w:ascii="Times New Roman" w:hAnsi="Times New Roman"/>
        </w:rPr>
        <w:t>ED will encourage all States, Outlying Areas, and SEAs to submit their MOE baseline data electronically.  ED will permit the electronic submission of responses via AEM Corporation’s website. The technology will allow grantees to manually input their data in one website directly instead of duplicating multiple submissions.</w:t>
      </w:r>
    </w:p>
    <w:p w:rsidR="00973895" w:rsidP="00973895" w14:paraId="0452909B" w14:textId="77777777">
      <w:pPr>
        <w:pStyle w:val="ListParagraph"/>
        <w:tabs>
          <w:tab w:val="left" w:pos="-720"/>
        </w:tabs>
        <w:suppressAutoHyphens/>
        <w:contextualSpacing w:val="0"/>
        <w:rPr>
          <w:rFonts w:ascii="Times New Roman" w:hAnsi="Times New Roman"/>
        </w:rPr>
      </w:pPr>
    </w:p>
    <w:p w:rsidR="00973895" w:rsidP="00973895" w14:paraId="6E822CA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00973895" w:rsidRPr="00D97CD3" w:rsidP="00973895" w14:paraId="12F6D74F" w14:textId="77777777">
      <w:pPr>
        <w:pStyle w:val="ListParagraph"/>
        <w:suppressAutoHyphens/>
        <w:spacing w:line="240" w:lineRule="exact"/>
        <w:rPr>
          <w:rFonts w:ascii="Times New Roman" w:hAnsi="Times New Roman"/>
        </w:rPr>
      </w:pPr>
    </w:p>
    <w:p w:rsidR="00973895" w:rsidRPr="00246FE9" w:rsidP="00973895" w14:paraId="22AEBBCE"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973895" w:rsidP="00973895" w14:paraId="246799F7"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73895" w:rsidP="00973895" w14:paraId="358A6130" w14:textId="77777777">
      <w:pPr>
        <w:pStyle w:val="ListParagraph"/>
        <w:contextualSpacing w:val="0"/>
        <w:rPr>
          <w:rFonts w:ascii="Times New Roman" w:hAnsi="Times New Roman"/>
          <w:szCs w:val="24"/>
        </w:rPr>
      </w:pPr>
    </w:p>
    <w:p w:rsidR="00973895" w:rsidRPr="00D97CD3" w:rsidP="00973895" w14:paraId="18BF3AB8"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973895" w:rsidP="00973895" w14:paraId="7B3C54DF" w14:textId="77777777">
      <w:pPr>
        <w:pStyle w:val="ListParagraph"/>
        <w:contextualSpacing w:val="0"/>
        <w:rPr>
          <w:rFonts w:ascii="Times New Roman" w:hAnsi="Times New Roman"/>
          <w:szCs w:val="24"/>
        </w:rPr>
      </w:pPr>
    </w:p>
    <w:p w:rsidR="00973895" w:rsidP="00973895" w14:paraId="5490D96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73895" w:rsidP="00973895" w14:paraId="53F16849" w14:textId="77777777">
      <w:pPr>
        <w:pStyle w:val="ListParagraph"/>
        <w:tabs>
          <w:tab w:val="left" w:pos="-720"/>
        </w:tabs>
        <w:suppressAutoHyphens/>
        <w:contextualSpacing w:val="0"/>
        <w:rPr>
          <w:rFonts w:ascii="Times New Roman" w:hAnsi="Times New Roman"/>
          <w:b/>
          <w:szCs w:val="24"/>
        </w:rPr>
      </w:pPr>
    </w:p>
    <w:p w:rsidR="00973895" w:rsidRPr="00E46E50" w:rsidP="00973895" w14:paraId="6F3A9BDF" w14:textId="073C32D3">
      <w:pPr>
        <w:pStyle w:val="ListParagraph"/>
        <w:suppressAutoHyphens/>
        <w:spacing w:line="240" w:lineRule="exact"/>
        <w:rPr>
          <w:rFonts w:ascii="Times New Roman" w:hAnsi="Times New Roman"/>
        </w:rPr>
      </w:pPr>
      <w:bookmarkStart w:id="0" w:name="_Hlk46732503"/>
      <w:r w:rsidRPr="00474A4B">
        <w:rPr>
          <w:rFonts w:ascii="Times New Roman" w:hAnsi="Times New Roman"/>
        </w:rPr>
        <w:t xml:space="preserve">If this collection is not allowed to proceed, the Department will not be able to fulfill the mandates of the CARES Act, </w:t>
      </w:r>
      <w:r w:rsidR="00C75A72">
        <w:rPr>
          <w:rFonts w:ascii="Times New Roman" w:hAnsi="Times New Roman"/>
        </w:rPr>
        <w:t xml:space="preserve">CRRSA Act, and ARP Act </w:t>
      </w:r>
      <w:r w:rsidRPr="00474A4B">
        <w:rPr>
          <w:rFonts w:ascii="Times New Roman" w:hAnsi="Times New Roman"/>
        </w:rPr>
        <w:t>and properly monitor that States and Outlying Areas maintain the level of support for elementary and secondary education, and State support for higher education in fiscal years 2020</w:t>
      </w:r>
      <w:r w:rsidR="00C75A72">
        <w:rPr>
          <w:rFonts w:ascii="Times New Roman" w:hAnsi="Times New Roman"/>
        </w:rPr>
        <w:t>,</w:t>
      </w:r>
      <w:r w:rsidRPr="00474A4B">
        <w:rPr>
          <w:rFonts w:ascii="Times New Roman" w:hAnsi="Times New Roman"/>
        </w:rPr>
        <w:t>2021</w:t>
      </w:r>
      <w:r w:rsidR="00C75A72">
        <w:rPr>
          <w:rFonts w:ascii="Times New Roman" w:hAnsi="Times New Roman"/>
        </w:rPr>
        <w:t>, 2022 and 2023</w:t>
      </w:r>
      <w:r w:rsidRPr="00474A4B">
        <w:rPr>
          <w:rFonts w:ascii="Times New Roman" w:hAnsi="Times New Roman"/>
        </w:rPr>
        <w:t xml:space="preserve"> as agreed to in the GEER Fund, ESSER Fund</w:t>
      </w:r>
      <w:r>
        <w:rPr>
          <w:rFonts w:ascii="Times New Roman" w:hAnsi="Times New Roman"/>
        </w:rPr>
        <w:t>,</w:t>
      </w:r>
      <w:r w:rsidRPr="00474A4B">
        <w:rPr>
          <w:rFonts w:ascii="Times New Roman" w:hAnsi="Times New Roman"/>
        </w:rPr>
        <w:t xml:space="preserve"> ESF-SEA Fund, and ESF-Governor Fund Certifications and Agreements.</w:t>
      </w:r>
      <w:r>
        <w:rPr>
          <w:rFonts w:ascii="Times New Roman" w:hAnsi="Times New Roman"/>
        </w:rPr>
        <w:t xml:space="preserve"> </w:t>
      </w:r>
    </w:p>
    <w:bookmarkEnd w:id="0"/>
    <w:p w:rsidR="00973895" w:rsidRPr="00AD381B" w:rsidP="00973895" w14:paraId="367AB4AC" w14:textId="77777777">
      <w:pPr>
        <w:pStyle w:val="ListParagraph"/>
        <w:tabs>
          <w:tab w:val="left" w:pos="-720"/>
        </w:tabs>
        <w:suppressAutoHyphens/>
        <w:contextualSpacing w:val="0"/>
        <w:rPr>
          <w:rFonts w:ascii="Times New Roman" w:hAnsi="Times New Roman"/>
          <w:b/>
          <w:szCs w:val="24"/>
        </w:rPr>
      </w:pPr>
    </w:p>
    <w:p w:rsidR="00973895" w:rsidRPr="00AD381B" w:rsidP="00973895" w14:paraId="1C71EB4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973895" w:rsidRPr="00AD381B" w:rsidP="00973895" w14:paraId="595CA105" w14:textId="77777777">
      <w:pPr>
        <w:tabs>
          <w:tab w:val="left" w:pos="-720"/>
        </w:tabs>
        <w:suppressAutoHyphens/>
        <w:rPr>
          <w:rFonts w:ascii="Times New Roman" w:hAnsi="Times New Roman"/>
          <w:b/>
          <w:szCs w:val="24"/>
        </w:rPr>
      </w:pPr>
    </w:p>
    <w:p w:rsidR="00973895" w:rsidRPr="00AD381B" w:rsidP="00973895" w14:paraId="519A118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973895" w:rsidRPr="00AD381B" w:rsidP="00973895" w14:paraId="1EA08580" w14:textId="77777777">
      <w:pPr>
        <w:numPr>
          <w:ilvl w:val="12"/>
          <w:numId w:val="0"/>
        </w:numPr>
        <w:tabs>
          <w:tab w:val="left" w:pos="-720"/>
        </w:tabs>
        <w:suppressAutoHyphens/>
        <w:ind w:left="340"/>
        <w:rPr>
          <w:rFonts w:ascii="Times New Roman" w:hAnsi="Times New Roman"/>
          <w:b/>
          <w:szCs w:val="24"/>
        </w:rPr>
      </w:pPr>
    </w:p>
    <w:p w:rsidR="00973895" w:rsidRPr="00AD381B" w:rsidP="00973895" w14:paraId="0F2E3E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973895" w:rsidRPr="00AD381B" w:rsidP="00973895" w14:paraId="7C159F17" w14:textId="77777777">
      <w:pPr>
        <w:numPr>
          <w:ilvl w:val="12"/>
          <w:numId w:val="0"/>
        </w:numPr>
        <w:tabs>
          <w:tab w:val="left" w:pos="-720"/>
        </w:tabs>
        <w:suppressAutoHyphens/>
        <w:rPr>
          <w:rFonts w:ascii="Times New Roman" w:hAnsi="Times New Roman"/>
          <w:b/>
          <w:szCs w:val="24"/>
        </w:rPr>
      </w:pPr>
    </w:p>
    <w:p w:rsidR="00973895" w:rsidRPr="00AD381B" w:rsidP="00973895" w14:paraId="648530C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973895" w:rsidRPr="00AD381B" w:rsidP="00973895" w14:paraId="64AC88F9" w14:textId="77777777">
      <w:pPr>
        <w:numPr>
          <w:ilvl w:val="12"/>
          <w:numId w:val="0"/>
        </w:numPr>
        <w:tabs>
          <w:tab w:val="left" w:pos="-720"/>
        </w:tabs>
        <w:suppressAutoHyphens/>
        <w:rPr>
          <w:rFonts w:ascii="Times New Roman" w:hAnsi="Times New Roman"/>
          <w:b/>
          <w:szCs w:val="24"/>
        </w:rPr>
      </w:pPr>
    </w:p>
    <w:p w:rsidR="00973895" w:rsidRPr="00AD381B" w:rsidP="00973895" w14:paraId="4A0F940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973895" w:rsidRPr="00AD381B" w:rsidP="00973895" w14:paraId="52AE5C4E" w14:textId="77777777">
      <w:pPr>
        <w:numPr>
          <w:ilvl w:val="12"/>
          <w:numId w:val="0"/>
        </w:numPr>
        <w:tabs>
          <w:tab w:val="left" w:pos="-720"/>
        </w:tabs>
        <w:suppressAutoHyphens/>
        <w:rPr>
          <w:rFonts w:ascii="Times New Roman" w:hAnsi="Times New Roman"/>
          <w:b/>
          <w:szCs w:val="24"/>
        </w:rPr>
      </w:pPr>
    </w:p>
    <w:p w:rsidR="00973895" w:rsidRPr="00AD381B" w:rsidP="00973895" w14:paraId="06180A0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973895" w:rsidRPr="00AD381B" w:rsidP="00973895" w14:paraId="6345ABBF" w14:textId="77777777">
      <w:pPr>
        <w:numPr>
          <w:ilvl w:val="12"/>
          <w:numId w:val="0"/>
        </w:numPr>
        <w:tabs>
          <w:tab w:val="left" w:pos="-720"/>
        </w:tabs>
        <w:suppressAutoHyphens/>
        <w:rPr>
          <w:rFonts w:ascii="Times New Roman" w:hAnsi="Times New Roman"/>
          <w:b/>
          <w:szCs w:val="24"/>
        </w:rPr>
      </w:pPr>
    </w:p>
    <w:p w:rsidR="00973895" w:rsidRPr="00AD381B" w:rsidP="00973895" w14:paraId="02DAAC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973895" w:rsidRPr="00AD381B" w:rsidP="00973895" w14:paraId="1A0E3837" w14:textId="77777777">
      <w:pPr>
        <w:numPr>
          <w:ilvl w:val="12"/>
          <w:numId w:val="0"/>
        </w:numPr>
        <w:tabs>
          <w:tab w:val="left" w:pos="-720"/>
        </w:tabs>
        <w:suppressAutoHyphens/>
        <w:rPr>
          <w:rFonts w:ascii="Times New Roman" w:hAnsi="Times New Roman"/>
          <w:b/>
          <w:szCs w:val="24"/>
        </w:rPr>
      </w:pPr>
    </w:p>
    <w:p w:rsidR="00973895" w:rsidRPr="00AD381B" w:rsidP="00973895" w14:paraId="2E8F553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73895" w:rsidRPr="00AD381B" w:rsidP="00973895" w14:paraId="4BC541E0" w14:textId="77777777">
      <w:pPr>
        <w:numPr>
          <w:ilvl w:val="12"/>
          <w:numId w:val="0"/>
        </w:numPr>
        <w:tabs>
          <w:tab w:val="left" w:pos="-720"/>
        </w:tabs>
        <w:suppressAutoHyphens/>
        <w:rPr>
          <w:rFonts w:ascii="Times New Roman" w:hAnsi="Times New Roman"/>
          <w:b/>
          <w:szCs w:val="24"/>
        </w:rPr>
      </w:pPr>
    </w:p>
    <w:p w:rsidR="00973895" w:rsidP="00973895" w14:paraId="697D03D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73895" w:rsidP="00973895" w14:paraId="7C0A3F26" w14:textId="77777777">
      <w:pPr>
        <w:tabs>
          <w:tab w:val="left" w:pos="-720"/>
        </w:tabs>
        <w:suppressAutoHyphens/>
        <w:ind w:left="1440"/>
      </w:pPr>
    </w:p>
    <w:p w:rsidR="00973895" w:rsidRPr="00D97CD3" w:rsidP="00973895" w14:paraId="30259D6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973895" w:rsidRPr="00AD381B" w:rsidP="00973895" w14:paraId="2E1430FE" w14:textId="77777777">
      <w:pPr>
        <w:tabs>
          <w:tab w:val="left" w:pos="-720"/>
        </w:tabs>
        <w:suppressAutoHyphens/>
        <w:rPr>
          <w:rFonts w:ascii="Times New Roman" w:hAnsi="Times New Roman"/>
          <w:szCs w:val="24"/>
        </w:rPr>
      </w:pPr>
    </w:p>
    <w:p w:rsidR="00973895" w:rsidP="00973895" w14:paraId="57A8391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973895" w:rsidP="00973895" w14:paraId="6BA2353D" w14:textId="77777777">
      <w:pPr>
        <w:pStyle w:val="ListParagraph"/>
        <w:tabs>
          <w:tab w:val="left" w:pos="-720"/>
          <w:tab w:val="left" w:pos="375"/>
        </w:tabs>
        <w:suppressAutoHyphens/>
        <w:contextualSpacing w:val="0"/>
        <w:rPr>
          <w:rFonts w:ascii="Times New Roman" w:hAnsi="Times New Roman"/>
          <w:b/>
          <w:szCs w:val="24"/>
        </w:rPr>
      </w:pPr>
    </w:p>
    <w:p w:rsidR="00973895" w:rsidP="00973895" w14:paraId="48E14CD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973895" w:rsidP="00973895" w14:paraId="064E7CC0" w14:textId="77777777">
      <w:pPr>
        <w:pStyle w:val="ListParagraph"/>
        <w:tabs>
          <w:tab w:val="left" w:pos="-720"/>
          <w:tab w:val="left" w:pos="375"/>
        </w:tabs>
        <w:suppressAutoHyphens/>
        <w:contextualSpacing w:val="0"/>
        <w:rPr>
          <w:rFonts w:ascii="Times New Roman" w:hAnsi="Times New Roman"/>
          <w:b/>
          <w:szCs w:val="24"/>
        </w:rPr>
      </w:pPr>
    </w:p>
    <w:p w:rsidR="00973895" w:rsidRPr="00D75313" w:rsidP="00973895" w14:paraId="0C1489A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973895" w:rsidRPr="00AD381B" w:rsidP="00973895" w14:paraId="0AF16C1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73895" w:rsidRPr="00AD381B" w:rsidP="00973895" w14:paraId="6ACD60F6" w14:textId="77777777">
      <w:pPr>
        <w:tabs>
          <w:tab w:val="left" w:pos="-720"/>
        </w:tabs>
        <w:suppressAutoHyphens/>
        <w:rPr>
          <w:rStyle w:val="a"/>
          <w:rFonts w:ascii="Times New Roman" w:hAnsi="Times New Roman"/>
          <w:b/>
          <w:szCs w:val="24"/>
        </w:rPr>
      </w:pPr>
    </w:p>
    <w:p w:rsidR="00973895" w:rsidP="00973895" w14:paraId="640DA1B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73895" w:rsidP="00973895" w14:paraId="7A010BE4" w14:textId="77777777">
      <w:pPr>
        <w:tabs>
          <w:tab w:val="left" w:pos="-720"/>
        </w:tabs>
        <w:suppressAutoHyphens/>
        <w:ind w:left="720"/>
        <w:rPr>
          <w:rFonts w:ascii="Times New Roman" w:hAnsi="Times New Roman"/>
          <w:b/>
          <w:szCs w:val="24"/>
        </w:rPr>
      </w:pPr>
    </w:p>
    <w:p w:rsidR="006A60FE" w:rsidP="00973895" w14:paraId="11D54A79" w14:textId="4B891B60">
      <w:pPr>
        <w:pStyle w:val="ListParagraph"/>
        <w:suppressAutoHyphens/>
        <w:spacing w:line="240" w:lineRule="exact"/>
        <w:rPr>
          <w:rFonts w:ascii="Times New Roman" w:hAnsi="Times New Roman"/>
        </w:rPr>
      </w:pPr>
      <w:r w:rsidRPr="000E6715">
        <w:rPr>
          <w:rFonts w:ascii="Times New Roman" w:hAnsi="Times New Roman"/>
        </w:rPr>
        <w:t xml:space="preserve">On </w:t>
      </w:r>
      <w:r>
        <w:rPr>
          <w:rFonts w:ascii="Times New Roman" w:hAnsi="Times New Roman"/>
        </w:rPr>
        <w:t>May 30</w:t>
      </w:r>
      <w:r w:rsidRPr="000E6715">
        <w:rPr>
          <w:rFonts w:ascii="Times New Roman" w:hAnsi="Times New Roman"/>
        </w:rPr>
        <w:t>, 202</w:t>
      </w:r>
      <w:r>
        <w:rPr>
          <w:rFonts w:ascii="Times New Roman" w:hAnsi="Times New Roman"/>
        </w:rPr>
        <w:t>4</w:t>
      </w:r>
      <w:r w:rsidRPr="000E6715">
        <w:rPr>
          <w:rFonts w:ascii="Times New Roman" w:hAnsi="Times New Roman"/>
        </w:rPr>
        <w:t xml:space="preserve">, a Federal Register Notice requesting public comment was published (Vol. </w:t>
      </w:r>
      <w:r>
        <w:rPr>
          <w:rFonts w:ascii="Times New Roman" w:hAnsi="Times New Roman"/>
        </w:rPr>
        <w:t>8</w:t>
      </w:r>
      <w:r w:rsidR="008309E3">
        <w:rPr>
          <w:rFonts w:ascii="Times New Roman" w:hAnsi="Times New Roman"/>
        </w:rPr>
        <w:t>9</w:t>
      </w:r>
      <w:r w:rsidRPr="000E6715">
        <w:rPr>
          <w:rFonts w:ascii="Times New Roman" w:hAnsi="Times New Roman"/>
        </w:rPr>
        <w:t>, No. 1</w:t>
      </w:r>
      <w:r w:rsidR="008309E3">
        <w:rPr>
          <w:rFonts w:ascii="Times New Roman" w:hAnsi="Times New Roman"/>
        </w:rPr>
        <w:t>05</w:t>
      </w:r>
      <w:r w:rsidRPr="000E6715">
        <w:rPr>
          <w:rFonts w:ascii="Times New Roman" w:hAnsi="Times New Roman"/>
        </w:rPr>
        <w:t xml:space="preserve">, page </w:t>
      </w:r>
      <w:r>
        <w:rPr>
          <w:rFonts w:ascii="Times New Roman" w:hAnsi="Times New Roman"/>
        </w:rPr>
        <w:t>4</w:t>
      </w:r>
      <w:r w:rsidR="008309E3">
        <w:rPr>
          <w:rFonts w:ascii="Times New Roman" w:hAnsi="Times New Roman"/>
        </w:rPr>
        <w:t>6869</w:t>
      </w:r>
      <w:r w:rsidRPr="000E6715">
        <w:rPr>
          <w:rFonts w:ascii="Times New Roman" w:hAnsi="Times New Roman"/>
        </w:rPr>
        <w:t>). No comments were received during the 60-day comment period.</w:t>
      </w:r>
    </w:p>
    <w:p w:rsidR="006A60FE" w:rsidP="006A60FE" w14:paraId="33C89AFF" w14:textId="15CB9473">
      <w:pPr>
        <w:pStyle w:val="BodyText3"/>
        <w:spacing w:after="0"/>
        <w:ind w:left="720"/>
        <w:rPr>
          <w:b/>
          <w:szCs w:val="24"/>
        </w:rPr>
      </w:pPr>
      <w:r w:rsidRPr="00624D7F">
        <w:rPr>
          <w:sz w:val="24"/>
        </w:rPr>
        <w:t>The Department will publish a 30-day Federal Register notice seeking public comment.</w:t>
      </w:r>
    </w:p>
    <w:p w:rsidR="00973895" w:rsidRPr="00D97CD3" w:rsidP="00973895" w14:paraId="6D1FEFE1" w14:textId="77777777">
      <w:pPr>
        <w:pStyle w:val="ListParagraph"/>
        <w:suppressAutoHyphens/>
        <w:spacing w:line="240" w:lineRule="exact"/>
        <w:rPr>
          <w:rFonts w:ascii="Times New Roman" w:hAnsi="Times New Roman"/>
        </w:rPr>
      </w:pPr>
    </w:p>
    <w:p w:rsidR="00973895" w:rsidP="00973895" w14:paraId="7D42732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73895" w:rsidP="00973895" w14:paraId="7949DA5E" w14:textId="77777777">
      <w:pPr>
        <w:pStyle w:val="ListParagraph"/>
        <w:tabs>
          <w:tab w:val="left" w:pos="-720"/>
        </w:tabs>
        <w:suppressAutoHyphens/>
        <w:contextualSpacing w:val="0"/>
        <w:rPr>
          <w:rFonts w:ascii="Times New Roman" w:hAnsi="Times New Roman"/>
          <w:b/>
          <w:szCs w:val="24"/>
        </w:rPr>
      </w:pPr>
    </w:p>
    <w:p w:rsidR="00973895" w:rsidRPr="00D97CD3" w:rsidP="00973895" w14:paraId="214B3193"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00973895" w:rsidRPr="00920F63" w:rsidP="00973895" w14:paraId="5CB99DC1" w14:textId="77777777">
      <w:pPr>
        <w:pStyle w:val="ListParagraph"/>
        <w:tabs>
          <w:tab w:val="left" w:pos="-720"/>
        </w:tabs>
        <w:suppressAutoHyphens/>
        <w:contextualSpacing w:val="0"/>
        <w:rPr>
          <w:rFonts w:ascii="Times New Roman" w:hAnsi="Times New Roman"/>
          <w:b/>
          <w:szCs w:val="24"/>
        </w:rPr>
      </w:pPr>
    </w:p>
    <w:p w:rsidR="00973895" w:rsidRPr="00D75313" w:rsidP="00973895" w14:paraId="57E5EEA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73895" w:rsidP="00973895" w14:paraId="2B01219C" w14:textId="77777777">
      <w:pPr>
        <w:tabs>
          <w:tab w:val="left" w:pos="-720"/>
        </w:tabs>
        <w:suppressAutoHyphens/>
        <w:ind w:firstLine="720"/>
        <w:rPr>
          <w:rFonts w:ascii="Times New Roman" w:hAnsi="Times New Roman"/>
          <w:b/>
          <w:szCs w:val="24"/>
        </w:rPr>
      </w:pPr>
    </w:p>
    <w:p w:rsidR="00973895" w:rsidRPr="00D97CD3" w:rsidP="00973895" w14:paraId="65732633"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00973895" w:rsidRPr="00D97CD3" w:rsidP="00973895" w14:paraId="0D8D6C24" w14:textId="77777777">
      <w:pPr>
        <w:pStyle w:val="ListParagraph"/>
        <w:suppressAutoHyphens/>
        <w:spacing w:line="240" w:lineRule="exact"/>
        <w:rPr>
          <w:rFonts w:ascii="Times New Roman" w:hAnsi="Times New Roman"/>
        </w:rPr>
      </w:pPr>
    </w:p>
    <w:p w:rsidR="00973895" w:rsidRPr="00920F63" w:rsidP="00973895" w14:paraId="057A4CFD" w14:textId="77777777">
      <w:pPr>
        <w:tabs>
          <w:tab w:val="left" w:pos="-720"/>
        </w:tabs>
        <w:suppressAutoHyphens/>
        <w:rPr>
          <w:rFonts w:ascii="Times New Roman" w:hAnsi="Times New Roman"/>
          <w:szCs w:val="24"/>
        </w:rPr>
      </w:pPr>
    </w:p>
    <w:p w:rsidR="00973895" w:rsidP="00973895" w14:paraId="3FE84A5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3895" w:rsidP="00973895" w14:paraId="4D77FF69" w14:textId="77777777">
      <w:pPr>
        <w:tabs>
          <w:tab w:val="left" w:pos="-720"/>
        </w:tabs>
        <w:suppressAutoHyphens/>
        <w:ind w:firstLine="720"/>
        <w:rPr>
          <w:rFonts w:ascii="Times New Roman" w:hAnsi="Times New Roman"/>
          <w:b/>
          <w:szCs w:val="24"/>
        </w:rPr>
      </w:pPr>
    </w:p>
    <w:p w:rsidR="00973895" w:rsidRPr="00D97CD3" w:rsidP="00973895" w14:paraId="0F8E2DE6"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00973895" w:rsidRPr="00D97CD3" w:rsidP="00973895" w14:paraId="5C83805C" w14:textId="77777777">
      <w:pPr>
        <w:pStyle w:val="ListParagraph"/>
        <w:suppressAutoHyphens/>
        <w:spacing w:line="240" w:lineRule="exact"/>
        <w:rPr>
          <w:rFonts w:ascii="Times New Roman" w:hAnsi="Times New Roman"/>
        </w:rPr>
      </w:pPr>
    </w:p>
    <w:p w:rsidR="00973895" w:rsidRPr="00920F63" w:rsidP="00973895" w14:paraId="3BE01EE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Pr>
          <w:rStyle w:val="a"/>
          <w:rFonts w:ascii="Times New Roman" w:hAnsi="Times New Roman"/>
          <w:b/>
          <w:szCs w:val="24"/>
        </w:rPr>
        <w:t xml:space="preserve">for </w:t>
      </w:r>
      <w:r w:rsidRPr="00920F63">
        <w:rPr>
          <w:rStyle w:val="a"/>
          <w:rFonts w:ascii="Times New Roman" w:hAnsi="Times New Roman"/>
          <w:b/>
          <w:szCs w:val="24"/>
        </w:rPr>
        <w:t>th</w:t>
      </w:r>
      <w:r>
        <w:rPr>
          <w:rStyle w:val="a"/>
          <w:rFonts w:ascii="Times New Roman" w:hAnsi="Times New Roman"/>
          <w:b/>
          <w:szCs w:val="24"/>
        </w:rPr>
        <w:t>is</w:t>
      </w:r>
      <w:r w:rsidRPr="00920F63">
        <w:rPr>
          <w:rStyle w:val="a"/>
          <w:rFonts w:ascii="Times New Roman" w:hAnsi="Times New Roman"/>
          <w:b/>
          <w:szCs w:val="24"/>
        </w:rPr>
        <w:t xml:space="preserve"> </w:t>
      </w:r>
      <w:r>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973895" w:rsidRPr="00920F63" w:rsidP="00973895" w14:paraId="200EDA84" w14:textId="77777777">
      <w:pPr>
        <w:tabs>
          <w:tab w:val="left" w:pos="-720"/>
        </w:tabs>
        <w:suppressAutoHyphens/>
        <w:rPr>
          <w:rStyle w:val="a"/>
          <w:rFonts w:ascii="Times New Roman" w:hAnsi="Times New Roman"/>
          <w:b/>
          <w:szCs w:val="24"/>
        </w:rPr>
      </w:pPr>
    </w:p>
    <w:p w:rsidR="00973895" w:rsidP="00973895" w14:paraId="74E1B5D1"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973895" w:rsidRPr="00920F63" w:rsidP="00973895" w14:paraId="1209182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973895" w:rsidRPr="00C224FD" w:rsidP="00973895" w14:paraId="01F0422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973895" w:rsidRPr="00920F63" w:rsidP="00973895" w14:paraId="7926653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00973895" w:rsidRPr="00756FD3" w:rsidP="00973895" w14:paraId="5105349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8"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973895" w:rsidP="00973895" w14:paraId="4FC048C5" w14:textId="77777777">
      <w:pPr>
        <w:tabs>
          <w:tab w:val="left" w:pos="-720"/>
          <w:tab w:val="left" w:pos="1247"/>
        </w:tabs>
        <w:suppressAutoHyphens/>
        <w:rPr>
          <w:rStyle w:val="a"/>
          <w:rFonts w:ascii="Times New Roman" w:hAnsi="Times New Roman"/>
          <w:b/>
          <w:szCs w:val="24"/>
        </w:rPr>
      </w:pPr>
    </w:p>
    <w:p w:rsidR="00973895" w:rsidRPr="00756FD3" w:rsidP="00973895" w14:paraId="1EB4905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973895" w:rsidP="00973895" w14:paraId="10118311" w14:textId="77777777">
      <w:pPr>
        <w:pStyle w:val="ListParagraph"/>
        <w:tabs>
          <w:tab w:val="left" w:pos="-720"/>
        </w:tabs>
        <w:suppressAutoHyphens/>
        <w:rPr>
          <w:rStyle w:val="a"/>
          <w:rFonts w:ascii="Times New Roman" w:hAnsi="Times New Roman"/>
          <w:szCs w:val="24"/>
        </w:rPr>
      </w:pPr>
    </w:p>
    <w:p w:rsidR="00411D0D" w:rsidP="00411D0D" w14:paraId="3BC8FFD1" w14:textId="77777777">
      <w:pPr>
        <w:pStyle w:val="ListParagraph"/>
        <w:suppressAutoHyphens/>
        <w:spacing w:line="240" w:lineRule="exact"/>
        <w:rPr>
          <w:rFonts w:ascii="Times New Roman" w:hAnsi="Times New Roman"/>
        </w:rPr>
      </w:pPr>
      <w:r w:rsidRPr="00474A4B">
        <w:rPr>
          <w:rFonts w:ascii="Times New Roman" w:hAnsi="Times New Roman"/>
        </w:rPr>
        <w:t>All 50 States, as well as the District of Columbia, and the Commonwealth of Puerto Rico received awards under the ESSER Fund and GEER Fund.</w:t>
      </w:r>
      <w:r w:rsidRPr="00D97CD3">
        <w:rPr>
          <w:rFonts w:ascii="Times New Roman" w:hAnsi="Times New Roman"/>
        </w:rPr>
        <w:t xml:space="preserve"> </w:t>
      </w:r>
      <w:r>
        <w:rPr>
          <w:rFonts w:ascii="Times New Roman" w:hAnsi="Times New Roman"/>
        </w:rPr>
        <w:t xml:space="preserve">The four Outlying Areas received awards under the ESF-SEA Fund and the ESF-Governor Fund. That makes for a total of 56 respondents. </w:t>
      </w:r>
    </w:p>
    <w:p w:rsidR="00411D0D" w:rsidP="00411D0D" w14:paraId="290AC5A0" w14:textId="77777777">
      <w:pPr>
        <w:pStyle w:val="ListParagraph"/>
        <w:suppressAutoHyphens/>
        <w:spacing w:line="240" w:lineRule="exact"/>
        <w:rPr>
          <w:rFonts w:ascii="Times New Roman" w:hAnsi="Times New Roman"/>
        </w:rPr>
      </w:pPr>
    </w:p>
    <w:p w:rsidR="00411D0D" w:rsidP="00411D0D" w14:paraId="1D4C56A8" w14:textId="77777777">
      <w:pPr>
        <w:pStyle w:val="ListParagraph"/>
        <w:suppressAutoHyphens/>
        <w:spacing w:line="240" w:lineRule="exact"/>
        <w:rPr>
          <w:rFonts w:ascii="Times New Roman" w:hAnsi="Times New Roman"/>
        </w:rPr>
      </w:pPr>
      <w:r>
        <w:rPr>
          <w:rFonts w:ascii="Times New Roman" w:hAnsi="Times New Roman"/>
        </w:rPr>
        <w:t>We estimate it will take each respondent an average of 5.5 hours to complete and submit the Appendix B: MOE Data Submission form, making for a burden of 308 hours to the public. We estimate that we may receive as many as 25 waiver requests and that each waiver request will take two hours to complete and submit, making for a total burden of 50 hours. The total annual burden is estimated to be 358 hours at a cost of $33,390 to the public. Our estimates are detailed in the table below.</w:t>
      </w:r>
    </w:p>
    <w:p w:rsidR="00973895" w:rsidRPr="00D97CD3" w:rsidP="00973895" w14:paraId="7CAE68C2" w14:textId="77777777">
      <w:pPr>
        <w:pStyle w:val="ListParagraph"/>
        <w:suppressAutoHyphens/>
        <w:spacing w:line="240" w:lineRule="exact"/>
      </w:pPr>
    </w:p>
    <w:p w:rsidR="00973895" w:rsidRPr="00D97CD3" w:rsidP="00973895" w14:paraId="49F5CF84" w14:textId="77777777">
      <w:pPr>
        <w:pStyle w:val="ListParagraph"/>
        <w:suppressAutoHyphens/>
        <w:spacing w:line="240" w:lineRule="exact"/>
      </w:pPr>
    </w:p>
    <w:p w:rsidR="00973895" w:rsidP="00973895" w14:paraId="7626CA4D" w14:textId="77777777">
      <w:pPr>
        <w:pStyle w:val="ListParagraph"/>
        <w:tabs>
          <w:tab w:val="left" w:pos="-720"/>
        </w:tabs>
        <w:suppressAutoHyphens/>
        <w:rPr>
          <w:rStyle w:val="a"/>
          <w:rFonts w:ascii="Times New Roman" w:hAnsi="Times New Roman"/>
          <w:szCs w:val="24"/>
        </w:rPr>
      </w:pPr>
    </w:p>
    <w:p w:rsidR="00973895" w:rsidP="00973895" w14:paraId="492BD38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00700B02" w:rsidRPr="00920F63" w:rsidP="00700B02" w14:paraId="75380269" w14:textId="77777777">
      <w:pPr>
        <w:pStyle w:val="Caption"/>
        <w:jc w:val="center"/>
        <w:rPr>
          <w:rFonts w:ascii="Times New Roman" w:hAnsi="Times New Roman"/>
          <w:color w:val="000000" w:themeColor="text1"/>
          <w:sz w:val="24"/>
          <w:szCs w:val="24"/>
        </w:rPr>
      </w:pPr>
    </w:p>
    <w:tbl>
      <w:tblPr>
        <w:tblStyle w:val="GridTableLight"/>
        <w:tblpPr w:leftFromText="180" w:rightFromText="180" w:vertAnchor="text" w:horzAnchor="margin" w:tblpXSpec="center" w:tblpY="174"/>
        <w:tblW w:w="9810" w:type="dxa"/>
        <w:tblLayout w:type="fixed"/>
        <w:tblLook w:val="0020"/>
      </w:tblPr>
      <w:tblGrid>
        <w:gridCol w:w="2340"/>
        <w:gridCol w:w="1275"/>
        <w:gridCol w:w="1080"/>
        <w:gridCol w:w="1420"/>
        <w:gridCol w:w="815"/>
        <w:gridCol w:w="1530"/>
        <w:gridCol w:w="1350"/>
      </w:tblGrid>
      <w:tr w14:paraId="7872374D" w14:textId="77777777" w:rsidTr="001821F5">
        <w:tblPrEx>
          <w:tblW w:w="9810" w:type="dxa"/>
          <w:tblLayout w:type="fixed"/>
          <w:tblLook w:val="0020"/>
        </w:tblPrEx>
        <w:trPr>
          <w:tblHeader/>
        </w:trPr>
        <w:tc>
          <w:tcPr>
            <w:tcW w:w="2340" w:type="dxa"/>
          </w:tcPr>
          <w:p w:rsidR="00700B02" w:rsidP="001821F5" w14:paraId="00C168DD" w14:textId="77777777">
            <w:pPr>
              <w:jc w:val="center"/>
              <w:rPr>
                <w:rFonts w:ascii="Times New Roman" w:hAnsi="Times New Roman"/>
                <w:sz w:val="20"/>
              </w:rPr>
            </w:pPr>
          </w:p>
          <w:p w:rsidR="00700B02" w:rsidP="001821F5" w14:paraId="16E09D5C" w14:textId="77777777">
            <w:pPr>
              <w:jc w:val="center"/>
              <w:rPr>
                <w:rFonts w:ascii="Times New Roman" w:hAnsi="Times New Roman"/>
                <w:sz w:val="20"/>
              </w:rPr>
            </w:pPr>
          </w:p>
          <w:p w:rsidR="00700B02" w:rsidRPr="007F6104" w:rsidP="001821F5" w14:paraId="4201994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700B02" w:rsidP="001821F5" w14:paraId="5263243B" w14:textId="77777777">
            <w:pPr>
              <w:jc w:val="center"/>
              <w:rPr>
                <w:rFonts w:ascii="Times New Roman" w:hAnsi="Times New Roman"/>
                <w:sz w:val="20"/>
              </w:rPr>
            </w:pPr>
          </w:p>
          <w:p w:rsidR="00700B02" w:rsidP="001821F5" w14:paraId="4071DA54" w14:textId="77777777">
            <w:pPr>
              <w:jc w:val="center"/>
              <w:rPr>
                <w:rFonts w:ascii="Times New Roman" w:hAnsi="Times New Roman"/>
                <w:sz w:val="20"/>
              </w:rPr>
            </w:pPr>
          </w:p>
          <w:p w:rsidR="00700B02" w:rsidRPr="007F6104" w:rsidP="001821F5" w14:paraId="6AD19BC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700B02" w:rsidP="001821F5" w14:paraId="06515A1D" w14:textId="77777777">
            <w:pPr>
              <w:jc w:val="center"/>
              <w:rPr>
                <w:rFonts w:ascii="Times New Roman" w:hAnsi="Times New Roman"/>
                <w:sz w:val="20"/>
              </w:rPr>
            </w:pPr>
          </w:p>
          <w:p w:rsidR="00700B02" w:rsidP="001821F5" w14:paraId="79FACF17" w14:textId="77777777">
            <w:pPr>
              <w:jc w:val="center"/>
              <w:rPr>
                <w:rFonts w:ascii="Times New Roman" w:hAnsi="Times New Roman"/>
                <w:sz w:val="20"/>
              </w:rPr>
            </w:pPr>
          </w:p>
          <w:p w:rsidR="00700B02" w:rsidRPr="007F6104" w:rsidP="001821F5" w14:paraId="25E7AD47" w14:textId="77777777">
            <w:pPr>
              <w:jc w:val="center"/>
              <w:rPr>
                <w:rFonts w:ascii="Times New Roman" w:hAnsi="Times New Roman"/>
                <w:sz w:val="20"/>
              </w:rPr>
            </w:pPr>
            <w:r w:rsidRPr="007F6104">
              <w:rPr>
                <w:rFonts w:ascii="Times New Roman" w:hAnsi="Times New Roman"/>
                <w:sz w:val="20"/>
              </w:rPr>
              <w:t>Number of Responses</w:t>
            </w:r>
          </w:p>
        </w:tc>
        <w:tc>
          <w:tcPr>
            <w:tcW w:w="1420" w:type="dxa"/>
          </w:tcPr>
          <w:p w:rsidR="00700B02" w:rsidP="001821F5" w14:paraId="43EF4373" w14:textId="77777777">
            <w:pPr>
              <w:jc w:val="center"/>
              <w:rPr>
                <w:rFonts w:ascii="Times New Roman" w:hAnsi="Times New Roman"/>
                <w:sz w:val="20"/>
              </w:rPr>
            </w:pPr>
          </w:p>
          <w:p w:rsidR="00700B02" w:rsidP="001821F5" w14:paraId="4CFB77A1" w14:textId="77777777">
            <w:pPr>
              <w:jc w:val="center"/>
              <w:rPr>
                <w:rFonts w:ascii="Times New Roman" w:hAnsi="Times New Roman"/>
                <w:sz w:val="20"/>
              </w:rPr>
            </w:pPr>
          </w:p>
          <w:p w:rsidR="00700B02" w:rsidRPr="007F6104" w:rsidP="001821F5" w14:paraId="6629480F" w14:textId="77777777">
            <w:pPr>
              <w:jc w:val="center"/>
              <w:rPr>
                <w:rFonts w:ascii="Times New Roman" w:hAnsi="Times New Roman"/>
                <w:sz w:val="20"/>
              </w:rPr>
            </w:pPr>
            <w:r w:rsidRPr="007F6104">
              <w:rPr>
                <w:rFonts w:ascii="Times New Roman" w:hAnsi="Times New Roman"/>
                <w:sz w:val="20"/>
              </w:rPr>
              <w:t>Average Burden Hours per Response</w:t>
            </w:r>
          </w:p>
        </w:tc>
        <w:tc>
          <w:tcPr>
            <w:tcW w:w="815" w:type="dxa"/>
          </w:tcPr>
          <w:p w:rsidR="00700B02" w:rsidP="001821F5" w14:paraId="58BE48DB" w14:textId="77777777">
            <w:pPr>
              <w:jc w:val="center"/>
              <w:rPr>
                <w:rFonts w:ascii="Times New Roman" w:hAnsi="Times New Roman"/>
                <w:sz w:val="20"/>
              </w:rPr>
            </w:pPr>
          </w:p>
          <w:p w:rsidR="00700B02" w:rsidRPr="007F6104" w:rsidP="001821F5" w14:paraId="16FDD87F"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700B02" w:rsidP="001821F5" w14:paraId="236738EF" w14:textId="77777777">
            <w:pPr>
              <w:jc w:val="center"/>
              <w:rPr>
                <w:rFonts w:ascii="Times New Roman" w:hAnsi="Times New Roman"/>
                <w:sz w:val="20"/>
              </w:rPr>
            </w:pPr>
          </w:p>
          <w:p w:rsidR="00700B02" w:rsidP="001821F5" w14:paraId="49FFF686" w14:textId="77777777">
            <w:pPr>
              <w:jc w:val="center"/>
              <w:rPr>
                <w:rFonts w:ascii="Times New Roman" w:hAnsi="Times New Roman"/>
                <w:sz w:val="20"/>
              </w:rPr>
            </w:pPr>
          </w:p>
          <w:p w:rsidR="00700B02" w:rsidRPr="007F6104" w:rsidP="001821F5" w14:paraId="7BA15A6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700B02" w:rsidP="001821F5" w14:paraId="7815240F" w14:textId="77777777">
            <w:pPr>
              <w:jc w:val="center"/>
              <w:rPr>
                <w:rFonts w:ascii="Times New Roman" w:hAnsi="Times New Roman"/>
                <w:sz w:val="20"/>
              </w:rPr>
            </w:pPr>
          </w:p>
          <w:p w:rsidR="00700B02" w:rsidP="001821F5" w14:paraId="5E155825" w14:textId="77777777">
            <w:pPr>
              <w:jc w:val="center"/>
              <w:rPr>
                <w:rFonts w:ascii="Times New Roman" w:hAnsi="Times New Roman"/>
                <w:sz w:val="20"/>
              </w:rPr>
            </w:pPr>
          </w:p>
          <w:p w:rsidR="00700B02" w:rsidRPr="007F6104" w:rsidP="001821F5" w14:paraId="73E377A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30AE254" w14:textId="77777777" w:rsidTr="001821F5">
        <w:tblPrEx>
          <w:tblW w:w="9810" w:type="dxa"/>
          <w:tblLayout w:type="fixed"/>
          <w:tblLook w:val="0020"/>
        </w:tblPrEx>
        <w:tc>
          <w:tcPr>
            <w:tcW w:w="2340" w:type="dxa"/>
          </w:tcPr>
          <w:p w:rsidR="00700B02" w:rsidRPr="00442E07" w:rsidP="001821F5" w14:paraId="50C08C11" w14:textId="77777777">
            <w:pPr>
              <w:rPr>
                <w:rFonts w:ascii="Times New Roman" w:hAnsi="Times New Roman"/>
                <w:szCs w:val="24"/>
              </w:rPr>
            </w:pPr>
            <w:r>
              <w:rPr>
                <w:rFonts w:ascii="Times New Roman" w:hAnsi="Times New Roman"/>
                <w:szCs w:val="24"/>
              </w:rPr>
              <w:t>Appendix B: MOE Data Submission</w:t>
            </w:r>
          </w:p>
        </w:tc>
        <w:tc>
          <w:tcPr>
            <w:tcW w:w="1275" w:type="dxa"/>
          </w:tcPr>
          <w:p w:rsidR="00700B02" w:rsidRPr="00442E07" w:rsidP="001821F5" w14:paraId="05CA5533" w14:textId="77777777">
            <w:pPr>
              <w:rPr>
                <w:rFonts w:ascii="Times New Roman" w:hAnsi="Times New Roman"/>
                <w:szCs w:val="24"/>
              </w:rPr>
            </w:pPr>
            <w:r>
              <w:rPr>
                <w:rFonts w:ascii="Times New Roman" w:hAnsi="Times New Roman"/>
                <w:szCs w:val="24"/>
              </w:rPr>
              <w:t>56 SEAs</w:t>
            </w:r>
          </w:p>
        </w:tc>
        <w:tc>
          <w:tcPr>
            <w:tcW w:w="1080" w:type="dxa"/>
          </w:tcPr>
          <w:p w:rsidR="00700B02" w:rsidRPr="00442E07" w:rsidP="001821F5" w14:paraId="3E334405" w14:textId="77777777">
            <w:pPr>
              <w:rPr>
                <w:rFonts w:ascii="Times New Roman" w:hAnsi="Times New Roman"/>
                <w:szCs w:val="24"/>
              </w:rPr>
            </w:pPr>
            <w:r>
              <w:rPr>
                <w:rFonts w:ascii="Times New Roman" w:hAnsi="Times New Roman"/>
                <w:szCs w:val="24"/>
              </w:rPr>
              <w:t>1</w:t>
            </w:r>
          </w:p>
        </w:tc>
        <w:tc>
          <w:tcPr>
            <w:tcW w:w="1420" w:type="dxa"/>
          </w:tcPr>
          <w:p w:rsidR="00700B02" w:rsidRPr="00442E07" w:rsidP="001821F5" w14:paraId="4FC53A06" w14:textId="77777777">
            <w:pPr>
              <w:rPr>
                <w:rFonts w:ascii="Times New Roman" w:hAnsi="Times New Roman"/>
                <w:szCs w:val="24"/>
              </w:rPr>
            </w:pPr>
            <w:r>
              <w:rPr>
                <w:rFonts w:ascii="Times New Roman" w:hAnsi="Times New Roman"/>
                <w:szCs w:val="24"/>
              </w:rPr>
              <w:t>5.5</w:t>
            </w:r>
          </w:p>
        </w:tc>
        <w:tc>
          <w:tcPr>
            <w:tcW w:w="815" w:type="dxa"/>
          </w:tcPr>
          <w:p w:rsidR="00700B02" w:rsidRPr="00442E07" w:rsidP="001821F5" w14:paraId="5C4FD996" w14:textId="77777777">
            <w:pPr>
              <w:rPr>
                <w:rFonts w:ascii="Times New Roman" w:hAnsi="Times New Roman"/>
                <w:szCs w:val="24"/>
              </w:rPr>
            </w:pPr>
            <w:r>
              <w:rPr>
                <w:rFonts w:ascii="Times New Roman" w:hAnsi="Times New Roman"/>
                <w:szCs w:val="24"/>
              </w:rPr>
              <w:t>308</w:t>
            </w:r>
          </w:p>
        </w:tc>
        <w:tc>
          <w:tcPr>
            <w:tcW w:w="1530" w:type="dxa"/>
          </w:tcPr>
          <w:p w:rsidR="00700B02" w:rsidRPr="00442E07" w:rsidP="001821F5" w14:paraId="7E5B2E6C" w14:textId="77777777">
            <w:pPr>
              <w:rPr>
                <w:rFonts w:ascii="Times New Roman" w:hAnsi="Times New Roman"/>
                <w:szCs w:val="24"/>
              </w:rPr>
            </w:pPr>
            <w:r w:rsidRPr="00042D47">
              <w:rPr>
                <w:rFonts w:ascii="Times New Roman" w:hAnsi="Times New Roman"/>
                <w:szCs w:val="24"/>
              </w:rPr>
              <w:t>$</w:t>
            </w:r>
            <w:r>
              <w:rPr>
                <w:rFonts w:ascii="Times New Roman" w:hAnsi="Times New Roman"/>
                <w:szCs w:val="24"/>
              </w:rPr>
              <w:t>93.27</w:t>
            </w:r>
          </w:p>
        </w:tc>
        <w:tc>
          <w:tcPr>
            <w:tcW w:w="1350" w:type="dxa"/>
          </w:tcPr>
          <w:p w:rsidR="00700B02" w:rsidRPr="00442E07" w:rsidP="001821F5" w14:paraId="0B10EAC3" w14:textId="77777777">
            <w:pPr>
              <w:rPr>
                <w:rFonts w:ascii="Times New Roman" w:hAnsi="Times New Roman"/>
                <w:szCs w:val="24"/>
              </w:rPr>
            </w:pPr>
            <w:r>
              <w:rPr>
                <w:rFonts w:ascii="Times New Roman" w:hAnsi="Times New Roman"/>
                <w:szCs w:val="24"/>
              </w:rPr>
              <w:t>$28,727</w:t>
            </w:r>
          </w:p>
        </w:tc>
      </w:tr>
      <w:tr w14:paraId="687EA0B1" w14:textId="77777777" w:rsidTr="001821F5">
        <w:tblPrEx>
          <w:tblW w:w="9810" w:type="dxa"/>
          <w:tblLayout w:type="fixed"/>
          <w:tblLook w:val="0020"/>
        </w:tblPrEx>
        <w:tc>
          <w:tcPr>
            <w:tcW w:w="2340" w:type="dxa"/>
          </w:tcPr>
          <w:p w:rsidR="00700B02" w:rsidP="001821F5" w14:paraId="73997FC9" w14:textId="77777777">
            <w:pPr>
              <w:rPr>
                <w:rFonts w:ascii="Times New Roman" w:hAnsi="Times New Roman"/>
                <w:szCs w:val="24"/>
              </w:rPr>
            </w:pPr>
            <w:r>
              <w:rPr>
                <w:rFonts w:ascii="Times New Roman" w:hAnsi="Times New Roman"/>
                <w:szCs w:val="24"/>
              </w:rPr>
              <w:t>Appendix C: MOE Waiver Request Template</w:t>
            </w:r>
          </w:p>
        </w:tc>
        <w:tc>
          <w:tcPr>
            <w:tcW w:w="1275" w:type="dxa"/>
          </w:tcPr>
          <w:p w:rsidR="00700B02" w:rsidP="001821F5" w14:paraId="62C848F7" w14:textId="77777777">
            <w:pPr>
              <w:rPr>
                <w:rFonts w:ascii="Times New Roman" w:hAnsi="Times New Roman"/>
                <w:szCs w:val="24"/>
              </w:rPr>
            </w:pPr>
            <w:r>
              <w:rPr>
                <w:rFonts w:ascii="Times New Roman" w:hAnsi="Times New Roman"/>
                <w:szCs w:val="24"/>
              </w:rPr>
              <w:t>25 SEAs</w:t>
            </w:r>
          </w:p>
        </w:tc>
        <w:tc>
          <w:tcPr>
            <w:tcW w:w="1080" w:type="dxa"/>
          </w:tcPr>
          <w:p w:rsidR="00700B02" w:rsidP="001821F5" w14:paraId="38A40AD1" w14:textId="77777777">
            <w:pPr>
              <w:rPr>
                <w:rFonts w:ascii="Times New Roman" w:hAnsi="Times New Roman"/>
                <w:szCs w:val="24"/>
              </w:rPr>
            </w:pPr>
            <w:r>
              <w:rPr>
                <w:rFonts w:ascii="Times New Roman" w:hAnsi="Times New Roman"/>
                <w:szCs w:val="24"/>
              </w:rPr>
              <w:t>1</w:t>
            </w:r>
          </w:p>
        </w:tc>
        <w:tc>
          <w:tcPr>
            <w:tcW w:w="1420" w:type="dxa"/>
          </w:tcPr>
          <w:p w:rsidR="00700B02" w:rsidP="001821F5" w14:paraId="083FBAA9" w14:textId="77777777">
            <w:pPr>
              <w:rPr>
                <w:rFonts w:ascii="Times New Roman" w:hAnsi="Times New Roman"/>
                <w:szCs w:val="24"/>
              </w:rPr>
            </w:pPr>
            <w:r>
              <w:rPr>
                <w:rFonts w:ascii="Times New Roman" w:hAnsi="Times New Roman"/>
                <w:szCs w:val="24"/>
              </w:rPr>
              <w:t>2</w:t>
            </w:r>
          </w:p>
        </w:tc>
        <w:tc>
          <w:tcPr>
            <w:tcW w:w="815" w:type="dxa"/>
          </w:tcPr>
          <w:p w:rsidR="00700B02" w:rsidP="001821F5" w14:paraId="0FE8AADB" w14:textId="77777777">
            <w:pPr>
              <w:rPr>
                <w:rFonts w:ascii="Times New Roman" w:hAnsi="Times New Roman"/>
                <w:szCs w:val="24"/>
              </w:rPr>
            </w:pPr>
            <w:r>
              <w:rPr>
                <w:rFonts w:ascii="Times New Roman" w:hAnsi="Times New Roman"/>
                <w:szCs w:val="24"/>
              </w:rPr>
              <w:t>50</w:t>
            </w:r>
          </w:p>
        </w:tc>
        <w:tc>
          <w:tcPr>
            <w:tcW w:w="1530" w:type="dxa"/>
          </w:tcPr>
          <w:p w:rsidR="00700B02" w:rsidRPr="00042D47" w:rsidP="001821F5" w14:paraId="6BEF55A5" w14:textId="77777777">
            <w:pPr>
              <w:rPr>
                <w:rFonts w:ascii="Times New Roman" w:hAnsi="Times New Roman"/>
                <w:szCs w:val="24"/>
              </w:rPr>
            </w:pPr>
            <w:r>
              <w:rPr>
                <w:rFonts w:ascii="Times New Roman" w:hAnsi="Times New Roman"/>
                <w:szCs w:val="24"/>
              </w:rPr>
              <w:t>$93.27</w:t>
            </w:r>
          </w:p>
        </w:tc>
        <w:tc>
          <w:tcPr>
            <w:tcW w:w="1350" w:type="dxa"/>
          </w:tcPr>
          <w:p w:rsidR="00700B02" w:rsidP="001821F5" w14:paraId="57B57CB9" w14:textId="77777777">
            <w:pPr>
              <w:rPr>
                <w:rFonts w:ascii="Times New Roman" w:hAnsi="Times New Roman"/>
                <w:szCs w:val="24"/>
              </w:rPr>
            </w:pPr>
            <w:r>
              <w:rPr>
                <w:rFonts w:ascii="Times New Roman" w:hAnsi="Times New Roman"/>
                <w:szCs w:val="24"/>
              </w:rPr>
              <w:t>$4,663</w:t>
            </w:r>
          </w:p>
        </w:tc>
      </w:tr>
      <w:tr w14:paraId="53098A65" w14:textId="77777777" w:rsidTr="001821F5">
        <w:tblPrEx>
          <w:tblW w:w="9810" w:type="dxa"/>
          <w:tblLayout w:type="fixed"/>
          <w:tblLook w:val="0020"/>
        </w:tblPrEx>
        <w:tc>
          <w:tcPr>
            <w:tcW w:w="2340" w:type="dxa"/>
          </w:tcPr>
          <w:p w:rsidR="00700B02" w:rsidP="001821F5" w14:paraId="5CE79E2F" w14:textId="77777777">
            <w:pPr>
              <w:rPr>
                <w:rFonts w:ascii="Times New Roman" w:hAnsi="Times New Roman"/>
                <w:szCs w:val="24"/>
              </w:rPr>
            </w:pPr>
            <w:r>
              <w:rPr>
                <w:rFonts w:ascii="Times New Roman" w:hAnsi="Times New Roman"/>
                <w:szCs w:val="24"/>
              </w:rPr>
              <w:t>Annualized Totals</w:t>
            </w:r>
          </w:p>
        </w:tc>
        <w:tc>
          <w:tcPr>
            <w:tcW w:w="1275" w:type="dxa"/>
          </w:tcPr>
          <w:p w:rsidR="00700B02" w:rsidP="001821F5" w14:paraId="3CAC62E4" w14:textId="77777777">
            <w:pPr>
              <w:rPr>
                <w:rFonts w:ascii="Times New Roman" w:hAnsi="Times New Roman"/>
                <w:szCs w:val="24"/>
              </w:rPr>
            </w:pPr>
            <w:r>
              <w:rPr>
                <w:rFonts w:ascii="Times New Roman" w:hAnsi="Times New Roman"/>
                <w:szCs w:val="24"/>
              </w:rPr>
              <w:t xml:space="preserve">81 </w:t>
            </w:r>
          </w:p>
        </w:tc>
        <w:tc>
          <w:tcPr>
            <w:tcW w:w="1080" w:type="dxa"/>
          </w:tcPr>
          <w:p w:rsidR="00700B02" w:rsidP="001821F5" w14:paraId="3C5A9B4C" w14:textId="77777777">
            <w:pPr>
              <w:rPr>
                <w:rFonts w:ascii="Times New Roman" w:hAnsi="Times New Roman"/>
                <w:szCs w:val="24"/>
              </w:rPr>
            </w:pPr>
            <w:r>
              <w:rPr>
                <w:rFonts w:ascii="Times New Roman" w:hAnsi="Times New Roman"/>
                <w:szCs w:val="24"/>
              </w:rPr>
              <w:t>1</w:t>
            </w:r>
          </w:p>
        </w:tc>
        <w:tc>
          <w:tcPr>
            <w:tcW w:w="1420" w:type="dxa"/>
          </w:tcPr>
          <w:p w:rsidR="00700B02" w:rsidP="001821F5" w14:paraId="7B047D9C" w14:textId="77777777">
            <w:pPr>
              <w:rPr>
                <w:rFonts w:ascii="Times New Roman" w:hAnsi="Times New Roman"/>
                <w:szCs w:val="24"/>
              </w:rPr>
            </w:pPr>
          </w:p>
        </w:tc>
        <w:tc>
          <w:tcPr>
            <w:tcW w:w="815" w:type="dxa"/>
          </w:tcPr>
          <w:p w:rsidR="00700B02" w:rsidP="001821F5" w14:paraId="7653C30D" w14:textId="77777777">
            <w:pPr>
              <w:rPr>
                <w:rFonts w:ascii="Times New Roman" w:hAnsi="Times New Roman"/>
                <w:szCs w:val="24"/>
              </w:rPr>
            </w:pPr>
            <w:r>
              <w:rPr>
                <w:rFonts w:ascii="Times New Roman" w:hAnsi="Times New Roman"/>
                <w:szCs w:val="24"/>
              </w:rPr>
              <w:t>358</w:t>
            </w:r>
          </w:p>
        </w:tc>
        <w:tc>
          <w:tcPr>
            <w:tcW w:w="1530" w:type="dxa"/>
          </w:tcPr>
          <w:p w:rsidR="00700B02" w:rsidRPr="00042D47" w:rsidP="001821F5" w14:paraId="066ED3D2" w14:textId="77777777">
            <w:pPr>
              <w:rPr>
                <w:rFonts w:ascii="Times New Roman" w:hAnsi="Times New Roman"/>
                <w:szCs w:val="24"/>
              </w:rPr>
            </w:pPr>
            <w:r>
              <w:rPr>
                <w:rFonts w:ascii="Times New Roman" w:hAnsi="Times New Roman"/>
                <w:szCs w:val="24"/>
              </w:rPr>
              <w:t>$93.27</w:t>
            </w:r>
          </w:p>
        </w:tc>
        <w:tc>
          <w:tcPr>
            <w:tcW w:w="1350" w:type="dxa"/>
          </w:tcPr>
          <w:p w:rsidR="00700B02" w:rsidP="001821F5" w14:paraId="64C0C9C6" w14:textId="77777777">
            <w:pPr>
              <w:rPr>
                <w:rFonts w:ascii="Times New Roman" w:hAnsi="Times New Roman"/>
                <w:szCs w:val="24"/>
              </w:rPr>
            </w:pPr>
            <w:r>
              <w:rPr>
                <w:rFonts w:ascii="Times New Roman" w:hAnsi="Times New Roman"/>
                <w:szCs w:val="24"/>
              </w:rPr>
              <w:t>$33,390</w:t>
            </w:r>
          </w:p>
        </w:tc>
      </w:tr>
    </w:tbl>
    <w:p w:rsidR="00700B02" w:rsidRPr="004A1972" w:rsidP="004A1972" w14:paraId="68C81CB5" w14:textId="77777777"/>
    <w:p w:rsidR="00973895" w:rsidP="00973895" w14:paraId="0C6E6287" w14:textId="77777777">
      <w:pPr>
        <w:pStyle w:val="ListParagraph"/>
        <w:tabs>
          <w:tab w:val="left" w:pos="-720"/>
        </w:tabs>
        <w:suppressAutoHyphens/>
        <w:ind w:left="-864" w:right="-864"/>
        <w:rPr>
          <w:rStyle w:val="a"/>
          <w:rFonts w:ascii="Times New Roman" w:hAnsi="Times New Roman"/>
          <w:b/>
          <w:bCs/>
          <w:i/>
          <w:iCs/>
          <w:szCs w:val="24"/>
        </w:rPr>
      </w:pPr>
    </w:p>
    <w:p w:rsidR="00973895" w:rsidRPr="00AF5D1A" w:rsidP="00973895" w14:paraId="01C68F6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973895" w:rsidP="00973895" w14:paraId="39789C17" w14:textId="77777777">
      <w:pPr>
        <w:pStyle w:val="ListParagraph"/>
        <w:tabs>
          <w:tab w:val="left" w:pos="-720"/>
        </w:tabs>
        <w:suppressAutoHyphens/>
        <w:rPr>
          <w:rStyle w:val="a"/>
          <w:rFonts w:ascii="Times New Roman" w:hAnsi="Times New Roman"/>
          <w:szCs w:val="24"/>
        </w:rPr>
      </w:pPr>
    </w:p>
    <w:p w:rsidR="00973895" w:rsidRPr="00ED7195" w:rsidP="00973895" w14:paraId="6308FC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973895" w:rsidRPr="00ED7195" w:rsidP="00973895" w14:paraId="6AC1B7DA" w14:textId="77777777">
      <w:pPr>
        <w:tabs>
          <w:tab w:val="left" w:pos="-720"/>
        </w:tabs>
        <w:suppressAutoHyphens/>
        <w:rPr>
          <w:rFonts w:ascii="Times New Roman" w:hAnsi="Times New Roman"/>
          <w:b/>
          <w:szCs w:val="24"/>
        </w:rPr>
      </w:pPr>
    </w:p>
    <w:p w:rsidR="00973895" w:rsidRPr="00ED7195" w:rsidP="00973895" w14:paraId="24B72487"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973895" w:rsidRPr="00AD381B" w:rsidP="00973895" w14:paraId="21010BF6" w14:textId="77777777">
      <w:pPr>
        <w:numPr>
          <w:ilvl w:val="12"/>
          <w:numId w:val="0"/>
        </w:numPr>
        <w:tabs>
          <w:tab w:val="left" w:pos="-720"/>
        </w:tabs>
        <w:suppressAutoHyphens/>
        <w:ind w:left="340"/>
        <w:rPr>
          <w:rFonts w:ascii="Times New Roman" w:hAnsi="Times New Roman"/>
          <w:szCs w:val="24"/>
        </w:rPr>
      </w:pPr>
    </w:p>
    <w:p w:rsidR="00973895" w:rsidRPr="00ED7195" w:rsidP="00973895" w14:paraId="4034A9B2"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73895" w:rsidRPr="00ED7195" w:rsidP="00973895" w14:paraId="3F5ED686" w14:textId="77777777">
      <w:pPr>
        <w:tabs>
          <w:tab w:val="left" w:pos="-720"/>
          <w:tab w:val="left" w:pos="1247"/>
        </w:tabs>
        <w:suppressAutoHyphens/>
        <w:ind w:left="340"/>
        <w:rPr>
          <w:rFonts w:ascii="Times New Roman" w:hAnsi="Times New Roman"/>
          <w:b/>
          <w:szCs w:val="24"/>
        </w:rPr>
      </w:pPr>
    </w:p>
    <w:p w:rsidR="00973895" w:rsidRPr="00ED7195" w:rsidP="00973895" w14:paraId="3458A9B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D7195">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00973895" w:rsidRPr="00ED7195" w:rsidP="00973895" w14:paraId="4874E0C6" w14:textId="77777777">
      <w:pPr>
        <w:tabs>
          <w:tab w:val="left" w:pos="-720"/>
        </w:tabs>
        <w:suppressAutoHyphens/>
        <w:rPr>
          <w:rFonts w:ascii="Times New Roman" w:hAnsi="Times New Roman"/>
          <w:b/>
          <w:szCs w:val="24"/>
        </w:rPr>
      </w:pPr>
    </w:p>
    <w:p w:rsidR="00973895" w:rsidRPr="00ED7195" w:rsidP="00973895" w14:paraId="46DFE45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973895" w:rsidRPr="00ED7195" w:rsidP="00973895" w14:paraId="1647EAB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:____________________</w:t>
      </w:r>
    </w:p>
    <w:p w:rsidR="00973895" w:rsidRPr="00ED7195" w:rsidP="00973895" w14:paraId="600389A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p>
    <w:p w:rsidR="00973895" w:rsidP="00973895" w14:paraId="02C3AC99" w14:textId="77777777">
      <w:pPr>
        <w:tabs>
          <w:tab w:val="left" w:pos="-720"/>
        </w:tabs>
        <w:suppressAutoHyphens/>
        <w:rPr>
          <w:rFonts w:ascii="Times New Roman" w:hAnsi="Times New Roman"/>
          <w:szCs w:val="24"/>
        </w:rPr>
      </w:pPr>
    </w:p>
    <w:p w:rsidR="00973895" w:rsidRPr="00D97CD3" w:rsidP="00973895" w14:paraId="27C12B85"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73895" w:rsidP="00973895" w14:paraId="38AF612A" w14:textId="77777777">
      <w:pPr>
        <w:tabs>
          <w:tab w:val="left" w:pos="-720"/>
        </w:tabs>
        <w:suppressAutoHyphens/>
        <w:rPr>
          <w:rFonts w:ascii="Times New Roman" w:hAnsi="Times New Roman"/>
          <w:szCs w:val="24"/>
        </w:rPr>
      </w:pPr>
    </w:p>
    <w:p w:rsidR="00973895" w:rsidP="00973895" w14:paraId="3B2F5C8E" w14:textId="77777777">
      <w:pPr>
        <w:tabs>
          <w:tab w:val="left" w:pos="-720"/>
        </w:tabs>
        <w:suppressAutoHyphens/>
        <w:rPr>
          <w:rFonts w:ascii="Times New Roman" w:hAnsi="Times New Roman"/>
          <w:szCs w:val="24"/>
        </w:rPr>
      </w:pPr>
    </w:p>
    <w:p w:rsidR="00973895" w:rsidRPr="00534B4A" w:rsidP="00973895" w14:paraId="22FE745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73895" w:rsidP="00973895" w14:paraId="16C16B99" w14:textId="77777777">
      <w:pPr>
        <w:tabs>
          <w:tab w:val="left" w:pos="-720"/>
        </w:tabs>
        <w:suppressAutoHyphens/>
        <w:ind w:firstLine="720"/>
        <w:rPr>
          <w:rFonts w:ascii="Times New Roman" w:hAnsi="Times New Roman"/>
          <w:szCs w:val="24"/>
        </w:rPr>
      </w:pPr>
    </w:p>
    <w:p w:rsidR="00973895" w:rsidRPr="00D97CD3" w:rsidP="00973895" w14:paraId="15497F16" w14:textId="77777777">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$289.59.  This includes the salaries of the employees who will review the submissions.</w:t>
      </w:r>
      <w:r w:rsidRPr="00D97CD3">
        <w:rPr>
          <w:rFonts w:ascii="Times New Roman" w:hAnsi="Times New Roman"/>
        </w:rPr>
        <w:t xml:space="preserve"> </w:t>
      </w:r>
    </w:p>
    <w:p w:rsidR="00973895" w:rsidRPr="00D97CD3" w:rsidP="00973895" w14:paraId="3F9D32CD" w14:textId="77777777">
      <w:pPr>
        <w:pStyle w:val="ListParagraph"/>
        <w:suppressAutoHyphens/>
        <w:spacing w:line="240" w:lineRule="exact"/>
        <w:rPr>
          <w:rFonts w:ascii="Times New Roman" w:hAnsi="Times New Roman"/>
        </w:rPr>
      </w:pPr>
    </w:p>
    <w:tbl>
      <w:tblPr>
        <w:tblStyle w:val="TableGrid"/>
        <w:tblW w:w="0" w:type="auto"/>
        <w:tblInd w:w="265" w:type="dxa"/>
        <w:tblLook w:val="04A0"/>
      </w:tblPr>
      <w:tblGrid>
        <w:gridCol w:w="1059"/>
        <w:gridCol w:w="1283"/>
        <w:gridCol w:w="1244"/>
        <w:gridCol w:w="1344"/>
        <w:gridCol w:w="1340"/>
        <w:gridCol w:w="1340"/>
        <w:gridCol w:w="1475"/>
      </w:tblGrid>
      <w:tr w14:paraId="20A388FC" w14:textId="77777777" w:rsidTr="00E54C76">
        <w:tblPrEx>
          <w:tblW w:w="0" w:type="auto"/>
          <w:tblInd w:w="265" w:type="dxa"/>
          <w:tblLook w:val="04A0"/>
        </w:tblPrEx>
        <w:tc>
          <w:tcPr>
            <w:tcW w:w="1170" w:type="dxa"/>
          </w:tcPr>
          <w:p w:rsidR="00973895" w:rsidRPr="00A75CFC" w:rsidP="00E54C76" w14:paraId="0CB2CB13"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00973895" w:rsidRPr="00A75CFC" w:rsidP="00E54C76" w14:paraId="42256142"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00973895" w:rsidRPr="00A75CFC" w:rsidP="00E54C76" w14:paraId="2F10F426"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00973895" w:rsidRPr="00A75CFC" w:rsidP="00E54C76" w14:paraId="3873211C"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00973895" w:rsidRPr="00A75CFC" w:rsidP="00E54C76" w14:paraId="33C9F7B4"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00973895" w:rsidRPr="00A75CFC" w:rsidP="00E54C76" w14:paraId="663087A2" w14:textId="77777777">
            <w:pPr>
              <w:tabs>
                <w:tab w:val="left" w:pos="-4050"/>
                <w:tab w:val="left" w:pos="2340"/>
                <w:tab w:val="right" w:pos="9588"/>
              </w:tabs>
              <w:rPr>
                <w:rFonts w:ascii="Times New Roman" w:hAnsi="Times New Roman"/>
                <w:bCs/>
              </w:rPr>
            </w:pPr>
          </w:p>
        </w:tc>
        <w:tc>
          <w:tcPr>
            <w:tcW w:w="1391" w:type="dxa"/>
          </w:tcPr>
          <w:p w:rsidR="00973895" w:rsidRPr="00A75CFC" w:rsidP="00E54C76" w14:paraId="6ED04A7C"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00973895" w:rsidRPr="00A75CFC" w:rsidP="00E54C76" w14:paraId="47C661D2"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14:paraId="0AF97B5A" w14:textId="77777777" w:rsidTr="00E54C76">
        <w:tblPrEx>
          <w:tblW w:w="0" w:type="auto"/>
          <w:tblInd w:w="265" w:type="dxa"/>
          <w:tblLook w:val="04A0"/>
        </w:tblPrEx>
        <w:tc>
          <w:tcPr>
            <w:tcW w:w="1170" w:type="dxa"/>
          </w:tcPr>
          <w:p w:rsidR="00973895" w:rsidRPr="00A75CFC" w:rsidP="00E54C76" w14:paraId="3CCB0144"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00973895" w:rsidRPr="00A75CFC" w:rsidP="00E54C76" w14:paraId="52FC5FC0" w14:textId="77777777">
            <w:pPr>
              <w:tabs>
                <w:tab w:val="left" w:pos="-4050"/>
                <w:tab w:val="left" w:pos="2340"/>
                <w:tab w:val="right" w:pos="9588"/>
              </w:tabs>
              <w:jc w:val="center"/>
              <w:rPr>
                <w:rFonts w:ascii="Times New Roman" w:hAnsi="Times New Roman"/>
                <w:bCs/>
              </w:rPr>
            </w:pPr>
            <w:r>
              <w:rPr>
                <w:rFonts w:ascii="Times New Roman" w:hAnsi="Times New Roman"/>
                <w:bCs/>
              </w:rPr>
              <w:t>7</w:t>
            </w:r>
          </w:p>
          <w:p w:rsidR="00973895" w:rsidRPr="00A75CFC" w:rsidP="00E54C76" w14:paraId="36F21E9E" w14:textId="77777777">
            <w:pPr>
              <w:tabs>
                <w:tab w:val="left" w:pos="-4050"/>
                <w:tab w:val="left" w:pos="2340"/>
                <w:tab w:val="right" w:pos="9588"/>
              </w:tabs>
              <w:jc w:val="center"/>
              <w:rPr>
                <w:rFonts w:ascii="Times New Roman" w:hAnsi="Times New Roman"/>
                <w:bCs/>
              </w:rPr>
            </w:pPr>
          </w:p>
          <w:p w:rsidR="00973895" w:rsidRPr="00A75CFC" w:rsidP="00E54C76" w14:paraId="018D7363" w14:textId="77777777">
            <w:pPr>
              <w:tabs>
                <w:tab w:val="left" w:pos="-4050"/>
                <w:tab w:val="left" w:pos="2340"/>
                <w:tab w:val="right" w:pos="9588"/>
              </w:tabs>
              <w:jc w:val="center"/>
              <w:rPr>
                <w:rFonts w:ascii="Times New Roman" w:hAnsi="Times New Roman"/>
                <w:bCs/>
              </w:rPr>
            </w:pPr>
          </w:p>
        </w:tc>
        <w:tc>
          <w:tcPr>
            <w:tcW w:w="1261" w:type="dxa"/>
          </w:tcPr>
          <w:p w:rsidR="00973895" w:rsidRPr="00A75CFC" w:rsidP="00E54C76" w14:paraId="2A90443B"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00973895" w:rsidRPr="00A75CFC" w:rsidP="00E54C76" w14:paraId="7B9645CD" w14:textId="77777777">
            <w:pPr>
              <w:tabs>
                <w:tab w:val="left" w:pos="-4050"/>
                <w:tab w:val="left" w:pos="2340"/>
                <w:tab w:val="right" w:pos="9588"/>
              </w:tabs>
              <w:jc w:val="center"/>
              <w:rPr>
                <w:rFonts w:ascii="Times New Roman" w:hAnsi="Times New Roman"/>
                <w:bCs/>
              </w:rPr>
            </w:pPr>
            <w:r>
              <w:rPr>
                <w:rFonts w:ascii="Times New Roman" w:hAnsi="Times New Roman"/>
                <w:bCs/>
              </w:rPr>
              <w:t>1</w:t>
            </w:r>
          </w:p>
        </w:tc>
        <w:tc>
          <w:tcPr>
            <w:tcW w:w="1391" w:type="dxa"/>
          </w:tcPr>
          <w:p w:rsidR="00973895" w:rsidRPr="00A75CFC" w:rsidP="00E54C76" w14:paraId="4F00C1EB" w14:textId="77777777">
            <w:pPr>
              <w:tabs>
                <w:tab w:val="left" w:pos="-4050"/>
                <w:tab w:val="left" w:pos="2340"/>
                <w:tab w:val="right" w:pos="9588"/>
              </w:tabs>
              <w:jc w:val="center"/>
              <w:rPr>
                <w:rFonts w:ascii="Times New Roman" w:hAnsi="Times New Roman"/>
                <w:bCs/>
              </w:rPr>
            </w:pPr>
            <w:r>
              <w:rPr>
                <w:rFonts w:ascii="Times New Roman" w:hAnsi="Times New Roman"/>
                <w:bCs/>
              </w:rPr>
              <w:t>7</w:t>
            </w:r>
          </w:p>
          <w:p w:rsidR="00973895" w:rsidRPr="00A75CFC" w:rsidP="00E54C76" w14:paraId="6B1C40F1" w14:textId="77777777">
            <w:pPr>
              <w:tabs>
                <w:tab w:val="left" w:pos="-4050"/>
                <w:tab w:val="left" w:pos="2340"/>
                <w:tab w:val="right" w:pos="9588"/>
              </w:tabs>
              <w:jc w:val="center"/>
              <w:rPr>
                <w:rFonts w:ascii="Times New Roman" w:hAnsi="Times New Roman"/>
                <w:bCs/>
              </w:rPr>
            </w:pPr>
          </w:p>
        </w:tc>
        <w:tc>
          <w:tcPr>
            <w:tcW w:w="1391" w:type="dxa"/>
          </w:tcPr>
          <w:p w:rsidR="00973895" w:rsidRPr="00A75CFC" w:rsidP="00E54C76" w14:paraId="35F43EF5" w14:textId="77777777">
            <w:pPr>
              <w:tabs>
                <w:tab w:val="left" w:pos="-4050"/>
                <w:tab w:val="left" w:pos="2340"/>
                <w:tab w:val="right" w:pos="9588"/>
              </w:tabs>
              <w:jc w:val="center"/>
              <w:rPr>
                <w:rFonts w:ascii="Times New Roman" w:hAnsi="Times New Roman"/>
                <w:bCs/>
              </w:rPr>
            </w:pPr>
            <w:bookmarkStart w:id="1" w:name="OLE_LINK1"/>
            <w:r w:rsidRPr="00042D47">
              <w:rPr>
                <w:rFonts w:ascii="Times New Roman" w:hAnsi="Times New Roman"/>
                <w:bCs/>
              </w:rPr>
              <w:t>$41.37</w:t>
            </w:r>
          </w:p>
          <w:bookmarkEnd w:id="1"/>
          <w:p w:rsidR="00973895" w:rsidRPr="00A75CFC" w:rsidP="00E54C76" w14:paraId="76201BEF" w14:textId="77777777">
            <w:pPr>
              <w:tabs>
                <w:tab w:val="left" w:pos="-4050"/>
                <w:tab w:val="left" w:pos="2340"/>
                <w:tab w:val="right" w:pos="9588"/>
              </w:tabs>
              <w:jc w:val="center"/>
              <w:rPr>
                <w:rFonts w:ascii="Times New Roman" w:hAnsi="Times New Roman"/>
                <w:bCs/>
              </w:rPr>
            </w:pPr>
          </w:p>
          <w:p w:rsidR="00973895" w:rsidRPr="00A75CFC" w:rsidP="00E54C76" w14:paraId="48DCA559" w14:textId="77777777">
            <w:pPr>
              <w:tabs>
                <w:tab w:val="left" w:pos="-4050"/>
                <w:tab w:val="left" w:pos="2340"/>
                <w:tab w:val="right" w:pos="9588"/>
              </w:tabs>
              <w:jc w:val="center"/>
              <w:rPr>
                <w:rFonts w:ascii="Times New Roman" w:hAnsi="Times New Roman"/>
                <w:bCs/>
              </w:rPr>
            </w:pPr>
          </w:p>
        </w:tc>
        <w:tc>
          <w:tcPr>
            <w:tcW w:w="1522" w:type="dxa"/>
          </w:tcPr>
          <w:p w:rsidR="00973895" w:rsidRPr="00A75CFC" w:rsidP="00E54C76" w14:paraId="53C0152F" w14:textId="77777777">
            <w:pPr>
              <w:tabs>
                <w:tab w:val="left" w:pos="-4050"/>
                <w:tab w:val="left" w:pos="2340"/>
                <w:tab w:val="right" w:pos="9588"/>
              </w:tabs>
              <w:jc w:val="center"/>
              <w:rPr>
                <w:rFonts w:ascii="Times New Roman" w:hAnsi="Times New Roman"/>
                <w:bCs/>
              </w:rPr>
            </w:pPr>
            <w:r>
              <w:rPr>
                <w:rFonts w:ascii="Times New Roman" w:hAnsi="Times New Roman"/>
                <w:bCs/>
              </w:rPr>
              <w:t>$289.59</w:t>
            </w:r>
          </w:p>
        </w:tc>
      </w:tr>
    </w:tbl>
    <w:p w:rsidR="00973895" w:rsidP="00973895" w14:paraId="1FFDE5EB" w14:textId="77777777">
      <w:pPr>
        <w:pStyle w:val="ListParagraph"/>
        <w:tabs>
          <w:tab w:val="left" w:pos="-720"/>
        </w:tabs>
        <w:suppressAutoHyphens/>
        <w:ind w:left="907"/>
        <w:contextualSpacing w:val="0"/>
        <w:rPr>
          <w:rFonts w:ascii="Times New Roman" w:hAnsi="Times New Roman"/>
          <w:szCs w:val="24"/>
        </w:rPr>
      </w:pPr>
    </w:p>
    <w:p w:rsidR="00973895" w:rsidP="00973895" w14:paraId="6A6A2104" w14:textId="77777777">
      <w:pPr>
        <w:pStyle w:val="ListParagraph"/>
        <w:tabs>
          <w:tab w:val="left" w:pos="-720"/>
        </w:tabs>
        <w:suppressAutoHyphens/>
        <w:ind w:left="907"/>
        <w:contextualSpacing w:val="0"/>
        <w:rPr>
          <w:rFonts w:ascii="Times New Roman" w:hAnsi="Times New Roman"/>
          <w:szCs w:val="24"/>
        </w:rPr>
      </w:pPr>
    </w:p>
    <w:p w:rsidR="00973895" w:rsidP="00973895" w14:paraId="04817C9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 xml:space="preserve">revision, extension, reinstatement with change, reinstatement without change) and include totals for changes in burden hours, responses and costs (if applicable). </w:t>
      </w:r>
    </w:p>
    <w:p w:rsidR="00973895" w:rsidP="00973895" w14:paraId="769529B5" w14:textId="77777777">
      <w:pPr>
        <w:pStyle w:val="ListParagraph"/>
        <w:tabs>
          <w:tab w:val="left" w:pos="-720"/>
        </w:tabs>
        <w:suppressAutoHyphens/>
        <w:contextualSpacing w:val="0"/>
        <w:rPr>
          <w:rFonts w:ascii="Times New Roman" w:hAnsi="Times New Roman"/>
          <w:b/>
          <w:szCs w:val="24"/>
        </w:rPr>
      </w:pPr>
    </w:p>
    <w:p w:rsidR="00973895" w:rsidP="00973895" w14:paraId="536DECD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973895" w:rsidP="00973895" w14:paraId="3B236665" w14:textId="77777777">
      <w:pPr>
        <w:pStyle w:val="ListParagraph"/>
        <w:tabs>
          <w:tab w:val="left" w:pos="-720"/>
        </w:tabs>
        <w:suppressAutoHyphens/>
        <w:contextualSpacing w:val="0"/>
        <w:rPr>
          <w:rFonts w:ascii="Times New Roman" w:hAnsi="Times New Roman"/>
          <w:b/>
          <w:sz w:val="26"/>
          <w:szCs w:val="26"/>
        </w:rPr>
      </w:pPr>
    </w:p>
    <w:p w:rsidR="007252CB" w:rsidRPr="00D97CD3" w:rsidP="007252CB" w14:paraId="6D543566" w14:textId="77777777">
      <w:pPr>
        <w:pStyle w:val="ListParagraph"/>
        <w:suppressAutoHyphens/>
        <w:spacing w:line="240" w:lineRule="exact"/>
        <w:rPr>
          <w:rFonts w:ascii="Times New Roman" w:hAnsi="Times New Roman"/>
        </w:rPr>
      </w:pPr>
      <w:r>
        <w:rPr>
          <w:rFonts w:ascii="Times New Roman" w:hAnsi="Times New Roman"/>
        </w:rPr>
        <w:t xml:space="preserve">There are no changes to the approved collection. </w:t>
      </w:r>
    </w:p>
    <w:p w:rsidR="00973895" w:rsidRPr="00756FD3" w:rsidP="00973895" w14:paraId="456B44FC" w14:textId="77777777">
      <w:pPr>
        <w:pStyle w:val="ListParagraph"/>
        <w:tabs>
          <w:tab w:val="left" w:pos="-720"/>
        </w:tabs>
        <w:suppressAutoHyphens/>
        <w:contextualSpacing w:val="0"/>
        <w:rPr>
          <w:rFonts w:ascii="Times New Roman" w:hAnsi="Times New Roman"/>
          <w:b/>
          <w:sz w:val="26"/>
          <w:szCs w:val="26"/>
        </w:rPr>
      </w:pPr>
    </w:p>
    <w:tbl>
      <w:tblPr>
        <w:tblStyle w:val="TableGrid"/>
        <w:tblpPr w:leftFromText="180" w:rightFromText="180" w:vertAnchor="text" w:horzAnchor="margin" w:tblpXSpec="center" w:tblpY="169"/>
        <w:tblW w:w="11875" w:type="dxa"/>
        <w:tblLook w:val="04A0"/>
      </w:tblPr>
      <w:tblGrid>
        <w:gridCol w:w="2048"/>
        <w:gridCol w:w="2048"/>
        <w:gridCol w:w="2829"/>
        <w:gridCol w:w="2520"/>
        <w:gridCol w:w="2430"/>
      </w:tblGrid>
      <w:tr w14:paraId="58D009B9" w14:textId="77777777" w:rsidTr="00626F1E">
        <w:tblPrEx>
          <w:tblW w:w="11875" w:type="dxa"/>
          <w:tblLook w:val="04A0"/>
        </w:tblPrEx>
        <w:tc>
          <w:tcPr>
            <w:tcW w:w="2048" w:type="dxa"/>
            <w:shd w:val="clear" w:color="auto" w:fill="D9D9D9" w:themeFill="background1" w:themeFillShade="D9"/>
          </w:tcPr>
          <w:p w:rsidR="00626F1E" w:rsidP="00626F1E" w14:paraId="46DF6F4D" w14:textId="77777777">
            <w:pPr>
              <w:tabs>
                <w:tab w:val="left" w:pos="-720"/>
              </w:tabs>
              <w:suppressAutoHyphens/>
              <w:rPr>
                <w:rFonts w:ascii="Times New Roman" w:hAnsi="Times New Roman"/>
                <w:b/>
                <w:szCs w:val="24"/>
              </w:rPr>
            </w:pPr>
          </w:p>
        </w:tc>
        <w:tc>
          <w:tcPr>
            <w:tcW w:w="2048" w:type="dxa"/>
          </w:tcPr>
          <w:p w:rsidR="00626F1E" w:rsidP="00626F1E" w14:paraId="04BDA91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626F1E" w:rsidP="00626F1E" w14:paraId="7B0D12E6"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626F1E" w:rsidP="00626F1E" w14:paraId="3F9AF4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c>
          <w:tcPr>
            <w:tcW w:w="2430" w:type="dxa"/>
          </w:tcPr>
          <w:p w:rsidR="00626F1E" w:rsidP="00626F1E" w14:paraId="3696F8B5" w14:textId="7BEE1680">
            <w:pPr>
              <w:tabs>
                <w:tab w:val="left" w:pos="-720"/>
              </w:tabs>
              <w:suppressAutoHyphens/>
              <w:rPr>
                <w:rFonts w:ascii="Times New Roman" w:hAnsi="Times New Roman"/>
                <w:b/>
                <w:szCs w:val="24"/>
              </w:rPr>
            </w:pPr>
            <w:r>
              <w:rPr>
                <w:rFonts w:ascii="Times New Roman" w:hAnsi="Times New Roman"/>
                <w:b/>
                <w:szCs w:val="24"/>
              </w:rPr>
              <w:t>Previously Approved</w:t>
            </w:r>
          </w:p>
        </w:tc>
      </w:tr>
      <w:tr w14:paraId="2EE56FDF" w14:textId="77777777" w:rsidTr="00626F1E">
        <w:tblPrEx>
          <w:tblW w:w="11875" w:type="dxa"/>
          <w:tblLook w:val="04A0"/>
        </w:tblPrEx>
        <w:tc>
          <w:tcPr>
            <w:tcW w:w="2048" w:type="dxa"/>
          </w:tcPr>
          <w:p w:rsidR="00626F1E" w:rsidP="00626F1E" w14:paraId="4011F37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26F1E" w:rsidP="00626F1E" w14:paraId="0BB626B4" w14:textId="76AF2A69">
            <w:pPr>
              <w:tabs>
                <w:tab w:val="left" w:pos="-720"/>
              </w:tabs>
              <w:suppressAutoHyphens/>
              <w:rPr>
                <w:rFonts w:ascii="Times New Roman" w:hAnsi="Times New Roman"/>
                <w:b/>
                <w:szCs w:val="24"/>
              </w:rPr>
            </w:pPr>
          </w:p>
        </w:tc>
        <w:tc>
          <w:tcPr>
            <w:tcW w:w="2829" w:type="dxa"/>
          </w:tcPr>
          <w:p w:rsidR="00626F1E" w:rsidP="00626F1E" w14:paraId="65F76E47" w14:textId="77777777">
            <w:pPr>
              <w:tabs>
                <w:tab w:val="left" w:pos="-720"/>
              </w:tabs>
              <w:suppressAutoHyphens/>
              <w:rPr>
                <w:rFonts w:ascii="Times New Roman" w:hAnsi="Times New Roman"/>
                <w:b/>
                <w:szCs w:val="24"/>
              </w:rPr>
            </w:pPr>
          </w:p>
        </w:tc>
        <w:tc>
          <w:tcPr>
            <w:tcW w:w="2520" w:type="dxa"/>
          </w:tcPr>
          <w:p w:rsidR="00626F1E" w:rsidP="00626F1E" w14:paraId="604E7E0C" w14:textId="77777777">
            <w:pPr>
              <w:tabs>
                <w:tab w:val="left" w:pos="-720"/>
              </w:tabs>
              <w:suppressAutoHyphens/>
              <w:rPr>
                <w:rFonts w:ascii="Times New Roman" w:hAnsi="Times New Roman"/>
                <w:b/>
                <w:szCs w:val="24"/>
              </w:rPr>
            </w:pPr>
          </w:p>
        </w:tc>
        <w:tc>
          <w:tcPr>
            <w:tcW w:w="2430" w:type="dxa"/>
          </w:tcPr>
          <w:p w:rsidR="00626F1E" w:rsidP="00626F1E" w14:paraId="3E466D8C" w14:textId="7379A306">
            <w:pPr>
              <w:tabs>
                <w:tab w:val="left" w:pos="-720"/>
              </w:tabs>
              <w:suppressAutoHyphens/>
              <w:rPr>
                <w:rFonts w:ascii="Times New Roman" w:hAnsi="Times New Roman"/>
                <w:b/>
                <w:szCs w:val="24"/>
              </w:rPr>
            </w:pPr>
          </w:p>
        </w:tc>
      </w:tr>
      <w:tr w14:paraId="3CB4F335" w14:textId="77777777" w:rsidTr="00626F1E">
        <w:tblPrEx>
          <w:tblW w:w="11875" w:type="dxa"/>
          <w:tblLook w:val="04A0"/>
        </w:tblPrEx>
        <w:tc>
          <w:tcPr>
            <w:tcW w:w="2048" w:type="dxa"/>
          </w:tcPr>
          <w:p w:rsidR="00626F1E" w:rsidP="00626F1E" w14:paraId="330199F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26F1E" w:rsidP="00626F1E" w14:paraId="5F7BD43F" w14:textId="38FAFF2C">
            <w:pPr>
              <w:tabs>
                <w:tab w:val="left" w:pos="-720"/>
              </w:tabs>
              <w:suppressAutoHyphens/>
              <w:rPr>
                <w:rFonts w:ascii="Times New Roman" w:hAnsi="Times New Roman"/>
                <w:b/>
                <w:szCs w:val="24"/>
              </w:rPr>
            </w:pPr>
          </w:p>
        </w:tc>
        <w:tc>
          <w:tcPr>
            <w:tcW w:w="2829" w:type="dxa"/>
          </w:tcPr>
          <w:p w:rsidR="00626F1E" w:rsidP="00626F1E" w14:paraId="2C8A4DFA" w14:textId="77777777">
            <w:pPr>
              <w:tabs>
                <w:tab w:val="left" w:pos="-720"/>
              </w:tabs>
              <w:suppressAutoHyphens/>
              <w:rPr>
                <w:rFonts w:ascii="Times New Roman" w:hAnsi="Times New Roman"/>
                <w:b/>
                <w:szCs w:val="24"/>
              </w:rPr>
            </w:pPr>
          </w:p>
        </w:tc>
        <w:tc>
          <w:tcPr>
            <w:tcW w:w="2520" w:type="dxa"/>
          </w:tcPr>
          <w:p w:rsidR="00626F1E" w:rsidP="00626F1E" w14:paraId="50DE4889" w14:textId="77777777">
            <w:pPr>
              <w:tabs>
                <w:tab w:val="left" w:pos="-720"/>
              </w:tabs>
              <w:suppressAutoHyphens/>
              <w:rPr>
                <w:rFonts w:ascii="Times New Roman" w:hAnsi="Times New Roman"/>
                <w:b/>
                <w:szCs w:val="24"/>
              </w:rPr>
            </w:pPr>
          </w:p>
        </w:tc>
        <w:tc>
          <w:tcPr>
            <w:tcW w:w="2430" w:type="dxa"/>
          </w:tcPr>
          <w:p w:rsidR="00626F1E" w:rsidP="00626F1E" w14:paraId="7A918C01" w14:textId="1C701C7C">
            <w:pPr>
              <w:tabs>
                <w:tab w:val="left" w:pos="-720"/>
              </w:tabs>
              <w:suppressAutoHyphens/>
              <w:rPr>
                <w:rFonts w:ascii="Times New Roman" w:hAnsi="Times New Roman"/>
                <w:b/>
                <w:szCs w:val="24"/>
              </w:rPr>
            </w:pPr>
          </w:p>
        </w:tc>
      </w:tr>
      <w:tr w14:paraId="0E19BEA2" w14:textId="77777777" w:rsidTr="00626F1E">
        <w:tblPrEx>
          <w:tblW w:w="11875" w:type="dxa"/>
          <w:tblLook w:val="04A0"/>
        </w:tblPrEx>
        <w:tc>
          <w:tcPr>
            <w:tcW w:w="2048" w:type="dxa"/>
          </w:tcPr>
          <w:p w:rsidR="00626F1E" w:rsidP="00626F1E" w14:paraId="04E3010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626F1E" w:rsidP="00626F1E" w14:paraId="13AA91E1" w14:textId="101C0CBC">
            <w:pPr>
              <w:tabs>
                <w:tab w:val="left" w:pos="-720"/>
              </w:tabs>
              <w:suppressAutoHyphens/>
              <w:rPr>
                <w:rFonts w:ascii="Times New Roman" w:hAnsi="Times New Roman"/>
                <w:b/>
                <w:szCs w:val="24"/>
              </w:rPr>
            </w:pPr>
          </w:p>
        </w:tc>
        <w:tc>
          <w:tcPr>
            <w:tcW w:w="2829" w:type="dxa"/>
          </w:tcPr>
          <w:p w:rsidR="00626F1E" w:rsidP="00626F1E" w14:paraId="11AB2AA6" w14:textId="77777777">
            <w:pPr>
              <w:tabs>
                <w:tab w:val="left" w:pos="-720"/>
              </w:tabs>
              <w:suppressAutoHyphens/>
              <w:rPr>
                <w:rFonts w:ascii="Times New Roman" w:hAnsi="Times New Roman"/>
                <w:b/>
                <w:szCs w:val="24"/>
              </w:rPr>
            </w:pPr>
          </w:p>
        </w:tc>
        <w:tc>
          <w:tcPr>
            <w:tcW w:w="2520" w:type="dxa"/>
          </w:tcPr>
          <w:p w:rsidR="00626F1E" w:rsidP="00626F1E" w14:paraId="6E8FE7D6" w14:textId="77777777">
            <w:pPr>
              <w:tabs>
                <w:tab w:val="left" w:pos="-720"/>
              </w:tabs>
              <w:suppressAutoHyphens/>
              <w:rPr>
                <w:rFonts w:ascii="Times New Roman" w:hAnsi="Times New Roman"/>
                <w:b/>
                <w:szCs w:val="24"/>
              </w:rPr>
            </w:pPr>
          </w:p>
        </w:tc>
        <w:tc>
          <w:tcPr>
            <w:tcW w:w="2430" w:type="dxa"/>
          </w:tcPr>
          <w:p w:rsidR="00626F1E" w:rsidP="00626F1E" w14:paraId="21BDEC2A" w14:textId="14018BE7">
            <w:pPr>
              <w:tabs>
                <w:tab w:val="left" w:pos="-720"/>
              </w:tabs>
              <w:suppressAutoHyphens/>
              <w:rPr>
                <w:rFonts w:ascii="Times New Roman" w:hAnsi="Times New Roman"/>
                <w:b/>
                <w:szCs w:val="24"/>
              </w:rPr>
            </w:pPr>
          </w:p>
        </w:tc>
      </w:tr>
    </w:tbl>
    <w:p w:rsidR="00973895" w:rsidP="00973895" w14:paraId="3F42591B" w14:textId="77777777">
      <w:pPr>
        <w:tabs>
          <w:tab w:val="left" w:pos="-720"/>
        </w:tabs>
        <w:suppressAutoHyphens/>
        <w:rPr>
          <w:rFonts w:ascii="Times New Roman" w:hAnsi="Times New Roman"/>
          <w:b/>
          <w:szCs w:val="24"/>
        </w:rPr>
      </w:pPr>
    </w:p>
    <w:p w:rsidR="00973895" w:rsidP="00973895" w14:paraId="0127D903" w14:textId="77777777">
      <w:pPr>
        <w:tabs>
          <w:tab w:val="left" w:pos="-720"/>
        </w:tabs>
        <w:suppressAutoHyphens/>
        <w:rPr>
          <w:rFonts w:ascii="Times New Roman" w:hAnsi="Times New Roman"/>
          <w:b/>
          <w:szCs w:val="24"/>
        </w:rPr>
      </w:pPr>
    </w:p>
    <w:p w:rsidR="00973895" w:rsidRPr="00534B4A" w:rsidP="00973895" w14:paraId="70BCF246" w14:textId="77777777">
      <w:pPr>
        <w:tabs>
          <w:tab w:val="left" w:pos="-720"/>
        </w:tabs>
        <w:suppressAutoHyphens/>
        <w:rPr>
          <w:rFonts w:ascii="Times New Roman" w:hAnsi="Times New Roman"/>
          <w:szCs w:val="24"/>
        </w:rPr>
      </w:pPr>
    </w:p>
    <w:p w:rsidR="00973895" w:rsidP="00973895" w14:paraId="1BA74B6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73895" w:rsidP="00973895" w14:paraId="7C03DFD1" w14:textId="77777777">
      <w:pPr>
        <w:tabs>
          <w:tab w:val="left" w:pos="-720"/>
        </w:tabs>
        <w:suppressAutoHyphens/>
        <w:ind w:firstLine="720"/>
        <w:rPr>
          <w:rFonts w:ascii="Times New Roman" w:hAnsi="Times New Roman"/>
          <w:szCs w:val="24"/>
        </w:rPr>
      </w:pPr>
    </w:p>
    <w:p w:rsidR="00973895" w:rsidRPr="00941B55" w:rsidP="00973895" w14:paraId="3BAE4060" w14:textId="77777777">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Pr>
          <w:rFonts w:ascii="Times New Roman" w:hAnsi="Times New Roman"/>
        </w:rPr>
        <w:t xml:space="preserve">may be </w:t>
      </w:r>
      <w:r w:rsidRPr="00941B55">
        <w:rPr>
          <w:rFonts w:ascii="Times New Roman" w:hAnsi="Times New Roman"/>
        </w:rPr>
        <w:t>published</w:t>
      </w:r>
      <w:r>
        <w:rPr>
          <w:rFonts w:ascii="Times New Roman" w:hAnsi="Times New Roman"/>
        </w:rPr>
        <w:t xml:space="preserve"> in conjunction with subsequent data collected on annual Maintenance of Effort levels</w:t>
      </w:r>
      <w:r w:rsidRPr="00941B55">
        <w:rPr>
          <w:rFonts w:ascii="Times New Roman" w:hAnsi="Times New Roman"/>
        </w:rPr>
        <w:t>.</w:t>
      </w:r>
    </w:p>
    <w:p w:rsidR="00973895" w:rsidRPr="00941B55" w:rsidP="00973895" w14:paraId="26E868A3" w14:textId="77777777">
      <w:pPr>
        <w:pStyle w:val="ListParagraph"/>
        <w:suppressAutoHyphens/>
        <w:spacing w:line="240" w:lineRule="exact"/>
        <w:rPr>
          <w:rFonts w:ascii="Times New Roman" w:hAnsi="Times New Roman"/>
        </w:rPr>
      </w:pPr>
    </w:p>
    <w:p w:rsidR="00973895" w:rsidRPr="00534B4A" w:rsidP="00973895" w14:paraId="3D02ECD0" w14:textId="77777777">
      <w:pPr>
        <w:tabs>
          <w:tab w:val="left" w:pos="-720"/>
        </w:tabs>
        <w:suppressAutoHyphens/>
        <w:rPr>
          <w:rFonts w:ascii="Times New Roman" w:hAnsi="Times New Roman"/>
          <w:szCs w:val="24"/>
        </w:rPr>
      </w:pPr>
    </w:p>
    <w:p w:rsidR="00973895" w:rsidRPr="00534B4A" w:rsidP="00973895" w14:paraId="3443B8D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73895" w:rsidP="00973895" w14:paraId="2517ACD6" w14:textId="77777777">
      <w:pPr>
        <w:tabs>
          <w:tab w:val="left" w:pos="-720"/>
          <w:tab w:val="left" w:pos="897"/>
        </w:tabs>
        <w:suppressAutoHyphens/>
        <w:ind w:left="360"/>
        <w:rPr>
          <w:rFonts w:ascii="Times New Roman" w:hAnsi="Times New Roman"/>
          <w:b/>
          <w:szCs w:val="24"/>
        </w:rPr>
      </w:pPr>
      <w:r>
        <w:rPr>
          <w:rFonts w:ascii="Times New Roman" w:hAnsi="Times New Roman"/>
          <w:b/>
          <w:szCs w:val="24"/>
        </w:rPr>
        <w:tab/>
      </w:r>
    </w:p>
    <w:p w:rsidR="00973895" w:rsidRPr="00941B55" w:rsidP="00973895" w14:paraId="184E4A36" w14:textId="77777777">
      <w:pPr>
        <w:pStyle w:val="ListParagraph"/>
        <w:suppressAutoHyphens/>
        <w:spacing w:line="240" w:lineRule="exact"/>
        <w:rPr>
          <w:rFonts w:ascii="Times New Roman" w:hAnsi="Times New Roman"/>
        </w:rPr>
      </w:pPr>
      <w:r w:rsidRPr="00941B55">
        <w:rPr>
          <w:rFonts w:ascii="Times New Roman" w:hAnsi="Times New Roman"/>
        </w:rPr>
        <w:t xml:space="preserve">   We are not seeking this approval.</w:t>
      </w:r>
    </w:p>
    <w:p w:rsidR="00973895" w:rsidRPr="00941B55" w:rsidP="00973895" w14:paraId="0E81C380" w14:textId="77777777">
      <w:pPr>
        <w:pStyle w:val="ListParagraph"/>
        <w:suppressAutoHyphens/>
        <w:spacing w:line="240" w:lineRule="exact"/>
        <w:rPr>
          <w:rFonts w:ascii="Times New Roman" w:hAnsi="Times New Roman"/>
        </w:rPr>
      </w:pPr>
    </w:p>
    <w:p w:rsidR="00973895" w:rsidRPr="00534B4A" w:rsidP="00973895" w14:paraId="2335BCB9" w14:textId="77777777">
      <w:pPr>
        <w:tabs>
          <w:tab w:val="left" w:pos="-720"/>
        </w:tabs>
        <w:suppressAutoHyphens/>
        <w:ind w:left="360"/>
        <w:rPr>
          <w:rFonts w:ascii="Times New Roman" w:hAnsi="Times New Roman"/>
          <w:szCs w:val="24"/>
        </w:rPr>
      </w:pPr>
    </w:p>
    <w:p w:rsidR="00973895" w:rsidP="00973895" w14:paraId="5F95DA06"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73895" w:rsidP="00973895" w14:paraId="12DA09B3" w14:textId="77777777">
      <w:pPr>
        <w:pStyle w:val="ListParagraph"/>
        <w:tabs>
          <w:tab w:val="left" w:pos="-720"/>
        </w:tabs>
        <w:suppressAutoHyphens/>
        <w:ind w:left="900"/>
        <w:rPr>
          <w:rStyle w:val="a"/>
          <w:rFonts w:ascii="Times New Roman" w:hAnsi="Times New Roman"/>
          <w:b/>
          <w:szCs w:val="24"/>
        </w:rPr>
      </w:pPr>
    </w:p>
    <w:p w:rsidR="00973895" w:rsidRPr="00941B55" w:rsidP="00973895" w14:paraId="51B2D29F"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008309E3" w14:paraId="74F913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49EE" w:rsidP="00973895" w14:paraId="7420FC26" w14:textId="77777777">
      <w:r>
        <w:separator/>
      </w:r>
    </w:p>
  </w:footnote>
  <w:footnote w:type="continuationSeparator" w:id="1">
    <w:p w:rsidR="005049EE" w:rsidP="00973895" w14:paraId="3F16B3DD" w14:textId="77777777">
      <w:r>
        <w:continuationSeparator/>
      </w:r>
    </w:p>
  </w:footnote>
  <w:footnote w:type="continuationNotice" w:id="2">
    <w:p w:rsidR="005049EE" w14:paraId="222D073A" w14:textId="77777777"/>
  </w:footnote>
  <w:footnote w:id="3">
    <w:p w:rsidR="00973895" w:rsidP="00973895" w14:paraId="3AB02A7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895808">
    <w:abstractNumId w:val="0"/>
  </w:num>
  <w:num w:numId="2" w16cid:durableId="2143304459">
    <w:abstractNumId w:val="2"/>
  </w:num>
  <w:num w:numId="3" w16cid:durableId="1188561793">
    <w:abstractNumId w:val="1"/>
  </w:num>
  <w:num w:numId="4" w16cid:durableId="1960256132">
    <w:abstractNumId w:val="3"/>
  </w:num>
  <w:num w:numId="5" w16cid:durableId="147738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5"/>
    <w:rsid w:val="00022660"/>
    <w:rsid w:val="00035DBF"/>
    <w:rsid w:val="00040B65"/>
    <w:rsid w:val="00042D47"/>
    <w:rsid w:val="00085D33"/>
    <w:rsid w:val="000C1880"/>
    <w:rsid w:val="000E6715"/>
    <w:rsid w:val="00141476"/>
    <w:rsid w:val="001821F5"/>
    <w:rsid w:val="001A1339"/>
    <w:rsid w:val="001F2CF6"/>
    <w:rsid w:val="0020474A"/>
    <w:rsid w:val="002163CA"/>
    <w:rsid w:val="00246FE9"/>
    <w:rsid w:val="002A48B1"/>
    <w:rsid w:val="002B5030"/>
    <w:rsid w:val="002E3DCB"/>
    <w:rsid w:val="00320FE8"/>
    <w:rsid w:val="00355F8C"/>
    <w:rsid w:val="00411D0D"/>
    <w:rsid w:val="00442E07"/>
    <w:rsid w:val="00474A4B"/>
    <w:rsid w:val="00476CC7"/>
    <w:rsid w:val="00492B12"/>
    <w:rsid w:val="004A1972"/>
    <w:rsid w:val="004C6185"/>
    <w:rsid w:val="004E78D3"/>
    <w:rsid w:val="005049EE"/>
    <w:rsid w:val="00534B4A"/>
    <w:rsid w:val="00580172"/>
    <w:rsid w:val="00624D7F"/>
    <w:rsid w:val="00626F1E"/>
    <w:rsid w:val="006A60FE"/>
    <w:rsid w:val="006B2BF5"/>
    <w:rsid w:val="006D0756"/>
    <w:rsid w:val="00700B02"/>
    <w:rsid w:val="007252CB"/>
    <w:rsid w:val="00744F86"/>
    <w:rsid w:val="007468CF"/>
    <w:rsid w:val="007519A2"/>
    <w:rsid w:val="007540E4"/>
    <w:rsid w:val="00756FD3"/>
    <w:rsid w:val="0077401B"/>
    <w:rsid w:val="0078789E"/>
    <w:rsid w:val="007F6104"/>
    <w:rsid w:val="00800D30"/>
    <w:rsid w:val="008309E3"/>
    <w:rsid w:val="00832F10"/>
    <w:rsid w:val="008961BD"/>
    <w:rsid w:val="008A1652"/>
    <w:rsid w:val="008D1FF1"/>
    <w:rsid w:val="00920F63"/>
    <w:rsid w:val="00941B55"/>
    <w:rsid w:val="00973895"/>
    <w:rsid w:val="009A48A4"/>
    <w:rsid w:val="00A70816"/>
    <w:rsid w:val="00A75CFC"/>
    <w:rsid w:val="00A96ADA"/>
    <w:rsid w:val="00AB5EA3"/>
    <w:rsid w:val="00AD381B"/>
    <w:rsid w:val="00AF2284"/>
    <w:rsid w:val="00AF5D1A"/>
    <w:rsid w:val="00B01081"/>
    <w:rsid w:val="00B13C28"/>
    <w:rsid w:val="00B37ABD"/>
    <w:rsid w:val="00B513A7"/>
    <w:rsid w:val="00B75F25"/>
    <w:rsid w:val="00B934EC"/>
    <w:rsid w:val="00B978B7"/>
    <w:rsid w:val="00C13069"/>
    <w:rsid w:val="00C224FD"/>
    <w:rsid w:val="00C75A72"/>
    <w:rsid w:val="00CF586D"/>
    <w:rsid w:val="00D21B9E"/>
    <w:rsid w:val="00D46E1B"/>
    <w:rsid w:val="00D75313"/>
    <w:rsid w:val="00D97CD3"/>
    <w:rsid w:val="00DE00F3"/>
    <w:rsid w:val="00E46E50"/>
    <w:rsid w:val="00E54C76"/>
    <w:rsid w:val="00E94C03"/>
    <w:rsid w:val="00EB62BE"/>
    <w:rsid w:val="00EC4F4E"/>
    <w:rsid w:val="00ED6E0D"/>
    <w:rsid w:val="00ED7195"/>
    <w:rsid w:val="00F05EE9"/>
    <w:rsid w:val="00F10BF8"/>
    <w:rsid w:val="00F550BA"/>
    <w:rsid w:val="00FE1BAE"/>
    <w:rsid w:val="7E3E21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A6F43"/>
  <w15:chartTrackingRefBased/>
  <w15:docId w15:val="{445A1112-0EF5-4807-81E0-9619261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895"/>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973895"/>
    <w:pPr>
      <w:jc w:val="center"/>
      <w:outlineLvl w:val="0"/>
    </w:pPr>
    <w:rPr>
      <w:rFonts w:ascii="Times New Roman" w:hAnsi="Times New Roman"/>
      <w:sz w:val="28"/>
      <w:szCs w:val="28"/>
    </w:rPr>
  </w:style>
  <w:style w:type="paragraph" w:styleId="Heading2">
    <w:name w:val="heading 2"/>
    <w:basedOn w:val="Heading1"/>
    <w:next w:val="Normal"/>
    <w:link w:val="Heading2Char"/>
    <w:qFormat/>
    <w:rsid w:val="0097389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895"/>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973895"/>
    <w:rPr>
      <w:rFonts w:ascii="Times New Roman" w:eastAsia="Times New Roman" w:hAnsi="Times New Roman" w:cs="Times New Roman"/>
      <w:b/>
      <w:bCs/>
      <w:sz w:val="28"/>
      <w:szCs w:val="28"/>
    </w:rPr>
  </w:style>
  <w:style w:type="paragraph" w:styleId="Caption">
    <w:name w:val="caption"/>
    <w:basedOn w:val="Normal"/>
    <w:next w:val="Normal"/>
    <w:uiPriority w:val="35"/>
    <w:unhideWhenUsed/>
    <w:qFormat/>
    <w:rsid w:val="00973895"/>
    <w:pPr>
      <w:spacing w:after="200"/>
    </w:pPr>
    <w:rPr>
      <w:b/>
      <w:bCs/>
      <w:color w:val="4F81BD"/>
      <w:sz w:val="18"/>
      <w:szCs w:val="18"/>
    </w:rPr>
  </w:style>
  <w:style w:type="paragraph" w:styleId="ListParagraph">
    <w:name w:val="List Paragraph"/>
    <w:basedOn w:val="Normal"/>
    <w:uiPriority w:val="34"/>
    <w:qFormat/>
    <w:rsid w:val="00973895"/>
    <w:pPr>
      <w:ind w:left="720"/>
      <w:contextualSpacing/>
    </w:pPr>
  </w:style>
  <w:style w:type="paragraph" w:styleId="FootnoteText">
    <w:name w:val="footnote text"/>
    <w:basedOn w:val="Normal"/>
    <w:link w:val="FootnoteTextChar"/>
    <w:rsid w:val="00973895"/>
    <w:pPr>
      <w:tabs>
        <w:tab w:val="left" w:pos="-720"/>
      </w:tabs>
      <w:suppressAutoHyphens/>
    </w:pPr>
  </w:style>
  <w:style w:type="character" w:customStyle="1" w:styleId="FootnoteTextChar">
    <w:name w:val="Footnote Text Char"/>
    <w:basedOn w:val="DefaultParagraphFont"/>
    <w:link w:val="FootnoteText"/>
    <w:rsid w:val="00973895"/>
    <w:rPr>
      <w:rFonts w:ascii="Courier" w:eastAsia="Times New Roman" w:hAnsi="Courier" w:cs="Times New Roman"/>
      <w:sz w:val="24"/>
      <w:szCs w:val="20"/>
    </w:rPr>
  </w:style>
  <w:style w:type="character" w:styleId="FootnoteReference">
    <w:name w:val="footnote reference"/>
    <w:rsid w:val="00973895"/>
    <w:rPr>
      <w:rFonts w:ascii="Courier" w:hAnsi="Courier" w:cs="Times New Roman"/>
      <w:sz w:val="24"/>
      <w:vertAlign w:val="superscript"/>
      <w:lang w:val="en-US"/>
    </w:rPr>
  </w:style>
  <w:style w:type="character" w:customStyle="1" w:styleId="a">
    <w:name w:val="À"/>
    <w:uiPriority w:val="99"/>
    <w:rsid w:val="00973895"/>
    <w:rPr>
      <w:rFonts w:cs="Times New Roman"/>
    </w:rPr>
  </w:style>
  <w:style w:type="character" w:styleId="Hyperlink">
    <w:name w:val="Hyperlink"/>
    <w:uiPriority w:val="99"/>
    <w:rsid w:val="00973895"/>
    <w:rPr>
      <w:color w:val="0000FF"/>
      <w:u w:val="single"/>
    </w:rPr>
  </w:style>
  <w:style w:type="table" w:styleId="TableGrid">
    <w:name w:val="Table Grid"/>
    <w:basedOn w:val="TableNormal"/>
    <w:uiPriority w:val="99"/>
    <w:rsid w:val="00973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895"/>
    <w:rPr>
      <w:sz w:val="16"/>
      <w:szCs w:val="16"/>
    </w:rPr>
  </w:style>
  <w:style w:type="paragraph" w:styleId="CommentText">
    <w:name w:val="annotation text"/>
    <w:basedOn w:val="Normal"/>
    <w:link w:val="CommentTextChar"/>
    <w:uiPriority w:val="99"/>
    <w:semiHidden/>
    <w:unhideWhenUsed/>
    <w:rsid w:val="00973895"/>
    <w:rPr>
      <w:sz w:val="20"/>
    </w:rPr>
  </w:style>
  <w:style w:type="character" w:customStyle="1" w:styleId="CommentTextChar">
    <w:name w:val="Comment Text Char"/>
    <w:basedOn w:val="DefaultParagraphFont"/>
    <w:link w:val="CommentText"/>
    <w:uiPriority w:val="99"/>
    <w:semiHidden/>
    <w:rsid w:val="00973895"/>
    <w:rPr>
      <w:rFonts w:ascii="Courier" w:eastAsia="Times New Roman" w:hAnsi="Courier" w:cs="Times New Roman"/>
      <w:sz w:val="20"/>
      <w:szCs w:val="20"/>
    </w:rPr>
  </w:style>
  <w:style w:type="table" w:styleId="GridTableLight">
    <w:name w:val="Grid Table Light"/>
    <w:basedOn w:val="TableNormal"/>
    <w:uiPriority w:val="40"/>
    <w:rsid w:val="0097389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973895"/>
    <w:rPr>
      <w:color w:val="2B579A"/>
      <w:shd w:val="clear" w:color="auto" w:fill="E6E6E6"/>
    </w:rPr>
  </w:style>
  <w:style w:type="paragraph" w:styleId="BalloonText">
    <w:name w:val="Balloon Text"/>
    <w:basedOn w:val="Normal"/>
    <w:link w:val="BalloonTextChar"/>
    <w:uiPriority w:val="99"/>
    <w:semiHidden/>
    <w:unhideWhenUsed/>
    <w:rsid w:val="00973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95"/>
    <w:rPr>
      <w:rFonts w:ascii="Segoe UI" w:eastAsia="Times New Roman" w:hAnsi="Segoe UI" w:cs="Segoe UI"/>
      <w:sz w:val="18"/>
      <w:szCs w:val="18"/>
    </w:rPr>
  </w:style>
  <w:style w:type="paragraph" w:styleId="Revision">
    <w:name w:val="Revision"/>
    <w:hidden/>
    <w:uiPriority w:val="99"/>
    <w:semiHidden/>
    <w:rsid w:val="007519A2"/>
    <w:pPr>
      <w:spacing w:after="0" w:line="240" w:lineRule="auto"/>
    </w:pPr>
    <w:rPr>
      <w:rFonts w:ascii="Courier" w:eastAsia="Times New Roman" w:hAnsi="Courier" w:cs="Times New Roman"/>
      <w:sz w:val="24"/>
      <w:szCs w:val="20"/>
    </w:rPr>
  </w:style>
  <w:style w:type="paragraph" w:styleId="Header">
    <w:name w:val="header"/>
    <w:basedOn w:val="Normal"/>
    <w:link w:val="HeaderChar"/>
    <w:uiPriority w:val="99"/>
    <w:semiHidden/>
    <w:unhideWhenUsed/>
    <w:rsid w:val="007540E4"/>
    <w:pPr>
      <w:tabs>
        <w:tab w:val="center" w:pos="4680"/>
        <w:tab w:val="right" w:pos="9360"/>
      </w:tabs>
    </w:pPr>
  </w:style>
  <w:style w:type="character" w:customStyle="1" w:styleId="HeaderChar">
    <w:name w:val="Header Char"/>
    <w:basedOn w:val="DefaultParagraphFont"/>
    <w:link w:val="Header"/>
    <w:uiPriority w:val="99"/>
    <w:semiHidden/>
    <w:rsid w:val="007540E4"/>
    <w:rPr>
      <w:rFonts w:ascii="Courier" w:eastAsia="Times New Roman" w:hAnsi="Courier" w:cs="Times New Roman"/>
      <w:sz w:val="24"/>
      <w:szCs w:val="20"/>
    </w:rPr>
  </w:style>
  <w:style w:type="paragraph" w:styleId="Footer">
    <w:name w:val="footer"/>
    <w:basedOn w:val="Normal"/>
    <w:link w:val="FooterChar"/>
    <w:uiPriority w:val="99"/>
    <w:semiHidden/>
    <w:unhideWhenUsed/>
    <w:rsid w:val="007540E4"/>
    <w:pPr>
      <w:tabs>
        <w:tab w:val="center" w:pos="4680"/>
        <w:tab w:val="right" w:pos="9360"/>
      </w:tabs>
    </w:pPr>
  </w:style>
  <w:style w:type="character" w:customStyle="1" w:styleId="FooterChar">
    <w:name w:val="Footer Char"/>
    <w:basedOn w:val="DefaultParagraphFont"/>
    <w:link w:val="Footer"/>
    <w:uiPriority w:val="99"/>
    <w:semiHidden/>
    <w:rsid w:val="007540E4"/>
    <w:rPr>
      <w:rFonts w:ascii="Courier" w:eastAsia="Times New Roman" w:hAnsi="Courier" w:cs="Times New Roman"/>
      <w:sz w:val="24"/>
      <w:szCs w:val="20"/>
    </w:rPr>
  </w:style>
  <w:style w:type="paragraph" w:styleId="BodyText3">
    <w:name w:val="Body Text 3"/>
    <w:basedOn w:val="Normal"/>
    <w:link w:val="BodyText3Char"/>
    <w:uiPriority w:val="99"/>
    <w:unhideWhenUsed/>
    <w:rsid w:val="006A60F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6A60F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oes/current/oes_nat.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0D65D-EC16-404B-8F0A-4BBF1B1C3736}">
  <ds:schemaRefs>
    <ds:schemaRef ds:uri="http://schemas.microsoft.com/sharepoint/v3/contenttype/forms"/>
  </ds:schemaRefs>
</ds:datastoreItem>
</file>

<file path=customXml/itemProps2.xml><?xml version="1.0" encoding="utf-8"?>
<ds:datastoreItem xmlns:ds="http://schemas.openxmlformats.org/officeDocument/2006/customXml" ds:itemID="{4581CDAD-CDC0-429B-9E5F-4AFC98A1F6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51BD4-1D7A-44D4-8976-2ED727B4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2998</Words>
  <Characters>17090</Characters>
  <Application>Microsoft Office Word</Application>
  <DocSecurity>0</DocSecurity>
  <Lines>142</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Gloria</dc:creator>
  <cp:lastModifiedBy>Mullan, Kate</cp:lastModifiedBy>
  <cp:revision>2</cp:revision>
  <dcterms:created xsi:type="dcterms:W3CDTF">2024-08-01T15:17:00Z</dcterms:created>
  <dcterms:modified xsi:type="dcterms:W3CDTF">2024-08-01T15:17:00Z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