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3860" w:type="dxa"/>
        <w:tblInd w:w="-455" w:type="dxa"/>
        <w:tblLayout w:type="fixed"/>
        <w:tblLook w:val="04A0"/>
      </w:tblPr>
      <w:tblGrid>
        <w:gridCol w:w="1100"/>
        <w:gridCol w:w="1286"/>
        <w:gridCol w:w="5252"/>
        <w:gridCol w:w="5253"/>
        <w:gridCol w:w="969"/>
      </w:tblGrid>
      <w:tr w14:paraId="642A0AE9" w14:textId="77777777" w:rsidTr="003C0894">
        <w:tblPrEx>
          <w:tblW w:w="13860" w:type="dxa"/>
          <w:tblInd w:w="-455" w:type="dxa"/>
          <w:tblLayout w:type="fixed"/>
          <w:tblLook w:val="04A0"/>
        </w:tblPrEx>
        <w:trPr>
          <w:tblHeader/>
        </w:trPr>
        <w:tc>
          <w:tcPr>
            <w:tcW w:w="1100" w:type="dxa"/>
            <w:shd w:val="clear" w:color="auto" w:fill="E7E6E6" w:themeFill="background2"/>
          </w:tcPr>
          <w:p w:rsidR="00E359E1" w:rsidRPr="00156DA1" w:rsidP="00921BCA" w14:paraId="5C22BD0C" w14:textId="32CB3B94">
            <w:pPr>
              <w:spacing w:after="80" w:line="276" w:lineRule="auto"/>
              <w:rPr>
                <w:rFonts w:cstheme="minorHAnsi"/>
                <w:sz w:val="20"/>
                <w:szCs w:val="20"/>
              </w:rPr>
            </w:pPr>
            <w:r w:rsidRPr="00156DA1">
              <w:rPr>
                <w:rFonts w:cstheme="minorHAnsi"/>
                <w:sz w:val="20"/>
                <w:szCs w:val="20"/>
              </w:rPr>
              <w:t>Comment #</w:t>
            </w:r>
          </w:p>
        </w:tc>
        <w:tc>
          <w:tcPr>
            <w:tcW w:w="1286" w:type="dxa"/>
            <w:shd w:val="clear" w:color="auto" w:fill="E7E6E6" w:themeFill="background2"/>
          </w:tcPr>
          <w:p w:rsidR="00E359E1" w:rsidRPr="00156DA1" w:rsidP="00921BCA" w14:paraId="3BBB5604" w14:textId="6AB372C1">
            <w:pPr>
              <w:spacing w:after="80" w:line="276" w:lineRule="auto"/>
              <w:rPr>
                <w:rFonts w:cstheme="minorHAnsi"/>
                <w:sz w:val="20"/>
                <w:szCs w:val="20"/>
              </w:rPr>
            </w:pPr>
            <w:r w:rsidRPr="00156DA1">
              <w:rPr>
                <w:rFonts w:cstheme="minorHAnsi"/>
                <w:sz w:val="20"/>
                <w:szCs w:val="20"/>
              </w:rPr>
              <w:t>Commenter Name</w:t>
            </w:r>
          </w:p>
        </w:tc>
        <w:tc>
          <w:tcPr>
            <w:tcW w:w="5252" w:type="dxa"/>
            <w:shd w:val="clear" w:color="auto" w:fill="E7E6E6" w:themeFill="background2"/>
          </w:tcPr>
          <w:p w:rsidR="00E359E1" w:rsidRPr="00156DA1" w:rsidP="00921BCA" w14:paraId="1CDFBD6F" w14:textId="6F3CDFF4">
            <w:pPr>
              <w:spacing w:after="80" w:line="276" w:lineRule="auto"/>
              <w:rPr>
                <w:rFonts w:cstheme="minorHAnsi"/>
                <w:sz w:val="20"/>
                <w:szCs w:val="20"/>
              </w:rPr>
            </w:pPr>
            <w:r w:rsidRPr="00156DA1">
              <w:rPr>
                <w:rFonts w:cstheme="minorHAnsi"/>
                <w:sz w:val="20"/>
                <w:szCs w:val="20"/>
              </w:rPr>
              <w:t>Comment</w:t>
            </w:r>
          </w:p>
        </w:tc>
        <w:tc>
          <w:tcPr>
            <w:tcW w:w="5253" w:type="dxa"/>
            <w:shd w:val="clear" w:color="auto" w:fill="E7E6E6" w:themeFill="background2"/>
          </w:tcPr>
          <w:p w:rsidR="00E359E1" w:rsidRPr="00156DA1" w:rsidP="00921BCA" w14:paraId="4E7306F7" w14:textId="5E3794D9">
            <w:pPr>
              <w:spacing w:after="80" w:line="276" w:lineRule="auto"/>
              <w:rPr>
                <w:rFonts w:cstheme="minorHAnsi"/>
                <w:sz w:val="20"/>
                <w:szCs w:val="20"/>
              </w:rPr>
            </w:pPr>
            <w:r w:rsidRPr="00156DA1">
              <w:rPr>
                <w:rFonts w:cstheme="minorHAnsi"/>
                <w:sz w:val="20"/>
                <w:szCs w:val="20"/>
              </w:rPr>
              <w:t>FSA Response</w:t>
            </w:r>
          </w:p>
        </w:tc>
        <w:tc>
          <w:tcPr>
            <w:tcW w:w="969" w:type="dxa"/>
            <w:shd w:val="clear" w:color="auto" w:fill="E7E6E6" w:themeFill="background2"/>
          </w:tcPr>
          <w:p w:rsidR="00E359E1" w:rsidRPr="00156DA1" w:rsidP="00921BCA" w14:paraId="2DDF220D" w14:textId="345F972E">
            <w:pPr>
              <w:spacing w:after="80" w:line="276" w:lineRule="auto"/>
              <w:rPr>
                <w:rFonts w:cstheme="minorHAnsi"/>
                <w:sz w:val="20"/>
                <w:szCs w:val="20"/>
              </w:rPr>
            </w:pPr>
            <w:r w:rsidRPr="00156DA1">
              <w:rPr>
                <w:rFonts w:cstheme="minorHAnsi"/>
                <w:sz w:val="20"/>
                <w:szCs w:val="20"/>
              </w:rPr>
              <w:t>Change to ICR or Form</w:t>
            </w:r>
          </w:p>
        </w:tc>
      </w:tr>
      <w:tr w14:paraId="132CDEC8" w14:textId="77777777" w:rsidTr="00953A2E">
        <w:tblPrEx>
          <w:tblW w:w="13860" w:type="dxa"/>
          <w:tblInd w:w="-455" w:type="dxa"/>
          <w:tblLayout w:type="fixed"/>
          <w:tblLook w:val="04A0"/>
        </w:tblPrEx>
        <w:tc>
          <w:tcPr>
            <w:tcW w:w="1100" w:type="dxa"/>
          </w:tcPr>
          <w:p w:rsidR="00E359E1" w:rsidRPr="00156DA1" w:rsidP="00921BCA" w14:paraId="3BF183B5" w14:textId="129D2E6E">
            <w:pPr>
              <w:pStyle w:val="ListParagraph"/>
              <w:numPr>
                <w:ilvl w:val="0"/>
                <w:numId w:val="4"/>
              </w:numPr>
              <w:spacing w:after="80" w:line="276" w:lineRule="auto"/>
              <w:rPr>
                <w:rFonts w:cstheme="minorHAnsi"/>
                <w:sz w:val="20"/>
                <w:szCs w:val="20"/>
              </w:rPr>
            </w:pPr>
          </w:p>
        </w:tc>
        <w:tc>
          <w:tcPr>
            <w:tcW w:w="1286" w:type="dxa"/>
          </w:tcPr>
          <w:p w:rsidR="00E359E1" w:rsidRPr="00156DA1" w:rsidP="00921BCA" w14:paraId="3B568248" w14:textId="4336DDD1">
            <w:pPr>
              <w:spacing w:after="80" w:line="276" w:lineRule="auto"/>
              <w:rPr>
                <w:rFonts w:cstheme="minorHAnsi"/>
                <w:sz w:val="20"/>
                <w:szCs w:val="20"/>
              </w:rPr>
            </w:pPr>
            <w:r w:rsidRPr="00156DA1">
              <w:rPr>
                <w:rFonts w:cstheme="minorHAnsi"/>
                <w:sz w:val="20"/>
                <w:szCs w:val="20"/>
                <w:shd w:val="clear" w:color="auto" w:fill="FFFFFF"/>
              </w:rPr>
              <w:t>Anonymous</w:t>
            </w:r>
          </w:p>
        </w:tc>
        <w:tc>
          <w:tcPr>
            <w:tcW w:w="5252" w:type="dxa"/>
          </w:tcPr>
          <w:p w:rsidR="00F52899" w:rsidRPr="00156DA1" w:rsidP="00921BCA" w14:paraId="42D66545" w14:textId="77777777">
            <w:pPr>
              <w:spacing w:after="80" w:line="276" w:lineRule="auto"/>
              <w:rPr>
                <w:rFonts w:cstheme="minorHAnsi"/>
                <w:color w:val="333333"/>
                <w:sz w:val="20"/>
                <w:szCs w:val="20"/>
                <w:shd w:val="clear" w:color="auto" w:fill="FFFFFF"/>
              </w:rPr>
            </w:pPr>
            <w:r w:rsidRPr="00156DA1">
              <w:rPr>
                <w:rFonts w:cstheme="minorHAnsi"/>
                <w:color w:val="333333"/>
                <w:sz w:val="20"/>
                <w:szCs w:val="20"/>
                <w:shd w:val="clear" w:color="auto" w:fill="FFFFFF"/>
              </w:rPr>
              <w:t xml:space="preserve">Somewhere in the body of the form, you should mention something about opting out of TPD discharge if disabled while signing this. If someone signs this while totally and permanently disabled, and then receives a loan or multiple loans, they should be considered as opting out of TPD discharge. TPD discharge should only apply to those who become disabled AFTER they borrowed. More often </w:t>
            </w:r>
            <w:r w:rsidRPr="00156DA1">
              <w:rPr>
                <w:rFonts w:cstheme="minorHAnsi"/>
                <w:color w:val="333333"/>
                <w:sz w:val="20"/>
                <w:szCs w:val="20"/>
                <w:shd w:val="clear" w:color="auto" w:fill="FFFFFF"/>
              </w:rPr>
              <w:t>that</w:t>
            </w:r>
            <w:r w:rsidRPr="00156DA1">
              <w:rPr>
                <w:rFonts w:cstheme="minorHAnsi"/>
                <w:color w:val="333333"/>
                <w:sz w:val="20"/>
                <w:szCs w:val="20"/>
                <w:shd w:val="clear" w:color="auto" w:fill="FFFFFF"/>
              </w:rPr>
              <w:t xml:space="preserve"> not, the department has discharged loans issued to people who became disabled before or while they were borrowing.</w:t>
            </w:r>
          </w:p>
          <w:p w:rsidR="007709BE" w:rsidRPr="00156DA1" w:rsidP="00921BCA" w14:paraId="00D0E199" w14:textId="27F42E6D">
            <w:pPr>
              <w:spacing w:after="80" w:line="276" w:lineRule="auto"/>
              <w:rPr>
                <w:rFonts w:cstheme="minorHAnsi"/>
                <w:color w:val="333333"/>
                <w:sz w:val="20"/>
                <w:szCs w:val="20"/>
                <w:shd w:val="clear" w:color="auto" w:fill="FFFFFF"/>
              </w:rPr>
            </w:pPr>
            <w:r w:rsidRPr="00156DA1">
              <w:rPr>
                <w:rFonts w:cstheme="minorHAnsi"/>
                <w:color w:val="333333"/>
                <w:sz w:val="20"/>
                <w:szCs w:val="20"/>
                <w:shd w:val="clear" w:color="auto" w:fill="FFFFFF"/>
              </w:rPr>
              <w:t>If you don't say something about this, then you are essentially writing blank checks with zero accountability. Schools (particularly distance education institutions) enroll the disabled all the time, but the department typically doesn't perform the disability match until many months or years later.</w:t>
            </w:r>
          </w:p>
        </w:tc>
        <w:tc>
          <w:tcPr>
            <w:tcW w:w="5253" w:type="dxa"/>
          </w:tcPr>
          <w:p w:rsidR="00A27DCD" w:rsidRPr="00156DA1" w:rsidP="00921BCA" w14:paraId="686B4B19" w14:textId="72E89A4A">
            <w:pPr>
              <w:spacing w:after="80" w:line="276" w:lineRule="auto"/>
              <w:rPr>
                <w:rFonts w:cstheme="minorHAnsi"/>
                <w:sz w:val="20"/>
                <w:szCs w:val="20"/>
              </w:rPr>
            </w:pPr>
            <w:r w:rsidRPr="00156DA1">
              <w:rPr>
                <w:rFonts w:cstheme="minorHAnsi"/>
                <w:sz w:val="20"/>
                <w:szCs w:val="20"/>
              </w:rPr>
              <w:t xml:space="preserve">The law and regulations governing the Direct Loan Program </w:t>
            </w:r>
            <w:r w:rsidRPr="00156DA1" w:rsidR="000C05E5">
              <w:rPr>
                <w:rFonts w:cstheme="minorHAnsi"/>
                <w:sz w:val="20"/>
                <w:szCs w:val="20"/>
              </w:rPr>
              <w:t xml:space="preserve">provide no authority for making the suggested change. </w:t>
            </w:r>
          </w:p>
        </w:tc>
        <w:tc>
          <w:tcPr>
            <w:tcW w:w="969" w:type="dxa"/>
          </w:tcPr>
          <w:p w:rsidR="00E359E1" w:rsidRPr="00156DA1" w:rsidP="00921BCA" w14:paraId="772CF7D7" w14:textId="3729A2FE">
            <w:pPr>
              <w:spacing w:after="80" w:line="276" w:lineRule="auto"/>
              <w:rPr>
                <w:rFonts w:cstheme="minorHAnsi"/>
                <w:sz w:val="20"/>
                <w:szCs w:val="20"/>
              </w:rPr>
            </w:pPr>
            <w:r w:rsidRPr="00156DA1">
              <w:rPr>
                <w:rFonts w:cstheme="minorHAnsi"/>
                <w:sz w:val="20"/>
                <w:szCs w:val="20"/>
              </w:rPr>
              <w:t>No</w:t>
            </w:r>
          </w:p>
        </w:tc>
      </w:tr>
      <w:tr w14:paraId="79285349" w14:textId="77777777" w:rsidTr="00953A2E">
        <w:tblPrEx>
          <w:tblW w:w="13860" w:type="dxa"/>
          <w:tblInd w:w="-455" w:type="dxa"/>
          <w:tblLayout w:type="fixed"/>
          <w:tblLook w:val="04A0"/>
        </w:tblPrEx>
        <w:tc>
          <w:tcPr>
            <w:tcW w:w="1100" w:type="dxa"/>
          </w:tcPr>
          <w:p w:rsidR="00E359E1" w:rsidRPr="00156DA1" w:rsidP="00921BCA" w14:paraId="3B6B52E2" w14:textId="330AE164">
            <w:pPr>
              <w:pStyle w:val="ListParagraph"/>
              <w:numPr>
                <w:ilvl w:val="0"/>
                <w:numId w:val="4"/>
              </w:numPr>
              <w:spacing w:after="80" w:line="276" w:lineRule="auto"/>
              <w:rPr>
                <w:rFonts w:cstheme="minorHAnsi"/>
                <w:sz w:val="20"/>
                <w:szCs w:val="20"/>
              </w:rPr>
            </w:pPr>
          </w:p>
        </w:tc>
        <w:tc>
          <w:tcPr>
            <w:tcW w:w="1286" w:type="dxa"/>
          </w:tcPr>
          <w:p w:rsidR="00E359E1" w:rsidRPr="00156DA1" w:rsidP="00921BCA" w14:paraId="1F5772BC" w14:textId="0C572449">
            <w:pPr>
              <w:spacing w:after="80" w:line="276" w:lineRule="auto"/>
              <w:rPr>
                <w:rFonts w:cstheme="minorHAnsi"/>
                <w:sz w:val="20"/>
                <w:szCs w:val="20"/>
              </w:rPr>
            </w:pPr>
            <w:r w:rsidRPr="00156DA1">
              <w:rPr>
                <w:rFonts w:cstheme="minorHAnsi"/>
                <w:sz w:val="20"/>
                <w:szCs w:val="20"/>
                <w:shd w:val="clear" w:color="auto" w:fill="FFFFFF"/>
              </w:rPr>
              <w:t>Ascendium</w:t>
            </w:r>
            <w:r w:rsidRPr="00156DA1">
              <w:rPr>
                <w:rFonts w:cstheme="minorHAnsi"/>
                <w:sz w:val="20"/>
                <w:szCs w:val="20"/>
                <w:shd w:val="clear" w:color="auto" w:fill="FFFFFF"/>
              </w:rPr>
              <w:t xml:space="preserve"> Education Solutions</w:t>
            </w:r>
          </w:p>
        </w:tc>
        <w:tc>
          <w:tcPr>
            <w:tcW w:w="5252" w:type="dxa"/>
          </w:tcPr>
          <w:p w:rsidR="00514A81" w:rsidRPr="00156DA1" w:rsidP="00921BCA" w14:paraId="368EBA30" w14:textId="77777777">
            <w:pPr>
              <w:spacing w:after="80" w:line="276" w:lineRule="auto"/>
              <w:rPr>
                <w:rFonts w:cstheme="minorHAnsi"/>
                <w:color w:val="333333"/>
                <w:sz w:val="20"/>
                <w:szCs w:val="20"/>
                <w:shd w:val="clear" w:color="auto" w:fill="FFFFFF"/>
              </w:rPr>
            </w:pPr>
            <w:r w:rsidRPr="00156DA1">
              <w:rPr>
                <w:rFonts w:cstheme="minorHAnsi"/>
                <w:color w:val="333333"/>
                <w:sz w:val="20"/>
                <w:szCs w:val="20"/>
                <w:shd w:val="clear" w:color="auto" w:fill="FFFFFF"/>
              </w:rPr>
              <w:t>The "Note" on page 14 of the DL PLUS promissory note, under INCOME DRIVEN REPAYMENT (IDR) PLANS says the ICR plan is “described below” and it’s not. It’s only cursorily mentioned on page 15 under “ADDITIONAL REPAYMENT INFORMATION/Additional IDR plans available to some borrowers.” This section talks only about ICR being available for grad borrowers if they are already repaying DL loans under the plan. This creates a disconnect for parent borrowers looking into repayment options. A solution could be to add a sentence to the referenced section to better connect to the section above. It could be inserted as the second sentence and would read "ICR is also available for a parent borrower who consolidates a Direct PLUS Loan into a Direct Consolidation Loan" See below:</w:t>
            </w:r>
          </w:p>
          <w:p w:rsidR="00514A81" w:rsidRPr="00156DA1" w:rsidP="00921BCA" w14:paraId="1C89A346" w14:textId="77777777">
            <w:pPr>
              <w:spacing w:after="80" w:line="276" w:lineRule="auto"/>
              <w:rPr>
                <w:rFonts w:cstheme="minorHAnsi"/>
                <w:color w:val="333333"/>
                <w:sz w:val="20"/>
                <w:szCs w:val="20"/>
                <w:shd w:val="clear" w:color="auto" w:fill="FFFFFF"/>
              </w:rPr>
            </w:pPr>
            <w:r w:rsidRPr="00156DA1">
              <w:rPr>
                <w:rFonts w:cstheme="minorHAnsi"/>
                <w:color w:val="333333"/>
                <w:sz w:val="20"/>
                <w:szCs w:val="20"/>
                <w:shd w:val="clear" w:color="auto" w:fill="FFFFFF"/>
              </w:rPr>
              <w:t>ADDITIONAL REPAYMENT INFORMATION</w:t>
            </w:r>
          </w:p>
          <w:p w:rsidR="00514A81" w:rsidRPr="00156DA1" w:rsidP="00921BCA" w14:paraId="6749741E" w14:textId="77777777">
            <w:pPr>
              <w:spacing w:after="80" w:line="276" w:lineRule="auto"/>
              <w:rPr>
                <w:rFonts w:cstheme="minorHAnsi"/>
                <w:color w:val="333333"/>
                <w:sz w:val="20"/>
                <w:szCs w:val="20"/>
                <w:shd w:val="clear" w:color="auto" w:fill="FFFFFF"/>
              </w:rPr>
            </w:pPr>
            <w:r w:rsidRPr="00156DA1">
              <w:rPr>
                <w:rFonts w:cstheme="minorHAnsi"/>
                <w:color w:val="333333"/>
                <w:sz w:val="20"/>
                <w:szCs w:val="20"/>
                <w:shd w:val="clear" w:color="auto" w:fill="FFFFFF"/>
              </w:rPr>
              <w:t xml:space="preserve">Additional IDR plans available to some </w:t>
            </w:r>
            <w:r w:rsidRPr="00156DA1">
              <w:rPr>
                <w:rFonts w:cstheme="minorHAnsi"/>
                <w:color w:val="333333"/>
                <w:sz w:val="20"/>
                <w:szCs w:val="20"/>
                <w:shd w:val="clear" w:color="auto" w:fill="FFFFFF"/>
              </w:rPr>
              <w:t>borrowers</w:t>
            </w:r>
          </w:p>
          <w:p w:rsidR="00E359E1" w:rsidRPr="00156DA1" w:rsidP="00921BCA" w14:paraId="78D94679" w14:textId="6CDE5F37">
            <w:pPr>
              <w:spacing w:after="80" w:line="276" w:lineRule="auto"/>
              <w:rPr>
                <w:rFonts w:cstheme="minorHAnsi"/>
                <w:color w:val="333333"/>
                <w:sz w:val="20"/>
                <w:szCs w:val="20"/>
                <w:shd w:val="clear" w:color="auto" w:fill="FFFFFF"/>
              </w:rPr>
            </w:pPr>
            <w:r w:rsidRPr="00156DA1">
              <w:rPr>
                <w:rFonts w:cstheme="minorHAnsi"/>
                <w:color w:val="333333"/>
                <w:sz w:val="20"/>
                <w:szCs w:val="20"/>
                <w:shd w:val="clear" w:color="auto" w:fill="FFFFFF"/>
              </w:rPr>
              <w:t xml:space="preserve">If you are a graduate or professional student Direct PLUS Loan borrower, two additional IDR plans, the Pay </w:t>
            </w:r>
            <w:r w:rsidRPr="00156DA1">
              <w:rPr>
                <w:rFonts w:cstheme="minorHAnsi"/>
                <w:color w:val="333333"/>
                <w:sz w:val="20"/>
                <w:szCs w:val="20"/>
                <w:shd w:val="clear" w:color="auto" w:fill="FFFFFF"/>
              </w:rPr>
              <w:t>As</w:t>
            </w:r>
            <w:r w:rsidRPr="00156DA1">
              <w:rPr>
                <w:rFonts w:cstheme="minorHAnsi"/>
                <w:color w:val="333333"/>
                <w:sz w:val="20"/>
                <w:szCs w:val="20"/>
                <w:shd w:val="clear" w:color="auto" w:fill="FFFFFF"/>
              </w:rPr>
              <w:t xml:space="preserve"> You Earn Repayment Plan (PAYE Plan) and the Income-Contingent Repayment Plan (ICR Plan), may be available if you are currently repaying Direct Loans under one of those plans. ICR is also available for a parent borrower who consolidates a Direct PLUS Loan into a Direct Consolidation Loan. Your loan servicer can tell you whether you qualify for one of these plans and provide more information about the plans. You can also find detailed information about all of the Direct Loan repayment plans at Repayment Plans | Federal Student Aid.</w:t>
            </w:r>
          </w:p>
        </w:tc>
        <w:tc>
          <w:tcPr>
            <w:tcW w:w="5253" w:type="dxa"/>
          </w:tcPr>
          <w:p w:rsidR="009E37DE" w:rsidRPr="00156DA1" w:rsidP="00921BCA" w14:paraId="7D41F56B" w14:textId="38B87A32">
            <w:pPr>
              <w:spacing w:after="80" w:line="276" w:lineRule="auto"/>
              <w:rPr>
                <w:rFonts w:cstheme="minorHAnsi"/>
                <w:sz w:val="20"/>
                <w:szCs w:val="20"/>
              </w:rPr>
            </w:pPr>
            <w:r w:rsidRPr="00156DA1">
              <w:rPr>
                <w:rFonts w:cstheme="minorHAnsi"/>
                <w:sz w:val="20"/>
                <w:szCs w:val="20"/>
              </w:rPr>
              <w:t xml:space="preserve">We thank the commenter for pointing out this error. The </w:t>
            </w:r>
            <w:r w:rsidRPr="00156DA1" w:rsidR="00980E7D">
              <w:rPr>
                <w:rFonts w:cstheme="minorHAnsi"/>
                <w:sz w:val="20"/>
                <w:szCs w:val="20"/>
              </w:rPr>
              <w:t xml:space="preserve">reference to </w:t>
            </w:r>
            <w:r w:rsidRPr="00156DA1" w:rsidR="00061A0B">
              <w:rPr>
                <w:rFonts w:cstheme="minorHAnsi"/>
                <w:sz w:val="20"/>
                <w:szCs w:val="20"/>
              </w:rPr>
              <w:t xml:space="preserve">the ICR Plan “described below” is </w:t>
            </w:r>
            <w:r w:rsidRPr="00156DA1" w:rsidR="00980E7D">
              <w:rPr>
                <w:rFonts w:cstheme="minorHAnsi"/>
                <w:sz w:val="20"/>
                <w:szCs w:val="20"/>
              </w:rPr>
              <w:t xml:space="preserve">language from the </w:t>
            </w:r>
            <w:r w:rsidRPr="00156DA1" w:rsidR="00061A0B">
              <w:rPr>
                <w:rFonts w:cstheme="minorHAnsi"/>
                <w:sz w:val="20"/>
                <w:szCs w:val="20"/>
              </w:rPr>
              <w:t>current version of the form</w:t>
            </w:r>
            <w:r w:rsidRPr="00156DA1" w:rsidR="00980E7D">
              <w:rPr>
                <w:rFonts w:cstheme="minorHAnsi"/>
                <w:sz w:val="20"/>
                <w:szCs w:val="20"/>
              </w:rPr>
              <w:t xml:space="preserve"> that</w:t>
            </w:r>
            <w:r w:rsidRPr="00156DA1" w:rsidR="00D014A0">
              <w:rPr>
                <w:rFonts w:cstheme="minorHAnsi"/>
                <w:sz w:val="20"/>
                <w:szCs w:val="20"/>
              </w:rPr>
              <w:t xml:space="preserve"> we intended to remove.</w:t>
            </w:r>
            <w:r w:rsidRPr="00156DA1" w:rsidR="00061A0B">
              <w:rPr>
                <w:rFonts w:cstheme="minorHAnsi"/>
                <w:sz w:val="20"/>
                <w:szCs w:val="20"/>
              </w:rPr>
              <w:t xml:space="preserve"> </w:t>
            </w:r>
            <w:r w:rsidRPr="00156DA1" w:rsidR="00395377">
              <w:rPr>
                <w:rFonts w:cstheme="minorHAnsi"/>
                <w:sz w:val="20"/>
                <w:szCs w:val="20"/>
              </w:rPr>
              <w:t>We will revise the “Note” to read as follows:</w:t>
            </w:r>
          </w:p>
          <w:p w:rsidR="00111C2B" w:rsidRPr="00156DA1" w:rsidP="00921BCA" w14:paraId="5DC6137B" w14:textId="03E4619E">
            <w:pPr>
              <w:spacing w:after="80" w:line="276" w:lineRule="auto"/>
              <w:rPr>
                <w:rFonts w:cstheme="minorHAnsi"/>
                <w:sz w:val="20"/>
                <w:szCs w:val="20"/>
              </w:rPr>
            </w:pPr>
            <w:r w:rsidRPr="00156DA1">
              <w:rPr>
                <w:rFonts w:cstheme="minorHAnsi"/>
                <w:bCs/>
                <w:sz w:val="20"/>
                <w:szCs w:val="20"/>
              </w:rPr>
              <w:t>“</w:t>
            </w:r>
            <w:r w:rsidRPr="00156DA1">
              <w:rPr>
                <w:rFonts w:cstheme="minorHAnsi"/>
                <w:b/>
                <w:sz w:val="20"/>
                <w:szCs w:val="20"/>
              </w:rPr>
              <w:t xml:space="preserve">Note: </w:t>
            </w:r>
            <w:r w:rsidRPr="00156DA1">
              <w:rPr>
                <w:rFonts w:cstheme="minorHAnsi"/>
                <w:bCs/>
                <w:sz w:val="20"/>
                <w:szCs w:val="20"/>
              </w:rPr>
              <w:t xml:space="preserve">Parent Direct PLUS Loan borrowers may not repay their Direct PLUS Loans under an IDR plan. However, if a parent Direct PLUS Loan borrower consolidates a Direct PLUS Loan into a Direct Consolidation Loan, the Direct Consolidation Loan may then be repaid under </w:t>
            </w:r>
            <w:r w:rsidRPr="00156DA1">
              <w:rPr>
                <w:rFonts w:cstheme="minorHAnsi"/>
                <w:bCs/>
                <w:sz w:val="20"/>
                <w:szCs w:val="20"/>
              </w:rPr>
              <w:t>the  Income</w:t>
            </w:r>
            <w:r w:rsidRPr="00156DA1">
              <w:rPr>
                <w:rFonts w:cstheme="minorHAnsi"/>
                <w:bCs/>
                <w:sz w:val="20"/>
                <w:szCs w:val="20"/>
              </w:rPr>
              <w:t>-Contingent Repayment Plan (see “Additional IDR plans available to some borrowers” below). See Item 20 in this section for information on loan consolidation.</w:t>
            </w:r>
            <w:r w:rsidRPr="00156DA1">
              <w:rPr>
                <w:rFonts w:cstheme="minorHAnsi"/>
                <w:bCs/>
                <w:sz w:val="20"/>
                <w:szCs w:val="20"/>
              </w:rPr>
              <w:t>”</w:t>
            </w:r>
          </w:p>
          <w:p w:rsidR="009E37DE" w:rsidRPr="00156DA1" w:rsidP="00921BCA" w14:paraId="4271884B" w14:textId="4FC7CF12">
            <w:pPr>
              <w:spacing w:after="80" w:line="276" w:lineRule="auto"/>
              <w:rPr>
                <w:rFonts w:cstheme="minorHAnsi"/>
                <w:sz w:val="20"/>
                <w:szCs w:val="20"/>
              </w:rPr>
            </w:pPr>
            <w:r w:rsidRPr="00156DA1">
              <w:rPr>
                <w:rFonts w:cstheme="minorHAnsi"/>
                <w:sz w:val="20"/>
                <w:szCs w:val="20"/>
              </w:rPr>
              <w:t>We do not believe it is necessary</w:t>
            </w:r>
            <w:r w:rsidRPr="00156DA1" w:rsidR="005A6C0B">
              <w:rPr>
                <w:rFonts w:cstheme="minorHAnsi"/>
                <w:sz w:val="20"/>
                <w:szCs w:val="20"/>
              </w:rPr>
              <w:t xml:space="preserve"> or appropriate to add another reference to </w:t>
            </w:r>
            <w:r w:rsidRPr="00156DA1" w:rsidR="00EA32D4">
              <w:rPr>
                <w:rFonts w:cstheme="minorHAnsi"/>
                <w:sz w:val="20"/>
                <w:szCs w:val="20"/>
              </w:rPr>
              <w:t>consolidation in the “Additio</w:t>
            </w:r>
            <w:r w:rsidRPr="00156DA1" w:rsidR="008E5AFF">
              <w:rPr>
                <w:rFonts w:cstheme="minorHAnsi"/>
                <w:sz w:val="20"/>
                <w:szCs w:val="20"/>
              </w:rPr>
              <w:t xml:space="preserve">nal IDR plans available to some borrowers” section. </w:t>
            </w:r>
            <w:r w:rsidRPr="00156DA1" w:rsidR="00224F7C">
              <w:rPr>
                <w:rFonts w:cstheme="minorHAnsi"/>
                <w:sz w:val="20"/>
                <w:szCs w:val="20"/>
              </w:rPr>
              <w:t xml:space="preserve">The PLUS MPN is a promissory note for Direct PLUS Loans (not Direct Consolidation Loans) and this section is </w:t>
            </w:r>
            <w:r w:rsidRPr="00156DA1" w:rsidR="008E5AFF">
              <w:rPr>
                <w:rFonts w:cstheme="minorHAnsi"/>
                <w:sz w:val="20"/>
                <w:szCs w:val="20"/>
              </w:rPr>
              <w:t xml:space="preserve">specifically directed at </w:t>
            </w:r>
            <w:r w:rsidRPr="00156DA1" w:rsidR="00C22CB7">
              <w:rPr>
                <w:rFonts w:cstheme="minorHAnsi"/>
                <w:sz w:val="20"/>
                <w:szCs w:val="20"/>
              </w:rPr>
              <w:t xml:space="preserve">graduate or professional student </w:t>
            </w:r>
            <w:r w:rsidRPr="00156DA1" w:rsidR="00034AAC">
              <w:rPr>
                <w:rFonts w:cstheme="minorHAnsi"/>
                <w:sz w:val="20"/>
                <w:szCs w:val="20"/>
              </w:rPr>
              <w:t>Direct PLUS Loan borrowers who may qualify for additional IDR plans</w:t>
            </w:r>
            <w:r w:rsidRPr="00156DA1" w:rsidR="00C272F5">
              <w:rPr>
                <w:rFonts w:cstheme="minorHAnsi"/>
                <w:sz w:val="20"/>
                <w:szCs w:val="20"/>
              </w:rPr>
              <w:t xml:space="preserve"> for repayment of their Direct PLUS Loans</w:t>
            </w:r>
            <w:r w:rsidRPr="00156DA1" w:rsidR="00034AAC">
              <w:rPr>
                <w:rFonts w:cstheme="minorHAnsi"/>
                <w:sz w:val="20"/>
                <w:szCs w:val="20"/>
              </w:rPr>
              <w:t xml:space="preserve">. </w:t>
            </w:r>
            <w:r w:rsidRPr="00156DA1" w:rsidR="00EF600A">
              <w:rPr>
                <w:rFonts w:cstheme="minorHAnsi"/>
                <w:sz w:val="20"/>
                <w:szCs w:val="20"/>
              </w:rPr>
              <w:t xml:space="preserve">We believe that the </w:t>
            </w:r>
            <w:r w:rsidRPr="00156DA1" w:rsidR="008070E6">
              <w:rPr>
                <w:rFonts w:cstheme="minorHAnsi"/>
                <w:sz w:val="20"/>
                <w:szCs w:val="20"/>
              </w:rPr>
              <w:t xml:space="preserve">earlier “Note” (modified as shown above) is sufficient to inform parent PLUS borrowers that they can gain access to ICR through consolidation. </w:t>
            </w:r>
            <w:r w:rsidRPr="00156DA1" w:rsidR="001A3AC3">
              <w:rPr>
                <w:rFonts w:cstheme="minorHAnsi"/>
                <w:sz w:val="20"/>
                <w:szCs w:val="20"/>
              </w:rPr>
              <w:t xml:space="preserve">If a parent PLUS borrower chooses to consolidate, the Direct Consolidation Loan Application and Promissory Note </w:t>
            </w:r>
            <w:r w:rsidRPr="00156DA1" w:rsidR="006E10C4">
              <w:rPr>
                <w:rFonts w:cstheme="minorHAnsi"/>
                <w:sz w:val="20"/>
                <w:szCs w:val="20"/>
              </w:rPr>
              <w:t xml:space="preserve">explains that the ICR plan is available for consolidation loans that repaid parent PLUS loan. </w:t>
            </w:r>
          </w:p>
        </w:tc>
        <w:tc>
          <w:tcPr>
            <w:tcW w:w="969" w:type="dxa"/>
          </w:tcPr>
          <w:p w:rsidR="00E359E1" w:rsidRPr="00156DA1" w:rsidP="00921BCA" w14:paraId="1886744C" w14:textId="55CFB692">
            <w:pPr>
              <w:spacing w:after="80" w:line="276" w:lineRule="auto"/>
              <w:rPr>
                <w:rFonts w:cstheme="minorHAnsi"/>
                <w:sz w:val="20"/>
                <w:szCs w:val="20"/>
              </w:rPr>
            </w:pPr>
            <w:r w:rsidRPr="00156DA1">
              <w:rPr>
                <w:rFonts w:cstheme="minorHAnsi"/>
                <w:sz w:val="20"/>
                <w:szCs w:val="20"/>
              </w:rPr>
              <w:t>Yes</w:t>
            </w:r>
            <w:r w:rsidRPr="00156DA1">
              <w:rPr>
                <w:rFonts w:cstheme="minorHAnsi"/>
                <w:sz w:val="20"/>
                <w:szCs w:val="20"/>
              </w:rPr>
              <w:br/>
              <w:t>(form)</w:t>
            </w:r>
          </w:p>
        </w:tc>
      </w:tr>
      <w:tr w14:paraId="6AD543F6" w14:textId="77777777" w:rsidTr="00953A2E">
        <w:tblPrEx>
          <w:tblW w:w="13860" w:type="dxa"/>
          <w:tblInd w:w="-455" w:type="dxa"/>
          <w:tblLayout w:type="fixed"/>
          <w:tblLook w:val="04A0"/>
        </w:tblPrEx>
        <w:tc>
          <w:tcPr>
            <w:tcW w:w="1100" w:type="dxa"/>
          </w:tcPr>
          <w:p w:rsidR="00160707" w:rsidRPr="00156DA1" w:rsidP="00921BCA" w14:paraId="1E3469C0" w14:textId="77777777">
            <w:pPr>
              <w:pStyle w:val="ListParagraph"/>
              <w:numPr>
                <w:ilvl w:val="0"/>
                <w:numId w:val="4"/>
              </w:numPr>
              <w:spacing w:after="80" w:line="276" w:lineRule="auto"/>
              <w:rPr>
                <w:rFonts w:cstheme="minorHAnsi"/>
                <w:color w:val="000000"/>
                <w:sz w:val="20"/>
                <w:szCs w:val="20"/>
              </w:rPr>
            </w:pPr>
          </w:p>
        </w:tc>
        <w:tc>
          <w:tcPr>
            <w:tcW w:w="1286" w:type="dxa"/>
          </w:tcPr>
          <w:p w:rsidR="00160707" w:rsidRPr="00156DA1" w:rsidP="00921BCA" w14:paraId="5BC9A0D9" w14:textId="6765ADB6">
            <w:pPr>
              <w:spacing w:after="80" w:line="276" w:lineRule="auto"/>
              <w:rPr>
                <w:rFonts w:cstheme="minorHAnsi"/>
                <w:sz w:val="20"/>
                <w:szCs w:val="20"/>
              </w:rPr>
            </w:pPr>
            <w:r w:rsidRPr="00156DA1">
              <w:rPr>
                <w:rFonts w:cstheme="minorHAnsi"/>
                <w:sz w:val="20"/>
                <w:szCs w:val="20"/>
                <w:shd w:val="clear" w:color="auto" w:fill="FFFFFF"/>
              </w:rPr>
              <w:t xml:space="preserve">Alice </w:t>
            </w:r>
            <w:r w:rsidRPr="00156DA1">
              <w:rPr>
                <w:rFonts w:cstheme="minorHAnsi"/>
                <w:sz w:val="20"/>
                <w:szCs w:val="20"/>
                <w:shd w:val="clear" w:color="auto" w:fill="FFFFFF"/>
              </w:rPr>
              <w:t>Bunjer</w:t>
            </w:r>
          </w:p>
        </w:tc>
        <w:tc>
          <w:tcPr>
            <w:tcW w:w="5252" w:type="dxa"/>
          </w:tcPr>
          <w:p w:rsidR="0084770E" w:rsidRPr="00156DA1" w:rsidP="00921BCA" w14:paraId="36836205" w14:textId="77777777">
            <w:pPr>
              <w:spacing w:after="80" w:line="276" w:lineRule="auto"/>
              <w:rPr>
                <w:rFonts w:cstheme="minorHAnsi"/>
                <w:color w:val="333333"/>
                <w:sz w:val="20"/>
                <w:szCs w:val="20"/>
                <w:shd w:val="clear" w:color="auto" w:fill="FFFFFF"/>
              </w:rPr>
            </w:pPr>
            <w:r w:rsidRPr="00156DA1">
              <w:rPr>
                <w:rFonts w:cstheme="minorHAnsi"/>
                <w:color w:val="333333"/>
                <w:sz w:val="20"/>
                <w:szCs w:val="20"/>
                <w:shd w:val="clear" w:color="auto" w:fill="FFFFFF"/>
              </w:rPr>
              <w:t>Please take away the origination fees. It causes the student a lot of confusion that they aren't really getting the full amount of loan that they are applying for. You are already "making money" on the higher interest rates. We out to be helping our students get through college, not discouraging them by adding an extra fee!</w:t>
            </w:r>
          </w:p>
          <w:p w:rsidR="00160707" w:rsidRPr="00156DA1" w:rsidP="00921BCA" w14:paraId="612C8437" w14:textId="083B47C6">
            <w:pPr>
              <w:spacing w:after="80" w:line="276" w:lineRule="auto"/>
              <w:rPr>
                <w:rFonts w:cstheme="minorHAnsi"/>
                <w:color w:val="333333"/>
                <w:sz w:val="20"/>
                <w:szCs w:val="20"/>
                <w:shd w:val="clear" w:color="auto" w:fill="FFFFFF"/>
              </w:rPr>
            </w:pPr>
            <w:r w:rsidRPr="00156DA1">
              <w:rPr>
                <w:rFonts w:cstheme="minorHAnsi"/>
                <w:color w:val="333333"/>
                <w:sz w:val="20"/>
                <w:szCs w:val="20"/>
                <w:shd w:val="clear" w:color="auto" w:fill="FFFFFF"/>
              </w:rPr>
              <w:t>Also, if a student is "need-based", why can't they have the full loan be a subsidized loan? Once, again, you are "kicking the student in the face" with fees and interest that doesn't help them to achieve their goal of completing college.</w:t>
            </w:r>
          </w:p>
        </w:tc>
        <w:tc>
          <w:tcPr>
            <w:tcW w:w="5253" w:type="dxa"/>
          </w:tcPr>
          <w:p w:rsidR="00160707" w:rsidRPr="00156DA1" w:rsidP="00921BCA" w14:paraId="02DD166A" w14:textId="0036A2D8">
            <w:pPr>
              <w:spacing w:after="80" w:line="276" w:lineRule="auto"/>
              <w:rPr>
                <w:rFonts w:cstheme="minorHAnsi"/>
                <w:sz w:val="20"/>
                <w:szCs w:val="20"/>
              </w:rPr>
            </w:pPr>
            <w:r w:rsidRPr="00156DA1">
              <w:rPr>
                <w:rFonts w:cstheme="minorHAnsi"/>
                <w:sz w:val="20"/>
                <w:szCs w:val="20"/>
              </w:rPr>
              <w:t xml:space="preserve">The </w:t>
            </w:r>
            <w:r w:rsidRPr="00156DA1" w:rsidR="002D6C2F">
              <w:rPr>
                <w:rFonts w:cstheme="minorHAnsi"/>
                <w:sz w:val="20"/>
                <w:szCs w:val="20"/>
              </w:rPr>
              <w:t xml:space="preserve">Higher Education Act of 1965, as amended (the HEA) </w:t>
            </w:r>
            <w:r w:rsidRPr="00156DA1" w:rsidR="00862C4C">
              <w:rPr>
                <w:rFonts w:cstheme="minorHAnsi"/>
                <w:sz w:val="20"/>
                <w:szCs w:val="20"/>
              </w:rPr>
              <w:t xml:space="preserve">requires an origination fee to be charged. </w:t>
            </w:r>
            <w:r w:rsidRPr="00156DA1" w:rsidR="00BF05A0">
              <w:rPr>
                <w:rFonts w:cstheme="minorHAnsi"/>
                <w:sz w:val="20"/>
                <w:szCs w:val="20"/>
              </w:rPr>
              <w:t xml:space="preserve">We do not have the authority to eliminate the fee. </w:t>
            </w:r>
          </w:p>
          <w:p w:rsidR="00BA6898" w:rsidRPr="00156DA1" w:rsidP="00921BCA" w14:paraId="51E42079" w14:textId="77777777">
            <w:pPr>
              <w:spacing w:after="80" w:line="276" w:lineRule="auto"/>
              <w:rPr>
                <w:rFonts w:cstheme="minorHAnsi"/>
                <w:sz w:val="20"/>
                <w:szCs w:val="20"/>
              </w:rPr>
            </w:pPr>
            <w:r w:rsidRPr="00156DA1">
              <w:rPr>
                <w:rFonts w:cstheme="minorHAnsi"/>
                <w:sz w:val="20"/>
                <w:szCs w:val="20"/>
              </w:rPr>
              <w:t>We note that the MPNs include the following language related to the origination fee:</w:t>
            </w:r>
          </w:p>
          <w:p w:rsidR="00047C3D" w:rsidRPr="00156DA1" w:rsidP="00921BCA" w14:paraId="6025759B" w14:textId="77777777">
            <w:pPr>
              <w:spacing w:after="80" w:line="276" w:lineRule="auto"/>
              <w:rPr>
                <w:rFonts w:cstheme="minorHAnsi"/>
                <w:sz w:val="20"/>
                <w:szCs w:val="20"/>
              </w:rPr>
            </w:pPr>
            <w:r w:rsidRPr="00156DA1">
              <w:rPr>
                <w:rFonts w:cstheme="minorHAnsi"/>
                <w:sz w:val="20"/>
                <w:szCs w:val="20"/>
              </w:rPr>
              <w:t>“This means that the actual disbursement amount you receive will be less than the disbursement amount you must repay. However, you are required to pay the full amount of the loan, including the amount that was taken for the loan fee.”</w:t>
            </w:r>
          </w:p>
          <w:p w:rsidR="00047C3D" w:rsidRPr="00156DA1" w:rsidP="00921BCA" w14:paraId="7950C71C" w14:textId="468C0929">
            <w:pPr>
              <w:spacing w:after="80" w:line="276" w:lineRule="auto"/>
              <w:rPr>
                <w:rFonts w:cstheme="minorHAnsi"/>
                <w:sz w:val="20"/>
                <w:szCs w:val="20"/>
              </w:rPr>
            </w:pPr>
            <w:r w:rsidRPr="00156DA1">
              <w:rPr>
                <w:rFonts w:cstheme="minorHAnsi"/>
                <w:sz w:val="20"/>
                <w:szCs w:val="20"/>
              </w:rPr>
              <w:t xml:space="preserve">This </w:t>
            </w:r>
            <w:r w:rsidRPr="00156DA1" w:rsidR="00DE43AB">
              <w:rPr>
                <w:rFonts w:cstheme="minorHAnsi"/>
                <w:sz w:val="20"/>
                <w:szCs w:val="20"/>
              </w:rPr>
              <w:t xml:space="preserve">should make it clear to </w:t>
            </w:r>
            <w:r w:rsidRPr="00156DA1">
              <w:rPr>
                <w:rFonts w:cstheme="minorHAnsi"/>
                <w:sz w:val="20"/>
                <w:szCs w:val="20"/>
              </w:rPr>
              <w:t xml:space="preserve">borrowers that the loan amount they receive will be less than </w:t>
            </w:r>
            <w:r w:rsidRPr="00156DA1" w:rsidR="00E263FF">
              <w:rPr>
                <w:rFonts w:cstheme="minorHAnsi"/>
                <w:sz w:val="20"/>
                <w:szCs w:val="20"/>
              </w:rPr>
              <w:t xml:space="preserve">the amount they borrowed and must repay. </w:t>
            </w:r>
          </w:p>
          <w:p w:rsidR="00A35334" w:rsidRPr="00156DA1" w:rsidP="00921BCA" w14:paraId="03D91497" w14:textId="735F7B16">
            <w:pPr>
              <w:spacing w:after="80" w:line="276" w:lineRule="auto"/>
              <w:rPr>
                <w:rFonts w:cstheme="minorHAnsi"/>
                <w:sz w:val="20"/>
                <w:szCs w:val="20"/>
              </w:rPr>
            </w:pPr>
            <w:r w:rsidRPr="00156DA1">
              <w:rPr>
                <w:rFonts w:cstheme="minorHAnsi"/>
                <w:sz w:val="20"/>
                <w:szCs w:val="20"/>
              </w:rPr>
              <w:t>Financial need for Direct Subsidized Loans is determine</w:t>
            </w:r>
            <w:r w:rsidRPr="00156DA1" w:rsidR="00354AAC">
              <w:rPr>
                <w:rFonts w:cstheme="minorHAnsi"/>
                <w:sz w:val="20"/>
                <w:szCs w:val="20"/>
              </w:rPr>
              <w:t>d</w:t>
            </w:r>
            <w:r w:rsidRPr="00156DA1">
              <w:rPr>
                <w:rFonts w:cstheme="minorHAnsi"/>
                <w:sz w:val="20"/>
                <w:szCs w:val="20"/>
              </w:rPr>
              <w:t xml:space="preserve"> in accordance with the </w:t>
            </w:r>
            <w:r w:rsidRPr="00156DA1" w:rsidR="002907A8">
              <w:rPr>
                <w:rFonts w:cstheme="minorHAnsi"/>
                <w:sz w:val="20"/>
                <w:szCs w:val="20"/>
              </w:rPr>
              <w:t>HEA</w:t>
            </w:r>
            <w:r w:rsidRPr="00156DA1" w:rsidR="00DA0E6F">
              <w:rPr>
                <w:rFonts w:cstheme="minorHAnsi"/>
                <w:sz w:val="20"/>
                <w:szCs w:val="20"/>
              </w:rPr>
              <w:t xml:space="preserve">. </w:t>
            </w:r>
            <w:r w:rsidRPr="00156DA1" w:rsidR="000C0591">
              <w:rPr>
                <w:rFonts w:cstheme="minorHAnsi"/>
                <w:sz w:val="20"/>
                <w:szCs w:val="20"/>
              </w:rPr>
              <w:t xml:space="preserve">Further, the HEA </w:t>
            </w:r>
            <w:r w:rsidRPr="00156DA1" w:rsidR="00BB3292">
              <w:rPr>
                <w:rFonts w:cstheme="minorHAnsi"/>
                <w:sz w:val="20"/>
                <w:szCs w:val="20"/>
              </w:rPr>
              <w:t xml:space="preserve">places limits on the maximum Direct Subsidized Loan amount that a student with financial need may receive. </w:t>
            </w:r>
            <w:r w:rsidRPr="00156DA1" w:rsidR="006D60D3">
              <w:rPr>
                <w:rFonts w:cstheme="minorHAnsi"/>
                <w:sz w:val="20"/>
                <w:szCs w:val="20"/>
              </w:rPr>
              <w:t xml:space="preserve">We do not have the authority under the law to </w:t>
            </w:r>
            <w:r w:rsidRPr="00156DA1" w:rsidR="002C63BD">
              <w:rPr>
                <w:rFonts w:cstheme="minorHAnsi"/>
                <w:sz w:val="20"/>
                <w:szCs w:val="20"/>
              </w:rPr>
              <w:t xml:space="preserve">give a student with financial need their total Direct Loan eligibility in </w:t>
            </w:r>
            <w:r w:rsidRPr="00156DA1" w:rsidR="00EE5B1A">
              <w:rPr>
                <w:rFonts w:cstheme="minorHAnsi"/>
                <w:sz w:val="20"/>
                <w:szCs w:val="20"/>
              </w:rPr>
              <w:t xml:space="preserve">subsidized funds only. </w:t>
            </w:r>
            <w:r w:rsidRPr="00156DA1" w:rsidR="000C0591">
              <w:rPr>
                <w:rFonts w:cstheme="minorHAnsi"/>
                <w:sz w:val="20"/>
                <w:szCs w:val="20"/>
              </w:rPr>
              <w:t xml:space="preserve"> </w:t>
            </w:r>
          </w:p>
        </w:tc>
        <w:tc>
          <w:tcPr>
            <w:tcW w:w="969" w:type="dxa"/>
          </w:tcPr>
          <w:p w:rsidR="00160707" w:rsidRPr="00156DA1" w:rsidP="00921BCA" w14:paraId="39F799D5" w14:textId="7CC93DAD">
            <w:pPr>
              <w:spacing w:after="80" w:line="276" w:lineRule="auto"/>
              <w:rPr>
                <w:rFonts w:cstheme="minorHAnsi"/>
                <w:sz w:val="20"/>
                <w:szCs w:val="20"/>
              </w:rPr>
            </w:pPr>
            <w:r w:rsidRPr="00156DA1">
              <w:rPr>
                <w:rFonts w:cstheme="minorHAnsi"/>
                <w:sz w:val="20"/>
                <w:szCs w:val="20"/>
              </w:rPr>
              <w:t>No</w:t>
            </w:r>
          </w:p>
        </w:tc>
      </w:tr>
      <w:tr w14:paraId="49B5D8F9" w14:textId="77777777" w:rsidTr="00953A2E">
        <w:tblPrEx>
          <w:tblW w:w="13860" w:type="dxa"/>
          <w:tblInd w:w="-455" w:type="dxa"/>
          <w:tblLayout w:type="fixed"/>
          <w:tblLook w:val="04A0"/>
        </w:tblPrEx>
        <w:tc>
          <w:tcPr>
            <w:tcW w:w="1100" w:type="dxa"/>
          </w:tcPr>
          <w:p w:rsidR="00160707" w:rsidRPr="00156DA1" w:rsidP="00921BCA" w14:paraId="535790E9" w14:textId="77777777">
            <w:pPr>
              <w:pStyle w:val="ListParagraph"/>
              <w:numPr>
                <w:ilvl w:val="0"/>
                <w:numId w:val="4"/>
              </w:numPr>
              <w:spacing w:after="80" w:line="276" w:lineRule="auto"/>
              <w:rPr>
                <w:rFonts w:cstheme="minorHAnsi"/>
                <w:color w:val="000000"/>
                <w:sz w:val="20"/>
                <w:szCs w:val="20"/>
              </w:rPr>
            </w:pPr>
          </w:p>
        </w:tc>
        <w:tc>
          <w:tcPr>
            <w:tcW w:w="1286" w:type="dxa"/>
          </w:tcPr>
          <w:p w:rsidR="00160707" w:rsidRPr="00156DA1" w:rsidP="00921BCA" w14:paraId="615F2E7B" w14:textId="6150F938">
            <w:pPr>
              <w:spacing w:after="80" w:line="276" w:lineRule="auto"/>
              <w:rPr>
                <w:rFonts w:cstheme="minorHAnsi"/>
                <w:sz w:val="20"/>
                <w:szCs w:val="20"/>
              </w:rPr>
            </w:pPr>
            <w:r w:rsidRPr="00156DA1">
              <w:rPr>
                <w:rFonts w:cstheme="minorHAnsi"/>
                <w:sz w:val="20"/>
                <w:szCs w:val="20"/>
                <w:shd w:val="clear" w:color="auto" w:fill="FFFFFF"/>
              </w:rPr>
              <w:t>NASFAA</w:t>
            </w:r>
          </w:p>
        </w:tc>
        <w:tc>
          <w:tcPr>
            <w:tcW w:w="5252" w:type="dxa"/>
          </w:tcPr>
          <w:p w:rsidR="00160707" w:rsidRPr="00156DA1" w:rsidP="00921BCA" w14:paraId="2419538C" w14:textId="77777777">
            <w:pPr>
              <w:spacing w:after="80" w:line="276" w:lineRule="auto"/>
              <w:rPr>
                <w:rFonts w:cstheme="minorHAnsi"/>
                <w:sz w:val="20"/>
                <w:szCs w:val="20"/>
              </w:rPr>
            </w:pPr>
            <w:r w:rsidRPr="00156DA1">
              <w:rPr>
                <w:rFonts w:cstheme="minorHAnsi"/>
                <w:sz w:val="20"/>
                <w:szCs w:val="20"/>
              </w:rPr>
              <w:t>While we understand that "Master Promissory Note" is the established legal term for the document governing federal student loans, it is not a universally recognized or easily understood term among borrowers, many of whom are assuming a debt obligation for the first time in their lives. Many students and families are unfamiliar with the concept of a "promissory note," which can lead to confusion and misinterpretation of their loan obligations.</w:t>
            </w:r>
          </w:p>
          <w:p w:rsidR="00DB18BB" w:rsidRPr="00156DA1" w:rsidP="00921BCA" w14:paraId="1B871DD8" w14:textId="7AA6EBBC">
            <w:pPr>
              <w:spacing w:after="80" w:line="276" w:lineRule="auto"/>
              <w:rPr>
                <w:rFonts w:cstheme="minorHAnsi"/>
                <w:color w:val="000000"/>
                <w:sz w:val="20"/>
                <w:szCs w:val="20"/>
              </w:rPr>
            </w:pPr>
            <w:r w:rsidRPr="00156DA1">
              <w:rPr>
                <w:rFonts w:cstheme="minorHAnsi"/>
                <w:sz w:val="20"/>
                <w:szCs w:val="20"/>
              </w:rPr>
              <w:t>To enhance clarity and accessibility, we suggest that the Department of Education consider adopting the term "Direct Loan Promissory Note/Agreement to Repay" in place of "Master Promissory Note” for the document. The department already uses "agreement to repay" in the context of TEACH Grant paperwork, demonstrating a precedent for this terminology. Adding this extra wording would further align the language used in student loan documents with more common and comprehensible terms. This change would also help the department improve a borrower’s understanding and engagement in the student loan process, ultimately fostering more informed financial decisions.</w:t>
            </w:r>
          </w:p>
        </w:tc>
        <w:tc>
          <w:tcPr>
            <w:tcW w:w="5253" w:type="dxa"/>
          </w:tcPr>
          <w:p w:rsidR="00FF71F3" w:rsidP="00921BCA" w14:paraId="6BC250BF" w14:textId="77777777">
            <w:pPr>
              <w:spacing w:after="80" w:line="276" w:lineRule="auto"/>
              <w:rPr>
                <w:rFonts w:cstheme="minorHAnsi"/>
                <w:sz w:val="20"/>
                <w:szCs w:val="20"/>
              </w:rPr>
            </w:pPr>
            <w:r>
              <w:rPr>
                <w:rFonts w:cstheme="minorHAnsi"/>
                <w:sz w:val="20"/>
                <w:szCs w:val="20"/>
              </w:rPr>
              <w:t>W</w:t>
            </w:r>
            <w:r w:rsidRPr="00156DA1" w:rsidR="00E4503A">
              <w:rPr>
                <w:rFonts w:cstheme="minorHAnsi"/>
                <w:sz w:val="20"/>
                <w:szCs w:val="20"/>
              </w:rPr>
              <w:t xml:space="preserve">e </w:t>
            </w:r>
            <w:r w:rsidRPr="00156DA1" w:rsidR="00CE22E8">
              <w:rPr>
                <w:rFonts w:cstheme="minorHAnsi"/>
                <w:sz w:val="20"/>
                <w:szCs w:val="20"/>
              </w:rPr>
              <w:t>appreciate</w:t>
            </w:r>
            <w:r w:rsidRPr="00156DA1" w:rsidR="00E4503A">
              <w:rPr>
                <w:rFonts w:cstheme="minorHAnsi"/>
                <w:sz w:val="20"/>
                <w:szCs w:val="20"/>
              </w:rPr>
              <w:t xml:space="preserve"> the concern about </w:t>
            </w:r>
            <w:r w:rsidRPr="00156DA1" w:rsidR="004E5FAA">
              <w:rPr>
                <w:rFonts w:cstheme="minorHAnsi"/>
                <w:sz w:val="20"/>
                <w:szCs w:val="20"/>
              </w:rPr>
              <w:t>students and families who may not be familiar with the concept of a promissory note</w:t>
            </w:r>
            <w:r>
              <w:rPr>
                <w:rFonts w:cstheme="minorHAnsi"/>
                <w:sz w:val="20"/>
                <w:szCs w:val="20"/>
              </w:rPr>
              <w:t>. However</w:t>
            </w:r>
            <w:r w:rsidRPr="00156DA1" w:rsidR="004E5FAA">
              <w:rPr>
                <w:rFonts w:cstheme="minorHAnsi"/>
                <w:sz w:val="20"/>
                <w:szCs w:val="20"/>
              </w:rPr>
              <w:t xml:space="preserve">, </w:t>
            </w:r>
            <w:r w:rsidRPr="00156DA1" w:rsidR="00773D47">
              <w:rPr>
                <w:rFonts w:cstheme="minorHAnsi"/>
                <w:sz w:val="20"/>
                <w:szCs w:val="20"/>
              </w:rPr>
              <w:t xml:space="preserve">we believe that </w:t>
            </w:r>
            <w:r w:rsidRPr="00156DA1" w:rsidR="00292A0C">
              <w:rPr>
                <w:rFonts w:cstheme="minorHAnsi"/>
                <w:sz w:val="20"/>
                <w:szCs w:val="20"/>
              </w:rPr>
              <w:t xml:space="preserve">language in </w:t>
            </w:r>
            <w:r w:rsidRPr="00156DA1" w:rsidR="007D7454">
              <w:rPr>
                <w:rFonts w:cstheme="minorHAnsi"/>
                <w:sz w:val="20"/>
                <w:szCs w:val="20"/>
              </w:rPr>
              <w:t xml:space="preserve">various places throughout the </w:t>
            </w:r>
            <w:r w:rsidRPr="00156DA1" w:rsidR="00CE22E8">
              <w:rPr>
                <w:rFonts w:cstheme="minorHAnsi"/>
                <w:sz w:val="20"/>
                <w:szCs w:val="20"/>
              </w:rPr>
              <w:t>MPN</w:t>
            </w:r>
            <w:r w:rsidRPr="00156DA1" w:rsidR="007D7454">
              <w:rPr>
                <w:rFonts w:cstheme="minorHAnsi"/>
                <w:sz w:val="20"/>
                <w:szCs w:val="20"/>
              </w:rPr>
              <w:t xml:space="preserve"> makes it clear that the MPN is a promise to repay all loans made under the MPN. The great majority of borrowers complete and submit the MPN online at StudentAid.gov. Language on the StudentAid.gov MPN landing page prominently states that the MPN is “a legal document in which you promise to repay your loan(s) and any accrued interest and fees to the U.S. Department of Education. It also explains the terms and conditions of your loan(s).”</w:t>
            </w:r>
            <w:r w:rsidRPr="00156DA1" w:rsidR="00773D47">
              <w:rPr>
                <w:rFonts w:cstheme="minorHAnsi"/>
                <w:sz w:val="20"/>
                <w:szCs w:val="20"/>
              </w:rPr>
              <w:t xml:space="preserve"> </w:t>
            </w:r>
          </w:p>
          <w:p w:rsidR="00C61746" w:rsidRPr="00156DA1" w:rsidP="00921BCA" w14:paraId="2990B64C" w14:textId="253482F9">
            <w:pPr>
              <w:spacing w:after="80" w:line="276" w:lineRule="auto"/>
              <w:rPr>
                <w:rFonts w:cstheme="minorHAnsi"/>
                <w:sz w:val="20"/>
                <w:szCs w:val="20"/>
              </w:rPr>
            </w:pPr>
            <w:r w:rsidRPr="00156DA1">
              <w:rPr>
                <w:rFonts w:cstheme="minorHAnsi"/>
                <w:sz w:val="20"/>
                <w:szCs w:val="20"/>
              </w:rPr>
              <w:t xml:space="preserve">Further, the law and regulations </w:t>
            </w:r>
            <w:r w:rsidR="00220DD7">
              <w:rPr>
                <w:rFonts w:cstheme="minorHAnsi"/>
                <w:sz w:val="20"/>
                <w:szCs w:val="20"/>
              </w:rPr>
              <w:t xml:space="preserve">do not </w:t>
            </w:r>
            <w:r w:rsidRPr="00156DA1">
              <w:rPr>
                <w:rFonts w:cstheme="minorHAnsi"/>
                <w:sz w:val="20"/>
                <w:szCs w:val="20"/>
              </w:rPr>
              <w:t xml:space="preserve">support changing the name of the document to “Direct Loan Promissory Note/Agreement to Repay.” </w:t>
            </w:r>
            <w:r w:rsidRPr="00156DA1" w:rsidR="00265160">
              <w:rPr>
                <w:rFonts w:cstheme="minorHAnsi"/>
                <w:sz w:val="20"/>
                <w:szCs w:val="20"/>
              </w:rPr>
              <w:t xml:space="preserve">The term “Master Promissory Note” </w:t>
            </w:r>
            <w:r w:rsidRPr="00156DA1" w:rsidR="00411F3C">
              <w:rPr>
                <w:rFonts w:cstheme="minorHAnsi"/>
                <w:sz w:val="20"/>
                <w:szCs w:val="20"/>
              </w:rPr>
              <w:t xml:space="preserve">is established in the law and </w:t>
            </w:r>
            <w:r w:rsidRPr="00156DA1" w:rsidR="002137B3">
              <w:rPr>
                <w:rFonts w:cstheme="minorHAnsi"/>
                <w:sz w:val="20"/>
                <w:szCs w:val="20"/>
              </w:rPr>
              <w:t xml:space="preserve">the Direct Loan Program </w:t>
            </w:r>
            <w:r w:rsidRPr="00156DA1" w:rsidR="00411F3C">
              <w:rPr>
                <w:rFonts w:cstheme="minorHAnsi"/>
                <w:sz w:val="20"/>
                <w:szCs w:val="20"/>
              </w:rPr>
              <w:t xml:space="preserve">regulations and </w:t>
            </w:r>
            <w:r w:rsidRPr="00156DA1" w:rsidR="00E64DBA">
              <w:rPr>
                <w:rFonts w:cstheme="minorHAnsi"/>
                <w:sz w:val="20"/>
                <w:szCs w:val="20"/>
              </w:rPr>
              <w:t xml:space="preserve">has a special meaning that </w:t>
            </w:r>
            <w:r w:rsidRPr="00156DA1" w:rsidR="00411F3C">
              <w:rPr>
                <w:rFonts w:cstheme="minorHAnsi"/>
                <w:sz w:val="20"/>
                <w:szCs w:val="20"/>
              </w:rPr>
              <w:t xml:space="preserve">differentiates it from a </w:t>
            </w:r>
            <w:r w:rsidRPr="00156DA1" w:rsidR="00D33869">
              <w:rPr>
                <w:rFonts w:cstheme="minorHAnsi"/>
                <w:sz w:val="20"/>
                <w:szCs w:val="20"/>
              </w:rPr>
              <w:t xml:space="preserve">regular promissory note. </w:t>
            </w:r>
            <w:r w:rsidRPr="00156DA1" w:rsidR="0002701F">
              <w:rPr>
                <w:rFonts w:cstheme="minorHAnsi"/>
                <w:sz w:val="20"/>
                <w:szCs w:val="20"/>
              </w:rPr>
              <w:t>While it</w:t>
            </w:r>
            <w:r w:rsidR="00FF71F3">
              <w:rPr>
                <w:rFonts w:cstheme="minorHAnsi"/>
                <w:sz w:val="20"/>
                <w:szCs w:val="20"/>
              </w:rPr>
              <w:t xml:space="preserve"> is</w:t>
            </w:r>
            <w:r w:rsidRPr="00156DA1" w:rsidR="0002701F">
              <w:rPr>
                <w:rFonts w:cstheme="minorHAnsi"/>
                <w:sz w:val="20"/>
                <w:szCs w:val="20"/>
              </w:rPr>
              <w:t xml:space="preserve"> true that the </w:t>
            </w:r>
            <w:r w:rsidRPr="00156DA1" w:rsidR="00DD79B0">
              <w:rPr>
                <w:rFonts w:cstheme="minorHAnsi"/>
                <w:sz w:val="20"/>
                <w:szCs w:val="20"/>
              </w:rPr>
              <w:t xml:space="preserve">words “agreement to pay” are used in the context of the TEACH Grant Program, </w:t>
            </w:r>
            <w:r w:rsidRPr="00156DA1" w:rsidR="00D81BA5">
              <w:rPr>
                <w:rFonts w:cstheme="minorHAnsi"/>
                <w:sz w:val="20"/>
                <w:szCs w:val="20"/>
              </w:rPr>
              <w:t xml:space="preserve">the term “Agreement to Serve or Repay” is established in the TEACH Grant regulations. </w:t>
            </w:r>
          </w:p>
        </w:tc>
        <w:tc>
          <w:tcPr>
            <w:tcW w:w="969" w:type="dxa"/>
          </w:tcPr>
          <w:p w:rsidR="00156DA1" w:rsidRPr="00156DA1" w:rsidP="001A6827" w14:paraId="2FAE3862" w14:textId="5F1245E6">
            <w:pPr>
              <w:spacing w:after="80" w:line="276" w:lineRule="auto"/>
              <w:rPr>
                <w:rFonts w:cstheme="minorHAnsi"/>
                <w:sz w:val="20"/>
                <w:szCs w:val="20"/>
              </w:rPr>
            </w:pPr>
            <w:r w:rsidRPr="00156DA1">
              <w:rPr>
                <w:rFonts w:cstheme="minorHAnsi"/>
                <w:sz w:val="20"/>
                <w:szCs w:val="20"/>
              </w:rPr>
              <w:t>No</w:t>
            </w:r>
          </w:p>
        </w:tc>
      </w:tr>
      <w:tr w14:paraId="1479E70A" w14:textId="77777777" w:rsidTr="00953A2E">
        <w:tblPrEx>
          <w:tblW w:w="13860" w:type="dxa"/>
          <w:tblInd w:w="-455" w:type="dxa"/>
          <w:tblLayout w:type="fixed"/>
          <w:tblLook w:val="04A0"/>
        </w:tblPrEx>
        <w:tc>
          <w:tcPr>
            <w:tcW w:w="1100" w:type="dxa"/>
          </w:tcPr>
          <w:p w:rsidR="00160707" w:rsidRPr="00156DA1" w:rsidP="00921BCA" w14:paraId="7D4E0AD3" w14:textId="77777777">
            <w:pPr>
              <w:pStyle w:val="ListParagraph"/>
              <w:numPr>
                <w:ilvl w:val="0"/>
                <w:numId w:val="4"/>
              </w:numPr>
              <w:spacing w:after="80" w:line="276" w:lineRule="auto"/>
              <w:rPr>
                <w:rFonts w:cstheme="minorHAnsi"/>
                <w:color w:val="000000"/>
                <w:sz w:val="20"/>
                <w:szCs w:val="20"/>
              </w:rPr>
            </w:pPr>
          </w:p>
        </w:tc>
        <w:tc>
          <w:tcPr>
            <w:tcW w:w="1286" w:type="dxa"/>
          </w:tcPr>
          <w:p w:rsidR="00160707" w:rsidRPr="00156DA1" w:rsidP="00921BCA" w14:paraId="3602365E" w14:textId="421E8D9A">
            <w:pPr>
              <w:spacing w:after="80" w:line="276" w:lineRule="auto"/>
              <w:rPr>
                <w:rFonts w:cstheme="minorHAnsi"/>
                <w:sz w:val="20"/>
                <w:szCs w:val="20"/>
              </w:rPr>
            </w:pPr>
            <w:r w:rsidRPr="00156DA1">
              <w:rPr>
                <w:rFonts w:cstheme="minorHAnsi"/>
                <w:sz w:val="20"/>
                <w:szCs w:val="20"/>
              </w:rPr>
              <w:t>NASFAA</w:t>
            </w:r>
          </w:p>
        </w:tc>
        <w:tc>
          <w:tcPr>
            <w:tcW w:w="5252" w:type="dxa"/>
          </w:tcPr>
          <w:p w:rsidR="00160707" w:rsidRPr="00156DA1" w:rsidP="00921BCA" w14:paraId="0DEC756A" w14:textId="20A825DA">
            <w:pPr>
              <w:spacing w:after="80" w:line="276" w:lineRule="auto"/>
              <w:rPr>
                <w:rFonts w:cstheme="minorHAnsi"/>
                <w:color w:val="000000"/>
                <w:sz w:val="20"/>
                <w:szCs w:val="20"/>
              </w:rPr>
            </w:pPr>
            <w:r w:rsidRPr="00156DA1">
              <w:rPr>
                <w:rFonts w:cstheme="minorHAnsi"/>
                <w:sz w:val="20"/>
                <w:szCs w:val="20"/>
              </w:rPr>
              <w:t xml:space="preserve">We would also suggest using the term "loan origination fees" instead of "loan fees" in the MPN language. The term “origination fee” is commonly used on institutions' financial aid offers and financial aid websites, making it more familiar to borrowers. Using consistent and widely recognized terms helps ensure that borrowers fully understand the fees associated with their loans, reducing </w:t>
            </w:r>
            <w:r w:rsidRPr="00156DA1">
              <w:rPr>
                <w:rFonts w:cstheme="minorHAnsi"/>
                <w:sz w:val="20"/>
                <w:szCs w:val="20"/>
              </w:rPr>
              <w:t>confusion</w:t>
            </w:r>
            <w:r w:rsidRPr="00156DA1">
              <w:rPr>
                <w:rFonts w:cstheme="minorHAnsi"/>
                <w:sz w:val="20"/>
                <w:szCs w:val="20"/>
              </w:rPr>
              <w:t xml:space="preserve"> and promoting transparency. Aligning the MPN language with the terminology used in other financial aid communications can further improve the overall effectiveness of the document. Including a link that further explains how the origination fee works could also effectively reduce confusion and supply additional information to borrower</w:t>
            </w:r>
            <w:r w:rsidRPr="00156DA1" w:rsidR="00970399">
              <w:rPr>
                <w:rFonts w:cstheme="minorHAnsi"/>
                <w:sz w:val="20"/>
                <w:szCs w:val="20"/>
              </w:rPr>
              <w:t>s.</w:t>
            </w:r>
          </w:p>
        </w:tc>
        <w:tc>
          <w:tcPr>
            <w:tcW w:w="5253" w:type="dxa"/>
          </w:tcPr>
          <w:p w:rsidR="00160707" w:rsidRPr="00156DA1" w:rsidP="00921BCA" w14:paraId="2FD6B462" w14:textId="77777777">
            <w:pPr>
              <w:spacing w:after="80" w:line="276" w:lineRule="auto"/>
              <w:rPr>
                <w:rFonts w:cstheme="minorHAnsi"/>
                <w:sz w:val="20"/>
                <w:szCs w:val="20"/>
              </w:rPr>
            </w:pPr>
            <w:r w:rsidRPr="00156DA1">
              <w:rPr>
                <w:rFonts w:cstheme="minorHAnsi"/>
                <w:sz w:val="20"/>
                <w:szCs w:val="20"/>
              </w:rPr>
              <w:t>The term “loan fee” mirrors the regulatory language in 34 CFR 685.</w:t>
            </w:r>
            <w:r w:rsidRPr="00156DA1" w:rsidR="00D903C5">
              <w:rPr>
                <w:rFonts w:cstheme="minorHAnsi"/>
                <w:sz w:val="20"/>
                <w:szCs w:val="20"/>
              </w:rPr>
              <w:t xml:space="preserve">202(c) and the statutory language in HEA section 455(c), though </w:t>
            </w:r>
            <w:r w:rsidRPr="00156DA1" w:rsidR="00F15970">
              <w:rPr>
                <w:rFonts w:cstheme="minorHAnsi"/>
                <w:sz w:val="20"/>
                <w:szCs w:val="20"/>
              </w:rPr>
              <w:t xml:space="preserve">the same section of the statute also uses the term “origination fee.” </w:t>
            </w:r>
            <w:r w:rsidRPr="00156DA1" w:rsidR="00EF257B">
              <w:rPr>
                <w:rFonts w:cstheme="minorHAnsi"/>
                <w:sz w:val="20"/>
                <w:szCs w:val="20"/>
              </w:rPr>
              <w:t xml:space="preserve">The disclosure statements that </w:t>
            </w:r>
            <w:r w:rsidRPr="00156DA1" w:rsidR="00CD19B1">
              <w:rPr>
                <w:rFonts w:cstheme="minorHAnsi"/>
                <w:sz w:val="20"/>
                <w:szCs w:val="20"/>
              </w:rPr>
              <w:t xml:space="preserve">the Department sends to </w:t>
            </w:r>
            <w:r w:rsidRPr="00156DA1" w:rsidR="00EF257B">
              <w:rPr>
                <w:rFonts w:cstheme="minorHAnsi"/>
                <w:sz w:val="20"/>
                <w:szCs w:val="20"/>
              </w:rPr>
              <w:t xml:space="preserve">borrowers </w:t>
            </w:r>
            <w:r w:rsidRPr="00156DA1" w:rsidR="006B015C">
              <w:rPr>
                <w:rFonts w:cstheme="minorHAnsi"/>
                <w:sz w:val="20"/>
                <w:szCs w:val="20"/>
              </w:rPr>
              <w:t xml:space="preserve">notifying them of anticipated loan disbursements </w:t>
            </w:r>
            <w:r w:rsidRPr="00156DA1" w:rsidR="00EF257B">
              <w:rPr>
                <w:rFonts w:cstheme="minorHAnsi"/>
                <w:sz w:val="20"/>
                <w:szCs w:val="20"/>
              </w:rPr>
              <w:t xml:space="preserve">use the term </w:t>
            </w:r>
            <w:r w:rsidRPr="00156DA1" w:rsidR="006B015C">
              <w:rPr>
                <w:rFonts w:cstheme="minorHAnsi"/>
                <w:sz w:val="20"/>
                <w:szCs w:val="20"/>
              </w:rPr>
              <w:t xml:space="preserve">“loan fee.” </w:t>
            </w:r>
            <w:r w:rsidRPr="00156DA1" w:rsidR="0042308E">
              <w:rPr>
                <w:rFonts w:cstheme="minorHAnsi"/>
                <w:sz w:val="20"/>
                <w:szCs w:val="20"/>
              </w:rPr>
              <w:t xml:space="preserve">However, </w:t>
            </w:r>
            <w:r w:rsidRPr="00156DA1" w:rsidR="00D82FFC">
              <w:rPr>
                <w:rFonts w:cstheme="minorHAnsi"/>
                <w:sz w:val="20"/>
                <w:szCs w:val="20"/>
              </w:rPr>
              <w:t xml:space="preserve">we agree </w:t>
            </w:r>
            <w:r w:rsidRPr="00156DA1" w:rsidR="00976EE9">
              <w:rPr>
                <w:rFonts w:cstheme="minorHAnsi"/>
                <w:sz w:val="20"/>
                <w:szCs w:val="20"/>
              </w:rPr>
              <w:t xml:space="preserve">that it would be helpful to </w:t>
            </w:r>
            <w:r w:rsidRPr="00156DA1" w:rsidR="0042308E">
              <w:rPr>
                <w:rFonts w:cstheme="minorHAnsi"/>
                <w:sz w:val="20"/>
                <w:szCs w:val="20"/>
              </w:rPr>
              <w:t xml:space="preserve">inform borrowers that this fee may also be called an “origination fee.” </w:t>
            </w:r>
            <w:r w:rsidRPr="00156DA1" w:rsidR="007402FB">
              <w:rPr>
                <w:rFonts w:cstheme="minorHAnsi"/>
                <w:sz w:val="20"/>
                <w:szCs w:val="20"/>
              </w:rPr>
              <w:t xml:space="preserve">We will revise the text in the MPN accordingly. </w:t>
            </w:r>
          </w:p>
          <w:p w:rsidR="008B6D6A" w:rsidRPr="00156DA1" w:rsidP="00921BCA" w14:paraId="43611F00" w14:textId="4944F81E">
            <w:pPr>
              <w:spacing w:after="80" w:line="276" w:lineRule="auto"/>
              <w:rPr>
                <w:rFonts w:cstheme="minorHAnsi"/>
                <w:sz w:val="20"/>
                <w:szCs w:val="20"/>
              </w:rPr>
            </w:pPr>
            <w:r w:rsidRPr="00156DA1">
              <w:rPr>
                <w:rFonts w:cstheme="minorHAnsi"/>
                <w:sz w:val="20"/>
                <w:szCs w:val="20"/>
              </w:rPr>
              <w:t xml:space="preserve">With regard to the suggestion to include a link that further explains how the origination fee works, </w:t>
            </w:r>
            <w:r w:rsidRPr="00156DA1" w:rsidR="00466E83">
              <w:rPr>
                <w:rFonts w:cstheme="minorHAnsi"/>
                <w:sz w:val="20"/>
                <w:szCs w:val="20"/>
              </w:rPr>
              <w:t>we believe t</w:t>
            </w:r>
            <w:r w:rsidRPr="00156DA1" w:rsidR="00304D1E">
              <w:rPr>
                <w:rFonts w:cstheme="minorHAnsi"/>
                <w:sz w:val="20"/>
                <w:szCs w:val="20"/>
              </w:rPr>
              <w:t xml:space="preserve">his is adequately covered by the current MPN text and the disclosure statements </w:t>
            </w:r>
            <w:r w:rsidRPr="00156DA1" w:rsidR="00CB3A34">
              <w:rPr>
                <w:rFonts w:cstheme="minorHAnsi"/>
                <w:sz w:val="20"/>
                <w:szCs w:val="20"/>
              </w:rPr>
              <w:t xml:space="preserve">(see above) </w:t>
            </w:r>
            <w:r w:rsidRPr="00156DA1" w:rsidR="00304D1E">
              <w:rPr>
                <w:rFonts w:cstheme="minorHAnsi"/>
                <w:sz w:val="20"/>
                <w:szCs w:val="20"/>
              </w:rPr>
              <w:t xml:space="preserve">that are </w:t>
            </w:r>
            <w:r w:rsidRPr="00156DA1" w:rsidR="00CB3A34">
              <w:rPr>
                <w:rFonts w:cstheme="minorHAnsi"/>
                <w:sz w:val="20"/>
                <w:szCs w:val="20"/>
              </w:rPr>
              <w:t xml:space="preserve">sent to borrowers. </w:t>
            </w:r>
            <w:r w:rsidRPr="00156DA1" w:rsidR="000C260A">
              <w:rPr>
                <w:rFonts w:cstheme="minorHAnsi"/>
                <w:sz w:val="20"/>
                <w:szCs w:val="20"/>
              </w:rPr>
              <w:t xml:space="preserve">The disclosure statements show the gross loan amount, the amount of the loan fee that is subtracted from that amount, and the resulting net </w:t>
            </w:r>
            <w:r w:rsidRPr="00156DA1" w:rsidR="00FA4FEC">
              <w:rPr>
                <w:rFonts w:cstheme="minorHAnsi"/>
                <w:sz w:val="20"/>
                <w:szCs w:val="20"/>
              </w:rPr>
              <w:t xml:space="preserve">loan amount that will be disbursed to the borrower. </w:t>
            </w:r>
          </w:p>
        </w:tc>
        <w:tc>
          <w:tcPr>
            <w:tcW w:w="969" w:type="dxa"/>
          </w:tcPr>
          <w:p w:rsidR="00160707" w:rsidRPr="00156DA1" w:rsidP="00921BCA" w14:paraId="7FEF2561" w14:textId="4390F9E1">
            <w:pPr>
              <w:spacing w:after="80" w:line="276" w:lineRule="auto"/>
              <w:rPr>
                <w:rFonts w:cstheme="minorHAnsi"/>
                <w:sz w:val="20"/>
                <w:szCs w:val="20"/>
              </w:rPr>
            </w:pPr>
            <w:r w:rsidRPr="00156DA1">
              <w:rPr>
                <w:rFonts w:cstheme="minorHAnsi"/>
                <w:sz w:val="20"/>
                <w:szCs w:val="20"/>
              </w:rPr>
              <w:t>Yes</w:t>
            </w:r>
            <w:r w:rsidRPr="00156DA1">
              <w:rPr>
                <w:rFonts w:cstheme="minorHAnsi"/>
                <w:sz w:val="20"/>
                <w:szCs w:val="20"/>
              </w:rPr>
              <w:br/>
              <w:t>(form)</w:t>
            </w:r>
          </w:p>
        </w:tc>
      </w:tr>
      <w:tr w14:paraId="6283006E" w14:textId="77777777" w:rsidTr="00953A2E">
        <w:tblPrEx>
          <w:tblW w:w="13860" w:type="dxa"/>
          <w:tblInd w:w="-455" w:type="dxa"/>
          <w:tblLayout w:type="fixed"/>
          <w:tblLook w:val="04A0"/>
        </w:tblPrEx>
        <w:tc>
          <w:tcPr>
            <w:tcW w:w="1100" w:type="dxa"/>
          </w:tcPr>
          <w:p w:rsidR="00160707" w:rsidRPr="00156DA1" w:rsidP="00921BCA" w14:paraId="58354F2A" w14:textId="77777777">
            <w:pPr>
              <w:pStyle w:val="ListParagraph"/>
              <w:numPr>
                <w:ilvl w:val="0"/>
                <w:numId w:val="4"/>
              </w:numPr>
              <w:spacing w:after="80" w:line="276" w:lineRule="auto"/>
              <w:rPr>
                <w:rFonts w:cstheme="minorHAnsi"/>
                <w:color w:val="000000"/>
                <w:sz w:val="20"/>
                <w:szCs w:val="20"/>
              </w:rPr>
            </w:pPr>
          </w:p>
        </w:tc>
        <w:tc>
          <w:tcPr>
            <w:tcW w:w="1286" w:type="dxa"/>
          </w:tcPr>
          <w:p w:rsidR="00160707" w:rsidRPr="00156DA1" w:rsidP="00921BCA" w14:paraId="102AF4CC" w14:textId="2464CA2D">
            <w:pPr>
              <w:spacing w:after="80" w:line="276" w:lineRule="auto"/>
              <w:rPr>
                <w:rFonts w:cstheme="minorHAnsi"/>
                <w:sz w:val="20"/>
                <w:szCs w:val="20"/>
              </w:rPr>
            </w:pPr>
            <w:r w:rsidRPr="00156DA1">
              <w:rPr>
                <w:rFonts w:cstheme="minorHAnsi"/>
                <w:sz w:val="20"/>
                <w:szCs w:val="20"/>
              </w:rPr>
              <w:t>NASFAA</w:t>
            </w:r>
          </w:p>
        </w:tc>
        <w:tc>
          <w:tcPr>
            <w:tcW w:w="5252" w:type="dxa"/>
          </w:tcPr>
          <w:p w:rsidR="00160707" w:rsidRPr="00156DA1" w:rsidP="00921BCA" w14:paraId="5AFDF739" w14:textId="293E3437">
            <w:pPr>
              <w:spacing w:after="80" w:line="276" w:lineRule="auto"/>
              <w:rPr>
                <w:rFonts w:cstheme="minorHAnsi"/>
                <w:sz w:val="20"/>
                <w:szCs w:val="20"/>
              </w:rPr>
            </w:pPr>
            <w:r w:rsidRPr="00156DA1">
              <w:rPr>
                <w:rFonts w:cstheme="minorHAnsi"/>
                <w:sz w:val="20"/>
                <w:szCs w:val="20"/>
              </w:rPr>
              <w:t>We are pleased to see that the department has consolidated the “Terms and Conditions” and “Borrowers’ Rights and Responsibilities” sections into one comprehensive section. This update greatly enhances clarity and understanding by presenting critical information in a more streamlined and accessible format, reducing the likelihood of confusion or misinterpretation. Additionally, eliminating duplicative text makes the document more efficient and user-friendly, decreasing the likelihood that borrowers will overlook important information.</w:t>
            </w:r>
          </w:p>
        </w:tc>
        <w:tc>
          <w:tcPr>
            <w:tcW w:w="5253" w:type="dxa"/>
          </w:tcPr>
          <w:p w:rsidR="00160707" w:rsidRPr="00156DA1" w:rsidP="00921BCA" w14:paraId="5C0219A0" w14:textId="413734BA">
            <w:pPr>
              <w:spacing w:after="80" w:line="276" w:lineRule="auto"/>
              <w:rPr>
                <w:rFonts w:cstheme="minorHAnsi"/>
                <w:sz w:val="20"/>
                <w:szCs w:val="20"/>
              </w:rPr>
            </w:pPr>
            <w:r w:rsidRPr="00156DA1">
              <w:rPr>
                <w:rFonts w:cstheme="minorHAnsi"/>
                <w:sz w:val="20"/>
                <w:szCs w:val="20"/>
              </w:rPr>
              <w:t xml:space="preserve">We appreciate the support for this change. </w:t>
            </w:r>
          </w:p>
        </w:tc>
        <w:tc>
          <w:tcPr>
            <w:tcW w:w="969" w:type="dxa"/>
          </w:tcPr>
          <w:p w:rsidR="00160707" w:rsidRPr="00156DA1" w:rsidP="00921BCA" w14:paraId="579DF9BF" w14:textId="41E074AD">
            <w:pPr>
              <w:spacing w:after="80" w:line="276" w:lineRule="auto"/>
              <w:rPr>
                <w:rFonts w:cstheme="minorHAnsi"/>
                <w:sz w:val="20"/>
                <w:szCs w:val="20"/>
              </w:rPr>
            </w:pPr>
            <w:r w:rsidRPr="00156DA1">
              <w:rPr>
                <w:rFonts w:cstheme="minorHAnsi"/>
                <w:sz w:val="20"/>
                <w:szCs w:val="20"/>
              </w:rPr>
              <w:t>No</w:t>
            </w:r>
          </w:p>
        </w:tc>
      </w:tr>
      <w:tr w14:paraId="5FDBA9EE" w14:textId="77777777" w:rsidTr="00953A2E">
        <w:tblPrEx>
          <w:tblW w:w="13860" w:type="dxa"/>
          <w:tblInd w:w="-455" w:type="dxa"/>
          <w:tblLayout w:type="fixed"/>
          <w:tblLook w:val="04A0"/>
        </w:tblPrEx>
        <w:tc>
          <w:tcPr>
            <w:tcW w:w="1100" w:type="dxa"/>
          </w:tcPr>
          <w:p w:rsidR="00353A7F" w:rsidRPr="00156DA1" w:rsidP="00921BCA" w14:paraId="399FC14B" w14:textId="77777777">
            <w:pPr>
              <w:pStyle w:val="ListParagraph"/>
              <w:numPr>
                <w:ilvl w:val="0"/>
                <w:numId w:val="4"/>
              </w:numPr>
              <w:spacing w:after="80" w:line="276" w:lineRule="auto"/>
              <w:rPr>
                <w:rFonts w:cstheme="minorHAnsi"/>
                <w:color w:val="000000"/>
                <w:sz w:val="20"/>
                <w:szCs w:val="20"/>
              </w:rPr>
            </w:pPr>
          </w:p>
        </w:tc>
        <w:tc>
          <w:tcPr>
            <w:tcW w:w="1286" w:type="dxa"/>
          </w:tcPr>
          <w:p w:rsidR="00353A7F" w:rsidRPr="00156DA1" w:rsidP="00921BCA" w14:paraId="40C72759" w14:textId="059CAC5D">
            <w:pPr>
              <w:spacing w:after="80" w:line="276" w:lineRule="auto"/>
              <w:rPr>
                <w:rFonts w:cstheme="minorHAnsi"/>
                <w:sz w:val="20"/>
                <w:szCs w:val="20"/>
              </w:rPr>
            </w:pPr>
            <w:r w:rsidRPr="00156DA1">
              <w:rPr>
                <w:rFonts w:cstheme="minorHAnsi"/>
                <w:sz w:val="20"/>
                <w:szCs w:val="20"/>
              </w:rPr>
              <w:t>NASFAA</w:t>
            </w:r>
          </w:p>
        </w:tc>
        <w:tc>
          <w:tcPr>
            <w:tcW w:w="5252" w:type="dxa"/>
          </w:tcPr>
          <w:p w:rsidR="00353A7F" w:rsidRPr="00156DA1" w:rsidP="00921BCA" w14:paraId="333D57A7" w14:textId="34A6EF11">
            <w:pPr>
              <w:spacing w:after="80" w:line="276" w:lineRule="auto"/>
              <w:rPr>
                <w:rFonts w:cstheme="minorHAnsi"/>
                <w:sz w:val="20"/>
                <w:szCs w:val="20"/>
              </w:rPr>
            </w:pPr>
            <w:r w:rsidRPr="00156DA1">
              <w:rPr>
                <w:rFonts w:cstheme="minorHAnsi"/>
                <w:sz w:val="20"/>
                <w:szCs w:val="20"/>
              </w:rPr>
              <w:t xml:space="preserve">Related, the department’s decision to provide instructions on a question-by-question basis as the borrower completes the </w:t>
            </w:r>
            <w:r w:rsidRPr="00156DA1">
              <w:rPr>
                <w:rFonts w:cstheme="minorHAnsi"/>
                <w:sz w:val="20"/>
                <w:szCs w:val="20"/>
              </w:rPr>
              <w:t>document should reduce the risk of misinterpretation, ensuring greater accuracy and comprehension. We applaud this change.</w:t>
            </w:r>
          </w:p>
        </w:tc>
        <w:tc>
          <w:tcPr>
            <w:tcW w:w="5253" w:type="dxa"/>
          </w:tcPr>
          <w:p w:rsidR="00353A7F" w:rsidRPr="00156DA1" w:rsidP="00921BCA" w14:paraId="53585EBC" w14:textId="78DB8B12">
            <w:pPr>
              <w:spacing w:after="80" w:line="276" w:lineRule="auto"/>
              <w:rPr>
                <w:rFonts w:cstheme="minorHAnsi"/>
                <w:sz w:val="20"/>
                <w:szCs w:val="20"/>
              </w:rPr>
            </w:pPr>
            <w:r w:rsidRPr="00156DA1">
              <w:rPr>
                <w:rFonts w:cstheme="minorHAnsi"/>
                <w:sz w:val="20"/>
                <w:szCs w:val="20"/>
              </w:rPr>
              <w:t xml:space="preserve">We appreciate the support for this change. </w:t>
            </w:r>
          </w:p>
        </w:tc>
        <w:tc>
          <w:tcPr>
            <w:tcW w:w="969" w:type="dxa"/>
          </w:tcPr>
          <w:p w:rsidR="00353A7F" w:rsidRPr="00156DA1" w:rsidP="00921BCA" w14:paraId="00372D90" w14:textId="0FCDE90D">
            <w:pPr>
              <w:spacing w:after="80" w:line="276" w:lineRule="auto"/>
              <w:rPr>
                <w:rFonts w:cstheme="minorHAnsi"/>
                <w:sz w:val="20"/>
                <w:szCs w:val="20"/>
              </w:rPr>
            </w:pPr>
            <w:r w:rsidRPr="00156DA1">
              <w:rPr>
                <w:rFonts w:cstheme="minorHAnsi"/>
                <w:sz w:val="20"/>
                <w:szCs w:val="20"/>
              </w:rPr>
              <w:t>No</w:t>
            </w:r>
          </w:p>
        </w:tc>
      </w:tr>
      <w:tr w14:paraId="765BDD04" w14:textId="77777777" w:rsidTr="00953A2E">
        <w:tblPrEx>
          <w:tblW w:w="13860" w:type="dxa"/>
          <w:tblInd w:w="-455" w:type="dxa"/>
          <w:tblLayout w:type="fixed"/>
          <w:tblLook w:val="04A0"/>
        </w:tblPrEx>
        <w:tc>
          <w:tcPr>
            <w:tcW w:w="1100" w:type="dxa"/>
          </w:tcPr>
          <w:p w:rsidR="003E2F44" w:rsidRPr="00156DA1" w:rsidP="00921BCA" w14:paraId="0F9A82B9" w14:textId="77777777">
            <w:pPr>
              <w:pStyle w:val="ListParagraph"/>
              <w:numPr>
                <w:ilvl w:val="0"/>
                <w:numId w:val="4"/>
              </w:numPr>
              <w:spacing w:after="80" w:line="276" w:lineRule="auto"/>
              <w:rPr>
                <w:rFonts w:cstheme="minorHAnsi"/>
                <w:color w:val="000000"/>
                <w:sz w:val="20"/>
                <w:szCs w:val="20"/>
              </w:rPr>
            </w:pPr>
          </w:p>
        </w:tc>
        <w:tc>
          <w:tcPr>
            <w:tcW w:w="1286" w:type="dxa"/>
          </w:tcPr>
          <w:p w:rsidR="003E2F44" w:rsidRPr="00156DA1" w:rsidP="00921BCA" w14:paraId="3595AA6E" w14:textId="3EFA210E">
            <w:pPr>
              <w:spacing w:after="80" w:line="276" w:lineRule="auto"/>
              <w:rPr>
                <w:rFonts w:cstheme="minorHAnsi"/>
                <w:sz w:val="20"/>
                <w:szCs w:val="20"/>
              </w:rPr>
            </w:pPr>
            <w:r w:rsidRPr="00156DA1">
              <w:rPr>
                <w:rFonts w:cstheme="minorHAnsi"/>
                <w:sz w:val="20"/>
                <w:szCs w:val="20"/>
                <w:shd w:val="clear" w:color="auto" w:fill="FFFFFF"/>
              </w:rPr>
              <w:t>Alicia Watson</w:t>
            </w:r>
          </w:p>
        </w:tc>
        <w:tc>
          <w:tcPr>
            <w:tcW w:w="5252" w:type="dxa"/>
          </w:tcPr>
          <w:p w:rsidR="003E2F44" w:rsidRPr="00156DA1" w:rsidP="00921BCA" w14:paraId="49B812C8" w14:textId="3B3AE615">
            <w:pPr>
              <w:spacing w:after="80" w:line="276" w:lineRule="auto"/>
              <w:rPr>
                <w:rFonts w:cstheme="minorHAnsi"/>
                <w:sz w:val="20"/>
                <w:szCs w:val="20"/>
              </w:rPr>
            </w:pPr>
            <w:r w:rsidRPr="00156DA1">
              <w:rPr>
                <w:rFonts w:cstheme="minorHAnsi"/>
                <w:color w:val="333333"/>
                <w:sz w:val="20"/>
                <w:szCs w:val="20"/>
                <w:shd w:val="clear" w:color="auto" w:fill="FFFFFF"/>
              </w:rPr>
              <w:t xml:space="preserve">I had received this forgiveness before COVID and as soon as the reinstatement of loans </w:t>
            </w:r>
            <w:r w:rsidRPr="00156DA1">
              <w:rPr>
                <w:rFonts w:cstheme="minorHAnsi"/>
                <w:color w:val="333333"/>
                <w:sz w:val="20"/>
                <w:szCs w:val="20"/>
                <w:shd w:val="clear" w:color="auto" w:fill="FFFFFF"/>
              </w:rPr>
              <w:t>began</w:t>
            </w:r>
            <w:r w:rsidRPr="00156DA1">
              <w:rPr>
                <w:rFonts w:cstheme="minorHAnsi"/>
                <w:color w:val="333333"/>
                <w:sz w:val="20"/>
                <w:szCs w:val="20"/>
                <w:shd w:val="clear" w:color="auto" w:fill="FFFFFF"/>
              </w:rPr>
              <w:t xml:space="preserve"> I received letters that I must pay? Why did the forgiveness not continue as I already was qualified to receive it? I have no idea who to contact as to how to get this resolved.</w:t>
            </w:r>
          </w:p>
        </w:tc>
        <w:tc>
          <w:tcPr>
            <w:tcW w:w="5253" w:type="dxa"/>
          </w:tcPr>
          <w:p w:rsidR="007A0760" w:rsidRPr="00156DA1" w:rsidP="00921BCA" w14:paraId="35B54DCF" w14:textId="7B42A1FF">
            <w:pPr>
              <w:spacing w:after="80" w:line="276" w:lineRule="auto"/>
              <w:rPr>
                <w:rFonts w:cstheme="minorHAnsi"/>
                <w:sz w:val="20"/>
                <w:szCs w:val="20"/>
              </w:rPr>
            </w:pPr>
            <w:r w:rsidRPr="00156DA1">
              <w:rPr>
                <w:rFonts w:cstheme="minorHAnsi"/>
                <w:sz w:val="20"/>
                <w:szCs w:val="20"/>
              </w:rPr>
              <w:t xml:space="preserve">This comment does not appear to be relevant to the information collection. </w:t>
            </w:r>
          </w:p>
        </w:tc>
        <w:tc>
          <w:tcPr>
            <w:tcW w:w="969" w:type="dxa"/>
          </w:tcPr>
          <w:p w:rsidR="003E2F44" w:rsidRPr="00156DA1" w:rsidP="00921BCA" w14:paraId="0776DF29" w14:textId="2D83363B">
            <w:pPr>
              <w:spacing w:after="80" w:line="276" w:lineRule="auto"/>
              <w:rPr>
                <w:rFonts w:cstheme="minorHAnsi"/>
                <w:sz w:val="20"/>
                <w:szCs w:val="20"/>
              </w:rPr>
            </w:pPr>
            <w:r w:rsidRPr="00156DA1">
              <w:rPr>
                <w:rFonts w:cstheme="minorHAnsi"/>
                <w:sz w:val="20"/>
                <w:szCs w:val="20"/>
              </w:rPr>
              <w:t>No</w:t>
            </w:r>
          </w:p>
        </w:tc>
      </w:tr>
      <w:tr w14:paraId="0680E238" w14:textId="77777777" w:rsidTr="00953A2E">
        <w:tblPrEx>
          <w:tblW w:w="13860" w:type="dxa"/>
          <w:tblInd w:w="-455" w:type="dxa"/>
          <w:tblLayout w:type="fixed"/>
          <w:tblLook w:val="04A0"/>
        </w:tblPrEx>
        <w:tc>
          <w:tcPr>
            <w:tcW w:w="1100" w:type="dxa"/>
          </w:tcPr>
          <w:p w:rsidR="003E2F44" w:rsidRPr="00156DA1" w:rsidP="00921BCA" w14:paraId="1D2F07CB" w14:textId="77777777">
            <w:pPr>
              <w:pStyle w:val="ListParagraph"/>
              <w:numPr>
                <w:ilvl w:val="0"/>
                <w:numId w:val="4"/>
              </w:numPr>
              <w:spacing w:after="80" w:line="276" w:lineRule="auto"/>
              <w:rPr>
                <w:rFonts w:cstheme="minorHAnsi"/>
                <w:color w:val="000000"/>
                <w:sz w:val="20"/>
                <w:szCs w:val="20"/>
              </w:rPr>
            </w:pPr>
          </w:p>
        </w:tc>
        <w:tc>
          <w:tcPr>
            <w:tcW w:w="1286" w:type="dxa"/>
          </w:tcPr>
          <w:p w:rsidR="003E2F44" w:rsidRPr="00156DA1" w:rsidP="00921BCA" w14:paraId="304AC366" w14:textId="343F046A">
            <w:pPr>
              <w:spacing w:after="80" w:line="276" w:lineRule="auto"/>
              <w:rPr>
                <w:rFonts w:cstheme="minorHAnsi"/>
                <w:sz w:val="20"/>
                <w:szCs w:val="20"/>
              </w:rPr>
            </w:pPr>
            <w:r w:rsidRPr="00156DA1">
              <w:rPr>
                <w:rFonts w:cstheme="minorHAnsi"/>
                <w:sz w:val="20"/>
                <w:szCs w:val="20"/>
                <w:shd w:val="clear" w:color="auto" w:fill="FFFFFF"/>
              </w:rPr>
              <w:t>The Hope Center at Temple University</w:t>
            </w:r>
          </w:p>
        </w:tc>
        <w:tc>
          <w:tcPr>
            <w:tcW w:w="5252" w:type="dxa"/>
          </w:tcPr>
          <w:p w:rsidR="00B23724" w:rsidRPr="00156DA1" w:rsidP="00921BCA" w14:paraId="19E395D4" w14:textId="77777777">
            <w:pPr>
              <w:spacing w:after="80" w:line="276" w:lineRule="auto"/>
              <w:rPr>
                <w:rFonts w:cstheme="minorHAnsi"/>
                <w:color w:val="333333"/>
                <w:sz w:val="20"/>
                <w:szCs w:val="20"/>
                <w:shd w:val="clear" w:color="auto" w:fill="FFFFFF"/>
              </w:rPr>
            </w:pPr>
            <w:r w:rsidRPr="00156DA1">
              <w:rPr>
                <w:rFonts w:cstheme="minorHAnsi"/>
                <w:color w:val="333333"/>
                <w:sz w:val="20"/>
                <w:szCs w:val="20"/>
                <w:shd w:val="clear" w:color="auto" w:fill="FFFFFF"/>
              </w:rPr>
              <w:t>We believe the term MPN is unfamiliar to students and can create confusion or fear among first-generation students or those without significant college information.</w:t>
            </w:r>
          </w:p>
          <w:p w:rsidR="00B23724" w:rsidRPr="00156DA1" w:rsidP="00921BCA" w14:paraId="4AF79D9D" w14:textId="77777777">
            <w:pPr>
              <w:spacing w:after="80" w:line="276" w:lineRule="auto"/>
              <w:rPr>
                <w:rFonts w:cstheme="minorHAnsi"/>
                <w:color w:val="333333"/>
                <w:sz w:val="20"/>
                <w:szCs w:val="20"/>
                <w:shd w:val="clear" w:color="auto" w:fill="FFFFFF"/>
              </w:rPr>
            </w:pPr>
            <w:r w:rsidRPr="00156DA1">
              <w:rPr>
                <w:rFonts w:cstheme="minorHAnsi"/>
                <w:color w:val="333333"/>
                <w:sz w:val="20"/>
                <w:szCs w:val="20"/>
                <w:shd w:val="clear" w:color="auto" w:fill="FFFFFF"/>
              </w:rPr>
              <w:t>Since the HEA does not require the use of the term MPN, we recommend ED switch to a student-friendly term that is more closely aligned with common consumer loan applications.</w:t>
            </w:r>
          </w:p>
          <w:p w:rsidR="003E2F44" w:rsidRPr="00156DA1" w:rsidP="00921BCA" w14:paraId="3F36F2ED" w14:textId="18666156">
            <w:pPr>
              <w:spacing w:after="80" w:line="276" w:lineRule="auto"/>
              <w:rPr>
                <w:rFonts w:cstheme="minorHAnsi"/>
                <w:sz w:val="20"/>
                <w:szCs w:val="20"/>
              </w:rPr>
            </w:pPr>
            <w:r w:rsidRPr="00156DA1">
              <w:rPr>
                <w:rFonts w:cstheme="minorHAnsi"/>
                <w:color w:val="333333"/>
                <w:sz w:val="20"/>
                <w:szCs w:val="20"/>
                <w:shd w:val="clear" w:color="auto" w:fill="FFFFFF"/>
              </w:rPr>
              <w:t>This could be termed "Student Loan Agreement, "Agreement to Repay," or "Student Loan Application."</w:t>
            </w:r>
          </w:p>
        </w:tc>
        <w:tc>
          <w:tcPr>
            <w:tcW w:w="5253" w:type="dxa"/>
          </w:tcPr>
          <w:p w:rsidR="003E2F44" w:rsidRPr="00156DA1" w:rsidP="00921BCA" w14:paraId="3A1243E4" w14:textId="171B14D3">
            <w:pPr>
              <w:spacing w:after="80" w:line="276" w:lineRule="auto"/>
              <w:rPr>
                <w:rFonts w:cstheme="minorHAnsi"/>
                <w:sz w:val="20"/>
                <w:szCs w:val="20"/>
              </w:rPr>
            </w:pPr>
            <w:r w:rsidRPr="00156DA1">
              <w:rPr>
                <w:rFonts w:cstheme="minorHAnsi"/>
                <w:sz w:val="20"/>
                <w:szCs w:val="20"/>
              </w:rPr>
              <w:t xml:space="preserve">Both the HEA and the Direct Loan Program regulations specifically refer to the use of a “master promissory note” for the purpose of </w:t>
            </w:r>
            <w:r w:rsidRPr="00156DA1" w:rsidR="00797E4B">
              <w:rPr>
                <w:rFonts w:cstheme="minorHAnsi"/>
                <w:sz w:val="20"/>
                <w:szCs w:val="20"/>
              </w:rPr>
              <w:t>receiving a Direct Loan</w:t>
            </w:r>
            <w:r w:rsidRPr="00156DA1" w:rsidR="008308CC">
              <w:rPr>
                <w:rFonts w:cstheme="minorHAnsi"/>
                <w:sz w:val="20"/>
                <w:szCs w:val="20"/>
              </w:rPr>
              <w:t>, and the term “MPN” has be</w:t>
            </w:r>
            <w:r w:rsidRPr="00156DA1" w:rsidR="008E3A7E">
              <w:rPr>
                <w:rFonts w:cstheme="minorHAnsi"/>
                <w:sz w:val="20"/>
                <w:szCs w:val="20"/>
              </w:rPr>
              <w:t>en in use since</w:t>
            </w:r>
            <w:r w:rsidRPr="00156DA1" w:rsidR="00AE6788">
              <w:rPr>
                <w:rFonts w:cstheme="minorHAnsi"/>
                <w:sz w:val="20"/>
                <w:szCs w:val="20"/>
              </w:rPr>
              <w:t xml:space="preserve"> the master promissory note was first introduced more than 20 years ago</w:t>
            </w:r>
            <w:r w:rsidRPr="00156DA1" w:rsidR="00797E4B">
              <w:rPr>
                <w:rFonts w:cstheme="minorHAnsi"/>
                <w:sz w:val="20"/>
                <w:szCs w:val="20"/>
              </w:rPr>
              <w:t xml:space="preserve">. </w:t>
            </w:r>
            <w:r w:rsidRPr="00156DA1" w:rsidR="00636A96">
              <w:rPr>
                <w:rFonts w:cstheme="minorHAnsi"/>
                <w:sz w:val="20"/>
                <w:szCs w:val="20"/>
              </w:rPr>
              <w:t xml:space="preserve">By signing an MPN the borrower certifies that they have read and understood the terms of the MPN, and language in various places throughout the document makes it clear that the MPN is </w:t>
            </w:r>
            <w:r w:rsidRPr="00156DA1" w:rsidR="00B42D53">
              <w:rPr>
                <w:rFonts w:cstheme="minorHAnsi"/>
                <w:sz w:val="20"/>
                <w:szCs w:val="20"/>
              </w:rPr>
              <w:t xml:space="preserve">a promise to repay all loans made under the MPN. </w:t>
            </w:r>
            <w:r w:rsidRPr="00156DA1" w:rsidR="00AE6788">
              <w:rPr>
                <w:rFonts w:cstheme="minorHAnsi"/>
                <w:sz w:val="20"/>
                <w:szCs w:val="20"/>
              </w:rPr>
              <w:t>T</w:t>
            </w:r>
            <w:r w:rsidRPr="00156DA1" w:rsidR="002641AF">
              <w:rPr>
                <w:rFonts w:cstheme="minorHAnsi"/>
                <w:sz w:val="20"/>
                <w:szCs w:val="20"/>
              </w:rPr>
              <w:t>he great majority of borrowers complete and submit the MPN online at StudentAid.gov</w:t>
            </w:r>
            <w:r w:rsidRPr="00156DA1" w:rsidR="00334A7A">
              <w:rPr>
                <w:rFonts w:cstheme="minorHAnsi"/>
                <w:sz w:val="20"/>
                <w:szCs w:val="20"/>
              </w:rPr>
              <w:t>. L</w:t>
            </w:r>
            <w:r w:rsidRPr="00156DA1" w:rsidR="00232CD7">
              <w:rPr>
                <w:rFonts w:cstheme="minorHAnsi"/>
                <w:sz w:val="20"/>
                <w:szCs w:val="20"/>
              </w:rPr>
              <w:t xml:space="preserve">anguage on the </w:t>
            </w:r>
            <w:r w:rsidRPr="00156DA1" w:rsidR="00334A7A">
              <w:rPr>
                <w:rFonts w:cstheme="minorHAnsi"/>
                <w:sz w:val="20"/>
                <w:szCs w:val="20"/>
              </w:rPr>
              <w:t xml:space="preserve">StudentAid.gov </w:t>
            </w:r>
            <w:r w:rsidRPr="00156DA1" w:rsidR="006D1E68">
              <w:rPr>
                <w:rFonts w:cstheme="minorHAnsi"/>
                <w:sz w:val="20"/>
                <w:szCs w:val="20"/>
              </w:rPr>
              <w:t>MPN landing page prominently states that the MPN is “a legal document in which you promise to repay your loan(s) and any accrued interest and fees to the U.S. Department of Education. It also explains the terms and conditions of your loan(s).”</w:t>
            </w:r>
          </w:p>
        </w:tc>
        <w:tc>
          <w:tcPr>
            <w:tcW w:w="969" w:type="dxa"/>
          </w:tcPr>
          <w:p w:rsidR="003E2F44" w:rsidRPr="00156DA1" w:rsidP="00921BCA" w14:paraId="69C35AD7" w14:textId="0829A9D4">
            <w:pPr>
              <w:spacing w:after="80" w:line="276" w:lineRule="auto"/>
              <w:rPr>
                <w:rFonts w:cstheme="minorHAnsi"/>
                <w:sz w:val="20"/>
                <w:szCs w:val="20"/>
              </w:rPr>
            </w:pPr>
            <w:r w:rsidRPr="00156DA1">
              <w:rPr>
                <w:rFonts w:cstheme="minorHAnsi"/>
                <w:sz w:val="20"/>
                <w:szCs w:val="20"/>
              </w:rPr>
              <w:t>No</w:t>
            </w:r>
          </w:p>
        </w:tc>
      </w:tr>
      <w:tr w14:paraId="2A504F81" w14:textId="77777777" w:rsidTr="00953A2E">
        <w:tblPrEx>
          <w:tblW w:w="13860" w:type="dxa"/>
          <w:tblInd w:w="-455" w:type="dxa"/>
          <w:tblLayout w:type="fixed"/>
          <w:tblLook w:val="04A0"/>
        </w:tblPrEx>
        <w:tc>
          <w:tcPr>
            <w:tcW w:w="1100" w:type="dxa"/>
          </w:tcPr>
          <w:p w:rsidR="003E2F44" w:rsidRPr="00156DA1" w:rsidP="00921BCA" w14:paraId="4F140947" w14:textId="77777777">
            <w:pPr>
              <w:pStyle w:val="ListParagraph"/>
              <w:numPr>
                <w:ilvl w:val="0"/>
                <w:numId w:val="4"/>
              </w:numPr>
              <w:spacing w:after="80" w:line="276" w:lineRule="auto"/>
              <w:rPr>
                <w:rFonts w:cstheme="minorHAnsi"/>
                <w:color w:val="000000"/>
                <w:sz w:val="20"/>
                <w:szCs w:val="20"/>
              </w:rPr>
            </w:pPr>
          </w:p>
        </w:tc>
        <w:tc>
          <w:tcPr>
            <w:tcW w:w="1286" w:type="dxa"/>
          </w:tcPr>
          <w:p w:rsidR="003E2F44" w:rsidRPr="00156DA1" w:rsidP="00921BCA" w14:paraId="4EB4D331" w14:textId="6163BB1F">
            <w:pPr>
              <w:spacing w:after="80" w:line="276" w:lineRule="auto"/>
              <w:rPr>
                <w:rFonts w:cstheme="minorHAnsi"/>
                <w:sz w:val="20"/>
                <w:szCs w:val="20"/>
              </w:rPr>
            </w:pPr>
            <w:r w:rsidRPr="00156DA1">
              <w:rPr>
                <w:rFonts w:cstheme="minorHAnsi"/>
                <w:sz w:val="20"/>
                <w:szCs w:val="20"/>
                <w:shd w:val="clear" w:color="auto" w:fill="FFFFFF"/>
              </w:rPr>
              <w:t>The Hope Center at Temple University</w:t>
            </w:r>
          </w:p>
        </w:tc>
        <w:tc>
          <w:tcPr>
            <w:tcW w:w="5252" w:type="dxa"/>
          </w:tcPr>
          <w:p w:rsidR="009240CA" w:rsidRPr="00156DA1" w:rsidP="00921BCA" w14:paraId="2226F665" w14:textId="77777777">
            <w:pPr>
              <w:pStyle w:val="pf0"/>
              <w:spacing w:before="0" w:beforeAutospacing="0" w:after="80" w:afterAutospacing="0" w:line="276" w:lineRule="auto"/>
              <w:rPr>
                <w:rFonts w:asciiTheme="minorHAnsi" w:hAnsiTheme="minorHAnsi" w:cstheme="minorHAnsi"/>
                <w:sz w:val="20"/>
                <w:szCs w:val="20"/>
              </w:rPr>
            </w:pPr>
            <w:r w:rsidRPr="00156DA1">
              <w:rPr>
                <w:rStyle w:val="cf01"/>
                <w:rFonts w:asciiTheme="minorHAnsi" w:hAnsiTheme="minorHAnsi" w:cstheme="minorHAnsi"/>
                <w:sz w:val="20"/>
                <w:szCs w:val="20"/>
              </w:rPr>
              <w:t>Consideration should be given to students experiencing homelessness, who may not have a permanent OR mailing address.</w:t>
            </w:r>
          </w:p>
          <w:p w:rsidR="003E2F44" w:rsidRPr="00156DA1" w:rsidP="00921BCA" w14:paraId="0A16D5F2" w14:textId="3389CA71">
            <w:pPr>
              <w:spacing w:after="80" w:line="276" w:lineRule="auto"/>
              <w:rPr>
                <w:rFonts w:cstheme="minorHAnsi"/>
                <w:i/>
                <w:iCs/>
                <w:sz w:val="20"/>
                <w:szCs w:val="20"/>
              </w:rPr>
            </w:pPr>
            <w:r w:rsidRPr="00156DA1">
              <w:rPr>
                <w:rFonts w:cstheme="minorHAnsi"/>
                <w:i/>
                <w:iCs/>
                <w:sz w:val="20"/>
                <w:szCs w:val="20"/>
              </w:rPr>
              <w:t xml:space="preserve">(Comment refers to instructions </w:t>
            </w:r>
            <w:r w:rsidRPr="00156DA1" w:rsidR="004F5FE0">
              <w:rPr>
                <w:rFonts w:cstheme="minorHAnsi"/>
                <w:i/>
                <w:iCs/>
                <w:sz w:val="20"/>
                <w:szCs w:val="20"/>
              </w:rPr>
              <w:t xml:space="preserve">for the borrower </w:t>
            </w:r>
            <w:r w:rsidRPr="00156DA1">
              <w:rPr>
                <w:rFonts w:cstheme="minorHAnsi"/>
                <w:i/>
                <w:iCs/>
                <w:sz w:val="20"/>
                <w:szCs w:val="20"/>
              </w:rPr>
              <w:t xml:space="preserve">to enter both </w:t>
            </w:r>
            <w:r w:rsidRPr="00156DA1" w:rsidR="004F5FE0">
              <w:rPr>
                <w:rFonts w:cstheme="minorHAnsi"/>
                <w:i/>
                <w:iCs/>
                <w:sz w:val="20"/>
                <w:szCs w:val="20"/>
              </w:rPr>
              <w:t>their permanent address and their mailing address, if the two addresses are different.)</w:t>
            </w:r>
          </w:p>
        </w:tc>
        <w:tc>
          <w:tcPr>
            <w:tcW w:w="5253" w:type="dxa"/>
          </w:tcPr>
          <w:p w:rsidR="003E2F44" w:rsidRPr="00156DA1" w:rsidP="00921BCA" w14:paraId="7F38BD3B" w14:textId="2B1204C7">
            <w:pPr>
              <w:spacing w:after="80" w:line="276" w:lineRule="auto"/>
              <w:rPr>
                <w:rFonts w:cstheme="minorHAnsi"/>
                <w:sz w:val="20"/>
                <w:szCs w:val="20"/>
              </w:rPr>
            </w:pPr>
            <w:r w:rsidRPr="00156DA1">
              <w:rPr>
                <w:rFonts w:cstheme="minorHAnsi"/>
                <w:sz w:val="20"/>
                <w:szCs w:val="20"/>
              </w:rPr>
              <w:t xml:space="preserve">We agree that it would be appropriate to acknowledge the fact that not all borrowers have a stable address. </w:t>
            </w:r>
            <w:r w:rsidRPr="00156DA1" w:rsidR="00224C5F">
              <w:rPr>
                <w:rFonts w:cstheme="minorHAnsi"/>
                <w:sz w:val="20"/>
                <w:szCs w:val="20"/>
              </w:rPr>
              <w:t>Accordingly, w</w:t>
            </w:r>
            <w:r w:rsidRPr="00156DA1" w:rsidR="00B75477">
              <w:rPr>
                <w:rFonts w:cstheme="minorHAnsi"/>
                <w:sz w:val="20"/>
                <w:szCs w:val="20"/>
              </w:rPr>
              <w:t xml:space="preserve">e will </w:t>
            </w:r>
            <w:r w:rsidRPr="00156DA1" w:rsidR="00923C87">
              <w:rPr>
                <w:rFonts w:cstheme="minorHAnsi"/>
                <w:sz w:val="20"/>
                <w:szCs w:val="20"/>
              </w:rPr>
              <w:t xml:space="preserve">add the following to the </w:t>
            </w:r>
            <w:r w:rsidRPr="00156DA1" w:rsidR="00B41627">
              <w:rPr>
                <w:rFonts w:cstheme="minorHAnsi"/>
                <w:sz w:val="20"/>
                <w:szCs w:val="20"/>
              </w:rPr>
              <w:t>address instructions:</w:t>
            </w:r>
          </w:p>
          <w:p w:rsidR="006B4BB0" w:rsidRPr="00156DA1" w:rsidP="00921BCA" w14:paraId="291A61E8" w14:textId="6853D05A">
            <w:pPr>
              <w:spacing w:after="80" w:line="276" w:lineRule="auto"/>
              <w:rPr>
                <w:rFonts w:cstheme="minorHAnsi"/>
                <w:sz w:val="20"/>
                <w:szCs w:val="20"/>
              </w:rPr>
            </w:pPr>
            <w:r w:rsidRPr="00156DA1">
              <w:rPr>
                <w:rFonts w:cstheme="minorHAnsi"/>
                <w:sz w:val="20"/>
                <w:szCs w:val="20"/>
              </w:rPr>
              <w:t xml:space="preserve">“If you </w:t>
            </w:r>
            <w:r w:rsidRPr="00156DA1" w:rsidR="002D04D1">
              <w:rPr>
                <w:rFonts w:cstheme="minorHAnsi"/>
                <w:sz w:val="20"/>
                <w:szCs w:val="20"/>
              </w:rPr>
              <w:t xml:space="preserve">do not have a stable permanent </w:t>
            </w:r>
            <w:r w:rsidRPr="00156DA1">
              <w:rPr>
                <w:rFonts w:cstheme="minorHAnsi"/>
                <w:sz w:val="20"/>
                <w:szCs w:val="20"/>
              </w:rPr>
              <w:t xml:space="preserve">address, </w:t>
            </w:r>
            <w:r w:rsidRPr="00156DA1">
              <w:rPr>
                <w:rFonts w:cstheme="minorHAnsi"/>
                <w:sz w:val="20"/>
                <w:szCs w:val="20"/>
              </w:rPr>
              <w:t>provide an address where you can reliabl</w:t>
            </w:r>
            <w:r w:rsidRPr="00156DA1" w:rsidR="0026449F">
              <w:rPr>
                <w:rFonts w:cstheme="minorHAnsi"/>
                <w:sz w:val="20"/>
                <w:szCs w:val="20"/>
              </w:rPr>
              <w:t>y</w:t>
            </w:r>
            <w:r w:rsidRPr="00156DA1">
              <w:rPr>
                <w:rFonts w:cstheme="minorHAnsi"/>
                <w:sz w:val="20"/>
                <w:szCs w:val="20"/>
              </w:rPr>
              <w:t xml:space="preserve"> receive mail.”</w:t>
            </w:r>
          </w:p>
        </w:tc>
        <w:tc>
          <w:tcPr>
            <w:tcW w:w="969" w:type="dxa"/>
          </w:tcPr>
          <w:p w:rsidR="003E2F44" w:rsidRPr="00156DA1" w:rsidP="00921BCA" w14:paraId="742AD593" w14:textId="5CEDE9E3">
            <w:pPr>
              <w:spacing w:after="80" w:line="276" w:lineRule="auto"/>
              <w:rPr>
                <w:rFonts w:cstheme="minorHAnsi"/>
                <w:sz w:val="20"/>
                <w:szCs w:val="20"/>
              </w:rPr>
            </w:pPr>
            <w:r w:rsidRPr="00156DA1">
              <w:rPr>
                <w:rFonts w:cstheme="minorHAnsi"/>
                <w:sz w:val="20"/>
                <w:szCs w:val="20"/>
              </w:rPr>
              <w:t>Yes</w:t>
            </w:r>
            <w:r w:rsidRPr="00156DA1">
              <w:rPr>
                <w:rFonts w:cstheme="minorHAnsi"/>
                <w:sz w:val="20"/>
                <w:szCs w:val="20"/>
              </w:rPr>
              <w:br/>
              <w:t>(form)</w:t>
            </w:r>
          </w:p>
        </w:tc>
      </w:tr>
      <w:tr w14:paraId="79E57E68" w14:textId="77777777" w:rsidTr="00953A2E">
        <w:tblPrEx>
          <w:tblW w:w="13860" w:type="dxa"/>
          <w:tblInd w:w="-455" w:type="dxa"/>
          <w:tblLayout w:type="fixed"/>
          <w:tblLook w:val="04A0"/>
        </w:tblPrEx>
        <w:tc>
          <w:tcPr>
            <w:tcW w:w="1100" w:type="dxa"/>
          </w:tcPr>
          <w:p w:rsidR="002B143E" w:rsidRPr="00156DA1" w:rsidP="00921BCA" w14:paraId="79910F16" w14:textId="77777777">
            <w:pPr>
              <w:pStyle w:val="ListParagraph"/>
              <w:numPr>
                <w:ilvl w:val="0"/>
                <w:numId w:val="4"/>
              </w:numPr>
              <w:spacing w:after="80" w:line="276" w:lineRule="auto"/>
              <w:rPr>
                <w:rFonts w:cstheme="minorHAnsi"/>
                <w:color w:val="000000"/>
                <w:sz w:val="20"/>
                <w:szCs w:val="20"/>
              </w:rPr>
            </w:pPr>
          </w:p>
        </w:tc>
        <w:tc>
          <w:tcPr>
            <w:tcW w:w="1286" w:type="dxa"/>
          </w:tcPr>
          <w:p w:rsidR="002B143E" w:rsidRPr="00156DA1" w:rsidP="00921BCA" w14:paraId="4CFCC0EB" w14:textId="44E8E232">
            <w:pPr>
              <w:spacing w:after="80" w:line="276" w:lineRule="auto"/>
              <w:rPr>
                <w:rFonts w:cstheme="minorHAnsi"/>
                <w:sz w:val="20"/>
                <w:szCs w:val="20"/>
              </w:rPr>
            </w:pPr>
            <w:r w:rsidRPr="00156DA1">
              <w:rPr>
                <w:rFonts w:cstheme="minorHAnsi"/>
                <w:sz w:val="20"/>
                <w:szCs w:val="20"/>
                <w:shd w:val="clear" w:color="auto" w:fill="FFFFFF"/>
              </w:rPr>
              <w:t>The Hope Center at Temple University</w:t>
            </w:r>
          </w:p>
        </w:tc>
        <w:tc>
          <w:tcPr>
            <w:tcW w:w="5252" w:type="dxa"/>
          </w:tcPr>
          <w:p w:rsidR="0044555A" w:rsidRPr="00156DA1" w:rsidP="00921BCA" w14:paraId="4C9736A6" w14:textId="77777777">
            <w:pPr>
              <w:pStyle w:val="pf0"/>
              <w:spacing w:before="0" w:beforeAutospacing="0" w:after="80" w:afterAutospacing="0" w:line="276" w:lineRule="auto"/>
              <w:rPr>
                <w:rFonts w:asciiTheme="minorHAnsi" w:hAnsiTheme="minorHAnsi" w:cstheme="minorHAnsi"/>
                <w:sz w:val="20"/>
                <w:szCs w:val="20"/>
              </w:rPr>
            </w:pPr>
            <w:r w:rsidRPr="00156DA1">
              <w:rPr>
                <w:rStyle w:val="cf01"/>
                <w:rFonts w:asciiTheme="minorHAnsi" w:hAnsiTheme="minorHAnsi" w:cstheme="minorHAnsi"/>
                <w:sz w:val="20"/>
                <w:szCs w:val="20"/>
              </w:rPr>
              <w:t xml:space="preserve">It is a common experience for borrowers to think of references in the way they are provided for other private consumer financial products or for job qualifications. This can confuse or dissuade an applicant. This can also be very intimidating if the applicant has undocumented individuals in their immediate family. </w:t>
            </w:r>
          </w:p>
          <w:p w:rsidR="002B143E" w:rsidRPr="00156DA1" w:rsidP="00921BCA" w14:paraId="1781D004" w14:textId="21500D02">
            <w:pPr>
              <w:pStyle w:val="pf0"/>
              <w:spacing w:before="0" w:beforeAutospacing="0" w:after="80" w:afterAutospacing="0" w:line="276" w:lineRule="auto"/>
              <w:rPr>
                <w:rFonts w:asciiTheme="minorHAnsi" w:hAnsiTheme="minorHAnsi" w:cstheme="minorHAnsi"/>
                <w:sz w:val="20"/>
                <w:szCs w:val="20"/>
              </w:rPr>
            </w:pPr>
            <w:r w:rsidRPr="00156DA1">
              <w:rPr>
                <w:rStyle w:val="cf01"/>
                <w:rFonts w:asciiTheme="minorHAnsi" w:hAnsiTheme="minorHAnsi" w:cstheme="minorHAnsi"/>
                <w:sz w:val="20"/>
                <w:szCs w:val="20"/>
              </w:rPr>
              <w:t>Therefore, we suggest renaming this to “alternative contacts” and making it explicitly clear up front that these individuals are not use for a credit check. Since most applicants will see this field before they check the instructions at the end, it is important that it be restated here.</w:t>
            </w:r>
          </w:p>
        </w:tc>
        <w:tc>
          <w:tcPr>
            <w:tcW w:w="5253" w:type="dxa"/>
          </w:tcPr>
          <w:p w:rsidR="00076217" w:rsidRPr="00156DA1" w:rsidP="00921BCA" w14:paraId="343B66C2" w14:textId="67D423E5">
            <w:pPr>
              <w:spacing w:after="80" w:line="276" w:lineRule="auto"/>
              <w:rPr>
                <w:rFonts w:cstheme="minorHAnsi"/>
                <w:sz w:val="20"/>
                <w:szCs w:val="20"/>
              </w:rPr>
            </w:pPr>
            <w:r w:rsidRPr="00156DA1">
              <w:rPr>
                <w:rFonts w:cstheme="minorHAnsi"/>
                <w:sz w:val="20"/>
                <w:szCs w:val="20"/>
              </w:rPr>
              <w:t xml:space="preserve">The </w:t>
            </w:r>
            <w:r w:rsidRPr="00156DA1" w:rsidR="00354FAF">
              <w:rPr>
                <w:rFonts w:cstheme="minorHAnsi"/>
                <w:sz w:val="20"/>
                <w:szCs w:val="20"/>
              </w:rPr>
              <w:t xml:space="preserve">existing </w:t>
            </w:r>
            <w:r w:rsidRPr="00156DA1" w:rsidR="00F42C6F">
              <w:rPr>
                <w:rFonts w:cstheme="minorHAnsi"/>
                <w:sz w:val="20"/>
                <w:szCs w:val="20"/>
              </w:rPr>
              <w:t xml:space="preserve">instructions for completing the reference section (which immediately precede the reference data elements) </w:t>
            </w:r>
            <w:r w:rsidRPr="00156DA1">
              <w:rPr>
                <w:rFonts w:cstheme="minorHAnsi"/>
                <w:sz w:val="20"/>
                <w:szCs w:val="20"/>
              </w:rPr>
              <w:t xml:space="preserve">clearly </w:t>
            </w:r>
            <w:r w:rsidRPr="00156DA1" w:rsidR="003433F5">
              <w:rPr>
                <w:rFonts w:cstheme="minorHAnsi"/>
                <w:sz w:val="20"/>
                <w:szCs w:val="20"/>
              </w:rPr>
              <w:t xml:space="preserve">state that references are used only </w:t>
            </w:r>
            <w:r w:rsidRPr="00156DA1" w:rsidR="00312BC4">
              <w:rPr>
                <w:rFonts w:cstheme="minorHAnsi"/>
                <w:sz w:val="20"/>
                <w:szCs w:val="20"/>
              </w:rPr>
              <w:t xml:space="preserve">for the purpose of helping the Department contact the borrower if the Department is </w:t>
            </w:r>
            <w:r w:rsidRPr="00156DA1" w:rsidR="00F7384C">
              <w:rPr>
                <w:rFonts w:cstheme="minorHAnsi"/>
                <w:sz w:val="20"/>
                <w:szCs w:val="20"/>
              </w:rPr>
              <w:t xml:space="preserve">otherwise </w:t>
            </w:r>
            <w:r w:rsidRPr="00156DA1" w:rsidR="00312BC4">
              <w:rPr>
                <w:rFonts w:cstheme="minorHAnsi"/>
                <w:sz w:val="20"/>
                <w:szCs w:val="20"/>
              </w:rPr>
              <w:t>una</w:t>
            </w:r>
            <w:r w:rsidRPr="00156DA1" w:rsidR="00F7384C">
              <w:rPr>
                <w:rFonts w:cstheme="minorHAnsi"/>
                <w:sz w:val="20"/>
                <w:szCs w:val="20"/>
              </w:rPr>
              <w:t>ble to do so</w:t>
            </w:r>
            <w:r w:rsidRPr="00156DA1">
              <w:rPr>
                <w:rFonts w:cstheme="minorHAnsi"/>
                <w:sz w:val="20"/>
                <w:szCs w:val="20"/>
              </w:rPr>
              <w:t xml:space="preserve">. The instructions also note that </w:t>
            </w:r>
            <w:r w:rsidRPr="00156DA1" w:rsidR="00F7384C">
              <w:rPr>
                <w:rFonts w:cstheme="minorHAnsi"/>
                <w:sz w:val="20"/>
                <w:szCs w:val="20"/>
              </w:rPr>
              <w:t>references are never required to repay the borrower’s loan.</w:t>
            </w:r>
          </w:p>
          <w:p w:rsidR="002D25FF" w:rsidRPr="00156DA1" w:rsidP="00921BCA" w14:paraId="6A15D85B" w14:textId="25A77F70">
            <w:pPr>
              <w:spacing w:after="80" w:line="276" w:lineRule="auto"/>
              <w:rPr>
                <w:rFonts w:cstheme="minorHAnsi"/>
                <w:sz w:val="20"/>
                <w:szCs w:val="20"/>
              </w:rPr>
            </w:pPr>
            <w:r w:rsidRPr="00156DA1">
              <w:rPr>
                <w:rFonts w:cstheme="minorHAnsi"/>
                <w:sz w:val="20"/>
                <w:szCs w:val="20"/>
              </w:rPr>
              <w:t>I</w:t>
            </w:r>
            <w:r w:rsidRPr="00156DA1" w:rsidR="008D640C">
              <w:rPr>
                <w:rFonts w:cstheme="minorHAnsi"/>
                <w:sz w:val="20"/>
                <w:szCs w:val="20"/>
              </w:rPr>
              <w:t xml:space="preserve">n response to </w:t>
            </w:r>
            <w:r w:rsidRPr="00156DA1" w:rsidR="00F9232F">
              <w:rPr>
                <w:rFonts w:cstheme="minorHAnsi"/>
                <w:sz w:val="20"/>
                <w:szCs w:val="20"/>
              </w:rPr>
              <w:t xml:space="preserve">this </w:t>
            </w:r>
            <w:r w:rsidRPr="00156DA1" w:rsidR="00F9232F">
              <w:rPr>
                <w:rFonts w:cstheme="minorHAnsi"/>
                <w:sz w:val="20"/>
                <w:szCs w:val="20"/>
              </w:rPr>
              <w:t>comment</w:t>
            </w:r>
            <w:r w:rsidRPr="00156DA1" w:rsidR="00F9232F">
              <w:rPr>
                <w:rFonts w:cstheme="minorHAnsi"/>
                <w:sz w:val="20"/>
                <w:szCs w:val="20"/>
              </w:rPr>
              <w:t xml:space="preserve"> we will </w:t>
            </w:r>
            <w:r w:rsidRPr="00156DA1" w:rsidR="004101A7">
              <w:rPr>
                <w:rFonts w:cstheme="minorHAnsi"/>
                <w:sz w:val="20"/>
                <w:szCs w:val="20"/>
              </w:rPr>
              <w:t>further clarify the reference instructions by adding language to ex</w:t>
            </w:r>
            <w:r w:rsidRPr="00156DA1" w:rsidR="0095470F">
              <w:rPr>
                <w:rFonts w:cstheme="minorHAnsi"/>
                <w:sz w:val="20"/>
                <w:szCs w:val="20"/>
              </w:rPr>
              <w:t>plain t</w:t>
            </w:r>
            <w:r w:rsidRPr="00156DA1" w:rsidR="00175F2D">
              <w:rPr>
                <w:rFonts w:cstheme="minorHAnsi"/>
                <w:sz w:val="20"/>
                <w:szCs w:val="20"/>
              </w:rPr>
              <w:t xml:space="preserve">hat references are not used to determine the </w:t>
            </w:r>
            <w:r w:rsidRPr="00156DA1" w:rsidR="008D640C">
              <w:rPr>
                <w:rFonts w:cstheme="minorHAnsi"/>
                <w:sz w:val="20"/>
                <w:szCs w:val="20"/>
              </w:rPr>
              <w:t xml:space="preserve">borrower’s eligibility for a loan. </w:t>
            </w:r>
          </w:p>
        </w:tc>
        <w:tc>
          <w:tcPr>
            <w:tcW w:w="969" w:type="dxa"/>
          </w:tcPr>
          <w:p w:rsidR="002B143E" w:rsidRPr="00156DA1" w:rsidP="00921BCA" w14:paraId="631A1005" w14:textId="5744505C">
            <w:pPr>
              <w:spacing w:after="80" w:line="276" w:lineRule="auto"/>
              <w:rPr>
                <w:rFonts w:cstheme="minorHAnsi"/>
                <w:sz w:val="20"/>
                <w:szCs w:val="20"/>
              </w:rPr>
            </w:pPr>
            <w:r w:rsidRPr="00156DA1">
              <w:rPr>
                <w:rFonts w:cstheme="minorHAnsi"/>
                <w:sz w:val="20"/>
                <w:szCs w:val="20"/>
              </w:rPr>
              <w:t>Yes</w:t>
            </w:r>
            <w:r w:rsidRPr="00156DA1">
              <w:rPr>
                <w:rFonts w:cstheme="minorHAnsi"/>
                <w:sz w:val="20"/>
                <w:szCs w:val="20"/>
              </w:rPr>
              <w:br/>
              <w:t>(form)</w:t>
            </w:r>
          </w:p>
        </w:tc>
      </w:tr>
      <w:tr w14:paraId="737C5AB2" w14:textId="77777777" w:rsidTr="00953A2E">
        <w:tblPrEx>
          <w:tblW w:w="13860" w:type="dxa"/>
          <w:tblInd w:w="-455" w:type="dxa"/>
          <w:tblLayout w:type="fixed"/>
          <w:tblLook w:val="04A0"/>
        </w:tblPrEx>
        <w:tc>
          <w:tcPr>
            <w:tcW w:w="1100" w:type="dxa"/>
          </w:tcPr>
          <w:p w:rsidR="004321CB" w:rsidRPr="00156DA1" w:rsidP="00921BCA" w14:paraId="6F7698A7" w14:textId="77777777">
            <w:pPr>
              <w:pStyle w:val="ListParagraph"/>
              <w:numPr>
                <w:ilvl w:val="0"/>
                <w:numId w:val="4"/>
              </w:numPr>
              <w:spacing w:after="80" w:line="276" w:lineRule="auto"/>
              <w:rPr>
                <w:rFonts w:cstheme="minorHAnsi"/>
                <w:color w:val="000000"/>
                <w:sz w:val="20"/>
                <w:szCs w:val="20"/>
              </w:rPr>
            </w:pPr>
          </w:p>
        </w:tc>
        <w:tc>
          <w:tcPr>
            <w:tcW w:w="1286" w:type="dxa"/>
          </w:tcPr>
          <w:p w:rsidR="004321CB" w:rsidRPr="00156DA1" w:rsidP="00921BCA" w14:paraId="33CB3F05" w14:textId="0E8D5A09">
            <w:pPr>
              <w:spacing w:after="80" w:line="276" w:lineRule="auto"/>
              <w:rPr>
                <w:rFonts w:cstheme="minorHAnsi"/>
                <w:sz w:val="20"/>
                <w:szCs w:val="20"/>
              </w:rPr>
            </w:pPr>
            <w:r w:rsidRPr="00156DA1">
              <w:rPr>
                <w:rFonts w:cstheme="minorHAnsi"/>
                <w:sz w:val="20"/>
                <w:szCs w:val="20"/>
                <w:shd w:val="clear" w:color="auto" w:fill="FFFFFF"/>
              </w:rPr>
              <w:t>The Hope Center at Temple University</w:t>
            </w:r>
          </w:p>
        </w:tc>
        <w:tc>
          <w:tcPr>
            <w:tcW w:w="5252" w:type="dxa"/>
          </w:tcPr>
          <w:p w:rsidR="0092009A" w:rsidRPr="00156DA1" w:rsidP="00921BCA" w14:paraId="5185829D" w14:textId="77777777">
            <w:pPr>
              <w:pStyle w:val="pf0"/>
              <w:spacing w:before="0" w:beforeAutospacing="0" w:after="80" w:afterAutospacing="0" w:line="276" w:lineRule="auto"/>
              <w:rPr>
                <w:rStyle w:val="cf01"/>
                <w:rFonts w:asciiTheme="minorHAnsi" w:hAnsiTheme="minorHAnsi" w:cstheme="minorHAnsi"/>
                <w:sz w:val="20"/>
                <w:szCs w:val="20"/>
              </w:rPr>
            </w:pPr>
            <w:r w:rsidRPr="00156DA1">
              <w:rPr>
                <w:rStyle w:val="cf01"/>
                <w:rFonts w:asciiTheme="minorHAnsi" w:hAnsiTheme="minorHAnsi" w:cstheme="minorHAnsi"/>
                <w:sz w:val="20"/>
                <w:szCs w:val="20"/>
              </w:rPr>
              <w:t>Three years is a difficult bar to meet for students who have recently moved. This places a disproportionate burden on transfer students.</w:t>
            </w:r>
          </w:p>
          <w:p w:rsidR="0092009A" w:rsidRPr="00156DA1" w:rsidP="00921BCA" w14:paraId="173D8281" w14:textId="02768C2F">
            <w:pPr>
              <w:pStyle w:val="pf0"/>
              <w:spacing w:before="0" w:beforeAutospacing="0" w:after="80" w:afterAutospacing="0" w:line="276" w:lineRule="auto"/>
              <w:rPr>
                <w:rFonts w:asciiTheme="minorHAnsi" w:hAnsiTheme="minorHAnsi" w:cstheme="minorHAnsi"/>
                <w:i/>
                <w:iCs/>
                <w:sz w:val="20"/>
                <w:szCs w:val="20"/>
              </w:rPr>
            </w:pPr>
            <w:r w:rsidRPr="00156DA1">
              <w:rPr>
                <w:rStyle w:val="cf01"/>
                <w:rFonts w:asciiTheme="minorHAnsi" w:hAnsiTheme="minorHAnsi" w:cstheme="minorHAnsi"/>
                <w:i/>
                <w:iCs/>
                <w:sz w:val="20"/>
                <w:szCs w:val="20"/>
              </w:rPr>
              <w:t xml:space="preserve">(Comment refers to instructions to list references who have known the borrower for at least three years. </w:t>
            </w:r>
            <w:r w:rsidRPr="00156DA1" w:rsidR="00B06AFB">
              <w:rPr>
                <w:rStyle w:val="cf01"/>
                <w:rFonts w:asciiTheme="minorHAnsi" w:hAnsiTheme="minorHAnsi" w:cstheme="minorHAnsi"/>
                <w:i/>
                <w:iCs/>
                <w:sz w:val="20"/>
                <w:szCs w:val="20"/>
              </w:rPr>
              <w:t>The commenter made a suggested edit changing “three years” to “two years.”)</w:t>
            </w:r>
          </w:p>
        </w:tc>
        <w:tc>
          <w:tcPr>
            <w:tcW w:w="5253" w:type="dxa"/>
          </w:tcPr>
          <w:p w:rsidR="004321CB" w:rsidRPr="00156DA1" w:rsidP="00921BCA" w14:paraId="2DC4409E" w14:textId="5A4FE73D">
            <w:pPr>
              <w:spacing w:after="80" w:line="276" w:lineRule="auto"/>
              <w:rPr>
                <w:rFonts w:cstheme="minorHAnsi"/>
                <w:sz w:val="20"/>
                <w:szCs w:val="20"/>
              </w:rPr>
            </w:pPr>
            <w:r w:rsidRPr="00156DA1">
              <w:rPr>
                <w:rFonts w:cstheme="minorHAnsi"/>
                <w:sz w:val="20"/>
                <w:szCs w:val="20"/>
              </w:rPr>
              <w:t xml:space="preserve">We do not believe that the great majority of borrowers will </w:t>
            </w:r>
            <w:r w:rsidRPr="00156DA1" w:rsidR="00F95F2C">
              <w:rPr>
                <w:rFonts w:cstheme="minorHAnsi"/>
                <w:sz w:val="20"/>
                <w:szCs w:val="20"/>
              </w:rPr>
              <w:t xml:space="preserve">find it difficult to identify </w:t>
            </w:r>
            <w:r w:rsidRPr="00156DA1">
              <w:rPr>
                <w:rFonts w:cstheme="minorHAnsi"/>
                <w:sz w:val="20"/>
                <w:szCs w:val="20"/>
              </w:rPr>
              <w:t>two individuals who have known them for at least three years</w:t>
            </w:r>
            <w:r w:rsidRPr="00156DA1" w:rsidR="00061C09">
              <w:rPr>
                <w:rFonts w:cstheme="minorHAnsi"/>
                <w:sz w:val="20"/>
                <w:szCs w:val="20"/>
              </w:rPr>
              <w:t xml:space="preserve">, even if the borrowers have recently moved at </w:t>
            </w:r>
            <w:r w:rsidRPr="00156DA1" w:rsidR="000D71E1">
              <w:rPr>
                <w:rFonts w:cstheme="minorHAnsi"/>
                <w:sz w:val="20"/>
                <w:szCs w:val="20"/>
              </w:rPr>
              <w:t xml:space="preserve">the </w:t>
            </w:r>
            <w:r w:rsidRPr="00156DA1" w:rsidR="00061C09">
              <w:rPr>
                <w:rFonts w:cstheme="minorHAnsi"/>
                <w:sz w:val="20"/>
                <w:szCs w:val="20"/>
              </w:rPr>
              <w:t>t</w:t>
            </w:r>
            <w:r w:rsidRPr="00156DA1" w:rsidR="00A85667">
              <w:rPr>
                <w:rFonts w:cstheme="minorHAnsi"/>
                <w:sz w:val="20"/>
                <w:szCs w:val="20"/>
              </w:rPr>
              <w:t>ime</w:t>
            </w:r>
            <w:r w:rsidRPr="00156DA1" w:rsidR="00A85667">
              <w:rPr>
                <w:rFonts w:cstheme="minorHAnsi"/>
                <w:sz w:val="20"/>
                <w:szCs w:val="20"/>
              </w:rPr>
              <w:t xml:space="preserve"> they complete the MPN. It isn’t necessary for the references to be individuals who live in the same area as the borrower. </w:t>
            </w:r>
          </w:p>
        </w:tc>
        <w:tc>
          <w:tcPr>
            <w:tcW w:w="969" w:type="dxa"/>
          </w:tcPr>
          <w:p w:rsidR="004321CB" w:rsidRPr="00156DA1" w:rsidP="00921BCA" w14:paraId="5CEFB840" w14:textId="40E06AC0">
            <w:pPr>
              <w:spacing w:after="80" w:line="276" w:lineRule="auto"/>
              <w:rPr>
                <w:rFonts w:cstheme="minorHAnsi"/>
                <w:sz w:val="20"/>
                <w:szCs w:val="20"/>
              </w:rPr>
            </w:pPr>
            <w:r w:rsidRPr="00156DA1">
              <w:rPr>
                <w:rFonts w:cstheme="minorHAnsi"/>
                <w:sz w:val="20"/>
                <w:szCs w:val="20"/>
              </w:rPr>
              <w:t>No</w:t>
            </w:r>
          </w:p>
        </w:tc>
      </w:tr>
    </w:tbl>
    <w:p w:rsidR="005F5E05" w14:paraId="4F7B5C7D" w14:textId="77777777"/>
    <w:sectPr w:rsidSect="00E359E1">
      <w:headerReference w:type="default" r:id="rId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1045439"/>
      <w:docPartObj>
        <w:docPartGallery w:val="Page Numbers (Bottom of Page)"/>
        <w:docPartUnique/>
      </w:docPartObj>
    </w:sdtPr>
    <w:sdtEndPr>
      <w:rPr>
        <w:noProof/>
      </w:rPr>
    </w:sdtEndPr>
    <w:sdtContent>
      <w:p w:rsidR="00907A6C" w14:paraId="77677D4D" w14:textId="00350B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07A6C" w14:paraId="50BEE7C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A6C" w:rsidRPr="00156DA1" w:rsidP="00907A6C" w14:paraId="418D9081" w14:textId="4E620362">
    <w:pPr>
      <w:pStyle w:val="Header"/>
      <w:rPr>
        <w:sz w:val="20"/>
        <w:szCs w:val="20"/>
      </w:rPr>
    </w:pPr>
    <w:r w:rsidRPr="00156DA1">
      <w:rPr>
        <w:sz w:val="20"/>
        <w:szCs w:val="20"/>
      </w:rPr>
      <w:t>ICR Number 1845-</w:t>
    </w:r>
    <w:r w:rsidRPr="00156DA1" w:rsidR="00A26FF6">
      <w:rPr>
        <w:sz w:val="20"/>
        <w:szCs w:val="20"/>
      </w:rPr>
      <w:t>0</w:t>
    </w:r>
    <w:r w:rsidRPr="00156DA1" w:rsidR="00DD76FA">
      <w:rPr>
        <w:sz w:val="20"/>
        <w:szCs w:val="20"/>
      </w:rPr>
      <w:t>0</w:t>
    </w:r>
    <w:r w:rsidRPr="00156DA1" w:rsidR="00537E10">
      <w:rPr>
        <w:sz w:val="20"/>
        <w:szCs w:val="20"/>
      </w:rPr>
      <w:t>07</w:t>
    </w:r>
    <w:r w:rsidRPr="00156DA1">
      <w:rPr>
        <w:sz w:val="20"/>
        <w:szCs w:val="20"/>
      </w:rPr>
      <w:t xml:space="preserve"> – </w:t>
    </w:r>
    <w:r w:rsidRPr="00156DA1" w:rsidR="00537E10">
      <w:rPr>
        <w:sz w:val="20"/>
        <w:szCs w:val="20"/>
      </w:rPr>
      <w:t>Direct Loan Program Promissory Notes</w:t>
    </w:r>
  </w:p>
  <w:p w:rsidR="00E359E1" w:rsidP="00907A6C" w14:paraId="3A4C3886" w14:textId="7D0A5F91">
    <w:pPr>
      <w:pStyle w:val="Header"/>
    </w:pPr>
    <w:r w:rsidRPr="00156DA1">
      <w:rPr>
        <w:sz w:val="20"/>
        <w:szCs w:val="20"/>
      </w:rPr>
      <w:t>60D Comment Response Table</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9124D"/>
    <w:multiLevelType w:val="multilevel"/>
    <w:tmpl w:val="8BD029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2626B95"/>
    <w:multiLevelType w:val="multilevel"/>
    <w:tmpl w:val="164A6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EB83269"/>
    <w:multiLevelType w:val="multilevel"/>
    <w:tmpl w:val="41BA0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6A40AB8"/>
    <w:multiLevelType w:val="hybridMultilevel"/>
    <w:tmpl w:val="CF9E72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2473369">
    <w:abstractNumId w:val="1"/>
  </w:num>
  <w:num w:numId="2" w16cid:durableId="1635523036">
    <w:abstractNumId w:val="0"/>
  </w:num>
  <w:num w:numId="3" w16cid:durableId="931741364">
    <w:abstractNumId w:val="2"/>
  </w:num>
  <w:num w:numId="4" w16cid:durableId="1019619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E1"/>
    <w:rsid w:val="00006535"/>
    <w:rsid w:val="0002701F"/>
    <w:rsid w:val="00034AAC"/>
    <w:rsid w:val="00037FD3"/>
    <w:rsid w:val="00047C3D"/>
    <w:rsid w:val="00054025"/>
    <w:rsid w:val="00056969"/>
    <w:rsid w:val="00061A0B"/>
    <w:rsid w:val="00061C09"/>
    <w:rsid w:val="00071CAD"/>
    <w:rsid w:val="00075755"/>
    <w:rsid w:val="00076217"/>
    <w:rsid w:val="000820A9"/>
    <w:rsid w:val="00086BA4"/>
    <w:rsid w:val="00094056"/>
    <w:rsid w:val="00094813"/>
    <w:rsid w:val="000A2C6B"/>
    <w:rsid w:val="000A3BAB"/>
    <w:rsid w:val="000C0591"/>
    <w:rsid w:val="000C05E5"/>
    <w:rsid w:val="000C2077"/>
    <w:rsid w:val="000C260A"/>
    <w:rsid w:val="000C2E93"/>
    <w:rsid w:val="000D2058"/>
    <w:rsid w:val="000D3B7B"/>
    <w:rsid w:val="000D71E1"/>
    <w:rsid w:val="000E01BA"/>
    <w:rsid w:val="000E3686"/>
    <w:rsid w:val="000F5E00"/>
    <w:rsid w:val="001044EE"/>
    <w:rsid w:val="00111C2B"/>
    <w:rsid w:val="00126D1E"/>
    <w:rsid w:val="0014657C"/>
    <w:rsid w:val="00146C27"/>
    <w:rsid w:val="00156DA1"/>
    <w:rsid w:val="00160707"/>
    <w:rsid w:val="00161975"/>
    <w:rsid w:val="00175F2D"/>
    <w:rsid w:val="001829E4"/>
    <w:rsid w:val="00193067"/>
    <w:rsid w:val="0019634F"/>
    <w:rsid w:val="001A3AC3"/>
    <w:rsid w:val="001A6827"/>
    <w:rsid w:val="001B0E2A"/>
    <w:rsid w:val="001B4E26"/>
    <w:rsid w:val="001B61DE"/>
    <w:rsid w:val="001C110B"/>
    <w:rsid w:val="001C1F55"/>
    <w:rsid w:val="001D11FD"/>
    <w:rsid w:val="001D2562"/>
    <w:rsid w:val="001F4105"/>
    <w:rsid w:val="00210D65"/>
    <w:rsid w:val="002137B3"/>
    <w:rsid w:val="00217046"/>
    <w:rsid w:val="00220DD7"/>
    <w:rsid w:val="00224C5F"/>
    <w:rsid w:val="00224F7C"/>
    <w:rsid w:val="002320CC"/>
    <w:rsid w:val="00232CD7"/>
    <w:rsid w:val="00244580"/>
    <w:rsid w:val="00255DAD"/>
    <w:rsid w:val="002641AF"/>
    <w:rsid w:val="0026449F"/>
    <w:rsid w:val="00265160"/>
    <w:rsid w:val="00266464"/>
    <w:rsid w:val="00266FB4"/>
    <w:rsid w:val="002907A8"/>
    <w:rsid w:val="0029176B"/>
    <w:rsid w:val="00292A0C"/>
    <w:rsid w:val="00294075"/>
    <w:rsid w:val="00294757"/>
    <w:rsid w:val="002A5886"/>
    <w:rsid w:val="002B143E"/>
    <w:rsid w:val="002B2EF4"/>
    <w:rsid w:val="002C63BD"/>
    <w:rsid w:val="002C6EC4"/>
    <w:rsid w:val="002D04D1"/>
    <w:rsid w:val="002D25FF"/>
    <w:rsid w:val="002D3FC3"/>
    <w:rsid w:val="002D6C2F"/>
    <w:rsid w:val="002E0BC4"/>
    <w:rsid w:val="002E47BA"/>
    <w:rsid w:val="002E69A0"/>
    <w:rsid w:val="002F7DD0"/>
    <w:rsid w:val="0030254F"/>
    <w:rsid w:val="00304D1E"/>
    <w:rsid w:val="0030505E"/>
    <w:rsid w:val="0030530C"/>
    <w:rsid w:val="00312BC4"/>
    <w:rsid w:val="00314CE2"/>
    <w:rsid w:val="00315D77"/>
    <w:rsid w:val="00316BE6"/>
    <w:rsid w:val="00324E14"/>
    <w:rsid w:val="003258E0"/>
    <w:rsid w:val="0032616A"/>
    <w:rsid w:val="00334A7A"/>
    <w:rsid w:val="003433F5"/>
    <w:rsid w:val="003533AB"/>
    <w:rsid w:val="00353A7F"/>
    <w:rsid w:val="00354AAC"/>
    <w:rsid w:val="00354FAF"/>
    <w:rsid w:val="003642CA"/>
    <w:rsid w:val="00370052"/>
    <w:rsid w:val="0037360B"/>
    <w:rsid w:val="00385BFF"/>
    <w:rsid w:val="00395377"/>
    <w:rsid w:val="00397597"/>
    <w:rsid w:val="003B7F8D"/>
    <w:rsid w:val="003C0894"/>
    <w:rsid w:val="003D19C4"/>
    <w:rsid w:val="003D2A87"/>
    <w:rsid w:val="003D4C0F"/>
    <w:rsid w:val="003D72E9"/>
    <w:rsid w:val="003E2F44"/>
    <w:rsid w:val="003E5076"/>
    <w:rsid w:val="004101A7"/>
    <w:rsid w:val="00411F3C"/>
    <w:rsid w:val="00417642"/>
    <w:rsid w:val="00417D15"/>
    <w:rsid w:val="00422F01"/>
    <w:rsid w:val="0042308E"/>
    <w:rsid w:val="00431DD9"/>
    <w:rsid w:val="004321CB"/>
    <w:rsid w:val="00436BD3"/>
    <w:rsid w:val="0044474A"/>
    <w:rsid w:val="00445137"/>
    <w:rsid w:val="0044555A"/>
    <w:rsid w:val="0045413E"/>
    <w:rsid w:val="00460784"/>
    <w:rsid w:val="004607A0"/>
    <w:rsid w:val="00466835"/>
    <w:rsid w:val="00466E83"/>
    <w:rsid w:val="00470568"/>
    <w:rsid w:val="0047532A"/>
    <w:rsid w:val="00493073"/>
    <w:rsid w:val="004953FC"/>
    <w:rsid w:val="004A1FFC"/>
    <w:rsid w:val="004A4383"/>
    <w:rsid w:val="004A4FAB"/>
    <w:rsid w:val="004C44F3"/>
    <w:rsid w:val="004E5FAA"/>
    <w:rsid w:val="004F19A6"/>
    <w:rsid w:val="004F2C0C"/>
    <w:rsid w:val="004F4208"/>
    <w:rsid w:val="004F5FE0"/>
    <w:rsid w:val="005006C1"/>
    <w:rsid w:val="00514A81"/>
    <w:rsid w:val="00530E56"/>
    <w:rsid w:val="00537E10"/>
    <w:rsid w:val="00540714"/>
    <w:rsid w:val="00544E5A"/>
    <w:rsid w:val="0055185A"/>
    <w:rsid w:val="0055600E"/>
    <w:rsid w:val="005571CB"/>
    <w:rsid w:val="00572109"/>
    <w:rsid w:val="005913FC"/>
    <w:rsid w:val="0059627D"/>
    <w:rsid w:val="005A2083"/>
    <w:rsid w:val="005A6C0B"/>
    <w:rsid w:val="005B2F07"/>
    <w:rsid w:val="005B61E0"/>
    <w:rsid w:val="005B6B6E"/>
    <w:rsid w:val="005D7741"/>
    <w:rsid w:val="005E071F"/>
    <w:rsid w:val="005E0F7A"/>
    <w:rsid w:val="005F5312"/>
    <w:rsid w:val="005F5E05"/>
    <w:rsid w:val="00601388"/>
    <w:rsid w:val="006013A7"/>
    <w:rsid w:val="00602E8D"/>
    <w:rsid w:val="0060579C"/>
    <w:rsid w:val="006128BE"/>
    <w:rsid w:val="0063113F"/>
    <w:rsid w:val="00636A96"/>
    <w:rsid w:val="0065050D"/>
    <w:rsid w:val="0066710A"/>
    <w:rsid w:val="0067582D"/>
    <w:rsid w:val="00681548"/>
    <w:rsid w:val="00695BF9"/>
    <w:rsid w:val="006A2A60"/>
    <w:rsid w:val="006B015C"/>
    <w:rsid w:val="006B4BB0"/>
    <w:rsid w:val="006D0487"/>
    <w:rsid w:val="006D1E68"/>
    <w:rsid w:val="006D5210"/>
    <w:rsid w:val="006D60D3"/>
    <w:rsid w:val="006E10C4"/>
    <w:rsid w:val="006E1C0D"/>
    <w:rsid w:val="006E600B"/>
    <w:rsid w:val="006F42EC"/>
    <w:rsid w:val="006F7239"/>
    <w:rsid w:val="00701D04"/>
    <w:rsid w:val="00704081"/>
    <w:rsid w:val="00704409"/>
    <w:rsid w:val="00722CD8"/>
    <w:rsid w:val="007317FB"/>
    <w:rsid w:val="00732A4F"/>
    <w:rsid w:val="007335C3"/>
    <w:rsid w:val="007361E7"/>
    <w:rsid w:val="007402FB"/>
    <w:rsid w:val="007410BA"/>
    <w:rsid w:val="007426C1"/>
    <w:rsid w:val="007477FB"/>
    <w:rsid w:val="007505EB"/>
    <w:rsid w:val="0075631B"/>
    <w:rsid w:val="007709BE"/>
    <w:rsid w:val="00773D47"/>
    <w:rsid w:val="0078202B"/>
    <w:rsid w:val="00796CC4"/>
    <w:rsid w:val="00797E4B"/>
    <w:rsid w:val="007A0760"/>
    <w:rsid w:val="007A09AC"/>
    <w:rsid w:val="007A2287"/>
    <w:rsid w:val="007A556C"/>
    <w:rsid w:val="007D4C81"/>
    <w:rsid w:val="007D7454"/>
    <w:rsid w:val="007E4049"/>
    <w:rsid w:val="007F1956"/>
    <w:rsid w:val="008070E6"/>
    <w:rsid w:val="00825EAA"/>
    <w:rsid w:val="008308CC"/>
    <w:rsid w:val="00842A07"/>
    <w:rsid w:val="00846B92"/>
    <w:rsid w:val="0084770E"/>
    <w:rsid w:val="00854CF3"/>
    <w:rsid w:val="00857747"/>
    <w:rsid w:val="00860FD2"/>
    <w:rsid w:val="00862C4C"/>
    <w:rsid w:val="00874C11"/>
    <w:rsid w:val="00875E99"/>
    <w:rsid w:val="00876E35"/>
    <w:rsid w:val="0088331A"/>
    <w:rsid w:val="0088780A"/>
    <w:rsid w:val="00892E26"/>
    <w:rsid w:val="008A4882"/>
    <w:rsid w:val="008B353F"/>
    <w:rsid w:val="008B6D6A"/>
    <w:rsid w:val="008C3133"/>
    <w:rsid w:val="008D364F"/>
    <w:rsid w:val="008D640C"/>
    <w:rsid w:val="008E3A7E"/>
    <w:rsid w:val="008E5AFF"/>
    <w:rsid w:val="008F00DD"/>
    <w:rsid w:val="008F0ABD"/>
    <w:rsid w:val="008F21D6"/>
    <w:rsid w:val="008F3B1B"/>
    <w:rsid w:val="009031E3"/>
    <w:rsid w:val="00907A6C"/>
    <w:rsid w:val="0092009A"/>
    <w:rsid w:val="00921BCA"/>
    <w:rsid w:val="00923C87"/>
    <w:rsid w:val="009240CA"/>
    <w:rsid w:val="0092691E"/>
    <w:rsid w:val="0092766A"/>
    <w:rsid w:val="00932949"/>
    <w:rsid w:val="00936677"/>
    <w:rsid w:val="00942355"/>
    <w:rsid w:val="00953A2E"/>
    <w:rsid w:val="0095430F"/>
    <w:rsid w:val="0095470F"/>
    <w:rsid w:val="00955FC6"/>
    <w:rsid w:val="00965686"/>
    <w:rsid w:val="00970399"/>
    <w:rsid w:val="009753BD"/>
    <w:rsid w:val="00976EE9"/>
    <w:rsid w:val="00980E7D"/>
    <w:rsid w:val="00994EFC"/>
    <w:rsid w:val="0099659C"/>
    <w:rsid w:val="00996885"/>
    <w:rsid w:val="009A49FE"/>
    <w:rsid w:val="009A58B1"/>
    <w:rsid w:val="009B21C4"/>
    <w:rsid w:val="009C0ED6"/>
    <w:rsid w:val="009D40B6"/>
    <w:rsid w:val="009E37DE"/>
    <w:rsid w:val="009E6465"/>
    <w:rsid w:val="009F1D87"/>
    <w:rsid w:val="009F2199"/>
    <w:rsid w:val="009F5A68"/>
    <w:rsid w:val="00A01331"/>
    <w:rsid w:val="00A12E96"/>
    <w:rsid w:val="00A26FF6"/>
    <w:rsid w:val="00A27DCD"/>
    <w:rsid w:val="00A33088"/>
    <w:rsid w:val="00A35334"/>
    <w:rsid w:val="00A35359"/>
    <w:rsid w:val="00A407B1"/>
    <w:rsid w:val="00A43414"/>
    <w:rsid w:val="00A455CB"/>
    <w:rsid w:val="00A47271"/>
    <w:rsid w:val="00A55851"/>
    <w:rsid w:val="00A572CF"/>
    <w:rsid w:val="00A81ECF"/>
    <w:rsid w:val="00A85667"/>
    <w:rsid w:val="00A858B9"/>
    <w:rsid w:val="00A9091E"/>
    <w:rsid w:val="00A90E74"/>
    <w:rsid w:val="00AA6B34"/>
    <w:rsid w:val="00AB05DE"/>
    <w:rsid w:val="00AB08C9"/>
    <w:rsid w:val="00AB144C"/>
    <w:rsid w:val="00AB2F10"/>
    <w:rsid w:val="00AC0163"/>
    <w:rsid w:val="00AC28EB"/>
    <w:rsid w:val="00AE6788"/>
    <w:rsid w:val="00B03B31"/>
    <w:rsid w:val="00B06AFB"/>
    <w:rsid w:val="00B16818"/>
    <w:rsid w:val="00B23724"/>
    <w:rsid w:val="00B3737E"/>
    <w:rsid w:val="00B41627"/>
    <w:rsid w:val="00B41BE8"/>
    <w:rsid w:val="00B42D32"/>
    <w:rsid w:val="00B42D53"/>
    <w:rsid w:val="00B66AA7"/>
    <w:rsid w:val="00B75477"/>
    <w:rsid w:val="00B805DC"/>
    <w:rsid w:val="00B92B72"/>
    <w:rsid w:val="00BA6898"/>
    <w:rsid w:val="00BA68B1"/>
    <w:rsid w:val="00BB18DC"/>
    <w:rsid w:val="00BB3292"/>
    <w:rsid w:val="00BB3DB3"/>
    <w:rsid w:val="00BB5C31"/>
    <w:rsid w:val="00BD1E82"/>
    <w:rsid w:val="00BD5E28"/>
    <w:rsid w:val="00BE536B"/>
    <w:rsid w:val="00BF05A0"/>
    <w:rsid w:val="00BF62EE"/>
    <w:rsid w:val="00C06922"/>
    <w:rsid w:val="00C14129"/>
    <w:rsid w:val="00C16E3D"/>
    <w:rsid w:val="00C21B6D"/>
    <w:rsid w:val="00C22CB7"/>
    <w:rsid w:val="00C27208"/>
    <w:rsid w:val="00C272F5"/>
    <w:rsid w:val="00C36F84"/>
    <w:rsid w:val="00C37999"/>
    <w:rsid w:val="00C40153"/>
    <w:rsid w:val="00C4386D"/>
    <w:rsid w:val="00C61746"/>
    <w:rsid w:val="00C66D5C"/>
    <w:rsid w:val="00C7390E"/>
    <w:rsid w:val="00CA4066"/>
    <w:rsid w:val="00CA65AB"/>
    <w:rsid w:val="00CB3A34"/>
    <w:rsid w:val="00CD19B1"/>
    <w:rsid w:val="00CE22E8"/>
    <w:rsid w:val="00CE3D26"/>
    <w:rsid w:val="00CE76D5"/>
    <w:rsid w:val="00CE7C49"/>
    <w:rsid w:val="00CF0C08"/>
    <w:rsid w:val="00CF756D"/>
    <w:rsid w:val="00CF771C"/>
    <w:rsid w:val="00D006F6"/>
    <w:rsid w:val="00D014A0"/>
    <w:rsid w:val="00D038D3"/>
    <w:rsid w:val="00D15675"/>
    <w:rsid w:val="00D23259"/>
    <w:rsid w:val="00D24E58"/>
    <w:rsid w:val="00D251A1"/>
    <w:rsid w:val="00D33869"/>
    <w:rsid w:val="00D6261A"/>
    <w:rsid w:val="00D67C05"/>
    <w:rsid w:val="00D705E0"/>
    <w:rsid w:val="00D75108"/>
    <w:rsid w:val="00D81BA5"/>
    <w:rsid w:val="00D82FFC"/>
    <w:rsid w:val="00D840E1"/>
    <w:rsid w:val="00D903C5"/>
    <w:rsid w:val="00D903DB"/>
    <w:rsid w:val="00D968CE"/>
    <w:rsid w:val="00DA0E6F"/>
    <w:rsid w:val="00DA76F4"/>
    <w:rsid w:val="00DB18BB"/>
    <w:rsid w:val="00DB7D9E"/>
    <w:rsid w:val="00DB7E23"/>
    <w:rsid w:val="00DD76FA"/>
    <w:rsid w:val="00DD79B0"/>
    <w:rsid w:val="00DE087F"/>
    <w:rsid w:val="00DE2AFA"/>
    <w:rsid w:val="00DE43AB"/>
    <w:rsid w:val="00DF2CDE"/>
    <w:rsid w:val="00E04C0E"/>
    <w:rsid w:val="00E263FF"/>
    <w:rsid w:val="00E3028E"/>
    <w:rsid w:val="00E359E1"/>
    <w:rsid w:val="00E4503A"/>
    <w:rsid w:val="00E501D5"/>
    <w:rsid w:val="00E53BB2"/>
    <w:rsid w:val="00E555BC"/>
    <w:rsid w:val="00E56A10"/>
    <w:rsid w:val="00E64DBA"/>
    <w:rsid w:val="00E64EAB"/>
    <w:rsid w:val="00E74A51"/>
    <w:rsid w:val="00E91910"/>
    <w:rsid w:val="00E964C4"/>
    <w:rsid w:val="00E96916"/>
    <w:rsid w:val="00EA32D4"/>
    <w:rsid w:val="00EB2D3D"/>
    <w:rsid w:val="00EB5FB6"/>
    <w:rsid w:val="00EC2544"/>
    <w:rsid w:val="00ED4F6D"/>
    <w:rsid w:val="00EE5B1A"/>
    <w:rsid w:val="00EF1A67"/>
    <w:rsid w:val="00EF257B"/>
    <w:rsid w:val="00EF316F"/>
    <w:rsid w:val="00EF600A"/>
    <w:rsid w:val="00F06806"/>
    <w:rsid w:val="00F12807"/>
    <w:rsid w:val="00F15970"/>
    <w:rsid w:val="00F201EF"/>
    <w:rsid w:val="00F23E8E"/>
    <w:rsid w:val="00F37EB1"/>
    <w:rsid w:val="00F40ECE"/>
    <w:rsid w:val="00F42339"/>
    <w:rsid w:val="00F42C6F"/>
    <w:rsid w:val="00F52899"/>
    <w:rsid w:val="00F6137A"/>
    <w:rsid w:val="00F6652D"/>
    <w:rsid w:val="00F71232"/>
    <w:rsid w:val="00F7384C"/>
    <w:rsid w:val="00F91D13"/>
    <w:rsid w:val="00F9232F"/>
    <w:rsid w:val="00F93F3E"/>
    <w:rsid w:val="00F95F2C"/>
    <w:rsid w:val="00FA4FEC"/>
    <w:rsid w:val="00FB55B4"/>
    <w:rsid w:val="00FE469A"/>
    <w:rsid w:val="00FF71F3"/>
    <w:rsid w:val="00FF7D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F3403B"/>
  <w15:chartTrackingRefBased/>
  <w15:docId w15:val="{F0ED59C7-A3C0-4988-99B7-2759A102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5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9E1"/>
  </w:style>
  <w:style w:type="paragraph" w:styleId="Footer">
    <w:name w:val="footer"/>
    <w:basedOn w:val="Normal"/>
    <w:link w:val="FooterChar"/>
    <w:uiPriority w:val="99"/>
    <w:unhideWhenUsed/>
    <w:rsid w:val="00E35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9E1"/>
  </w:style>
  <w:style w:type="character" w:styleId="Hyperlink">
    <w:name w:val="Hyperlink"/>
    <w:basedOn w:val="DefaultParagraphFont"/>
    <w:uiPriority w:val="99"/>
    <w:semiHidden/>
    <w:unhideWhenUsed/>
    <w:rsid w:val="004607A0"/>
    <w:rPr>
      <w:color w:val="0000FF"/>
      <w:u w:val="single"/>
    </w:rPr>
  </w:style>
  <w:style w:type="paragraph" w:styleId="ListParagraph">
    <w:name w:val="List Paragraph"/>
    <w:basedOn w:val="Normal"/>
    <w:uiPriority w:val="34"/>
    <w:qFormat/>
    <w:rsid w:val="00160707"/>
    <w:pPr>
      <w:ind w:left="720"/>
      <w:contextualSpacing/>
    </w:pPr>
  </w:style>
  <w:style w:type="paragraph" w:styleId="BodyText">
    <w:name w:val="Body Text"/>
    <w:basedOn w:val="Normal"/>
    <w:link w:val="BodyTextChar"/>
    <w:uiPriority w:val="1"/>
    <w:qFormat/>
    <w:rsid w:val="004321C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321CB"/>
    <w:rPr>
      <w:rFonts w:ascii="Times New Roman" w:eastAsia="Times New Roman" w:hAnsi="Times New Roman" w:cs="Times New Roman"/>
      <w:sz w:val="24"/>
      <w:szCs w:val="24"/>
    </w:rPr>
  </w:style>
  <w:style w:type="paragraph" w:customStyle="1" w:styleId="pf0">
    <w:name w:val="pf0"/>
    <w:basedOn w:val="Normal"/>
    <w:rsid w:val="009240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240CA"/>
    <w:rPr>
      <w:rFonts w:ascii="Segoe UI" w:hAnsi="Segoe UI" w:cs="Segoe UI" w:hint="default"/>
      <w:sz w:val="18"/>
      <w:szCs w:val="18"/>
    </w:rPr>
  </w:style>
  <w:style w:type="character" w:styleId="CommentReference">
    <w:name w:val="annotation reference"/>
    <w:basedOn w:val="DefaultParagraphFont"/>
    <w:uiPriority w:val="99"/>
    <w:semiHidden/>
    <w:unhideWhenUsed/>
    <w:rsid w:val="00111C2B"/>
    <w:rPr>
      <w:sz w:val="16"/>
      <w:szCs w:val="16"/>
    </w:rPr>
  </w:style>
  <w:style w:type="paragraph" w:styleId="CommentText">
    <w:name w:val="annotation text"/>
    <w:basedOn w:val="Normal"/>
    <w:link w:val="CommentTextChar"/>
    <w:uiPriority w:val="99"/>
    <w:unhideWhenUsed/>
    <w:rsid w:val="00111C2B"/>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111C2B"/>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3d01051b39a985c9bd6cf74f08091c7c">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3f620ef3ca41c1caea218645db729e3e"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45101-6169-4AE3-A9A9-B94A39FCD58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4058CCB4-5E1E-4812-84B1-561492417C70}">
  <ds:schemaRefs>
    <ds:schemaRef ds:uri="http://schemas.microsoft.com/sharepoint/v3/contenttype/forms"/>
  </ds:schemaRefs>
</ds:datastoreItem>
</file>

<file path=customXml/itemProps3.xml><?xml version="1.0" encoding="utf-8"?>
<ds:datastoreItem xmlns:ds="http://schemas.openxmlformats.org/officeDocument/2006/customXml" ds:itemID="{F1490AB5-7824-45F3-887E-963C96924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D3D0D7-020C-42E8-9C3B-EB2B20238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2179</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2024-08-14T19:49:00Z</dcterms:created>
  <dcterms:modified xsi:type="dcterms:W3CDTF">2024-08-14T19:49:00Z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