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52E7" w:rsidP="00D53E2F" w14:paraId="5D1E045D" w14:textId="77777777">
      <w:pPr>
        <w:widowControl/>
        <w:tabs>
          <w:tab w:val="center" w:pos="5040"/>
        </w:tabs>
        <w:rPr>
          <w:sz w:val="26"/>
          <w:szCs w:val="26"/>
        </w:rPr>
      </w:pPr>
      <w:r>
        <w:rPr>
          <w:sz w:val="26"/>
          <w:szCs w:val="26"/>
        </w:rPr>
        <w:t>Supporting Statement for</w:t>
      </w:r>
    </w:p>
    <w:p w:rsidR="002652E7" w:rsidP="00C45955" w14:paraId="639A4796" w14:textId="77777777">
      <w:pPr>
        <w:jc w:val="center"/>
        <w:rPr>
          <w:b/>
          <w:sz w:val="26"/>
          <w:szCs w:val="26"/>
        </w:rPr>
      </w:pPr>
      <w:r>
        <w:rPr>
          <w:b/>
          <w:bCs/>
          <w:sz w:val="26"/>
          <w:szCs w:val="26"/>
        </w:rPr>
        <w:t>FERC</w:t>
      </w:r>
      <w:r>
        <w:rPr>
          <w:b/>
          <w:bCs/>
          <w:sz w:val="26"/>
          <w:szCs w:val="26"/>
        </w:rPr>
        <w:noBreakHyphen/>
      </w:r>
      <w:r w:rsidR="00FF75D4">
        <w:rPr>
          <w:b/>
          <w:bCs/>
          <w:sz w:val="26"/>
          <w:szCs w:val="26"/>
        </w:rPr>
        <w:t>725</w:t>
      </w:r>
      <w:r w:rsidR="00CF4AD0">
        <w:rPr>
          <w:b/>
          <w:bCs/>
          <w:sz w:val="26"/>
          <w:szCs w:val="26"/>
        </w:rPr>
        <w:t>F</w:t>
      </w:r>
      <w:r>
        <w:rPr>
          <w:b/>
          <w:bCs/>
          <w:sz w:val="26"/>
          <w:szCs w:val="26"/>
        </w:rPr>
        <w:t xml:space="preserve">, </w:t>
      </w:r>
      <w:r w:rsidRPr="00CF4AD0" w:rsidR="00CF4AD0">
        <w:rPr>
          <w:b/>
          <w:sz w:val="26"/>
          <w:szCs w:val="26"/>
        </w:rPr>
        <w:t>Mandatory Reliability Standard for Nuclear Plant Interface Coordination</w:t>
      </w:r>
    </w:p>
    <w:p w:rsidR="00AE2C77" w:rsidRPr="00AE2C77" w:rsidP="00C45955" w14:paraId="0FA23E75" w14:textId="6A487F05">
      <w:pPr>
        <w:jc w:val="center"/>
        <w:rPr>
          <w:bCs/>
          <w:sz w:val="26"/>
          <w:szCs w:val="26"/>
        </w:rPr>
      </w:pPr>
      <w:r w:rsidRPr="00AE2C77">
        <w:rPr>
          <w:bCs/>
          <w:sz w:val="26"/>
          <w:szCs w:val="26"/>
        </w:rPr>
        <w:t>Extension</w:t>
      </w:r>
    </w:p>
    <w:p w:rsidR="0020213D" w:rsidRPr="0020213D" w:rsidP="0029129B" w14:paraId="30B94399" w14:textId="2C5FEBD9">
      <w:pPr>
        <w:jc w:val="center"/>
      </w:pPr>
    </w:p>
    <w:p w:rsidR="002652E7" w14:paraId="4E6312F5" w14:textId="77777777">
      <w:pPr>
        <w:widowControl/>
        <w:rPr>
          <w:sz w:val="26"/>
          <w:szCs w:val="26"/>
        </w:rPr>
      </w:pPr>
    </w:p>
    <w:p w:rsidR="002652E7" w:rsidP="00DD2E30" w14:paraId="49DB1AB1" w14:textId="157D6614">
      <w:pPr>
        <w:widowControl/>
        <w:rPr>
          <w:sz w:val="26"/>
          <w:szCs w:val="26"/>
        </w:rPr>
      </w:pPr>
      <w:r>
        <w:rPr>
          <w:sz w:val="26"/>
          <w:szCs w:val="26"/>
        </w:rPr>
        <w:t>The Federal Energy Re</w:t>
      </w:r>
      <w:r w:rsidR="00581E3F">
        <w:rPr>
          <w:sz w:val="26"/>
          <w:szCs w:val="26"/>
        </w:rPr>
        <w:t>gulatory Commission (Commission or FERC)</w:t>
      </w:r>
      <w:r>
        <w:rPr>
          <w:sz w:val="26"/>
          <w:szCs w:val="26"/>
        </w:rPr>
        <w:t xml:space="preserve"> requests that the Office of Management and Budget (OMB) </w:t>
      </w:r>
      <w:r w:rsidR="00BA1472">
        <w:rPr>
          <w:sz w:val="26"/>
          <w:szCs w:val="26"/>
        </w:rPr>
        <w:t xml:space="preserve">review and </w:t>
      </w:r>
      <w:r>
        <w:rPr>
          <w:sz w:val="26"/>
          <w:szCs w:val="26"/>
        </w:rPr>
        <w:t xml:space="preserve">approve </w:t>
      </w:r>
      <w:bookmarkStart w:id="0" w:name="OLE_LINK1"/>
      <w:bookmarkStart w:id="1" w:name="OLE_LINK2"/>
      <w:r w:rsidR="003A2E89">
        <w:rPr>
          <w:sz w:val="26"/>
          <w:szCs w:val="26"/>
        </w:rPr>
        <w:t xml:space="preserve">the </w:t>
      </w:r>
      <w:r w:rsidRPr="00EF5209">
        <w:rPr>
          <w:bCs/>
          <w:sz w:val="26"/>
          <w:szCs w:val="26"/>
        </w:rPr>
        <w:t>FERC</w:t>
      </w:r>
      <w:r w:rsidRPr="00EF5209">
        <w:rPr>
          <w:bCs/>
          <w:sz w:val="26"/>
          <w:szCs w:val="26"/>
        </w:rPr>
        <w:noBreakHyphen/>
      </w:r>
      <w:r w:rsidRPr="00EF5209" w:rsidR="00FF75D4">
        <w:rPr>
          <w:bCs/>
          <w:sz w:val="26"/>
          <w:szCs w:val="26"/>
        </w:rPr>
        <w:t>72</w:t>
      </w:r>
      <w:r w:rsidRPr="00EF5209">
        <w:rPr>
          <w:bCs/>
          <w:sz w:val="26"/>
          <w:szCs w:val="26"/>
        </w:rPr>
        <w:t>5</w:t>
      </w:r>
      <w:r w:rsidRPr="00EF5209" w:rsidR="00CF4AD0">
        <w:rPr>
          <w:bCs/>
          <w:sz w:val="26"/>
          <w:szCs w:val="26"/>
        </w:rPr>
        <w:t>F</w:t>
      </w:r>
      <w:bookmarkEnd w:id="0"/>
      <w:bookmarkEnd w:id="1"/>
      <w:r w:rsidRPr="00EF5209" w:rsidR="00D63D76">
        <w:rPr>
          <w:bCs/>
          <w:sz w:val="26"/>
          <w:szCs w:val="26"/>
        </w:rPr>
        <w:t>, Mandatory R</w:t>
      </w:r>
      <w:r w:rsidRPr="00EF5209" w:rsidR="00FF75D4">
        <w:rPr>
          <w:bCs/>
          <w:sz w:val="26"/>
          <w:szCs w:val="26"/>
        </w:rPr>
        <w:t xml:space="preserve">eliability </w:t>
      </w:r>
      <w:r w:rsidRPr="00EF5209" w:rsidR="00D63D76">
        <w:rPr>
          <w:bCs/>
          <w:sz w:val="26"/>
          <w:szCs w:val="26"/>
        </w:rPr>
        <w:t>Standard</w:t>
      </w:r>
      <w:r w:rsidRPr="00EF5209" w:rsidR="004E60B6">
        <w:rPr>
          <w:bCs/>
          <w:sz w:val="26"/>
          <w:szCs w:val="26"/>
        </w:rPr>
        <w:t xml:space="preserve"> for </w:t>
      </w:r>
      <w:r w:rsidRPr="00EF5209" w:rsidR="00CF4AD0">
        <w:rPr>
          <w:bCs/>
          <w:sz w:val="26"/>
          <w:szCs w:val="26"/>
        </w:rPr>
        <w:t xml:space="preserve">Nuclear Plant Interface </w:t>
      </w:r>
      <w:r w:rsidRPr="00EF5209" w:rsidR="00E05765">
        <w:rPr>
          <w:bCs/>
          <w:sz w:val="26"/>
          <w:szCs w:val="26"/>
        </w:rPr>
        <w:t>C</w:t>
      </w:r>
      <w:r w:rsidRPr="00EF5209" w:rsidR="00CF4AD0">
        <w:rPr>
          <w:bCs/>
          <w:sz w:val="26"/>
          <w:szCs w:val="26"/>
        </w:rPr>
        <w:t>oordination</w:t>
      </w:r>
      <w:r>
        <w:rPr>
          <w:sz w:val="26"/>
          <w:szCs w:val="26"/>
        </w:rPr>
        <w:t xml:space="preserve">, </w:t>
      </w:r>
      <w:r w:rsidR="00432C10">
        <w:rPr>
          <w:sz w:val="26"/>
          <w:szCs w:val="26"/>
        </w:rPr>
        <w:t>for a three</w:t>
      </w:r>
      <w:r w:rsidR="00105D59">
        <w:rPr>
          <w:sz w:val="26"/>
          <w:szCs w:val="26"/>
        </w:rPr>
        <w:t>-</w:t>
      </w:r>
      <w:r w:rsidR="00432C10">
        <w:rPr>
          <w:sz w:val="26"/>
          <w:szCs w:val="26"/>
        </w:rPr>
        <w:t>year period</w:t>
      </w:r>
      <w:r>
        <w:rPr>
          <w:sz w:val="26"/>
          <w:szCs w:val="26"/>
        </w:rPr>
        <w:t>.  FERC-</w:t>
      </w:r>
      <w:r w:rsidR="00FF75D4">
        <w:rPr>
          <w:sz w:val="26"/>
          <w:szCs w:val="26"/>
        </w:rPr>
        <w:t>725</w:t>
      </w:r>
      <w:r w:rsidR="00CF4AD0">
        <w:rPr>
          <w:sz w:val="26"/>
          <w:szCs w:val="26"/>
        </w:rPr>
        <w:t>F</w:t>
      </w:r>
      <w:r>
        <w:rPr>
          <w:sz w:val="26"/>
          <w:szCs w:val="26"/>
        </w:rPr>
        <w:t xml:space="preserve"> is </w:t>
      </w:r>
      <w:r w:rsidR="00146836">
        <w:rPr>
          <w:sz w:val="26"/>
          <w:szCs w:val="26"/>
        </w:rPr>
        <w:t>an existing</w:t>
      </w:r>
      <w:r>
        <w:rPr>
          <w:sz w:val="26"/>
          <w:szCs w:val="26"/>
        </w:rPr>
        <w:t xml:space="preserve"> Commission data collection</w:t>
      </w:r>
      <w:r w:rsidR="002908DF">
        <w:rPr>
          <w:sz w:val="26"/>
          <w:szCs w:val="26"/>
        </w:rPr>
        <w:t>, as stated</w:t>
      </w:r>
      <w:r>
        <w:rPr>
          <w:sz w:val="26"/>
          <w:szCs w:val="26"/>
        </w:rPr>
        <w:t xml:space="preserve"> </w:t>
      </w:r>
      <w:r w:rsidR="002908DF">
        <w:rPr>
          <w:sz w:val="26"/>
          <w:szCs w:val="26"/>
        </w:rPr>
        <w:t>by</w:t>
      </w:r>
      <w:r>
        <w:rPr>
          <w:sz w:val="26"/>
          <w:szCs w:val="26"/>
        </w:rPr>
        <w:t xml:space="preserve"> 18 Code of Federal Regulations, Part </w:t>
      </w:r>
      <w:r w:rsidR="00D63D76">
        <w:rPr>
          <w:sz w:val="26"/>
          <w:szCs w:val="26"/>
        </w:rPr>
        <w:t>40</w:t>
      </w:r>
      <w:r>
        <w:rPr>
          <w:sz w:val="26"/>
          <w:szCs w:val="26"/>
        </w:rPr>
        <w:t xml:space="preserve">. </w:t>
      </w:r>
      <w:r w:rsidR="00EF5209">
        <w:rPr>
          <w:sz w:val="26"/>
          <w:szCs w:val="26"/>
        </w:rPr>
        <w:t xml:space="preserve"> </w:t>
      </w:r>
    </w:p>
    <w:p w:rsidR="00635789" w14:paraId="7DFFD6D9" w14:textId="77777777">
      <w:pPr>
        <w:widowControl/>
        <w:ind w:firstLine="720"/>
        <w:rPr>
          <w:sz w:val="26"/>
          <w:szCs w:val="26"/>
        </w:rPr>
      </w:pPr>
    </w:p>
    <w:p w:rsidR="00F6674E" w:rsidRPr="00F6674E" w:rsidP="00DD2E30" w14:paraId="5AE234F2" w14:textId="58F5BD43">
      <w:pPr>
        <w:widowControl/>
        <w:spacing w:after="260"/>
        <w:rPr>
          <w:sz w:val="26"/>
          <w:szCs w:val="26"/>
        </w:rPr>
      </w:pPr>
      <w:r w:rsidRPr="541D18E1">
        <w:rPr>
          <w:b/>
          <w:bCs/>
          <w:sz w:val="26"/>
          <w:szCs w:val="26"/>
        </w:rPr>
        <w:t xml:space="preserve">Background.  </w:t>
      </w:r>
      <w:r w:rsidRPr="00090B70" w:rsidR="00EF5209">
        <w:rPr>
          <w:sz w:val="26"/>
          <w:szCs w:val="26"/>
        </w:rPr>
        <w:t>FERC-</w:t>
      </w:r>
      <w:r w:rsidR="00EF5209">
        <w:rPr>
          <w:sz w:val="26"/>
          <w:szCs w:val="26"/>
        </w:rPr>
        <w:t>725F includes only one Reliability Standard (NUC-001-</w:t>
      </w:r>
      <w:r w:rsidR="002C602D">
        <w:rPr>
          <w:sz w:val="26"/>
          <w:szCs w:val="26"/>
        </w:rPr>
        <w:t>4</w:t>
      </w:r>
      <w:r>
        <w:rPr>
          <w:rStyle w:val="FootnoteReference"/>
          <w:b/>
          <w:bCs/>
          <w:sz w:val="26"/>
          <w:szCs w:val="26"/>
          <w:vertAlign w:val="superscript"/>
        </w:rPr>
        <w:footnoteReference w:id="3"/>
      </w:r>
      <w:r w:rsidR="00EF5209">
        <w:rPr>
          <w:sz w:val="26"/>
          <w:szCs w:val="26"/>
        </w:rPr>
        <w:t xml:space="preserve">).  </w:t>
      </w:r>
      <w:r w:rsidRPr="00F6674E">
        <w:rPr>
          <w:sz w:val="26"/>
          <w:szCs w:val="26"/>
        </w:rPr>
        <w:t xml:space="preserve">Compliance with </w:t>
      </w:r>
      <w:r w:rsidR="00817057">
        <w:rPr>
          <w:sz w:val="26"/>
          <w:szCs w:val="26"/>
        </w:rPr>
        <w:t>th</w:t>
      </w:r>
      <w:r w:rsidR="008F1DE0">
        <w:rPr>
          <w:sz w:val="26"/>
          <w:szCs w:val="26"/>
        </w:rPr>
        <w:t>is</w:t>
      </w:r>
      <w:r w:rsidRPr="00F6674E">
        <w:rPr>
          <w:sz w:val="26"/>
          <w:szCs w:val="26"/>
        </w:rPr>
        <w:t xml:space="preserve"> Reliability Standard </w:t>
      </w:r>
      <w:r w:rsidR="00864143">
        <w:rPr>
          <w:sz w:val="26"/>
          <w:szCs w:val="26"/>
        </w:rPr>
        <w:t>is</w:t>
      </w:r>
      <w:r w:rsidRPr="00F6674E">
        <w:rPr>
          <w:sz w:val="26"/>
          <w:szCs w:val="26"/>
        </w:rPr>
        <w:t xml:space="preserve"> mandatory and enforceable for the applicable categories of entities identified in </w:t>
      </w:r>
      <w:r w:rsidR="008F1DE0">
        <w:rPr>
          <w:sz w:val="26"/>
          <w:szCs w:val="26"/>
        </w:rPr>
        <w:t>the</w:t>
      </w:r>
      <w:r w:rsidRPr="00F6674E">
        <w:rPr>
          <w:sz w:val="26"/>
          <w:szCs w:val="26"/>
        </w:rPr>
        <w:t xml:space="preserve"> Reliability Standard.  Reliability Standards are approved by the Commission pursuant to its authority under section 215 of the F</w:t>
      </w:r>
      <w:r w:rsidR="0072779B">
        <w:rPr>
          <w:sz w:val="26"/>
          <w:szCs w:val="26"/>
        </w:rPr>
        <w:t>ederal Power Act (F</w:t>
      </w:r>
      <w:r w:rsidRPr="00F6674E">
        <w:rPr>
          <w:sz w:val="26"/>
          <w:szCs w:val="26"/>
        </w:rPr>
        <w:t>PA</w:t>
      </w:r>
      <w:r w:rsidR="0072779B">
        <w:rPr>
          <w:sz w:val="26"/>
          <w:szCs w:val="26"/>
        </w:rPr>
        <w:t>)</w:t>
      </w:r>
      <w:r w:rsidRPr="00F6674E">
        <w:rPr>
          <w:sz w:val="26"/>
          <w:szCs w:val="26"/>
        </w:rPr>
        <w:t xml:space="preserve">, which authorizes the Commission to approve </w:t>
      </w:r>
      <w:r w:rsidR="00511A5D">
        <w:rPr>
          <w:sz w:val="26"/>
          <w:szCs w:val="26"/>
        </w:rPr>
        <w:t xml:space="preserve">a </w:t>
      </w:r>
      <w:r w:rsidRPr="00F6674E">
        <w:rPr>
          <w:sz w:val="26"/>
          <w:szCs w:val="26"/>
        </w:rPr>
        <w:t>Reliability Standard proposed by the E</w:t>
      </w:r>
      <w:r w:rsidR="004E60B6">
        <w:rPr>
          <w:sz w:val="26"/>
          <w:szCs w:val="26"/>
        </w:rPr>
        <w:t xml:space="preserve">lectric </w:t>
      </w:r>
      <w:r w:rsidRPr="00F6674E">
        <w:rPr>
          <w:sz w:val="26"/>
          <w:szCs w:val="26"/>
        </w:rPr>
        <w:t>R</w:t>
      </w:r>
      <w:r w:rsidR="004E60B6">
        <w:rPr>
          <w:sz w:val="26"/>
          <w:szCs w:val="26"/>
        </w:rPr>
        <w:t xml:space="preserve">eliability </w:t>
      </w:r>
      <w:r w:rsidRPr="00F6674E">
        <w:rPr>
          <w:sz w:val="26"/>
          <w:szCs w:val="26"/>
        </w:rPr>
        <w:t>O</w:t>
      </w:r>
      <w:r w:rsidR="004E60B6">
        <w:rPr>
          <w:sz w:val="26"/>
          <w:szCs w:val="26"/>
        </w:rPr>
        <w:t>rganization (ERO)</w:t>
      </w:r>
      <w:r w:rsidRPr="00F6674E">
        <w:rPr>
          <w:sz w:val="26"/>
          <w:szCs w:val="26"/>
        </w:rPr>
        <w:t xml:space="preserve"> if the Commission determines that it is just and reasonable, not unduly </w:t>
      </w:r>
      <w:r w:rsidRPr="00F6674E">
        <w:rPr>
          <w:sz w:val="26"/>
          <w:szCs w:val="26"/>
        </w:rPr>
        <w:t>discriminatory</w:t>
      </w:r>
      <w:r w:rsidRPr="00F6674E">
        <w:rPr>
          <w:sz w:val="26"/>
          <w:szCs w:val="26"/>
        </w:rPr>
        <w:t xml:space="preserve"> or preferential and in the public </w:t>
      </w:r>
      <w:r w:rsidRPr="00C31731">
        <w:rPr>
          <w:sz w:val="26"/>
          <w:szCs w:val="26"/>
        </w:rPr>
        <w:t xml:space="preserve">interest. </w:t>
      </w:r>
      <w:r w:rsidRPr="00992564" w:rsidR="00992564">
        <w:rPr>
          <w:sz w:val="26"/>
          <w:szCs w:val="26"/>
        </w:rPr>
        <w:t>The NERC petition states as the load-serving entity is no longer a NERC registration category, NERC proposes to remove this entity from the list of applicable transmission entities in the applicability section of proposed Reliability Standard NUC-001-4. Removing this function from the list of transmission entities will not change the estimated burden associated with this standard.</w:t>
      </w:r>
    </w:p>
    <w:p w:rsidR="002652E7" w:rsidRPr="00725DEB" w14:paraId="33161A55" w14:textId="77777777">
      <w:pPr>
        <w:widowControl/>
        <w:tabs>
          <w:tab w:val="left" w:pos="-1440"/>
        </w:tabs>
        <w:rPr>
          <w:rFonts w:ascii="Times New Roman Bold" w:hAnsi="Times New Roman Bold"/>
          <w:b/>
          <w:sz w:val="26"/>
          <w:szCs w:val="26"/>
        </w:rPr>
      </w:pPr>
      <w:r w:rsidRPr="00725DEB">
        <w:rPr>
          <w:rFonts w:ascii="Times New Roman Bold" w:hAnsi="Times New Roman Bold"/>
          <w:b/>
          <w:sz w:val="26"/>
          <w:szCs w:val="26"/>
        </w:rPr>
        <w:t>A.</w:t>
      </w:r>
      <w:r w:rsidRPr="00725DEB">
        <w:rPr>
          <w:rFonts w:ascii="Times New Roman Bold" w:hAnsi="Times New Roman Bold"/>
          <w:b/>
          <w:sz w:val="26"/>
          <w:szCs w:val="26"/>
        </w:rPr>
        <w:tab/>
      </w:r>
      <w:r w:rsidRPr="00725DEB">
        <w:rPr>
          <w:rFonts w:ascii="Times New Roman Bold" w:hAnsi="Times New Roman Bold"/>
          <w:b/>
          <w:sz w:val="26"/>
          <w:szCs w:val="26"/>
          <w:u w:val="single"/>
        </w:rPr>
        <w:t>Justification</w:t>
      </w:r>
    </w:p>
    <w:p w:rsidR="002652E7" w14:paraId="71FCF05D" w14:textId="77777777">
      <w:pPr>
        <w:widowControl/>
        <w:rPr>
          <w:sz w:val="26"/>
          <w:szCs w:val="26"/>
        </w:rPr>
      </w:pPr>
    </w:p>
    <w:p w:rsidR="002652E7" w:rsidP="00C45955" w14:paraId="0F9E168D" w14:textId="77777777">
      <w:pPr>
        <w:widowControl/>
        <w:tabs>
          <w:tab w:val="left" w:pos="-1440"/>
        </w:tabs>
        <w:ind w:left="720" w:hanging="720"/>
        <w:rPr>
          <w:b/>
          <w:bCs/>
          <w:sz w:val="26"/>
          <w:szCs w:val="26"/>
        </w:rPr>
      </w:pPr>
      <w:r>
        <w:rPr>
          <w:sz w:val="26"/>
          <w:szCs w:val="26"/>
        </w:rPr>
        <w:t>1.</w:t>
      </w:r>
      <w:r>
        <w:rPr>
          <w:sz w:val="26"/>
          <w:szCs w:val="26"/>
        </w:rPr>
        <w:tab/>
      </w:r>
      <w:r>
        <w:rPr>
          <w:b/>
          <w:bCs/>
          <w:sz w:val="26"/>
          <w:szCs w:val="26"/>
        </w:rPr>
        <w:t>CIRCUMSTANCES THAT MAKE THE COLLECTION OF INFORMATION NECESSARY</w:t>
      </w:r>
    </w:p>
    <w:p w:rsidR="00227745" w:rsidP="00B520A0" w14:paraId="3ED3CEF4" w14:textId="77777777">
      <w:pPr>
        <w:widowControl/>
        <w:rPr>
          <w:sz w:val="26"/>
        </w:rPr>
      </w:pPr>
    </w:p>
    <w:p w:rsidR="00B520A0" w:rsidRPr="00B520A0" w:rsidP="00B520A0" w14:paraId="5EB7352A" w14:textId="77777777">
      <w:pPr>
        <w:widowControl/>
        <w:rPr>
          <w:sz w:val="26"/>
        </w:rPr>
      </w:pPr>
      <w:r w:rsidRPr="541D18E1">
        <w:rPr>
          <w:sz w:val="26"/>
          <w:szCs w:val="26"/>
        </w:rPr>
        <w:t>In the aftermath of the 1965 Blackout in the northeast United States, the electric industry established the North American Electric Reliability Council (NERC)</w:t>
      </w:r>
      <w:r>
        <w:rPr>
          <w:sz w:val="26"/>
          <w:szCs w:val="26"/>
          <w:vertAlign w:val="superscript"/>
        </w:rPr>
        <w:footnoteReference w:id="4"/>
      </w:r>
      <w:r w:rsidRPr="541D18E1">
        <w:rPr>
          <w:sz w:val="26"/>
          <w:szCs w:val="26"/>
        </w:rPr>
        <w:t xml:space="preserve">, a voluntary reliability organization.  Since its inception, NERC has developed Operating Policies and Planning Standards that provide voluntary guidelines for operating and planning the North American bulk-power system.  In April 2005, NERC adopted “Version 0” reliability standards that translated the NERC Operating Policies, Planning </w:t>
      </w:r>
      <w:r w:rsidRPr="541D18E1">
        <w:rPr>
          <w:sz w:val="26"/>
          <w:szCs w:val="26"/>
        </w:rPr>
        <w:t>Standards</w:t>
      </w:r>
      <w:r w:rsidRPr="541D18E1">
        <w:rPr>
          <w:sz w:val="26"/>
          <w:szCs w:val="26"/>
        </w:rPr>
        <w:t xml:space="preserve"> and compliance requirements into a comprehensible set of measurable standards.  While NERC had developed a compliance enforcement program to ensure compliance with the reliability standards it developed, industry </w:t>
      </w:r>
      <w:r w:rsidRPr="541D18E1">
        <w:rPr>
          <w:sz w:val="26"/>
          <w:szCs w:val="26"/>
        </w:rPr>
        <w:t>compliance had been voluntary and not subject to mandatory enforcement penalties.  Although NERC’s efforts had been important in maintaining the reliability of the nation’s bulk-power system, NERC itself had recognized the need for mandatory, enforceable reliability standards and had been a proponent of legislation to establish a FERC-jurisdictional ERO that would propose and enforce mandatory reliability standards.</w:t>
      </w:r>
    </w:p>
    <w:p w:rsidR="00434EC0" w:rsidP="00511A5D" w14:paraId="357F73E2" w14:textId="77777777">
      <w:pPr>
        <w:widowControl/>
        <w:rPr>
          <w:sz w:val="26"/>
        </w:rPr>
      </w:pPr>
    </w:p>
    <w:p w:rsidR="00511A5D" w:rsidRPr="00511A5D" w:rsidP="00511A5D" w14:paraId="758D86F4" w14:textId="77777777">
      <w:pPr>
        <w:widowControl/>
        <w:rPr>
          <w:sz w:val="26"/>
        </w:rPr>
      </w:pPr>
      <w:r w:rsidRPr="541D18E1">
        <w:rPr>
          <w:sz w:val="26"/>
          <w:szCs w:val="26"/>
        </w:rPr>
        <w:t>On August 8, 2005, the Electricity Modernization Act of 2005, which is Title XII, Subtitle A, of the Energy Policy Act of 2005 (</w:t>
      </w:r>
      <w:r w:rsidRPr="541D18E1">
        <w:rPr>
          <w:sz w:val="26"/>
          <w:szCs w:val="26"/>
        </w:rPr>
        <w:t>EPAct</w:t>
      </w:r>
      <w:r w:rsidRPr="541D18E1">
        <w:rPr>
          <w:sz w:val="26"/>
          <w:szCs w:val="26"/>
        </w:rPr>
        <w:t xml:space="preserve"> 2005), was enacted into law.</w:t>
      </w:r>
      <w:r>
        <w:rPr>
          <w:b/>
          <w:bCs/>
          <w:sz w:val="26"/>
          <w:szCs w:val="26"/>
          <w:vertAlign w:val="superscript"/>
        </w:rPr>
        <w:footnoteReference w:id="5"/>
      </w:r>
      <w:r w:rsidRPr="541D18E1">
        <w:rPr>
          <w:sz w:val="26"/>
          <w:szCs w:val="26"/>
          <w:vertAlign w:val="superscript"/>
        </w:rPr>
        <w:t xml:space="preserve"> </w:t>
      </w:r>
      <w:r w:rsidRPr="541D18E1">
        <w:rPr>
          <w:sz w:val="26"/>
          <w:szCs w:val="26"/>
        </w:rPr>
        <w:t xml:space="preserve"> </w:t>
      </w:r>
      <w:r w:rsidRPr="541D18E1">
        <w:rPr>
          <w:sz w:val="26"/>
          <w:szCs w:val="26"/>
        </w:rPr>
        <w:t>EPAct</w:t>
      </w:r>
      <w:r w:rsidRPr="541D18E1">
        <w:rPr>
          <w:sz w:val="26"/>
          <w:szCs w:val="26"/>
        </w:rPr>
        <w:t> 2005 added section 215 to the FPA, which requires a Commission-certified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Pr>
          <w:b/>
          <w:bCs/>
          <w:sz w:val="26"/>
          <w:szCs w:val="26"/>
          <w:vertAlign w:val="superscript"/>
        </w:rPr>
        <w:footnoteReference w:id="6"/>
      </w:r>
    </w:p>
    <w:p w:rsidR="00B520A0" w:rsidRPr="00B520A0" w:rsidP="00B520A0" w14:paraId="517F4762" w14:textId="77777777">
      <w:pPr>
        <w:widowControl/>
        <w:rPr>
          <w:sz w:val="26"/>
          <w:szCs w:val="26"/>
        </w:rPr>
      </w:pPr>
    </w:p>
    <w:p w:rsidR="00B520A0" w:rsidRPr="00B520A0" w:rsidP="00B520A0" w14:paraId="1AE2677A" w14:textId="77777777">
      <w:pPr>
        <w:widowControl/>
        <w:rPr>
          <w:sz w:val="26"/>
        </w:rPr>
      </w:pPr>
      <w:r w:rsidRPr="541D18E1">
        <w:rPr>
          <w:sz w:val="26"/>
          <w:szCs w:val="26"/>
        </w:rPr>
        <w:t>On February 3, 2006, the Commission issued Order No. 672, implementing section 215 of the FPA.</w:t>
      </w:r>
      <w:r>
        <w:rPr>
          <w:b/>
          <w:bCs/>
          <w:sz w:val="26"/>
          <w:szCs w:val="26"/>
          <w:vertAlign w:val="superscript"/>
        </w:rPr>
        <w:footnoteReference w:id="7"/>
      </w:r>
      <w:r w:rsidRPr="541D18E1">
        <w:rPr>
          <w:sz w:val="26"/>
          <w:szCs w:val="26"/>
        </w:rPr>
        <w:t xml:space="preserve">  Pursuant to Order No. 672, the Commission certified one organization, NERC, as the ERO.</w:t>
      </w:r>
      <w:r>
        <w:rPr>
          <w:b/>
          <w:bCs/>
          <w:sz w:val="26"/>
          <w:szCs w:val="26"/>
          <w:vertAlign w:val="superscript"/>
        </w:rPr>
        <w:footnoteReference w:id="8"/>
      </w:r>
      <w:r w:rsidRPr="541D18E1">
        <w:rPr>
          <w:sz w:val="26"/>
          <w:szCs w:val="26"/>
        </w:rPr>
        <w:t xml:space="preserve">  The Reliability Standards developed by the ERO and approved by the Commission apply to users, </w:t>
      </w:r>
      <w:r w:rsidRPr="541D18E1">
        <w:rPr>
          <w:sz w:val="26"/>
          <w:szCs w:val="26"/>
        </w:rPr>
        <w:t>owners</w:t>
      </w:r>
      <w:r w:rsidRPr="541D18E1">
        <w:rPr>
          <w:sz w:val="26"/>
          <w:szCs w:val="26"/>
        </w:rPr>
        <w:t xml:space="preserve"> and operators of the Bulk-Power System, as set forth in each Reliability Standard.  </w:t>
      </w:r>
    </w:p>
    <w:p w:rsidR="00B520A0" w:rsidRPr="00B520A0" w:rsidP="00B520A0" w14:paraId="7AA863DF" w14:textId="77777777">
      <w:pPr>
        <w:widowControl/>
        <w:ind w:firstLine="720"/>
        <w:rPr>
          <w:sz w:val="26"/>
        </w:rPr>
      </w:pPr>
    </w:p>
    <w:p w:rsidR="00B520A0" w:rsidRPr="00B520A0" w:rsidP="00B520A0" w14:paraId="290C56D4" w14:textId="77777777">
      <w:pPr>
        <w:widowControl/>
        <w:rPr>
          <w:sz w:val="26"/>
        </w:rPr>
      </w:pPr>
      <w:r w:rsidRPr="541D18E1">
        <w:rPr>
          <w:sz w:val="26"/>
          <w:szCs w:val="26"/>
        </w:rPr>
        <w:t>In accordance with section 215(d)(2) of the FPA and § 39.5(c) of the Commission’s regulations, the Commission is required to give due weight to the technical expertise of the ERO with respect to the content of a Reliability Standard or to a Regional Entity organized on an Interconnection-wide basis with respect to a proposed Reliability Standard or a proposed modification to a Reliability Standard to be applicable within that Interconnection.</w:t>
      </w:r>
      <w:r>
        <w:rPr>
          <w:b/>
          <w:bCs/>
          <w:sz w:val="26"/>
          <w:szCs w:val="26"/>
          <w:vertAlign w:val="superscript"/>
        </w:rPr>
        <w:footnoteReference w:id="9"/>
      </w:r>
    </w:p>
    <w:p w:rsidR="00B520A0" w:rsidRPr="00B520A0" w:rsidP="00B520A0" w14:paraId="596BBD62" w14:textId="77777777">
      <w:pPr>
        <w:widowControl/>
        <w:ind w:firstLine="720"/>
        <w:rPr>
          <w:sz w:val="26"/>
        </w:rPr>
      </w:pPr>
    </w:p>
    <w:p w:rsidR="00B520A0" w:rsidRPr="00B520A0" w:rsidP="00B520A0" w14:paraId="154D458D" w14:textId="3CE695A4">
      <w:pPr>
        <w:widowControl/>
        <w:rPr>
          <w:b/>
          <w:bCs/>
          <w:color w:val="000080"/>
          <w:sz w:val="26"/>
        </w:rPr>
      </w:pPr>
      <w:r w:rsidRPr="541D18E1">
        <w:rPr>
          <w:sz w:val="26"/>
          <w:szCs w:val="26"/>
        </w:rPr>
        <w:t xml:space="preserve">The ERO must file with the Commission each new or modified Reliability Standard that it proposes to be made effective </w:t>
      </w:r>
      <w:r w:rsidRPr="541D18E1" w:rsidR="00090B70">
        <w:rPr>
          <w:sz w:val="26"/>
          <w:szCs w:val="26"/>
        </w:rPr>
        <w:t xml:space="preserve">(or standard proposed for deletion) </w:t>
      </w:r>
      <w:r w:rsidRPr="541D18E1">
        <w:rPr>
          <w:sz w:val="26"/>
          <w:szCs w:val="26"/>
        </w:rPr>
        <w:t xml:space="preserve">under section 215 of the FPA.  The Commission can then approve or remand the Reliability Standard.  The Commission also can, among other actions, direct the ERO to modify an approved Reliability Standard to address </w:t>
      </w:r>
      <w:r w:rsidRPr="541D18E1">
        <w:rPr>
          <w:sz w:val="26"/>
          <w:szCs w:val="26"/>
        </w:rPr>
        <w:t>a specific matter if it considers this appropriate to carry out section 215 of the FPA.</w:t>
      </w:r>
      <w:r>
        <w:rPr>
          <w:b/>
          <w:bCs/>
          <w:sz w:val="26"/>
          <w:szCs w:val="26"/>
          <w:vertAlign w:val="superscript"/>
        </w:rPr>
        <w:footnoteReference w:id="10"/>
      </w:r>
      <w:r w:rsidRPr="541D18E1">
        <w:rPr>
          <w:sz w:val="26"/>
          <w:szCs w:val="26"/>
        </w:rPr>
        <w:t xml:space="preserve">  Only Reliability Standards approved by the Commission will become mandatory and enforceable.</w:t>
      </w:r>
      <w:r w:rsidRPr="541D18E1">
        <w:rPr>
          <w:b/>
          <w:bCs/>
          <w:color w:val="000080"/>
          <w:sz w:val="26"/>
          <w:szCs w:val="26"/>
        </w:rPr>
        <w:t xml:space="preserve">  </w:t>
      </w:r>
    </w:p>
    <w:p w:rsidR="00B520A0" w:rsidRPr="00B520A0" w:rsidP="00B520A0" w14:paraId="5071E9BE" w14:textId="77777777">
      <w:pPr>
        <w:widowControl/>
        <w:ind w:firstLine="720"/>
        <w:rPr>
          <w:b/>
          <w:bCs/>
          <w:color w:val="000080"/>
          <w:sz w:val="26"/>
        </w:rPr>
      </w:pPr>
    </w:p>
    <w:p w:rsidR="00B520A0" w:rsidRPr="00B520A0" w:rsidP="00B520A0" w14:paraId="3D210EB7" w14:textId="143B173D">
      <w:pPr>
        <w:widowControl/>
        <w:rPr>
          <w:color w:val="000000"/>
          <w:sz w:val="26"/>
          <w:szCs w:val="26"/>
        </w:rPr>
      </w:pPr>
      <w:r w:rsidRPr="00B520A0">
        <w:rPr>
          <w:color w:val="000000"/>
          <w:sz w:val="26"/>
          <w:szCs w:val="26"/>
        </w:rPr>
        <w:t xml:space="preserve">A Reliability Standard defines obligations or requirements of utilities and other entities that operate, </w:t>
      </w:r>
      <w:r w:rsidRPr="00B520A0">
        <w:rPr>
          <w:color w:val="000000"/>
          <w:sz w:val="26"/>
          <w:szCs w:val="26"/>
        </w:rPr>
        <w:t>plan</w:t>
      </w:r>
      <w:r w:rsidRPr="00B520A0">
        <w:rPr>
          <w:color w:val="000000"/>
          <w:sz w:val="26"/>
          <w:szCs w:val="26"/>
        </w:rPr>
        <w:t xml:space="preserve"> and use the Bulk Power System in North America.  Meeting these requirements helps ensure the reliable planning and operation of the Bulk Power System.  Each NERC Reliability Standard details the purpose of the standard, the entities that must comply, the specific actions that constitute compliance, and how the standard </w:t>
      </w:r>
      <w:r w:rsidR="003A2E89">
        <w:rPr>
          <w:color w:val="000000"/>
          <w:sz w:val="26"/>
          <w:szCs w:val="26"/>
        </w:rPr>
        <w:t xml:space="preserve">and compliance </w:t>
      </w:r>
      <w:r w:rsidRPr="00B520A0">
        <w:rPr>
          <w:color w:val="000000"/>
          <w:sz w:val="26"/>
          <w:szCs w:val="26"/>
        </w:rPr>
        <w:t xml:space="preserve">will be measured. </w:t>
      </w:r>
    </w:p>
    <w:p w:rsidR="00B520A0" w:rsidRPr="00B520A0" w:rsidP="00B520A0" w14:paraId="383E6383" w14:textId="77777777">
      <w:pPr>
        <w:widowControl/>
        <w:ind w:firstLine="360"/>
        <w:rPr>
          <w:color w:val="000000"/>
          <w:sz w:val="26"/>
          <w:szCs w:val="26"/>
        </w:rPr>
      </w:pPr>
    </w:p>
    <w:p w:rsidR="00B520A0" w:rsidP="00B520A0" w14:paraId="4C7C7B0C" w14:textId="69D4586D">
      <w:pPr>
        <w:widowControl/>
        <w:rPr>
          <w:color w:val="000000"/>
          <w:sz w:val="26"/>
          <w:szCs w:val="26"/>
        </w:rPr>
      </w:pPr>
      <w:r w:rsidRPr="00B520A0">
        <w:rPr>
          <w:color w:val="000000"/>
          <w:sz w:val="26"/>
          <w:szCs w:val="26"/>
        </w:rPr>
        <w:t xml:space="preserve">Reliability Standards address aspects of the operation and planning of the bulk power system such as: real-time transmission operations, balancing load and generation, emergency operations, system restoration and </w:t>
      </w:r>
      <w:r w:rsidRPr="00B520A0">
        <w:rPr>
          <w:color w:val="000000"/>
          <w:sz w:val="26"/>
          <w:szCs w:val="26"/>
        </w:rPr>
        <w:t>blackstart</w:t>
      </w:r>
      <w:r w:rsidRPr="00B520A0">
        <w:rPr>
          <w:color w:val="000000"/>
          <w:sz w:val="26"/>
          <w:szCs w:val="26"/>
        </w:rPr>
        <w:t xml:space="preserve">, voltage control, cyber security, vegetation management, facility ratings, disturbance reporting, connecting facilities to the grid, certifying system operators, and personnel training.  The Reliability Standards detail how the system should perform, but not how the system should be designed.  Individual owners, operators and users of the bulk power system determine if the system should be expanded or changed, and how, </w:t>
      </w:r>
      <w:r w:rsidRPr="00B520A0">
        <w:rPr>
          <w:color w:val="000000"/>
          <w:sz w:val="26"/>
          <w:szCs w:val="26"/>
        </w:rPr>
        <w:t>in order to</w:t>
      </w:r>
      <w:r w:rsidRPr="00B520A0">
        <w:rPr>
          <w:color w:val="000000"/>
          <w:sz w:val="26"/>
          <w:szCs w:val="26"/>
        </w:rPr>
        <w:t xml:space="preserve"> achieve the intent of the Standards. </w:t>
      </w:r>
    </w:p>
    <w:p w:rsidR="007A43AC" w:rsidP="007A43AC" w14:paraId="3771319B" w14:textId="77777777">
      <w:pPr>
        <w:pStyle w:val="FERCparanumber"/>
        <w:numPr>
          <w:ilvl w:val="0"/>
          <w:numId w:val="0"/>
        </w:numPr>
        <w:spacing w:line="240" w:lineRule="auto"/>
        <w:rPr>
          <w:szCs w:val="26"/>
        </w:rPr>
      </w:pPr>
    </w:p>
    <w:p w:rsidR="007A43AC" w:rsidRPr="007A43AC" w:rsidP="007A43AC" w14:paraId="125145A3" w14:textId="1BC29262">
      <w:pPr>
        <w:pStyle w:val="FERCparanumber"/>
        <w:numPr>
          <w:ilvl w:val="0"/>
          <w:numId w:val="0"/>
        </w:numPr>
        <w:spacing w:line="240" w:lineRule="auto"/>
      </w:pPr>
      <w:r w:rsidRPr="541D18E1">
        <w:t>On February 21, 2020, NERC filed a petition in Docket No. RD20-4-000</w:t>
      </w:r>
      <w:r>
        <w:rPr>
          <w:b/>
          <w:bCs/>
          <w:vertAlign w:val="superscript"/>
        </w:rPr>
        <w:footnoteReference w:id="11"/>
      </w:r>
      <w:r w:rsidRPr="541D18E1">
        <w:t xml:space="preserve"> requesting Commission approval of Reliability Standard NUC-001-4 (Nuclear Plant Interface Coordination</w:t>
      </w:r>
      <w:r w:rsidRPr="541D18E1">
        <w:t>)</w:t>
      </w:r>
      <w:r>
        <w:rPr>
          <w:szCs w:val="26"/>
        </w:rPr>
        <w:t>.</w:t>
      </w:r>
      <w:r w:rsidR="00D53E2F">
        <w:t>RD</w:t>
      </w:r>
      <w:r w:rsidR="00D53E2F">
        <w:t xml:space="preserve">20-4-000 </w:t>
      </w:r>
      <w:r w:rsidRPr="541D18E1" w:rsidR="008A0F72">
        <w:t xml:space="preserve"> </w:t>
      </w:r>
      <w:r w:rsidRPr="541D18E1" w:rsidR="63FF39F9">
        <w:t>revised</w:t>
      </w:r>
      <w:r w:rsidRPr="541D18E1" w:rsidR="008A0F72">
        <w:t xml:space="preserve"> th</w:t>
      </w:r>
      <w:r w:rsidRPr="541D18E1" w:rsidR="621E38DA">
        <w:t>e</w:t>
      </w:r>
      <w:r w:rsidRPr="541D18E1" w:rsidR="008A0F72">
        <w:t xml:space="preserve"> </w:t>
      </w:r>
      <w:r w:rsidRPr="541D18E1" w:rsidR="0F3768C1">
        <w:t>reliability standard</w:t>
      </w:r>
      <w:r w:rsidRPr="541D18E1" w:rsidR="008A0F72">
        <w:t xml:space="preserve"> by removing the load-serving entity (LSE) function in the applicability section of proposed Reliability Standard NUC-001-4. </w:t>
      </w:r>
      <w:r w:rsidR="00BC00CF">
        <w:rPr>
          <w:szCs w:val="26"/>
        </w:rPr>
        <w:t xml:space="preserve"> </w:t>
      </w:r>
      <w:r w:rsidRPr="541D18E1" w:rsidR="00BC00CF">
        <w:t>LSE was just one of ten other entities that are under the umbrella of Transmission Entities and most of the previous LSE are still applicable to the standard based on other registered functions</w:t>
      </w:r>
      <w:r w:rsidR="008A0F72">
        <w:rPr>
          <w:szCs w:val="26"/>
        </w:rPr>
        <w:t xml:space="preserve">. </w:t>
      </w:r>
    </w:p>
    <w:p w:rsidR="0008027D" w:rsidRPr="00B520A0" w:rsidP="00105F15" w14:paraId="5E8948C2" w14:textId="77777777">
      <w:pPr>
        <w:widowControl/>
        <w:ind w:firstLine="720"/>
        <w:rPr>
          <w:sz w:val="26"/>
        </w:rPr>
      </w:pPr>
    </w:p>
    <w:p w:rsidR="00B520A0" w:rsidRPr="00B520A0" w:rsidP="00B520A0" w14:paraId="53B92CAB" w14:textId="3D1C55C0">
      <w:pPr>
        <w:widowControl/>
        <w:rPr>
          <w:b/>
          <w:sz w:val="26"/>
          <w:szCs w:val="26"/>
          <w:u w:val="single"/>
        </w:rPr>
      </w:pPr>
      <w:r w:rsidRPr="00B520A0">
        <w:rPr>
          <w:b/>
          <w:sz w:val="26"/>
          <w:szCs w:val="26"/>
          <w:u w:val="single"/>
        </w:rPr>
        <w:t>Reliability Standard NUC-001</w:t>
      </w:r>
      <w:r w:rsidR="006120A9">
        <w:rPr>
          <w:b/>
          <w:sz w:val="26"/>
          <w:szCs w:val="26"/>
          <w:u w:val="single"/>
        </w:rPr>
        <w:t>-</w:t>
      </w:r>
      <w:r w:rsidR="00F419DB">
        <w:rPr>
          <w:b/>
          <w:sz w:val="26"/>
          <w:szCs w:val="26"/>
          <w:u w:val="single"/>
        </w:rPr>
        <w:t>4</w:t>
      </w:r>
    </w:p>
    <w:p w:rsidR="006E42C9" w:rsidP="00BC13BC" w14:paraId="122FBDCC" w14:textId="77777777">
      <w:pPr>
        <w:pStyle w:val="FERCparanumber"/>
        <w:numPr>
          <w:ilvl w:val="0"/>
          <w:numId w:val="0"/>
        </w:numPr>
        <w:spacing w:line="240" w:lineRule="auto"/>
        <w:rPr>
          <w:szCs w:val="26"/>
        </w:rPr>
      </w:pPr>
    </w:p>
    <w:p w:rsidR="00F814B5" w:rsidRPr="003777CC" w:rsidP="00DD2E30" w14:paraId="13E55162" w14:textId="419D6498">
      <w:pPr>
        <w:pStyle w:val="LegalFormat"/>
        <w:numPr>
          <w:ilvl w:val="0"/>
          <w:numId w:val="0"/>
        </w:numPr>
        <w:spacing w:line="240" w:lineRule="auto"/>
        <w:rPr>
          <w:u w:val="none"/>
        </w:rPr>
      </w:pPr>
      <w:r w:rsidRPr="003777CC">
        <w:rPr>
          <w:u w:val="none"/>
        </w:rPr>
        <w:t>The Reliability Standard</w:t>
      </w:r>
      <w:r w:rsidR="006E42C9">
        <w:rPr>
          <w:u w:val="none"/>
        </w:rPr>
        <w:t>s</w:t>
      </w:r>
      <w:r w:rsidRPr="003777CC">
        <w:rPr>
          <w:u w:val="none"/>
        </w:rPr>
        <w:t xml:space="preserve"> implement the Congressional mandate of </w:t>
      </w:r>
      <w:r w:rsidR="00736C10">
        <w:rPr>
          <w:u w:val="none"/>
        </w:rPr>
        <w:t xml:space="preserve">EPACT </w:t>
      </w:r>
      <w:r w:rsidRPr="003777CC">
        <w:rPr>
          <w:u w:val="none"/>
        </w:rPr>
        <w:t xml:space="preserve">2005 to develop mandatory and enforceable Reliability Standards to better ensure the reliability of the nation’s Bulk-Power System.  Specifically, the </w:t>
      </w:r>
      <w:r w:rsidR="00E9727D">
        <w:rPr>
          <w:u w:val="none"/>
        </w:rPr>
        <w:t>Nuclear</w:t>
      </w:r>
      <w:r w:rsidRPr="003777CC">
        <w:rPr>
          <w:u w:val="none"/>
        </w:rPr>
        <w:t xml:space="preserve"> Reliability Standard</w:t>
      </w:r>
      <w:r w:rsidR="00E9727D">
        <w:rPr>
          <w:u w:val="none"/>
        </w:rPr>
        <w:t xml:space="preserve"> NUC</w:t>
      </w:r>
      <w:r w:rsidR="00E9727D">
        <w:rPr>
          <w:u w:val="none"/>
        </w:rPr>
        <w:noBreakHyphen/>
        <w:t>001</w:t>
      </w:r>
      <w:r w:rsidR="00E9727D">
        <w:rPr>
          <w:u w:val="none"/>
        </w:rPr>
        <w:noBreakHyphen/>
      </w:r>
      <w:r w:rsidR="00F419DB">
        <w:rPr>
          <w:u w:val="none"/>
        </w:rPr>
        <w:t>4</w:t>
      </w:r>
      <w:r w:rsidR="006120A9">
        <w:rPr>
          <w:u w:val="none"/>
        </w:rPr>
        <w:t xml:space="preserve"> </w:t>
      </w:r>
      <w:r w:rsidRPr="003777CC">
        <w:rPr>
          <w:u w:val="none"/>
        </w:rPr>
        <w:t>ensure</w:t>
      </w:r>
      <w:r w:rsidR="00E9727D">
        <w:rPr>
          <w:u w:val="none"/>
        </w:rPr>
        <w:t>s</w:t>
      </w:r>
      <w:r w:rsidRPr="003777CC">
        <w:rPr>
          <w:u w:val="none"/>
        </w:rPr>
        <w:t xml:space="preserve"> that system opera</w:t>
      </w:r>
      <w:r w:rsidR="004207A2">
        <w:rPr>
          <w:u w:val="none"/>
        </w:rPr>
        <w:t>ting limits (SOL</w:t>
      </w:r>
      <w:r w:rsidR="0069429F">
        <w:rPr>
          <w:u w:val="none"/>
        </w:rPr>
        <w:t>s</w:t>
      </w:r>
      <w:r w:rsidR="004207A2">
        <w:rPr>
          <w:u w:val="none"/>
        </w:rPr>
        <w:t>)</w:t>
      </w:r>
      <w:r w:rsidRPr="003777CC">
        <w:rPr>
          <w:u w:val="none"/>
        </w:rPr>
        <w:t xml:space="preserve"> used in the reliability planning and operation of the Bulk-Power System are coordinated with nuclear licensing requirements to ensure the safe operation and shut down of nuclear power plants.</w:t>
      </w:r>
    </w:p>
    <w:p w:rsidR="00F814B5" w:rsidRPr="003777CC" w:rsidP="00915711" w14:paraId="5F6FD04D" w14:textId="77777777">
      <w:pPr>
        <w:pStyle w:val="FERCparanumber"/>
        <w:widowControl/>
        <w:numPr>
          <w:ilvl w:val="0"/>
          <w:numId w:val="0"/>
        </w:numPr>
        <w:spacing w:line="240" w:lineRule="auto"/>
        <w:ind w:firstLine="720"/>
      </w:pPr>
    </w:p>
    <w:p w:rsidR="002652E7" w:rsidP="00C45955" w14:paraId="5F97008C" w14:textId="77777777">
      <w:pPr>
        <w:widowControl/>
        <w:ind w:left="720" w:hanging="720"/>
        <w:rPr>
          <w:b/>
          <w:bCs/>
          <w:sz w:val="26"/>
          <w:szCs w:val="26"/>
        </w:rPr>
      </w:pPr>
      <w:r>
        <w:rPr>
          <w:sz w:val="26"/>
          <w:szCs w:val="26"/>
        </w:rPr>
        <w:t>2.</w:t>
      </w:r>
      <w:r>
        <w:rPr>
          <w:sz w:val="26"/>
          <w:szCs w:val="26"/>
        </w:rPr>
        <w:tab/>
      </w:r>
      <w:r>
        <w:rPr>
          <w:b/>
          <w:bCs/>
          <w:sz w:val="26"/>
          <w:szCs w:val="26"/>
        </w:rPr>
        <w:t>HOW, BY WHOM, AND FOR WHAT PURPOSE THE INFORMATION IS TO BE USED AND THE CONSEQUENCES OF NOT COLLECTING THE INFORMATION</w:t>
      </w:r>
    </w:p>
    <w:p w:rsidR="002F6267" w:rsidP="005D2E54" w14:paraId="3EFCEE40" w14:textId="77777777">
      <w:pPr>
        <w:widowControl/>
        <w:ind w:firstLine="720"/>
        <w:rPr>
          <w:sz w:val="26"/>
          <w:szCs w:val="26"/>
        </w:rPr>
      </w:pPr>
    </w:p>
    <w:p w:rsidR="000230FC" w:rsidP="00DD2E30" w14:paraId="16A31C64" w14:textId="01CC2520">
      <w:pPr>
        <w:pStyle w:val="FERCparanumber"/>
        <w:widowControl/>
        <w:numPr>
          <w:ilvl w:val="0"/>
          <w:numId w:val="0"/>
        </w:numPr>
        <w:spacing w:line="240" w:lineRule="auto"/>
      </w:pPr>
      <w:r>
        <w:t>Reliability Standard NUC-001-</w:t>
      </w:r>
      <w:r w:rsidR="00F419DB">
        <w:t>4</w:t>
      </w:r>
      <w:r>
        <w:t xml:space="preserve"> applies to nuclear plant generator operators</w:t>
      </w:r>
      <w:r>
        <w:t>;</w:t>
      </w:r>
      <w:r>
        <w:t xml:space="preserve"> transmission </w:t>
      </w:r>
      <w:r>
        <w:t>operators, owners, planners, and service providers;</w:t>
      </w:r>
      <w:r w:rsidR="006120A9">
        <w:t xml:space="preserve"> </w:t>
      </w:r>
      <w:r>
        <w:t>balancing authorities; reliability coordinators; planning coordinators; distribution providers; load-serving entities; and generator owners and operators.</w:t>
      </w:r>
      <w:r w:rsidR="008C6DBC">
        <w:t xml:space="preserve"> </w:t>
      </w:r>
      <w:r w:rsidRPr="0034350E">
        <w:t>Reliability Standard NUC-</w:t>
      </w:r>
      <w:r w:rsidRPr="000230FC">
        <w:t>001-</w:t>
      </w:r>
      <w:r w:rsidR="00F419DB">
        <w:t>4</w:t>
      </w:r>
      <w:r w:rsidRPr="000230FC">
        <w:t xml:space="preserve"> requires coordination between Nuclear Plant Generator Operators and Transmission Entities for the purpose of ensuring safe operation and shutdown of nuclear power plants.</w:t>
      </w:r>
      <w:r w:rsidR="008C6DBC">
        <w:t xml:space="preserve"> </w:t>
      </w:r>
      <w:r w:rsidRPr="00596CCE" w:rsidR="008C6DBC">
        <w:rPr>
          <w:szCs w:val="26"/>
        </w:rPr>
        <w:t xml:space="preserve">The NUC-001-4 Reliability Standard requires the Nuclear Plant Generator Operators and Transmission Entities to which they interconnect to execute and implement interface agreements for coordinating operations to meet nuclear licensing requirements.  These agreements must incorporate Nuclear Plant Interface Requirements (NPIRs) into their operating analyses of the Bulk Electric System (BES) and operate the Transmission system to comply with the NPIRs.  </w:t>
      </w:r>
    </w:p>
    <w:p w:rsidR="00D0799F" w:rsidP="00DD2E30" w14:paraId="2D4FBD1B" w14:textId="67168C79">
      <w:pPr>
        <w:pStyle w:val="FERCparanumber"/>
        <w:widowControl/>
        <w:numPr>
          <w:ilvl w:val="0"/>
          <w:numId w:val="0"/>
        </w:numPr>
        <w:spacing w:line="240" w:lineRule="auto"/>
      </w:pPr>
    </w:p>
    <w:p w:rsidR="00D0799F" w:rsidRPr="00596CCE" w:rsidP="00D0799F" w14:paraId="4B3BD440" w14:textId="4254509C">
      <w:pPr>
        <w:widowControl/>
        <w:rPr>
          <w:b/>
          <w:bCs/>
          <w:sz w:val="26"/>
          <w:szCs w:val="26"/>
          <w:u w:val="single"/>
        </w:rPr>
      </w:pPr>
      <w:r w:rsidRPr="00596CCE">
        <w:rPr>
          <w:b/>
          <w:bCs/>
          <w:sz w:val="26"/>
          <w:szCs w:val="26"/>
          <w:u w:val="single"/>
        </w:rPr>
        <w:t>Requirements and Measures</w:t>
      </w:r>
    </w:p>
    <w:p w:rsidR="00596CCE" w:rsidRPr="00596CCE" w:rsidP="00D0799F" w14:paraId="37A536CE" w14:textId="77777777">
      <w:pPr>
        <w:widowControl/>
        <w:rPr>
          <w:b/>
          <w:bCs/>
          <w:color w:val="264D74"/>
          <w:sz w:val="26"/>
          <w:szCs w:val="26"/>
          <w:u w:val="single"/>
        </w:rPr>
      </w:pPr>
    </w:p>
    <w:p w:rsidR="00D0799F" w:rsidRPr="00596CCE" w:rsidP="00D0799F" w14:paraId="514A78E9" w14:textId="77777777">
      <w:pPr>
        <w:widowControl/>
        <w:rPr>
          <w:color w:val="000000"/>
          <w:sz w:val="26"/>
          <w:szCs w:val="26"/>
        </w:rPr>
      </w:pPr>
      <w:r w:rsidRPr="00596CCE">
        <w:rPr>
          <w:b/>
          <w:bCs/>
          <w:color w:val="000000"/>
          <w:sz w:val="26"/>
          <w:szCs w:val="26"/>
        </w:rPr>
        <w:t xml:space="preserve">R1. </w:t>
      </w:r>
      <w:r w:rsidRPr="00596CCE">
        <w:rPr>
          <w:color w:val="000000"/>
          <w:sz w:val="26"/>
          <w:szCs w:val="26"/>
        </w:rPr>
        <w:t>The Nuclear Plant Generator Operator shall provide the proposed NPIRs in writing to</w:t>
      </w:r>
    </w:p>
    <w:p w:rsidR="00D0799F" w:rsidRPr="00596CCE" w:rsidP="00596CCE" w14:paraId="68EC8F5B" w14:textId="055E5DB1">
      <w:pPr>
        <w:widowControl/>
        <w:rPr>
          <w:i/>
          <w:iCs/>
          <w:color w:val="000000"/>
          <w:sz w:val="26"/>
          <w:szCs w:val="26"/>
        </w:rPr>
      </w:pPr>
      <w:r w:rsidRPr="00596CCE">
        <w:rPr>
          <w:color w:val="000000"/>
          <w:sz w:val="26"/>
          <w:szCs w:val="26"/>
        </w:rPr>
        <w:t xml:space="preserve">the applicable Transmission Entities and shall verify receipt. </w:t>
      </w:r>
    </w:p>
    <w:p w:rsidR="00D0799F" w:rsidRPr="00596CCE" w:rsidP="00D0799F" w14:paraId="56447764" w14:textId="77777777">
      <w:pPr>
        <w:widowControl/>
        <w:rPr>
          <w:color w:val="000000"/>
          <w:sz w:val="26"/>
          <w:szCs w:val="26"/>
        </w:rPr>
      </w:pPr>
      <w:r w:rsidRPr="00596CCE">
        <w:rPr>
          <w:b/>
          <w:bCs/>
          <w:color w:val="000000"/>
          <w:sz w:val="26"/>
          <w:szCs w:val="26"/>
        </w:rPr>
        <w:t xml:space="preserve">M1. </w:t>
      </w:r>
      <w:r w:rsidRPr="00596CCE">
        <w:rPr>
          <w:color w:val="000000"/>
          <w:sz w:val="26"/>
          <w:szCs w:val="26"/>
        </w:rPr>
        <w:t>The Nuclear Plant Generator Operator shall, upon request of the Compliance</w:t>
      </w:r>
    </w:p>
    <w:p w:rsidR="00D0799F" w:rsidRPr="00596CCE" w:rsidP="00D0799F" w14:paraId="1BA50F4C" w14:textId="77777777">
      <w:pPr>
        <w:widowControl/>
        <w:rPr>
          <w:color w:val="000000"/>
          <w:sz w:val="26"/>
          <w:szCs w:val="26"/>
        </w:rPr>
      </w:pPr>
      <w:r w:rsidRPr="00596CCE">
        <w:rPr>
          <w:color w:val="000000"/>
          <w:sz w:val="26"/>
          <w:szCs w:val="26"/>
        </w:rPr>
        <w:t>Enforcement Authority, provide a copy of the transmittal and receipt of transmittal of</w:t>
      </w:r>
    </w:p>
    <w:p w:rsidR="00D0799F" w:rsidRPr="00596CCE" w:rsidP="00D0799F" w14:paraId="26489387" w14:textId="77777777">
      <w:pPr>
        <w:widowControl/>
        <w:rPr>
          <w:color w:val="000000"/>
          <w:sz w:val="26"/>
          <w:szCs w:val="26"/>
        </w:rPr>
      </w:pPr>
      <w:r w:rsidRPr="00596CCE">
        <w:rPr>
          <w:color w:val="000000"/>
          <w:sz w:val="26"/>
          <w:szCs w:val="26"/>
        </w:rPr>
        <w:t>the proposed NPIRs to the responsible Transmission Entities.</w:t>
      </w:r>
    </w:p>
    <w:p w:rsidR="00D0799F" w:rsidRPr="00596CCE" w:rsidP="00D0799F" w14:paraId="49506F5E" w14:textId="77777777">
      <w:pPr>
        <w:widowControl/>
        <w:rPr>
          <w:color w:val="000000"/>
          <w:sz w:val="26"/>
          <w:szCs w:val="26"/>
        </w:rPr>
      </w:pPr>
      <w:r w:rsidRPr="00596CCE">
        <w:rPr>
          <w:b/>
          <w:bCs/>
          <w:color w:val="000000"/>
          <w:sz w:val="26"/>
          <w:szCs w:val="26"/>
        </w:rPr>
        <w:t xml:space="preserve">R2. </w:t>
      </w:r>
      <w:r w:rsidRPr="00596CCE">
        <w:rPr>
          <w:color w:val="000000"/>
          <w:sz w:val="26"/>
          <w:szCs w:val="26"/>
        </w:rPr>
        <w:t>The Nuclear Plant Generator Operator and the applicable Transmission Entities shall</w:t>
      </w:r>
    </w:p>
    <w:p w:rsidR="00D0799F" w:rsidRPr="00596CCE" w:rsidP="00D0799F" w14:paraId="2DCD545F" w14:textId="0FB8FDE4">
      <w:pPr>
        <w:widowControl/>
        <w:rPr>
          <w:color w:val="000000"/>
          <w:sz w:val="26"/>
          <w:szCs w:val="26"/>
        </w:rPr>
      </w:pPr>
      <w:r w:rsidRPr="00596CCE">
        <w:rPr>
          <w:color w:val="000000"/>
          <w:sz w:val="26"/>
          <w:szCs w:val="26"/>
        </w:rPr>
        <w:t>have in effect one or more Agreements that include mutually agreed to NPIRs and</w:t>
      </w:r>
    </w:p>
    <w:p w:rsidR="00D0799F" w:rsidRPr="00596CCE" w:rsidP="00D0799F" w14:paraId="392A9794" w14:textId="77777777">
      <w:pPr>
        <w:widowControl/>
        <w:rPr>
          <w:color w:val="000000"/>
          <w:sz w:val="26"/>
          <w:szCs w:val="26"/>
        </w:rPr>
      </w:pPr>
      <w:r w:rsidRPr="00596CCE">
        <w:rPr>
          <w:color w:val="000000"/>
          <w:sz w:val="26"/>
          <w:szCs w:val="26"/>
        </w:rPr>
        <w:t>document how the Nuclear Plant Generator Operator and the applicable Transmission</w:t>
      </w:r>
    </w:p>
    <w:p w:rsidR="00D0799F" w:rsidRPr="00596CCE" w:rsidP="00596CCE" w14:paraId="2734E196" w14:textId="103CF6B7">
      <w:pPr>
        <w:widowControl/>
        <w:rPr>
          <w:i/>
          <w:iCs/>
          <w:color w:val="000000"/>
          <w:sz w:val="26"/>
          <w:szCs w:val="26"/>
        </w:rPr>
      </w:pPr>
      <w:r w:rsidRPr="00596CCE">
        <w:rPr>
          <w:color w:val="000000"/>
          <w:sz w:val="26"/>
          <w:szCs w:val="26"/>
        </w:rPr>
        <w:t xml:space="preserve">Entities shall address and implement these NPIRs. </w:t>
      </w:r>
    </w:p>
    <w:p w:rsidR="00D0799F" w:rsidRPr="00596CCE" w:rsidP="00D0799F" w14:paraId="32BEF7DB" w14:textId="77777777">
      <w:pPr>
        <w:widowControl/>
        <w:rPr>
          <w:color w:val="000000"/>
          <w:sz w:val="26"/>
          <w:szCs w:val="26"/>
        </w:rPr>
      </w:pPr>
      <w:r w:rsidRPr="00596CCE">
        <w:rPr>
          <w:b/>
          <w:bCs/>
          <w:color w:val="000000"/>
          <w:sz w:val="26"/>
          <w:szCs w:val="26"/>
        </w:rPr>
        <w:t xml:space="preserve">M2. </w:t>
      </w:r>
      <w:r w:rsidRPr="00596CCE">
        <w:rPr>
          <w:color w:val="000000"/>
          <w:sz w:val="26"/>
          <w:szCs w:val="26"/>
        </w:rPr>
        <w:t>The Nuclear Plant Generator Operator and each Transmission Entity shall each have a</w:t>
      </w:r>
    </w:p>
    <w:p w:rsidR="00D0799F" w:rsidRPr="00596CCE" w:rsidP="00D0799F" w14:paraId="63376785" w14:textId="77777777">
      <w:pPr>
        <w:widowControl/>
        <w:rPr>
          <w:color w:val="000000"/>
          <w:sz w:val="26"/>
          <w:szCs w:val="26"/>
        </w:rPr>
      </w:pPr>
      <w:r w:rsidRPr="00596CCE">
        <w:rPr>
          <w:color w:val="000000"/>
          <w:sz w:val="26"/>
          <w:szCs w:val="26"/>
        </w:rPr>
        <w:t>copy of the currently effective Agreement(s) which document how the Nuclear Plant</w:t>
      </w:r>
    </w:p>
    <w:p w:rsidR="00D0799F" w:rsidRPr="00596CCE" w:rsidP="00D0799F" w14:paraId="5F8B46C9" w14:textId="77777777">
      <w:pPr>
        <w:widowControl/>
        <w:rPr>
          <w:color w:val="000000"/>
          <w:sz w:val="26"/>
          <w:szCs w:val="26"/>
        </w:rPr>
      </w:pPr>
      <w:r w:rsidRPr="00596CCE">
        <w:rPr>
          <w:color w:val="000000"/>
          <w:sz w:val="26"/>
          <w:szCs w:val="26"/>
        </w:rPr>
        <w:t xml:space="preserve">Generator Operator and the applicable Transmission Entities address and </w:t>
      </w:r>
      <w:r w:rsidRPr="00596CCE">
        <w:rPr>
          <w:color w:val="000000"/>
          <w:sz w:val="26"/>
          <w:szCs w:val="26"/>
        </w:rPr>
        <w:t>implement</w:t>
      </w:r>
    </w:p>
    <w:p w:rsidR="00D0799F" w:rsidRPr="00596CCE" w:rsidP="00D0799F" w14:paraId="7D277551" w14:textId="77777777">
      <w:pPr>
        <w:widowControl/>
        <w:rPr>
          <w:color w:val="000000"/>
          <w:sz w:val="26"/>
          <w:szCs w:val="26"/>
        </w:rPr>
      </w:pPr>
      <w:r w:rsidRPr="00596CCE">
        <w:rPr>
          <w:color w:val="000000"/>
          <w:sz w:val="26"/>
          <w:szCs w:val="26"/>
        </w:rPr>
        <w:t>the NPIRs available for inspection upon request of the Compliance Enforcement</w:t>
      </w:r>
    </w:p>
    <w:p w:rsidR="00D0799F" w:rsidRPr="00596CCE" w:rsidP="00D0799F" w14:paraId="6DCC9EA2" w14:textId="77777777">
      <w:pPr>
        <w:widowControl/>
        <w:rPr>
          <w:color w:val="000000"/>
          <w:sz w:val="26"/>
          <w:szCs w:val="26"/>
        </w:rPr>
      </w:pPr>
      <w:r w:rsidRPr="00596CCE">
        <w:rPr>
          <w:color w:val="000000"/>
          <w:sz w:val="26"/>
          <w:szCs w:val="26"/>
        </w:rPr>
        <w:t>Authority.</w:t>
      </w:r>
    </w:p>
    <w:p w:rsidR="00D0799F" w:rsidRPr="00596CCE" w:rsidP="00D0799F" w14:paraId="5DEE9094" w14:textId="77777777">
      <w:pPr>
        <w:widowControl/>
        <w:rPr>
          <w:color w:val="000000"/>
          <w:sz w:val="26"/>
          <w:szCs w:val="26"/>
        </w:rPr>
      </w:pPr>
      <w:r w:rsidRPr="00596CCE">
        <w:rPr>
          <w:b/>
          <w:bCs/>
          <w:color w:val="000000"/>
          <w:sz w:val="26"/>
          <w:szCs w:val="26"/>
        </w:rPr>
        <w:t xml:space="preserve">R3. </w:t>
      </w:r>
      <w:r w:rsidRPr="00596CCE">
        <w:rPr>
          <w:color w:val="000000"/>
          <w:sz w:val="26"/>
          <w:szCs w:val="26"/>
        </w:rPr>
        <w:t>Per the Agreements developed in accordance with this standard, the applicable</w:t>
      </w:r>
    </w:p>
    <w:p w:rsidR="00D0799F" w:rsidRPr="00596CCE" w:rsidP="00D0799F" w14:paraId="242D74FB" w14:textId="77777777">
      <w:pPr>
        <w:widowControl/>
        <w:rPr>
          <w:color w:val="000000"/>
          <w:sz w:val="26"/>
          <w:szCs w:val="26"/>
        </w:rPr>
      </w:pPr>
      <w:r w:rsidRPr="00596CCE">
        <w:rPr>
          <w:color w:val="000000"/>
          <w:sz w:val="26"/>
          <w:szCs w:val="26"/>
        </w:rPr>
        <w:t>Transmission Entities shall incorporate the NPIRs into their planning analyses of the</w:t>
      </w:r>
    </w:p>
    <w:p w:rsidR="00D0799F" w:rsidRPr="00596CCE" w:rsidP="00D0799F" w14:paraId="7EED7448" w14:textId="77777777">
      <w:pPr>
        <w:widowControl/>
        <w:rPr>
          <w:color w:val="000000"/>
          <w:sz w:val="26"/>
          <w:szCs w:val="26"/>
        </w:rPr>
      </w:pPr>
      <w:r w:rsidRPr="00596CCE">
        <w:rPr>
          <w:color w:val="000000"/>
          <w:sz w:val="26"/>
          <w:szCs w:val="26"/>
        </w:rPr>
        <w:t>electric system and shall communicate the results of these analyses to the Nuclear</w:t>
      </w:r>
    </w:p>
    <w:p w:rsidR="00D0799F" w:rsidRPr="00596CCE" w:rsidP="00596CCE" w14:paraId="7D1CD92F" w14:textId="3BF90DB9">
      <w:pPr>
        <w:widowControl/>
        <w:rPr>
          <w:i/>
          <w:iCs/>
          <w:color w:val="000000"/>
          <w:sz w:val="26"/>
          <w:szCs w:val="26"/>
        </w:rPr>
      </w:pPr>
      <w:r w:rsidRPr="00596CCE">
        <w:rPr>
          <w:color w:val="000000"/>
          <w:sz w:val="26"/>
          <w:szCs w:val="26"/>
        </w:rPr>
        <w:t>Plant Generator Operator</w:t>
      </w:r>
      <w:r w:rsidR="00596CCE">
        <w:rPr>
          <w:color w:val="000000"/>
          <w:sz w:val="26"/>
          <w:szCs w:val="26"/>
        </w:rPr>
        <w:t>.</w:t>
      </w:r>
    </w:p>
    <w:p w:rsidR="00D0799F" w:rsidRPr="00596CCE" w:rsidP="00D0799F" w14:paraId="56C4D9D5" w14:textId="77777777">
      <w:pPr>
        <w:widowControl/>
        <w:rPr>
          <w:color w:val="000000"/>
          <w:sz w:val="26"/>
          <w:szCs w:val="26"/>
        </w:rPr>
      </w:pPr>
      <w:r w:rsidRPr="00596CCE">
        <w:rPr>
          <w:b/>
          <w:bCs/>
          <w:color w:val="000000"/>
          <w:sz w:val="26"/>
          <w:szCs w:val="26"/>
        </w:rPr>
        <w:t xml:space="preserve">M3. </w:t>
      </w:r>
      <w:r w:rsidRPr="00596CCE">
        <w:rPr>
          <w:color w:val="000000"/>
          <w:sz w:val="26"/>
          <w:szCs w:val="26"/>
        </w:rPr>
        <w:t>Each Transmission Entity responsible for planning analyses in accordance with the</w:t>
      </w:r>
    </w:p>
    <w:p w:rsidR="00D0799F" w:rsidRPr="00596CCE" w:rsidP="00D0799F" w14:paraId="58E5A0A9" w14:textId="77777777">
      <w:pPr>
        <w:widowControl/>
        <w:rPr>
          <w:color w:val="000000"/>
          <w:sz w:val="26"/>
          <w:szCs w:val="26"/>
        </w:rPr>
      </w:pPr>
      <w:r w:rsidRPr="00596CCE">
        <w:rPr>
          <w:color w:val="000000"/>
          <w:sz w:val="26"/>
          <w:szCs w:val="26"/>
        </w:rPr>
        <w:t>Agreement shall, upon request of the Compliance Enforcement Authority, provide a</w:t>
      </w:r>
    </w:p>
    <w:p w:rsidR="00D0799F" w:rsidRPr="00596CCE" w:rsidP="00D0799F" w14:paraId="7C515CE4" w14:textId="77777777">
      <w:pPr>
        <w:widowControl/>
        <w:rPr>
          <w:color w:val="000000"/>
          <w:sz w:val="26"/>
          <w:szCs w:val="26"/>
        </w:rPr>
      </w:pPr>
      <w:r w:rsidRPr="00596CCE">
        <w:rPr>
          <w:color w:val="000000"/>
          <w:sz w:val="26"/>
          <w:szCs w:val="26"/>
        </w:rPr>
        <w:t>copy of the planning analyses results transmitted to the Nuclear Plant Generator</w:t>
      </w:r>
    </w:p>
    <w:p w:rsidR="00D0799F" w:rsidRPr="00596CCE" w:rsidP="00D0799F" w14:paraId="58658D70" w14:textId="77777777">
      <w:pPr>
        <w:widowControl/>
        <w:rPr>
          <w:color w:val="000000"/>
          <w:sz w:val="26"/>
          <w:szCs w:val="26"/>
        </w:rPr>
      </w:pPr>
      <w:r w:rsidRPr="00596CCE">
        <w:rPr>
          <w:color w:val="000000"/>
          <w:sz w:val="26"/>
          <w:szCs w:val="26"/>
        </w:rPr>
        <w:t>Operator, showing incorporation of the NPIRs. The Compliance Enforcement</w:t>
      </w:r>
    </w:p>
    <w:p w:rsidR="00D0799F" w:rsidRPr="00596CCE" w:rsidP="00D0799F" w14:paraId="4AEFF035" w14:textId="77777777">
      <w:pPr>
        <w:widowControl/>
        <w:rPr>
          <w:color w:val="000000"/>
          <w:sz w:val="26"/>
          <w:szCs w:val="26"/>
        </w:rPr>
      </w:pPr>
      <w:r w:rsidRPr="00596CCE">
        <w:rPr>
          <w:color w:val="000000"/>
          <w:sz w:val="26"/>
          <w:szCs w:val="26"/>
        </w:rPr>
        <w:t xml:space="preserve">Authority shall refer to the Agreements developed in accordance with this </w:t>
      </w:r>
      <w:r w:rsidRPr="00596CCE">
        <w:rPr>
          <w:color w:val="000000"/>
          <w:sz w:val="26"/>
          <w:szCs w:val="26"/>
        </w:rPr>
        <w:t>standard</w:t>
      </w:r>
    </w:p>
    <w:p w:rsidR="00D0799F" w:rsidRPr="00596CCE" w:rsidP="00D0799F" w14:paraId="71DEF805" w14:textId="77777777">
      <w:pPr>
        <w:widowControl/>
        <w:rPr>
          <w:color w:val="000000"/>
          <w:sz w:val="26"/>
          <w:szCs w:val="26"/>
        </w:rPr>
      </w:pPr>
      <w:r w:rsidRPr="00596CCE">
        <w:rPr>
          <w:color w:val="000000"/>
          <w:sz w:val="26"/>
          <w:szCs w:val="26"/>
        </w:rPr>
        <w:t>for specific requirements.</w:t>
      </w:r>
    </w:p>
    <w:p w:rsidR="00D0799F" w:rsidRPr="00596CCE" w:rsidP="00D0799F" w14:paraId="11DDBEB2" w14:textId="77777777">
      <w:pPr>
        <w:widowControl/>
        <w:rPr>
          <w:color w:val="000000"/>
          <w:sz w:val="26"/>
          <w:szCs w:val="26"/>
        </w:rPr>
      </w:pPr>
      <w:r w:rsidRPr="00596CCE">
        <w:rPr>
          <w:b/>
          <w:bCs/>
          <w:color w:val="000000"/>
          <w:sz w:val="26"/>
          <w:szCs w:val="26"/>
        </w:rPr>
        <w:t xml:space="preserve">R4. </w:t>
      </w:r>
      <w:r w:rsidRPr="00596CCE">
        <w:rPr>
          <w:color w:val="000000"/>
          <w:sz w:val="26"/>
          <w:szCs w:val="26"/>
        </w:rPr>
        <w:t>Per the Agreements developed in accordance with this standard, the applicable</w:t>
      </w:r>
    </w:p>
    <w:p w:rsidR="00596CCE" w:rsidRPr="00596CCE" w:rsidP="00596CCE" w14:paraId="02E97548" w14:textId="5C83E633">
      <w:pPr>
        <w:widowControl/>
        <w:rPr>
          <w:i/>
          <w:iCs/>
          <w:color w:val="000000"/>
          <w:sz w:val="26"/>
          <w:szCs w:val="26"/>
        </w:rPr>
      </w:pPr>
      <w:r w:rsidRPr="00596CCE">
        <w:rPr>
          <w:color w:val="000000"/>
          <w:sz w:val="26"/>
          <w:szCs w:val="26"/>
        </w:rPr>
        <w:t>Transmission Entities shall</w:t>
      </w:r>
      <w:r>
        <w:rPr>
          <w:color w:val="000000"/>
          <w:sz w:val="26"/>
          <w:szCs w:val="26"/>
        </w:rPr>
        <w:t>.</w:t>
      </w:r>
    </w:p>
    <w:p w:rsidR="00D0799F" w:rsidRPr="00596CCE" w:rsidP="00D0799F" w14:paraId="5BE9E10E" w14:textId="77777777">
      <w:pPr>
        <w:widowControl/>
        <w:rPr>
          <w:color w:val="000000"/>
          <w:sz w:val="26"/>
          <w:szCs w:val="26"/>
        </w:rPr>
      </w:pPr>
      <w:r w:rsidRPr="00596CCE">
        <w:rPr>
          <w:b/>
          <w:bCs/>
          <w:color w:val="000000"/>
          <w:sz w:val="26"/>
          <w:szCs w:val="26"/>
        </w:rPr>
        <w:t xml:space="preserve">4.1. </w:t>
      </w:r>
      <w:r w:rsidRPr="00596CCE">
        <w:rPr>
          <w:color w:val="000000"/>
          <w:sz w:val="26"/>
          <w:szCs w:val="26"/>
        </w:rPr>
        <w:t>Incorporate the NPIRs into their operating analyses of the electric system.</w:t>
      </w:r>
    </w:p>
    <w:p w:rsidR="00D0799F" w:rsidRPr="00596CCE" w:rsidP="00D0799F" w14:paraId="6717F95D" w14:textId="5DD596EC">
      <w:pPr>
        <w:pStyle w:val="FERCparanumber"/>
        <w:widowControl/>
        <w:numPr>
          <w:ilvl w:val="0"/>
          <w:numId w:val="0"/>
        </w:numPr>
        <w:spacing w:line="240" w:lineRule="auto"/>
        <w:rPr>
          <w:color w:val="000000"/>
          <w:szCs w:val="26"/>
        </w:rPr>
      </w:pPr>
      <w:r w:rsidRPr="00596CCE">
        <w:rPr>
          <w:b/>
          <w:bCs/>
          <w:color w:val="000000"/>
          <w:szCs w:val="26"/>
        </w:rPr>
        <w:t xml:space="preserve">4.2. </w:t>
      </w:r>
      <w:r w:rsidRPr="00596CCE">
        <w:rPr>
          <w:color w:val="000000"/>
          <w:szCs w:val="26"/>
        </w:rPr>
        <w:t>Operate the electric system to meet the NPIRs.</w:t>
      </w:r>
    </w:p>
    <w:p w:rsidR="00D0799F" w:rsidRPr="00596CCE" w:rsidP="00D0799F" w14:paraId="289F0A23" w14:textId="77777777">
      <w:pPr>
        <w:widowControl/>
        <w:rPr>
          <w:sz w:val="26"/>
          <w:szCs w:val="26"/>
        </w:rPr>
      </w:pPr>
      <w:r w:rsidRPr="00596CCE">
        <w:rPr>
          <w:b/>
          <w:bCs/>
          <w:sz w:val="26"/>
          <w:szCs w:val="26"/>
        </w:rPr>
        <w:t xml:space="preserve">4.3. </w:t>
      </w:r>
      <w:r w:rsidRPr="00596CCE">
        <w:rPr>
          <w:sz w:val="26"/>
          <w:szCs w:val="26"/>
        </w:rPr>
        <w:t>Inform the Nuclear Plant Generator Operator when the ability to assess the</w:t>
      </w:r>
    </w:p>
    <w:p w:rsidR="00D0799F" w:rsidRPr="00596CCE" w:rsidP="00D0799F" w14:paraId="785496CF" w14:textId="77777777">
      <w:pPr>
        <w:widowControl/>
        <w:rPr>
          <w:sz w:val="26"/>
          <w:szCs w:val="26"/>
        </w:rPr>
      </w:pPr>
      <w:r w:rsidRPr="00596CCE">
        <w:rPr>
          <w:sz w:val="26"/>
          <w:szCs w:val="26"/>
        </w:rPr>
        <w:t>operation of the electric system affecting NPIRs is lost.</w:t>
      </w:r>
    </w:p>
    <w:p w:rsidR="00D0799F" w:rsidRPr="00596CCE" w:rsidP="00D0799F" w14:paraId="602A88F2" w14:textId="77777777">
      <w:pPr>
        <w:widowControl/>
        <w:rPr>
          <w:sz w:val="26"/>
          <w:szCs w:val="26"/>
        </w:rPr>
      </w:pPr>
      <w:r w:rsidRPr="00596CCE">
        <w:rPr>
          <w:b/>
          <w:bCs/>
          <w:sz w:val="26"/>
          <w:szCs w:val="26"/>
        </w:rPr>
        <w:t xml:space="preserve">M4. </w:t>
      </w:r>
      <w:r w:rsidRPr="00596CCE">
        <w:rPr>
          <w:sz w:val="26"/>
          <w:szCs w:val="26"/>
        </w:rPr>
        <w:t xml:space="preserve">Each Transmission Entity responsible for operating the electric system in </w:t>
      </w:r>
      <w:r w:rsidRPr="00596CCE">
        <w:rPr>
          <w:sz w:val="26"/>
          <w:szCs w:val="26"/>
        </w:rPr>
        <w:t>accordance</w:t>
      </w:r>
    </w:p>
    <w:p w:rsidR="00D0799F" w:rsidRPr="00596CCE" w:rsidP="00D0799F" w14:paraId="5AD48E98" w14:textId="77777777">
      <w:pPr>
        <w:widowControl/>
        <w:rPr>
          <w:sz w:val="26"/>
          <w:szCs w:val="26"/>
        </w:rPr>
      </w:pPr>
      <w:r w:rsidRPr="00596CCE">
        <w:rPr>
          <w:sz w:val="26"/>
          <w:szCs w:val="26"/>
        </w:rPr>
        <w:t>with the Agreement shall demonstrate or provide evidence of the following, upon</w:t>
      </w:r>
    </w:p>
    <w:p w:rsidR="00D0799F" w:rsidRPr="00596CCE" w:rsidP="00D0799F" w14:paraId="276F3F87" w14:textId="77777777">
      <w:pPr>
        <w:widowControl/>
        <w:rPr>
          <w:sz w:val="26"/>
          <w:szCs w:val="26"/>
        </w:rPr>
      </w:pPr>
      <w:r w:rsidRPr="00596CCE">
        <w:rPr>
          <w:sz w:val="26"/>
          <w:szCs w:val="26"/>
        </w:rPr>
        <w:t>request of the Compliance Enforcement Authority:</w:t>
      </w:r>
    </w:p>
    <w:p w:rsidR="00D0799F" w:rsidRPr="004E2018" w:rsidP="004E2018" w14:paraId="7412984B" w14:textId="61369240">
      <w:pPr>
        <w:pStyle w:val="ListParagraph"/>
        <w:widowControl/>
        <w:numPr>
          <w:ilvl w:val="0"/>
          <w:numId w:val="26"/>
        </w:numPr>
        <w:rPr>
          <w:sz w:val="26"/>
          <w:szCs w:val="26"/>
        </w:rPr>
      </w:pPr>
      <w:r w:rsidRPr="004E2018">
        <w:rPr>
          <w:sz w:val="26"/>
          <w:szCs w:val="26"/>
        </w:rPr>
        <w:t>The NPIRs have been incorporated into the current operating analysis of the</w:t>
      </w:r>
      <w:r w:rsidR="00F55607">
        <w:rPr>
          <w:sz w:val="26"/>
          <w:szCs w:val="26"/>
        </w:rPr>
        <w:t xml:space="preserve"> </w:t>
      </w:r>
      <w:r w:rsidRPr="004E2018">
        <w:rPr>
          <w:sz w:val="26"/>
          <w:szCs w:val="26"/>
        </w:rPr>
        <w:t>electric system. (Requirement 4.1)</w:t>
      </w:r>
    </w:p>
    <w:p w:rsidR="00D0799F" w:rsidRPr="004E2018" w:rsidP="004E2018" w14:paraId="08696DF6" w14:textId="05959A1D">
      <w:pPr>
        <w:pStyle w:val="ListParagraph"/>
        <w:widowControl/>
        <w:numPr>
          <w:ilvl w:val="0"/>
          <w:numId w:val="26"/>
        </w:numPr>
        <w:rPr>
          <w:sz w:val="26"/>
          <w:szCs w:val="26"/>
        </w:rPr>
      </w:pPr>
      <w:r w:rsidRPr="004E2018">
        <w:rPr>
          <w:sz w:val="26"/>
          <w:szCs w:val="26"/>
        </w:rPr>
        <w:t>The electric system was operated to meet the NPIRs. (Requirement 4.2)</w:t>
      </w:r>
    </w:p>
    <w:p w:rsidR="00D0799F" w:rsidRPr="008C6DBC" w:rsidP="004E2018" w14:paraId="3A3E7476" w14:textId="17A14EFF">
      <w:pPr>
        <w:pStyle w:val="ListParagraph"/>
        <w:widowControl/>
        <w:numPr>
          <w:ilvl w:val="0"/>
          <w:numId w:val="26"/>
        </w:numPr>
        <w:rPr>
          <w:sz w:val="26"/>
          <w:szCs w:val="26"/>
        </w:rPr>
      </w:pPr>
      <w:r w:rsidRPr="004E2018">
        <w:rPr>
          <w:sz w:val="26"/>
          <w:szCs w:val="26"/>
        </w:rPr>
        <w:t>The Transmission Entity informed the Nuclear Plant Generator Operator when it</w:t>
      </w:r>
      <w:r w:rsidR="008C6DBC">
        <w:rPr>
          <w:sz w:val="26"/>
          <w:szCs w:val="26"/>
        </w:rPr>
        <w:t xml:space="preserve"> </w:t>
      </w:r>
      <w:r w:rsidRPr="004E2018">
        <w:rPr>
          <w:sz w:val="26"/>
          <w:szCs w:val="26"/>
        </w:rPr>
        <w:t>became aware it lost the capability to assess the operation of the electric system</w:t>
      </w:r>
      <w:r w:rsidR="008C6DBC">
        <w:rPr>
          <w:sz w:val="26"/>
          <w:szCs w:val="26"/>
        </w:rPr>
        <w:t xml:space="preserve"> </w:t>
      </w:r>
      <w:r w:rsidRPr="008C6DBC">
        <w:rPr>
          <w:sz w:val="26"/>
          <w:szCs w:val="26"/>
        </w:rPr>
        <w:t xml:space="preserve">affecting the </w:t>
      </w:r>
      <w:r w:rsidRPr="008C6DBC">
        <w:rPr>
          <w:sz w:val="26"/>
          <w:szCs w:val="26"/>
        </w:rPr>
        <w:t>NPIRs</w:t>
      </w:r>
    </w:p>
    <w:p w:rsidR="00D0799F" w:rsidRPr="00596CCE" w:rsidP="00D0799F" w14:paraId="0906A5E4" w14:textId="77777777">
      <w:pPr>
        <w:widowControl/>
        <w:rPr>
          <w:sz w:val="26"/>
          <w:szCs w:val="26"/>
        </w:rPr>
      </w:pPr>
      <w:r w:rsidRPr="00596CCE">
        <w:rPr>
          <w:b/>
          <w:bCs/>
          <w:sz w:val="26"/>
          <w:szCs w:val="26"/>
        </w:rPr>
        <w:t xml:space="preserve">R5. </w:t>
      </w:r>
      <w:r w:rsidRPr="00596CCE">
        <w:rPr>
          <w:sz w:val="26"/>
          <w:szCs w:val="26"/>
        </w:rPr>
        <w:t>Per the Agreements developed in accordance with this standard, the Nuclear Plant</w:t>
      </w:r>
    </w:p>
    <w:p w:rsidR="00D0799F" w:rsidRPr="00596CCE" w:rsidP="00596CCE" w14:paraId="0A9723F1" w14:textId="4B231F2C">
      <w:pPr>
        <w:widowControl/>
        <w:rPr>
          <w:i/>
          <w:iCs/>
          <w:sz w:val="26"/>
          <w:szCs w:val="26"/>
        </w:rPr>
      </w:pPr>
      <w:r w:rsidRPr="00596CCE">
        <w:rPr>
          <w:sz w:val="26"/>
          <w:szCs w:val="26"/>
        </w:rPr>
        <w:t xml:space="preserve">Generator Operator shall operate the nuclear plant to meet the NPIRs. </w:t>
      </w:r>
    </w:p>
    <w:p w:rsidR="00D0799F" w:rsidRPr="00596CCE" w:rsidP="00D0799F" w14:paraId="634A80AF" w14:textId="77777777">
      <w:pPr>
        <w:widowControl/>
        <w:rPr>
          <w:sz w:val="26"/>
          <w:szCs w:val="26"/>
        </w:rPr>
      </w:pPr>
      <w:r w:rsidRPr="00596CCE">
        <w:rPr>
          <w:b/>
          <w:bCs/>
          <w:sz w:val="26"/>
          <w:szCs w:val="26"/>
        </w:rPr>
        <w:t xml:space="preserve">M5. </w:t>
      </w:r>
      <w:r w:rsidRPr="00596CCE">
        <w:rPr>
          <w:sz w:val="26"/>
          <w:szCs w:val="26"/>
        </w:rPr>
        <w:t>The Nuclear Plant Generator Operator shall, upon request of the Compliance</w:t>
      </w:r>
    </w:p>
    <w:p w:rsidR="00D0799F" w:rsidRPr="00596CCE" w:rsidP="00D0799F" w14:paraId="3C3792E4" w14:textId="77777777">
      <w:pPr>
        <w:widowControl/>
        <w:rPr>
          <w:sz w:val="26"/>
          <w:szCs w:val="26"/>
        </w:rPr>
      </w:pPr>
      <w:r w:rsidRPr="00596CCE">
        <w:rPr>
          <w:sz w:val="26"/>
          <w:szCs w:val="26"/>
        </w:rPr>
        <w:t xml:space="preserve">Enforcement Authority, demonstrate or provide evidence that the nuclear </w:t>
      </w:r>
      <w:r w:rsidRPr="00596CCE">
        <w:rPr>
          <w:sz w:val="26"/>
          <w:szCs w:val="26"/>
        </w:rPr>
        <w:t>power</w:t>
      </w:r>
    </w:p>
    <w:p w:rsidR="00D0799F" w:rsidRPr="00596CCE" w:rsidP="00D0799F" w14:paraId="3B0AFC16" w14:textId="77777777">
      <w:pPr>
        <w:widowControl/>
        <w:rPr>
          <w:sz w:val="26"/>
          <w:szCs w:val="26"/>
        </w:rPr>
      </w:pPr>
      <w:r w:rsidRPr="00596CCE">
        <w:rPr>
          <w:sz w:val="26"/>
          <w:szCs w:val="26"/>
        </w:rPr>
        <w:t>plant is being operated consistent with the NPIRs.</w:t>
      </w:r>
    </w:p>
    <w:p w:rsidR="00D0799F" w:rsidRPr="00596CCE" w:rsidP="00D0799F" w14:paraId="2F75A7DE" w14:textId="77777777">
      <w:pPr>
        <w:widowControl/>
        <w:rPr>
          <w:sz w:val="26"/>
          <w:szCs w:val="26"/>
        </w:rPr>
      </w:pPr>
      <w:r w:rsidRPr="00596CCE">
        <w:rPr>
          <w:b/>
          <w:bCs/>
          <w:sz w:val="26"/>
          <w:szCs w:val="26"/>
        </w:rPr>
        <w:t xml:space="preserve">R6. </w:t>
      </w:r>
      <w:r w:rsidRPr="00596CCE">
        <w:rPr>
          <w:sz w:val="26"/>
          <w:szCs w:val="26"/>
        </w:rPr>
        <w:t>Per the Agreements developed in accordance with this standard, the applicable</w:t>
      </w:r>
    </w:p>
    <w:p w:rsidR="00D0799F" w:rsidRPr="00596CCE" w:rsidP="00D0799F" w14:paraId="4FB5BB40" w14:textId="77777777">
      <w:pPr>
        <w:widowControl/>
        <w:rPr>
          <w:sz w:val="26"/>
          <w:szCs w:val="26"/>
        </w:rPr>
      </w:pPr>
      <w:r w:rsidRPr="00596CCE">
        <w:rPr>
          <w:sz w:val="26"/>
          <w:szCs w:val="26"/>
        </w:rPr>
        <w:t xml:space="preserve">Transmission Entities and the Nuclear Plant Generator Operator shall </w:t>
      </w:r>
      <w:r w:rsidRPr="00596CCE">
        <w:rPr>
          <w:sz w:val="26"/>
          <w:szCs w:val="26"/>
        </w:rPr>
        <w:t>coordinate</w:t>
      </w:r>
    </w:p>
    <w:p w:rsidR="00D0799F" w:rsidRPr="00596CCE" w:rsidP="00596CCE" w14:paraId="0E5171CC" w14:textId="1D6FC35D">
      <w:pPr>
        <w:widowControl/>
        <w:rPr>
          <w:i/>
          <w:iCs/>
          <w:sz w:val="26"/>
          <w:szCs w:val="26"/>
        </w:rPr>
      </w:pPr>
      <w:r w:rsidRPr="00596CCE">
        <w:rPr>
          <w:sz w:val="26"/>
          <w:szCs w:val="26"/>
        </w:rPr>
        <w:t xml:space="preserve">outages and maintenance activities which affect the NPIRs. </w:t>
      </w:r>
    </w:p>
    <w:p w:rsidR="00D0799F" w:rsidRPr="00596CCE" w:rsidP="00D0799F" w14:paraId="65874C84" w14:textId="77777777">
      <w:pPr>
        <w:widowControl/>
        <w:rPr>
          <w:sz w:val="26"/>
          <w:szCs w:val="26"/>
        </w:rPr>
      </w:pPr>
      <w:r w:rsidRPr="00596CCE">
        <w:rPr>
          <w:b/>
          <w:bCs/>
          <w:sz w:val="26"/>
          <w:szCs w:val="26"/>
        </w:rPr>
        <w:t xml:space="preserve">M6. </w:t>
      </w:r>
      <w:r w:rsidRPr="00596CCE">
        <w:rPr>
          <w:sz w:val="26"/>
          <w:szCs w:val="26"/>
        </w:rPr>
        <w:t>The Transmission Entities and Nuclear Plant Generator Operator shall, upon request</w:t>
      </w:r>
    </w:p>
    <w:p w:rsidR="00D0799F" w:rsidRPr="00596CCE" w:rsidP="00D0799F" w14:paraId="128F40A4" w14:textId="77777777">
      <w:pPr>
        <w:widowControl/>
        <w:rPr>
          <w:sz w:val="26"/>
          <w:szCs w:val="26"/>
        </w:rPr>
      </w:pPr>
      <w:r w:rsidRPr="00596CCE">
        <w:rPr>
          <w:sz w:val="26"/>
          <w:szCs w:val="26"/>
        </w:rPr>
        <w:t xml:space="preserve">of the Compliance Enforcement Authority, provide evidence of the </w:t>
      </w:r>
      <w:r w:rsidRPr="00596CCE">
        <w:rPr>
          <w:sz w:val="26"/>
          <w:szCs w:val="26"/>
        </w:rPr>
        <w:t>coordination</w:t>
      </w:r>
    </w:p>
    <w:p w:rsidR="00D0799F" w:rsidRPr="00596CCE" w:rsidP="00D0799F" w14:paraId="1CAFA182" w14:textId="77777777">
      <w:pPr>
        <w:widowControl/>
        <w:rPr>
          <w:sz w:val="26"/>
          <w:szCs w:val="26"/>
        </w:rPr>
      </w:pPr>
      <w:r w:rsidRPr="00596CCE">
        <w:rPr>
          <w:sz w:val="26"/>
          <w:szCs w:val="26"/>
        </w:rPr>
        <w:t>between the Transmission Entities and the Nuclear Plant Generator Operator</w:t>
      </w:r>
    </w:p>
    <w:p w:rsidR="00D0799F" w:rsidRPr="00596CCE" w:rsidP="00D0799F" w14:paraId="18D3A81C" w14:textId="77777777">
      <w:pPr>
        <w:widowControl/>
        <w:rPr>
          <w:sz w:val="26"/>
          <w:szCs w:val="26"/>
        </w:rPr>
      </w:pPr>
      <w:r w:rsidRPr="00596CCE">
        <w:rPr>
          <w:sz w:val="26"/>
          <w:szCs w:val="26"/>
        </w:rPr>
        <w:t>regarding outages and maintenance activities which affect the NPIRs.</w:t>
      </w:r>
    </w:p>
    <w:p w:rsidR="00D0799F" w:rsidRPr="00596CCE" w:rsidP="00D0799F" w14:paraId="0AE4F046" w14:textId="77777777">
      <w:pPr>
        <w:widowControl/>
        <w:rPr>
          <w:sz w:val="26"/>
          <w:szCs w:val="26"/>
        </w:rPr>
      </w:pPr>
      <w:r w:rsidRPr="00596CCE">
        <w:rPr>
          <w:b/>
          <w:bCs/>
          <w:sz w:val="26"/>
          <w:szCs w:val="26"/>
        </w:rPr>
        <w:t xml:space="preserve">R7. </w:t>
      </w:r>
      <w:r w:rsidRPr="00596CCE">
        <w:rPr>
          <w:sz w:val="26"/>
          <w:szCs w:val="26"/>
        </w:rPr>
        <w:t>Per the Agreements developed in accordance with this standard, the Nuclear Plant</w:t>
      </w:r>
    </w:p>
    <w:p w:rsidR="00D0799F" w:rsidRPr="00596CCE" w:rsidP="00D0799F" w14:paraId="0BE26674" w14:textId="77777777">
      <w:pPr>
        <w:widowControl/>
        <w:rPr>
          <w:sz w:val="26"/>
          <w:szCs w:val="26"/>
        </w:rPr>
      </w:pPr>
      <w:r w:rsidRPr="00596CCE">
        <w:rPr>
          <w:sz w:val="26"/>
          <w:szCs w:val="26"/>
        </w:rPr>
        <w:t>Generator Operator shall inform the applicable Transmission Entities of actual or</w:t>
      </w:r>
    </w:p>
    <w:p w:rsidR="00D0799F" w:rsidRPr="00596CCE" w:rsidP="00D0799F" w14:paraId="07812C63" w14:textId="77777777">
      <w:pPr>
        <w:widowControl/>
        <w:rPr>
          <w:sz w:val="26"/>
          <w:szCs w:val="26"/>
        </w:rPr>
      </w:pPr>
      <w:r w:rsidRPr="00596CCE">
        <w:rPr>
          <w:sz w:val="26"/>
          <w:szCs w:val="26"/>
        </w:rPr>
        <w:t>proposed changes to nuclear plant design (e.g., protective relay setpoints),</w:t>
      </w:r>
    </w:p>
    <w:p w:rsidR="00D0799F" w:rsidRPr="00596CCE" w:rsidP="00D0799F" w14:paraId="019086F1" w14:textId="77777777">
      <w:pPr>
        <w:widowControl/>
        <w:rPr>
          <w:sz w:val="26"/>
          <w:szCs w:val="26"/>
        </w:rPr>
      </w:pPr>
      <w:r w:rsidRPr="00596CCE">
        <w:rPr>
          <w:sz w:val="26"/>
          <w:szCs w:val="26"/>
        </w:rPr>
        <w:t>configuration, operations, limits, or capabilities that may impact the ability of the</w:t>
      </w:r>
    </w:p>
    <w:p w:rsidR="00D0799F" w:rsidRPr="00596CCE" w:rsidP="00596CCE" w14:paraId="24A1056A" w14:textId="63A67B3C">
      <w:pPr>
        <w:widowControl/>
        <w:rPr>
          <w:i/>
          <w:iCs/>
          <w:sz w:val="26"/>
          <w:szCs w:val="26"/>
        </w:rPr>
      </w:pPr>
      <w:r w:rsidRPr="00596CCE">
        <w:rPr>
          <w:sz w:val="26"/>
          <w:szCs w:val="26"/>
        </w:rPr>
        <w:t xml:space="preserve">electric system to meet the NPIRs. </w:t>
      </w:r>
    </w:p>
    <w:p w:rsidR="00D0799F" w:rsidRPr="00596CCE" w:rsidP="00D0799F" w14:paraId="50596E5D" w14:textId="77777777">
      <w:pPr>
        <w:widowControl/>
        <w:rPr>
          <w:sz w:val="26"/>
          <w:szCs w:val="26"/>
        </w:rPr>
      </w:pPr>
      <w:r w:rsidRPr="00596CCE">
        <w:rPr>
          <w:b/>
          <w:bCs/>
          <w:sz w:val="26"/>
          <w:szCs w:val="26"/>
        </w:rPr>
        <w:t xml:space="preserve">M7. </w:t>
      </w:r>
      <w:r w:rsidRPr="00596CCE">
        <w:rPr>
          <w:sz w:val="26"/>
          <w:szCs w:val="26"/>
        </w:rPr>
        <w:t>The Nuclear Plant Generator Operator shall provide evidence that it informed the</w:t>
      </w:r>
    </w:p>
    <w:p w:rsidR="00D0799F" w:rsidRPr="00596CCE" w:rsidP="00D0799F" w14:paraId="11EBC67C" w14:textId="77777777">
      <w:pPr>
        <w:widowControl/>
        <w:rPr>
          <w:sz w:val="26"/>
          <w:szCs w:val="26"/>
        </w:rPr>
      </w:pPr>
      <w:r w:rsidRPr="00596CCE">
        <w:rPr>
          <w:sz w:val="26"/>
          <w:szCs w:val="26"/>
        </w:rPr>
        <w:t>applicable Transmission Entities of changes to nuclear plant design (e.g., protective</w:t>
      </w:r>
    </w:p>
    <w:p w:rsidR="00D0799F" w:rsidRPr="00596CCE" w:rsidP="00D0799F" w14:paraId="1D2A3301" w14:textId="77777777">
      <w:pPr>
        <w:widowControl/>
        <w:rPr>
          <w:sz w:val="26"/>
          <w:szCs w:val="26"/>
        </w:rPr>
      </w:pPr>
      <w:r w:rsidRPr="00596CCE">
        <w:rPr>
          <w:sz w:val="26"/>
          <w:szCs w:val="26"/>
        </w:rPr>
        <w:t>relay setpoints), configuration, operations, limits, or capabilities that may impact the</w:t>
      </w:r>
    </w:p>
    <w:p w:rsidR="00D0799F" w:rsidRPr="00596CCE" w:rsidP="00D0799F" w14:paraId="660BBBDE" w14:textId="7346D939">
      <w:pPr>
        <w:pStyle w:val="FERCparanumber"/>
        <w:widowControl/>
        <w:numPr>
          <w:ilvl w:val="0"/>
          <w:numId w:val="0"/>
        </w:numPr>
        <w:spacing w:line="240" w:lineRule="auto"/>
        <w:rPr>
          <w:szCs w:val="26"/>
        </w:rPr>
      </w:pPr>
      <w:r w:rsidRPr="00596CCE">
        <w:rPr>
          <w:szCs w:val="26"/>
        </w:rPr>
        <w:t>ability of the Transmission Entities to meet the NPIRs.</w:t>
      </w:r>
    </w:p>
    <w:p w:rsidR="00D0799F" w:rsidRPr="00596CCE" w:rsidP="00D0799F" w14:paraId="24688E0F" w14:textId="77777777">
      <w:pPr>
        <w:widowControl/>
        <w:rPr>
          <w:sz w:val="26"/>
          <w:szCs w:val="26"/>
        </w:rPr>
      </w:pPr>
      <w:r w:rsidRPr="00596CCE">
        <w:rPr>
          <w:b/>
          <w:bCs/>
          <w:sz w:val="26"/>
          <w:szCs w:val="26"/>
        </w:rPr>
        <w:t xml:space="preserve">R8. </w:t>
      </w:r>
      <w:r w:rsidRPr="00596CCE">
        <w:rPr>
          <w:sz w:val="26"/>
          <w:szCs w:val="26"/>
        </w:rPr>
        <w:t>Per the Agreements developed in accordance with this standard, the applicable</w:t>
      </w:r>
    </w:p>
    <w:p w:rsidR="00D0799F" w:rsidRPr="00596CCE" w:rsidP="00D0799F" w14:paraId="5A1E99C8" w14:textId="77777777">
      <w:pPr>
        <w:widowControl/>
        <w:rPr>
          <w:sz w:val="26"/>
          <w:szCs w:val="26"/>
        </w:rPr>
      </w:pPr>
      <w:r w:rsidRPr="00596CCE">
        <w:rPr>
          <w:sz w:val="26"/>
          <w:szCs w:val="26"/>
        </w:rPr>
        <w:t>Transmission Entities shall inform the Nuclear Plant Generator Operator of actual or</w:t>
      </w:r>
    </w:p>
    <w:p w:rsidR="00D0799F" w:rsidRPr="00596CCE" w:rsidP="00D0799F" w14:paraId="62FE80AB" w14:textId="77777777">
      <w:pPr>
        <w:widowControl/>
        <w:rPr>
          <w:sz w:val="26"/>
          <w:szCs w:val="26"/>
        </w:rPr>
      </w:pPr>
      <w:r w:rsidRPr="00596CCE">
        <w:rPr>
          <w:sz w:val="26"/>
          <w:szCs w:val="26"/>
        </w:rPr>
        <w:t>proposed changes to electric system design (e.g., protective relay setpoints),</w:t>
      </w:r>
    </w:p>
    <w:p w:rsidR="00D0799F" w:rsidRPr="00596CCE" w:rsidP="00D0799F" w14:paraId="589B195B" w14:textId="77777777">
      <w:pPr>
        <w:widowControl/>
        <w:rPr>
          <w:sz w:val="26"/>
          <w:szCs w:val="26"/>
        </w:rPr>
      </w:pPr>
      <w:r w:rsidRPr="00596CCE">
        <w:rPr>
          <w:sz w:val="26"/>
          <w:szCs w:val="26"/>
        </w:rPr>
        <w:t>configuration, operations, limits, or capabilities that may impact the ability of the</w:t>
      </w:r>
    </w:p>
    <w:p w:rsidR="00D0799F" w:rsidRPr="00596CCE" w:rsidP="00596CCE" w14:paraId="1BD6BD36" w14:textId="04D28C56">
      <w:pPr>
        <w:widowControl/>
        <w:rPr>
          <w:i/>
          <w:iCs/>
          <w:sz w:val="26"/>
          <w:szCs w:val="26"/>
        </w:rPr>
      </w:pPr>
      <w:r w:rsidRPr="00596CCE">
        <w:rPr>
          <w:sz w:val="26"/>
          <w:szCs w:val="26"/>
        </w:rPr>
        <w:t xml:space="preserve">electric system to meet the NPIRs. </w:t>
      </w:r>
    </w:p>
    <w:p w:rsidR="00D0799F" w:rsidRPr="00596CCE" w:rsidP="00D0799F" w14:paraId="1825925E" w14:textId="77777777">
      <w:pPr>
        <w:widowControl/>
        <w:rPr>
          <w:sz w:val="26"/>
          <w:szCs w:val="26"/>
        </w:rPr>
      </w:pPr>
      <w:r w:rsidRPr="00596CCE">
        <w:rPr>
          <w:b/>
          <w:bCs/>
          <w:sz w:val="26"/>
          <w:szCs w:val="26"/>
        </w:rPr>
        <w:t xml:space="preserve">M8. </w:t>
      </w:r>
      <w:r w:rsidRPr="00596CCE">
        <w:rPr>
          <w:sz w:val="26"/>
          <w:szCs w:val="26"/>
        </w:rPr>
        <w:t>The Transmission Entities shall each provide evidence that the entities informed the</w:t>
      </w:r>
    </w:p>
    <w:p w:rsidR="00D0799F" w:rsidRPr="00596CCE" w:rsidP="00D0799F" w14:paraId="746CDA24" w14:textId="77777777">
      <w:pPr>
        <w:widowControl/>
        <w:rPr>
          <w:sz w:val="26"/>
          <w:szCs w:val="26"/>
        </w:rPr>
      </w:pPr>
      <w:r w:rsidRPr="00596CCE">
        <w:rPr>
          <w:sz w:val="26"/>
          <w:szCs w:val="26"/>
        </w:rPr>
        <w:t>Nuclear Plant Generator Operator of changes to electric system design (e.g.,</w:t>
      </w:r>
    </w:p>
    <w:p w:rsidR="00D0799F" w:rsidRPr="00596CCE" w:rsidP="00D0799F" w14:paraId="0EF9878C" w14:textId="77777777">
      <w:pPr>
        <w:widowControl/>
        <w:rPr>
          <w:sz w:val="26"/>
          <w:szCs w:val="26"/>
        </w:rPr>
      </w:pPr>
      <w:r w:rsidRPr="00596CCE">
        <w:rPr>
          <w:sz w:val="26"/>
          <w:szCs w:val="26"/>
        </w:rPr>
        <w:t>protective relay setpoints), configuration, operations, limits, or capabilities that may</w:t>
      </w:r>
    </w:p>
    <w:p w:rsidR="00D0799F" w:rsidRPr="00596CCE" w:rsidP="00D0799F" w14:paraId="15D1D210" w14:textId="77777777">
      <w:pPr>
        <w:widowControl/>
        <w:rPr>
          <w:sz w:val="26"/>
          <w:szCs w:val="26"/>
        </w:rPr>
      </w:pPr>
      <w:r w:rsidRPr="00596CCE">
        <w:rPr>
          <w:sz w:val="26"/>
          <w:szCs w:val="26"/>
        </w:rPr>
        <w:t>impact the ability of the Nuclear Plant Generator Operator to meet the NPIRs.</w:t>
      </w:r>
    </w:p>
    <w:p w:rsidR="00D0799F" w:rsidRPr="00596CCE" w:rsidP="00D0799F" w14:paraId="00844E4D" w14:textId="77777777">
      <w:pPr>
        <w:widowControl/>
        <w:rPr>
          <w:sz w:val="26"/>
          <w:szCs w:val="26"/>
        </w:rPr>
      </w:pPr>
      <w:r w:rsidRPr="00596CCE">
        <w:rPr>
          <w:b/>
          <w:bCs/>
          <w:sz w:val="26"/>
          <w:szCs w:val="26"/>
        </w:rPr>
        <w:t xml:space="preserve">R9. </w:t>
      </w:r>
      <w:r w:rsidRPr="00596CCE">
        <w:rPr>
          <w:sz w:val="26"/>
          <w:szCs w:val="26"/>
        </w:rPr>
        <w:t>The Nuclear Plant Generator Operator and the applicable Transmission Entities shall</w:t>
      </w:r>
    </w:p>
    <w:p w:rsidR="00D0799F" w:rsidRPr="00596CCE" w:rsidP="00D0799F" w14:paraId="6EBC897B" w14:textId="77777777">
      <w:pPr>
        <w:widowControl/>
        <w:rPr>
          <w:sz w:val="26"/>
          <w:szCs w:val="26"/>
        </w:rPr>
      </w:pPr>
      <w:r w:rsidRPr="00596CCE">
        <w:rPr>
          <w:sz w:val="26"/>
          <w:szCs w:val="26"/>
        </w:rPr>
        <w:t>include the following elements in aggregate within the Agreement(s) identified in R2.</w:t>
      </w:r>
    </w:p>
    <w:p w:rsidR="00D0799F" w:rsidRPr="004E2018" w:rsidP="004E2018" w14:paraId="2B7C7716" w14:textId="0B233658">
      <w:pPr>
        <w:pStyle w:val="ListParagraph"/>
        <w:widowControl/>
        <w:numPr>
          <w:ilvl w:val="0"/>
          <w:numId w:val="25"/>
        </w:numPr>
        <w:rPr>
          <w:sz w:val="26"/>
          <w:szCs w:val="26"/>
        </w:rPr>
      </w:pPr>
      <w:r w:rsidRPr="004E2018">
        <w:rPr>
          <w:sz w:val="26"/>
          <w:szCs w:val="26"/>
        </w:rPr>
        <w:t>Where multiple Agreements with a single Transmission Entity are put into effect,</w:t>
      </w:r>
      <w:r w:rsidR="00F55607">
        <w:rPr>
          <w:sz w:val="26"/>
          <w:szCs w:val="26"/>
        </w:rPr>
        <w:t xml:space="preserve"> </w:t>
      </w:r>
      <w:r w:rsidRPr="004E2018">
        <w:rPr>
          <w:sz w:val="26"/>
          <w:szCs w:val="26"/>
        </w:rPr>
        <w:t>the R9 elements must be addressed in aggregate within the Agreements;</w:t>
      </w:r>
      <w:r w:rsidR="00F55607">
        <w:rPr>
          <w:sz w:val="26"/>
          <w:szCs w:val="26"/>
        </w:rPr>
        <w:t xml:space="preserve"> </w:t>
      </w:r>
      <w:r w:rsidRPr="004E2018">
        <w:rPr>
          <w:sz w:val="26"/>
          <w:szCs w:val="26"/>
        </w:rPr>
        <w:t>however, each Agreement does not have to contain each element. The Nuclear</w:t>
      </w:r>
      <w:r w:rsidRPr="00F55607" w:rsidR="00F55607">
        <w:rPr>
          <w:sz w:val="26"/>
          <w:szCs w:val="26"/>
        </w:rPr>
        <w:t xml:space="preserve"> </w:t>
      </w:r>
      <w:r w:rsidRPr="004E2018">
        <w:rPr>
          <w:sz w:val="26"/>
          <w:szCs w:val="26"/>
        </w:rPr>
        <w:t>Plant Generator Operator and the Transmission Entity are responsible for ensuring</w:t>
      </w:r>
      <w:r w:rsidR="00F55607">
        <w:rPr>
          <w:sz w:val="26"/>
          <w:szCs w:val="26"/>
        </w:rPr>
        <w:t xml:space="preserve"> </w:t>
      </w:r>
      <w:r w:rsidRPr="004E2018">
        <w:rPr>
          <w:sz w:val="26"/>
          <w:szCs w:val="26"/>
        </w:rPr>
        <w:t>all the R9 elements are addressed in aggregate within the Agreements.</w:t>
      </w:r>
    </w:p>
    <w:p w:rsidR="000230FC" w:rsidRPr="00F55607" w:rsidP="004E2018" w14:paraId="0A84EA7E" w14:textId="5C15CA53">
      <w:pPr>
        <w:pStyle w:val="ListParagraph"/>
        <w:widowControl/>
        <w:numPr>
          <w:ilvl w:val="0"/>
          <w:numId w:val="25"/>
        </w:numPr>
        <w:rPr>
          <w:szCs w:val="26"/>
        </w:rPr>
      </w:pPr>
      <w:r w:rsidRPr="004E2018">
        <w:rPr>
          <w:sz w:val="26"/>
          <w:szCs w:val="26"/>
        </w:rPr>
        <w:t>Where Agreements with multiple Transmission Entities are required, the Nuclear</w:t>
      </w:r>
      <w:r w:rsidRPr="00F55607" w:rsidR="00F55607">
        <w:rPr>
          <w:sz w:val="26"/>
          <w:szCs w:val="26"/>
        </w:rPr>
        <w:t xml:space="preserve"> </w:t>
      </w:r>
      <w:r w:rsidRPr="004E2018">
        <w:rPr>
          <w:sz w:val="26"/>
          <w:szCs w:val="26"/>
        </w:rPr>
        <w:t>Plant Generator Operator is responsible for ensuring all the R9 elements are</w:t>
      </w:r>
      <w:r w:rsidRPr="00F55607" w:rsidR="00F55607">
        <w:rPr>
          <w:sz w:val="26"/>
          <w:szCs w:val="26"/>
        </w:rPr>
        <w:t xml:space="preserve"> </w:t>
      </w:r>
      <w:r w:rsidRPr="004E2018">
        <w:rPr>
          <w:sz w:val="26"/>
          <w:szCs w:val="26"/>
        </w:rPr>
        <w:t>addressed in aggregate within the Agreements with the Transmission Entities. The</w:t>
      </w:r>
      <w:r w:rsidRPr="00F55607" w:rsidR="00F55607">
        <w:rPr>
          <w:sz w:val="26"/>
          <w:szCs w:val="26"/>
        </w:rPr>
        <w:t xml:space="preserve"> </w:t>
      </w:r>
      <w:r w:rsidRPr="004E2018">
        <w:rPr>
          <w:sz w:val="26"/>
          <w:szCs w:val="26"/>
        </w:rPr>
        <w:t>Agreements with each Transmission Entity do not have to contain each element;</w:t>
      </w:r>
      <w:r w:rsidRPr="00F55607" w:rsidR="00F55607">
        <w:rPr>
          <w:sz w:val="26"/>
          <w:szCs w:val="26"/>
        </w:rPr>
        <w:t xml:space="preserve"> </w:t>
      </w:r>
      <w:r w:rsidRPr="004E2018">
        <w:rPr>
          <w:sz w:val="26"/>
          <w:szCs w:val="26"/>
        </w:rPr>
        <w:t>however, the Agreements with the multiple Transmission Entities, in the</w:t>
      </w:r>
      <w:r w:rsidRPr="00F55607" w:rsidR="00F55607">
        <w:rPr>
          <w:sz w:val="26"/>
          <w:szCs w:val="26"/>
        </w:rPr>
        <w:t xml:space="preserve"> </w:t>
      </w:r>
      <w:r w:rsidRPr="004E2018">
        <w:rPr>
          <w:sz w:val="26"/>
          <w:szCs w:val="26"/>
        </w:rPr>
        <w:t>aggregate, must address all R9 elements. For each Agreement(s), the Nuclear</w:t>
      </w:r>
      <w:r w:rsidRPr="00F55607" w:rsidR="00F55607">
        <w:rPr>
          <w:sz w:val="26"/>
          <w:szCs w:val="26"/>
        </w:rPr>
        <w:t xml:space="preserve"> </w:t>
      </w:r>
      <w:r w:rsidRPr="004E2018">
        <w:rPr>
          <w:sz w:val="26"/>
          <w:szCs w:val="26"/>
        </w:rPr>
        <w:t>Plant Generator Operator and the Transmission Entity are responsible to ensure</w:t>
      </w:r>
      <w:r w:rsidRPr="00F55607" w:rsidR="00F55607">
        <w:rPr>
          <w:sz w:val="26"/>
          <w:szCs w:val="26"/>
        </w:rPr>
        <w:t xml:space="preserve"> </w:t>
      </w:r>
      <w:r w:rsidRPr="004E2018">
        <w:rPr>
          <w:sz w:val="26"/>
          <w:szCs w:val="26"/>
        </w:rPr>
        <w:t>the Agreement(s) contain(s) the elements of R9 applicable to that Transmission</w:t>
      </w:r>
      <w:r w:rsidR="00F55607">
        <w:rPr>
          <w:szCs w:val="26"/>
        </w:rPr>
        <w:t xml:space="preserve"> </w:t>
      </w:r>
      <w:r w:rsidRPr="00F55607">
        <w:rPr>
          <w:szCs w:val="26"/>
        </w:rPr>
        <w:t xml:space="preserve">Entity. </w:t>
      </w:r>
    </w:p>
    <w:p w:rsidR="00D0799F" w:rsidRPr="00596CCE" w:rsidP="00D0799F" w14:paraId="4D22F1D6" w14:textId="77777777">
      <w:pPr>
        <w:widowControl/>
        <w:rPr>
          <w:sz w:val="26"/>
          <w:szCs w:val="26"/>
        </w:rPr>
      </w:pPr>
      <w:r w:rsidRPr="00596CCE">
        <w:rPr>
          <w:b/>
          <w:bCs/>
          <w:sz w:val="26"/>
          <w:szCs w:val="26"/>
        </w:rPr>
        <w:t xml:space="preserve">M9. </w:t>
      </w:r>
      <w:r w:rsidRPr="00596CCE">
        <w:rPr>
          <w:sz w:val="26"/>
          <w:szCs w:val="26"/>
        </w:rPr>
        <w:t>The Nuclear Plant Generator Operator shall have a copy of the Agreement(s)</w:t>
      </w:r>
    </w:p>
    <w:p w:rsidR="00D0799F" w:rsidRPr="00596CCE" w:rsidP="00D0799F" w14:paraId="50A46A46" w14:textId="77777777">
      <w:pPr>
        <w:widowControl/>
        <w:rPr>
          <w:sz w:val="26"/>
          <w:szCs w:val="26"/>
        </w:rPr>
      </w:pPr>
      <w:r w:rsidRPr="00596CCE">
        <w:rPr>
          <w:sz w:val="26"/>
          <w:szCs w:val="26"/>
        </w:rPr>
        <w:t>addressing the elements in Requirement 9 available for inspection upon request of the</w:t>
      </w:r>
    </w:p>
    <w:p w:rsidR="00D0799F" w:rsidRPr="00596CCE" w:rsidP="00D0799F" w14:paraId="4E8DCD81" w14:textId="77777777">
      <w:pPr>
        <w:widowControl/>
        <w:rPr>
          <w:sz w:val="26"/>
          <w:szCs w:val="26"/>
        </w:rPr>
      </w:pPr>
      <w:r w:rsidRPr="00596CCE">
        <w:rPr>
          <w:sz w:val="26"/>
          <w:szCs w:val="26"/>
        </w:rPr>
        <w:t>Compliance Enforcement Authority. Each Transmission Entity shall have a copy of the</w:t>
      </w:r>
    </w:p>
    <w:p w:rsidR="00D0799F" w:rsidRPr="00596CCE" w:rsidP="00D0799F" w14:paraId="3111B20B" w14:textId="77777777">
      <w:pPr>
        <w:widowControl/>
        <w:rPr>
          <w:sz w:val="26"/>
          <w:szCs w:val="26"/>
        </w:rPr>
      </w:pPr>
      <w:r w:rsidRPr="00596CCE">
        <w:rPr>
          <w:sz w:val="26"/>
          <w:szCs w:val="26"/>
        </w:rPr>
        <w:t xml:space="preserve">Agreement(s) addressing the elements in Requirement 9 for which it is responsible </w:t>
      </w:r>
      <w:r w:rsidRPr="00596CCE">
        <w:rPr>
          <w:sz w:val="26"/>
          <w:szCs w:val="26"/>
        </w:rPr>
        <w:t>available</w:t>
      </w:r>
    </w:p>
    <w:p w:rsidR="00D0799F" w:rsidP="00D0799F" w14:paraId="6499FCD4" w14:textId="5BAE133B">
      <w:pPr>
        <w:pStyle w:val="FERCparanumber"/>
        <w:widowControl/>
        <w:numPr>
          <w:ilvl w:val="0"/>
          <w:numId w:val="0"/>
        </w:numPr>
        <w:spacing w:line="240" w:lineRule="auto"/>
        <w:rPr>
          <w:szCs w:val="26"/>
        </w:rPr>
      </w:pPr>
      <w:r w:rsidRPr="00596CCE">
        <w:rPr>
          <w:szCs w:val="26"/>
        </w:rPr>
        <w:t>for inspection upon request of the Compliance Enforcement Authority.</w:t>
      </w:r>
    </w:p>
    <w:p w:rsidR="00596CCE" w:rsidRPr="00596CCE" w:rsidP="00D0799F" w14:paraId="40249B7F" w14:textId="77777777">
      <w:pPr>
        <w:pStyle w:val="FERCparanumber"/>
        <w:widowControl/>
        <w:numPr>
          <w:ilvl w:val="0"/>
          <w:numId w:val="0"/>
        </w:numPr>
        <w:spacing w:line="240" w:lineRule="auto"/>
        <w:rPr>
          <w:szCs w:val="26"/>
        </w:rPr>
      </w:pPr>
    </w:p>
    <w:p w:rsidR="00596CCE" w:rsidP="00596CCE" w14:paraId="0CC57714" w14:textId="576E218A">
      <w:pPr>
        <w:widowControl/>
        <w:rPr>
          <w:b/>
          <w:bCs/>
          <w:sz w:val="26"/>
          <w:szCs w:val="26"/>
          <w:u w:val="single"/>
        </w:rPr>
      </w:pPr>
      <w:r w:rsidRPr="00596CCE">
        <w:rPr>
          <w:b/>
          <w:bCs/>
          <w:sz w:val="26"/>
          <w:szCs w:val="26"/>
          <w:u w:val="single"/>
        </w:rPr>
        <w:t>Data Retention</w:t>
      </w:r>
    </w:p>
    <w:p w:rsidR="00596CCE" w:rsidRPr="00596CCE" w:rsidP="00596CCE" w14:paraId="37099322" w14:textId="77777777">
      <w:pPr>
        <w:widowControl/>
        <w:rPr>
          <w:b/>
          <w:bCs/>
          <w:sz w:val="26"/>
          <w:szCs w:val="26"/>
          <w:u w:val="single"/>
        </w:rPr>
      </w:pPr>
    </w:p>
    <w:p w:rsidR="00596CCE" w:rsidRPr="00596CCE" w:rsidP="00596CCE" w14:paraId="46113CC6" w14:textId="4FCBE60B">
      <w:pPr>
        <w:widowControl/>
        <w:rPr>
          <w:sz w:val="26"/>
          <w:szCs w:val="26"/>
        </w:rPr>
      </w:pPr>
      <w:r w:rsidRPr="00596CCE">
        <w:rPr>
          <w:sz w:val="26"/>
          <w:szCs w:val="26"/>
        </w:rPr>
        <w:t>The Responsible Entity shall keep data or evidence to show compliance as</w:t>
      </w:r>
      <w:r w:rsidR="00F55607">
        <w:rPr>
          <w:sz w:val="26"/>
          <w:szCs w:val="26"/>
        </w:rPr>
        <w:t xml:space="preserve"> </w:t>
      </w:r>
      <w:r w:rsidRPr="00596CCE">
        <w:rPr>
          <w:sz w:val="26"/>
          <w:szCs w:val="26"/>
        </w:rPr>
        <w:t>identified below unless directed by its Compliance Enforcement Authority to</w:t>
      </w:r>
      <w:r w:rsidR="00F55607">
        <w:rPr>
          <w:sz w:val="26"/>
          <w:szCs w:val="26"/>
        </w:rPr>
        <w:t xml:space="preserve"> </w:t>
      </w:r>
      <w:r w:rsidRPr="00596CCE">
        <w:rPr>
          <w:sz w:val="26"/>
          <w:szCs w:val="26"/>
        </w:rPr>
        <w:t xml:space="preserve">retain specific evidence for a longer </w:t>
      </w:r>
      <w:r w:rsidRPr="00596CCE">
        <w:rPr>
          <w:sz w:val="26"/>
          <w:szCs w:val="26"/>
        </w:rPr>
        <w:t>period of time</w:t>
      </w:r>
      <w:r w:rsidRPr="00596CCE">
        <w:rPr>
          <w:sz w:val="26"/>
          <w:szCs w:val="26"/>
        </w:rPr>
        <w:t xml:space="preserve"> as part of an investigation:</w:t>
      </w:r>
    </w:p>
    <w:p w:rsidR="00596CCE" w:rsidRPr="008C6DBC" w:rsidP="004E2018" w14:paraId="4B81F4FA" w14:textId="5C45268F">
      <w:pPr>
        <w:pStyle w:val="ListParagraph"/>
        <w:widowControl/>
        <w:numPr>
          <w:ilvl w:val="0"/>
          <w:numId w:val="24"/>
        </w:numPr>
        <w:rPr>
          <w:sz w:val="26"/>
          <w:szCs w:val="26"/>
        </w:rPr>
      </w:pPr>
      <w:r w:rsidRPr="008C6DBC">
        <w:rPr>
          <w:sz w:val="26"/>
          <w:szCs w:val="26"/>
        </w:rPr>
        <w:t>For Measure 1, the Nuclear Plant Generator Operator shall keep its latest</w:t>
      </w:r>
      <w:r w:rsidR="00F55607">
        <w:rPr>
          <w:sz w:val="26"/>
          <w:szCs w:val="26"/>
        </w:rPr>
        <w:t xml:space="preserve"> </w:t>
      </w:r>
      <w:r w:rsidRPr="008C6DBC">
        <w:rPr>
          <w:sz w:val="26"/>
          <w:szCs w:val="26"/>
        </w:rPr>
        <w:t>transmittals and receipts.</w:t>
      </w:r>
    </w:p>
    <w:p w:rsidR="00596CCE" w:rsidRPr="008C6DBC" w:rsidP="004E2018" w14:paraId="3C45B460" w14:textId="63E531BC">
      <w:pPr>
        <w:pStyle w:val="ListParagraph"/>
        <w:widowControl/>
        <w:numPr>
          <w:ilvl w:val="0"/>
          <w:numId w:val="24"/>
        </w:numPr>
        <w:rPr>
          <w:sz w:val="26"/>
          <w:szCs w:val="26"/>
        </w:rPr>
      </w:pPr>
      <w:r w:rsidRPr="008C6DBC">
        <w:rPr>
          <w:sz w:val="26"/>
          <w:szCs w:val="26"/>
        </w:rPr>
        <w:t>For Measure 2, the Nuclear Plant Generator Operator and each</w:t>
      </w:r>
      <w:r w:rsidR="00F55607">
        <w:rPr>
          <w:sz w:val="26"/>
          <w:szCs w:val="26"/>
        </w:rPr>
        <w:t xml:space="preserve"> </w:t>
      </w:r>
      <w:r w:rsidRPr="008C6DBC">
        <w:rPr>
          <w:sz w:val="26"/>
          <w:szCs w:val="26"/>
        </w:rPr>
        <w:t>Transmission Entity shall have its current, in-force Agreement.</w:t>
      </w:r>
    </w:p>
    <w:p w:rsidR="00596CCE" w:rsidRPr="008C6DBC" w:rsidP="004E2018" w14:paraId="126E2B59" w14:textId="6AB1E7D0">
      <w:pPr>
        <w:pStyle w:val="ListParagraph"/>
        <w:widowControl/>
        <w:numPr>
          <w:ilvl w:val="0"/>
          <w:numId w:val="24"/>
        </w:numPr>
        <w:rPr>
          <w:sz w:val="26"/>
          <w:szCs w:val="26"/>
        </w:rPr>
      </w:pPr>
      <w:r w:rsidRPr="008C6DBC">
        <w:rPr>
          <w:sz w:val="26"/>
          <w:szCs w:val="26"/>
        </w:rPr>
        <w:t>For Measure 3, the Transmission Entity shall have the latest planning</w:t>
      </w:r>
      <w:r w:rsidR="00F55607">
        <w:rPr>
          <w:sz w:val="26"/>
          <w:szCs w:val="26"/>
        </w:rPr>
        <w:t xml:space="preserve"> </w:t>
      </w:r>
      <w:r w:rsidRPr="008C6DBC">
        <w:rPr>
          <w:sz w:val="26"/>
          <w:szCs w:val="26"/>
        </w:rPr>
        <w:t>analysis results.</w:t>
      </w:r>
    </w:p>
    <w:p w:rsidR="00596CCE" w:rsidRPr="008C6DBC" w:rsidP="004E2018" w14:paraId="33E5627E" w14:textId="461713B1">
      <w:pPr>
        <w:pStyle w:val="ListParagraph"/>
        <w:widowControl/>
        <w:numPr>
          <w:ilvl w:val="0"/>
          <w:numId w:val="24"/>
        </w:numPr>
        <w:rPr>
          <w:sz w:val="26"/>
          <w:szCs w:val="26"/>
        </w:rPr>
      </w:pPr>
      <w:r w:rsidRPr="008C6DBC">
        <w:rPr>
          <w:sz w:val="26"/>
          <w:szCs w:val="26"/>
        </w:rPr>
        <w:t>For Measures 4, 6 and 8, the Transmission Entity shall keep evidence for</w:t>
      </w:r>
      <w:r w:rsidR="00F55607">
        <w:rPr>
          <w:sz w:val="26"/>
          <w:szCs w:val="26"/>
        </w:rPr>
        <w:t xml:space="preserve"> </w:t>
      </w:r>
      <w:r w:rsidRPr="008C6DBC">
        <w:rPr>
          <w:sz w:val="26"/>
          <w:szCs w:val="26"/>
        </w:rPr>
        <w:t>two years plus current.</w:t>
      </w:r>
    </w:p>
    <w:p w:rsidR="00596CCE" w:rsidRPr="008C6DBC" w:rsidP="004E2018" w14:paraId="61DB79F7" w14:textId="7E5B542D">
      <w:pPr>
        <w:pStyle w:val="ListParagraph"/>
        <w:widowControl/>
        <w:numPr>
          <w:ilvl w:val="0"/>
          <w:numId w:val="24"/>
        </w:numPr>
        <w:rPr>
          <w:sz w:val="26"/>
          <w:szCs w:val="26"/>
        </w:rPr>
      </w:pPr>
      <w:r w:rsidRPr="008C6DBC">
        <w:rPr>
          <w:sz w:val="26"/>
          <w:szCs w:val="26"/>
        </w:rPr>
        <w:t>For Measures 5, 6 and 7, the Nuclear Plant Generator Operator shall keep</w:t>
      </w:r>
      <w:r w:rsidR="00F55607">
        <w:rPr>
          <w:sz w:val="26"/>
          <w:szCs w:val="26"/>
        </w:rPr>
        <w:t xml:space="preserve"> </w:t>
      </w:r>
      <w:r w:rsidRPr="008C6DBC">
        <w:rPr>
          <w:sz w:val="26"/>
          <w:szCs w:val="26"/>
        </w:rPr>
        <w:t>evidence for two years plus current.</w:t>
      </w:r>
    </w:p>
    <w:p w:rsidR="00596CCE" w:rsidRPr="00596CCE" w:rsidP="004E2018" w14:paraId="511A8E56" w14:textId="2E144296">
      <w:pPr>
        <w:widowControl/>
        <w:rPr>
          <w:szCs w:val="26"/>
        </w:rPr>
      </w:pPr>
      <w:r w:rsidRPr="00596CCE">
        <w:rPr>
          <w:sz w:val="26"/>
          <w:szCs w:val="26"/>
        </w:rPr>
        <w:t>If a Responsible Entity is found non-compliant it shall keep information related to</w:t>
      </w:r>
      <w:r w:rsidR="00F55607">
        <w:rPr>
          <w:sz w:val="26"/>
          <w:szCs w:val="26"/>
        </w:rPr>
        <w:t xml:space="preserve"> </w:t>
      </w:r>
      <w:r w:rsidRPr="00596CCE">
        <w:rPr>
          <w:sz w:val="26"/>
          <w:szCs w:val="26"/>
        </w:rPr>
        <w:t>the noncompliance until found compliant.</w:t>
      </w:r>
      <w:r w:rsidR="00F55607">
        <w:rPr>
          <w:sz w:val="26"/>
          <w:szCs w:val="26"/>
        </w:rPr>
        <w:t xml:space="preserve"> </w:t>
      </w:r>
      <w:r w:rsidRPr="00596CCE">
        <w:rPr>
          <w:sz w:val="26"/>
          <w:szCs w:val="26"/>
        </w:rPr>
        <w:t xml:space="preserve">The Compliance Enforcement Authority shall keep the last audit </w:t>
      </w:r>
      <w:r w:rsidRPr="00596CCE">
        <w:rPr>
          <w:sz w:val="26"/>
          <w:szCs w:val="26"/>
        </w:rPr>
        <w:t>records</w:t>
      </w:r>
      <w:r w:rsidRPr="00596CCE">
        <w:rPr>
          <w:sz w:val="26"/>
          <w:szCs w:val="26"/>
        </w:rPr>
        <w:t xml:space="preserve"> and all</w:t>
      </w:r>
      <w:r w:rsidR="00F55607">
        <w:rPr>
          <w:szCs w:val="26"/>
        </w:rPr>
        <w:t xml:space="preserve"> </w:t>
      </w:r>
      <w:r w:rsidRPr="00596CCE">
        <w:rPr>
          <w:szCs w:val="26"/>
        </w:rPr>
        <w:t>requested and submitted subsequent audit records.</w:t>
      </w:r>
    </w:p>
    <w:p w:rsidR="00D0799F" w:rsidRPr="00596CCE" w:rsidP="00D0799F" w14:paraId="07095E1A" w14:textId="77777777">
      <w:pPr>
        <w:pStyle w:val="FERCparanumber"/>
        <w:widowControl/>
        <w:numPr>
          <w:ilvl w:val="0"/>
          <w:numId w:val="0"/>
        </w:numPr>
        <w:spacing w:line="240" w:lineRule="auto"/>
        <w:rPr>
          <w:szCs w:val="26"/>
        </w:rPr>
      </w:pPr>
    </w:p>
    <w:p w:rsidR="002652E7" w:rsidRPr="00596CCE" w:rsidP="00C45955" w14:paraId="7A1F1B47" w14:textId="77777777">
      <w:pPr>
        <w:pStyle w:val="FERCparanumber"/>
        <w:widowControl/>
        <w:numPr>
          <w:ilvl w:val="0"/>
          <w:numId w:val="0"/>
        </w:numPr>
        <w:spacing w:line="240" w:lineRule="auto"/>
        <w:ind w:left="720" w:hanging="720"/>
        <w:rPr>
          <w:szCs w:val="26"/>
        </w:rPr>
      </w:pPr>
      <w:r w:rsidRPr="00596CCE">
        <w:rPr>
          <w:szCs w:val="26"/>
        </w:rPr>
        <w:t>3.</w:t>
      </w:r>
      <w:r w:rsidRPr="00596CCE">
        <w:rPr>
          <w:szCs w:val="26"/>
        </w:rPr>
        <w:tab/>
      </w:r>
      <w:r w:rsidRPr="00596CCE">
        <w:rPr>
          <w:b/>
          <w:szCs w:val="26"/>
        </w:rPr>
        <w:t>DESCRIBE ANY CONSIDERATION OF THE USE OF IMPROVED TECHNOLOGY TO REDUCE BURDEN AND TECHNICAL OR LEGAL OBSTACLES TO REDUCING BURDEN.</w:t>
      </w:r>
    </w:p>
    <w:p w:rsidR="002652E7" w:rsidRPr="00596CCE" w14:paraId="16667027" w14:textId="77777777">
      <w:pPr>
        <w:widowControl/>
        <w:rPr>
          <w:b/>
          <w:bCs/>
          <w:sz w:val="26"/>
          <w:szCs w:val="26"/>
        </w:rPr>
      </w:pPr>
    </w:p>
    <w:p w:rsidR="00242E4E" w:rsidRPr="00596CCE" w:rsidP="00242E4E" w14:paraId="72E9374C" w14:textId="425AB5AA">
      <w:pPr>
        <w:rPr>
          <w:sz w:val="26"/>
          <w:szCs w:val="26"/>
        </w:rPr>
      </w:pPr>
      <w:r w:rsidRPr="00596CCE">
        <w:rPr>
          <w:sz w:val="26"/>
          <w:szCs w:val="26"/>
        </w:rPr>
        <w:t xml:space="preserve">Reliability Standard </w:t>
      </w:r>
      <w:r w:rsidRPr="00596CCE" w:rsidR="0061237A">
        <w:rPr>
          <w:sz w:val="26"/>
          <w:szCs w:val="26"/>
        </w:rPr>
        <w:t>NUC-001-</w:t>
      </w:r>
      <w:r w:rsidRPr="00596CCE" w:rsidR="002C602D">
        <w:rPr>
          <w:sz w:val="26"/>
          <w:szCs w:val="26"/>
        </w:rPr>
        <w:t>4</w:t>
      </w:r>
      <w:r w:rsidRPr="00596CCE" w:rsidR="0061237A">
        <w:rPr>
          <w:sz w:val="26"/>
          <w:szCs w:val="26"/>
        </w:rPr>
        <w:t xml:space="preserve"> </w:t>
      </w:r>
      <w:r w:rsidRPr="00596CCE">
        <w:rPr>
          <w:sz w:val="26"/>
          <w:szCs w:val="26"/>
        </w:rPr>
        <w:t>do</w:t>
      </w:r>
      <w:r w:rsidRPr="00596CCE" w:rsidR="00BC13BC">
        <w:rPr>
          <w:sz w:val="26"/>
          <w:szCs w:val="26"/>
        </w:rPr>
        <w:t>es</w:t>
      </w:r>
      <w:r w:rsidRPr="00596CCE">
        <w:rPr>
          <w:sz w:val="26"/>
          <w:szCs w:val="26"/>
        </w:rPr>
        <w:t xml:space="preserve"> not require information to be filed with the Commission.  However, it does contain </w:t>
      </w:r>
      <w:r w:rsidRPr="00596CCE" w:rsidR="009540CC">
        <w:rPr>
          <w:sz w:val="26"/>
          <w:szCs w:val="26"/>
        </w:rPr>
        <w:t xml:space="preserve">information collection </w:t>
      </w:r>
      <w:r w:rsidRPr="00596CCE">
        <w:rPr>
          <w:sz w:val="26"/>
          <w:szCs w:val="26"/>
        </w:rPr>
        <w:t>requirements for which using current technology is an option.</w:t>
      </w:r>
    </w:p>
    <w:p w:rsidR="00D269B6" w:rsidRPr="00596CCE" w14:paraId="77FB421C" w14:textId="77777777">
      <w:pPr>
        <w:widowControl/>
        <w:tabs>
          <w:tab w:val="left" w:pos="-1440"/>
        </w:tabs>
        <w:ind w:left="1440" w:hanging="720"/>
        <w:rPr>
          <w:sz w:val="26"/>
          <w:szCs w:val="26"/>
        </w:rPr>
      </w:pPr>
    </w:p>
    <w:p w:rsidR="002652E7" w:rsidRPr="00596CCE" w:rsidP="00C45955" w14:paraId="7D2434C3" w14:textId="77777777">
      <w:pPr>
        <w:widowControl/>
        <w:tabs>
          <w:tab w:val="left" w:pos="-1440"/>
        </w:tabs>
        <w:ind w:left="720" w:hanging="720"/>
        <w:rPr>
          <w:b/>
          <w:bCs/>
          <w:sz w:val="26"/>
          <w:szCs w:val="26"/>
        </w:rPr>
      </w:pPr>
      <w:r w:rsidRPr="00596CCE">
        <w:rPr>
          <w:sz w:val="26"/>
          <w:szCs w:val="26"/>
        </w:rPr>
        <w:t>4.</w:t>
      </w:r>
      <w:r w:rsidRPr="00596CCE">
        <w:rPr>
          <w:sz w:val="26"/>
          <w:szCs w:val="26"/>
        </w:rPr>
        <w:tab/>
      </w:r>
      <w:r w:rsidRPr="00596CCE">
        <w:rPr>
          <w:b/>
          <w:bCs/>
          <w:sz w:val="26"/>
          <w:szCs w:val="26"/>
        </w:rPr>
        <w:t>DESCRIBE EFFORTS TO IDENTIFY DUPLICATION AND SHOW SPECIFICALLY WHY ANY SIMILAR INFORMATION ALREADY AVAILABLE CANNOT BE USED OR MODIFIED FOR USE FOR THE PURPOSE(S) DESCRIBED IN INSTRUCTION NO. 2</w:t>
      </w:r>
    </w:p>
    <w:p w:rsidR="002652E7" w:rsidRPr="00596CCE" w14:paraId="71092222" w14:textId="77777777">
      <w:pPr>
        <w:widowControl/>
        <w:rPr>
          <w:b/>
          <w:bCs/>
          <w:sz w:val="26"/>
          <w:szCs w:val="26"/>
        </w:rPr>
      </w:pPr>
    </w:p>
    <w:p w:rsidR="00E139BF" w:rsidRPr="00596CCE" w:rsidP="00FF4022" w14:paraId="066F77F4" w14:textId="77777777">
      <w:pPr>
        <w:widowControl/>
        <w:rPr>
          <w:sz w:val="26"/>
          <w:szCs w:val="26"/>
        </w:rPr>
      </w:pPr>
      <w:r w:rsidRPr="00596CCE">
        <w:rPr>
          <w:sz w:val="26"/>
          <w:szCs w:val="26"/>
        </w:rPr>
        <w:t xml:space="preserve">Filing requirements are periodically reviewed as OMB review dates arise or as the Commission may deem necessary in carrying out its responsibilities under the FPA </w:t>
      </w:r>
      <w:r w:rsidRPr="00596CCE">
        <w:rPr>
          <w:sz w:val="26"/>
          <w:szCs w:val="26"/>
        </w:rPr>
        <w:t>in order to</w:t>
      </w:r>
      <w:r w:rsidRPr="00596CCE">
        <w:rPr>
          <w:sz w:val="26"/>
          <w:szCs w:val="26"/>
        </w:rPr>
        <w:t xml:space="preserve"> eliminate duplication and ensure that filing burden is minimized.  There are no similar sources of information available that can be used or modified for these reporting purposes.</w:t>
      </w:r>
    </w:p>
    <w:p w:rsidR="00BA4FDB" w:rsidRPr="00596CCE" w14:paraId="7D597A05" w14:textId="77777777">
      <w:pPr>
        <w:widowControl/>
        <w:rPr>
          <w:sz w:val="26"/>
          <w:szCs w:val="26"/>
        </w:rPr>
      </w:pPr>
    </w:p>
    <w:p w:rsidR="002652E7" w:rsidRPr="00596CCE" w:rsidP="00C45955" w14:paraId="6CAAFC5D" w14:textId="77777777">
      <w:pPr>
        <w:widowControl/>
        <w:numPr>
          <w:ilvl w:val="0"/>
          <w:numId w:val="10"/>
        </w:numPr>
        <w:tabs>
          <w:tab w:val="left" w:pos="-1440"/>
          <w:tab w:val="num" w:pos="720"/>
          <w:tab w:val="clear" w:pos="1080"/>
        </w:tabs>
        <w:ind w:left="720" w:hanging="630"/>
        <w:rPr>
          <w:b/>
          <w:bCs/>
          <w:sz w:val="26"/>
          <w:szCs w:val="26"/>
        </w:rPr>
      </w:pPr>
      <w:r w:rsidRPr="00596CCE">
        <w:rPr>
          <w:b/>
          <w:bCs/>
          <w:sz w:val="26"/>
          <w:szCs w:val="26"/>
        </w:rPr>
        <w:t>METHODS USED TO MINIMIZE BURDEN IN COLLECTION OF INFORMATION INVOLVING SMALL ENTITIES</w:t>
      </w:r>
    </w:p>
    <w:p w:rsidR="00BA4FDB" w:rsidRPr="00596CCE" w:rsidP="00BA4FDB" w14:paraId="76A06103" w14:textId="77777777">
      <w:pPr>
        <w:widowControl/>
        <w:tabs>
          <w:tab w:val="left" w:pos="-1440"/>
        </w:tabs>
        <w:rPr>
          <w:b/>
          <w:bCs/>
          <w:sz w:val="26"/>
          <w:szCs w:val="26"/>
        </w:rPr>
      </w:pPr>
    </w:p>
    <w:p w:rsidR="002652E7" w:rsidRPr="00596CCE" w:rsidP="00C408BD" w14:paraId="01B69938" w14:textId="77777777">
      <w:pPr>
        <w:widowControl/>
        <w:tabs>
          <w:tab w:val="left" w:pos="-1440"/>
        </w:tabs>
        <w:rPr>
          <w:sz w:val="26"/>
          <w:szCs w:val="26"/>
        </w:rPr>
      </w:pPr>
      <w:r w:rsidRPr="541D18E1">
        <w:rPr>
          <w:sz w:val="26"/>
          <w:szCs w:val="26"/>
        </w:rPr>
        <w:t>This Reliability Standard does not contain provisions for minimizing the burden of the collection for small entities.  All the requirements in the Reliability Standard apply to every applicable entity, be it large or small.</w:t>
      </w:r>
      <w:r w:rsidRPr="541D18E1" w:rsidR="00D0793A">
        <w:rPr>
          <w:sz w:val="26"/>
          <w:szCs w:val="26"/>
        </w:rPr>
        <w:t xml:space="preserve">  The universe of users, owners, and operators established this standard through a collaborative process wi</w:t>
      </w:r>
      <w:r w:rsidRPr="541D18E1" w:rsidR="00C622D9">
        <w:rPr>
          <w:sz w:val="26"/>
          <w:szCs w:val="26"/>
        </w:rPr>
        <w:t>th no special provisions for small entities.</w:t>
      </w:r>
      <w:r>
        <w:rPr>
          <w:rStyle w:val="FootnoteReference"/>
          <w:sz w:val="26"/>
          <w:szCs w:val="26"/>
          <w:vertAlign w:val="superscript"/>
        </w:rPr>
        <w:footnoteReference w:id="12"/>
      </w:r>
    </w:p>
    <w:p w:rsidR="008225EB" w:rsidRPr="00596CCE" w:rsidP="00D44255" w14:paraId="5520A6D3" w14:textId="77777777">
      <w:pPr>
        <w:pStyle w:val="FERCparanumber"/>
        <w:widowControl/>
        <w:numPr>
          <w:ilvl w:val="0"/>
          <w:numId w:val="0"/>
        </w:numPr>
        <w:spacing w:line="240" w:lineRule="auto"/>
        <w:ind w:firstLine="720"/>
        <w:rPr>
          <w:szCs w:val="26"/>
        </w:rPr>
      </w:pPr>
    </w:p>
    <w:p w:rsidR="00D83A74" w:rsidP="004744BD" w14:paraId="4698719D" w14:textId="0D97954C">
      <w:pPr>
        <w:pStyle w:val="FERCparanumber"/>
        <w:widowControl/>
        <w:numPr>
          <w:ilvl w:val="0"/>
          <w:numId w:val="0"/>
        </w:numPr>
        <w:tabs>
          <w:tab w:val="left" w:pos="720"/>
        </w:tabs>
        <w:spacing w:after="240" w:line="240" w:lineRule="auto"/>
        <w:ind w:left="720" w:hanging="720"/>
      </w:pPr>
      <w:r w:rsidRPr="00596CCE">
        <w:rPr>
          <w:szCs w:val="26"/>
        </w:rPr>
        <w:t>6.</w:t>
      </w:r>
      <w:r w:rsidRPr="00596CCE">
        <w:rPr>
          <w:szCs w:val="26"/>
        </w:rPr>
        <w:tab/>
      </w:r>
      <w:r w:rsidRPr="00596CCE">
        <w:rPr>
          <w:b/>
          <w:szCs w:val="26"/>
        </w:rPr>
        <w:t>CONSEQUENCE TO FEDERAL PROGRAM IF COLLECTION WERE CONDUCTED LESS FREQUENTLY</w:t>
      </w:r>
    </w:p>
    <w:p w:rsidR="00E53348" w:rsidRPr="00E53348" w:rsidP="00E53348" w14:paraId="6EFF48FA" w14:textId="77777777">
      <w:pPr>
        <w:rPr>
          <w:rFonts w:eastAsia="Calibri"/>
        </w:rPr>
      </w:pPr>
      <w:r w:rsidRPr="00596CCE">
        <w:rPr>
          <w:sz w:val="26"/>
          <w:szCs w:val="26"/>
        </w:rPr>
        <w:t xml:space="preserve">The </w:t>
      </w:r>
      <w:r w:rsidRPr="00596CCE" w:rsidR="00397BEE">
        <w:rPr>
          <w:sz w:val="26"/>
          <w:szCs w:val="26"/>
        </w:rPr>
        <w:t>NUC-001-</w:t>
      </w:r>
      <w:r w:rsidRPr="00596CCE" w:rsidR="002C602D">
        <w:rPr>
          <w:sz w:val="26"/>
          <w:szCs w:val="26"/>
        </w:rPr>
        <w:t>4</w:t>
      </w:r>
      <w:r w:rsidRPr="00596CCE" w:rsidR="00397BEE">
        <w:rPr>
          <w:sz w:val="26"/>
          <w:szCs w:val="26"/>
        </w:rPr>
        <w:t xml:space="preserve"> Reliability Standard</w:t>
      </w:r>
      <w:r w:rsidRPr="00596CCE" w:rsidR="00442973">
        <w:rPr>
          <w:sz w:val="26"/>
          <w:szCs w:val="26"/>
        </w:rPr>
        <w:t xml:space="preserve"> </w:t>
      </w:r>
      <w:r w:rsidRPr="00596CCE">
        <w:rPr>
          <w:sz w:val="26"/>
          <w:szCs w:val="26"/>
        </w:rPr>
        <w:t>require</w:t>
      </w:r>
      <w:r w:rsidRPr="00596CCE" w:rsidR="00C60D98">
        <w:rPr>
          <w:sz w:val="26"/>
          <w:szCs w:val="26"/>
        </w:rPr>
        <w:t>s</w:t>
      </w:r>
      <w:r w:rsidRPr="00596CCE">
        <w:rPr>
          <w:sz w:val="26"/>
          <w:szCs w:val="26"/>
        </w:rPr>
        <w:t xml:space="preserve"> the Nuclear Plant Generator Operators and Transmission Entities to which they interconnect to execute and implement interface agreements for coordinating operations to meet nuclear licensing requirements. </w:t>
      </w:r>
      <w:r w:rsidRPr="00596CCE" w:rsidR="007F5F8A">
        <w:rPr>
          <w:sz w:val="26"/>
          <w:szCs w:val="26"/>
        </w:rPr>
        <w:t xml:space="preserve"> </w:t>
      </w:r>
      <w:r w:rsidRPr="00596CCE">
        <w:rPr>
          <w:sz w:val="26"/>
          <w:szCs w:val="26"/>
        </w:rPr>
        <w:t xml:space="preserve">These agreements must </w:t>
      </w:r>
      <w:r w:rsidRPr="00596CCE" w:rsidR="00A82E77">
        <w:rPr>
          <w:sz w:val="26"/>
          <w:szCs w:val="26"/>
        </w:rPr>
        <w:t>incorporate</w:t>
      </w:r>
      <w:r w:rsidRPr="00596CCE">
        <w:rPr>
          <w:sz w:val="26"/>
          <w:szCs w:val="26"/>
        </w:rPr>
        <w:t xml:space="preserve"> </w:t>
      </w:r>
      <w:r w:rsidRPr="00596CCE" w:rsidR="007F5F8A">
        <w:rPr>
          <w:sz w:val="26"/>
          <w:szCs w:val="26"/>
        </w:rPr>
        <w:t>Nuclear Plant Interface Requirements (</w:t>
      </w:r>
      <w:r w:rsidRPr="00596CCE">
        <w:rPr>
          <w:sz w:val="26"/>
          <w:szCs w:val="26"/>
        </w:rPr>
        <w:t>NPIRs</w:t>
      </w:r>
      <w:r w:rsidRPr="00596CCE" w:rsidR="007F5F8A">
        <w:rPr>
          <w:sz w:val="26"/>
          <w:szCs w:val="26"/>
        </w:rPr>
        <w:t>)</w:t>
      </w:r>
      <w:r w:rsidRPr="00596CCE">
        <w:rPr>
          <w:sz w:val="26"/>
          <w:szCs w:val="26"/>
        </w:rPr>
        <w:t xml:space="preserve"> into their operating analyses of the </w:t>
      </w:r>
      <w:r w:rsidRPr="00596CCE" w:rsidR="00C45955">
        <w:rPr>
          <w:sz w:val="26"/>
          <w:szCs w:val="26"/>
        </w:rPr>
        <w:t>Bulk Electric System (</w:t>
      </w:r>
      <w:r w:rsidRPr="00596CCE">
        <w:rPr>
          <w:sz w:val="26"/>
          <w:szCs w:val="26"/>
        </w:rPr>
        <w:t>BES</w:t>
      </w:r>
      <w:r w:rsidRPr="00596CCE" w:rsidR="00C45955">
        <w:rPr>
          <w:sz w:val="26"/>
          <w:szCs w:val="26"/>
        </w:rPr>
        <w:t>)</w:t>
      </w:r>
      <w:r w:rsidRPr="00596CCE">
        <w:rPr>
          <w:sz w:val="26"/>
          <w:szCs w:val="26"/>
        </w:rPr>
        <w:t xml:space="preserve"> and operate the Transmission system to comply with the NPIRs.</w:t>
      </w:r>
      <w:r w:rsidRPr="00596CCE" w:rsidR="00A82E77">
        <w:rPr>
          <w:sz w:val="26"/>
          <w:szCs w:val="26"/>
        </w:rPr>
        <w:t xml:space="preserve"> </w:t>
      </w:r>
      <w:r w:rsidRPr="00596CCE" w:rsidR="000D787F">
        <w:rPr>
          <w:sz w:val="26"/>
          <w:szCs w:val="26"/>
        </w:rPr>
        <w:t xml:space="preserve"> </w:t>
      </w:r>
      <w:r w:rsidRPr="00596CCE" w:rsidR="00A82E77">
        <w:rPr>
          <w:sz w:val="26"/>
          <w:szCs w:val="26"/>
        </w:rPr>
        <w:t xml:space="preserve">The lack of these agreements or </w:t>
      </w:r>
      <w:r w:rsidRPr="00596CCE">
        <w:rPr>
          <w:sz w:val="26"/>
          <w:szCs w:val="26"/>
        </w:rPr>
        <w:t>compliance to these agreements can bring about lack of coordination of operations between a nuclear plant a</w:t>
      </w:r>
      <w:r w:rsidRPr="00596CCE" w:rsidR="00A82E77">
        <w:rPr>
          <w:sz w:val="26"/>
          <w:szCs w:val="26"/>
        </w:rPr>
        <w:t xml:space="preserve">nd its transmission entities. </w:t>
      </w:r>
      <w:r w:rsidRPr="00596CCE" w:rsidR="00D5115B">
        <w:rPr>
          <w:sz w:val="26"/>
          <w:szCs w:val="26"/>
        </w:rPr>
        <w:t xml:space="preserve">This lack of </w:t>
      </w:r>
      <w:r w:rsidRPr="00596CCE" w:rsidR="00D5115B">
        <w:rPr>
          <w:sz w:val="26"/>
          <w:szCs w:val="26"/>
        </w:rPr>
        <w:t>communication</w:t>
      </w:r>
      <w:r w:rsidRPr="00596CCE" w:rsidR="006B1350">
        <w:rPr>
          <w:sz w:val="26"/>
          <w:szCs w:val="26"/>
        </w:rPr>
        <w:t xml:space="preserve"> between entities</w:t>
      </w:r>
      <w:r w:rsidRPr="00596CCE">
        <w:rPr>
          <w:sz w:val="26"/>
          <w:szCs w:val="26"/>
        </w:rPr>
        <w:t xml:space="preserve"> can lead to an unanticipated separation from the </w:t>
      </w:r>
      <w:r w:rsidRPr="00596CCE" w:rsidR="006B1350">
        <w:rPr>
          <w:sz w:val="26"/>
          <w:szCs w:val="26"/>
        </w:rPr>
        <w:t>Bulk Power System (</w:t>
      </w:r>
      <w:r w:rsidRPr="00596CCE">
        <w:rPr>
          <w:sz w:val="26"/>
          <w:szCs w:val="26"/>
        </w:rPr>
        <w:t>BPS</w:t>
      </w:r>
      <w:r w:rsidRPr="00596CCE" w:rsidR="006B1350">
        <w:rPr>
          <w:sz w:val="26"/>
          <w:szCs w:val="26"/>
        </w:rPr>
        <w:t>)</w:t>
      </w:r>
      <w:r w:rsidRPr="00596CCE">
        <w:rPr>
          <w:sz w:val="26"/>
          <w:szCs w:val="26"/>
        </w:rPr>
        <w:t xml:space="preserve"> placing the BPS at risk.  </w:t>
      </w:r>
      <w:r w:rsidR="00FF4183">
        <w:rPr>
          <w:sz w:val="26"/>
          <w:szCs w:val="26"/>
        </w:rPr>
        <w:t>Since 2011, there have been over a dozen violation of the standard largely th</w:t>
      </w:r>
      <w:r w:rsidR="00EE34B7">
        <w:rPr>
          <w:sz w:val="26"/>
          <w:szCs w:val="26"/>
        </w:rPr>
        <w:t>rough</w:t>
      </w:r>
      <w:r w:rsidR="00FF4183">
        <w:rPr>
          <w:sz w:val="26"/>
          <w:szCs w:val="26"/>
        </w:rPr>
        <w:t xml:space="preserve"> self</w:t>
      </w:r>
      <w:r w:rsidR="00EE34B7">
        <w:rPr>
          <w:sz w:val="26"/>
          <w:szCs w:val="26"/>
        </w:rPr>
        <w:t>-</w:t>
      </w:r>
      <w:r w:rsidR="00FF4183">
        <w:rPr>
          <w:sz w:val="26"/>
          <w:szCs w:val="26"/>
        </w:rPr>
        <w:t>reporting</w:t>
      </w:r>
      <w:r w:rsidR="00EE34B7">
        <w:rPr>
          <w:sz w:val="26"/>
          <w:szCs w:val="26"/>
        </w:rPr>
        <w:t>,</w:t>
      </w:r>
      <w:r w:rsidR="00FF4183">
        <w:rPr>
          <w:sz w:val="26"/>
          <w:szCs w:val="26"/>
        </w:rPr>
        <w:t xml:space="preserve"> with Requirement R4 most frequently being responsible</w:t>
      </w:r>
      <w:r w:rsidR="00EE34B7">
        <w:rPr>
          <w:sz w:val="26"/>
          <w:szCs w:val="26"/>
        </w:rPr>
        <w:t xml:space="preserve">, that could have </w:t>
      </w:r>
      <w:r w:rsidR="00EE34B7">
        <w:rPr>
          <w:sz w:val="26"/>
          <w:szCs w:val="26"/>
        </w:rPr>
        <w:t>lead</w:t>
      </w:r>
      <w:r w:rsidR="00EE34B7">
        <w:rPr>
          <w:sz w:val="26"/>
          <w:szCs w:val="26"/>
        </w:rPr>
        <w:t xml:space="preserve"> to circumstances entities not sharing information or being able to meet the NPIRs.</w:t>
      </w:r>
      <w:r w:rsidR="00FF4183">
        <w:rPr>
          <w:sz w:val="26"/>
          <w:szCs w:val="26"/>
        </w:rPr>
        <w:t xml:space="preserve"> </w:t>
      </w:r>
      <w:r w:rsidRPr="00E53348">
        <w:rPr>
          <w:rFonts w:eastAsia="Calibri"/>
        </w:rPr>
        <w:t xml:space="preserve">If the disturbance events were reported less frequently, it would undermine NERC’s (and others’) ability to mitigate the current event and prepare for a possible next event.  </w:t>
      </w:r>
    </w:p>
    <w:p w:rsidR="00387541" w:rsidRPr="00596CCE" w:rsidP="00387541" w14:paraId="25EEC2AE" w14:textId="3644C132">
      <w:pPr>
        <w:widowControl/>
        <w:rPr>
          <w:sz w:val="26"/>
          <w:szCs w:val="26"/>
        </w:rPr>
      </w:pPr>
    </w:p>
    <w:p w:rsidR="002652E7" w:rsidRPr="00596CCE" w14:paraId="09454417" w14:textId="589FB489">
      <w:pPr>
        <w:widowControl/>
        <w:rPr>
          <w:sz w:val="26"/>
          <w:szCs w:val="26"/>
        </w:rPr>
      </w:pPr>
    </w:p>
    <w:p w:rsidR="002652E7" w:rsidRPr="00596CCE" w:rsidP="00C45955" w14:paraId="4151E093" w14:textId="77777777">
      <w:pPr>
        <w:widowControl/>
        <w:tabs>
          <w:tab w:val="left" w:pos="-1440"/>
        </w:tabs>
        <w:ind w:left="720" w:hanging="720"/>
        <w:rPr>
          <w:b/>
          <w:bCs/>
          <w:sz w:val="26"/>
          <w:szCs w:val="26"/>
        </w:rPr>
      </w:pPr>
      <w:r w:rsidRPr="00596CCE">
        <w:rPr>
          <w:sz w:val="26"/>
          <w:szCs w:val="26"/>
        </w:rPr>
        <w:t>7.</w:t>
      </w:r>
      <w:r w:rsidRPr="00596CCE">
        <w:rPr>
          <w:sz w:val="26"/>
          <w:szCs w:val="26"/>
        </w:rPr>
        <w:tab/>
      </w:r>
      <w:r w:rsidRPr="00596CCE">
        <w:rPr>
          <w:b/>
          <w:bCs/>
          <w:sz w:val="26"/>
          <w:szCs w:val="26"/>
        </w:rPr>
        <w:t>EXPLAIN ANY SPECIAL CIRCUMSTANCES RELATING TO THE INFORMATION COLLECTION</w:t>
      </w:r>
    </w:p>
    <w:p w:rsidR="002652E7" w:rsidRPr="00596CCE" w14:paraId="7D214668" w14:textId="77777777">
      <w:pPr>
        <w:widowControl/>
        <w:rPr>
          <w:b/>
          <w:bCs/>
          <w:sz w:val="26"/>
          <w:szCs w:val="26"/>
        </w:rPr>
      </w:pPr>
    </w:p>
    <w:p w:rsidR="00D83A74" w:rsidP="001E0D94" w14:paraId="14A503CA" w14:textId="54CBBEC0">
      <w:pPr>
        <w:pStyle w:val="FERCparanumber"/>
        <w:widowControl/>
        <w:numPr>
          <w:ilvl w:val="0"/>
          <w:numId w:val="0"/>
        </w:numPr>
        <w:tabs>
          <w:tab w:val="left" w:pos="720"/>
        </w:tabs>
        <w:spacing w:after="240" w:line="240" w:lineRule="auto"/>
      </w:pPr>
    </w:p>
    <w:p w:rsidR="007222B6" w:rsidP="0032539A" w14:paraId="40ADE38C" w14:textId="5799EFF5">
      <w:pPr>
        <w:widowControl/>
        <w:ind w:right="49"/>
        <w:rPr>
          <w:sz w:val="26"/>
          <w:szCs w:val="26"/>
        </w:rPr>
      </w:pPr>
      <w:r w:rsidRPr="004744BD">
        <w:rPr>
          <w:sz w:val="26"/>
          <w:szCs w:val="26"/>
        </w:rPr>
        <w:t xml:space="preserve">There are no </w:t>
      </w:r>
      <w:r w:rsidRPr="004744BD" w:rsidR="00A85BAA">
        <w:rPr>
          <w:sz w:val="26"/>
          <w:szCs w:val="26"/>
        </w:rPr>
        <w:t xml:space="preserve">records retention </w:t>
      </w:r>
      <w:r w:rsidRPr="004744BD" w:rsidR="004744B7">
        <w:rPr>
          <w:sz w:val="26"/>
          <w:szCs w:val="26"/>
        </w:rPr>
        <w:t xml:space="preserve">requirements </w:t>
      </w:r>
      <w:r w:rsidRPr="004744BD" w:rsidR="00A85BAA">
        <w:rPr>
          <w:sz w:val="26"/>
          <w:szCs w:val="26"/>
        </w:rPr>
        <w:t xml:space="preserve">longer than 3 years as evidenced below and within section #2. Therefore, there are no </w:t>
      </w:r>
      <w:r w:rsidRPr="004744BD" w:rsidR="00E04D11">
        <w:rPr>
          <w:sz w:val="26"/>
          <w:szCs w:val="26"/>
        </w:rPr>
        <w:t>special circumstances.</w:t>
      </w:r>
      <w:r w:rsidRPr="004744BD" w:rsidR="21D7A98E">
        <w:rPr>
          <w:sz w:val="26"/>
          <w:szCs w:val="26"/>
        </w:rPr>
        <w:t xml:space="preserve"> </w:t>
      </w:r>
      <w:r w:rsidRPr="541D18E1">
        <w:rPr>
          <w:sz w:val="26"/>
          <w:szCs w:val="26"/>
        </w:rPr>
        <w:t>Data Retention requirements</w:t>
      </w:r>
      <w:r w:rsidRPr="541D18E1" w:rsidR="006D70F1">
        <w:rPr>
          <w:sz w:val="26"/>
          <w:szCs w:val="26"/>
        </w:rPr>
        <w:t xml:space="preserve"> </w:t>
      </w:r>
      <w:r w:rsidRPr="541D18E1">
        <w:rPr>
          <w:sz w:val="26"/>
          <w:szCs w:val="26"/>
        </w:rPr>
        <w:t>state:</w:t>
      </w:r>
    </w:p>
    <w:p w:rsidR="002C602D" w:rsidP="002C602D" w14:paraId="320B4252" w14:textId="77777777">
      <w:pPr>
        <w:pStyle w:val="BodyText"/>
        <w:kinsoku w:val="0"/>
        <w:overflowPunct w:val="0"/>
        <w:ind w:left="720" w:firstLine="0"/>
        <w:rPr>
          <w:sz w:val="26"/>
          <w:szCs w:val="26"/>
        </w:rPr>
      </w:pPr>
      <w:r w:rsidRPr="541D18E1">
        <w:rPr>
          <w:sz w:val="26"/>
          <w:szCs w:val="26"/>
        </w:rPr>
        <w:t>“</w:t>
      </w:r>
      <w:r w:rsidRPr="541D18E1">
        <w:rPr>
          <w:sz w:val="26"/>
          <w:szCs w:val="26"/>
        </w:rPr>
        <w:t xml:space="preserve">The Responsible Entity shall keep data or evidence to show compliance as identified below unless directed by its Compliance Enforcement Authority to retain specific evidence for a longer </w:t>
      </w:r>
      <w:r w:rsidRPr="541D18E1">
        <w:rPr>
          <w:sz w:val="26"/>
          <w:szCs w:val="26"/>
        </w:rPr>
        <w:t>period of time</w:t>
      </w:r>
      <w:r w:rsidRPr="541D18E1">
        <w:rPr>
          <w:sz w:val="26"/>
          <w:szCs w:val="26"/>
        </w:rPr>
        <w:t xml:space="preserve"> as part of an investigation: </w:t>
      </w:r>
    </w:p>
    <w:p w:rsidR="002C602D" w:rsidP="004E2018" w14:paraId="040FBD6F" w14:textId="77777777">
      <w:pPr>
        <w:pStyle w:val="BodyText"/>
        <w:kinsoku w:val="0"/>
        <w:overflowPunct w:val="0"/>
        <w:ind w:left="1440" w:firstLine="0"/>
        <w:rPr>
          <w:sz w:val="26"/>
          <w:szCs w:val="26"/>
        </w:rPr>
      </w:pPr>
      <w:r w:rsidRPr="002C602D">
        <w:rPr>
          <w:rFonts w:ascii="Symbol" w:eastAsia="Symbol" w:hAnsi="Symbol" w:cs="Symbol"/>
          <w:sz w:val="26"/>
          <w:szCs w:val="26"/>
        </w:rPr>
        <w:t>·</w:t>
      </w:r>
      <w:r w:rsidRPr="002C602D">
        <w:rPr>
          <w:sz w:val="26"/>
          <w:szCs w:val="26"/>
        </w:rPr>
        <w:t xml:space="preserve"> For Measure 1, the Nuclear Plant Generator Operator shall keep its latest transmittals and receipts. </w:t>
      </w:r>
    </w:p>
    <w:p w:rsidR="002C602D" w:rsidP="004E2018" w14:paraId="23F671E2" w14:textId="77777777">
      <w:pPr>
        <w:pStyle w:val="BodyText"/>
        <w:kinsoku w:val="0"/>
        <w:overflowPunct w:val="0"/>
        <w:ind w:left="1440" w:firstLine="0"/>
        <w:rPr>
          <w:sz w:val="26"/>
          <w:szCs w:val="26"/>
        </w:rPr>
      </w:pPr>
      <w:r w:rsidRPr="002C602D">
        <w:rPr>
          <w:rFonts w:ascii="Symbol" w:eastAsia="Symbol" w:hAnsi="Symbol" w:cs="Symbol"/>
          <w:sz w:val="26"/>
          <w:szCs w:val="26"/>
        </w:rPr>
        <w:t>·</w:t>
      </w:r>
      <w:r w:rsidRPr="002C602D">
        <w:rPr>
          <w:sz w:val="26"/>
          <w:szCs w:val="26"/>
        </w:rPr>
        <w:t xml:space="preserve"> For Measure 2, the Nuclear Plant Generator Operator and each Transmission Entity shall have its current, in-force Agreement. </w:t>
      </w:r>
    </w:p>
    <w:p w:rsidR="002C602D" w:rsidP="004E2018" w14:paraId="6664AD0D" w14:textId="77777777">
      <w:pPr>
        <w:pStyle w:val="BodyText"/>
        <w:kinsoku w:val="0"/>
        <w:overflowPunct w:val="0"/>
        <w:ind w:left="1440" w:firstLine="0"/>
        <w:rPr>
          <w:sz w:val="26"/>
          <w:szCs w:val="26"/>
        </w:rPr>
      </w:pPr>
      <w:r w:rsidRPr="002C602D">
        <w:rPr>
          <w:rFonts w:ascii="Symbol" w:eastAsia="Symbol" w:hAnsi="Symbol" w:cs="Symbol"/>
          <w:sz w:val="26"/>
          <w:szCs w:val="26"/>
        </w:rPr>
        <w:t>·</w:t>
      </w:r>
      <w:r w:rsidRPr="002C602D">
        <w:rPr>
          <w:sz w:val="26"/>
          <w:szCs w:val="26"/>
        </w:rPr>
        <w:t xml:space="preserve"> For Measure 3, the Transmission Entity shall have the latest planning analysis results. </w:t>
      </w:r>
    </w:p>
    <w:p w:rsidR="002C602D" w:rsidP="004E2018" w14:paraId="6E6F8CE5" w14:textId="77777777">
      <w:pPr>
        <w:pStyle w:val="BodyText"/>
        <w:kinsoku w:val="0"/>
        <w:overflowPunct w:val="0"/>
        <w:ind w:left="1440" w:firstLine="0"/>
        <w:rPr>
          <w:sz w:val="26"/>
          <w:szCs w:val="26"/>
        </w:rPr>
      </w:pPr>
      <w:r w:rsidRPr="002C602D">
        <w:rPr>
          <w:rFonts w:ascii="Symbol" w:eastAsia="Symbol" w:hAnsi="Symbol" w:cs="Symbol"/>
          <w:sz w:val="26"/>
          <w:szCs w:val="26"/>
        </w:rPr>
        <w:t>·</w:t>
      </w:r>
      <w:r w:rsidRPr="002C602D">
        <w:rPr>
          <w:sz w:val="26"/>
          <w:szCs w:val="26"/>
        </w:rPr>
        <w:t xml:space="preserve"> For Measures 4, 6 and 8, the Transmission Entity shall keep evidence for two years plus current. </w:t>
      </w:r>
    </w:p>
    <w:p w:rsidR="002C602D" w:rsidP="004E2018" w14:paraId="5AFBE7E9" w14:textId="77777777">
      <w:pPr>
        <w:pStyle w:val="BodyText"/>
        <w:kinsoku w:val="0"/>
        <w:overflowPunct w:val="0"/>
        <w:ind w:left="1440" w:firstLine="0"/>
        <w:rPr>
          <w:sz w:val="26"/>
          <w:szCs w:val="26"/>
        </w:rPr>
      </w:pPr>
      <w:r w:rsidRPr="002C602D">
        <w:rPr>
          <w:rFonts w:ascii="Symbol" w:eastAsia="Symbol" w:hAnsi="Symbol" w:cs="Symbol"/>
          <w:sz w:val="26"/>
          <w:szCs w:val="26"/>
        </w:rPr>
        <w:t>·</w:t>
      </w:r>
      <w:r w:rsidRPr="002C602D">
        <w:rPr>
          <w:sz w:val="26"/>
          <w:szCs w:val="26"/>
        </w:rPr>
        <w:t xml:space="preserve"> For Measures 5, 6 and 7, the Nuclear Plant Generator Operator shall keep evidence for two years plus current. </w:t>
      </w:r>
    </w:p>
    <w:p w:rsidR="0032539A" w:rsidRPr="007B173A" w:rsidP="002C602D" w14:paraId="72569F5C" w14:textId="0304674F">
      <w:pPr>
        <w:pStyle w:val="BodyText"/>
        <w:kinsoku w:val="0"/>
        <w:overflowPunct w:val="0"/>
        <w:ind w:left="720" w:firstLine="0"/>
        <w:rPr>
          <w:spacing w:val="-1"/>
          <w:sz w:val="26"/>
          <w:szCs w:val="26"/>
        </w:rPr>
      </w:pPr>
      <w:r w:rsidRPr="002C602D">
        <w:rPr>
          <w:sz w:val="26"/>
          <w:szCs w:val="26"/>
        </w:rPr>
        <w:t xml:space="preserve">If a Responsible Entity is found non-compliant it shall keep information related to the noncompliance until found compliant. The Compliance Enforcement Authority shall keep the last audit </w:t>
      </w:r>
      <w:r w:rsidRPr="002C602D">
        <w:rPr>
          <w:sz w:val="26"/>
          <w:szCs w:val="26"/>
        </w:rPr>
        <w:t>records</w:t>
      </w:r>
      <w:r w:rsidRPr="002C602D">
        <w:rPr>
          <w:sz w:val="26"/>
          <w:szCs w:val="26"/>
        </w:rPr>
        <w:t xml:space="preserve"> and all requested and submitted subsequent audit records.</w:t>
      </w:r>
      <w:r>
        <w:rPr>
          <w:sz w:val="26"/>
          <w:szCs w:val="26"/>
        </w:rPr>
        <w:t xml:space="preserve"> </w:t>
      </w:r>
      <w:r w:rsidRPr="007B173A">
        <w:rPr>
          <w:spacing w:val="-2"/>
          <w:sz w:val="26"/>
          <w:szCs w:val="26"/>
        </w:rPr>
        <w:t>If</w:t>
      </w:r>
      <w:r w:rsidRPr="007B173A">
        <w:rPr>
          <w:spacing w:val="1"/>
          <w:sz w:val="26"/>
          <w:szCs w:val="26"/>
        </w:rPr>
        <w:t xml:space="preserve"> </w:t>
      </w:r>
      <w:r w:rsidRPr="007B173A">
        <w:rPr>
          <w:sz w:val="26"/>
          <w:szCs w:val="26"/>
        </w:rPr>
        <w:t>a</w:t>
      </w:r>
      <w:r w:rsidRPr="007B173A">
        <w:rPr>
          <w:spacing w:val="-1"/>
          <w:sz w:val="26"/>
          <w:szCs w:val="26"/>
        </w:rPr>
        <w:t xml:space="preserve"> Responsible</w:t>
      </w:r>
      <w:r w:rsidRPr="007B173A">
        <w:rPr>
          <w:sz w:val="26"/>
          <w:szCs w:val="26"/>
        </w:rPr>
        <w:t xml:space="preserve"> Entity</w:t>
      </w:r>
      <w:r w:rsidRPr="007B173A">
        <w:rPr>
          <w:spacing w:val="-5"/>
          <w:sz w:val="26"/>
          <w:szCs w:val="26"/>
        </w:rPr>
        <w:t xml:space="preserve"> </w:t>
      </w:r>
      <w:r w:rsidRPr="007B173A">
        <w:rPr>
          <w:sz w:val="26"/>
          <w:szCs w:val="26"/>
        </w:rPr>
        <w:t>is</w:t>
      </w:r>
      <w:r w:rsidRPr="007B173A">
        <w:rPr>
          <w:spacing w:val="2"/>
          <w:sz w:val="26"/>
          <w:szCs w:val="26"/>
        </w:rPr>
        <w:t xml:space="preserve"> </w:t>
      </w:r>
      <w:r w:rsidRPr="007B173A">
        <w:rPr>
          <w:spacing w:val="-1"/>
          <w:sz w:val="26"/>
          <w:szCs w:val="26"/>
        </w:rPr>
        <w:t>found</w:t>
      </w:r>
      <w:r w:rsidRPr="007B173A">
        <w:rPr>
          <w:sz w:val="26"/>
          <w:szCs w:val="26"/>
        </w:rPr>
        <w:t xml:space="preserve"> non-compliant it </w:t>
      </w:r>
      <w:r w:rsidRPr="007B173A">
        <w:rPr>
          <w:spacing w:val="-1"/>
          <w:sz w:val="26"/>
          <w:szCs w:val="26"/>
        </w:rPr>
        <w:t>shall</w:t>
      </w:r>
      <w:r w:rsidRPr="007B173A">
        <w:rPr>
          <w:sz w:val="26"/>
          <w:szCs w:val="26"/>
        </w:rPr>
        <w:t xml:space="preserve"> </w:t>
      </w:r>
      <w:r w:rsidRPr="007B173A">
        <w:rPr>
          <w:spacing w:val="-1"/>
          <w:sz w:val="26"/>
          <w:szCs w:val="26"/>
        </w:rPr>
        <w:t>keep</w:t>
      </w:r>
      <w:r w:rsidRPr="007B173A">
        <w:rPr>
          <w:sz w:val="26"/>
          <w:szCs w:val="26"/>
        </w:rPr>
        <w:t xml:space="preserve"> </w:t>
      </w:r>
      <w:r w:rsidRPr="007B173A">
        <w:rPr>
          <w:spacing w:val="-1"/>
          <w:sz w:val="26"/>
          <w:szCs w:val="26"/>
        </w:rPr>
        <w:t>information</w:t>
      </w:r>
      <w:r w:rsidRPr="007B173A">
        <w:rPr>
          <w:sz w:val="26"/>
          <w:szCs w:val="26"/>
        </w:rPr>
        <w:t xml:space="preserve"> </w:t>
      </w:r>
      <w:r w:rsidRPr="007B173A">
        <w:rPr>
          <w:spacing w:val="-1"/>
          <w:sz w:val="26"/>
          <w:szCs w:val="26"/>
        </w:rPr>
        <w:t>related</w:t>
      </w:r>
      <w:r w:rsidRPr="007B173A">
        <w:rPr>
          <w:sz w:val="26"/>
          <w:szCs w:val="26"/>
        </w:rPr>
        <w:t xml:space="preserve"> to</w:t>
      </w:r>
      <w:r w:rsidRPr="007B173A">
        <w:rPr>
          <w:spacing w:val="75"/>
          <w:sz w:val="26"/>
          <w:szCs w:val="26"/>
        </w:rPr>
        <w:t xml:space="preserve"> </w:t>
      </w:r>
      <w:r w:rsidRPr="007B173A">
        <w:rPr>
          <w:sz w:val="26"/>
          <w:szCs w:val="26"/>
        </w:rPr>
        <w:t xml:space="preserve">the </w:t>
      </w:r>
      <w:r w:rsidRPr="007B173A">
        <w:rPr>
          <w:spacing w:val="-1"/>
          <w:sz w:val="26"/>
          <w:szCs w:val="26"/>
        </w:rPr>
        <w:t xml:space="preserve">noncompliance </w:t>
      </w:r>
      <w:r w:rsidRPr="007B173A">
        <w:rPr>
          <w:sz w:val="26"/>
          <w:szCs w:val="26"/>
        </w:rPr>
        <w:t xml:space="preserve">until found </w:t>
      </w:r>
      <w:r w:rsidRPr="007B173A">
        <w:rPr>
          <w:spacing w:val="-1"/>
          <w:sz w:val="26"/>
          <w:szCs w:val="26"/>
        </w:rPr>
        <w:t>compliant.</w:t>
      </w:r>
    </w:p>
    <w:p w:rsidR="00C07629" w:rsidP="009B322C" w14:paraId="56B42F80" w14:textId="5DE56DD3">
      <w:pPr>
        <w:widowControl/>
        <w:ind w:left="720" w:right="710"/>
        <w:rPr>
          <w:sz w:val="26"/>
          <w:szCs w:val="26"/>
        </w:rPr>
      </w:pPr>
    </w:p>
    <w:p w:rsidR="007222B6" w:rsidRPr="007222B6" w:rsidP="009B322C" w14:paraId="598F1AD0" w14:textId="77777777">
      <w:pPr>
        <w:widowControl/>
        <w:ind w:left="720" w:right="710"/>
        <w:rPr>
          <w:sz w:val="26"/>
          <w:szCs w:val="26"/>
        </w:rPr>
      </w:pPr>
      <w:r w:rsidRPr="541D18E1">
        <w:rPr>
          <w:sz w:val="26"/>
          <w:szCs w:val="26"/>
        </w:rPr>
        <w:t>[The Compliance Enforcement Authority is the Regional Entity.]</w:t>
      </w:r>
    </w:p>
    <w:p w:rsidR="00417F24" w:rsidRPr="00FC3697" w:rsidP="009B322C" w14:paraId="62048B2E" w14:textId="77777777">
      <w:pPr>
        <w:widowControl/>
        <w:ind w:left="720"/>
        <w:rPr>
          <w:sz w:val="26"/>
          <w:szCs w:val="26"/>
        </w:rPr>
      </w:pPr>
    </w:p>
    <w:p w:rsidR="002652E7" w:rsidP="006B4ABD" w14:paraId="635C59F2" w14:textId="77777777">
      <w:pPr>
        <w:widowControl/>
        <w:ind w:left="720" w:hanging="720"/>
        <w:rPr>
          <w:sz w:val="26"/>
          <w:szCs w:val="26"/>
        </w:rPr>
      </w:pPr>
      <w:r>
        <w:rPr>
          <w:sz w:val="26"/>
          <w:szCs w:val="26"/>
        </w:rPr>
        <w:t>8.</w:t>
      </w:r>
      <w:r>
        <w:rPr>
          <w:sz w:val="26"/>
          <w:szCs w:val="26"/>
        </w:rPr>
        <w:tab/>
      </w:r>
      <w:r>
        <w:rPr>
          <w:b/>
          <w:bCs/>
          <w:sz w:val="26"/>
          <w:szCs w:val="26"/>
        </w:rPr>
        <w:t>DESCRIBE EFFORTS TO CONSULT OUTSIDE THE AGENCY: SUMMARIZE PUBLIC COMMENTS</w:t>
      </w:r>
      <w:r>
        <w:rPr>
          <w:b/>
          <w:bCs/>
          <w:sz w:val="26"/>
          <w:szCs w:val="26"/>
        </w:rPr>
        <w:t xml:space="preserve"> AND THE AGENCY'S RESPONSE TO THESE COMMENTS</w:t>
      </w:r>
    </w:p>
    <w:p w:rsidR="002652E7" w14:paraId="68F38AE1" w14:textId="77777777">
      <w:pPr>
        <w:widowControl/>
        <w:rPr>
          <w:sz w:val="26"/>
          <w:szCs w:val="26"/>
        </w:rPr>
      </w:pPr>
    </w:p>
    <w:p w:rsidR="00CF77D9" w:rsidP="007B0000" w14:paraId="7334BED3" w14:textId="3A6AE3F4">
      <w:pPr>
        <w:widowControl/>
        <w:rPr>
          <w:sz w:val="26"/>
        </w:rPr>
      </w:pPr>
      <w:r>
        <w:rPr>
          <w:sz w:val="26"/>
        </w:rPr>
        <w:t xml:space="preserve">The 60-day Notice published on </w:t>
      </w:r>
      <w:r w:rsidR="007D64F3">
        <w:rPr>
          <w:sz w:val="26"/>
        </w:rPr>
        <w:t>March 25, 2024,</w:t>
      </w:r>
      <w:r>
        <w:rPr>
          <w:sz w:val="26"/>
        </w:rPr>
        <w:t xml:space="preserve"> (8</w:t>
      </w:r>
      <w:r w:rsidR="007D64F3">
        <w:rPr>
          <w:sz w:val="26"/>
        </w:rPr>
        <w:t>9 FR 20647</w:t>
      </w:r>
      <w:r>
        <w:rPr>
          <w:sz w:val="26"/>
        </w:rPr>
        <w:t xml:space="preserve">) with no comments received.  The 30-day notice published on </w:t>
      </w:r>
      <w:r w:rsidRPr="00AA64FB" w:rsidR="007D64F3">
        <w:rPr>
          <w:sz w:val="26"/>
        </w:rPr>
        <w:t xml:space="preserve">June </w:t>
      </w:r>
      <w:r w:rsidRPr="00AA64FB" w:rsidR="00AA64FB">
        <w:rPr>
          <w:sz w:val="26"/>
        </w:rPr>
        <w:t>6</w:t>
      </w:r>
      <w:r w:rsidRPr="00AA64FB" w:rsidR="007D64F3">
        <w:rPr>
          <w:sz w:val="26"/>
        </w:rPr>
        <w:t>, 2024</w:t>
      </w:r>
      <w:r w:rsidRPr="00AA64FB">
        <w:rPr>
          <w:sz w:val="26"/>
        </w:rPr>
        <w:t xml:space="preserve"> (</w:t>
      </w:r>
      <w:r w:rsidRPr="00AA64FB" w:rsidR="00E24605">
        <w:rPr>
          <w:sz w:val="26"/>
        </w:rPr>
        <w:t>8</w:t>
      </w:r>
      <w:r w:rsidRPr="00AA64FB" w:rsidR="007D64F3">
        <w:rPr>
          <w:sz w:val="26"/>
        </w:rPr>
        <w:t>9</w:t>
      </w:r>
      <w:r w:rsidRPr="00AA64FB">
        <w:rPr>
          <w:sz w:val="26"/>
        </w:rPr>
        <w:t xml:space="preserve"> FR </w:t>
      </w:r>
      <w:r w:rsidR="00AA64FB">
        <w:rPr>
          <w:sz w:val="26"/>
        </w:rPr>
        <w:t>48426</w:t>
      </w:r>
      <w:r w:rsidRPr="00AA64FB">
        <w:rPr>
          <w:sz w:val="26"/>
        </w:rPr>
        <w:t>).</w:t>
      </w:r>
    </w:p>
    <w:p w:rsidR="00F419DB" w:rsidRPr="00CF77D9" w:rsidP="007B0000" w14:paraId="47A9B3EF" w14:textId="77777777">
      <w:pPr>
        <w:widowControl/>
        <w:rPr>
          <w:sz w:val="26"/>
        </w:rPr>
      </w:pPr>
    </w:p>
    <w:p w:rsidR="00205A12" w:rsidP="00227745" w14:paraId="4989A77A" w14:textId="77777777">
      <w:pPr>
        <w:widowControl/>
        <w:tabs>
          <w:tab w:val="left" w:pos="-1440"/>
        </w:tabs>
        <w:ind w:left="720" w:hanging="720"/>
        <w:rPr>
          <w:b/>
          <w:bCs/>
          <w:sz w:val="26"/>
          <w:szCs w:val="26"/>
        </w:rPr>
      </w:pPr>
      <w:r>
        <w:rPr>
          <w:sz w:val="26"/>
          <w:szCs w:val="26"/>
        </w:rPr>
        <w:t>9.</w:t>
      </w:r>
      <w:r>
        <w:rPr>
          <w:sz w:val="26"/>
          <w:szCs w:val="26"/>
        </w:rPr>
        <w:tab/>
      </w:r>
      <w:r>
        <w:rPr>
          <w:b/>
          <w:bCs/>
          <w:sz w:val="26"/>
          <w:szCs w:val="26"/>
        </w:rPr>
        <w:t>EXPLAIN ANY PAYMENT OR GIFTS TO RESPONDENTS</w:t>
      </w:r>
    </w:p>
    <w:p w:rsidR="00205A12" w:rsidP="00205A12" w14:paraId="40EAD2DB" w14:textId="77777777">
      <w:pPr>
        <w:widowControl/>
        <w:rPr>
          <w:b/>
          <w:bCs/>
          <w:sz w:val="26"/>
          <w:szCs w:val="26"/>
        </w:rPr>
      </w:pPr>
    </w:p>
    <w:p w:rsidR="00FA041E" w:rsidP="00205A12" w14:paraId="0BA7E5BE" w14:textId="77777777">
      <w:pPr>
        <w:widowControl/>
        <w:rPr>
          <w:sz w:val="26"/>
          <w:szCs w:val="26"/>
        </w:rPr>
      </w:pPr>
      <w:r w:rsidRPr="008715DF">
        <w:rPr>
          <w:sz w:val="26"/>
          <w:szCs w:val="26"/>
        </w:rPr>
        <w:t>The Commission does not make payments or provide gifts for respondents related to this collection.</w:t>
      </w:r>
    </w:p>
    <w:p w:rsidR="006D3C26" w:rsidP="00205A12" w14:paraId="432556C1" w14:textId="77777777">
      <w:pPr>
        <w:widowControl/>
        <w:rPr>
          <w:sz w:val="26"/>
          <w:szCs w:val="26"/>
        </w:rPr>
      </w:pPr>
    </w:p>
    <w:p w:rsidR="00205A12" w:rsidP="00227745" w14:paraId="0A7E14D1" w14:textId="77777777">
      <w:pPr>
        <w:widowControl/>
        <w:tabs>
          <w:tab w:val="left" w:pos="-1440"/>
        </w:tabs>
        <w:ind w:left="720" w:hanging="720"/>
        <w:rPr>
          <w:b/>
          <w:bCs/>
          <w:sz w:val="26"/>
          <w:szCs w:val="26"/>
        </w:rPr>
      </w:pPr>
      <w:r>
        <w:rPr>
          <w:sz w:val="26"/>
          <w:szCs w:val="26"/>
        </w:rPr>
        <w:t>10.</w:t>
      </w:r>
      <w:r>
        <w:rPr>
          <w:sz w:val="26"/>
          <w:szCs w:val="26"/>
        </w:rPr>
        <w:tab/>
      </w:r>
      <w:r>
        <w:rPr>
          <w:b/>
          <w:bCs/>
          <w:sz w:val="26"/>
          <w:szCs w:val="26"/>
        </w:rPr>
        <w:t>DESCRIBE ANY ASSURANCE OF CONFIDENTIALITY PROVIDED TO RESPONDENTS</w:t>
      </w:r>
    </w:p>
    <w:p w:rsidR="00205A12" w:rsidRPr="008715DF" w:rsidP="00205A12" w14:paraId="21F13C37" w14:textId="77777777">
      <w:pPr>
        <w:widowControl/>
        <w:rPr>
          <w:sz w:val="26"/>
          <w:szCs w:val="26"/>
        </w:rPr>
      </w:pPr>
    </w:p>
    <w:p w:rsidR="008715DF" w:rsidRPr="008715DF" w:rsidP="008715DF" w14:paraId="3E9FDCDA" w14:textId="7C907538">
      <w:pPr>
        <w:rPr>
          <w:sz w:val="26"/>
          <w:szCs w:val="26"/>
        </w:rPr>
      </w:pPr>
      <w:r w:rsidRPr="008715DF">
        <w:rPr>
          <w:sz w:val="26"/>
          <w:szCs w:val="26"/>
        </w:rPr>
        <w:t xml:space="preserve">Responding entities do not submit the information collected or retained </w:t>
      </w:r>
      <w:r>
        <w:rPr>
          <w:sz w:val="26"/>
          <w:szCs w:val="26"/>
        </w:rPr>
        <w:t>(</w:t>
      </w:r>
      <w:r w:rsidRPr="008715DF">
        <w:rPr>
          <w:sz w:val="26"/>
          <w:szCs w:val="26"/>
        </w:rPr>
        <w:t>to show compliance with the Reliability Standards</w:t>
      </w:r>
      <w:r>
        <w:rPr>
          <w:sz w:val="26"/>
          <w:szCs w:val="26"/>
        </w:rPr>
        <w:t>)</w:t>
      </w:r>
      <w:r w:rsidRPr="008715DF">
        <w:rPr>
          <w:sz w:val="26"/>
          <w:szCs w:val="26"/>
        </w:rPr>
        <w:t xml:space="preserve"> to FERC.  Rather, they submit the information to NERC, the </w:t>
      </w:r>
      <w:r w:rsidR="00AE47A9">
        <w:rPr>
          <w:sz w:val="26"/>
          <w:szCs w:val="26"/>
        </w:rPr>
        <w:t>Regional Entities</w:t>
      </w:r>
      <w:r w:rsidRPr="008715DF">
        <w:rPr>
          <w:sz w:val="26"/>
          <w:szCs w:val="26"/>
        </w:rPr>
        <w:t xml:space="preserve">, or maintain it internally.  Since there are no submissions made to FERC, FERC provides no specific provisions </w:t>
      </w:r>
      <w:r w:rsidRPr="008715DF">
        <w:rPr>
          <w:sz w:val="26"/>
          <w:szCs w:val="26"/>
        </w:rPr>
        <w:t>in order to</w:t>
      </w:r>
      <w:r w:rsidRPr="008715DF">
        <w:rPr>
          <w:sz w:val="26"/>
          <w:szCs w:val="26"/>
        </w:rPr>
        <w:t xml:space="preserve"> protect confidentiality.</w:t>
      </w:r>
    </w:p>
    <w:p w:rsidR="008715DF" w:rsidRPr="008715DF" w:rsidP="008715DF" w14:paraId="15E86CFE" w14:textId="77777777">
      <w:pPr>
        <w:rPr>
          <w:sz w:val="26"/>
          <w:szCs w:val="26"/>
        </w:rPr>
      </w:pPr>
    </w:p>
    <w:p w:rsidR="008715DF" w:rsidRPr="008715DF" w:rsidP="008715DF" w14:paraId="10A9FEEE" w14:textId="77777777">
      <w:pPr>
        <w:rPr>
          <w:sz w:val="26"/>
          <w:szCs w:val="26"/>
        </w:rPr>
      </w:pPr>
      <w:r w:rsidRPr="008715DF">
        <w:rPr>
          <w:sz w:val="26"/>
          <w:szCs w:val="26"/>
        </w:rPr>
        <w:t>According to the NERC Rule of Procedure section 1502</w:t>
      </w:r>
      <w:r>
        <w:rPr>
          <w:sz w:val="26"/>
          <w:szCs w:val="26"/>
          <w:vertAlign w:val="superscript"/>
        </w:rPr>
        <w:footnoteReference w:id="13"/>
      </w:r>
      <w:r w:rsidRPr="008715DF">
        <w:rPr>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8D4C27" w:rsidP="006C15D9" w14:paraId="64A59BD8" w14:textId="77777777">
      <w:pPr>
        <w:pStyle w:val="FERCparanumber"/>
        <w:numPr>
          <w:ilvl w:val="0"/>
          <w:numId w:val="0"/>
        </w:numPr>
        <w:spacing w:line="240" w:lineRule="auto"/>
        <w:ind w:firstLine="720"/>
        <w:rPr>
          <w:szCs w:val="26"/>
        </w:rPr>
      </w:pPr>
    </w:p>
    <w:p w:rsidR="007222E0" w:rsidRPr="007222E0" w:rsidP="007222E0" w14:paraId="40588DD4" w14:textId="77777777">
      <w:pPr>
        <w:widowControl/>
        <w:tabs>
          <w:tab w:val="left" w:pos="-1440"/>
        </w:tabs>
        <w:ind w:left="720" w:hanging="720"/>
        <w:rPr>
          <w:b/>
          <w:bCs/>
          <w:sz w:val="26"/>
          <w:szCs w:val="26"/>
        </w:rPr>
      </w:pPr>
      <w:r>
        <w:rPr>
          <w:sz w:val="26"/>
          <w:szCs w:val="26"/>
        </w:rPr>
        <w:t>11.</w:t>
      </w:r>
      <w:r>
        <w:rPr>
          <w:sz w:val="26"/>
          <w:szCs w:val="26"/>
        </w:rPr>
        <w:tab/>
      </w:r>
      <w:r w:rsidRPr="007222E0">
        <w:rPr>
          <w:b/>
          <w:bCs/>
          <w:sz w:val="26"/>
          <w:szCs w:val="26"/>
        </w:rPr>
        <w:t>PROVIDE ADDITIONAL JUSTIFICATION FOR ANY QUESTIONS OF A SENSITIVE NATURE, SUCH AS SEXUAL BEHAVIOR AND ATTITUDES, RELIGIOUS BELIEFS, AND OTHER MATTERS THAT ARE COMMONLY CONSIDERED PRIVATE.</w:t>
      </w:r>
    </w:p>
    <w:p w:rsidR="007222E0" w:rsidRPr="007222E0" w:rsidP="007222E0" w14:paraId="2045C81F" w14:textId="77777777">
      <w:pPr>
        <w:widowControl/>
        <w:tabs>
          <w:tab w:val="left" w:pos="-1440"/>
        </w:tabs>
        <w:ind w:left="720" w:hanging="720"/>
        <w:rPr>
          <w:b/>
          <w:bCs/>
          <w:sz w:val="26"/>
          <w:szCs w:val="26"/>
        </w:rPr>
      </w:pPr>
    </w:p>
    <w:p w:rsidR="00EC0649" w:rsidRPr="007222E0" w:rsidP="007222E0" w14:paraId="301B1964" w14:textId="77777777">
      <w:pPr>
        <w:widowControl/>
        <w:tabs>
          <w:tab w:val="left" w:pos="-1440"/>
        </w:tabs>
        <w:ind w:left="720" w:hanging="720"/>
        <w:rPr>
          <w:bCs/>
          <w:sz w:val="26"/>
          <w:szCs w:val="26"/>
        </w:rPr>
      </w:pPr>
      <w:r w:rsidRPr="007222E0">
        <w:rPr>
          <w:bCs/>
          <w:sz w:val="26"/>
          <w:szCs w:val="26"/>
        </w:rPr>
        <w:t>This collection does not include any questions of a sensitive nature.</w:t>
      </w:r>
    </w:p>
    <w:p w:rsidR="007222E0" w:rsidRPr="00EC0649" w:rsidP="007222E0" w14:paraId="1AA9D9C9" w14:textId="77777777">
      <w:pPr>
        <w:widowControl/>
        <w:tabs>
          <w:tab w:val="left" w:pos="-1440"/>
        </w:tabs>
        <w:ind w:left="720" w:hanging="720"/>
        <w:rPr>
          <w:b/>
          <w:bCs/>
          <w:sz w:val="26"/>
          <w:szCs w:val="26"/>
        </w:rPr>
      </w:pPr>
    </w:p>
    <w:p w:rsidR="002652E7" w:rsidP="007222E0" w14:paraId="0114C04D" w14:textId="77777777">
      <w:pPr>
        <w:widowControl/>
        <w:numPr>
          <w:ilvl w:val="0"/>
          <w:numId w:val="7"/>
        </w:numPr>
        <w:tabs>
          <w:tab w:val="left" w:pos="-1440"/>
          <w:tab w:val="left" w:pos="720"/>
          <w:tab w:val="num" w:pos="810"/>
          <w:tab w:val="clear" w:pos="1440"/>
        </w:tabs>
        <w:ind w:left="720"/>
        <w:rPr>
          <w:b/>
          <w:bCs/>
          <w:sz w:val="26"/>
          <w:szCs w:val="26"/>
        </w:rPr>
      </w:pPr>
      <w:r>
        <w:rPr>
          <w:b/>
          <w:bCs/>
          <w:sz w:val="26"/>
          <w:szCs w:val="26"/>
        </w:rPr>
        <w:t>ESTIMATED BURDEN OF COLLECTION OF INFORMATION</w:t>
      </w:r>
    </w:p>
    <w:p w:rsidR="00B00219" w:rsidP="00B00219" w14:paraId="1421FA01" w14:textId="77777777">
      <w:pPr>
        <w:pStyle w:val="FERCparanumber"/>
        <w:widowControl/>
        <w:numPr>
          <w:ilvl w:val="0"/>
          <w:numId w:val="0"/>
        </w:numPr>
        <w:spacing w:line="240" w:lineRule="auto"/>
        <w:ind w:left="1440"/>
      </w:pPr>
    </w:p>
    <w:p w:rsidR="005313D7" w:rsidRPr="007D64F3" w:rsidP="004E2018" w14:paraId="7680BC65" w14:textId="305FC0BE">
      <w:pPr>
        <w:rPr>
          <w:bCs/>
          <w:sz w:val="26"/>
          <w:szCs w:val="26"/>
        </w:rPr>
      </w:pPr>
      <w:r w:rsidRPr="541D18E1">
        <w:rPr>
          <w:sz w:val="26"/>
          <w:szCs w:val="26"/>
        </w:rPr>
        <w:t xml:space="preserve">The </w:t>
      </w:r>
      <w:r w:rsidRPr="541D18E1" w:rsidR="00226D9C">
        <w:rPr>
          <w:sz w:val="26"/>
          <w:szCs w:val="26"/>
        </w:rPr>
        <w:t xml:space="preserve">burden estimates for the </w:t>
      </w:r>
      <w:r w:rsidRPr="541D18E1">
        <w:rPr>
          <w:sz w:val="26"/>
          <w:szCs w:val="26"/>
        </w:rPr>
        <w:t>current reporting and record retention requirements</w:t>
      </w:r>
      <w:r w:rsidRPr="541D18E1" w:rsidR="009A6DB0">
        <w:rPr>
          <w:sz w:val="26"/>
          <w:szCs w:val="26"/>
        </w:rPr>
        <w:t xml:space="preserve"> </w:t>
      </w:r>
      <w:r w:rsidRPr="541D18E1" w:rsidR="00144D06">
        <w:rPr>
          <w:sz w:val="26"/>
          <w:szCs w:val="26"/>
        </w:rPr>
        <w:t xml:space="preserve">have been </w:t>
      </w:r>
      <w:r w:rsidRPr="541D18E1" w:rsidR="00226D9C">
        <w:rPr>
          <w:sz w:val="26"/>
          <w:szCs w:val="26"/>
        </w:rPr>
        <w:t>adjusted as noted below in #12 and #15.</w:t>
      </w:r>
      <w:r>
        <w:rPr>
          <w:b/>
          <w:bCs/>
          <w:i/>
          <w:iCs/>
          <w:sz w:val="26"/>
          <w:szCs w:val="26"/>
          <w:vertAlign w:val="superscript"/>
        </w:rPr>
        <w:footnoteReference w:id="14"/>
      </w:r>
      <w:r w:rsidRPr="541D18E1" w:rsidR="007D64F3">
        <w:rPr>
          <w:i/>
          <w:iCs/>
          <w:sz w:val="26"/>
          <w:szCs w:val="26"/>
        </w:rPr>
        <w:t xml:space="preserve"> </w:t>
      </w:r>
      <w:r w:rsidRPr="541D18E1" w:rsidR="007D64F3">
        <w:rPr>
          <w:sz w:val="26"/>
          <w:szCs w:val="26"/>
        </w:rPr>
        <w:t xml:space="preserve">The Commission estimates the average annual burden and cost </w:t>
      </w:r>
      <w:r>
        <w:rPr>
          <w:b/>
          <w:bCs/>
          <w:sz w:val="26"/>
          <w:szCs w:val="26"/>
          <w:vertAlign w:val="superscript"/>
        </w:rPr>
        <w:footnoteReference w:id="15"/>
      </w:r>
      <w:r w:rsidRPr="541D18E1" w:rsidR="007D64F3">
        <w:rPr>
          <w:sz w:val="26"/>
          <w:szCs w:val="26"/>
        </w:rPr>
        <w:t xml:space="preserve"> for this information collection as follows.</w:t>
      </w:r>
    </w:p>
    <w:p w:rsidR="006277F8" w:rsidP="006D3C26" w14:paraId="3550936A" w14:textId="77777777">
      <w:pPr>
        <w:pStyle w:val="FERCparanumber"/>
        <w:numPr>
          <w:ilvl w:val="0"/>
          <w:numId w:val="0"/>
        </w:numPr>
        <w:spacing w:line="240" w:lineRule="auto"/>
        <w:rPr>
          <w:bCs/>
        </w:rPr>
      </w:pPr>
    </w:p>
    <w:tbl>
      <w:tblPr>
        <w:tblW w:w="5362"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5"/>
        <w:gridCol w:w="1322"/>
        <w:gridCol w:w="1585"/>
        <w:gridCol w:w="1389"/>
        <w:gridCol w:w="1799"/>
        <w:gridCol w:w="1711"/>
        <w:gridCol w:w="1438"/>
      </w:tblGrid>
      <w:tr w14:paraId="395B5ADA" w14:textId="77777777" w:rsidTr="541D18E1">
        <w:tblPrEx>
          <w:tblW w:w="5362"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720"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7D64F3" w:rsidRPr="007D64F3" w:rsidP="007D64F3" w14:paraId="4AD3BA43" w14:textId="77777777">
            <w:pPr>
              <w:widowControl/>
              <w:autoSpaceDE/>
              <w:autoSpaceDN/>
              <w:adjustRightInd/>
              <w:rPr>
                <w:b/>
                <w:sz w:val="26"/>
              </w:rPr>
            </w:pPr>
            <w:r w:rsidRPr="007D64F3">
              <w:rPr>
                <w:b/>
                <w:sz w:val="26"/>
              </w:rPr>
              <w:t>FERC-725F</w:t>
            </w:r>
          </w:p>
        </w:tc>
        <w:tc>
          <w:tcPr>
            <w:tcW w:w="612"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7D64F3" w:rsidRPr="007D64F3" w:rsidP="007D64F3" w14:paraId="379D8311" w14:textId="77777777">
            <w:pPr>
              <w:widowControl/>
              <w:autoSpaceDE/>
              <w:autoSpaceDN/>
              <w:adjustRightInd/>
              <w:jc w:val="center"/>
              <w:rPr>
                <w:b/>
                <w:sz w:val="26"/>
              </w:rPr>
            </w:pPr>
            <w:r w:rsidRPr="007D64F3">
              <w:rPr>
                <w:b/>
                <w:sz w:val="26"/>
              </w:rPr>
              <w:t>No. of Respondents</w:t>
            </w:r>
          </w:p>
          <w:p w:rsidR="007D64F3" w:rsidRPr="007D64F3" w:rsidP="007D64F3" w14:paraId="30B9FE24" w14:textId="77777777">
            <w:pPr>
              <w:widowControl/>
              <w:autoSpaceDE/>
              <w:autoSpaceDN/>
              <w:adjustRightInd/>
              <w:jc w:val="center"/>
              <w:rPr>
                <w:b/>
                <w:sz w:val="26"/>
              </w:rPr>
            </w:pPr>
            <w:r w:rsidRPr="007D64F3">
              <w:rPr>
                <w:b/>
                <w:sz w:val="26"/>
              </w:rPr>
              <w:t>(1)</w:t>
            </w:r>
          </w:p>
        </w:tc>
        <w:tc>
          <w:tcPr>
            <w:tcW w:w="734"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7D64F3" w:rsidRPr="007D64F3" w:rsidP="007D64F3" w14:paraId="6A57722F" w14:textId="77777777">
            <w:pPr>
              <w:widowControl/>
              <w:autoSpaceDE/>
              <w:autoSpaceDN/>
              <w:adjustRightInd/>
              <w:jc w:val="center"/>
              <w:rPr>
                <w:b/>
                <w:sz w:val="26"/>
              </w:rPr>
            </w:pPr>
            <w:r w:rsidRPr="007D64F3">
              <w:rPr>
                <w:b/>
                <w:sz w:val="26"/>
              </w:rPr>
              <w:t>Annual No. of Responses Per Respondent</w:t>
            </w:r>
          </w:p>
          <w:p w:rsidR="007D64F3" w:rsidRPr="007D64F3" w:rsidP="007D64F3" w14:paraId="37C45D60" w14:textId="77777777">
            <w:pPr>
              <w:widowControl/>
              <w:autoSpaceDE/>
              <w:autoSpaceDN/>
              <w:adjustRightInd/>
              <w:jc w:val="center"/>
              <w:rPr>
                <w:b/>
                <w:sz w:val="26"/>
              </w:rPr>
            </w:pPr>
            <w:r w:rsidRPr="007D64F3">
              <w:rPr>
                <w:b/>
                <w:sz w:val="26"/>
              </w:rPr>
              <w:t>(2)</w:t>
            </w:r>
          </w:p>
        </w:tc>
        <w:tc>
          <w:tcPr>
            <w:tcW w:w="643"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7D64F3" w:rsidRPr="007D64F3" w:rsidP="007D64F3" w14:paraId="033EFFB9" w14:textId="77777777">
            <w:pPr>
              <w:widowControl/>
              <w:autoSpaceDE/>
              <w:autoSpaceDN/>
              <w:adjustRightInd/>
              <w:jc w:val="center"/>
              <w:rPr>
                <w:b/>
                <w:sz w:val="26"/>
              </w:rPr>
            </w:pPr>
            <w:r w:rsidRPr="007D64F3">
              <w:rPr>
                <w:b/>
                <w:sz w:val="26"/>
              </w:rPr>
              <w:t>Total No. of Responses</w:t>
            </w:r>
          </w:p>
          <w:p w:rsidR="007D64F3" w:rsidRPr="007D64F3" w:rsidP="007D64F3" w14:paraId="22E51980" w14:textId="77777777">
            <w:pPr>
              <w:widowControl/>
              <w:autoSpaceDE/>
              <w:autoSpaceDN/>
              <w:adjustRightInd/>
              <w:jc w:val="center"/>
              <w:rPr>
                <w:b/>
                <w:sz w:val="26"/>
              </w:rPr>
            </w:pPr>
            <w:r w:rsidRPr="007D64F3">
              <w:rPr>
                <w:b/>
                <w:sz w:val="26"/>
              </w:rPr>
              <w:t>(</w:t>
            </w:r>
            <w:r w:rsidRPr="007D64F3">
              <w:rPr>
                <w:b/>
                <w:sz w:val="26"/>
              </w:rPr>
              <w:t>1)*</w:t>
            </w:r>
            <w:r w:rsidRPr="007D64F3">
              <w:rPr>
                <w:b/>
                <w:sz w:val="26"/>
              </w:rPr>
              <w:t>(2)=(3)</w:t>
            </w:r>
          </w:p>
        </w:tc>
        <w:tc>
          <w:tcPr>
            <w:tcW w:w="833"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7D64F3" w:rsidRPr="007D64F3" w:rsidP="007D64F3" w14:paraId="4A100D4E" w14:textId="77777777">
            <w:pPr>
              <w:widowControl/>
              <w:autoSpaceDE/>
              <w:autoSpaceDN/>
              <w:adjustRightInd/>
              <w:jc w:val="center"/>
              <w:rPr>
                <w:b/>
                <w:sz w:val="26"/>
              </w:rPr>
            </w:pPr>
            <w:r w:rsidRPr="007D64F3">
              <w:rPr>
                <w:b/>
                <w:sz w:val="26"/>
              </w:rPr>
              <w:t>Average Burden Hrs. &amp; Cost Per Response ($) (rounded)</w:t>
            </w:r>
            <w:r w:rsidRPr="007D64F3">
              <w:rPr>
                <w:sz w:val="26"/>
                <w:vertAlign w:val="superscript"/>
              </w:rPr>
              <w:t xml:space="preserve"> </w:t>
            </w:r>
            <w:r w:rsidRPr="007D64F3">
              <w:rPr>
                <w:b/>
                <w:sz w:val="26"/>
              </w:rPr>
              <w:t>(4)</w:t>
            </w:r>
          </w:p>
        </w:tc>
        <w:tc>
          <w:tcPr>
            <w:tcW w:w="792"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7D64F3" w:rsidRPr="007D64F3" w:rsidP="007D64F3" w14:paraId="64DB56F4" w14:textId="77777777">
            <w:pPr>
              <w:widowControl/>
              <w:autoSpaceDE/>
              <w:autoSpaceDN/>
              <w:adjustRightInd/>
              <w:jc w:val="center"/>
              <w:rPr>
                <w:b/>
                <w:sz w:val="26"/>
              </w:rPr>
            </w:pPr>
            <w:r w:rsidRPr="007D64F3">
              <w:rPr>
                <w:b/>
                <w:sz w:val="26"/>
              </w:rPr>
              <w:t>Total Annual Burden Hrs. &amp; Total Annual Cost ($) (rounded)</w:t>
            </w:r>
          </w:p>
          <w:p w:rsidR="007D64F3" w:rsidRPr="007D64F3" w:rsidP="007D64F3" w14:paraId="4DA3C4E1" w14:textId="77777777">
            <w:pPr>
              <w:widowControl/>
              <w:autoSpaceDE/>
              <w:autoSpaceDN/>
              <w:adjustRightInd/>
              <w:jc w:val="center"/>
              <w:rPr>
                <w:b/>
                <w:sz w:val="26"/>
              </w:rPr>
            </w:pPr>
            <w:r w:rsidRPr="007D64F3">
              <w:rPr>
                <w:b/>
                <w:sz w:val="26"/>
              </w:rPr>
              <w:t>(</w:t>
            </w:r>
            <w:r w:rsidRPr="007D64F3">
              <w:rPr>
                <w:b/>
                <w:sz w:val="26"/>
              </w:rPr>
              <w:t>3)*</w:t>
            </w:r>
            <w:r w:rsidRPr="007D64F3">
              <w:rPr>
                <w:b/>
                <w:sz w:val="26"/>
              </w:rPr>
              <w:t>(4)=(5)</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7D64F3" w:rsidRPr="007D64F3" w:rsidP="007D64F3" w14:paraId="1EC4B758" w14:textId="77777777">
            <w:pPr>
              <w:widowControl/>
              <w:autoSpaceDE/>
              <w:autoSpaceDN/>
              <w:adjustRightInd/>
              <w:jc w:val="center"/>
              <w:rPr>
                <w:b/>
                <w:sz w:val="26"/>
              </w:rPr>
            </w:pPr>
            <w:r w:rsidRPr="007D64F3">
              <w:rPr>
                <w:b/>
                <w:sz w:val="26"/>
              </w:rPr>
              <w:t>Cost per Respondent ($) (rounded)</w:t>
            </w:r>
          </w:p>
          <w:p w:rsidR="007D64F3" w:rsidRPr="007D64F3" w:rsidP="007D64F3" w14:paraId="7BBA6902" w14:textId="77777777">
            <w:pPr>
              <w:widowControl/>
              <w:autoSpaceDE/>
              <w:autoSpaceDN/>
              <w:adjustRightInd/>
              <w:jc w:val="center"/>
              <w:rPr>
                <w:b/>
                <w:sz w:val="26"/>
              </w:rPr>
            </w:pPr>
            <w:r w:rsidRPr="007D64F3">
              <w:rPr>
                <w:b/>
                <w:sz w:val="26"/>
              </w:rPr>
              <w:t>(</w:t>
            </w:r>
            <w:r w:rsidRPr="007D64F3">
              <w:rPr>
                <w:b/>
                <w:sz w:val="26"/>
              </w:rPr>
              <w:t>5)÷</w:t>
            </w:r>
            <w:r w:rsidRPr="007D64F3">
              <w:rPr>
                <w:b/>
                <w:sz w:val="26"/>
              </w:rPr>
              <w:t>(1)</w:t>
            </w:r>
          </w:p>
        </w:tc>
      </w:tr>
      <w:tr w14:paraId="49818051" w14:textId="77777777" w:rsidTr="541D18E1">
        <w:tblPrEx>
          <w:tblW w:w="5362" w:type="pct"/>
          <w:tblInd w:w="-455" w:type="dxa"/>
          <w:tblLayout w:type="fixed"/>
          <w:tblLook w:val="01E0"/>
        </w:tblPrEx>
        <w:trPr>
          <w:trHeight w:val="1210"/>
        </w:trPr>
        <w:tc>
          <w:tcPr>
            <w:tcW w:w="720" w:type="pct"/>
            <w:tcBorders>
              <w:top w:val="single" w:sz="4" w:space="0" w:color="auto"/>
              <w:left w:val="single" w:sz="4" w:space="0" w:color="auto"/>
              <w:bottom w:val="single" w:sz="4" w:space="0" w:color="auto"/>
              <w:right w:val="single" w:sz="4" w:space="0" w:color="auto"/>
            </w:tcBorders>
            <w:vAlign w:val="bottom"/>
            <w:hideMark/>
          </w:tcPr>
          <w:p w:rsidR="007D64F3" w:rsidRPr="007D64F3" w:rsidP="007D64F3" w14:paraId="00B9310B" w14:textId="29418100">
            <w:pPr>
              <w:widowControl/>
              <w:autoSpaceDE/>
              <w:autoSpaceDN/>
              <w:adjustRightInd/>
              <w:rPr>
                <w:sz w:val="26"/>
              </w:rPr>
            </w:pPr>
            <w:r>
              <w:rPr>
                <w:sz w:val="26"/>
              </w:rPr>
              <w:t>NUC001-4</w:t>
            </w:r>
            <w:r w:rsidRPr="007D64F3">
              <w:rPr>
                <w:sz w:val="26"/>
              </w:rPr>
              <w:t xml:space="preserve"> (Reporting and Record Keeping)</w:t>
            </w:r>
          </w:p>
        </w:tc>
        <w:tc>
          <w:tcPr>
            <w:tcW w:w="612" w:type="pct"/>
            <w:tcBorders>
              <w:top w:val="single" w:sz="4" w:space="0" w:color="auto"/>
              <w:left w:val="single" w:sz="4" w:space="0" w:color="auto"/>
              <w:bottom w:val="single" w:sz="4" w:space="0" w:color="auto"/>
              <w:right w:val="single" w:sz="4" w:space="0" w:color="auto"/>
            </w:tcBorders>
            <w:vAlign w:val="bottom"/>
            <w:hideMark/>
          </w:tcPr>
          <w:p w:rsidR="007D64F3" w:rsidRPr="007D64F3" w:rsidP="007D64F3" w14:paraId="5B9B3049" w14:textId="77777777">
            <w:pPr>
              <w:widowControl/>
              <w:autoSpaceDE/>
              <w:autoSpaceDN/>
              <w:adjustRightInd/>
              <w:jc w:val="right"/>
              <w:rPr>
                <w:sz w:val="26"/>
              </w:rPr>
            </w:pPr>
            <w:r w:rsidRPr="541D18E1">
              <w:rPr>
                <w:sz w:val="26"/>
                <w:szCs w:val="26"/>
              </w:rPr>
              <w:t>54 nuclear plants + 108 transmission entities</w:t>
            </w:r>
            <w:r>
              <w:rPr>
                <w:b/>
                <w:bCs/>
                <w:sz w:val="26"/>
                <w:szCs w:val="26"/>
                <w:vertAlign w:val="superscript"/>
              </w:rPr>
              <w:footnoteReference w:id="16"/>
            </w:r>
          </w:p>
        </w:tc>
        <w:tc>
          <w:tcPr>
            <w:tcW w:w="734" w:type="pct"/>
            <w:tcBorders>
              <w:top w:val="single" w:sz="4" w:space="0" w:color="auto"/>
              <w:left w:val="single" w:sz="4" w:space="0" w:color="auto"/>
              <w:bottom w:val="single" w:sz="4" w:space="0" w:color="auto"/>
              <w:right w:val="single" w:sz="4" w:space="0" w:color="auto"/>
            </w:tcBorders>
            <w:vAlign w:val="bottom"/>
            <w:hideMark/>
          </w:tcPr>
          <w:p w:rsidR="007D64F3" w:rsidRPr="007D64F3" w:rsidP="007D64F3" w14:paraId="6B9850B0" w14:textId="77777777">
            <w:pPr>
              <w:widowControl/>
              <w:autoSpaceDE/>
              <w:autoSpaceDN/>
              <w:adjustRightInd/>
              <w:jc w:val="right"/>
              <w:rPr>
                <w:sz w:val="26"/>
              </w:rPr>
            </w:pPr>
            <w:r w:rsidRPr="007D64F3">
              <w:rPr>
                <w:sz w:val="26"/>
              </w:rPr>
              <w:t>2</w:t>
            </w:r>
          </w:p>
        </w:tc>
        <w:tc>
          <w:tcPr>
            <w:tcW w:w="643" w:type="pct"/>
            <w:tcBorders>
              <w:top w:val="single" w:sz="4" w:space="0" w:color="auto"/>
              <w:left w:val="single" w:sz="4" w:space="0" w:color="auto"/>
              <w:bottom w:val="single" w:sz="4" w:space="0" w:color="auto"/>
              <w:right w:val="single" w:sz="4" w:space="0" w:color="auto"/>
            </w:tcBorders>
            <w:vAlign w:val="bottom"/>
            <w:hideMark/>
          </w:tcPr>
          <w:p w:rsidR="007D64F3" w:rsidRPr="007D64F3" w:rsidP="007D64F3" w14:paraId="4D5C5205" w14:textId="77777777">
            <w:pPr>
              <w:widowControl/>
              <w:autoSpaceDE/>
              <w:autoSpaceDN/>
              <w:adjustRightInd/>
              <w:jc w:val="right"/>
              <w:rPr>
                <w:sz w:val="26"/>
              </w:rPr>
            </w:pPr>
            <w:r w:rsidRPr="007D64F3">
              <w:rPr>
                <w:sz w:val="26"/>
              </w:rPr>
              <w:t>324</w:t>
            </w:r>
          </w:p>
        </w:tc>
        <w:tc>
          <w:tcPr>
            <w:tcW w:w="833" w:type="pct"/>
            <w:tcBorders>
              <w:top w:val="single" w:sz="4" w:space="0" w:color="auto"/>
              <w:left w:val="single" w:sz="4" w:space="0" w:color="auto"/>
              <w:bottom w:val="single" w:sz="4" w:space="0" w:color="auto"/>
              <w:right w:val="single" w:sz="4" w:space="0" w:color="auto"/>
            </w:tcBorders>
            <w:vAlign w:val="bottom"/>
            <w:hideMark/>
          </w:tcPr>
          <w:p w:rsidR="007D64F3" w:rsidRPr="007D64F3" w:rsidP="007D64F3" w14:paraId="69C35AD0" w14:textId="77777777">
            <w:pPr>
              <w:widowControl/>
              <w:autoSpaceDE/>
              <w:autoSpaceDN/>
              <w:adjustRightInd/>
              <w:jc w:val="right"/>
              <w:rPr>
                <w:sz w:val="26"/>
              </w:rPr>
            </w:pPr>
            <w:r w:rsidRPr="007D64F3">
              <w:rPr>
                <w:sz w:val="26"/>
              </w:rPr>
              <w:t xml:space="preserve">72 </w:t>
            </w:r>
            <w:r w:rsidRPr="007D64F3">
              <w:rPr>
                <w:sz w:val="26"/>
              </w:rPr>
              <w:t>hrs.;</w:t>
            </w:r>
            <w:r w:rsidRPr="007D64F3">
              <w:rPr>
                <w:sz w:val="26"/>
              </w:rPr>
              <w:t xml:space="preserve"> </w:t>
            </w:r>
          </w:p>
          <w:p w:rsidR="007D64F3" w:rsidRPr="007D64F3" w:rsidP="007D64F3" w14:paraId="067FC4F8" w14:textId="77777777">
            <w:pPr>
              <w:widowControl/>
              <w:autoSpaceDE/>
              <w:autoSpaceDN/>
              <w:adjustRightInd/>
              <w:jc w:val="right"/>
              <w:rPr>
                <w:sz w:val="26"/>
              </w:rPr>
            </w:pPr>
            <w:r w:rsidRPr="007D64F3">
              <w:rPr>
                <w:sz w:val="26"/>
              </w:rPr>
              <w:t>$6,794.64</w:t>
            </w:r>
          </w:p>
        </w:tc>
        <w:tc>
          <w:tcPr>
            <w:tcW w:w="792" w:type="pct"/>
            <w:tcBorders>
              <w:top w:val="single" w:sz="4" w:space="0" w:color="auto"/>
              <w:left w:val="single" w:sz="4" w:space="0" w:color="auto"/>
              <w:bottom w:val="single" w:sz="4" w:space="0" w:color="auto"/>
              <w:right w:val="single" w:sz="4" w:space="0" w:color="auto"/>
            </w:tcBorders>
            <w:vAlign w:val="bottom"/>
            <w:hideMark/>
          </w:tcPr>
          <w:p w:rsidR="007D64F3" w:rsidRPr="007D64F3" w:rsidP="007D64F3" w14:paraId="6EB404AE" w14:textId="77777777">
            <w:pPr>
              <w:widowControl/>
              <w:autoSpaceDE/>
              <w:autoSpaceDN/>
              <w:adjustRightInd/>
              <w:jc w:val="right"/>
              <w:rPr>
                <w:sz w:val="26"/>
              </w:rPr>
            </w:pPr>
            <w:r w:rsidRPr="007D64F3">
              <w:rPr>
                <w:sz w:val="26"/>
              </w:rPr>
              <w:t xml:space="preserve">23,328 </w:t>
            </w:r>
            <w:r w:rsidRPr="007D64F3">
              <w:rPr>
                <w:sz w:val="26"/>
              </w:rPr>
              <w:t>hrs.;</w:t>
            </w:r>
          </w:p>
          <w:p w:rsidR="007D64F3" w:rsidRPr="007D64F3" w:rsidP="007D64F3" w14:paraId="0B2475F5" w14:textId="74B94448">
            <w:pPr>
              <w:widowControl/>
              <w:autoSpaceDE/>
              <w:autoSpaceDN/>
              <w:adjustRightInd/>
              <w:jc w:val="right"/>
              <w:rPr>
                <w:sz w:val="26"/>
              </w:rPr>
            </w:pPr>
            <w:r w:rsidRPr="007D64F3">
              <w:rPr>
                <w:sz w:val="26"/>
              </w:rPr>
              <w:t>$2,201,463</w:t>
            </w:r>
            <w:r w:rsidR="00AF5876">
              <w:rPr>
                <w:sz w:val="26"/>
              </w:rPr>
              <w:t>.36</w:t>
            </w:r>
          </w:p>
        </w:tc>
        <w:tc>
          <w:tcPr>
            <w:tcW w:w="666" w:type="pct"/>
            <w:tcBorders>
              <w:top w:val="single" w:sz="4" w:space="0" w:color="auto"/>
              <w:left w:val="single" w:sz="4" w:space="0" w:color="auto"/>
              <w:bottom w:val="single" w:sz="4" w:space="0" w:color="auto"/>
              <w:right w:val="single" w:sz="4" w:space="0" w:color="auto"/>
            </w:tcBorders>
            <w:vAlign w:val="bottom"/>
            <w:hideMark/>
          </w:tcPr>
          <w:p w:rsidR="007D64F3" w:rsidRPr="007D64F3" w:rsidP="007D64F3" w14:paraId="10CDFD77" w14:textId="049D6B7F">
            <w:pPr>
              <w:widowControl/>
              <w:autoSpaceDE/>
              <w:autoSpaceDN/>
              <w:adjustRightInd/>
              <w:jc w:val="right"/>
              <w:rPr>
                <w:sz w:val="26"/>
              </w:rPr>
            </w:pPr>
            <w:r w:rsidRPr="007D64F3">
              <w:rPr>
                <w:sz w:val="26"/>
              </w:rPr>
              <w:t>$13,589</w:t>
            </w:r>
            <w:r w:rsidR="00AF5876">
              <w:rPr>
                <w:sz w:val="26"/>
              </w:rPr>
              <w:t>.28</w:t>
            </w:r>
          </w:p>
        </w:tc>
      </w:tr>
      <w:tr w14:paraId="7E3055AA" w14:textId="77777777" w:rsidTr="541D18E1">
        <w:tblPrEx>
          <w:tblW w:w="5362" w:type="pct"/>
          <w:tblInd w:w="-455" w:type="dxa"/>
          <w:tblLayout w:type="fixed"/>
          <w:tblLook w:val="01E0"/>
        </w:tblPrEx>
        <w:trPr>
          <w:trHeight w:val="458"/>
        </w:trPr>
        <w:tc>
          <w:tcPr>
            <w:tcW w:w="720" w:type="pct"/>
            <w:tcBorders>
              <w:top w:val="single" w:sz="4" w:space="0" w:color="auto"/>
              <w:left w:val="single" w:sz="4" w:space="0" w:color="auto"/>
              <w:bottom w:val="single" w:sz="4" w:space="0" w:color="auto"/>
              <w:right w:val="single" w:sz="4" w:space="0" w:color="auto"/>
            </w:tcBorders>
            <w:vAlign w:val="bottom"/>
            <w:hideMark/>
          </w:tcPr>
          <w:p w:rsidR="007D64F3" w:rsidRPr="007D64F3" w:rsidP="007D64F3" w14:paraId="08248536" w14:textId="77777777">
            <w:pPr>
              <w:widowControl/>
              <w:autoSpaceDE/>
              <w:autoSpaceDN/>
              <w:adjustRightInd/>
              <w:rPr>
                <w:b/>
                <w:sz w:val="26"/>
              </w:rPr>
            </w:pPr>
            <w:r w:rsidRPr="007D64F3">
              <w:rPr>
                <w:b/>
                <w:sz w:val="26"/>
              </w:rPr>
              <w:t>Total</w:t>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D64F3" w:rsidRPr="007D64F3" w:rsidP="007D64F3" w14:paraId="7C171DAA" w14:textId="77777777">
            <w:pPr>
              <w:widowControl/>
              <w:autoSpaceDE/>
              <w:autoSpaceDN/>
              <w:adjustRightInd/>
              <w:rPr>
                <w:sz w:val="26"/>
              </w:rPr>
            </w:pPr>
          </w:p>
        </w:tc>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D64F3" w:rsidRPr="007D64F3" w:rsidP="007D64F3" w14:paraId="1DD9F3AD" w14:textId="77777777">
            <w:pPr>
              <w:widowControl/>
              <w:autoSpaceDE/>
              <w:autoSpaceDN/>
              <w:adjustRightInd/>
              <w:jc w:val="right"/>
              <w:rPr>
                <w:sz w:val="26"/>
              </w:rPr>
            </w:pPr>
          </w:p>
        </w:tc>
        <w:tc>
          <w:tcPr>
            <w:tcW w:w="643" w:type="pct"/>
            <w:tcBorders>
              <w:top w:val="single" w:sz="4" w:space="0" w:color="auto"/>
              <w:left w:val="single" w:sz="4" w:space="0" w:color="auto"/>
              <w:bottom w:val="single" w:sz="4" w:space="0" w:color="auto"/>
              <w:right w:val="single" w:sz="4" w:space="0" w:color="auto"/>
            </w:tcBorders>
            <w:vAlign w:val="bottom"/>
            <w:hideMark/>
          </w:tcPr>
          <w:p w:rsidR="007D64F3" w:rsidRPr="007D64F3" w:rsidP="007D64F3" w14:paraId="4D66037F" w14:textId="77777777">
            <w:pPr>
              <w:widowControl/>
              <w:autoSpaceDE/>
              <w:autoSpaceDN/>
              <w:adjustRightInd/>
              <w:jc w:val="right"/>
              <w:rPr>
                <w:sz w:val="26"/>
              </w:rPr>
            </w:pPr>
            <w:r w:rsidRPr="007D64F3">
              <w:rPr>
                <w:sz w:val="26"/>
              </w:rPr>
              <w:t>324</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D64F3" w:rsidRPr="007D64F3" w:rsidP="007D64F3" w14:paraId="5DA0FC32" w14:textId="77777777">
            <w:pPr>
              <w:widowControl/>
              <w:autoSpaceDE/>
              <w:autoSpaceDN/>
              <w:adjustRightInd/>
              <w:jc w:val="right"/>
              <w:rPr>
                <w:sz w:val="26"/>
              </w:rPr>
            </w:pPr>
          </w:p>
        </w:tc>
        <w:tc>
          <w:tcPr>
            <w:tcW w:w="792" w:type="pct"/>
            <w:tcBorders>
              <w:top w:val="single" w:sz="4" w:space="0" w:color="auto"/>
              <w:left w:val="single" w:sz="4" w:space="0" w:color="auto"/>
              <w:bottom w:val="single" w:sz="4" w:space="0" w:color="auto"/>
              <w:right w:val="single" w:sz="4" w:space="0" w:color="auto"/>
            </w:tcBorders>
            <w:vAlign w:val="bottom"/>
            <w:hideMark/>
          </w:tcPr>
          <w:p w:rsidR="007D64F3" w:rsidRPr="007D64F3" w:rsidP="007D64F3" w14:paraId="03F7FAEF" w14:textId="77777777">
            <w:pPr>
              <w:widowControl/>
              <w:autoSpaceDE/>
              <w:autoSpaceDN/>
              <w:adjustRightInd/>
              <w:jc w:val="right"/>
              <w:rPr>
                <w:sz w:val="26"/>
              </w:rPr>
            </w:pPr>
            <w:r w:rsidRPr="541D18E1">
              <w:rPr>
                <w:sz w:val="26"/>
                <w:szCs w:val="26"/>
              </w:rPr>
              <w:t>23,328 hrs.;</w:t>
            </w:r>
            <w:r>
              <w:rPr>
                <w:b/>
                <w:bCs/>
                <w:sz w:val="26"/>
                <w:szCs w:val="26"/>
                <w:vertAlign w:val="superscript"/>
              </w:rPr>
              <w:footnoteReference w:id="17"/>
            </w:r>
            <w:r w:rsidRPr="541D18E1">
              <w:rPr>
                <w:sz w:val="26"/>
                <w:szCs w:val="26"/>
              </w:rPr>
              <w:t xml:space="preserve"> </w:t>
            </w:r>
          </w:p>
          <w:p w:rsidR="007D64F3" w:rsidRPr="007D64F3" w:rsidP="007D64F3" w14:paraId="5B626476" w14:textId="282F4B32">
            <w:pPr>
              <w:widowControl/>
              <w:autoSpaceDE/>
              <w:autoSpaceDN/>
              <w:adjustRightInd/>
              <w:jc w:val="right"/>
              <w:rPr>
                <w:sz w:val="26"/>
              </w:rPr>
            </w:pPr>
            <w:r w:rsidRPr="007D64F3">
              <w:rPr>
                <w:sz w:val="26"/>
              </w:rPr>
              <w:t>$2,201,463</w:t>
            </w:r>
            <w:r w:rsidR="00AF5876">
              <w:rPr>
                <w:sz w:val="26"/>
              </w:rPr>
              <w:t>.36</w:t>
            </w:r>
          </w:p>
        </w:tc>
        <w:tc>
          <w:tcPr>
            <w:tcW w:w="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D64F3" w:rsidRPr="007D64F3" w:rsidP="007D64F3" w14:paraId="68B4E133" w14:textId="77777777">
            <w:pPr>
              <w:widowControl/>
              <w:autoSpaceDE/>
              <w:autoSpaceDN/>
              <w:adjustRightInd/>
              <w:jc w:val="right"/>
              <w:rPr>
                <w:sz w:val="26"/>
              </w:rPr>
            </w:pPr>
          </w:p>
        </w:tc>
      </w:tr>
    </w:tbl>
    <w:p w:rsidR="005313D7" w:rsidP="006277F8" w14:paraId="5D53289A" w14:textId="3FC08A86">
      <w:pPr>
        <w:pStyle w:val="FERCparanumber"/>
        <w:widowControl/>
        <w:numPr>
          <w:ilvl w:val="0"/>
          <w:numId w:val="0"/>
        </w:numPr>
        <w:spacing w:line="240" w:lineRule="auto"/>
      </w:pPr>
    </w:p>
    <w:p w:rsidR="00A205BF" w:rsidRPr="000C382F" w:rsidP="00A205BF" w14:paraId="5A4973AD" w14:textId="32C4CBB9">
      <w:pPr>
        <w:widowControl/>
        <w:rPr>
          <w:bCs/>
          <w:sz w:val="26"/>
          <w:szCs w:val="26"/>
        </w:rPr>
      </w:pPr>
      <w:r w:rsidRPr="541D18E1">
        <w:rPr>
          <w:sz w:val="26"/>
          <w:szCs w:val="26"/>
        </w:rPr>
        <w:t xml:space="preserve">The Commission estimates that the total universe of respondents for this collection is </w:t>
      </w:r>
      <w:r w:rsidRPr="541D18E1" w:rsidR="00B10538">
        <w:rPr>
          <w:sz w:val="26"/>
          <w:szCs w:val="26"/>
        </w:rPr>
        <w:t xml:space="preserve">162 </w:t>
      </w:r>
      <w:r w:rsidRPr="541D18E1">
        <w:rPr>
          <w:sz w:val="26"/>
          <w:szCs w:val="26"/>
        </w:rPr>
        <w:t>unique entities.</w:t>
      </w:r>
      <w:r>
        <w:rPr>
          <w:rStyle w:val="FootnoteReference"/>
          <w:sz w:val="26"/>
          <w:szCs w:val="26"/>
          <w:vertAlign w:val="superscript"/>
        </w:rPr>
        <w:footnoteReference w:id="18"/>
      </w:r>
      <w:r w:rsidRPr="541D18E1">
        <w:rPr>
          <w:sz w:val="26"/>
          <w:szCs w:val="26"/>
        </w:rPr>
        <w:t xml:space="preserve">  This includes </w:t>
      </w:r>
      <w:r w:rsidRPr="541D18E1" w:rsidR="00B10538">
        <w:rPr>
          <w:sz w:val="26"/>
          <w:szCs w:val="26"/>
        </w:rPr>
        <w:t xml:space="preserve">54 </w:t>
      </w:r>
      <w:r w:rsidRPr="541D18E1">
        <w:rPr>
          <w:sz w:val="26"/>
          <w:szCs w:val="26"/>
        </w:rPr>
        <w:t xml:space="preserve">unique owners of nuclear facilities and </w:t>
      </w:r>
      <w:r w:rsidRPr="541D18E1" w:rsidR="00B10538">
        <w:rPr>
          <w:sz w:val="26"/>
          <w:szCs w:val="26"/>
        </w:rPr>
        <w:t xml:space="preserve">108 </w:t>
      </w:r>
      <w:r w:rsidRPr="541D18E1">
        <w:rPr>
          <w:sz w:val="26"/>
          <w:szCs w:val="26"/>
        </w:rPr>
        <w:t xml:space="preserve">transmission </w:t>
      </w:r>
      <w:r w:rsidRPr="541D18E1">
        <w:rPr>
          <w:sz w:val="26"/>
          <w:szCs w:val="26"/>
        </w:rPr>
        <w:t xml:space="preserve">entities that provide services related to NPIRs.  </w:t>
      </w:r>
      <w:r w:rsidRPr="541D18E1">
        <w:rPr>
          <w:sz w:val="26"/>
          <w:szCs w:val="26"/>
        </w:rPr>
        <w:t>In order to</w:t>
      </w:r>
      <w:r w:rsidRPr="541D18E1">
        <w:rPr>
          <w:sz w:val="26"/>
          <w:szCs w:val="26"/>
        </w:rPr>
        <w:t xml:space="preserve"> estimate the </w:t>
      </w:r>
      <w:r w:rsidRPr="541D18E1" w:rsidR="0034350E">
        <w:rPr>
          <w:sz w:val="26"/>
          <w:szCs w:val="26"/>
        </w:rPr>
        <w:t>burden,</w:t>
      </w:r>
      <w:r w:rsidRPr="541D18E1">
        <w:rPr>
          <w:sz w:val="26"/>
          <w:szCs w:val="26"/>
        </w:rPr>
        <w:t xml:space="preserve"> the Commission considered two categories: establishing new agreements; and making modifications to existing agreements.</w:t>
      </w:r>
    </w:p>
    <w:p w:rsidR="00D05520" w:rsidP="00A205BF" w14:paraId="3F66BB3A" w14:textId="77777777">
      <w:pPr>
        <w:widowControl/>
        <w:rPr>
          <w:bCs/>
          <w:sz w:val="26"/>
          <w:szCs w:val="26"/>
        </w:rPr>
      </w:pPr>
    </w:p>
    <w:p w:rsidR="000C7038" w:rsidP="00A205BF" w14:paraId="4EE7994D" w14:textId="72263907">
      <w:pPr>
        <w:widowControl/>
        <w:rPr>
          <w:bCs/>
          <w:sz w:val="26"/>
          <w:szCs w:val="26"/>
        </w:rPr>
      </w:pPr>
      <w:r w:rsidRPr="000C382F">
        <w:rPr>
          <w:bCs/>
          <w:sz w:val="26"/>
          <w:szCs w:val="26"/>
        </w:rPr>
        <w:t xml:space="preserve">The Commission assumes there may be as many as 10 new agreements established each year.  Because applicable entities should already </w:t>
      </w:r>
      <w:r w:rsidRPr="000C382F">
        <w:rPr>
          <w:bCs/>
          <w:sz w:val="26"/>
          <w:szCs w:val="26"/>
        </w:rPr>
        <w:t>be in compliance with</w:t>
      </w:r>
      <w:r w:rsidRPr="000C382F">
        <w:rPr>
          <w:bCs/>
          <w:sz w:val="26"/>
          <w:szCs w:val="26"/>
        </w:rPr>
        <w:t xml:space="preserve"> NUC-001-</w:t>
      </w:r>
      <w:r w:rsidR="009E19FD">
        <w:rPr>
          <w:bCs/>
          <w:sz w:val="26"/>
          <w:szCs w:val="26"/>
        </w:rPr>
        <w:t>4</w:t>
      </w:r>
      <w:r w:rsidRPr="000C382F">
        <w:rPr>
          <w:bCs/>
          <w:sz w:val="26"/>
          <w:szCs w:val="26"/>
        </w:rPr>
        <w:t xml:space="preserve"> (meaning that all nuclear sites should already have agreements in place), new agreements would only come about due to company mergers or new interconnections between nuclear plant sites and other entities.  FERC further assumes that each agreement involves one nuclear plant site and an average of two transmission entities.  </w:t>
      </w:r>
    </w:p>
    <w:p w:rsidR="00A205BF" w:rsidRPr="000C382F" w:rsidP="00A205BF" w14:paraId="25F0F691" w14:textId="77777777">
      <w:pPr>
        <w:widowControl/>
        <w:rPr>
          <w:bCs/>
          <w:sz w:val="26"/>
          <w:szCs w:val="26"/>
        </w:rPr>
      </w:pPr>
      <w:r w:rsidRPr="000C382F">
        <w:rPr>
          <w:bCs/>
          <w:sz w:val="26"/>
          <w:szCs w:val="26"/>
        </w:rPr>
        <w:t xml:space="preserve"> </w:t>
      </w:r>
    </w:p>
    <w:p w:rsidR="009408EC" w:rsidP="0034350E" w14:paraId="1A2BD0B4" w14:textId="3E40B790">
      <w:pPr>
        <w:widowControl/>
      </w:pPr>
      <w:r w:rsidRPr="000C382F">
        <w:rPr>
          <w:bCs/>
          <w:sz w:val="26"/>
          <w:szCs w:val="26"/>
        </w:rPr>
        <w:t>For modifications to existing agreements</w:t>
      </w:r>
      <w:r w:rsidR="0002104E">
        <w:rPr>
          <w:bCs/>
          <w:sz w:val="26"/>
          <w:szCs w:val="26"/>
        </w:rPr>
        <w:t>,</w:t>
      </w:r>
      <w:r w:rsidRPr="000C382F">
        <w:rPr>
          <w:bCs/>
          <w:sz w:val="26"/>
          <w:szCs w:val="26"/>
        </w:rPr>
        <w:t xml:space="preserve"> the Commission assumes that each nuclear plant site will be required to make up to two modifications a year to existing agreements.  Because the Commission assumes that each agreement involves an average of two transmission entities, the burden for this category also includes two transmission entities per nuclear plant site (or </w:t>
      </w:r>
      <w:r w:rsidRPr="000C382F" w:rsidR="00B10538">
        <w:rPr>
          <w:bCs/>
          <w:sz w:val="26"/>
          <w:szCs w:val="26"/>
        </w:rPr>
        <w:t>1</w:t>
      </w:r>
      <w:r w:rsidR="00B10538">
        <w:rPr>
          <w:bCs/>
          <w:sz w:val="26"/>
          <w:szCs w:val="26"/>
        </w:rPr>
        <w:t>08</w:t>
      </w:r>
      <w:r w:rsidRPr="000C382F" w:rsidR="00B10538">
        <w:rPr>
          <w:bCs/>
          <w:sz w:val="26"/>
          <w:szCs w:val="26"/>
        </w:rPr>
        <w:t xml:space="preserve"> </w:t>
      </w:r>
      <w:r w:rsidRPr="000C382F">
        <w:rPr>
          <w:bCs/>
          <w:sz w:val="26"/>
          <w:szCs w:val="26"/>
        </w:rPr>
        <w:t>in total).  FERC estimates that some of these transmission entities are involved in multiple agreements (as stated above, the number of unique transmission entities is estimate</w:t>
      </w:r>
      <w:r w:rsidR="00C107F0">
        <w:rPr>
          <w:bCs/>
          <w:sz w:val="26"/>
          <w:szCs w:val="26"/>
        </w:rPr>
        <w:t>d</w:t>
      </w:r>
      <w:r w:rsidRPr="000C382F">
        <w:rPr>
          <w:bCs/>
          <w:sz w:val="26"/>
          <w:szCs w:val="26"/>
        </w:rPr>
        <w:t xml:space="preserve"> at </w:t>
      </w:r>
      <w:r w:rsidR="00B10538">
        <w:rPr>
          <w:bCs/>
          <w:sz w:val="26"/>
          <w:szCs w:val="26"/>
        </w:rPr>
        <w:t>216</w:t>
      </w:r>
      <w:r w:rsidRPr="000C382F">
        <w:rPr>
          <w:bCs/>
          <w:sz w:val="26"/>
          <w:szCs w:val="26"/>
        </w:rPr>
        <w:t>).</w:t>
      </w:r>
    </w:p>
    <w:p w:rsidR="009408EC" w:rsidP="005C1CF6" w14:paraId="31A2DA30" w14:textId="77777777">
      <w:pPr>
        <w:pStyle w:val="FERCparanumber"/>
        <w:widowControl/>
        <w:numPr>
          <w:ilvl w:val="0"/>
          <w:numId w:val="0"/>
        </w:numPr>
        <w:spacing w:line="240" w:lineRule="auto"/>
      </w:pPr>
    </w:p>
    <w:p w:rsidR="00A9298F" w:rsidP="00A9298F" w14:paraId="49EEF8CB" w14:textId="77777777">
      <w:pPr>
        <w:pStyle w:val="FERCparanumber"/>
        <w:numPr>
          <w:ilvl w:val="0"/>
          <w:numId w:val="0"/>
        </w:numPr>
        <w:suppressLineNumbers/>
        <w:suppressAutoHyphens/>
        <w:spacing w:line="240" w:lineRule="auto"/>
      </w:pPr>
      <w:r w:rsidRPr="00A57B8F">
        <w:t xml:space="preserve">The Commission believes that this estimate </w:t>
      </w:r>
      <w:r>
        <w:t>is</w:t>
      </w:r>
      <w:r w:rsidRPr="00A57B8F">
        <w:t xml:space="preserve"> conservative because most</w:t>
      </w:r>
      <w:r>
        <w:t>,</w:t>
      </w:r>
      <w:r w:rsidRPr="00A57B8F">
        <w:t xml:space="preserve"> if not </w:t>
      </w:r>
      <w:r w:rsidRPr="00A57B8F">
        <w:t>all of</w:t>
      </w:r>
      <w:r w:rsidRPr="00A57B8F">
        <w:t xml:space="preserve"> the applicable entities currently have </w:t>
      </w:r>
      <w:r>
        <w:t xml:space="preserve">interface </w:t>
      </w:r>
      <w:r w:rsidRPr="00A57B8F">
        <w:t xml:space="preserve">agreements in place to provide for coordination between a nuclear plant generator operator and its local transmission, distribution and off-site power suppliers.  Furthermore, multiple plants are located on certain sites, and one entity may operate multiple plants, providing for potential economies in updating, </w:t>
      </w:r>
      <w:r w:rsidRPr="00A57B8F">
        <w:t>drafting</w:t>
      </w:r>
      <w:r w:rsidRPr="00A57B8F">
        <w:t xml:space="preserve"> and executing the interface agreements.</w:t>
      </w:r>
    </w:p>
    <w:p w:rsidR="000B3C56" w:rsidP="000B3C56" w14:paraId="48883B44" w14:textId="77777777">
      <w:pPr>
        <w:pStyle w:val="FERCparanumber"/>
        <w:numPr>
          <w:ilvl w:val="0"/>
          <w:numId w:val="0"/>
        </w:numPr>
        <w:spacing w:line="240" w:lineRule="auto"/>
        <w:rPr>
          <w:u w:val="single"/>
        </w:rPr>
      </w:pPr>
    </w:p>
    <w:p w:rsidR="005C747F" w:rsidP="00156204" w14:paraId="2D568169" w14:textId="77777777">
      <w:pPr>
        <w:widowControl/>
        <w:ind w:left="720" w:hanging="720"/>
        <w:rPr>
          <w:b/>
          <w:bCs/>
          <w:sz w:val="26"/>
          <w:szCs w:val="26"/>
        </w:rPr>
      </w:pPr>
      <w:r>
        <w:rPr>
          <w:sz w:val="26"/>
          <w:szCs w:val="26"/>
        </w:rPr>
        <w:t>13.</w:t>
      </w:r>
      <w:r>
        <w:rPr>
          <w:sz w:val="26"/>
          <w:szCs w:val="26"/>
        </w:rPr>
        <w:tab/>
      </w:r>
      <w:r>
        <w:rPr>
          <w:b/>
          <w:bCs/>
          <w:sz w:val="26"/>
          <w:szCs w:val="26"/>
        </w:rPr>
        <w:t>ESTIMATE OF THE TOTAL ANNUAL COST BURDEN TO RESPONDENTS</w:t>
      </w:r>
    </w:p>
    <w:p w:rsidR="006D3C26" w:rsidP="00156204" w14:paraId="6AAF6D96" w14:textId="77777777">
      <w:pPr>
        <w:widowControl/>
        <w:ind w:left="720" w:hanging="720"/>
        <w:rPr>
          <w:b/>
          <w:bCs/>
          <w:sz w:val="26"/>
          <w:szCs w:val="26"/>
        </w:rPr>
      </w:pPr>
    </w:p>
    <w:p w:rsidR="0092727D" w:rsidP="00BF54F6" w14:paraId="670C0887" w14:textId="3896C4F0">
      <w:pPr>
        <w:pStyle w:val="FERCparanumber"/>
        <w:numPr>
          <w:ilvl w:val="0"/>
          <w:numId w:val="0"/>
        </w:numPr>
        <w:suppressLineNumbers/>
        <w:suppressAutoHyphens/>
        <w:spacing w:line="240" w:lineRule="auto"/>
      </w:pPr>
      <w:r w:rsidRPr="00CA7613">
        <w:t>The Commission projects</w:t>
      </w:r>
      <w:r w:rsidRPr="00CA7613" w:rsidR="00BF54F6">
        <w:t xml:space="preserve"> the average annualized </w:t>
      </w:r>
      <w:r w:rsidRPr="00CA7613" w:rsidR="00586BF5">
        <w:t>record storage</w:t>
      </w:r>
      <w:r w:rsidR="006C7A38">
        <w:t xml:space="preserve"> for NUC-001-</w:t>
      </w:r>
      <w:r w:rsidR="006277F8">
        <w:t>4</w:t>
      </w:r>
      <w:r w:rsidR="00B560E7">
        <w:t xml:space="preserve"> Reliability Standard</w:t>
      </w:r>
      <w:r w:rsidRPr="00CA7613" w:rsidR="00586BF5">
        <w:t xml:space="preserve"> cost</w:t>
      </w:r>
      <w:r w:rsidRPr="00CA7613" w:rsidR="00CA7613">
        <w:t xml:space="preserve"> to be</w:t>
      </w:r>
      <w:r w:rsidR="00156204">
        <w:t>:</w:t>
      </w:r>
      <w:r w:rsidRPr="00CA7613" w:rsidR="00BF54F6">
        <w:t xml:space="preserve"> </w:t>
      </w:r>
    </w:p>
    <w:p w:rsidR="00156204" w:rsidP="00156204" w14:paraId="53B0189B" w14:textId="46CEC0FE">
      <w:pPr>
        <w:pStyle w:val="FERCparanumber"/>
        <w:numPr>
          <w:ilvl w:val="0"/>
          <w:numId w:val="0"/>
        </w:numPr>
        <w:suppressLineNumbers/>
        <w:suppressAutoHyphens/>
        <w:spacing w:line="240" w:lineRule="auto"/>
        <w:ind w:left="720"/>
      </w:pPr>
      <w:r>
        <w:t>162</w:t>
      </w:r>
      <w:r w:rsidRPr="00941799">
        <w:t xml:space="preserve"> </w:t>
      </w:r>
      <w:r w:rsidRPr="00941799" w:rsidR="00601257">
        <w:t>entities x $15.25/year/entity</w:t>
      </w:r>
      <w:r>
        <w:rPr>
          <w:rStyle w:val="FootnoteReference"/>
          <w:b/>
          <w:bCs/>
          <w:vertAlign w:val="superscript"/>
        </w:rPr>
        <w:footnoteReference w:id="19"/>
      </w:r>
      <w:r w:rsidRPr="00941799" w:rsidR="00601257">
        <w:t xml:space="preserve">  = $</w:t>
      </w:r>
      <w:r w:rsidRPr="00941799" w:rsidR="00FF4FB4">
        <w:t>2,</w:t>
      </w:r>
      <w:r>
        <w:t>470</w:t>
      </w:r>
      <w:r w:rsidRPr="00941799">
        <w:t xml:space="preserve"> </w:t>
      </w:r>
      <w:r w:rsidRPr="00941799" w:rsidR="00601257">
        <w:t>(rounded)</w:t>
      </w:r>
      <w:r w:rsidRPr="00941799">
        <w:t>.</w:t>
      </w:r>
    </w:p>
    <w:p w:rsidR="00AA30F2" w:rsidP="00156204" w14:paraId="25ACCBED" w14:textId="6F5DDC02">
      <w:pPr>
        <w:pStyle w:val="FERCparanumber"/>
        <w:numPr>
          <w:ilvl w:val="0"/>
          <w:numId w:val="0"/>
        </w:numPr>
        <w:suppressLineNumbers/>
        <w:suppressAutoHyphens/>
        <w:spacing w:line="240" w:lineRule="auto"/>
      </w:pPr>
      <w:r>
        <w:t>All other costs are related to burden hours and a</w:t>
      </w:r>
      <w:r w:rsidR="006D3C26">
        <w:t>re discussed in Question</w:t>
      </w:r>
      <w:r w:rsidR="00FA5C97">
        <w:t xml:space="preserve">s 12 and </w:t>
      </w:r>
      <w:r>
        <w:t>15.</w:t>
      </w:r>
      <w:r w:rsidRPr="00CA7613" w:rsidR="00601257">
        <w:t xml:space="preserve"> </w:t>
      </w:r>
    </w:p>
    <w:p w:rsidR="000B3C56" w:rsidP="005C747F" w14:paraId="7117FFDD" w14:textId="77777777">
      <w:pPr>
        <w:pStyle w:val="FERCparanumber"/>
        <w:numPr>
          <w:ilvl w:val="0"/>
          <w:numId w:val="0"/>
        </w:numPr>
        <w:suppressLineNumbers/>
        <w:suppressAutoHyphens/>
        <w:spacing w:line="240" w:lineRule="auto"/>
      </w:pPr>
    </w:p>
    <w:p w:rsidR="002652E7" w:rsidP="00156204" w14:paraId="40BFA70A" w14:textId="77777777">
      <w:pPr>
        <w:widowControl/>
        <w:tabs>
          <w:tab w:val="left" w:pos="-1440"/>
        </w:tabs>
        <w:ind w:left="720" w:hanging="720"/>
        <w:rPr>
          <w:b/>
          <w:bCs/>
          <w:sz w:val="26"/>
          <w:szCs w:val="26"/>
        </w:rPr>
      </w:pPr>
      <w:r>
        <w:rPr>
          <w:sz w:val="26"/>
          <w:szCs w:val="26"/>
        </w:rPr>
        <w:t>14.</w:t>
      </w:r>
      <w:r>
        <w:rPr>
          <w:sz w:val="26"/>
          <w:szCs w:val="26"/>
        </w:rPr>
        <w:tab/>
      </w:r>
      <w:r>
        <w:rPr>
          <w:b/>
          <w:bCs/>
          <w:sz w:val="26"/>
          <w:szCs w:val="26"/>
        </w:rPr>
        <w:t>ESTIMATED ANNUALIZED COST TO FEDERAL GOVERNMENT</w:t>
      </w:r>
    </w:p>
    <w:p w:rsidR="005255B6" w14:paraId="1377F7E3" w14:textId="77777777">
      <w:pPr>
        <w:widowControl/>
        <w:rPr>
          <w:b/>
          <w:bCs/>
          <w:sz w:val="26"/>
          <w:szCs w:val="26"/>
        </w:rPr>
      </w:pPr>
    </w:p>
    <w:p w:rsidR="00734A9E" w:rsidRPr="009408EC" w:rsidP="00734A9E" w14:paraId="7C6D7D5A" w14:textId="5A1FB773">
      <w:pPr>
        <w:widowControl/>
        <w:tabs>
          <w:tab w:val="left" w:pos="-1440"/>
        </w:tabs>
        <w:rPr>
          <w:sz w:val="26"/>
          <w:szCs w:val="26"/>
        </w:rPr>
      </w:pPr>
      <w:r w:rsidRPr="009408EC">
        <w:rPr>
          <w:sz w:val="26"/>
          <w:szCs w:val="26"/>
        </w:rPr>
        <w:t>The Regional Entities and NERC do</w:t>
      </w:r>
      <w:r w:rsidR="00AA5D3A">
        <w:rPr>
          <w:sz w:val="26"/>
          <w:szCs w:val="26"/>
        </w:rPr>
        <w:t>es</w:t>
      </w:r>
      <w:r w:rsidRPr="009408EC">
        <w:rPr>
          <w:sz w:val="26"/>
          <w:szCs w:val="26"/>
        </w:rPr>
        <w:t xml:space="preserve"> most of the data processing, monitoring and compliance work for Reliability Standards</w:t>
      </w:r>
      <w:r w:rsidRPr="009408EC" w:rsidR="004212B2">
        <w:rPr>
          <w:sz w:val="26"/>
          <w:szCs w:val="26"/>
        </w:rPr>
        <w:t xml:space="preserve">, </w:t>
      </w:r>
      <w:r w:rsidRPr="009408EC" w:rsidR="00196BB3">
        <w:rPr>
          <w:sz w:val="26"/>
          <w:szCs w:val="26"/>
        </w:rPr>
        <w:t xml:space="preserve">which </w:t>
      </w:r>
      <w:r w:rsidRPr="009408EC" w:rsidR="004212B2">
        <w:rPr>
          <w:sz w:val="26"/>
          <w:szCs w:val="26"/>
        </w:rPr>
        <w:t xml:space="preserve">is covered under </w:t>
      </w:r>
      <w:r w:rsidRPr="009408EC" w:rsidR="009408EC">
        <w:rPr>
          <w:sz w:val="26"/>
          <w:szCs w:val="26"/>
        </w:rPr>
        <w:t xml:space="preserve">the </w:t>
      </w:r>
      <w:r w:rsidRPr="009408EC" w:rsidR="004212B2">
        <w:rPr>
          <w:sz w:val="26"/>
          <w:szCs w:val="26"/>
        </w:rPr>
        <w:t xml:space="preserve">FERC-725 collection (OMB Control No. 1902-0225) and is not part of this request or package. </w:t>
      </w:r>
      <w:r w:rsidRPr="009408EC">
        <w:rPr>
          <w:sz w:val="26"/>
          <w:szCs w:val="26"/>
        </w:rPr>
        <w:t xml:space="preserve">  Any involvement by the Commission </w:t>
      </w:r>
      <w:r w:rsidRPr="009408EC" w:rsidR="007D7803">
        <w:rPr>
          <w:sz w:val="26"/>
          <w:szCs w:val="26"/>
        </w:rPr>
        <w:t xml:space="preserve">(other than what is listed as PRA Administrative Cost) </w:t>
      </w:r>
      <w:r w:rsidRPr="009408EC">
        <w:rPr>
          <w:sz w:val="26"/>
          <w:szCs w:val="26"/>
        </w:rPr>
        <w:t xml:space="preserve">is </w:t>
      </w:r>
      <w:r w:rsidRPr="009408EC" w:rsidR="00196BB3">
        <w:rPr>
          <w:sz w:val="26"/>
          <w:szCs w:val="26"/>
        </w:rPr>
        <w:t xml:space="preserve">also </w:t>
      </w:r>
      <w:r w:rsidRPr="009408EC">
        <w:rPr>
          <w:sz w:val="26"/>
          <w:szCs w:val="26"/>
        </w:rPr>
        <w:t>covered under the FERC-725 collection (</w:t>
      </w:r>
      <w:r w:rsidRPr="009408EC" w:rsidR="006D3C26">
        <w:rPr>
          <w:sz w:val="26"/>
          <w:szCs w:val="26"/>
        </w:rPr>
        <w:t xml:space="preserve">OMB Control No. </w:t>
      </w:r>
      <w:r w:rsidRPr="009408EC">
        <w:rPr>
          <w:sz w:val="26"/>
          <w:szCs w:val="26"/>
        </w:rPr>
        <w:t xml:space="preserve">1902-0225) and is not part of this request or package.  </w:t>
      </w:r>
    </w:p>
    <w:p w:rsidR="00734A9E" w:rsidRPr="009408EC" w:rsidP="00734A9E" w14:paraId="0F6EE740" w14:textId="77777777">
      <w:pPr>
        <w:widowControl/>
        <w:tabs>
          <w:tab w:val="left" w:pos="-1440"/>
        </w:tabs>
        <w:rPr>
          <w:sz w:val="26"/>
          <w:szCs w:val="26"/>
        </w:rPr>
      </w:pPr>
    </w:p>
    <w:p w:rsidR="00196BB3" w:rsidP="00196BB3" w14:paraId="30796F2B" w14:textId="46DC79A0">
      <w:pPr>
        <w:widowControl/>
        <w:tabs>
          <w:tab w:val="left" w:pos="-1440"/>
        </w:tabs>
        <w:rPr>
          <w:sz w:val="26"/>
          <w:szCs w:val="26"/>
        </w:rPr>
      </w:pPr>
      <w:r w:rsidRPr="00196BB3">
        <w:rPr>
          <w:sz w:val="26"/>
          <w:szCs w:val="26"/>
        </w:rPr>
        <w:t>The Commission does incur the costs associated with obtaining OMB clearance for this collection under the Paperwork Reduction Act of 1995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The following table contains the cost to the Federal Government for FERC-</w:t>
      </w:r>
      <w:r w:rsidRPr="00196BB3">
        <w:rPr>
          <w:sz w:val="26"/>
          <w:szCs w:val="26"/>
        </w:rPr>
        <w:t>725</w:t>
      </w:r>
      <w:r>
        <w:rPr>
          <w:sz w:val="26"/>
          <w:szCs w:val="26"/>
        </w:rPr>
        <w:t>F</w:t>
      </w:r>
      <w:r w:rsidRPr="00196BB3">
        <w:rPr>
          <w:sz w:val="26"/>
          <w:szCs w:val="26"/>
        </w:rPr>
        <w:t xml:space="preserve"> </w:t>
      </w:r>
    </w:p>
    <w:p w:rsidR="00754F97" w:rsidRPr="00196BB3" w:rsidP="00196BB3" w14:paraId="2BEBA882" w14:textId="77777777">
      <w:pPr>
        <w:widowControl/>
        <w:tabs>
          <w:tab w:val="left" w:pos="-1440"/>
        </w:tabs>
        <w:rPr>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0A0A55FD" w14:textId="77777777" w:rsidTr="00CE2EC7">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196BB3" w:rsidRPr="00196BB3" w:rsidP="00196BB3" w14:paraId="106D957E" w14:textId="317B6778">
            <w:pPr>
              <w:widowControl/>
              <w:autoSpaceDE/>
              <w:autoSpaceDN/>
              <w:adjustRightInd/>
              <w:rPr>
                <w:rFonts w:eastAsiaTheme="minorHAnsi"/>
                <w:sz w:val="26"/>
                <w:szCs w:val="26"/>
              </w:rPr>
            </w:pPr>
            <w:r w:rsidRPr="00196BB3">
              <w:rPr>
                <w:sz w:val="26"/>
                <w:szCs w:val="26"/>
              </w:rPr>
              <w:t xml:space="preserve"> </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196BB3" w:rsidRPr="00196BB3" w:rsidP="00196BB3" w14:paraId="570CB9C5" w14:textId="77777777">
            <w:pPr>
              <w:widowControl/>
              <w:autoSpaceDE/>
              <w:autoSpaceDN/>
              <w:adjustRightInd/>
              <w:rPr>
                <w:rFonts w:eastAsiaTheme="minorHAnsi"/>
                <w:b/>
                <w:sz w:val="26"/>
                <w:szCs w:val="26"/>
              </w:rPr>
            </w:pPr>
            <w:r w:rsidRPr="00196BB3">
              <w:rPr>
                <w:rFonts w:eastAsiaTheme="minorHAnsi"/>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196BB3" w:rsidRPr="00196BB3" w:rsidP="00196BB3" w14:paraId="1E3FA0D9" w14:textId="77777777">
            <w:pPr>
              <w:widowControl/>
              <w:autoSpaceDE/>
              <w:autoSpaceDN/>
              <w:adjustRightInd/>
              <w:rPr>
                <w:rFonts w:eastAsiaTheme="minorHAnsi"/>
                <w:b/>
                <w:sz w:val="26"/>
                <w:szCs w:val="26"/>
              </w:rPr>
            </w:pPr>
            <w:r w:rsidRPr="00196BB3">
              <w:rPr>
                <w:rFonts w:eastAsiaTheme="minorHAnsi"/>
                <w:b/>
                <w:sz w:val="26"/>
                <w:szCs w:val="26"/>
              </w:rPr>
              <w:t>Estimated Annual Federal Cost</w:t>
            </w:r>
          </w:p>
        </w:tc>
      </w:tr>
      <w:tr w14:paraId="48341BD4" w14:textId="77777777" w:rsidTr="00CE2EC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196BB3" w:rsidRPr="00196BB3" w:rsidP="001E16B3" w14:paraId="49918461" w14:textId="144FD126">
            <w:pPr>
              <w:widowControl/>
              <w:autoSpaceDE/>
              <w:autoSpaceDN/>
              <w:adjustRightInd/>
              <w:rPr>
                <w:rFonts w:eastAsiaTheme="minorHAnsi"/>
                <w:sz w:val="26"/>
                <w:szCs w:val="26"/>
              </w:rPr>
            </w:pPr>
            <w:r w:rsidRPr="00196BB3">
              <w:rPr>
                <w:rFonts w:eastAsiaTheme="minorHAnsi"/>
                <w:sz w:val="26"/>
                <w:szCs w:val="26"/>
              </w:rPr>
              <w:t>FERC-725</w:t>
            </w:r>
            <w:r>
              <w:rPr>
                <w:rFonts w:eastAsiaTheme="minorHAnsi"/>
                <w:sz w:val="26"/>
                <w:szCs w:val="26"/>
              </w:rPr>
              <w:t>F</w:t>
            </w:r>
            <w:r w:rsidRPr="00196BB3">
              <w:rPr>
                <w:rFonts w:eastAsiaTheme="minorHAnsi"/>
                <w:sz w:val="26"/>
                <w:szCs w:val="26"/>
              </w:rPr>
              <w:t xml:space="preserve"> Analysis and Processing of Filings </w:t>
            </w:r>
          </w:p>
        </w:tc>
        <w:tc>
          <w:tcPr>
            <w:tcW w:w="3201" w:type="dxa"/>
            <w:tcBorders>
              <w:top w:val="single" w:sz="4" w:space="0" w:color="auto"/>
              <w:left w:val="single" w:sz="4" w:space="0" w:color="auto"/>
              <w:bottom w:val="single" w:sz="4" w:space="0" w:color="auto"/>
              <w:right w:val="single" w:sz="4" w:space="0" w:color="auto"/>
            </w:tcBorders>
            <w:vAlign w:val="bottom"/>
            <w:hideMark/>
          </w:tcPr>
          <w:p w:rsidR="00196BB3" w:rsidRPr="00196BB3" w:rsidP="002B6AA6" w14:paraId="6E90634A" w14:textId="77777777">
            <w:pPr>
              <w:widowControl/>
              <w:autoSpaceDE/>
              <w:autoSpaceDN/>
              <w:adjustRightInd/>
              <w:jc w:val="right"/>
              <w:rPr>
                <w:rFonts w:eastAsiaTheme="minorHAnsi"/>
                <w:sz w:val="26"/>
                <w:szCs w:val="26"/>
              </w:rPr>
            </w:pPr>
            <w:r w:rsidRPr="00196BB3">
              <w:rPr>
                <w:rFonts w:eastAsiaTheme="minorHAnsi"/>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196BB3" w:rsidRPr="00196BB3" w:rsidP="002B6AA6" w14:paraId="343DF6DC" w14:textId="77777777">
            <w:pPr>
              <w:widowControl/>
              <w:autoSpaceDE/>
              <w:autoSpaceDN/>
              <w:adjustRightInd/>
              <w:jc w:val="right"/>
              <w:rPr>
                <w:rFonts w:eastAsiaTheme="minorHAnsi"/>
                <w:sz w:val="26"/>
                <w:szCs w:val="26"/>
              </w:rPr>
            </w:pPr>
            <w:r w:rsidRPr="00196BB3">
              <w:rPr>
                <w:rFonts w:eastAsiaTheme="minorHAnsi"/>
                <w:sz w:val="26"/>
                <w:szCs w:val="26"/>
              </w:rPr>
              <w:t>0</w:t>
            </w:r>
          </w:p>
        </w:tc>
      </w:tr>
      <w:tr w14:paraId="50E6F9BE" w14:textId="77777777" w:rsidTr="00CE2EC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196BB3" w:rsidRPr="00196BB3" w:rsidP="002B6AA6" w14:paraId="121C7FEA" w14:textId="5F944E30">
            <w:pPr>
              <w:widowControl/>
              <w:autoSpaceDE/>
              <w:autoSpaceDN/>
              <w:adjustRightInd/>
              <w:rPr>
                <w:rFonts w:eastAsiaTheme="minorHAnsi"/>
                <w:sz w:val="26"/>
                <w:szCs w:val="26"/>
              </w:rPr>
            </w:pPr>
            <w:r w:rsidRPr="00196BB3">
              <w:rPr>
                <w:rFonts w:eastAsiaTheme="minorHAnsi"/>
                <w:sz w:val="26"/>
                <w:szCs w:val="26"/>
              </w:rPr>
              <w:t>PRA</w:t>
            </w:r>
            <w:r w:rsidR="002B6AA6">
              <w:rPr>
                <w:rFonts w:eastAsiaTheme="minorHAnsi"/>
                <w:sz w:val="26"/>
                <w:szCs w:val="26"/>
              </w:rPr>
              <w:t xml:space="preserve"> </w:t>
            </w:r>
            <w:r w:rsidRPr="00196BB3">
              <w:rPr>
                <w:rFonts w:eastAsiaTheme="minorHAnsi"/>
                <w:sz w:val="26"/>
                <w:szCs w:val="26"/>
              </w:rPr>
              <w:t>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196BB3" w:rsidRPr="00196BB3" w:rsidP="002B6AA6" w14:paraId="6A63FD10" w14:textId="77777777">
            <w:pPr>
              <w:widowControl/>
              <w:autoSpaceDE/>
              <w:autoSpaceDN/>
              <w:adjustRightInd/>
              <w:jc w:val="right"/>
              <w:rPr>
                <w:rFonts w:eastAsiaTheme="minorHAnsi"/>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rsidR="00196BB3" w:rsidRPr="00196BB3" w:rsidP="002B6AA6" w14:paraId="18F02C7A" w14:textId="1D25F97B">
            <w:pPr>
              <w:widowControl/>
              <w:autoSpaceDE/>
              <w:autoSpaceDN/>
              <w:adjustRightInd/>
              <w:jc w:val="right"/>
              <w:rPr>
                <w:rFonts w:eastAsiaTheme="minorHAnsi"/>
                <w:sz w:val="26"/>
                <w:szCs w:val="26"/>
              </w:rPr>
            </w:pPr>
            <w:r w:rsidRPr="00196BB3">
              <w:rPr>
                <w:rFonts w:eastAsiaTheme="minorHAnsi"/>
                <w:sz w:val="26"/>
                <w:szCs w:val="26"/>
              </w:rPr>
              <w:t>$</w:t>
            </w:r>
            <w:r w:rsidR="00A0510D">
              <w:rPr>
                <w:rFonts w:eastAsiaTheme="minorHAnsi"/>
                <w:sz w:val="26"/>
                <w:szCs w:val="26"/>
              </w:rPr>
              <w:t>8,396</w:t>
            </w:r>
            <w:r w:rsidRPr="00196BB3">
              <w:rPr>
                <w:rFonts w:eastAsiaTheme="minorHAnsi"/>
                <w:sz w:val="26"/>
                <w:szCs w:val="26"/>
              </w:rPr>
              <w:t xml:space="preserve"> </w:t>
            </w:r>
          </w:p>
        </w:tc>
      </w:tr>
      <w:tr w14:paraId="466D8FFD" w14:textId="77777777" w:rsidTr="00CE2EC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196BB3" w:rsidRPr="00196BB3" w:rsidP="00196BB3" w14:paraId="4807DB6B" w14:textId="77777777">
            <w:pPr>
              <w:widowControl/>
              <w:autoSpaceDE/>
              <w:autoSpaceDN/>
              <w:adjustRightInd/>
              <w:rPr>
                <w:rFonts w:eastAsiaTheme="minorHAnsi"/>
                <w:sz w:val="26"/>
                <w:szCs w:val="26"/>
              </w:rPr>
            </w:pPr>
            <w:r w:rsidRPr="00196BB3">
              <w:rPr>
                <w:rFonts w:eastAsiaTheme="minorHAnsi"/>
                <w:b/>
                <w:sz w:val="26"/>
                <w:szCs w:val="26"/>
              </w:rPr>
              <w:t>FERC Total</w:t>
            </w:r>
          </w:p>
        </w:tc>
        <w:tc>
          <w:tcPr>
            <w:tcW w:w="3201" w:type="dxa"/>
            <w:tcBorders>
              <w:top w:val="single" w:sz="4" w:space="0" w:color="auto"/>
              <w:left w:val="single" w:sz="4" w:space="0" w:color="auto"/>
              <w:bottom w:val="single" w:sz="4" w:space="0" w:color="auto"/>
              <w:right w:val="single" w:sz="4" w:space="0" w:color="auto"/>
            </w:tcBorders>
            <w:vAlign w:val="center"/>
          </w:tcPr>
          <w:p w:rsidR="00196BB3" w:rsidRPr="00196BB3" w:rsidP="002B6AA6" w14:paraId="70797933" w14:textId="77777777">
            <w:pPr>
              <w:widowControl/>
              <w:autoSpaceDE/>
              <w:autoSpaceDN/>
              <w:adjustRightInd/>
              <w:jc w:val="right"/>
              <w:rPr>
                <w:rFonts w:eastAsiaTheme="minorHAnsi"/>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196BB3" w:rsidRPr="00196BB3" w:rsidP="002B6AA6" w14:paraId="7F2B97DA" w14:textId="33190F09">
            <w:pPr>
              <w:widowControl/>
              <w:autoSpaceDE/>
              <w:autoSpaceDN/>
              <w:adjustRightInd/>
              <w:jc w:val="right"/>
              <w:rPr>
                <w:rFonts w:eastAsiaTheme="minorHAnsi"/>
                <w:sz w:val="26"/>
                <w:szCs w:val="26"/>
              </w:rPr>
            </w:pPr>
            <w:r w:rsidRPr="00196BB3">
              <w:rPr>
                <w:rFonts w:eastAsiaTheme="minorHAnsi"/>
                <w:sz w:val="26"/>
                <w:szCs w:val="26"/>
              </w:rPr>
              <w:t>$</w:t>
            </w:r>
            <w:r w:rsidR="00A0510D">
              <w:rPr>
                <w:rFonts w:eastAsiaTheme="minorHAnsi"/>
                <w:sz w:val="26"/>
                <w:szCs w:val="26"/>
              </w:rPr>
              <w:t>8,396</w:t>
            </w:r>
          </w:p>
        </w:tc>
      </w:tr>
    </w:tbl>
    <w:p w:rsidR="002E6386" w:rsidP="00734A9E" w14:paraId="19322E5D" w14:textId="0263ECBC">
      <w:pPr>
        <w:widowControl/>
        <w:tabs>
          <w:tab w:val="left" w:pos="-1440"/>
        </w:tabs>
        <w:rPr>
          <w:sz w:val="26"/>
          <w:szCs w:val="26"/>
        </w:rPr>
      </w:pPr>
    </w:p>
    <w:p w:rsidR="002652E7" w:rsidP="007F3406" w14:paraId="352976A2" w14:textId="77777777">
      <w:pPr>
        <w:widowControl/>
        <w:tabs>
          <w:tab w:val="left" w:pos="-1440"/>
          <w:tab w:val="left" w:pos="720"/>
        </w:tabs>
        <w:ind w:left="720" w:hanging="720"/>
        <w:rPr>
          <w:b/>
          <w:bCs/>
          <w:sz w:val="26"/>
          <w:szCs w:val="26"/>
        </w:rPr>
      </w:pPr>
      <w:r>
        <w:rPr>
          <w:sz w:val="26"/>
          <w:szCs w:val="26"/>
        </w:rPr>
        <w:t xml:space="preserve">15.  </w:t>
      </w:r>
      <w:r>
        <w:rPr>
          <w:b/>
          <w:bCs/>
          <w:sz w:val="26"/>
          <w:szCs w:val="26"/>
        </w:rPr>
        <w:tab/>
        <w:t>REASONS FOR CHANGES IN BURDEN INCLUDING THE NEED FOR ANY INCREASE</w:t>
      </w:r>
    </w:p>
    <w:p w:rsidR="00992564" w:rsidP="00992564" w14:paraId="385CF208" w14:textId="77777777">
      <w:pPr>
        <w:widowControl/>
        <w:autoSpaceDE/>
        <w:autoSpaceDN/>
        <w:adjustRightInd/>
        <w:spacing w:line="480" w:lineRule="auto"/>
        <w:ind w:firstLine="720"/>
        <w:rPr>
          <w:sz w:val="26"/>
        </w:rPr>
      </w:pPr>
    </w:p>
    <w:p w:rsidR="00992564" w:rsidP="00992564" w14:paraId="6792D24F" w14:textId="534DD73D">
      <w:pPr>
        <w:widowControl/>
        <w:autoSpaceDE/>
        <w:autoSpaceDN/>
        <w:adjustRightInd/>
        <w:ind w:firstLine="720"/>
        <w:rPr>
          <w:sz w:val="26"/>
        </w:rPr>
      </w:pPr>
      <w:r w:rsidRPr="541D18E1">
        <w:rPr>
          <w:sz w:val="26"/>
          <w:szCs w:val="26"/>
        </w:rPr>
        <w:t>The proposed Reliability Standard NUC-001-4 modification of removing the load-serving entity from its applicability is not a substantive change and does not require a change in burden.  This is due to the current burden assumptions based on:  1) the number of nuclear plants in the United States, and 2) applicability including two transmission entities</w:t>
      </w:r>
      <w:r>
        <w:rPr>
          <w:b/>
          <w:bCs/>
          <w:sz w:val="26"/>
          <w:szCs w:val="26"/>
          <w:vertAlign w:val="superscript"/>
        </w:rPr>
        <w:footnoteReference w:id="20"/>
      </w:r>
      <w:r w:rsidRPr="541D18E1">
        <w:rPr>
          <w:sz w:val="26"/>
          <w:szCs w:val="26"/>
        </w:rPr>
        <w:t xml:space="preserve"> for each </w:t>
      </w:r>
      <w:r w:rsidRPr="541D18E1">
        <w:rPr>
          <w:sz w:val="26"/>
          <w:szCs w:val="26"/>
        </w:rPr>
        <w:t xml:space="preserve">nuclear plant.  The removal of load-serving entity from the list of possible transmission entities does not change these assumptions. </w:t>
      </w:r>
    </w:p>
    <w:p w:rsidR="00407444" w:rsidRPr="00992564" w:rsidP="00992564" w14:paraId="6C471CD1" w14:textId="77777777">
      <w:pPr>
        <w:widowControl/>
        <w:autoSpaceDE/>
        <w:autoSpaceDN/>
        <w:adjustRightInd/>
        <w:ind w:firstLine="720"/>
        <w:rPr>
          <w:sz w:val="26"/>
        </w:rPr>
      </w:pPr>
    </w:p>
    <w:p w:rsidR="008A294C" w:rsidRPr="005D2551" w:rsidP="004E2018" w14:paraId="741BBC76" w14:textId="773E109E">
      <w:pPr>
        <w:widowControl/>
        <w:rPr>
          <w:sz w:val="26"/>
          <w:szCs w:val="26"/>
        </w:rPr>
      </w:pPr>
      <w:bookmarkStart w:id="2" w:name="_Hlk81895423"/>
      <w:r>
        <w:rPr>
          <w:sz w:val="26"/>
          <w:szCs w:val="26"/>
        </w:rPr>
        <w:t>The</w:t>
      </w:r>
      <w:r w:rsidR="004D1E46">
        <w:rPr>
          <w:sz w:val="26"/>
          <w:szCs w:val="26"/>
        </w:rPr>
        <w:t xml:space="preserve"> </w:t>
      </w:r>
      <w:r w:rsidR="002A4EF9">
        <w:rPr>
          <w:sz w:val="26"/>
          <w:szCs w:val="26"/>
        </w:rPr>
        <w:t xml:space="preserve">estimated </w:t>
      </w:r>
      <w:r w:rsidR="009730D3">
        <w:rPr>
          <w:sz w:val="26"/>
          <w:szCs w:val="26"/>
        </w:rPr>
        <w:t xml:space="preserve">burden </w:t>
      </w:r>
      <w:r w:rsidR="002A4EF9">
        <w:rPr>
          <w:sz w:val="26"/>
          <w:szCs w:val="26"/>
        </w:rPr>
        <w:t>hours and no</w:t>
      </w:r>
      <w:r w:rsidR="00403A48">
        <w:rPr>
          <w:sz w:val="26"/>
          <w:szCs w:val="26"/>
        </w:rPr>
        <w:t>s</w:t>
      </w:r>
      <w:r w:rsidR="002A4EF9">
        <w:rPr>
          <w:sz w:val="26"/>
          <w:szCs w:val="26"/>
        </w:rPr>
        <w:t xml:space="preserve">. of respondents and responses </w:t>
      </w:r>
      <w:r>
        <w:rPr>
          <w:sz w:val="26"/>
          <w:szCs w:val="26"/>
        </w:rPr>
        <w:t>have been adjusted to reflect the following:</w:t>
      </w:r>
      <w:r w:rsidRPr="005D2551" w:rsidR="002B6AA6">
        <w:rPr>
          <w:sz w:val="26"/>
          <w:szCs w:val="26"/>
        </w:rPr>
        <w:t xml:space="preserve">  </w:t>
      </w:r>
    </w:p>
    <w:p w:rsidR="008B31C4" w:rsidP="008A294C" w14:paraId="02194FBB" w14:textId="0A018DF3">
      <w:pPr>
        <w:pStyle w:val="ListParagraph"/>
        <w:widowControl/>
        <w:numPr>
          <w:ilvl w:val="0"/>
          <w:numId w:val="19"/>
        </w:numPr>
        <w:autoSpaceDE/>
        <w:autoSpaceDN/>
        <w:adjustRightInd/>
        <w:spacing w:before="100" w:beforeAutospacing="1" w:after="100" w:afterAutospacing="1"/>
        <w:rPr>
          <w:sz w:val="26"/>
          <w:szCs w:val="26"/>
        </w:rPr>
      </w:pPr>
      <w:r>
        <w:rPr>
          <w:sz w:val="26"/>
          <w:szCs w:val="26"/>
        </w:rPr>
        <w:t>t</w:t>
      </w:r>
      <w:r w:rsidRPr="005D2551" w:rsidR="002B6AA6">
        <w:rPr>
          <w:sz w:val="26"/>
          <w:szCs w:val="26"/>
        </w:rPr>
        <w:t xml:space="preserve">he </w:t>
      </w:r>
      <w:r w:rsidR="00B10538">
        <w:rPr>
          <w:sz w:val="26"/>
          <w:szCs w:val="26"/>
        </w:rPr>
        <w:t>decrease</w:t>
      </w:r>
      <w:r w:rsidRPr="005D2551" w:rsidR="00B10538">
        <w:rPr>
          <w:sz w:val="26"/>
          <w:szCs w:val="26"/>
        </w:rPr>
        <w:t xml:space="preserve"> </w:t>
      </w:r>
      <w:r w:rsidRPr="005D2551" w:rsidR="002B6AA6">
        <w:rPr>
          <w:sz w:val="26"/>
          <w:szCs w:val="26"/>
        </w:rPr>
        <w:t xml:space="preserve">in the number of respondents </w:t>
      </w:r>
      <w:r w:rsidR="00A25CA6">
        <w:rPr>
          <w:sz w:val="26"/>
          <w:szCs w:val="26"/>
        </w:rPr>
        <w:t>from 1</w:t>
      </w:r>
      <w:r w:rsidR="00A0510D">
        <w:rPr>
          <w:sz w:val="26"/>
          <w:szCs w:val="26"/>
        </w:rPr>
        <w:t>71</w:t>
      </w:r>
      <w:r w:rsidR="00A25CA6">
        <w:rPr>
          <w:sz w:val="26"/>
          <w:szCs w:val="26"/>
        </w:rPr>
        <w:t xml:space="preserve"> to 1</w:t>
      </w:r>
      <w:r w:rsidR="00A0510D">
        <w:rPr>
          <w:sz w:val="26"/>
          <w:szCs w:val="26"/>
        </w:rPr>
        <w:t>62</w:t>
      </w:r>
      <w:r w:rsidR="00A25CA6">
        <w:rPr>
          <w:sz w:val="26"/>
          <w:szCs w:val="26"/>
        </w:rPr>
        <w:t xml:space="preserve"> </w:t>
      </w:r>
      <w:r w:rsidRPr="005D2551" w:rsidR="002B6AA6">
        <w:rPr>
          <w:sz w:val="26"/>
          <w:szCs w:val="26"/>
        </w:rPr>
        <w:t>(and resulting change to number of responses</w:t>
      </w:r>
      <w:r w:rsidR="00403A48">
        <w:rPr>
          <w:sz w:val="26"/>
          <w:szCs w:val="26"/>
        </w:rPr>
        <w:t>)</w:t>
      </w:r>
      <w:r w:rsidRPr="002A4EF9">
        <w:rPr>
          <w:sz w:val="26"/>
          <w:szCs w:val="26"/>
        </w:rPr>
        <w:t xml:space="preserve"> </w:t>
      </w:r>
      <w:r>
        <w:rPr>
          <w:sz w:val="26"/>
          <w:szCs w:val="26"/>
        </w:rPr>
        <w:t xml:space="preserve">due to </w:t>
      </w:r>
      <w:r w:rsidRPr="005D2551">
        <w:rPr>
          <w:sz w:val="26"/>
          <w:szCs w:val="26"/>
        </w:rPr>
        <w:t>normal fluctuations in industry</w:t>
      </w:r>
      <w:r w:rsidR="00C91E89">
        <w:rPr>
          <w:sz w:val="26"/>
          <w:szCs w:val="26"/>
        </w:rPr>
        <w:t xml:space="preserve"> </w:t>
      </w:r>
      <w:r w:rsidRPr="005D2551">
        <w:rPr>
          <w:sz w:val="26"/>
          <w:szCs w:val="26"/>
        </w:rPr>
        <w:t>(e.g., companies merging and splitting, and coming into and going out of business</w:t>
      </w:r>
      <w:r w:rsidRPr="005D2551" w:rsidR="002B6AA6">
        <w:rPr>
          <w:sz w:val="26"/>
          <w:szCs w:val="26"/>
        </w:rPr>
        <w:t>)</w:t>
      </w:r>
      <w:r w:rsidRPr="005D2551" w:rsidR="00E57320">
        <w:rPr>
          <w:sz w:val="26"/>
          <w:szCs w:val="26"/>
        </w:rPr>
        <w:t xml:space="preserve">, </w:t>
      </w:r>
    </w:p>
    <w:p w:rsidR="008869FA" w14:paraId="54CE0B13" w14:textId="77777777">
      <w:pPr>
        <w:pStyle w:val="ListParagraph"/>
        <w:widowControl/>
        <w:numPr>
          <w:ilvl w:val="0"/>
          <w:numId w:val="19"/>
        </w:numPr>
        <w:autoSpaceDE/>
        <w:autoSpaceDN/>
        <w:adjustRightInd/>
        <w:spacing w:before="100" w:beforeAutospacing="1" w:after="100" w:afterAutospacing="1"/>
        <w:rPr>
          <w:sz w:val="26"/>
          <w:szCs w:val="26"/>
        </w:rPr>
      </w:pPr>
      <w:r w:rsidRPr="004E2018">
        <w:rPr>
          <w:sz w:val="26"/>
          <w:szCs w:val="26"/>
        </w:rPr>
        <w:t xml:space="preserve">the </w:t>
      </w:r>
      <w:r w:rsidRPr="004E2018" w:rsidR="004E4E28">
        <w:rPr>
          <w:sz w:val="26"/>
          <w:szCs w:val="26"/>
        </w:rPr>
        <w:t>de</w:t>
      </w:r>
      <w:r w:rsidRPr="004E2018">
        <w:rPr>
          <w:sz w:val="26"/>
          <w:szCs w:val="26"/>
        </w:rPr>
        <w:t xml:space="preserve">crease in estimated average burden per </w:t>
      </w:r>
      <w:r w:rsidRPr="004E2018">
        <w:rPr>
          <w:sz w:val="26"/>
          <w:szCs w:val="26"/>
        </w:rPr>
        <w:t>response</w:t>
      </w:r>
      <w:r w:rsidRPr="004E2018">
        <w:rPr>
          <w:sz w:val="26"/>
          <w:szCs w:val="26"/>
        </w:rPr>
        <w:t xml:space="preserve"> </w:t>
      </w:r>
    </w:p>
    <w:p w:rsidR="008869FA" w:rsidP="004E2018" w14:paraId="7D3AA7CC" w14:textId="669C85DB">
      <w:pPr>
        <w:pStyle w:val="ListParagraph"/>
        <w:widowControl/>
        <w:numPr>
          <w:ilvl w:val="0"/>
          <w:numId w:val="19"/>
        </w:numPr>
        <w:autoSpaceDE/>
        <w:autoSpaceDN/>
        <w:adjustRightInd/>
        <w:spacing w:before="100" w:beforeAutospacing="1" w:after="100" w:afterAutospacing="1"/>
        <w:ind w:left="1440"/>
        <w:rPr>
          <w:sz w:val="26"/>
          <w:szCs w:val="26"/>
        </w:rPr>
      </w:pPr>
      <w:r>
        <w:rPr>
          <w:sz w:val="26"/>
          <w:szCs w:val="26"/>
        </w:rPr>
        <w:t>(</w:t>
      </w:r>
      <w:r>
        <w:rPr>
          <w:sz w:val="26"/>
          <w:szCs w:val="26"/>
        </w:rPr>
        <w:t>for</w:t>
      </w:r>
      <w:r>
        <w:rPr>
          <w:sz w:val="26"/>
          <w:szCs w:val="26"/>
        </w:rPr>
        <w:t xml:space="preserve"> reporting </w:t>
      </w:r>
      <w:r w:rsidR="00904905">
        <w:rPr>
          <w:sz w:val="26"/>
          <w:szCs w:val="26"/>
        </w:rPr>
        <w:t xml:space="preserve">and recordkeeping </w:t>
      </w:r>
      <w:r>
        <w:rPr>
          <w:sz w:val="26"/>
          <w:szCs w:val="26"/>
        </w:rPr>
        <w:t xml:space="preserve">requirements) </w:t>
      </w:r>
      <w:r w:rsidRPr="004E2018" w:rsidR="00A25CA6">
        <w:rPr>
          <w:sz w:val="26"/>
          <w:szCs w:val="26"/>
        </w:rPr>
        <w:t xml:space="preserve">from </w:t>
      </w:r>
      <w:r w:rsidR="00904905">
        <w:rPr>
          <w:sz w:val="26"/>
          <w:szCs w:val="26"/>
        </w:rPr>
        <w:t>66.67</w:t>
      </w:r>
      <w:r w:rsidRPr="004E2018" w:rsidR="00A25CA6">
        <w:rPr>
          <w:sz w:val="26"/>
          <w:szCs w:val="26"/>
        </w:rPr>
        <w:t xml:space="preserve"> hr</w:t>
      </w:r>
      <w:r w:rsidR="00C91E89">
        <w:rPr>
          <w:sz w:val="26"/>
          <w:szCs w:val="26"/>
        </w:rPr>
        <w:t>s.</w:t>
      </w:r>
      <w:r w:rsidRPr="004E2018" w:rsidR="00A25CA6">
        <w:rPr>
          <w:sz w:val="26"/>
          <w:szCs w:val="26"/>
        </w:rPr>
        <w:t xml:space="preserve"> per response to </w:t>
      </w:r>
      <w:r w:rsidR="00904905">
        <w:rPr>
          <w:sz w:val="26"/>
          <w:szCs w:val="26"/>
        </w:rPr>
        <w:t>72</w:t>
      </w:r>
      <w:r w:rsidR="00C91E89">
        <w:rPr>
          <w:sz w:val="26"/>
          <w:szCs w:val="26"/>
        </w:rPr>
        <w:t xml:space="preserve"> hrs.</w:t>
      </w:r>
      <w:r w:rsidRPr="004E2018" w:rsidR="00A25CA6">
        <w:rPr>
          <w:sz w:val="26"/>
          <w:szCs w:val="26"/>
        </w:rPr>
        <w:t xml:space="preserve"> per response</w:t>
      </w:r>
    </w:p>
    <w:p w:rsidR="00A4569B" w:rsidRPr="007C3A35" w:rsidP="004E2018" w14:paraId="0DD1A29D" w14:textId="228D917F">
      <w:pPr>
        <w:pStyle w:val="ListParagraph"/>
        <w:widowControl/>
        <w:autoSpaceDE/>
        <w:autoSpaceDN/>
        <w:adjustRightInd/>
        <w:spacing w:before="100" w:beforeAutospacing="1" w:after="100" w:afterAutospacing="1"/>
        <w:ind w:left="0"/>
      </w:pPr>
      <w:r>
        <w:rPr>
          <w:sz w:val="26"/>
          <w:szCs w:val="26"/>
        </w:rPr>
        <w:t xml:space="preserve">The changes </w:t>
      </w:r>
      <w:r w:rsidR="00407444">
        <w:rPr>
          <w:sz w:val="26"/>
          <w:szCs w:val="26"/>
        </w:rPr>
        <w:t xml:space="preserve">(adjustments) </w:t>
      </w:r>
      <w:r>
        <w:rPr>
          <w:sz w:val="26"/>
          <w:szCs w:val="26"/>
        </w:rPr>
        <w:t xml:space="preserve">are </w:t>
      </w:r>
      <w:r w:rsidRPr="004E2018" w:rsidR="002B6AA6">
        <w:rPr>
          <w:sz w:val="26"/>
          <w:szCs w:val="26"/>
        </w:rPr>
        <w:t xml:space="preserve">due </w:t>
      </w:r>
      <w:r w:rsidRPr="004E2018" w:rsidR="002B6AA6">
        <w:rPr>
          <w:sz w:val="26"/>
          <w:szCs w:val="26"/>
        </w:rPr>
        <w:t>to:</w:t>
      </w:r>
      <w:r w:rsidRPr="004E2018" w:rsidR="002B6AA6">
        <w:rPr>
          <w:sz w:val="26"/>
          <w:szCs w:val="26"/>
        </w:rPr>
        <w:t xml:space="preserve"> no new agreements being issued due to the lack of new nuclear plants being developed</w:t>
      </w:r>
      <w:r w:rsidRPr="004E2018" w:rsidR="00D83A74">
        <w:rPr>
          <w:sz w:val="26"/>
          <w:szCs w:val="26"/>
        </w:rPr>
        <w:t xml:space="preserve">, </w:t>
      </w:r>
      <w:r w:rsidRPr="004E2018" w:rsidR="008B31C4">
        <w:rPr>
          <w:sz w:val="26"/>
          <w:szCs w:val="26"/>
        </w:rPr>
        <w:t xml:space="preserve">the adjustments in hours </w:t>
      </w:r>
      <w:r>
        <w:rPr>
          <w:sz w:val="26"/>
          <w:szCs w:val="26"/>
        </w:rPr>
        <w:t xml:space="preserve">per response </w:t>
      </w:r>
      <w:r w:rsidRPr="004E2018" w:rsidR="008B31C4">
        <w:rPr>
          <w:sz w:val="26"/>
          <w:szCs w:val="26"/>
        </w:rPr>
        <w:t>for better accuracy, and the decommissioning of nuclear plants</w:t>
      </w:r>
      <w:r w:rsidR="008F7D88">
        <w:rPr>
          <w:sz w:val="26"/>
          <w:szCs w:val="26"/>
        </w:rPr>
        <w:t xml:space="preserve"> in upcoming years</w:t>
      </w:r>
      <w:r w:rsidRPr="004E2018" w:rsidR="008B31C4">
        <w:rPr>
          <w:sz w:val="26"/>
          <w:szCs w:val="26"/>
        </w:rPr>
        <w:t xml:space="preserve">. </w:t>
      </w:r>
    </w:p>
    <w:bookmarkEnd w:id="2"/>
    <w:p w:rsidR="00A4569B" w:rsidP="00333A76" w14:paraId="29D633A3" w14:textId="47F8836F">
      <w:pPr>
        <w:pStyle w:val="ListParagraph"/>
        <w:widowControl/>
        <w:autoSpaceDE/>
        <w:autoSpaceDN/>
        <w:adjustRightInd/>
        <w:spacing w:before="100" w:beforeAutospacing="1" w:after="100" w:afterAutospacing="1"/>
        <w:rPr>
          <w:sz w:val="26"/>
          <w:szCs w:val="26"/>
        </w:rPr>
      </w:pPr>
    </w:p>
    <w:p w:rsidR="007A294B" w:rsidP="004B1F74" w14:paraId="5E013E9E" w14:textId="44180119">
      <w:pPr>
        <w:widowControl/>
        <w:autoSpaceDE/>
        <w:autoSpaceDN/>
        <w:adjustRightInd/>
        <w:spacing w:before="100" w:beforeAutospacing="1" w:after="100" w:afterAutospacing="1"/>
        <w:rPr>
          <w:sz w:val="26"/>
          <w:szCs w:val="26"/>
        </w:rPr>
      </w:pPr>
      <w:r>
        <w:rPr>
          <w:sz w:val="26"/>
          <w:szCs w:val="26"/>
        </w:rPr>
        <w:t>The</w:t>
      </w:r>
      <w:r>
        <w:rPr>
          <w:sz w:val="26"/>
          <w:szCs w:val="26"/>
        </w:rPr>
        <w:t xml:space="preserve"> burden associated with </w:t>
      </w:r>
      <w:r w:rsidR="00154BFA">
        <w:rPr>
          <w:sz w:val="26"/>
          <w:szCs w:val="26"/>
        </w:rPr>
        <w:t xml:space="preserve">Reliability Standard </w:t>
      </w:r>
      <w:r>
        <w:rPr>
          <w:sz w:val="26"/>
          <w:szCs w:val="26"/>
        </w:rPr>
        <w:t>NUC-001-</w:t>
      </w:r>
      <w:r w:rsidR="003A6A1A">
        <w:rPr>
          <w:sz w:val="26"/>
          <w:szCs w:val="26"/>
        </w:rPr>
        <w:t>4</w:t>
      </w:r>
      <w:r w:rsidR="00154BFA">
        <w:rPr>
          <w:sz w:val="26"/>
          <w:szCs w:val="26"/>
        </w:rPr>
        <w:t xml:space="preserve"> follows.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75DDB7BC" w14:textId="77777777" w:rsidTr="00CE2EC7">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54BFA" w:rsidRPr="008A294C" w:rsidP="00CE2EC7" w14:paraId="425D7861" w14:textId="77777777">
            <w:pPr>
              <w:jc w:val="center"/>
              <w:rPr>
                <w:b/>
              </w:rPr>
            </w:pPr>
            <w:r w:rsidRPr="008A294C">
              <w:rPr>
                <w:b/>
              </w:rPr>
              <w:t>FERC-725F</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54BFA" w:rsidRPr="008A294C" w:rsidP="00CE2EC7" w14:paraId="16DFFEAD" w14:textId="77777777">
            <w:pPr>
              <w:jc w:val="center"/>
              <w:rPr>
                <w:b/>
              </w:rPr>
            </w:pPr>
            <w:r w:rsidRPr="008A294C">
              <w:rPr>
                <w:b/>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54BFA" w:rsidRPr="008A294C" w:rsidP="00CE2EC7" w14:paraId="2A39F9BB" w14:textId="77777777">
            <w:pPr>
              <w:jc w:val="center"/>
              <w:rPr>
                <w:b/>
              </w:rPr>
            </w:pPr>
            <w:r w:rsidRPr="008A294C">
              <w:rPr>
                <w:b/>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54BFA" w:rsidRPr="008A294C" w:rsidP="00CE2EC7" w14:paraId="0D2E4E55" w14:textId="77777777">
            <w:pPr>
              <w:jc w:val="center"/>
              <w:rPr>
                <w:b/>
              </w:rPr>
            </w:pPr>
            <w:r w:rsidRPr="008A294C">
              <w:rPr>
                <w:b/>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54BFA" w:rsidRPr="008A294C" w:rsidP="00CE2EC7" w14:paraId="447FCCB9" w14:textId="77777777">
            <w:pPr>
              <w:jc w:val="center"/>
              <w:rPr>
                <w:b/>
              </w:rPr>
            </w:pPr>
            <w:r w:rsidRPr="008A294C">
              <w:rPr>
                <w:b/>
              </w:rPr>
              <w:t>Change Due to Agency Discretion</w:t>
            </w:r>
          </w:p>
        </w:tc>
      </w:tr>
      <w:tr w14:paraId="2097A113" w14:textId="77777777" w:rsidTr="00CE2EC7">
        <w:tblPrEx>
          <w:tblW w:w="9360" w:type="dxa"/>
          <w:tblInd w:w="18" w:type="dxa"/>
          <w:tblLook w:val="01E0"/>
        </w:tblPrEx>
        <w:trPr>
          <w:trHeight w:val="591"/>
        </w:trPr>
        <w:tc>
          <w:tcPr>
            <w:tcW w:w="2679" w:type="dxa"/>
            <w:tcBorders>
              <w:top w:val="single" w:sz="4" w:space="0" w:color="auto"/>
              <w:left w:val="single" w:sz="4" w:space="0" w:color="auto"/>
              <w:bottom w:val="single" w:sz="4" w:space="0" w:color="auto"/>
              <w:right w:val="single" w:sz="4" w:space="0" w:color="auto"/>
            </w:tcBorders>
            <w:hideMark/>
          </w:tcPr>
          <w:p w:rsidR="00154BFA" w:rsidRPr="008A294C" w:rsidP="00CE2EC7" w14:paraId="55DEA207" w14:textId="77777777">
            <w:pPr>
              <w:jc w:val="center"/>
            </w:pPr>
            <w:r w:rsidRPr="008A294C">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rsidR="00154BFA" w:rsidRPr="00371D1D" w:rsidP="00CE2EC7" w14:paraId="58FAD4C3" w14:textId="6A308439">
            <w:pPr>
              <w:jc w:val="right"/>
            </w:pPr>
            <w:r w:rsidRPr="00371D1D">
              <w:t>3</w:t>
            </w:r>
            <w:r w:rsidR="00A0510D">
              <w:t>24</w:t>
            </w:r>
          </w:p>
        </w:tc>
        <w:tc>
          <w:tcPr>
            <w:tcW w:w="1620" w:type="dxa"/>
            <w:tcBorders>
              <w:top w:val="single" w:sz="4" w:space="0" w:color="auto"/>
              <w:left w:val="single" w:sz="4" w:space="0" w:color="auto"/>
              <w:bottom w:val="single" w:sz="4" w:space="0" w:color="auto"/>
              <w:right w:val="single" w:sz="4" w:space="0" w:color="auto"/>
            </w:tcBorders>
            <w:vAlign w:val="bottom"/>
          </w:tcPr>
          <w:p w:rsidR="00154BFA" w:rsidRPr="00371D1D" w:rsidP="00CE2EC7" w14:paraId="29C11E19" w14:textId="1A7FF694">
            <w:pPr>
              <w:jc w:val="right"/>
            </w:pPr>
            <w:r>
              <w:t>342</w:t>
            </w:r>
          </w:p>
        </w:tc>
        <w:tc>
          <w:tcPr>
            <w:tcW w:w="1800" w:type="dxa"/>
            <w:tcBorders>
              <w:top w:val="single" w:sz="4" w:space="0" w:color="auto"/>
              <w:left w:val="single" w:sz="4" w:space="0" w:color="auto"/>
              <w:bottom w:val="single" w:sz="4" w:space="0" w:color="auto"/>
              <w:right w:val="single" w:sz="4" w:space="0" w:color="auto"/>
            </w:tcBorders>
            <w:vAlign w:val="bottom"/>
          </w:tcPr>
          <w:p w:rsidR="00154BFA" w:rsidRPr="00371D1D" w:rsidP="00CE2EC7" w14:paraId="70AC7614" w14:textId="7F34BD96">
            <w:pPr>
              <w:jc w:val="right"/>
            </w:pPr>
            <w:r>
              <w:t>-18</w:t>
            </w:r>
          </w:p>
        </w:tc>
        <w:tc>
          <w:tcPr>
            <w:tcW w:w="1800" w:type="dxa"/>
            <w:tcBorders>
              <w:top w:val="single" w:sz="4" w:space="0" w:color="auto"/>
              <w:left w:val="single" w:sz="4" w:space="0" w:color="auto"/>
              <w:bottom w:val="single" w:sz="4" w:space="0" w:color="auto"/>
              <w:right w:val="single" w:sz="4" w:space="0" w:color="auto"/>
            </w:tcBorders>
            <w:vAlign w:val="bottom"/>
          </w:tcPr>
          <w:p w:rsidR="00154BFA" w:rsidRPr="008A294C" w:rsidP="00CE2EC7" w14:paraId="233AC4AB" w14:textId="72122995">
            <w:pPr>
              <w:jc w:val="right"/>
            </w:pPr>
            <w:r>
              <w:t>0</w:t>
            </w:r>
          </w:p>
        </w:tc>
      </w:tr>
      <w:tr w14:paraId="52241AE8" w14:textId="77777777" w:rsidTr="00CE2EC7">
        <w:tblPrEx>
          <w:tblW w:w="9360" w:type="dxa"/>
          <w:tblInd w:w="18" w:type="dxa"/>
          <w:tblLook w:val="01E0"/>
        </w:tblPrEx>
        <w:trPr>
          <w:trHeight w:val="575"/>
        </w:trPr>
        <w:tc>
          <w:tcPr>
            <w:tcW w:w="2679" w:type="dxa"/>
            <w:tcBorders>
              <w:top w:val="single" w:sz="4" w:space="0" w:color="auto"/>
              <w:left w:val="single" w:sz="4" w:space="0" w:color="auto"/>
              <w:bottom w:val="single" w:sz="4" w:space="0" w:color="auto"/>
              <w:right w:val="single" w:sz="4" w:space="0" w:color="auto"/>
            </w:tcBorders>
            <w:hideMark/>
          </w:tcPr>
          <w:p w:rsidR="00154BFA" w:rsidRPr="008A294C" w:rsidP="00CE2EC7" w14:paraId="740B1E48" w14:textId="77777777">
            <w:pPr>
              <w:jc w:val="center"/>
            </w:pPr>
            <w:r w:rsidRPr="008A294C">
              <w:t>Annual Time Burden (Hr.)</w:t>
            </w:r>
          </w:p>
        </w:tc>
        <w:tc>
          <w:tcPr>
            <w:tcW w:w="1461" w:type="dxa"/>
            <w:tcBorders>
              <w:top w:val="single" w:sz="4" w:space="0" w:color="auto"/>
              <w:left w:val="single" w:sz="4" w:space="0" w:color="auto"/>
              <w:bottom w:val="single" w:sz="4" w:space="0" w:color="auto"/>
              <w:right w:val="single" w:sz="4" w:space="0" w:color="auto"/>
            </w:tcBorders>
            <w:vAlign w:val="bottom"/>
          </w:tcPr>
          <w:p w:rsidR="00154BFA" w:rsidRPr="00371D1D" w:rsidP="00FA20AA" w14:paraId="69959BD3" w14:textId="090EDBDC">
            <w:pPr>
              <w:jc w:val="right"/>
            </w:pPr>
            <w:r>
              <w:t>23,328</w:t>
            </w:r>
          </w:p>
        </w:tc>
        <w:tc>
          <w:tcPr>
            <w:tcW w:w="1620" w:type="dxa"/>
            <w:tcBorders>
              <w:top w:val="single" w:sz="4" w:space="0" w:color="auto"/>
              <w:left w:val="single" w:sz="4" w:space="0" w:color="auto"/>
              <w:bottom w:val="single" w:sz="4" w:space="0" w:color="auto"/>
              <w:right w:val="single" w:sz="4" w:space="0" w:color="auto"/>
            </w:tcBorders>
            <w:vAlign w:val="bottom"/>
          </w:tcPr>
          <w:p w:rsidR="00154BFA" w:rsidRPr="00371D1D" w:rsidP="00CE2EC7" w14:paraId="2B87EE9B" w14:textId="4F3AD192">
            <w:pPr>
              <w:jc w:val="right"/>
            </w:pPr>
            <w:r>
              <w:t>25,082</w:t>
            </w:r>
          </w:p>
        </w:tc>
        <w:tc>
          <w:tcPr>
            <w:tcW w:w="1800" w:type="dxa"/>
            <w:tcBorders>
              <w:top w:val="single" w:sz="4" w:space="0" w:color="auto"/>
              <w:left w:val="single" w:sz="4" w:space="0" w:color="auto"/>
              <w:bottom w:val="single" w:sz="4" w:space="0" w:color="auto"/>
              <w:right w:val="single" w:sz="4" w:space="0" w:color="auto"/>
            </w:tcBorders>
            <w:vAlign w:val="bottom"/>
          </w:tcPr>
          <w:p w:rsidR="00154BFA" w:rsidRPr="00371D1D" w:rsidP="00FA20AA" w14:paraId="18D97AF1" w14:textId="4C5FD5AF">
            <w:pPr>
              <w:jc w:val="right"/>
            </w:pPr>
            <w:r>
              <w:t>-1</w:t>
            </w:r>
            <w:r w:rsidR="004D1E46">
              <w:t>,</w:t>
            </w:r>
            <w:r w:rsidR="00A0510D">
              <w:t>754</w:t>
            </w:r>
          </w:p>
        </w:tc>
        <w:tc>
          <w:tcPr>
            <w:tcW w:w="1800" w:type="dxa"/>
            <w:tcBorders>
              <w:top w:val="single" w:sz="4" w:space="0" w:color="auto"/>
              <w:left w:val="single" w:sz="4" w:space="0" w:color="auto"/>
              <w:bottom w:val="single" w:sz="4" w:space="0" w:color="auto"/>
              <w:right w:val="single" w:sz="4" w:space="0" w:color="auto"/>
            </w:tcBorders>
            <w:vAlign w:val="bottom"/>
          </w:tcPr>
          <w:p w:rsidR="00154BFA" w:rsidRPr="008A294C" w:rsidP="00CE2EC7" w14:paraId="6A4E1FBA" w14:textId="7B8737F3">
            <w:pPr>
              <w:jc w:val="right"/>
            </w:pPr>
            <w:r>
              <w:t>0</w:t>
            </w:r>
          </w:p>
        </w:tc>
      </w:tr>
      <w:tr w14:paraId="6AF67D5C" w14:textId="77777777" w:rsidTr="00CE2EC7">
        <w:tblPrEx>
          <w:tblW w:w="9360" w:type="dxa"/>
          <w:tblInd w:w="18" w:type="dxa"/>
          <w:tblLook w:val="01E0"/>
        </w:tblPrEx>
        <w:trPr>
          <w:trHeight w:val="295"/>
        </w:trPr>
        <w:tc>
          <w:tcPr>
            <w:tcW w:w="2679" w:type="dxa"/>
            <w:tcBorders>
              <w:top w:val="single" w:sz="4" w:space="0" w:color="auto"/>
              <w:left w:val="single" w:sz="4" w:space="0" w:color="auto"/>
              <w:bottom w:val="single" w:sz="4" w:space="0" w:color="auto"/>
              <w:right w:val="single" w:sz="4" w:space="0" w:color="auto"/>
            </w:tcBorders>
            <w:hideMark/>
          </w:tcPr>
          <w:p w:rsidR="00154BFA" w:rsidRPr="008A294C" w:rsidP="00CE2EC7" w14:paraId="4E29052E" w14:textId="77777777">
            <w:pPr>
              <w:jc w:val="center"/>
            </w:pPr>
            <w:r w:rsidRPr="008A294C">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rsidR="00154BFA" w:rsidRPr="00371D1D" w:rsidP="00CE2EC7" w14:paraId="16B899D1" w14:textId="1C89B6A4">
            <w:pPr>
              <w:jc w:val="right"/>
            </w:pPr>
            <w:r w:rsidRPr="00371D1D">
              <w:t>$2,</w:t>
            </w:r>
            <w:r w:rsidR="00A0510D">
              <w:t>472</w:t>
            </w:r>
          </w:p>
        </w:tc>
        <w:tc>
          <w:tcPr>
            <w:tcW w:w="1620" w:type="dxa"/>
            <w:tcBorders>
              <w:top w:val="single" w:sz="4" w:space="0" w:color="auto"/>
              <w:left w:val="single" w:sz="4" w:space="0" w:color="auto"/>
              <w:bottom w:val="single" w:sz="4" w:space="0" w:color="auto"/>
              <w:right w:val="single" w:sz="4" w:space="0" w:color="auto"/>
            </w:tcBorders>
            <w:vAlign w:val="bottom"/>
          </w:tcPr>
          <w:p w:rsidR="00154BFA" w:rsidRPr="00371D1D" w:rsidP="00CE2EC7" w14:paraId="42F1B42D" w14:textId="4EACC155">
            <w:pPr>
              <w:jc w:val="right"/>
            </w:pPr>
            <w:r w:rsidRPr="00371D1D">
              <w:t>$2,</w:t>
            </w:r>
            <w:r w:rsidR="00A0510D">
              <w:t>608</w:t>
            </w:r>
          </w:p>
        </w:tc>
        <w:tc>
          <w:tcPr>
            <w:tcW w:w="1800" w:type="dxa"/>
            <w:tcBorders>
              <w:top w:val="single" w:sz="4" w:space="0" w:color="auto"/>
              <w:left w:val="single" w:sz="4" w:space="0" w:color="auto"/>
              <w:bottom w:val="single" w:sz="4" w:space="0" w:color="auto"/>
              <w:right w:val="single" w:sz="4" w:space="0" w:color="auto"/>
            </w:tcBorders>
            <w:vAlign w:val="bottom"/>
          </w:tcPr>
          <w:p w:rsidR="00154BFA" w:rsidRPr="00371D1D" w:rsidP="00CE2EC7" w14:paraId="4D9A069A" w14:textId="54DBCFC9">
            <w:pPr>
              <w:jc w:val="right"/>
            </w:pPr>
            <w:r>
              <w:t>-136</w:t>
            </w:r>
          </w:p>
        </w:tc>
        <w:tc>
          <w:tcPr>
            <w:tcW w:w="1800" w:type="dxa"/>
            <w:tcBorders>
              <w:top w:val="single" w:sz="4" w:space="0" w:color="auto"/>
              <w:left w:val="single" w:sz="4" w:space="0" w:color="auto"/>
              <w:bottom w:val="single" w:sz="4" w:space="0" w:color="auto"/>
              <w:right w:val="single" w:sz="4" w:space="0" w:color="auto"/>
            </w:tcBorders>
            <w:vAlign w:val="bottom"/>
          </w:tcPr>
          <w:p w:rsidR="00154BFA" w:rsidRPr="00105D59" w:rsidP="00CE2EC7" w14:paraId="28FC1D23" w14:textId="77777777">
            <w:pPr>
              <w:jc w:val="right"/>
            </w:pPr>
            <w:r w:rsidRPr="00105D59">
              <w:t>0</w:t>
            </w:r>
          </w:p>
        </w:tc>
      </w:tr>
    </w:tbl>
    <w:p w:rsidR="00FC611E" w14:paraId="70CC2164" w14:textId="77777777">
      <w:pPr>
        <w:widowControl/>
        <w:tabs>
          <w:tab w:val="left" w:pos="-1440"/>
        </w:tabs>
        <w:ind w:left="1440" w:hanging="720"/>
        <w:rPr>
          <w:sz w:val="26"/>
          <w:szCs w:val="26"/>
        </w:rPr>
      </w:pPr>
    </w:p>
    <w:p w:rsidR="002652E7" w:rsidP="007F3406" w14:paraId="6229EC0B" w14:textId="77777777">
      <w:pPr>
        <w:widowControl/>
        <w:tabs>
          <w:tab w:val="left" w:pos="-1440"/>
        </w:tabs>
        <w:ind w:left="720" w:hanging="720"/>
        <w:rPr>
          <w:b/>
          <w:bCs/>
          <w:sz w:val="26"/>
          <w:szCs w:val="26"/>
        </w:rPr>
      </w:pPr>
      <w:r>
        <w:rPr>
          <w:sz w:val="26"/>
          <w:szCs w:val="26"/>
        </w:rPr>
        <w:t>16.</w:t>
      </w:r>
      <w:r>
        <w:rPr>
          <w:sz w:val="26"/>
          <w:szCs w:val="26"/>
        </w:rPr>
        <w:tab/>
      </w:r>
      <w:r>
        <w:rPr>
          <w:b/>
          <w:bCs/>
          <w:sz w:val="26"/>
          <w:szCs w:val="26"/>
        </w:rPr>
        <w:t>TIME SCHEDULE FOR THE PUBLICATION OF DATA</w:t>
      </w:r>
    </w:p>
    <w:p w:rsidR="002652E7" w14:paraId="7D513F6E" w14:textId="77777777">
      <w:pPr>
        <w:widowControl/>
        <w:rPr>
          <w:b/>
          <w:bCs/>
          <w:sz w:val="26"/>
          <w:szCs w:val="26"/>
        </w:rPr>
      </w:pPr>
    </w:p>
    <w:p w:rsidR="002652E7" w:rsidRPr="009F68C7" w:rsidP="003D7AA6" w14:paraId="30FB4C35" w14:textId="77777777">
      <w:pPr>
        <w:pStyle w:val="LegalFormat"/>
        <w:numPr>
          <w:ilvl w:val="0"/>
          <w:numId w:val="0"/>
        </w:numPr>
        <w:spacing w:line="240" w:lineRule="auto"/>
        <w:rPr>
          <w:szCs w:val="26"/>
          <w:u w:val="none"/>
        </w:rPr>
      </w:pPr>
      <w:r>
        <w:rPr>
          <w:szCs w:val="26"/>
          <w:u w:val="none"/>
        </w:rPr>
        <w:t xml:space="preserve">There </w:t>
      </w:r>
      <w:r w:rsidR="00CA02F2">
        <w:rPr>
          <w:szCs w:val="26"/>
          <w:u w:val="none"/>
        </w:rPr>
        <w:t xml:space="preserve">are </w:t>
      </w:r>
      <w:r>
        <w:rPr>
          <w:szCs w:val="26"/>
          <w:u w:val="none"/>
        </w:rPr>
        <w:t xml:space="preserve">no data published </w:t>
      </w:r>
      <w:r>
        <w:rPr>
          <w:szCs w:val="26"/>
          <w:u w:val="none"/>
        </w:rPr>
        <w:t>as a result of</w:t>
      </w:r>
      <w:r>
        <w:rPr>
          <w:szCs w:val="26"/>
          <w:u w:val="none"/>
        </w:rPr>
        <w:t xml:space="preserve"> this collection.</w:t>
      </w:r>
    </w:p>
    <w:p w:rsidR="002652E7" w14:paraId="33A760CD" w14:textId="77777777">
      <w:pPr>
        <w:widowControl/>
        <w:rPr>
          <w:sz w:val="26"/>
          <w:szCs w:val="26"/>
        </w:rPr>
      </w:pPr>
    </w:p>
    <w:p w:rsidR="002652E7" w:rsidP="007F3406" w14:paraId="37396041" w14:textId="77777777">
      <w:pPr>
        <w:widowControl/>
        <w:tabs>
          <w:tab w:val="left" w:pos="-1440"/>
        </w:tabs>
        <w:ind w:left="720" w:hanging="720"/>
        <w:rPr>
          <w:b/>
          <w:bCs/>
          <w:sz w:val="26"/>
          <w:szCs w:val="26"/>
        </w:rPr>
      </w:pPr>
      <w:r>
        <w:rPr>
          <w:sz w:val="26"/>
          <w:szCs w:val="26"/>
        </w:rPr>
        <w:t>17.</w:t>
      </w:r>
      <w:r>
        <w:rPr>
          <w:sz w:val="26"/>
          <w:szCs w:val="26"/>
        </w:rPr>
        <w:tab/>
      </w:r>
      <w:r>
        <w:rPr>
          <w:b/>
          <w:bCs/>
          <w:sz w:val="26"/>
          <w:szCs w:val="26"/>
        </w:rPr>
        <w:t>DISPLAY OF THE EXPIRATION DATE</w:t>
      </w:r>
    </w:p>
    <w:p w:rsidR="0033670B" w:rsidRPr="005532F9" w:rsidP="00F67270" w14:paraId="5FECCF28" w14:textId="360F19AF">
      <w:pPr>
        <w:widowControl/>
        <w:rPr>
          <w:sz w:val="26"/>
          <w:szCs w:val="26"/>
        </w:rPr>
      </w:pPr>
      <w:r w:rsidRPr="00CA02F2">
        <w:rPr>
          <w:sz w:val="26"/>
          <w:szCs w:val="26"/>
        </w:rPr>
        <w:t xml:space="preserve">The expiration date is displayed in a table posted on ferc.gov at </w:t>
      </w:r>
      <w:hyperlink r:id="rId10" w:history="1">
        <w:r w:rsidRPr="0033670B">
          <w:rPr>
            <w:rStyle w:val="Hyperlink"/>
            <w:sz w:val="26"/>
            <w:szCs w:val="26"/>
          </w:rPr>
          <w:t>Information Collections | Federal Energy Regulatory Commission (ferc.gov)</w:t>
        </w:r>
      </w:hyperlink>
      <w:r w:rsidR="005B4F6C">
        <w:rPr>
          <w:sz w:val="26"/>
          <w:szCs w:val="26"/>
        </w:rPr>
        <w:t xml:space="preserve"> </w:t>
      </w:r>
      <w:r w:rsidR="005B4F6C">
        <w:rPr>
          <w:sz w:val="26"/>
          <w:szCs w:val="26"/>
        </w:rPr>
        <w:t xml:space="preserve">or  </w:t>
      </w:r>
      <w:r w:rsidRPr="005B4F6C" w:rsidR="005B4F6C">
        <w:rPr>
          <w:sz w:val="26"/>
          <w:szCs w:val="26"/>
        </w:rPr>
        <w:t>https://www.ferc.gov/information-collections</w:t>
      </w:r>
      <w:r>
        <w:rPr>
          <w:sz w:val="26"/>
          <w:szCs w:val="26"/>
        </w:rPr>
        <w:t>.</w:t>
      </w:r>
    </w:p>
    <w:p w:rsidR="00F67270" w:rsidP="00F67270" w14:paraId="07F611F2" w14:textId="77777777">
      <w:pPr>
        <w:widowControl/>
        <w:rPr>
          <w:sz w:val="26"/>
          <w:szCs w:val="26"/>
        </w:rPr>
      </w:pPr>
    </w:p>
    <w:p w:rsidR="002652E7" w:rsidP="007F3406" w14:paraId="07CE1216" w14:textId="77777777">
      <w:pPr>
        <w:widowControl/>
        <w:ind w:left="720" w:hanging="720"/>
        <w:rPr>
          <w:b/>
          <w:bCs/>
          <w:sz w:val="26"/>
          <w:szCs w:val="26"/>
        </w:rPr>
      </w:pPr>
      <w:r>
        <w:rPr>
          <w:sz w:val="26"/>
          <w:szCs w:val="26"/>
        </w:rPr>
        <w:t xml:space="preserve">18.  </w:t>
      </w:r>
      <w:r>
        <w:rPr>
          <w:b/>
          <w:bCs/>
          <w:sz w:val="26"/>
          <w:szCs w:val="26"/>
        </w:rPr>
        <w:t>EXCEPTIONS TO THE CERTIFICATION STATEMENT</w:t>
      </w:r>
    </w:p>
    <w:p w:rsidR="002652E7" w14:paraId="07988C9E" w14:textId="77777777">
      <w:pPr>
        <w:widowControl/>
        <w:rPr>
          <w:b/>
          <w:bCs/>
          <w:sz w:val="26"/>
          <w:szCs w:val="26"/>
        </w:rPr>
      </w:pPr>
    </w:p>
    <w:p w:rsidR="001D0168" w:rsidP="003D7AA6" w14:paraId="02574CD7" w14:textId="4592BCD9">
      <w:pPr>
        <w:widowControl/>
        <w:rPr>
          <w:sz w:val="26"/>
          <w:szCs w:val="26"/>
        </w:rPr>
      </w:pPr>
      <w:r>
        <w:rPr>
          <w:sz w:val="26"/>
          <w:szCs w:val="26"/>
        </w:rPr>
        <w:t>There are no exceptions.</w:t>
      </w:r>
    </w:p>
    <w:p w:rsidR="002652E7" w14:paraId="6A2B7380" w14:textId="77777777">
      <w:pPr>
        <w:widowControl/>
        <w:rPr>
          <w:sz w:val="26"/>
          <w:szCs w:val="26"/>
        </w:rPr>
      </w:pPr>
    </w:p>
    <w:sectPr w:rsidSect="00FD331A">
      <w:headerReference w:type="default" r:id="rId11"/>
      <w:footerReference w:type="even" r:id="rId12"/>
      <w:footerReference w:type="default" r:id="rId13"/>
      <w:type w:val="continuous"/>
      <w:pgSz w:w="12240" w:h="15840"/>
      <w:pgMar w:top="990" w:right="1080" w:bottom="936" w:left="1080" w:header="990" w:footer="93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EC7" w:rsidP="0050727A" w14:paraId="1FDF9FA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CE2EC7" w:rsidP="004C5162" w14:paraId="60FC784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EC7" w:rsidP="0050727A" w14:paraId="7C313D0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2EC7" w:rsidP="004C5162" w14:paraId="07FF382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4435" w14:paraId="6FBA9EBC" w14:textId="77777777">
      <w:r>
        <w:separator/>
      </w:r>
    </w:p>
  </w:footnote>
  <w:footnote w:type="continuationSeparator" w:id="1">
    <w:p w:rsidR="00374435" w14:paraId="73765C1C" w14:textId="77777777">
      <w:r>
        <w:continuationSeparator/>
      </w:r>
    </w:p>
  </w:footnote>
  <w:footnote w:type="continuationNotice" w:id="2">
    <w:p w:rsidR="00111E88" w14:paraId="331C0A1E" w14:textId="77777777"/>
  </w:footnote>
  <w:footnote w:id="3">
    <w:p w:rsidR="00CE2EC7" w:rsidRPr="0034350E" w:rsidP="0034350E" w14:paraId="77743B17" w14:textId="77777777">
      <w:pPr>
        <w:pStyle w:val="FootnoteText"/>
        <w:rPr>
          <w:sz w:val="26"/>
          <w:szCs w:val="26"/>
        </w:rPr>
      </w:pPr>
      <w:r w:rsidRPr="0034350E">
        <w:rPr>
          <w:rStyle w:val="FootnoteReference"/>
          <w:sz w:val="26"/>
          <w:szCs w:val="26"/>
          <w:vertAlign w:val="superscript"/>
        </w:rPr>
        <w:footnoteRef/>
      </w:r>
      <w:r w:rsidRPr="0034350E">
        <w:rPr>
          <w:sz w:val="26"/>
          <w:szCs w:val="26"/>
          <w:vertAlign w:val="superscript"/>
        </w:rPr>
        <w:t xml:space="preserve"> </w:t>
      </w:r>
      <w:r w:rsidRPr="0034350E">
        <w:rPr>
          <w:sz w:val="26"/>
          <w:szCs w:val="26"/>
        </w:rPr>
        <w:t xml:space="preserve">Reliability Standard NUC-001-4 was approved petition and exhibits are posted in the Commission’s eLibrary system in Docket No. RD20-4-000 </w:t>
      </w:r>
      <w:hyperlink r:id="rId1" w:history="1">
        <w:r w:rsidRPr="0034350E">
          <w:rPr>
            <w:rStyle w:val="Hyperlink"/>
            <w:sz w:val="26"/>
            <w:szCs w:val="26"/>
          </w:rPr>
          <w:t>(Standards Alignment with Registration Petition)</w:t>
        </w:r>
      </w:hyperlink>
      <w:r w:rsidRPr="0034350E">
        <w:rPr>
          <w:sz w:val="26"/>
          <w:szCs w:val="26"/>
        </w:rPr>
        <w:t>.</w:t>
      </w:r>
    </w:p>
    <w:p w:rsidR="00CE2EC7" w:rsidRPr="006E2526" w14:paraId="735D111A" w14:textId="410BDDF6">
      <w:pPr>
        <w:pStyle w:val="FootnoteText"/>
        <w:rPr>
          <w:sz w:val="26"/>
          <w:szCs w:val="26"/>
        </w:rPr>
      </w:pPr>
      <w:hyperlink r:id="rId2" w:history="1">
        <w:r w:rsidRPr="00A97267">
          <w:rPr>
            <w:rStyle w:val="Hyperlink"/>
            <w:sz w:val="26"/>
            <w:szCs w:val="26"/>
          </w:rPr>
          <w:t>http://www.nerc.com/pa/Stand/Reliability%20Standards/NUC-001-4.pdf</w:t>
        </w:r>
      </w:hyperlink>
      <w:r w:rsidRPr="006E2526">
        <w:rPr>
          <w:sz w:val="26"/>
          <w:szCs w:val="26"/>
        </w:rPr>
        <w:t xml:space="preserve"> .</w:t>
      </w:r>
    </w:p>
  </w:footnote>
  <w:footnote w:id="4">
    <w:p w:rsidR="00CE2EC7" w:rsidRPr="0070566E" w:rsidP="00B520A0" w14:paraId="4A542F34" w14:textId="77777777">
      <w:pPr>
        <w:pStyle w:val="FootnoteText"/>
        <w:rPr>
          <w:sz w:val="26"/>
          <w:szCs w:val="26"/>
        </w:rPr>
      </w:pPr>
      <w:r w:rsidRPr="0070566E">
        <w:rPr>
          <w:rStyle w:val="FootnoteReference"/>
          <w:sz w:val="26"/>
          <w:szCs w:val="26"/>
          <w:vertAlign w:val="superscript"/>
        </w:rPr>
        <w:footnoteRef/>
      </w:r>
      <w:r w:rsidRPr="0070566E">
        <w:rPr>
          <w:sz w:val="26"/>
          <w:szCs w:val="26"/>
        </w:rPr>
        <w:t xml:space="preserve"> On January 1, 2007, NERC became the North American Electric Reliability Corporation and continues to use the same acronym.</w:t>
      </w:r>
    </w:p>
  </w:footnote>
  <w:footnote w:id="5">
    <w:p w:rsidR="00CE2EC7" w:rsidRPr="0070566E" w:rsidP="00511A5D" w14:paraId="1AA3BFC0" w14:textId="77777777">
      <w:pPr>
        <w:pStyle w:val="FootnoteText"/>
        <w:rPr>
          <w:sz w:val="26"/>
          <w:szCs w:val="26"/>
        </w:rPr>
      </w:pPr>
      <w:r w:rsidRPr="0070566E">
        <w:rPr>
          <w:rStyle w:val="FootnoteReference"/>
          <w:sz w:val="26"/>
          <w:szCs w:val="26"/>
          <w:vertAlign w:val="superscript"/>
        </w:rPr>
        <w:footnoteRef/>
      </w:r>
      <w:r w:rsidRPr="0070566E">
        <w:rPr>
          <w:sz w:val="26"/>
          <w:szCs w:val="26"/>
        </w:rPr>
        <w:t xml:space="preserve"> Energy Policy Act of 2005, Pub. L. No. 109-58, Title XII, Subtitle A, 119 Stat. 594, 941 (2005), 16 U.S.C. 824o.</w:t>
      </w:r>
    </w:p>
  </w:footnote>
  <w:footnote w:id="6">
    <w:p w:rsidR="00CE2EC7" w:rsidRPr="0070566E" w:rsidP="00511A5D" w14:paraId="16FFE4C5" w14:textId="77777777">
      <w:pPr>
        <w:pStyle w:val="FootnoteText"/>
        <w:rPr>
          <w:sz w:val="26"/>
          <w:szCs w:val="26"/>
        </w:rPr>
      </w:pPr>
      <w:r w:rsidRPr="0070566E">
        <w:rPr>
          <w:rStyle w:val="FootnoteReference"/>
          <w:sz w:val="26"/>
          <w:szCs w:val="26"/>
          <w:vertAlign w:val="superscript"/>
        </w:rPr>
        <w:footnoteRef/>
      </w:r>
      <w:r w:rsidRPr="0070566E">
        <w:rPr>
          <w:sz w:val="26"/>
          <w:szCs w:val="26"/>
          <w:vertAlign w:val="superscript"/>
        </w:rPr>
        <w:t xml:space="preserve"> </w:t>
      </w:r>
      <w:r w:rsidRPr="0070566E">
        <w:rPr>
          <w:sz w:val="26"/>
          <w:szCs w:val="26"/>
        </w:rPr>
        <w:t>16 U.S.C. 824o(e)(3).</w:t>
      </w:r>
    </w:p>
  </w:footnote>
  <w:footnote w:id="7">
    <w:p w:rsidR="00CE2EC7" w:rsidRPr="003A2E89" w:rsidP="00B520A0" w14:paraId="71F81FFF" w14:textId="4C9476F7">
      <w:pPr>
        <w:pStyle w:val="FootnoteText"/>
        <w:rPr>
          <w:sz w:val="26"/>
          <w:szCs w:val="26"/>
        </w:rPr>
      </w:pPr>
      <w:r w:rsidRPr="0070566E">
        <w:rPr>
          <w:rStyle w:val="FootnoteReference"/>
          <w:sz w:val="26"/>
          <w:szCs w:val="26"/>
          <w:vertAlign w:val="superscript"/>
        </w:rPr>
        <w:footnoteRef/>
      </w:r>
      <w:r w:rsidRPr="0070566E">
        <w:rPr>
          <w:sz w:val="26"/>
          <w:szCs w:val="26"/>
        </w:rPr>
        <w:t xml:space="preserve"> </w:t>
      </w:r>
      <w:r w:rsidRPr="0070566E">
        <w:rPr>
          <w:sz w:val="26"/>
          <w:szCs w:val="26"/>
          <w:u w:val="single"/>
        </w:rPr>
        <w:t xml:space="preserve">Rules Concerning Certification of the Electric Reliability Organization; Procedures for the </w:t>
      </w:r>
      <w:r w:rsidRPr="003A2E89">
        <w:rPr>
          <w:sz w:val="26"/>
          <w:szCs w:val="26"/>
          <w:u w:val="single"/>
        </w:rPr>
        <w:t>Establishment, Approval and Enforcement of Electric Reliability Standards</w:t>
      </w:r>
      <w:r w:rsidRPr="003A2E89">
        <w:rPr>
          <w:sz w:val="26"/>
          <w:szCs w:val="26"/>
        </w:rPr>
        <w:t xml:space="preserve">, Order No. 672, 71 FR 8662 (Feb. 17, 2006), FERC Stats. &amp; Regs.  31,204 (2006), </w:t>
      </w:r>
      <w:r w:rsidRPr="003A2E89">
        <w:rPr>
          <w:sz w:val="26"/>
          <w:szCs w:val="26"/>
          <w:u w:val="single"/>
        </w:rPr>
        <w:t>order on reh’g</w:t>
      </w:r>
      <w:r w:rsidRPr="003A2E89">
        <w:rPr>
          <w:sz w:val="26"/>
          <w:szCs w:val="26"/>
        </w:rPr>
        <w:t>, Order No. 672-A, 71 FR 19814 (Apr. 18, 2006), FERC Stats. &amp; Regs.  31,212 (2006).</w:t>
      </w:r>
    </w:p>
  </w:footnote>
  <w:footnote w:id="8">
    <w:p w:rsidR="00CE2EC7" w:rsidRPr="0070566E" w:rsidP="00B520A0" w14:paraId="56F06FF3" w14:textId="300E5655">
      <w:pPr>
        <w:rPr>
          <w:color w:val="000080"/>
          <w:sz w:val="26"/>
          <w:szCs w:val="26"/>
        </w:rPr>
      </w:pPr>
      <w:r>
        <w:rPr>
          <w:sz w:val="26"/>
          <w:szCs w:val="26"/>
          <w:u w:val="single"/>
          <w:vertAlign w:val="superscript"/>
        </w:rPr>
        <w:t>7</w:t>
      </w:r>
      <w:r w:rsidRPr="003A2E89">
        <w:rPr>
          <w:sz w:val="26"/>
          <w:szCs w:val="26"/>
          <w:u w:val="single"/>
        </w:rPr>
        <w:t xml:space="preserve"> North American Electric Reliability Corp.</w:t>
      </w:r>
      <w:r w:rsidRPr="003A2E89">
        <w:rPr>
          <w:sz w:val="26"/>
          <w:szCs w:val="26"/>
        </w:rPr>
        <w:t xml:space="preserve">, 116 </w:t>
      </w:r>
      <w:r w:rsidRPr="003A2E89">
        <w:rPr>
          <w:sz w:val="26"/>
          <w:szCs w:val="26"/>
        </w:rPr>
        <w:t>FERC  61,062</w:t>
      </w:r>
      <w:r w:rsidRPr="003A2E89">
        <w:rPr>
          <w:sz w:val="26"/>
          <w:szCs w:val="26"/>
        </w:rPr>
        <w:t xml:space="preserve"> (ERO Certification Order), </w:t>
      </w:r>
      <w:r w:rsidRPr="006120A9">
        <w:rPr>
          <w:sz w:val="26"/>
          <w:szCs w:val="26"/>
          <w:u w:val="single"/>
        </w:rPr>
        <w:t>order on reh’g &amp; compliance</w:t>
      </w:r>
      <w:r w:rsidRPr="006120A9">
        <w:rPr>
          <w:sz w:val="26"/>
          <w:szCs w:val="26"/>
        </w:rPr>
        <w:t xml:space="preserve">, 117 FERC </w:t>
      </w:r>
      <w:r w:rsidRPr="008A294C">
        <w:rPr>
          <w:sz w:val="26"/>
          <w:szCs w:val="26"/>
        </w:rPr>
        <w:t xml:space="preserve"> 61,126 (ERO Rehearing Order) (2006), </w:t>
      </w:r>
      <w:r w:rsidRPr="008A294C">
        <w:rPr>
          <w:sz w:val="26"/>
          <w:szCs w:val="26"/>
          <w:u w:val="single"/>
        </w:rPr>
        <w:t>order on compliance</w:t>
      </w:r>
      <w:r w:rsidRPr="008A294C">
        <w:rPr>
          <w:sz w:val="26"/>
          <w:szCs w:val="26"/>
        </w:rPr>
        <w:t xml:space="preserve">, 118 FERC  61,030 (2007) (Jan. 2007 Compliance Order), </w:t>
      </w:r>
      <w:r w:rsidRPr="008A294C">
        <w:rPr>
          <w:sz w:val="26"/>
          <w:szCs w:val="26"/>
          <w:u w:val="single"/>
        </w:rPr>
        <w:t>appeal docket sub nom</w:t>
      </w:r>
      <w:r w:rsidRPr="008A294C">
        <w:rPr>
          <w:sz w:val="26"/>
          <w:szCs w:val="26"/>
        </w:rPr>
        <w:t xml:space="preserve">. </w:t>
      </w:r>
      <w:r w:rsidRPr="008A294C">
        <w:rPr>
          <w:sz w:val="26"/>
          <w:szCs w:val="26"/>
          <w:u w:val="single"/>
        </w:rPr>
        <w:t>Alcoa,</w:t>
      </w:r>
      <w:r w:rsidRPr="0070566E">
        <w:rPr>
          <w:sz w:val="26"/>
          <w:szCs w:val="26"/>
          <w:u w:val="single"/>
        </w:rPr>
        <w:t xml:space="preserve"> Inc. v. FERC</w:t>
      </w:r>
      <w:r w:rsidRPr="0070566E">
        <w:rPr>
          <w:sz w:val="26"/>
          <w:szCs w:val="26"/>
        </w:rPr>
        <w:t>, No. 06-1426 (D.C. Cir. Dec. 29, 2006).</w:t>
      </w:r>
    </w:p>
  </w:footnote>
  <w:footnote w:id="9">
    <w:p w:rsidR="00CE2EC7" w:rsidRPr="0070566E" w:rsidP="00B520A0" w14:paraId="61038FEC" w14:textId="77777777">
      <w:pPr>
        <w:pStyle w:val="FootnoteText"/>
        <w:rPr>
          <w:sz w:val="26"/>
          <w:szCs w:val="26"/>
        </w:rPr>
      </w:pPr>
      <w:r w:rsidRPr="0070566E">
        <w:rPr>
          <w:rStyle w:val="FootnoteReference"/>
          <w:sz w:val="26"/>
          <w:szCs w:val="26"/>
          <w:vertAlign w:val="superscript"/>
        </w:rPr>
        <w:footnoteRef/>
      </w:r>
      <w:r w:rsidRPr="0070566E">
        <w:rPr>
          <w:sz w:val="26"/>
          <w:szCs w:val="26"/>
          <w:vertAlign w:val="superscript"/>
        </w:rPr>
        <w:t xml:space="preserve"> </w:t>
      </w:r>
      <w:r w:rsidRPr="0070566E">
        <w:rPr>
          <w:sz w:val="26"/>
          <w:szCs w:val="26"/>
        </w:rPr>
        <w:t>16 U.S.C.824o as implemented in 18 CFR 39.5(c)(1).</w:t>
      </w:r>
    </w:p>
  </w:footnote>
  <w:footnote w:id="10">
    <w:p w:rsidR="00CE2EC7" w:rsidP="00B520A0" w14:paraId="60B537FC" w14:textId="77777777">
      <w:pPr>
        <w:pStyle w:val="FootnoteText"/>
      </w:pPr>
      <w:r w:rsidRPr="0070566E">
        <w:rPr>
          <w:rStyle w:val="FootnoteReference"/>
          <w:sz w:val="26"/>
          <w:szCs w:val="26"/>
          <w:vertAlign w:val="superscript"/>
        </w:rPr>
        <w:footnoteRef/>
      </w:r>
      <w:r w:rsidRPr="0070566E">
        <w:rPr>
          <w:sz w:val="26"/>
          <w:szCs w:val="26"/>
        </w:rPr>
        <w:t xml:space="preserve"> Section 215(d)(5) of the FPA.</w:t>
      </w:r>
    </w:p>
  </w:footnote>
  <w:footnote w:id="11">
    <w:p w:rsidR="00CE2EC7" w:rsidP="007A43AC" w14:paraId="50A69AD7" w14:textId="77777777">
      <w:pPr>
        <w:pStyle w:val="FootnoteText"/>
        <w:ind w:firstLine="720"/>
        <w:rPr>
          <w:sz w:val="26"/>
          <w:szCs w:val="26"/>
        </w:rPr>
      </w:pPr>
      <w:r w:rsidRPr="004F4CD7">
        <w:rPr>
          <w:rStyle w:val="FootnoteReference"/>
        </w:rPr>
        <w:footnoteRef/>
      </w:r>
      <w:r w:rsidRPr="004F4CD7">
        <w:rPr>
          <w:sz w:val="26"/>
          <w:szCs w:val="26"/>
        </w:rPr>
        <w:t xml:space="preserve"> The petition and exhibits are posted in the Commission’s eLibrary system in Docket No. RD</w:t>
      </w:r>
      <w:r>
        <w:rPr>
          <w:sz w:val="26"/>
          <w:szCs w:val="26"/>
        </w:rPr>
        <w:t>20</w:t>
      </w:r>
      <w:r w:rsidRPr="004F4CD7">
        <w:rPr>
          <w:sz w:val="26"/>
          <w:szCs w:val="26"/>
        </w:rPr>
        <w:t>-</w:t>
      </w:r>
      <w:r>
        <w:rPr>
          <w:sz w:val="26"/>
          <w:szCs w:val="26"/>
        </w:rPr>
        <w:t>4</w:t>
      </w:r>
      <w:r w:rsidRPr="004F4CD7">
        <w:rPr>
          <w:sz w:val="26"/>
          <w:szCs w:val="26"/>
        </w:rPr>
        <w:t xml:space="preserve">-000 </w:t>
      </w:r>
      <w:hyperlink r:id="rId1" w:history="1">
        <w:r w:rsidRPr="004F4CD7">
          <w:rPr>
            <w:rStyle w:val="Hyperlink"/>
            <w:sz w:val="26"/>
            <w:szCs w:val="26"/>
          </w:rPr>
          <w:t>(</w:t>
        </w:r>
        <w:r>
          <w:rPr>
            <w:rStyle w:val="Hyperlink"/>
            <w:sz w:val="26"/>
            <w:szCs w:val="26"/>
          </w:rPr>
          <w:t>Standards Alignment with Registration</w:t>
        </w:r>
        <w:r w:rsidRPr="004F4CD7">
          <w:rPr>
            <w:rStyle w:val="Hyperlink"/>
            <w:sz w:val="26"/>
            <w:szCs w:val="26"/>
          </w:rPr>
          <w:t xml:space="preserve"> Petition)</w:t>
        </w:r>
      </w:hyperlink>
      <w:r w:rsidRPr="004F4CD7">
        <w:rPr>
          <w:sz w:val="26"/>
          <w:szCs w:val="26"/>
        </w:rPr>
        <w:t>.</w:t>
      </w:r>
    </w:p>
    <w:p w:rsidR="00CE2EC7" w:rsidRPr="004F4CD7" w:rsidP="007A43AC" w14:paraId="228F0AFD" w14:textId="77777777">
      <w:pPr>
        <w:pStyle w:val="FootnoteText"/>
        <w:ind w:firstLine="720"/>
        <w:rPr>
          <w:sz w:val="26"/>
          <w:szCs w:val="26"/>
        </w:rPr>
      </w:pPr>
    </w:p>
  </w:footnote>
  <w:footnote w:id="12">
    <w:p w:rsidR="00CE2EC7" w:rsidRPr="00CA4087" w:rsidP="00CA4087" w14:paraId="7EB3CCC2" w14:textId="7D6209C7">
      <w:pPr>
        <w:pStyle w:val="FootnoteText"/>
        <w:rPr>
          <w:sz w:val="24"/>
          <w:szCs w:val="24"/>
        </w:rPr>
      </w:pPr>
      <w:r w:rsidRPr="007B173A">
        <w:rPr>
          <w:rStyle w:val="FootnoteReference"/>
          <w:sz w:val="26"/>
          <w:szCs w:val="26"/>
          <w:vertAlign w:val="superscript"/>
        </w:rPr>
        <w:footnoteRef/>
      </w:r>
      <w:r w:rsidRPr="007B173A">
        <w:rPr>
          <w:sz w:val="26"/>
          <w:szCs w:val="26"/>
          <w:vertAlign w:val="superscript"/>
        </w:rPr>
        <w:t xml:space="preserve"> </w:t>
      </w:r>
      <w:r w:rsidRPr="007B173A">
        <w:rPr>
          <w:sz w:val="26"/>
          <w:szCs w:val="26"/>
        </w:rPr>
        <w:t xml:space="preserve">In </w:t>
      </w:r>
      <w:r w:rsidRPr="007B173A">
        <w:rPr>
          <w:sz w:val="26"/>
          <w:szCs w:val="26"/>
        </w:rPr>
        <w:t>general</w:t>
      </w:r>
      <w:r w:rsidRPr="007B173A">
        <w:rPr>
          <w:sz w:val="26"/>
          <w:szCs w:val="26"/>
        </w:rPr>
        <w:t xml:space="preserve"> for Reliability Standards, small entities subject to a given Reliability Standard can reduce their burden by taking part in a joint registration organization or a coordinated function registration.  These options allow an entity to share its compliance burden with other similar entities. Detailed information regarding these options </w:t>
      </w:r>
      <w:r w:rsidRPr="007B173A">
        <w:rPr>
          <w:sz w:val="26"/>
          <w:szCs w:val="26"/>
        </w:rPr>
        <w:t>are</w:t>
      </w:r>
      <w:r w:rsidRPr="007B173A">
        <w:rPr>
          <w:sz w:val="26"/>
          <w:szCs w:val="26"/>
        </w:rPr>
        <w:t xml:space="preserve"> available in NERC’s Rules of Procedure at </w:t>
      </w:r>
      <w:hyperlink r:id="rId3" w:history="1">
        <w:r w:rsidRPr="00347B0C">
          <w:rPr>
            <w:rStyle w:val="Hyperlink"/>
            <w:sz w:val="26"/>
            <w:szCs w:val="26"/>
          </w:rPr>
          <w:t>http://www.nerc.com/aboutnerc/pages/rules-of-procedure.aspx</w:t>
        </w:r>
      </w:hyperlink>
      <w:r>
        <w:rPr>
          <w:sz w:val="26"/>
          <w:szCs w:val="26"/>
        </w:rPr>
        <w:t xml:space="preserve"> .</w:t>
      </w:r>
      <w:r w:rsidRPr="00CA4087">
        <w:rPr>
          <w:sz w:val="24"/>
          <w:szCs w:val="24"/>
        </w:rPr>
        <w:t xml:space="preserve">)   </w:t>
      </w:r>
    </w:p>
  </w:footnote>
  <w:footnote w:id="13">
    <w:p w:rsidR="00CE2EC7" w:rsidRPr="001E16B3" w:rsidP="00A55850" w14:paraId="2D3CAA94" w14:textId="59FF83A1">
      <w:pPr>
        <w:pStyle w:val="FootnoteText"/>
        <w:rPr>
          <w:sz w:val="26"/>
          <w:szCs w:val="26"/>
        </w:rPr>
      </w:pPr>
      <w:r w:rsidRPr="00595AE9">
        <w:rPr>
          <w:rStyle w:val="FootnoteReference"/>
          <w:bCs/>
          <w:sz w:val="26"/>
          <w:szCs w:val="26"/>
          <w:vertAlign w:val="superscript"/>
        </w:rPr>
        <w:footnoteRef/>
      </w:r>
      <w:r w:rsidRPr="00595AE9">
        <w:rPr>
          <w:bCs/>
          <w:sz w:val="26"/>
          <w:szCs w:val="26"/>
        </w:rPr>
        <w:t xml:space="preserve"> </w:t>
      </w:r>
      <w:r w:rsidRPr="001E16B3">
        <w:rPr>
          <w:sz w:val="26"/>
          <w:szCs w:val="26"/>
        </w:rPr>
        <w:t>Section 1502, Paragraph 2</w:t>
      </w:r>
      <w:r>
        <w:rPr>
          <w:sz w:val="26"/>
          <w:szCs w:val="26"/>
        </w:rPr>
        <w:t>, Confidentiality</w:t>
      </w:r>
      <w:r w:rsidRPr="001E16B3">
        <w:rPr>
          <w:sz w:val="26"/>
          <w:szCs w:val="26"/>
        </w:rPr>
        <w:t>, available at NERC’s website (</w:t>
      </w:r>
      <w:hyperlink r:id="rId4" w:history="1">
        <w:r w:rsidRPr="00E6522D">
          <w:rPr>
            <w:rStyle w:val="Hyperlink"/>
            <w:sz w:val="26"/>
            <w:szCs w:val="26"/>
          </w:rPr>
          <w:t>http://www.nerc.com/FilingsOrders/us/RuleOfProcedureDL/NERC_ROP_Effective_20160504.pdf</w:t>
        </w:r>
      </w:hyperlink>
      <w:r>
        <w:rPr>
          <w:sz w:val="26"/>
          <w:szCs w:val="26"/>
        </w:rPr>
        <w:t>)</w:t>
      </w:r>
    </w:p>
  </w:footnote>
  <w:footnote w:id="14">
    <w:p w:rsidR="007D64F3" w:rsidRPr="00B92393" w:rsidP="007D64F3" w14:paraId="7DD8906E" w14:textId="77777777">
      <w:pPr>
        <w:pStyle w:val="FootnoteText"/>
        <w:rPr>
          <w:sz w:val="26"/>
          <w:szCs w:val="26"/>
        </w:rPr>
      </w:pPr>
      <w:r w:rsidRPr="003E1657">
        <w:rPr>
          <w:rStyle w:val="FootnoteReference"/>
        </w:rPr>
        <w:footnoteRef/>
      </w:r>
      <w:r w:rsidRPr="003E1657">
        <w:rPr>
          <w:b/>
        </w:rPr>
        <w:t xml:space="preserve"> </w:t>
      </w:r>
      <w:r w:rsidRPr="00B92393">
        <w:rPr>
          <w:sz w:val="26"/>
          <w:szCs w:val="26"/>
        </w:rPr>
        <w:t xml:space="preserve">Burden is defined as the total time, effort, or financial resources expended by persons to generate, maintain, retain, or disclose or provide information to or for a </w:t>
      </w:r>
      <w:r w:rsidRPr="00B92393">
        <w:rPr>
          <w:sz w:val="26"/>
          <w:szCs w:val="26"/>
        </w:rPr>
        <w:t>Federal</w:t>
      </w:r>
      <w:r w:rsidRPr="00B92393">
        <w:rPr>
          <w:sz w:val="26"/>
          <w:szCs w:val="26"/>
        </w:rPr>
        <w:t xml:space="preserve"> agency.  Refer to 5 CFR 1320.3 for additional information.</w:t>
      </w:r>
    </w:p>
  </w:footnote>
  <w:footnote w:id="15">
    <w:p w:rsidR="007D64F3" w:rsidRPr="00B92393" w:rsidP="007D64F3" w14:paraId="7829CE7C" w14:textId="77777777">
      <w:pPr>
        <w:pStyle w:val="FootnoteText"/>
        <w:rPr>
          <w:sz w:val="26"/>
          <w:szCs w:val="26"/>
        </w:rPr>
      </w:pPr>
      <w:r w:rsidRPr="00B92393">
        <w:rPr>
          <w:rStyle w:val="FootnoteReference"/>
        </w:rPr>
        <w:footnoteRef/>
      </w:r>
      <w:r w:rsidRPr="00B92393">
        <w:rPr>
          <w:sz w:val="26"/>
          <w:szCs w:val="26"/>
        </w:rPr>
        <w:t xml:space="preserve"> The wage and benefit figures are based on the Bureau of Labor Statistics (BLS) data (at </w:t>
      </w:r>
      <w:hyperlink r:id="rId5" w:history="1">
        <w:r w:rsidRPr="00B92393">
          <w:rPr>
            <w:rStyle w:val="Hyperlink"/>
            <w:sz w:val="26"/>
            <w:szCs w:val="26"/>
          </w:rPr>
          <w:t>https://www.bls.gov/oes/current/naics2_22.htm</w:t>
        </w:r>
      </w:hyperlink>
      <w:r w:rsidRPr="00B92393">
        <w:rPr>
          <w:sz w:val="26"/>
          <w:szCs w:val="26"/>
        </w:rPr>
        <w:t xml:space="preserve">) for May 2023 for Sector 22, Utilities.  (The benefits figure is based on BLS data as of May 2023 </w:t>
      </w:r>
      <w:hyperlink r:id="rId6" w:history="1">
        <w:r w:rsidRPr="00B92393">
          <w:rPr>
            <w:rStyle w:val="Hyperlink"/>
            <w:sz w:val="26"/>
            <w:szCs w:val="26"/>
          </w:rPr>
          <w:t>http://www.bls.gov/news.release/ecec.nr0.htm</w:t>
        </w:r>
      </w:hyperlink>
      <w:r w:rsidRPr="00B92393">
        <w:rPr>
          <w:sz w:val="26"/>
          <w:szCs w:val="26"/>
        </w:rPr>
        <w:t xml:space="preserve">)  </w:t>
      </w:r>
    </w:p>
    <w:p w:rsidR="007D64F3" w:rsidRPr="00B92393" w:rsidP="007D64F3" w14:paraId="76E35511" w14:textId="77777777">
      <w:pPr>
        <w:pStyle w:val="FootnoteText"/>
        <w:rPr>
          <w:sz w:val="26"/>
          <w:szCs w:val="26"/>
        </w:rPr>
      </w:pPr>
      <w:r w:rsidRPr="00B92393">
        <w:rPr>
          <w:sz w:val="26"/>
          <w:szCs w:val="26"/>
        </w:rPr>
        <w:t>The estimated hourly cost (for wages plus benefits) for reporting requirements is $94.37/hour, based on the average for an electrical engineer (occupation code 17-2071, $77.29/hour), legal (occupation code 23-0000, $160.24/hour), and office and administrative staff (occupation code 43-0000, $45.59/hour).  The estimated cost isa combination of job functions with each covering one-third responsibility.  Estimated cost per hour = ($77.29 + $160.24 + $45.59)/3 = $283.12/3 = $94.37/hr.</w:t>
      </w:r>
    </w:p>
  </w:footnote>
  <w:footnote w:id="16">
    <w:p w:rsidR="007D64F3" w:rsidRPr="007D64F3" w:rsidP="007D64F3" w14:paraId="1F53496E" w14:textId="77777777">
      <w:pPr>
        <w:pStyle w:val="FootnoteText"/>
        <w:rPr>
          <w:sz w:val="26"/>
          <w:szCs w:val="26"/>
        </w:rPr>
      </w:pPr>
      <w:r w:rsidRPr="007D64F3">
        <w:rPr>
          <w:rStyle w:val="FootnoteReference"/>
          <w:sz w:val="26"/>
          <w:szCs w:val="26"/>
          <w:vertAlign w:val="superscript"/>
        </w:rPr>
        <w:footnoteRef/>
      </w:r>
      <w:r w:rsidRPr="007D64F3">
        <w:rPr>
          <w:b/>
          <w:sz w:val="26"/>
          <w:szCs w:val="26"/>
          <w:vertAlign w:val="superscript"/>
        </w:rPr>
        <w:t xml:space="preserve"> </w:t>
      </w:r>
      <w:r w:rsidRPr="007D64F3">
        <w:rPr>
          <w:sz w:val="26"/>
          <w:szCs w:val="26"/>
        </w:rPr>
        <w:t xml:space="preserve">This figure of 108 transmission entities </w:t>
      </w:r>
      <w:r w:rsidRPr="007D64F3">
        <w:rPr>
          <w:sz w:val="26"/>
          <w:szCs w:val="26"/>
        </w:rPr>
        <w:t>is based on the assumption</w:t>
      </w:r>
      <w:r w:rsidRPr="007D64F3">
        <w:rPr>
          <w:sz w:val="26"/>
          <w:szCs w:val="26"/>
        </w:rPr>
        <w:t xml:space="preserve"> that each agreement will be between 1 nuclear plant and 2 transmission entities (54 X 2 = 108).  However, there is some double counting in this figure because some transmission entities may be party to multiple agreements with multiple nuclear plants.  The double counting does not affect the burden estimate, and the correct number of unique respondents will be reported to OMB.   </w:t>
      </w:r>
    </w:p>
  </w:footnote>
  <w:footnote w:id="17">
    <w:p w:rsidR="007D64F3" w:rsidRPr="007D64F3" w:rsidP="007D64F3" w14:paraId="5934BF60" w14:textId="77777777">
      <w:pPr>
        <w:pStyle w:val="FootnoteText"/>
        <w:rPr>
          <w:sz w:val="26"/>
          <w:szCs w:val="26"/>
        </w:rPr>
      </w:pPr>
      <w:r w:rsidRPr="007D64F3">
        <w:rPr>
          <w:rStyle w:val="FootnoteReference"/>
          <w:sz w:val="26"/>
          <w:szCs w:val="26"/>
          <w:vertAlign w:val="superscript"/>
        </w:rPr>
        <w:footnoteRef/>
      </w:r>
      <w:r w:rsidRPr="007D64F3">
        <w:rPr>
          <w:b/>
          <w:sz w:val="26"/>
          <w:szCs w:val="26"/>
          <w:vertAlign w:val="superscript"/>
        </w:rPr>
        <w:t xml:space="preserve"> </w:t>
      </w:r>
      <w:r w:rsidRPr="007D64F3">
        <w:rPr>
          <w:sz w:val="26"/>
          <w:szCs w:val="26"/>
        </w:rPr>
        <w:t xml:space="preserve">The reporting requirements have not changed.  The decrease in the number of respondents is due to:  </w:t>
      </w:r>
    </w:p>
    <w:p w:rsidR="007D64F3" w:rsidRPr="007D64F3" w:rsidP="007D64F3" w14:paraId="579EAB7A" w14:textId="77777777">
      <w:pPr>
        <w:pStyle w:val="FootnoteText"/>
        <w:rPr>
          <w:sz w:val="26"/>
          <w:szCs w:val="26"/>
        </w:rPr>
      </w:pPr>
      <w:r w:rsidRPr="007D64F3">
        <w:rPr>
          <w:sz w:val="26"/>
          <w:szCs w:val="26"/>
        </w:rPr>
        <w:t xml:space="preserve">a) normal fluctuations in industry (e.g., companies merging and splitting, and coming into and going out of business), and </w:t>
      </w:r>
    </w:p>
    <w:p w:rsidR="007D64F3" w:rsidRPr="007D64F3" w:rsidP="007D64F3" w14:paraId="7D254CD8" w14:textId="77777777">
      <w:pPr>
        <w:pStyle w:val="FootnoteText"/>
        <w:rPr>
          <w:sz w:val="26"/>
          <w:szCs w:val="26"/>
        </w:rPr>
      </w:pPr>
      <w:r w:rsidRPr="007D64F3">
        <w:rPr>
          <w:sz w:val="26"/>
          <w:szCs w:val="26"/>
        </w:rPr>
        <w:t xml:space="preserve">b) no new agreements being issued due to the lack of new nuclear plants being developed. </w:t>
      </w:r>
    </w:p>
  </w:footnote>
  <w:footnote w:id="18">
    <w:p w:rsidR="00CE2EC7" w:rsidRPr="007D64F3" w:rsidP="00A803BA" w14:paraId="0B68AFC2" w14:textId="4C7386A6">
      <w:pPr>
        <w:pStyle w:val="FootnoteText"/>
        <w:rPr>
          <w:sz w:val="26"/>
          <w:szCs w:val="26"/>
        </w:rPr>
      </w:pPr>
      <w:r w:rsidRPr="007D64F3">
        <w:rPr>
          <w:rStyle w:val="FootnoteReference"/>
          <w:sz w:val="26"/>
          <w:szCs w:val="26"/>
          <w:vertAlign w:val="superscript"/>
        </w:rPr>
        <w:footnoteRef/>
      </w:r>
      <w:r w:rsidRPr="007D64F3">
        <w:rPr>
          <w:sz w:val="26"/>
          <w:szCs w:val="26"/>
          <w:vertAlign w:val="superscript"/>
        </w:rPr>
        <w:t xml:space="preserve"> </w:t>
      </w:r>
      <w:r w:rsidRPr="007D64F3">
        <w:rPr>
          <w:sz w:val="26"/>
          <w:szCs w:val="26"/>
        </w:rPr>
        <w:t>The NUC-001-4 Reliability Standard is applicable to:</w:t>
      </w:r>
    </w:p>
    <w:p w:rsidR="00CE2EC7" w:rsidRPr="007D64F3" w:rsidP="000C1131" w14:paraId="4A2B6919" w14:textId="77777777">
      <w:pPr>
        <w:pStyle w:val="FootnoteText"/>
        <w:ind w:left="360"/>
        <w:rPr>
          <w:sz w:val="26"/>
          <w:szCs w:val="26"/>
        </w:rPr>
      </w:pPr>
      <w:r w:rsidRPr="007D64F3">
        <w:rPr>
          <w:sz w:val="26"/>
          <w:szCs w:val="26"/>
        </w:rPr>
        <w:t>4.1. Functional Entities:</w:t>
      </w:r>
    </w:p>
    <w:p w:rsidR="00CE2EC7" w:rsidRPr="007D64F3" w:rsidP="000C1131" w14:paraId="7E6BCE70" w14:textId="77777777">
      <w:pPr>
        <w:pStyle w:val="FootnoteText"/>
        <w:ind w:left="360"/>
        <w:rPr>
          <w:sz w:val="26"/>
          <w:szCs w:val="26"/>
        </w:rPr>
      </w:pPr>
      <w:r w:rsidRPr="007D64F3">
        <w:rPr>
          <w:sz w:val="26"/>
          <w:szCs w:val="26"/>
        </w:rPr>
        <w:t>4.1.1 Nuclear Plant Generator Operators.</w:t>
      </w:r>
    </w:p>
    <w:p w:rsidR="00CE2EC7" w:rsidRPr="000C1131" w:rsidP="000C1131" w14:paraId="08DBABDB" w14:textId="77777777">
      <w:pPr>
        <w:pStyle w:val="FootnoteText"/>
        <w:ind w:left="360"/>
        <w:rPr>
          <w:sz w:val="24"/>
          <w:szCs w:val="24"/>
        </w:rPr>
      </w:pPr>
      <w:r w:rsidRPr="001E16B3">
        <w:rPr>
          <w:sz w:val="26"/>
          <w:szCs w:val="26"/>
        </w:rPr>
        <w:t>4.2. Transmission Entities shall mean all entities that are responsible for providing services related to Nuclear Plant Interface Requirements (NPIRs). Such entities may include one or more of the</w:t>
      </w:r>
      <w:r w:rsidRPr="000C1131">
        <w:rPr>
          <w:sz w:val="24"/>
          <w:szCs w:val="24"/>
        </w:rPr>
        <w:t xml:space="preserve"> following:</w:t>
      </w:r>
    </w:p>
    <w:p w:rsidR="00CE2EC7" w:rsidRPr="000C1131" w:rsidP="000C1131" w14:paraId="6E5CAC20" w14:textId="77777777">
      <w:pPr>
        <w:pStyle w:val="FootnoteText"/>
        <w:ind w:left="360"/>
        <w:rPr>
          <w:sz w:val="24"/>
          <w:szCs w:val="24"/>
        </w:rPr>
      </w:pPr>
      <w:r w:rsidRPr="000C1131">
        <w:rPr>
          <w:sz w:val="24"/>
          <w:szCs w:val="24"/>
        </w:rPr>
        <w:t>4.2.1 Transmission Operators.</w:t>
      </w:r>
    </w:p>
    <w:p w:rsidR="00CE2EC7" w:rsidRPr="000C1131" w:rsidP="000C1131" w14:paraId="744430F9" w14:textId="77777777">
      <w:pPr>
        <w:pStyle w:val="FootnoteText"/>
        <w:ind w:left="360"/>
        <w:rPr>
          <w:sz w:val="24"/>
          <w:szCs w:val="24"/>
        </w:rPr>
      </w:pPr>
      <w:r w:rsidRPr="000C1131">
        <w:rPr>
          <w:sz w:val="24"/>
          <w:szCs w:val="24"/>
        </w:rPr>
        <w:t>4.2.2 Transmission Owners.</w:t>
      </w:r>
    </w:p>
    <w:p w:rsidR="00CE2EC7" w:rsidRPr="000C1131" w:rsidP="000C1131" w14:paraId="7717A947" w14:textId="77777777">
      <w:pPr>
        <w:pStyle w:val="FootnoteText"/>
        <w:ind w:left="360"/>
        <w:rPr>
          <w:sz w:val="24"/>
          <w:szCs w:val="24"/>
        </w:rPr>
      </w:pPr>
      <w:r w:rsidRPr="000C1131">
        <w:rPr>
          <w:sz w:val="24"/>
          <w:szCs w:val="24"/>
        </w:rPr>
        <w:t>4.2.3 Transmission Planners.</w:t>
      </w:r>
    </w:p>
    <w:p w:rsidR="00CE2EC7" w:rsidRPr="000C1131" w:rsidP="000C1131" w14:paraId="61C60D7D" w14:textId="77777777">
      <w:pPr>
        <w:pStyle w:val="FootnoteText"/>
        <w:ind w:left="360"/>
        <w:rPr>
          <w:sz w:val="24"/>
          <w:szCs w:val="24"/>
        </w:rPr>
      </w:pPr>
      <w:r w:rsidRPr="000C1131">
        <w:rPr>
          <w:sz w:val="24"/>
          <w:szCs w:val="24"/>
        </w:rPr>
        <w:t>4.2.4 Transmission Service Providers.</w:t>
      </w:r>
    </w:p>
    <w:p w:rsidR="00CE2EC7" w:rsidRPr="000C1131" w:rsidP="000C1131" w14:paraId="060068A1" w14:textId="77777777">
      <w:pPr>
        <w:pStyle w:val="FootnoteText"/>
        <w:ind w:left="360"/>
        <w:rPr>
          <w:sz w:val="24"/>
          <w:szCs w:val="24"/>
        </w:rPr>
      </w:pPr>
      <w:r w:rsidRPr="000C1131">
        <w:rPr>
          <w:sz w:val="24"/>
          <w:szCs w:val="24"/>
        </w:rPr>
        <w:t>4.2.5 Balancing Authorities.</w:t>
      </w:r>
    </w:p>
    <w:p w:rsidR="00CE2EC7" w:rsidRPr="000C1131" w:rsidP="000C1131" w14:paraId="58BA9166" w14:textId="77777777">
      <w:pPr>
        <w:pStyle w:val="FootnoteText"/>
        <w:ind w:left="360"/>
        <w:rPr>
          <w:sz w:val="24"/>
          <w:szCs w:val="24"/>
        </w:rPr>
      </w:pPr>
      <w:r w:rsidRPr="000C1131">
        <w:rPr>
          <w:sz w:val="24"/>
          <w:szCs w:val="24"/>
        </w:rPr>
        <w:t>4.2.6 Reliability Coordinators.</w:t>
      </w:r>
    </w:p>
    <w:p w:rsidR="00CE2EC7" w:rsidRPr="000C1131" w:rsidP="000C1131" w14:paraId="0868D6A4" w14:textId="77777777">
      <w:pPr>
        <w:pStyle w:val="FootnoteText"/>
        <w:ind w:left="360"/>
        <w:rPr>
          <w:sz w:val="24"/>
          <w:szCs w:val="24"/>
        </w:rPr>
      </w:pPr>
      <w:r w:rsidRPr="000C1131">
        <w:rPr>
          <w:sz w:val="24"/>
          <w:szCs w:val="24"/>
        </w:rPr>
        <w:t>4.2.7 Planning Coordinators.</w:t>
      </w:r>
    </w:p>
    <w:p w:rsidR="00CE2EC7" w:rsidRPr="000C1131" w:rsidP="000C1131" w14:paraId="38FF0A3A" w14:textId="77777777">
      <w:pPr>
        <w:pStyle w:val="FootnoteText"/>
        <w:ind w:left="360"/>
        <w:rPr>
          <w:sz w:val="24"/>
          <w:szCs w:val="24"/>
        </w:rPr>
      </w:pPr>
      <w:r w:rsidRPr="000C1131">
        <w:rPr>
          <w:sz w:val="24"/>
          <w:szCs w:val="24"/>
        </w:rPr>
        <w:t>4.2.8 Distribution Providers.</w:t>
      </w:r>
    </w:p>
    <w:p w:rsidR="00CE2EC7" w:rsidRPr="000C1131" w:rsidP="000C1131" w14:paraId="2B3812D6" w14:textId="77777777">
      <w:pPr>
        <w:pStyle w:val="FootnoteText"/>
        <w:ind w:left="360"/>
        <w:rPr>
          <w:sz w:val="24"/>
          <w:szCs w:val="24"/>
        </w:rPr>
      </w:pPr>
      <w:r w:rsidRPr="000C1131">
        <w:rPr>
          <w:sz w:val="24"/>
          <w:szCs w:val="24"/>
        </w:rPr>
        <w:t>4.2.9 Load-Serving Entities.</w:t>
      </w:r>
    </w:p>
    <w:p w:rsidR="00CE2EC7" w:rsidRPr="000C1131" w:rsidP="000C1131" w14:paraId="21376553" w14:textId="77777777">
      <w:pPr>
        <w:pStyle w:val="FootnoteText"/>
        <w:ind w:left="360"/>
        <w:rPr>
          <w:sz w:val="24"/>
          <w:szCs w:val="24"/>
        </w:rPr>
      </w:pPr>
      <w:r w:rsidRPr="000C1131">
        <w:rPr>
          <w:sz w:val="24"/>
          <w:szCs w:val="24"/>
        </w:rPr>
        <w:t>4.2.10 Generator Owners.</w:t>
      </w:r>
    </w:p>
    <w:p w:rsidR="00CE2EC7" w:rsidRPr="00A803BA" w:rsidP="00D0293E" w14:paraId="6536E2DD" w14:textId="77777777">
      <w:pPr>
        <w:pStyle w:val="FootnoteText"/>
        <w:ind w:left="360"/>
        <w:rPr>
          <w:sz w:val="24"/>
          <w:szCs w:val="24"/>
        </w:rPr>
      </w:pPr>
      <w:r w:rsidRPr="000C1131">
        <w:rPr>
          <w:sz w:val="24"/>
          <w:szCs w:val="24"/>
        </w:rPr>
        <w:t>4.2.11 Generator Operators.</w:t>
      </w:r>
    </w:p>
  </w:footnote>
  <w:footnote w:id="19">
    <w:p w:rsidR="00CE2EC7" w:rsidRPr="00B15165" w14:paraId="6A3DF382" w14:textId="00F8CDFD">
      <w:pPr>
        <w:pStyle w:val="FootnoteText"/>
        <w:rPr>
          <w:sz w:val="24"/>
          <w:szCs w:val="24"/>
        </w:rPr>
      </w:pPr>
      <w:r w:rsidRPr="00B15165">
        <w:rPr>
          <w:rStyle w:val="FootnoteReference"/>
          <w:sz w:val="24"/>
          <w:szCs w:val="24"/>
          <w:vertAlign w:val="superscript"/>
        </w:rPr>
        <w:footnoteRef/>
      </w:r>
      <w:r w:rsidRPr="00B15165">
        <w:rPr>
          <w:sz w:val="24"/>
          <w:szCs w:val="24"/>
          <w:vertAlign w:val="superscript"/>
        </w:rPr>
        <w:t xml:space="preserve"> </w:t>
      </w:r>
      <w:r w:rsidRPr="00B15165">
        <w:rPr>
          <w:sz w:val="24"/>
          <w:szCs w:val="24"/>
        </w:rPr>
        <w:t xml:space="preserve">This is based on the estimated cost </w:t>
      </w:r>
      <w:r>
        <w:rPr>
          <w:sz w:val="24"/>
          <w:szCs w:val="24"/>
        </w:rPr>
        <w:t>related to</w:t>
      </w:r>
      <w:r w:rsidRPr="00B15165">
        <w:rPr>
          <w:sz w:val="24"/>
          <w:szCs w:val="24"/>
        </w:rPr>
        <w:t xml:space="preserve"> 1 GB of</w:t>
      </w:r>
      <w:r>
        <w:rPr>
          <w:sz w:val="24"/>
          <w:szCs w:val="24"/>
        </w:rPr>
        <w:t xml:space="preserve"> data</w:t>
      </w:r>
      <w:r w:rsidRPr="00B15165">
        <w:rPr>
          <w:sz w:val="24"/>
          <w:szCs w:val="24"/>
        </w:rPr>
        <w:t>.</w:t>
      </w:r>
    </w:p>
  </w:footnote>
  <w:footnote w:id="20">
    <w:p w:rsidR="00CE2EC7" w:rsidP="00992564" w14:paraId="069B1EA8" w14:textId="77777777">
      <w:pPr>
        <w:pStyle w:val="FootnoteText"/>
        <w:ind w:firstLine="720"/>
        <w:rPr>
          <w:sz w:val="26"/>
          <w:szCs w:val="26"/>
        </w:rPr>
      </w:pPr>
      <w:r>
        <w:rPr>
          <w:rStyle w:val="FootnoteReference"/>
        </w:rPr>
        <w:footnoteRef/>
      </w:r>
      <w:r>
        <w:t xml:space="preserve"> </w:t>
      </w:r>
      <w:r w:rsidRPr="007F64C4">
        <w:rPr>
          <w:sz w:val="26"/>
          <w:szCs w:val="26"/>
        </w:rPr>
        <w:t xml:space="preserve">The </w:t>
      </w:r>
      <w:r>
        <w:rPr>
          <w:sz w:val="26"/>
          <w:szCs w:val="26"/>
        </w:rPr>
        <w:t xml:space="preserve">current </w:t>
      </w:r>
      <w:r w:rsidRPr="007F64C4">
        <w:rPr>
          <w:sz w:val="26"/>
          <w:szCs w:val="26"/>
        </w:rPr>
        <w:t>Reliability Standard</w:t>
      </w:r>
      <w:r>
        <w:rPr>
          <w:sz w:val="26"/>
          <w:szCs w:val="26"/>
        </w:rPr>
        <w:t xml:space="preserve"> NUC-001-3 defines the phrase “transmission entities” as all entities that are responsible for providing services related to nuclear plant interface requirements (NPIRs).  Such entities may include one or more of the following: transmission operators, transmission owners, transmission planners, transmission service providers, balancing authorities, reliability coordinators, planning coordinators, distribution providers, load-serving entities, generator owners, and generator operators.</w:t>
      </w:r>
    </w:p>
    <w:p w:rsidR="00CE2EC7" w:rsidRPr="007F64C4" w:rsidP="00992564" w14:paraId="07F3D379" w14:textId="77777777">
      <w:pPr>
        <w:pStyle w:val="FootnoteText"/>
        <w:ind w:firstLine="720"/>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EC7" w:rsidRPr="004744BD" w:rsidP="00C45955" w14:paraId="66637C64" w14:textId="15E4E207">
    <w:pPr>
      <w:tabs>
        <w:tab w:val="right" w:pos="10080"/>
      </w:tabs>
      <w:rPr>
        <w:sz w:val="26"/>
        <w:szCs w:val="26"/>
      </w:rPr>
    </w:pPr>
    <w:r w:rsidRPr="004744BD">
      <w:rPr>
        <w:sz w:val="26"/>
        <w:szCs w:val="26"/>
      </w:rPr>
      <w:t>FERC-725F (OMB Control No. 1902-0249)</w:t>
    </w:r>
  </w:p>
  <w:p w:rsidR="00144D06" w:rsidRPr="004744BD" w:rsidP="00C45955" w14:paraId="651252EA" w14:textId="4B608F1A">
    <w:pPr>
      <w:tabs>
        <w:tab w:val="right" w:pos="10080"/>
      </w:tabs>
      <w:rPr>
        <w:sz w:val="26"/>
        <w:szCs w:val="26"/>
      </w:rPr>
    </w:pPr>
    <w:r w:rsidRPr="004744BD">
      <w:rPr>
        <w:sz w:val="26"/>
        <w:szCs w:val="26"/>
      </w:rPr>
      <w:t>IC2</w:t>
    </w:r>
    <w:r w:rsidRPr="004744BD" w:rsidR="001A484C">
      <w:rPr>
        <w:sz w:val="26"/>
        <w:szCs w:val="26"/>
      </w:rPr>
      <w:t>4</w:t>
    </w:r>
    <w:r w:rsidRPr="004744BD">
      <w:rPr>
        <w:sz w:val="26"/>
        <w:szCs w:val="26"/>
      </w:rPr>
      <w:t>-10</w:t>
    </w:r>
    <w:r w:rsidRPr="004744BD" w:rsidR="00A0510D">
      <w:rPr>
        <w:sz w:val="26"/>
        <w:szCs w:val="26"/>
      </w:rPr>
      <w:t>-000</w:t>
    </w:r>
  </w:p>
  <w:p w:rsidR="00CE2EC7" w:rsidP="00C45955" w14:paraId="75998367" w14:textId="77777777">
    <w:pPr>
      <w:tabs>
        <w:tab w:val="right" w:pos="10080"/>
      </w:tabs>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408AAF1"/>
    <w:multiLevelType w:val="hybridMultilevel"/>
    <w:tmpl w:val="5AA8A16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9"/>
    <w:multiLevelType w:val="singleLevel"/>
    <w:tmpl w:val="98602ECA"/>
    <w:lvl w:ilvl="0">
      <w:start w:val="1"/>
      <w:numFmt w:val="bullet"/>
      <w:lvlText w:val=""/>
      <w:lvlJc w:val="left"/>
      <w:pPr>
        <w:tabs>
          <w:tab w:val="num" w:pos="360"/>
        </w:tabs>
        <w:ind w:left="360" w:hanging="360"/>
      </w:pPr>
      <w:rPr>
        <w:rFonts w:ascii="Symbol" w:hAnsi="Symbol" w:hint="default"/>
      </w:rPr>
    </w:lvl>
  </w:abstractNum>
  <w:abstractNum w:abstractNumId="3">
    <w:nsid w:val="00000402"/>
    <w:multiLevelType w:val="multilevel"/>
    <w:tmpl w:val="00000885"/>
    <w:lvl w:ilvl="0">
      <w:start w:val="0"/>
      <w:numFmt w:val="bullet"/>
      <w:lvlText w:val=""/>
      <w:lvlJc w:val="left"/>
      <w:pPr>
        <w:ind w:left="1880" w:hanging="360"/>
      </w:pPr>
      <w:rPr>
        <w:rFonts w:ascii="Symbol" w:hAnsi="Symbol" w:cs="Symbol"/>
        <w:b w:val="0"/>
        <w:bCs w:val="0"/>
        <w:sz w:val="24"/>
        <w:szCs w:val="24"/>
      </w:rPr>
    </w:lvl>
    <w:lvl w:ilvl="1">
      <w:start w:val="0"/>
      <w:numFmt w:val="bullet"/>
      <w:lvlText w:val="•"/>
      <w:lvlJc w:val="left"/>
      <w:pPr>
        <w:ind w:left="2590" w:hanging="360"/>
      </w:pPr>
    </w:lvl>
    <w:lvl w:ilvl="2">
      <w:start w:val="0"/>
      <w:numFmt w:val="bullet"/>
      <w:lvlText w:val="•"/>
      <w:lvlJc w:val="left"/>
      <w:pPr>
        <w:ind w:left="3300" w:hanging="360"/>
      </w:pPr>
    </w:lvl>
    <w:lvl w:ilvl="3">
      <w:start w:val="0"/>
      <w:numFmt w:val="bullet"/>
      <w:lvlText w:val="•"/>
      <w:lvlJc w:val="left"/>
      <w:pPr>
        <w:ind w:left="4010" w:hanging="360"/>
      </w:pPr>
    </w:lvl>
    <w:lvl w:ilvl="4">
      <w:start w:val="0"/>
      <w:numFmt w:val="bullet"/>
      <w:lvlText w:val="•"/>
      <w:lvlJc w:val="left"/>
      <w:pPr>
        <w:ind w:left="4720" w:hanging="360"/>
      </w:pPr>
    </w:lvl>
    <w:lvl w:ilvl="5">
      <w:start w:val="0"/>
      <w:numFmt w:val="bullet"/>
      <w:lvlText w:val="•"/>
      <w:lvlJc w:val="left"/>
      <w:pPr>
        <w:ind w:left="5430" w:hanging="360"/>
      </w:pPr>
    </w:lvl>
    <w:lvl w:ilvl="6">
      <w:start w:val="0"/>
      <w:numFmt w:val="bullet"/>
      <w:lvlText w:val="•"/>
      <w:lvlJc w:val="left"/>
      <w:pPr>
        <w:ind w:left="6140" w:hanging="360"/>
      </w:pPr>
    </w:lvl>
    <w:lvl w:ilvl="7">
      <w:start w:val="0"/>
      <w:numFmt w:val="bullet"/>
      <w:lvlText w:val="•"/>
      <w:lvlJc w:val="left"/>
      <w:pPr>
        <w:ind w:left="6850" w:hanging="360"/>
      </w:pPr>
    </w:lvl>
    <w:lvl w:ilvl="8">
      <w:start w:val="0"/>
      <w:numFmt w:val="bullet"/>
      <w:lvlText w:val="•"/>
      <w:lvlJc w:val="left"/>
      <w:pPr>
        <w:ind w:left="7560" w:hanging="360"/>
      </w:pPr>
    </w:lvl>
  </w:abstractNum>
  <w:abstractNum w:abstractNumId="4">
    <w:nsid w:val="027457B1"/>
    <w:multiLevelType w:val="hybridMultilevel"/>
    <w:tmpl w:val="7788F9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3062386"/>
    <w:multiLevelType w:val="hybridMultilevel"/>
    <w:tmpl w:val="249242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5C47032"/>
    <w:multiLevelType w:val="hybridMultilevel"/>
    <w:tmpl w:val="1DCEBC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8F55397"/>
    <w:multiLevelType w:val="hybridMultilevel"/>
    <w:tmpl w:val="04A0C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9675418"/>
    <w:multiLevelType w:val="hybridMultilevel"/>
    <w:tmpl w:val="CE2889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2D94B91"/>
    <w:multiLevelType w:val="hybridMultilevel"/>
    <w:tmpl w:val="768AF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77555B"/>
    <w:multiLevelType w:val="hybridMultilevel"/>
    <w:tmpl w:val="B3BEE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1F62DB"/>
    <w:multiLevelType w:val="hybridMultilevel"/>
    <w:tmpl w:val="91783388"/>
    <w:lvl w:ilvl="0">
      <w:start w:val="0"/>
      <w:numFmt w:val="bullet"/>
      <w:lvlText w:val="▪"/>
      <w:lvlJc w:val="left"/>
      <w:pPr>
        <w:tabs>
          <w:tab w:val="num" w:pos="720"/>
        </w:tabs>
        <w:ind w:left="720" w:hanging="360"/>
      </w:pPr>
      <w:rPr>
        <w:rFonts w:ascii="Courier New" w:eastAsia="Times New Roman"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9F01BF9"/>
    <w:multiLevelType w:val="hybridMultilevel"/>
    <w:tmpl w:val="1A28F9A8"/>
    <w:lvl w:ilvl="0">
      <w:start w:val="5"/>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nsid w:val="335F7946"/>
    <w:multiLevelType w:val="multilevel"/>
    <w:tmpl w:val="A5B6D798"/>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5">
    <w:nsid w:val="45AD4295"/>
    <w:multiLevelType w:val="hybridMultilevel"/>
    <w:tmpl w:val="E732E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4B2717"/>
    <w:multiLevelType w:val="hybridMultilevel"/>
    <w:tmpl w:val="95765F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370430B"/>
    <w:multiLevelType w:val="hybridMultilevel"/>
    <w:tmpl w:val="7D7A42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37F76E3"/>
    <w:multiLevelType w:val="hybridMultilevel"/>
    <w:tmpl w:val="A48AE8AE"/>
    <w:lvl w:ilvl="0">
      <w:start w:val="12"/>
      <w:numFmt w:val="decimal"/>
      <w:lvlText w:val="%1."/>
      <w:lvlJc w:val="left"/>
      <w:pPr>
        <w:tabs>
          <w:tab w:val="num" w:pos="1440"/>
        </w:tabs>
        <w:ind w:left="1440" w:hanging="72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6ED79C9"/>
    <w:multiLevelType w:val="hybridMultilevel"/>
    <w:tmpl w:val="C366C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D977DE"/>
    <w:multiLevelType w:val="hybridMultilevel"/>
    <w:tmpl w:val="3FE0F4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AE22F29"/>
    <w:multiLevelType w:val="hybridMultilevel"/>
    <w:tmpl w:val="C818F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0E4577"/>
    <w:multiLevelType w:val="hybridMultilevel"/>
    <w:tmpl w:val="46882A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DD5603B"/>
    <w:multiLevelType w:val="hybridMultilevel"/>
    <w:tmpl w:val="1E725F18"/>
    <w:lvl w:ilvl="0">
      <w:start w:val="1"/>
      <w:numFmt w:val="lowerRoman"/>
      <w:lvlText w:val="%1."/>
      <w:lvlJc w:val="right"/>
      <w:pPr>
        <w:tabs>
          <w:tab w:val="num" w:pos="2160"/>
        </w:tabs>
        <w:ind w:left="2160" w:hanging="1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E03376C"/>
    <w:multiLevelType w:val="hybridMultilevel"/>
    <w:tmpl w:val="EDA687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E4E4DD3"/>
    <w:multiLevelType w:val="hybridMultilevel"/>
    <w:tmpl w:val="F68E5210"/>
    <w:lvl w:ilvl="0">
      <w:start w:val="1"/>
      <w:numFmt w:val="decimal"/>
      <w:pStyle w:val="FERCparanumber"/>
      <w:lvlText w:val="%1."/>
      <w:lvlJc w:val="left"/>
      <w:pPr>
        <w:tabs>
          <w:tab w:val="num" w:pos="720"/>
        </w:tabs>
        <w:ind w:left="0" w:firstLine="0"/>
      </w:pPr>
      <w:rPr>
        <w:rFonts w:ascii="Times New Roman" w:hAnsi="Times New Roman" w:hint="default"/>
        <w:b w:val="0"/>
        <w:i w:val="0"/>
        <w:sz w:val="26"/>
        <w:szCs w:val="26"/>
      </w:rPr>
    </w:lvl>
    <w:lvl w:ilvl="1">
      <w:start w:val="1"/>
      <w:numFmt w:val="upperLetter"/>
      <w:lvlText w:val="%2."/>
      <w:lvlJc w:val="left"/>
      <w:pPr>
        <w:tabs>
          <w:tab w:val="num" w:pos="1440"/>
        </w:tabs>
        <w:ind w:left="1440" w:hanging="360"/>
      </w:pPr>
      <w:rPr>
        <w:rFonts w:hint="default"/>
        <w:u w:val="none"/>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hint="default"/>
        <w:b w:val="0"/>
      </w:rPr>
    </w:lvl>
    <w:lvl w:ilvl="4">
      <w:start w:val="4"/>
      <w:numFmt w:val="lowerLetter"/>
      <w:lvlText w:val="%5."/>
      <w:lvlJc w:val="left"/>
      <w:pPr>
        <w:tabs>
          <w:tab w:val="num" w:pos="3600"/>
        </w:tabs>
        <w:ind w:left="3600" w:hanging="360"/>
      </w:pPr>
      <w:rPr>
        <w:rFonts w:hint="default"/>
        <w:b/>
        <w:u w:val="single"/>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78502510">
    <w:abstractNumId w:val="25"/>
  </w:num>
  <w:num w:numId="2" w16cid:durableId="1212880431">
    <w:abstractNumId w:val="13"/>
  </w:num>
  <w:num w:numId="3" w16cid:durableId="2073846266">
    <w:abstractNumId w:val="23"/>
  </w:num>
  <w:num w:numId="4" w16cid:durableId="1220942820">
    <w:abstractNumId w:val="14"/>
  </w:num>
  <w:num w:numId="5" w16cid:durableId="6178211">
    <w:abstractNumId w:val="2"/>
  </w:num>
  <w:num w:numId="6" w16cid:durableId="575824676">
    <w:abstractNumId w:val="4"/>
  </w:num>
  <w:num w:numId="7" w16cid:durableId="400179124">
    <w:abstractNumId w:val="18"/>
  </w:num>
  <w:num w:numId="8" w16cid:durableId="1745252790">
    <w:abstractNumId w:val="0"/>
  </w:num>
  <w:num w:numId="9" w16cid:durableId="1125124407">
    <w:abstractNumId w:val="1"/>
  </w:num>
  <w:num w:numId="10" w16cid:durableId="1375882937">
    <w:abstractNumId w:val="12"/>
  </w:num>
  <w:num w:numId="11" w16cid:durableId="493953517">
    <w:abstractNumId w:val="16"/>
  </w:num>
  <w:num w:numId="12" w16cid:durableId="351493033">
    <w:abstractNumId w:val="11"/>
  </w:num>
  <w:num w:numId="13" w16cid:durableId="1240485540">
    <w:abstractNumId w:val="5"/>
  </w:num>
  <w:num w:numId="14" w16cid:durableId="414211161">
    <w:abstractNumId w:val="24"/>
  </w:num>
  <w:num w:numId="15" w16cid:durableId="1913853162">
    <w:abstractNumId w:val="17"/>
  </w:num>
  <w:num w:numId="16" w16cid:durableId="195316252">
    <w:abstractNumId w:val="8"/>
  </w:num>
  <w:num w:numId="17" w16cid:durableId="889346129">
    <w:abstractNumId w:val="6"/>
  </w:num>
  <w:num w:numId="18" w16cid:durableId="1119489329">
    <w:abstractNumId w:val="3"/>
  </w:num>
  <w:num w:numId="19" w16cid:durableId="419528109">
    <w:abstractNumId w:val="22"/>
  </w:num>
  <w:num w:numId="20" w16cid:durableId="168831438">
    <w:abstractNumId w:val="7"/>
  </w:num>
  <w:num w:numId="21" w16cid:durableId="711928926">
    <w:abstractNumId w:val="9"/>
  </w:num>
  <w:num w:numId="22" w16cid:durableId="893546851">
    <w:abstractNumId w:val="19"/>
  </w:num>
  <w:num w:numId="23" w16cid:durableId="24672083">
    <w:abstractNumId w:val="20"/>
  </w:num>
  <w:num w:numId="24" w16cid:durableId="561185371">
    <w:abstractNumId w:val="15"/>
  </w:num>
  <w:num w:numId="25" w16cid:durableId="1202791609">
    <w:abstractNumId w:val="10"/>
  </w:num>
  <w:num w:numId="26" w16cid:durableId="20130695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E7"/>
    <w:rsid w:val="00000306"/>
    <w:rsid w:val="00001107"/>
    <w:rsid w:val="000025C0"/>
    <w:rsid w:val="00002C5E"/>
    <w:rsid w:val="00003DF4"/>
    <w:rsid w:val="0000615C"/>
    <w:rsid w:val="000062EE"/>
    <w:rsid w:val="0000669C"/>
    <w:rsid w:val="00006B1D"/>
    <w:rsid w:val="00006C2A"/>
    <w:rsid w:val="00015647"/>
    <w:rsid w:val="000177BD"/>
    <w:rsid w:val="0002104E"/>
    <w:rsid w:val="000228A4"/>
    <w:rsid w:val="00022E4D"/>
    <w:rsid w:val="000230FC"/>
    <w:rsid w:val="00023F00"/>
    <w:rsid w:val="000242E7"/>
    <w:rsid w:val="00026C60"/>
    <w:rsid w:val="00032CFA"/>
    <w:rsid w:val="00034F92"/>
    <w:rsid w:val="000369D9"/>
    <w:rsid w:val="00041005"/>
    <w:rsid w:val="00041154"/>
    <w:rsid w:val="00043327"/>
    <w:rsid w:val="00046294"/>
    <w:rsid w:val="000463F2"/>
    <w:rsid w:val="000476A5"/>
    <w:rsid w:val="0005000E"/>
    <w:rsid w:val="000535FB"/>
    <w:rsid w:val="000566D4"/>
    <w:rsid w:val="00056FB9"/>
    <w:rsid w:val="00060791"/>
    <w:rsid w:val="0006161F"/>
    <w:rsid w:val="00066ED1"/>
    <w:rsid w:val="00071AD7"/>
    <w:rsid w:val="00072F7B"/>
    <w:rsid w:val="000743A6"/>
    <w:rsid w:val="0007449C"/>
    <w:rsid w:val="0007507E"/>
    <w:rsid w:val="000800EA"/>
    <w:rsid w:val="0008027D"/>
    <w:rsid w:val="00080F9D"/>
    <w:rsid w:val="00081130"/>
    <w:rsid w:val="0008228F"/>
    <w:rsid w:val="00085FC1"/>
    <w:rsid w:val="00090B70"/>
    <w:rsid w:val="00091854"/>
    <w:rsid w:val="000920DD"/>
    <w:rsid w:val="0009444E"/>
    <w:rsid w:val="00094D51"/>
    <w:rsid w:val="000A102C"/>
    <w:rsid w:val="000B2D31"/>
    <w:rsid w:val="000B3C56"/>
    <w:rsid w:val="000B450C"/>
    <w:rsid w:val="000C1131"/>
    <w:rsid w:val="000C117A"/>
    <w:rsid w:val="000C2305"/>
    <w:rsid w:val="000C241D"/>
    <w:rsid w:val="000C32C1"/>
    <w:rsid w:val="000C35AC"/>
    <w:rsid w:val="000C382F"/>
    <w:rsid w:val="000C3CFA"/>
    <w:rsid w:val="000C7038"/>
    <w:rsid w:val="000D1255"/>
    <w:rsid w:val="000D1F27"/>
    <w:rsid w:val="000D21F9"/>
    <w:rsid w:val="000D3902"/>
    <w:rsid w:val="000D3D7F"/>
    <w:rsid w:val="000D787F"/>
    <w:rsid w:val="000E0863"/>
    <w:rsid w:val="000E1281"/>
    <w:rsid w:val="000E21F7"/>
    <w:rsid w:val="000E7039"/>
    <w:rsid w:val="000F03F1"/>
    <w:rsid w:val="000F1A72"/>
    <w:rsid w:val="000F2294"/>
    <w:rsid w:val="000F73A5"/>
    <w:rsid w:val="00100ECE"/>
    <w:rsid w:val="001032D7"/>
    <w:rsid w:val="00105D59"/>
    <w:rsid w:val="00105F15"/>
    <w:rsid w:val="00111428"/>
    <w:rsid w:val="00111E88"/>
    <w:rsid w:val="00115C2E"/>
    <w:rsid w:val="00121465"/>
    <w:rsid w:val="00124389"/>
    <w:rsid w:val="00124B5D"/>
    <w:rsid w:val="00130BC1"/>
    <w:rsid w:val="001316CC"/>
    <w:rsid w:val="001319A2"/>
    <w:rsid w:val="00133A4C"/>
    <w:rsid w:val="00135F9B"/>
    <w:rsid w:val="00140A27"/>
    <w:rsid w:val="0014464A"/>
    <w:rsid w:val="00144D06"/>
    <w:rsid w:val="00146836"/>
    <w:rsid w:val="00147C88"/>
    <w:rsid w:val="00154BFA"/>
    <w:rsid w:val="00156204"/>
    <w:rsid w:val="00162DD2"/>
    <w:rsid w:val="0016369F"/>
    <w:rsid w:val="00163E7C"/>
    <w:rsid w:val="001709D2"/>
    <w:rsid w:val="00184162"/>
    <w:rsid w:val="0018461A"/>
    <w:rsid w:val="00185AA7"/>
    <w:rsid w:val="0019041B"/>
    <w:rsid w:val="00192F55"/>
    <w:rsid w:val="00194502"/>
    <w:rsid w:val="00196BB3"/>
    <w:rsid w:val="001A484C"/>
    <w:rsid w:val="001A53B1"/>
    <w:rsid w:val="001A64CC"/>
    <w:rsid w:val="001A6D5F"/>
    <w:rsid w:val="001B0DAD"/>
    <w:rsid w:val="001B11CD"/>
    <w:rsid w:val="001B35A7"/>
    <w:rsid w:val="001B7FD6"/>
    <w:rsid w:val="001C1B60"/>
    <w:rsid w:val="001C35FB"/>
    <w:rsid w:val="001C5388"/>
    <w:rsid w:val="001D0168"/>
    <w:rsid w:val="001D1892"/>
    <w:rsid w:val="001D365E"/>
    <w:rsid w:val="001D6332"/>
    <w:rsid w:val="001D73F9"/>
    <w:rsid w:val="001E0D94"/>
    <w:rsid w:val="001E107F"/>
    <w:rsid w:val="001E14BF"/>
    <w:rsid w:val="001E16B3"/>
    <w:rsid w:val="001E2730"/>
    <w:rsid w:val="001E39CF"/>
    <w:rsid w:val="001E464B"/>
    <w:rsid w:val="001E4C75"/>
    <w:rsid w:val="001E6B65"/>
    <w:rsid w:val="001F1C10"/>
    <w:rsid w:val="001F2179"/>
    <w:rsid w:val="001F3807"/>
    <w:rsid w:val="001F66A8"/>
    <w:rsid w:val="001F7047"/>
    <w:rsid w:val="00200F23"/>
    <w:rsid w:val="002015D5"/>
    <w:rsid w:val="0020213D"/>
    <w:rsid w:val="00204968"/>
    <w:rsid w:val="00204CD1"/>
    <w:rsid w:val="00205A12"/>
    <w:rsid w:val="0020631A"/>
    <w:rsid w:val="00207C70"/>
    <w:rsid w:val="00211EED"/>
    <w:rsid w:val="00212F00"/>
    <w:rsid w:val="00212FC3"/>
    <w:rsid w:val="00223A3C"/>
    <w:rsid w:val="00223FD3"/>
    <w:rsid w:val="00225739"/>
    <w:rsid w:val="00226D9C"/>
    <w:rsid w:val="00227745"/>
    <w:rsid w:val="00227E58"/>
    <w:rsid w:val="00231FF2"/>
    <w:rsid w:val="00241BB8"/>
    <w:rsid w:val="00242E4E"/>
    <w:rsid w:val="002443CA"/>
    <w:rsid w:val="00244C89"/>
    <w:rsid w:val="002459DF"/>
    <w:rsid w:val="00246D07"/>
    <w:rsid w:val="00250322"/>
    <w:rsid w:val="002506B4"/>
    <w:rsid w:val="00250DF6"/>
    <w:rsid w:val="0025673E"/>
    <w:rsid w:val="002567F6"/>
    <w:rsid w:val="0026162F"/>
    <w:rsid w:val="002652E7"/>
    <w:rsid w:val="00265764"/>
    <w:rsid w:val="0026741A"/>
    <w:rsid w:val="00274E0F"/>
    <w:rsid w:val="00282CAF"/>
    <w:rsid w:val="00282DC3"/>
    <w:rsid w:val="002908DF"/>
    <w:rsid w:val="0029129B"/>
    <w:rsid w:val="00291ABF"/>
    <w:rsid w:val="0029446F"/>
    <w:rsid w:val="00294DF6"/>
    <w:rsid w:val="002966AE"/>
    <w:rsid w:val="002A120C"/>
    <w:rsid w:val="002A2D50"/>
    <w:rsid w:val="002A4014"/>
    <w:rsid w:val="002A4149"/>
    <w:rsid w:val="002A49A8"/>
    <w:rsid w:val="002A4EF9"/>
    <w:rsid w:val="002A57AC"/>
    <w:rsid w:val="002A5F36"/>
    <w:rsid w:val="002A70D9"/>
    <w:rsid w:val="002B36BE"/>
    <w:rsid w:val="002B58A7"/>
    <w:rsid w:val="002B6AA6"/>
    <w:rsid w:val="002C1349"/>
    <w:rsid w:val="002C602D"/>
    <w:rsid w:val="002C6083"/>
    <w:rsid w:val="002C64A1"/>
    <w:rsid w:val="002D077D"/>
    <w:rsid w:val="002D11FD"/>
    <w:rsid w:val="002D1796"/>
    <w:rsid w:val="002D1E60"/>
    <w:rsid w:val="002D2C20"/>
    <w:rsid w:val="002D3F8F"/>
    <w:rsid w:val="002E1803"/>
    <w:rsid w:val="002E584B"/>
    <w:rsid w:val="002E6386"/>
    <w:rsid w:val="002E6B2A"/>
    <w:rsid w:val="002F2E51"/>
    <w:rsid w:val="002F348F"/>
    <w:rsid w:val="002F4534"/>
    <w:rsid w:val="002F4B1A"/>
    <w:rsid w:val="002F6267"/>
    <w:rsid w:val="002F7239"/>
    <w:rsid w:val="00300453"/>
    <w:rsid w:val="00301DF2"/>
    <w:rsid w:val="00306BD4"/>
    <w:rsid w:val="003147BB"/>
    <w:rsid w:val="0031506E"/>
    <w:rsid w:val="003157D0"/>
    <w:rsid w:val="00316A96"/>
    <w:rsid w:val="00316AEF"/>
    <w:rsid w:val="0032539A"/>
    <w:rsid w:val="00330394"/>
    <w:rsid w:val="00331BD4"/>
    <w:rsid w:val="00333A76"/>
    <w:rsid w:val="00334EAD"/>
    <w:rsid w:val="0033670B"/>
    <w:rsid w:val="0034350E"/>
    <w:rsid w:val="00344F96"/>
    <w:rsid w:val="00347B0C"/>
    <w:rsid w:val="003523B6"/>
    <w:rsid w:val="00352F0A"/>
    <w:rsid w:val="00354BF4"/>
    <w:rsid w:val="0036223A"/>
    <w:rsid w:val="00363416"/>
    <w:rsid w:val="0036728A"/>
    <w:rsid w:val="00367939"/>
    <w:rsid w:val="00367B6D"/>
    <w:rsid w:val="00371345"/>
    <w:rsid w:val="00371D1D"/>
    <w:rsid w:val="00374435"/>
    <w:rsid w:val="003747B7"/>
    <w:rsid w:val="00377374"/>
    <w:rsid w:val="003777CC"/>
    <w:rsid w:val="00380663"/>
    <w:rsid w:val="00380785"/>
    <w:rsid w:val="00387541"/>
    <w:rsid w:val="003938C3"/>
    <w:rsid w:val="00394043"/>
    <w:rsid w:val="00397173"/>
    <w:rsid w:val="00397BEE"/>
    <w:rsid w:val="003A290B"/>
    <w:rsid w:val="003A2E89"/>
    <w:rsid w:val="003A31B2"/>
    <w:rsid w:val="003A365F"/>
    <w:rsid w:val="003A38FB"/>
    <w:rsid w:val="003A43C6"/>
    <w:rsid w:val="003A6987"/>
    <w:rsid w:val="003A6A1A"/>
    <w:rsid w:val="003A6F2F"/>
    <w:rsid w:val="003A7390"/>
    <w:rsid w:val="003B0C54"/>
    <w:rsid w:val="003B16D6"/>
    <w:rsid w:val="003B17C0"/>
    <w:rsid w:val="003B70AC"/>
    <w:rsid w:val="003B7264"/>
    <w:rsid w:val="003C10BE"/>
    <w:rsid w:val="003C1DB6"/>
    <w:rsid w:val="003C6C54"/>
    <w:rsid w:val="003D35F5"/>
    <w:rsid w:val="003D4A1A"/>
    <w:rsid w:val="003D7AA6"/>
    <w:rsid w:val="003E1657"/>
    <w:rsid w:val="003E65C2"/>
    <w:rsid w:val="003E6FA0"/>
    <w:rsid w:val="003E7D04"/>
    <w:rsid w:val="003E7EE6"/>
    <w:rsid w:val="003F1A61"/>
    <w:rsid w:val="003F1F6E"/>
    <w:rsid w:val="003F2C43"/>
    <w:rsid w:val="00403A48"/>
    <w:rsid w:val="00404C27"/>
    <w:rsid w:val="00407444"/>
    <w:rsid w:val="00410529"/>
    <w:rsid w:val="00412129"/>
    <w:rsid w:val="004128F2"/>
    <w:rsid w:val="00412905"/>
    <w:rsid w:val="004129B7"/>
    <w:rsid w:val="004134DC"/>
    <w:rsid w:val="004144C1"/>
    <w:rsid w:val="00417F24"/>
    <w:rsid w:val="004207A2"/>
    <w:rsid w:val="004208D1"/>
    <w:rsid w:val="004212B2"/>
    <w:rsid w:val="004216B6"/>
    <w:rsid w:val="00421AF8"/>
    <w:rsid w:val="00424C69"/>
    <w:rsid w:val="00426232"/>
    <w:rsid w:val="00426838"/>
    <w:rsid w:val="00430EEA"/>
    <w:rsid w:val="00432088"/>
    <w:rsid w:val="00432C10"/>
    <w:rsid w:val="00433702"/>
    <w:rsid w:val="004341CB"/>
    <w:rsid w:val="004349CA"/>
    <w:rsid w:val="00434C7F"/>
    <w:rsid w:val="00434EC0"/>
    <w:rsid w:val="00436B79"/>
    <w:rsid w:val="0044147E"/>
    <w:rsid w:val="0044232E"/>
    <w:rsid w:val="00442973"/>
    <w:rsid w:val="00443D88"/>
    <w:rsid w:val="004446CD"/>
    <w:rsid w:val="00444D9C"/>
    <w:rsid w:val="0044756A"/>
    <w:rsid w:val="0044784D"/>
    <w:rsid w:val="00447B07"/>
    <w:rsid w:val="00450090"/>
    <w:rsid w:val="004503EB"/>
    <w:rsid w:val="00450F87"/>
    <w:rsid w:val="004536D2"/>
    <w:rsid w:val="004560EE"/>
    <w:rsid w:val="00461DFA"/>
    <w:rsid w:val="00463754"/>
    <w:rsid w:val="00465525"/>
    <w:rsid w:val="00466011"/>
    <w:rsid w:val="0047372D"/>
    <w:rsid w:val="004744B7"/>
    <w:rsid w:val="004744BD"/>
    <w:rsid w:val="00475DD1"/>
    <w:rsid w:val="00476EC3"/>
    <w:rsid w:val="00480BBA"/>
    <w:rsid w:val="00481C2C"/>
    <w:rsid w:val="004828FD"/>
    <w:rsid w:val="00482946"/>
    <w:rsid w:val="00485CE9"/>
    <w:rsid w:val="00486F97"/>
    <w:rsid w:val="00492685"/>
    <w:rsid w:val="0049684D"/>
    <w:rsid w:val="004A0A7C"/>
    <w:rsid w:val="004A7219"/>
    <w:rsid w:val="004B074B"/>
    <w:rsid w:val="004B1F74"/>
    <w:rsid w:val="004B3A7F"/>
    <w:rsid w:val="004B6DD1"/>
    <w:rsid w:val="004C1A16"/>
    <w:rsid w:val="004C318D"/>
    <w:rsid w:val="004C5162"/>
    <w:rsid w:val="004D000B"/>
    <w:rsid w:val="004D03E3"/>
    <w:rsid w:val="004D1E46"/>
    <w:rsid w:val="004D39EF"/>
    <w:rsid w:val="004D47D0"/>
    <w:rsid w:val="004E2018"/>
    <w:rsid w:val="004E22E8"/>
    <w:rsid w:val="004E23D2"/>
    <w:rsid w:val="004E4E28"/>
    <w:rsid w:val="004E60B6"/>
    <w:rsid w:val="004F0284"/>
    <w:rsid w:val="004F2813"/>
    <w:rsid w:val="004F35D4"/>
    <w:rsid w:val="004F495D"/>
    <w:rsid w:val="004F4CD7"/>
    <w:rsid w:val="004F5123"/>
    <w:rsid w:val="004F5388"/>
    <w:rsid w:val="004F699B"/>
    <w:rsid w:val="004F76A8"/>
    <w:rsid w:val="00500EB4"/>
    <w:rsid w:val="005057D9"/>
    <w:rsid w:val="0050727A"/>
    <w:rsid w:val="0051115B"/>
    <w:rsid w:val="00511A5D"/>
    <w:rsid w:val="005121DB"/>
    <w:rsid w:val="0051281C"/>
    <w:rsid w:val="005142A7"/>
    <w:rsid w:val="00514B23"/>
    <w:rsid w:val="0051525E"/>
    <w:rsid w:val="005176DA"/>
    <w:rsid w:val="0052484D"/>
    <w:rsid w:val="005255B6"/>
    <w:rsid w:val="00525A38"/>
    <w:rsid w:val="00527305"/>
    <w:rsid w:val="0052787C"/>
    <w:rsid w:val="00530504"/>
    <w:rsid w:val="005313D7"/>
    <w:rsid w:val="0053251F"/>
    <w:rsid w:val="00533C54"/>
    <w:rsid w:val="00541AE0"/>
    <w:rsid w:val="00541DAA"/>
    <w:rsid w:val="0054207E"/>
    <w:rsid w:val="005425FD"/>
    <w:rsid w:val="00543764"/>
    <w:rsid w:val="00550446"/>
    <w:rsid w:val="00551536"/>
    <w:rsid w:val="00552EA6"/>
    <w:rsid w:val="005532F9"/>
    <w:rsid w:val="0056102B"/>
    <w:rsid w:val="00562B5B"/>
    <w:rsid w:val="005706C4"/>
    <w:rsid w:val="00572CD6"/>
    <w:rsid w:val="00573262"/>
    <w:rsid w:val="005734E3"/>
    <w:rsid w:val="005737BB"/>
    <w:rsid w:val="00573C43"/>
    <w:rsid w:val="00574818"/>
    <w:rsid w:val="00574DCF"/>
    <w:rsid w:val="00575CBC"/>
    <w:rsid w:val="00580A2F"/>
    <w:rsid w:val="00581CCE"/>
    <w:rsid w:val="00581E3F"/>
    <w:rsid w:val="00582EC4"/>
    <w:rsid w:val="00583355"/>
    <w:rsid w:val="0058336F"/>
    <w:rsid w:val="00583F3B"/>
    <w:rsid w:val="00586BF5"/>
    <w:rsid w:val="0059028F"/>
    <w:rsid w:val="00592C52"/>
    <w:rsid w:val="005938F3"/>
    <w:rsid w:val="0059492F"/>
    <w:rsid w:val="00595AE9"/>
    <w:rsid w:val="00596CCE"/>
    <w:rsid w:val="005A1039"/>
    <w:rsid w:val="005A2AC5"/>
    <w:rsid w:val="005A7CE3"/>
    <w:rsid w:val="005A7DB0"/>
    <w:rsid w:val="005B0D56"/>
    <w:rsid w:val="005B3419"/>
    <w:rsid w:val="005B4F6C"/>
    <w:rsid w:val="005C0187"/>
    <w:rsid w:val="005C0674"/>
    <w:rsid w:val="005C1CF6"/>
    <w:rsid w:val="005C2A11"/>
    <w:rsid w:val="005C55A7"/>
    <w:rsid w:val="005C7196"/>
    <w:rsid w:val="005C747F"/>
    <w:rsid w:val="005D0EF7"/>
    <w:rsid w:val="005D2551"/>
    <w:rsid w:val="005D2E54"/>
    <w:rsid w:val="005E0355"/>
    <w:rsid w:val="005E4F25"/>
    <w:rsid w:val="005E57CF"/>
    <w:rsid w:val="005E7794"/>
    <w:rsid w:val="005F090A"/>
    <w:rsid w:val="005F0EA6"/>
    <w:rsid w:val="005F2752"/>
    <w:rsid w:val="005F28BD"/>
    <w:rsid w:val="005F4A8F"/>
    <w:rsid w:val="00601257"/>
    <w:rsid w:val="006013B9"/>
    <w:rsid w:val="00601CA3"/>
    <w:rsid w:val="00603C32"/>
    <w:rsid w:val="00607F50"/>
    <w:rsid w:val="00610981"/>
    <w:rsid w:val="006120A9"/>
    <w:rsid w:val="006122A5"/>
    <w:rsid w:val="0061237A"/>
    <w:rsid w:val="00612914"/>
    <w:rsid w:val="00616079"/>
    <w:rsid w:val="00621FF9"/>
    <w:rsid w:val="00626347"/>
    <w:rsid w:val="006277F8"/>
    <w:rsid w:val="00630E78"/>
    <w:rsid w:val="00635789"/>
    <w:rsid w:val="00637258"/>
    <w:rsid w:val="00637278"/>
    <w:rsid w:val="006376E2"/>
    <w:rsid w:val="00641DB7"/>
    <w:rsid w:val="00642E53"/>
    <w:rsid w:val="00645C73"/>
    <w:rsid w:val="006464E0"/>
    <w:rsid w:val="00646747"/>
    <w:rsid w:val="00646C80"/>
    <w:rsid w:val="00647F1B"/>
    <w:rsid w:val="0065106C"/>
    <w:rsid w:val="006535AE"/>
    <w:rsid w:val="00653FB7"/>
    <w:rsid w:val="00656728"/>
    <w:rsid w:val="00657001"/>
    <w:rsid w:val="0066122B"/>
    <w:rsid w:val="00662E68"/>
    <w:rsid w:val="00671C85"/>
    <w:rsid w:val="00675083"/>
    <w:rsid w:val="00681966"/>
    <w:rsid w:val="0069115D"/>
    <w:rsid w:val="00691A53"/>
    <w:rsid w:val="00693800"/>
    <w:rsid w:val="0069429F"/>
    <w:rsid w:val="00696851"/>
    <w:rsid w:val="006A0184"/>
    <w:rsid w:val="006A3B16"/>
    <w:rsid w:val="006B0C72"/>
    <w:rsid w:val="006B1350"/>
    <w:rsid w:val="006B34AD"/>
    <w:rsid w:val="006B4ABD"/>
    <w:rsid w:val="006B6454"/>
    <w:rsid w:val="006C00AD"/>
    <w:rsid w:val="006C01F5"/>
    <w:rsid w:val="006C077E"/>
    <w:rsid w:val="006C1537"/>
    <w:rsid w:val="006C15D9"/>
    <w:rsid w:val="006C3775"/>
    <w:rsid w:val="006C6997"/>
    <w:rsid w:val="006C7A38"/>
    <w:rsid w:val="006D02F6"/>
    <w:rsid w:val="006D2179"/>
    <w:rsid w:val="006D3055"/>
    <w:rsid w:val="006D3C26"/>
    <w:rsid w:val="006D70F1"/>
    <w:rsid w:val="006D7533"/>
    <w:rsid w:val="006E2526"/>
    <w:rsid w:val="006E4258"/>
    <w:rsid w:val="006E42C9"/>
    <w:rsid w:val="006E5868"/>
    <w:rsid w:val="006F088A"/>
    <w:rsid w:val="006F1225"/>
    <w:rsid w:val="006F20D6"/>
    <w:rsid w:val="006F2582"/>
    <w:rsid w:val="00704712"/>
    <w:rsid w:val="007054B7"/>
    <w:rsid w:val="0070566E"/>
    <w:rsid w:val="007073CB"/>
    <w:rsid w:val="00707CCB"/>
    <w:rsid w:val="00707D8C"/>
    <w:rsid w:val="00710DA4"/>
    <w:rsid w:val="00711A5A"/>
    <w:rsid w:val="007122A2"/>
    <w:rsid w:val="00716694"/>
    <w:rsid w:val="00720C4E"/>
    <w:rsid w:val="007222B6"/>
    <w:rsid w:val="007222E0"/>
    <w:rsid w:val="00722B4C"/>
    <w:rsid w:val="0072337B"/>
    <w:rsid w:val="007253D3"/>
    <w:rsid w:val="00725DEB"/>
    <w:rsid w:val="007271C9"/>
    <w:rsid w:val="0072779B"/>
    <w:rsid w:val="007304EF"/>
    <w:rsid w:val="0073072C"/>
    <w:rsid w:val="007312A9"/>
    <w:rsid w:val="0073213E"/>
    <w:rsid w:val="007337AB"/>
    <w:rsid w:val="00734508"/>
    <w:rsid w:val="00734A9E"/>
    <w:rsid w:val="00736C10"/>
    <w:rsid w:val="0073795F"/>
    <w:rsid w:val="0074401A"/>
    <w:rsid w:val="00744729"/>
    <w:rsid w:val="00747CD0"/>
    <w:rsid w:val="007521B6"/>
    <w:rsid w:val="00754F97"/>
    <w:rsid w:val="00755CDB"/>
    <w:rsid w:val="0075705B"/>
    <w:rsid w:val="00763352"/>
    <w:rsid w:val="007650C5"/>
    <w:rsid w:val="00770EEB"/>
    <w:rsid w:val="007729DC"/>
    <w:rsid w:val="00775B3A"/>
    <w:rsid w:val="0078155C"/>
    <w:rsid w:val="00782CEF"/>
    <w:rsid w:val="00784632"/>
    <w:rsid w:val="007859F4"/>
    <w:rsid w:val="00786477"/>
    <w:rsid w:val="00790270"/>
    <w:rsid w:val="007916A9"/>
    <w:rsid w:val="00792711"/>
    <w:rsid w:val="007933E2"/>
    <w:rsid w:val="00794D35"/>
    <w:rsid w:val="007A0244"/>
    <w:rsid w:val="007A294B"/>
    <w:rsid w:val="007A2A7B"/>
    <w:rsid w:val="007A34BD"/>
    <w:rsid w:val="007A43AC"/>
    <w:rsid w:val="007A4D8D"/>
    <w:rsid w:val="007A683F"/>
    <w:rsid w:val="007A6A99"/>
    <w:rsid w:val="007A6ED1"/>
    <w:rsid w:val="007B0000"/>
    <w:rsid w:val="007B0ACA"/>
    <w:rsid w:val="007B11FF"/>
    <w:rsid w:val="007B1448"/>
    <w:rsid w:val="007B173A"/>
    <w:rsid w:val="007B1E72"/>
    <w:rsid w:val="007B266A"/>
    <w:rsid w:val="007B3744"/>
    <w:rsid w:val="007B3F97"/>
    <w:rsid w:val="007B4FCF"/>
    <w:rsid w:val="007B507E"/>
    <w:rsid w:val="007B50B7"/>
    <w:rsid w:val="007B6365"/>
    <w:rsid w:val="007C1CFA"/>
    <w:rsid w:val="007C3A35"/>
    <w:rsid w:val="007C48B3"/>
    <w:rsid w:val="007C58C8"/>
    <w:rsid w:val="007C6115"/>
    <w:rsid w:val="007D0899"/>
    <w:rsid w:val="007D2496"/>
    <w:rsid w:val="007D28F2"/>
    <w:rsid w:val="007D2FD9"/>
    <w:rsid w:val="007D342F"/>
    <w:rsid w:val="007D64F3"/>
    <w:rsid w:val="007D728A"/>
    <w:rsid w:val="007D7803"/>
    <w:rsid w:val="007E17FB"/>
    <w:rsid w:val="007E2AA2"/>
    <w:rsid w:val="007E3ED4"/>
    <w:rsid w:val="007E6865"/>
    <w:rsid w:val="007F1584"/>
    <w:rsid w:val="007F215E"/>
    <w:rsid w:val="007F3406"/>
    <w:rsid w:val="007F5F8A"/>
    <w:rsid w:val="007F64C4"/>
    <w:rsid w:val="007F6905"/>
    <w:rsid w:val="0081047B"/>
    <w:rsid w:val="00811693"/>
    <w:rsid w:val="00812F36"/>
    <w:rsid w:val="00817057"/>
    <w:rsid w:val="008217AE"/>
    <w:rsid w:val="008218B8"/>
    <w:rsid w:val="00821D04"/>
    <w:rsid w:val="008225EB"/>
    <w:rsid w:val="00822778"/>
    <w:rsid w:val="008231C4"/>
    <w:rsid w:val="00825E5A"/>
    <w:rsid w:val="008279A3"/>
    <w:rsid w:val="008303E4"/>
    <w:rsid w:val="00830C16"/>
    <w:rsid w:val="00833B29"/>
    <w:rsid w:val="00834BF4"/>
    <w:rsid w:val="00836CD3"/>
    <w:rsid w:val="00841F2B"/>
    <w:rsid w:val="008422F0"/>
    <w:rsid w:val="008441EB"/>
    <w:rsid w:val="00844A38"/>
    <w:rsid w:val="00850367"/>
    <w:rsid w:val="00854283"/>
    <w:rsid w:val="00855581"/>
    <w:rsid w:val="0085718E"/>
    <w:rsid w:val="00861B6F"/>
    <w:rsid w:val="00864143"/>
    <w:rsid w:val="00865BBB"/>
    <w:rsid w:val="008710E2"/>
    <w:rsid w:val="008715DF"/>
    <w:rsid w:val="00873711"/>
    <w:rsid w:val="00881CBB"/>
    <w:rsid w:val="00883774"/>
    <w:rsid w:val="00884ACD"/>
    <w:rsid w:val="00884F1E"/>
    <w:rsid w:val="008869FA"/>
    <w:rsid w:val="008923E6"/>
    <w:rsid w:val="0089382E"/>
    <w:rsid w:val="00894329"/>
    <w:rsid w:val="00895414"/>
    <w:rsid w:val="00896C41"/>
    <w:rsid w:val="008A0033"/>
    <w:rsid w:val="008A03B4"/>
    <w:rsid w:val="008A0F72"/>
    <w:rsid w:val="008A1CA9"/>
    <w:rsid w:val="008A294C"/>
    <w:rsid w:val="008B0D2A"/>
    <w:rsid w:val="008B0EDD"/>
    <w:rsid w:val="008B28B8"/>
    <w:rsid w:val="008B31C4"/>
    <w:rsid w:val="008C0A26"/>
    <w:rsid w:val="008C1F04"/>
    <w:rsid w:val="008C27AB"/>
    <w:rsid w:val="008C4A32"/>
    <w:rsid w:val="008C4B46"/>
    <w:rsid w:val="008C4E21"/>
    <w:rsid w:val="008C6DBC"/>
    <w:rsid w:val="008D00EC"/>
    <w:rsid w:val="008D21C6"/>
    <w:rsid w:val="008D42B0"/>
    <w:rsid w:val="008D4661"/>
    <w:rsid w:val="008D4C27"/>
    <w:rsid w:val="008D5674"/>
    <w:rsid w:val="008E031C"/>
    <w:rsid w:val="008E2BBB"/>
    <w:rsid w:val="008E3540"/>
    <w:rsid w:val="008E458B"/>
    <w:rsid w:val="008E6159"/>
    <w:rsid w:val="008E7646"/>
    <w:rsid w:val="008F02A2"/>
    <w:rsid w:val="008F1DE0"/>
    <w:rsid w:val="008F4659"/>
    <w:rsid w:val="008F5970"/>
    <w:rsid w:val="008F5D4F"/>
    <w:rsid w:val="008F7D88"/>
    <w:rsid w:val="00904905"/>
    <w:rsid w:val="0090717D"/>
    <w:rsid w:val="00911B8E"/>
    <w:rsid w:val="00912A0D"/>
    <w:rsid w:val="00913CEE"/>
    <w:rsid w:val="00914C23"/>
    <w:rsid w:val="00915711"/>
    <w:rsid w:val="00915B5A"/>
    <w:rsid w:val="00924C70"/>
    <w:rsid w:val="0092727D"/>
    <w:rsid w:val="00931BBF"/>
    <w:rsid w:val="00932078"/>
    <w:rsid w:val="00934A86"/>
    <w:rsid w:val="00934AA5"/>
    <w:rsid w:val="00936A93"/>
    <w:rsid w:val="0093739E"/>
    <w:rsid w:val="00940866"/>
    <w:rsid w:val="009408EC"/>
    <w:rsid w:val="00940D3E"/>
    <w:rsid w:val="0094123C"/>
    <w:rsid w:val="00941799"/>
    <w:rsid w:val="009439F9"/>
    <w:rsid w:val="00945019"/>
    <w:rsid w:val="00945AF6"/>
    <w:rsid w:val="00946038"/>
    <w:rsid w:val="009540CC"/>
    <w:rsid w:val="009613D1"/>
    <w:rsid w:val="009620ED"/>
    <w:rsid w:val="00963EB0"/>
    <w:rsid w:val="00964A4B"/>
    <w:rsid w:val="009716C1"/>
    <w:rsid w:val="00971A10"/>
    <w:rsid w:val="009730D3"/>
    <w:rsid w:val="00975B71"/>
    <w:rsid w:val="0097756D"/>
    <w:rsid w:val="00980F3C"/>
    <w:rsid w:val="009865DA"/>
    <w:rsid w:val="00986755"/>
    <w:rsid w:val="00992564"/>
    <w:rsid w:val="00997E15"/>
    <w:rsid w:val="009A01A4"/>
    <w:rsid w:val="009A184A"/>
    <w:rsid w:val="009A2145"/>
    <w:rsid w:val="009A4BA4"/>
    <w:rsid w:val="009A6DB0"/>
    <w:rsid w:val="009B2636"/>
    <w:rsid w:val="009B322C"/>
    <w:rsid w:val="009C125A"/>
    <w:rsid w:val="009C1B44"/>
    <w:rsid w:val="009C7164"/>
    <w:rsid w:val="009D063A"/>
    <w:rsid w:val="009D4460"/>
    <w:rsid w:val="009E153C"/>
    <w:rsid w:val="009E19FD"/>
    <w:rsid w:val="009E1E3E"/>
    <w:rsid w:val="009E215B"/>
    <w:rsid w:val="009F136E"/>
    <w:rsid w:val="009F5A11"/>
    <w:rsid w:val="009F68A3"/>
    <w:rsid w:val="009F68C7"/>
    <w:rsid w:val="00A0510D"/>
    <w:rsid w:val="00A05330"/>
    <w:rsid w:val="00A060D4"/>
    <w:rsid w:val="00A119B0"/>
    <w:rsid w:val="00A11BDC"/>
    <w:rsid w:val="00A11C81"/>
    <w:rsid w:val="00A13A3B"/>
    <w:rsid w:val="00A205BF"/>
    <w:rsid w:val="00A20F4B"/>
    <w:rsid w:val="00A22253"/>
    <w:rsid w:val="00A25CA6"/>
    <w:rsid w:val="00A27517"/>
    <w:rsid w:val="00A353E6"/>
    <w:rsid w:val="00A35798"/>
    <w:rsid w:val="00A37D34"/>
    <w:rsid w:val="00A405D6"/>
    <w:rsid w:val="00A440FD"/>
    <w:rsid w:val="00A44584"/>
    <w:rsid w:val="00A4569B"/>
    <w:rsid w:val="00A461AE"/>
    <w:rsid w:val="00A4671B"/>
    <w:rsid w:val="00A500C9"/>
    <w:rsid w:val="00A55850"/>
    <w:rsid w:val="00A5595A"/>
    <w:rsid w:val="00A56D93"/>
    <w:rsid w:val="00A57B8F"/>
    <w:rsid w:val="00A625D2"/>
    <w:rsid w:val="00A637F0"/>
    <w:rsid w:val="00A651AD"/>
    <w:rsid w:val="00A6737D"/>
    <w:rsid w:val="00A70F27"/>
    <w:rsid w:val="00A73F05"/>
    <w:rsid w:val="00A768C5"/>
    <w:rsid w:val="00A7698B"/>
    <w:rsid w:val="00A80227"/>
    <w:rsid w:val="00A803BA"/>
    <w:rsid w:val="00A809B5"/>
    <w:rsid w:val="00A81AE0"/>
    <w:rsid w:val="00A82E77"/>
    <w:rsid w:val="00A83CA5"/>
    <w:rsid w:val="00A85784"/>
    <w:rsid w:val="00A85BAA"/>
    <w:rsid w:val="00A910DE"/>
    <w:rsid w:val="00A9298F"/>
    <w:rsid w:val="00A93C58"/>
    <w:rsid w:val="00A94377"/>
    <w:rsid w:val="00A97267"/>
    <w:rsid w:val="00AA1F05"/>
    <w:rsid w:val="00AA2488"/>
    <w:rsid w:val="00AA30F2"/>
    <w:rsid w:val="00AA5D3A"/>
    <w:rsid w:val="00AA64FB"/>
    <w:rsid w:val="00AB0859"/>
    <w:rsid w:val="00AB11AF"/>
    <w:rsid w:val="00AB2073"/>
    <w:rsid w:val="00AB21ED"/>
    <w:rsid w:val="00AB497D"/>
    <w:rsid w:val="00AB51BE"/>
    <w:rsid w:val="00AC0202"/>
    <w:rsid w:val="00AC2E2C"/>
    <w:rsid w:val="00AC5232"/>
    <w:rsid w:val="00AD4420"/>
    <w:rsid w:val="00AD4AC7"/>
    <w:rsid w:val="00AD52F4"/>
    <w:rsid w:val="00AD7FA9"/>
    <w:rsid w:val="00AE2C77"/>
    <w:rsid w:val="00AE38C5"/>
    <w:rsid w:val="00AE4142"/>
    <w:rsid w:val="00AE47A9"/>
    <w:rsid w:val="00AE4FD3"/>
    <w:rsid w:val="00AE57CB"/>
    <w:rsid w:val="00AE770E"/>
    <w:rsid w:val="00AF4AA5"/>
    <w:rsid w:val="00AF5030"/>
    <w:rsid w:val="00AF5876"/>
    <w:rsid w:val="00AF6357"/>
    <w:rsid w:val="00AF7C31"/>
    <w:rsid w:val="00AF7D23"/>
    <w:rsid w:val="00B00219"/>
    <w:rsid w:val="00B0032F"/>
    <w:rsid w:val="00B00EAF"/>
    <w:rsid w:val="00B02FAB"/>
    <w:rsid w:val="00B050CD"/>
    <w:rsid w:val="00B10538"/>
    <w:rsid w:val="00B125DB"/>
    <w:rsid w:val="00B13F3D"/>
    <w:rsid w:val="00B15165"/>
    <w:rsid w:val="00B165C8"/>
    <w:rsid w:val="00B219D8"/>
    <w:rsid w:val="00B22DD9"/>
    <w:rsid w:val="00B23118"/>
    <w:rsid w:val="00B243EB"/>
    <w:rsid w:val="00B279DA"/>
    <w:rsid w:val="00B30C3B"/>
    <w:rsid w:val="00B334D8"/>
    <w:rsid w:val="00B357F2"/>
    <w:rsid w:val="00B37F2D"/>
    <w:rsid w:val="00B40061"/>
    <w:rsid w:val="00B40EA9"/>
    <w:rsid w:val="00B42C14"/>
    <w:rsid w:val="00B436AE"/>
    <w:rsid w:val="00B4640D"/>
    <w:rsid w:val="00B520A0"/>
    <w:rsid w:val="00B53CAB"/>
    <w:rsid w:val="00B560E7"/>
    <w:rsid w:val="00B57480"/>
    <w:rsid w:val="00B6230C"/>
    <w:rsid w:val="00B63557"/>
    <w:rsid w:val="00B639F5"/>
    <w:rsid w:val="00B648C1"/>
    <w:rsid w:val="00B64A68"/>
    <w:rsid w:val="00B65D87"/>
    <w:rsid w:val="00B70799"/>
    <w:rsid w:val="00B72CA1"/>
    <w:rsid w:val="00B742F2"/>
    <w:rsid w:val="00B76E63"/>
    <w:rsid w:val="00B804DF"/>
    <w:rsid w:val="00B833B8"/>
    <w:rsid w:val="00B85875"/>
    <w:rsid w:val="00B86C9A"/>
    <w:rsid w:val="00B8754B"/>
    <w:rsid w:val="00B87BB0"/>
    <w:rsid w:val="00B90B22"/>
    <w:rsid w:val="00B92393"/>
    <w:rsid w:val="00B9373E"/>
    <w:rsid w:val="00B94DA1"/>
    <w:rsid w:val="00B965EC"/>
    <w:rsid w:val="00B969D6"/>
    <w:rsid w:val="00BA1472"/>
    <w:rsid w:val="00BA14ED"/>
    <w:rsid w:val="00BA3B6B"/>
    <w:rsid w:val="00BA419D"/>
    <w:rsid w:val="00BA42E5"/>
    <w:rsid w:val="00BA4FDB"/>
    <w:rsid w:val="00BA5165"/>
    <w:rsid w:val="00BA6894"/>
    <w:rsid w:val="00BA6A0A"/>
    <w:rsid w:val="00BB257C"/>
    <w:rsid w:val="00BB2BAB"/>
    <w:rsid w:val="00BB3E7F"/>
    <w:rsid w:val="00BB5822"/>
    <w:rsid w:val="00BB6854"/>
    <w:rsid w:val="00BC00CF"/>
    <w:rsid w:val="00BC13BC"/>
    <w:rsid w:val="00BC72CF"/>
    <w:rsid w:val="00BC742E"/>
    <w:rsid w:val="00BD185A"/>
    <w:rsid w:val="00BD3962"/>
    <w:rsid w:val="00BD7A3B"/>
    <w:rsid w:val="00BE2AC1"/>
    <w:rsid w:val="00BE2AE9"/>
    <w:rsid w:val="00BF2CE2"/>
    <w:rsid w:val="00BF52BB"/>
    <w:rsid w:val="00BF54F6"/>
    <w:rsid w:val="00BF574C"/>
    <w:rsid w:val="00BF5B07"/>
    <w:rsid w:val="00BF6890"/>
    <w:rsid w:val="00BF7D5E"/>
    <w:rsid w:val="00C00F1D"/>
    <w:rsid w:val="00C05F2D"/>
    <w:rsid w:val="00C07355"/>
    <w:rsid w:val="00C07629"/>
    <w:rsid w:val="00C07ED5"/>
    <w:rsid w:val="00C107F0"/>
    <w:rsid w:val="00C110FD"/>
    <w:rsid w:val="00C123A0"/>
    <w:rsid w:val="00C17DF5"/>
    <w:rsid w:val="00C21E32"/>
    <w:rsid w:val="00C226D5"/>
    <w:rsid w:val="00C272BB"/>
    <w:rsid w:val="00C27CB5"/>
    <w:rsid w:val="00C30320"/>
    <w:rsid w:val="00C31731"/>
    <w:rsid w:val="00C317A6"/>
    <w:rsid w:val="00C32537"/>
    <w:rsid w:val="00C34FDA"/>
    <w:rsid w:val="00C408BD"/>
    <w:rsid w:val="00C419C5"/>
    <w:rsid w:val="00C41EB1"/>
    <w:rsid w:val="00C4536D"/>
    <w:rsid w:val="00C453E2"/>
    <w:rsid w:val="00C45955"/>
    <w:rsid w:val="00C46C84"/>
    <w:rsid w:val="00C47E82"/>
    <w:rsid w:val="00C52C38"/>
    <w:rsid w:val="00C54D43"/>
    <w:rsid w:val="00C55838"/>
    <w:rsid w:val="00C60D98"/>
    <w:rsid w:val="00C622D9"/>
    <w:rsid w:val="00C6548A"/>
    <w:rsid w:val="00C67285"/>
    <w:rsid w:val="00C701CD"/>
    <w:rsid w:val="00C712AF"/>
    <w:rsid w:val="00C716A5"/>
    <w:rsid w:val="00C717B3"/>
    <w:rsid w:val="00C7185B"/>
    <w:rsid w:val="00C757B2"/>
    <w:rsid w:val="00C75848"/>
    <w:rsid w:val="00C76018"/>
    <w:rsid w:val="00C7662B"/>
    <w:rsid w:val="00C91D58"/>
    <w:rsid w:val="00C91E88"/>
    <w:rsid w:val="00C91E89"/>
    <w:rsid w:val="00C92C4E"/>
    <w:rsid w:val="00C933A4"/>
    <w:rsid w:val="00C94076"/>
    <w:rsid w:val="00C940B5"/>
    <w:rsid w:val="00C958B9"/>
    <w:rsid w:val="00C95928"/>
    <w:rsid w:val="00C96DE7"/>
    <w:rsid w:val="00CA02F2"/>
    <w:rsid w:val="00CA1AAD"/>
    <w:rsid w:val="00CA4087"/>
    <w:rsid w:val="00CA7613"/>
    <w:rsid w:val="00CB031F"/>
    <w:rsid w:val="00CB0826"/>
    <w:rsid w:val="00CB0CBC"/>
    <w:rsid w:val="00CB1500"/>
    <w:rsid w:val="00CC19AA"/>
    <w:rsid w:val="00CC5446"/>
    <w:rsid w:val="00CC5FE7"/>
    <w:rsid w:val="00CC6AA1"/>
    <w:rsid w:val="00CC753C"/>
    <w:rsid w:val="00CC7FBC"/>
    <w:rsid w:val="00CD383C"/>
    <w:rsid w:val="00CD4702"/>
    <w:rsid w:val="00CD6109"/>
    <w:rsid w:val="00CD6354"/>
    <w:rsid w:val="00CD7337"/>
    <w:rsid w:val="00CE00CD"/>
    <w:rsid w:val="00CE0FB0"/>
    <w:rsid w:val="00CE2EC7"/>
    <w:rsid w:val="00CE3BDE"/>
    <w:rsid w:val="00CF31D3"/>
    <w:rsid w:val="00CF3FAF"/>
    <w:rsid w:val="00CF4A41"/>
    <w:rsid w:val="00CF4AD0"/>
    <w:rsid w:val="00CF4EB8"/>
    <w:rsid w:val="00CF5768"/>
    <w:rsid w:val="00CF77D9"/>
    <w:rsid w:val="00D017F1"/>
    <w:rsid w:val="00D0293E"/>
    <w:rsid w:val="00D032F2"/>
    <w:rsid w:val="00D03CE0"/>
    <w:rsid w:val="00D04434"/>
    <w:rsid w:val="00D05520"/>
    <w:rsid w:val="00D055BF"/>
    <w:rsid w:val="00D05CAF"/>
    <w:rsid w:val="00D06AB8"/>
    <w:rsid w:val="00D0793A"/>
    <w:rsid w:val="00D0799F"/>
    <w:rsid w:val="00D105CB"/>
    <w:rsid w:val="00D10657"/>
    <w:rsid w:val="00D11BB8"/>
    <w:rsid w:val="00D12323"/>
    <w:rsid w:val="00D12A62"/>
    <w:rsid w:val="00D13DF7"/>
    <w:rsid w:val="00D14C79"/>
    <w:rsid w:val="00D15787"/>
    <w:rsid w:val="00D20B39"/>
    <w:rsid w:val="00D218F4"/>
    <w:rsid w:val="00D269B6"/>
    <w:rsid w:val="00D270D1"/>
    <w:rsid w:val="00D279F2"/>
    <w:rsid w:val="00D30E6F"/>
    <w:rsid w:val="00D34E4B"/>
    <w:rsid w:val="00D36220"/>
    <w:rsid w:val="00D3647D"/>
    <w:rsid w:val="00D3766E"/>
    <w:rsid w:val="00D41468"/>
    <w:rsid w:val="00D42A2A"/>
    <w:rsid w:val="00D42E36"/>
    <w:rsid w:val="00D43FC9"/>
    <w:rsid w:val="00D44255"/>
    <w:rsid w:val="00D46AFD"/>
    <w:rsid w:val="00D5115B"/>
    <w:rsid w:val="00D53E2F"/>
    <w:rsid w:val="00D55569"/>
    <w:rsid w:val="00D568B9"/>
    <w:rsid w:val="00D61678"/>
    <w:rsid w:val="00D63D76"/>
    <w:rsid w:val="00D643AC"/>
    <w:rsid w:val="00D67EFE"/>
    <w:rsid w:val="00D71392"/>
    <w:rsid w:val="00D72D14"/>
    <w:rsid w:val="00D76EC7"/>
    <w:rsid w:val="00D804C6"/>
    <w:rsid w:val="00D80B68"/>
    <w:rsid w:val="00D82B6A"/>
    <w:rsid w:val="00D83A74"/>
    <w:rsid w:val="00D83FF5"/>
    <w:rsid w:val="00D87A50"/>
    <w:rsid w:val="00D929DB"/>
    <w:rsid w:val="00D937D5"/>
    <w:rsid w:val="00D93E20"/>
    <w:rsid w:val="00D95FE8"/>
    <w:rsid w:val="00DA0157"/>
    <w:rsid w:val="00DA1ECC"/>
    <w:rsid w:val="00DA2D98"/>
    <w:rsid w:val="00DA7D90"/>
    <w:rsid w:val="00DB1C01"/>
    <w:rsid w:val="00DB3029"/>
    <w:rsid w:val="00DB3E66"/>
    <w:rsid w:val="00DC2836"/>
    <w:rsid w:val="00DC287E"/>
    <w:rsid w:val="00DC453D"/>
    <w:rsid w:val="00DC4D2E"/>
    <w:rsid w:val="00DD2C88"/>
    <w:rsid w:val="00DD2E30"/>
    <w:rsid w:val="00DE3BCC"/>
    <w:rsid w:val="00DE4AC3"/>
    <w:rsid w:val="00DE532C"/>
    <w:rsid w:val="00DE5612"/>
    <w:rsid w:val="00DE6181"/>
    <w:rsid w:val="00DF0CC8"/>
    <w:rsid w:val="00DF21EC"/>
    <w:rsid w:val="00DF2AF8"/>
    <w:rsid w:val="00DF4025"/>
    <w:rsid w:val="00DF445A"/>
    <w:rsid w:val="00DF6CED"/>
    <w:rsid w:val="00DF73F2"/>
    <w:rsid w:val="00E0050F"/>
    <w:rsid w:val="00E04D11"/>
    <w:rsid w:val="00E052E8"/>
    <w:rsid w:val="00E05765"/>
    <w:rsid w:val="00E05BF0"/>
    <w:rsid w:val="00E10992"/>
    <w:rsid w:val="00E12414"/>
    <w:rsid w:val="00E139BF"/>
    <w:rsid w:val="00E17A34"/>
    <w:rsid w:val="00E2087A"/>
    <w:rsid w:val="00E24605"/>
    <w:rsid w:val="00E33FC5"/>
    <w:rsid w:val="00E34779"/>
    <w:rsid w:val="00E3674F"/>
    <w:rsid w:val="00E36A3F"/>
    <w:rsid w:val="00E4011D"/>
    <w:rsid w:val="00E4189F"/>
    <w:rsid w:val="00E436D7"/>
    <w:rsid w:val="00E43B51"/>
    <w:rsid w:val="00E43BC0"/>
    <w:rsid w:val="00E47302"/>
    <w:rsid w:val="00E47C0E"/>
    <w:rsid w:val="00E5299E"/>
    <w:rsid w:val="00E52D87"/>
    <w:rsid w:val="00E53348"/>
    <w:rsid w:val="00E5675F"/>
    <w:rsid w:val="00E57320"/>
    <w:rsid w:val="00E6092E"/>
    <w:rsid w:val="00E639F3"/>
    <w:rsid w:val="00E6522D"/>
    <w:rsid w:val="00E67027"/>
    <w:rsid w:val="00E678BA"/>
    <w:rsid w:val="00E67945"/>
    <w:rsid w:val="00E70966"/>
    <w:rsid w:val="00E71F7C"/>
    <w:rsid w:val="00E745E2"/>
    <w:rsid w:val="00E74D85"/>
    <w:rsid w:val="00E75163"/>
    <w:rsid w:val="00E77B20"/>
    <w:rsid w:val="00E82088"/>
    <w:rsid w:val="00E82D41"/>
    <w:rsid w:val="00E85DF0"/>
    <w:rsid w:val="00E91EEE"/>
    <w:rsid w:val="00E9294C"/>
    <w:rsid w:val="00E9727D"/>
    <w:rsid w:val="00EA1083"/>
    <w:rsid w:val="00EA124D"/>
    <w:rsid w:val="00EA4837"/>
    <w:rsid w:val="00EA4E62"/>
    <w:rsid w:val="00EA662C"/>
    <w:rsid w:val="00EA7C9D"/>
    <w:rsid w:val="00EB195E"/>
    <w:rsid w:val="00EB5B59"/>
    <w:rsid w:val="00EC0649"/>
    <w:rsid w:val="00EC1A0F"/>
    <w:rsid w:val="00EC2A9F"/>
    <w:rsid w:val="00EC6A2B"/>
    <w:rsid w:val="00ED4C3F"/>
    <w:rsid w:val="00ED6D5F"/>
    <w:rsid w:val="00ED7F8D"/>
    <w:rsid w:val="00EE097B"/>
    <w:rsid w:val="00EE1A27"/>
    <w:rsid w:val="00EE326B"/>
    <w:rsid w:val="00EE34B7"/>
    <w:rsid w:val="00EE3776"/>
    <w:rsid w:val="00EF3AED"/>
    <w:rsid w:val="00EF3B1B"/>
    <w:rsid w:val="00EF5209"/>
    <w:rsid w:val="00F01AF6"/>
    <w:rsid w:val="00F01E0D"/>
    <w:rsid w:val="00F02E62"/>
    <w:rsid w:val="00F059F3"/>
    <w:rsid w:val="00F06E06"/>
    <w:rsid w:val="00F07AD9"/>
    <w:rsid w:val="00F10F96"/>
    <w:rsid w:val="00F12A00"/>
    <w:rsid w:val="00F16418"/>
    <w:rsid w:val="00F1771F"/>
    <w:rsid w:val="00F26637"/>
    <w:rsid w:val="00F30763"/>
    <w:rsid w:val="00F31CA6"/>
    <w:rsid w:val="00F3371B"/>
    <w:rsid w:val="00F34DC7"/>
    <w:rsid w:val="00F34E8E"/>
    <w:rsid w:val="00F35461"/>
    <w:rsid w:val="00F35B3C"/>
    <w:rsid w:val="00F4089B"/>
    <w:rsid w:val="00F419DB"/>
    <w:rsid w:val="00F41BCE"/>
    <w:rsid w:val="00F41FE1"/>
    <w:rsid w:val="00F45E86"/>
    <w:rsid w:val="00F46FC9"/>
    <w:rsid w:val="00F477E1"/>
    <w:rsid w:val="00F520E8"/>
    <w:rsid w:val="00F53140"/>
    <w:rsid w:val="00F53309"/>
    <w:rsid w:val="00F55607"/>
    <w:rsid w:val="00F56ABA"/>
    <w:rsid w:val="00F620A6"/>
    <w:rsid w:val="00F62417"/>
    <w:rsid w:val="00F6674E"/>
    <w:rsid w:val="00F67270"/>
    <w:rsid w:val="00F702BC"/>
    <w:rsid w:val="00F72E34"/>
    <w:rsid w:val="00F73C37"/>
    <w:rsid w:val="00F759A5"/>
    <w:rsid w:val="00F7636A"/>
    <w:rsid w:val="00F77D5A"/>
    <w:rsid w:val="00F80A11"/>
    <w:rsid w:val="00F814B5"/>
    <w:rsid w:val="00F838A5"/>
    <w:rsid w:val="00F842D0"/>
    <w:rsid w:val="00F84673"/>
    <w:rsid w:val="00F94194"/>
    <w:rsid w:val="00F967C1"/>
    <w:rsid w:val="00F96BC2"/>
    <w:rsid w:val="00FA041E"/>
    <w:rsid w:val="00FA10B9"/>
    <w:rsid w:val="00FA1797"/>
    <w:rsid w:val="00FA20AA"/>
    <w:rsid w:val="00FA2BBF"/>
    <w:rsid w:val="00FA302B"/>
    <w:rsid w:val="00FA594C"/>
    <w:rsid w:val="00FA5C97"/>
    <w:rsid w:val="00FA670A"/>
    <w:rsid w:val="00FA74FC"/>
    <w:rsid w:val="00FA7D49"/>
    <w:rsid w:val="00FB16C3"/>
    <w:rsid w:val="00FB1A2F"/>
    <w:rsid w:val="00FB6545"/>
    <w:rsid w:val="00FB6FE3"/>
    <w:rsid w:val="00FC245C"/>
    <w:rsid w:val="00FC2AD6"/>
    <w:rsid w:val="00FC2F5F"/>
    <w:rsid w:val="00FC3697"/>
    <w:rsid w:val="00FC4CCE"/>
    <w:rsid w:val="00FC611E"/>
    <w:rsid w:val="00FD0BA5"/>
    <w:rsid w:val="00FD18CF"/>
    <w:rsid w:val="00FD1AAE"/>
    <w:rsid w:val="00FD252A"/>
    <w:rsid w:val="00FD331A"/>
    <w:rsid w:val="00FD6369"/>
    <w:rsid w:val="00FD6A4C"/>
    <w:rsid w:val="00FD7C2F"/>
    <w:rsid w:val="00FE04FD"/>
    <w:rsid w:val="00FE0B44"/>
    <w:rsid w:val="00FE2CED"/>
    <w:rsid w:val="00FE3937"/>
    <w:rsid w:val="00FE7320"/>
    <w:rsid w:val="00FE7624"/>
    <w:rsid w:val="00FF4022"/>
    <w:rsid w:val="00FF4183"/>
    <w:rsid w:val="00FF4D17"/>
    <w:rsid w:val="00FF4FB4"/>
    <w:rsid w:val="00FF5556"/>
    <w:rsid w:val="00FF5AF9"/>
    <w:rsid w:val="00FF749A"/>
    <w:rsid w:val="00FF75D4"/>
    <w:rsid w:val="0F3768C1"/>
    <w:rsid w:val="16AF699F"/>
    <w:rsid w:val="196D5FA2"/>
    <w:rsid w:val="21D7A98E"/>
    <w:rsid w:val="41F35168"/>
    <w:rsid w:val="4A6DC7F5"/>
    <w:rsid w:val="541D18E1"/>
    <w:rsid w:val="621E38DA"/>
    <w:rsid w:val="62A4F6AA"/>
    <w:rsid w:val="63FF39F9"/>
    <w:rsid w:val="7AA19D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798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FERCparanumber"/>
    <w:qFormat/>
    <w:rsid w:val="00817057"/>
    <w:pPr>
      <w:keepNext/>
      <w:keepLines/>
      <w:widowControl/>
      <w:numPr>
        <w:numId w:val="4"/>
      </w:numPr>
      <w:spacing w:after="260"/>
      <w:outlineLvl w:val="0"/>
    </w:pPr>
    <w:rPr>
      <w:b/>
      <w:bCs/>
      <w:kern w:val="32"/>
      <w:sz w:val="26"/>
      <w:szCs w:val="36"/>
      <w:u w:val="single"/>
    </w:rPr>
  </w:style>
  <w:style w:type="paragraph" w:styleId="Heading2">
    <w:name w:val="heading 2"/>
    <w:basedOn w:val="Normal"/>
    <w:next w:val="FERCparanumber"/>
    <w:qFormat/>
    <w:rsid w:val="00817057"/>
    <w:pPr>
      <w:keepNext/>
      <w:keepLines/>
      <w:widowControl/>
      <w:numPr>
        <w:ilvl w:val="1"/>
        <w:numId w:val="4"/>
      </w:numPr>
      <w:spacing w:after="260"/>
      <w:outlineLvl w:val="1"/>
    </w:pPr>
    <w:rPr>
      <w:b/>
      <w:bCs/>
      <w:iCs/>
      <w:kern w:val="32"/>
      <w:sz w:val="26"/>
      <w:szCs w:val="32"/>
      <w:u w:val="single"/>
    </w:rPr>
  </w:style>
  <w:style w:type="paragraph" w:styleId="Heading3">
    <w:name w:val="heading 3"/>
    <w:basedOn w:val="Normal"/>
    <w:next w:val="FERCparanumber"/>
    <w:qFormat/>
    <w:rsid w:val="00817057"/>
    <w:pPr>
      <w:keepNext/>
      <w:keepLines/>
      <w:widowControl/>
      <w:numPr>
        <w:ilvl w:val="2"/>
        <w:numId w:val="4"/>
      </w:numPr>
      <w:spacing w:after="260"/>
      <w:outlineLvl w:val="2"/>
    </w:pPr>
    <w:rPr>
      <w:b/>
      <w:bCs/>
      <w:kern w:val="32"/>
      <w:sz w:val="26"/>
      <w:szCs w:val="32"/>
      <w:u w:val="single"/>
    </w:rPr>
  </w:style>
  <w:style w:type="paragraph" w:styleId="Heading4">
    <w:name w:val="heading 4"/>
    <w:aliases w:val="Heading 4 Char,Heading 4 Char Char"/>
    <w:basedOn w:val="Normal"/>
    <w:next w:val="FERCparanumber"/>
    <w:qFormat/>
    <w:rsid w:val="00817057"/>
    <w:pPr>
      <w:keepNext/>
      <w:keepLines/>
      <w:widowControl/>
      <w:numPr>
        <w:ilvl w:val="3"/>
        <w:numId w:val="4"/>
      </w:numPr>
      <w:spacing w:after="260"/>
      <w:outlineLvl w:val="3"/>
    </w:pPr>
    <w:rPr>
      <w:b/>
      <w:bCs/>
      <w:kern w:val="32"/>
      <w:sz w:val="26"/>
      <w:szCs w:val="28"/>
      <w:u w:val="single"/>
    </w:rPr>
  </w:style>
  <w:style w:type="paragraph" w:styleId="Heading5">
    <w:name w:val="heading 5"/>
    <w:basedOn w:val="Normal"/>
    <w:next w:val="FERCparanumber"/>
    <w:qFormat/>
    <w:rsid w:val="00817057"/>
    <w:pPr>
      <w:keepNext/>
      <w:keepLines/>
      <w:widowControl/>
      <w:numPr>
        <w:ilvl w:val="4"/>
        <w:numId w:val="4"/>
      </w:numPr>
      <w:spacing w:after="260"/>
      <w:outlineLvl w:val="4"/>
    </w:pPr>
    <w:rPr>
      <w:b/>
      <w:bCs/>
      <w:iCs/>
      <w:kern w:val="32"/>
      <w:sz w:val="26"/>
      <w:szCs w:val="26"/>
      <w:u w:val="single"/>
    </w:rPr>
  </w:style>
  <w:style w:type="paragraph" w:styleId="Heading6">
    <w:name w:val="heading 6"/>
    <w:basedOn w:val="Normal"/>
    <w:next w:val="FERCparanumber"/>
    <w:qFormat/>
    <w:rsid w:val="00817057"/>
    <w:pPr>
      <w:keepNext/>
      <w:keepLines/>
      <w:widowControl/>
      <w:numPr>
        <w:ilvl w:val="5"/>
        <w:numId w:val="4"/>
      </w:numPr>
      <w:spacing w:after="260"/>
      <w:outlineLvl w:val="5"/>
    </w:pPr>
    <w:rPr>
      <w:b/>
      <w:bCs/>
      <w:kern w:val="32"/>
      <w:sz w:val="26"/>
      <w:szCs w:val="22"/>
      <w:u w:val="single"/>
    </w:rPr>
  </w:style>
  <w:style w:type="paragraph" w:styleId="Heading7">
    <w:name w:val="heading 7"/>
    <w:basedOn w:val="Normal"/>
    <w:next w:val="FERCparanumber"/>
    <w:qFormat/>
    <w:rsid w:val="00817057"/>
    <w:pPr>
      <w:keepNext/>
      <w:keepLines/>
      <w:widowControl/>
      <w:numPr>
        <w:ilvl w:val="6"/>
        <w:numId w:val="4"/>
      </w:numPr>
      <w:spacing w:after="260"/>
      <w:outlineLvl w:val="6"/>
    </w:pPr>
    <w:rPr>
      <w:b/>
      <w:kern w:val="32"/>
      <w:sz w:val="26"/>
      <w:u w:val="single"/>
    </w:rPr>
  </w:style>
  <w:style w:type="paragraph" w:styleId="Heading8">
    <w:name w:val="heading 8"/>
    <w:basedOn w:val="Normal"/>
    <w:next w:val="FERCparanumber"/>
    <w:qFormat/>
    <w:rsid w:val="00817057"/>
    <w:pPr>
      <w:keepNext/>
      <w:keepLines/>
      <w:widowControl/>
      <w:numPr>
        <w:ilvl w:val="7"/>
        <w:numId w:val="4"/>
      </w:numPr>
      <w:spacing w:after="260"/>
      <w:outlineLvl w:val="7"/>
    </w:pPr>
    <w:rPr>
      <w:b/>
      <w:iCs/>
      <w:kern w:val="32"/>
      <w:sz w:val="26"/>
      <w:u w:val="single"/>
    </w:rPr>
  </w:style>
  <w:style w:type="paragraph" w:styleId="Heading9">
    <w:name w:val="heading 9"/>
    <w:basedOn w:val="Normal"/>
    <w:next w:val="FERCparanumber"/>
    <w:qFormat/>
    <w:rsid w:val="00817057"/>
    <w:pPr>
      <w:keepNext/>
      <w:keepLines/>
      <w:widowControl/>
      <w:numPr>
        <w:ilvl w:val="8"/>
        <w:numId w:val="4"/>
      </w:numPr>
      <w:spacing w:after="260"/>
      <w:outlineLvl w:val="8"/>
    </w:pPr>
    <w:rPr>
      <w:b/>
      <w:kern w:val="32"/>
      <w:sz w:val="26"/>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style>
  <w:style w:type="paragraph" w:styleId="Header">
    <w:name w:val="header"/>
    <w:basedOn w:val="Normal"/>
    <w:rsid w:val="00527305"/>
    <w:pPr>
      <w:tabs>
        <w:tab w:val="center" w:pos="4320"/>
        <w:tab w:val="right" w:pos="8640"/>
      </w:tabs>
    </w:pPr>
  </w:style>
  <w:style w:type="paragraph" w:styleId="Footer">
    <w:name w:val="footer"/>
    <w:basedOn w:val="Normal"/>
    <w:rsid w:val="00527305"/>
    <w:pPr>
      <w:tabs>
        <w:tab w:val="center" w:pos="4320"/>
        <w:tab w:val="right" w:pos="8640"/>
      </w:tabs>
    </w:pPr>
  </w:style>
  <w:style w:type="table" w:styleId="TableGrid">
    <w:name w:val="Table Grid"/>
    <w:basedOn w:val="TableNormal"/>
    <w:rsid w:val="00F34E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ootnote Text Char Char,Footnote Text Char Char Char,Footnote Text Char1,Footnote Text Char1 Char,Footnote Text Char1 Char Char,Footnote Text Char1 Char1,Footnote Text Char2 Char,Footnote Text Char3,Footnote Text MRP,fn"/>
    <w:basedOn w:val="Normal"/>
    <w:link w:val="FootnoteTextChar2"/>
    <w:semiHidden/>
    <w:rsid w:val="00934A86"/>
    <w:rPr>
      <w:sz w:val="20"/>
      <w:szCs w:val="20"/>
    </w:rPr>
  </w:style>
  <w:style w:type="character" w:styleId="Hyperlink">
    <w:name w:val="Hyperlink"/>
    <w:rsid w:val="0029446F"/>
    <w:rPr>
      <w:color w:val="0000FF"/>
      <w:u w:val="single"/>
    </w:rPr>
  </w:style>
  <w:style w:type="character" w:styleId="PageNumber">
    <w:name w:val="page number"/>
    <w:basedOn w:val="DefaultParagraphFont"/>
    <w:rsid w:val="004C5162"/>
  </w:style>
  <w:style w:type="paragraph" w:customStyle="1" w:styleId="FERCparanumber">
    <w:name w:val="FERC paranumber"/>
    <w:basedOn w:val="Normal"/>
    <w:link w:val="FERCparanumberChar"/>
    <w:rsid w:val="00481C2C"/>
    <w:pPr>
      <w:numPr>
        <w:numId w:val="1"/>
      </w:numPr>
      <w:spacing w:line="480" w:lineRule="auto"/>
    </w:pPr>
    <w:rPr>
      <w:sz w:val="26"/>
    </w:rPr>
  </w:style>
  <w:style w:type="character" w:customStyle="1" w:styleId="FERCparanumberChar">
    <w:name w:val="FERC paranumber Char"/>
    <w:link w:val="FERCparanumber"/>
    <w:rsid w:val="00481C2C"/>
    <w:rPr>
      <w:sz w:val="26"/>
      <w:szCs w:val="24"/>
      <w:lang w:val="en-US" w:eastAsia="en-US" w:bidi="ar-SA"/>
    </w:rPr>
  </w:style>
  <w:style w:type="character" w:customStyle="1" w:styleId="FootnoteTextChar2">
    <w:name w:val="Footnote Text Char2"/>
    <w:aliases w:val="Footnote Text Char Char Char Char,Footnote Text Char Char Char1,Footnote Text Char Char1,Footnote Text Char1 Char Char Char,Footnote Text Char1 Char Char1,Footnote Text Char1 Char2,Footnote Text MRP Char,fn Char"/>
    <w:link w:val="FootnoteText"/>
    <w:rsid w:val="004A0A7C"/>
    <w:rPr>
      <w:lang w:val="en-US" w:eastAsia="en-US" w:bidi="ar-SA"/>
    </w:rPr>
  </w:style>
  <w:style w:type="paragraph" w:styleId="ListContinue">
    <w:name w:val="List Continue"/>
    <w:basedOn w:val="Normal"/>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rsid w:val="004A0A7C"/>
    <w:pPr>
      <w:spacing w:after="0"/>
      <w:ind w:left="0"/>
    </w:pPr>
    <w:rPr>
      <w:u w:val="single"/>
    </w:rPr>
  </w:style>
  <w:style w:type="paragraph" w:customStyle="1" w:styleId="Style13ptBoldLeft1">
    <w:name w:val="Style 13 pt Bold Left:  1&quot;"/>
    <w:basedOn w:val="Normal"/>
    <w:rsid w:val="003B0C54"/>
    <w:pPr>
      <w:widowControl/>
      <w:autoSpaceDE/>
      <w:autoSpaceDN/>
      <w:adjustRightInd/>
      <w:spacing w:line="480" w:lineRule="auto"/>
      <w:ind w:left="1440"/>
    </w:pPr>
    <w:rPr>
      <w:b/>
      <w:bCs/>
      <w:sz w:val="26"/>
      <w:szCs w:val="20"/>
    </w:rPr>
  </w:style>
  <w:style w:type="character" w:customStyle="1" w:styleId="FERCparanumberChar1">
    <w:name w:val="FERC paranumber Char1"/>
    <w:rsid w:val="00997E15"/>
    <w:rPr>
      <w:sz w:val="26"/>
      <w:szCs w:val="26"/>
      <w:lang w:val="en-US" w:eastAsia="en-US" w:bidi="ar-SA"/>
    </w:rPr>
  </w:style>
  <w:style w:type="paragraph" w:styleId="BlockText">
    <w:name w:val="Block Text"/>
    <w:basedOn w:val="Normal"/>
    <w:rsid w:val="00B969D6"/>
    <w:pPr>
      <w:spacing w:after="260"/>
      <w:ind w:left="720" w:right="720"/>
    </w:pPr>
    <w:rPr>
      <w:sz w:val="26"/>
      <w:szCs w:val="26"/>
    </w:rPr>
  </w:style>
  <w:style w:type="paragraph" w:styleId="HTMLPreformatted">
    <w:name w:val="HTML Preformatted"/>
    <w:basedOn w:val="Normal"/>
    <w:rsid w:val="000B2D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FERCparanumber1">
    <w:name w:val="FERC paranumber1"/>
    <w:basedOn w:val="Normal"/>
    <w:rsid w:val="00883774"/>
    <w:pPr>
      <w:widowControl/>
      <w:tabs>
        <w:tab w:val="num" w:pos="360"/>
      </w:tabs>
      <w:spacing w:after="260"/>
    </w:pPr>
    <w:rPr>
      <w:sz w:val="26"/>
      <w:szCs w:val="26"/>
    </w:rPr>
  </w:style>
  <w:style w:type="paragraph" w:styleId="List3">
    <w:name w:val="List 3"/>
    <w:basedOn w:val="Normal"/>
    <w:rsid w:val="003157D0"/>
    <w:pPr>
      <w:ind w:left="1080" w:hanging="360"/>
    </w:pPr>
    <w:rPr>
      <w:sz w:val="26"/>
      <w:szCs w:val="26"/>
    </w:rPr>
  </w:style>
  <w:style w:type="paragraph" w:styleId="ListBullet">
    <w:name w:val="List Bullet"/>
    <w:basedOn w:val="Normal"/>
    <w:rsid w:val="007122A2"/>
    <w:pPr>
      <w:tabs>
        <w:tab w:val="num" w:pos="360"/>
      </w:tabs>
      <w:ind w:left="360" w:hanging="360"/>
    </w:pPr>
    <w:rPr>
      <w:sz w:val="26"/>
      <w:szCs w:val="26"/>
    </w:rPr>
  </w:style>
  <w:style w:type="paragraph" w:styleId="NormalWeb">
    <w:name w:val="Normal (Web)"/>
    <w:basedOn w:val="Normal"/>
    <w:rsid w:val="00282CAF"/>
    <w:pPr>
      <w:widowControl/>
      <w:autoSpaceDE/>
      <w:autoSpaceDN/>
      <w:adjustRightInd/>
      <w:spacing w:before="100" w:beforeAutospacing="1" w:after="100" w:afterAutospacing="1"/>
    </w:pPr>
    <w:rPr>
      <w:color w:val="FFFFFF"/>
    </w:rPr>
  </w:style>
  <w:style w:type="paragraph" w:customStyle="1" w:styleId="Default">
    <w:name w:val="Default"/>
    <w:rsid w:val="0026162F"/>
    <w:pPr>
      <w:autoSpaceDE w:val="0"/>
      <w:autoSpaceDN w:val="0"/>
      <w:adjustRightInd w:val="0"/>
    </w:pPr>
    <w:rPr>
      <w:color w:val="000000"/>
      <w:sz w:val="24"/>
      <w:szCs w:val="24"/>
    </w:rPr>
  </w:style>
  <w:style w:type="paragraph" w:customStyle="1" w:styleId="BlockIndent">
    <w:name w:val="Block Indent"/>
    <w:basedOn w:val="Normal"/>
    <w:next w:val="FERCparanumber"/>
    <w:link w:val="BlockIndentChar"/>
    <w:rsid w:val="00F35B3C"/>
    <w:pPr>
      <w:spacing w:after="240"/>
      <w:ind w:left="1440" w:right="1440"/>
    </w:pPr>
    <w:rPr>
      <w:sz w:val="26"/>
    </w:rPr>
  </w:style>
  <w:style w:type="character" w:customStyle="1" w:styleId="BlockIndentChar">
    <w:name w:val="Block Indent Char"/>
    <w:link w:val="BlockIndent"/>
    <w:rsid w:val="00F35B3C"/>
    <w:rPr>
      <w:sz w:val="26"/>
      <w:szCs w:val="24"/>
      <w:lang w:val="en-US" w:eastAsia="en-US" w:bidi="ar-SA"/>
    </w:rPr>
  </w:style>
  <w:style w:type="character" w:customStyle="1" w:styleId="FERCparanumberCharChar">
    <w:name w:val="FERC paranumber Char Char"/>
    <w:rsid w:val="006C6997"/>
    <w:rPr>
      <w:sz w:val="26"/>
      <w:szCs w:val="24"/>
      <w:lang w:val="en-US" w:eastAsia="en-US" w:bidi="ar-SA"/>
    </w:rPr>
  </w:style>
  <w:style w:type="paragraph" w:styleId="ListBullet3">
    <w:name w:val="List Bullet 3"/>
    <w:basedOn w:val="Normal"/>
    <w:rsid w:val="00D269B6"/>
    <w:pPr>
      <w:numPr>
        <w:numId w:val="9"/>
      </w:numPr>
    </w:pPr>
    <w:rPr>
      <w:sz w:val="26"/>
    </w:rPr>
  </w:style>
  <w:style w:type="character" w:styleId="CommentReference">
    <w:name w:val="annotation reference"/>
    <w:semiHidden/>
    <w:rsid w:val="001B35A7"/>
    <w:rPr>
      <w:sz w:val="16"/>
      <w:szCs w:val="16"/>
    </w:rPr>
  </w:style>
  <w:style w:type="paragraph" w:styleId="CommentText">
    <w:name w:val="annotation text"/>
    <w:basedOn w:val="Normal"/>
    <w:semiHidden/>
    <w:rsid w:val="001B35A7"/>
    <w:rPr>
      <w:sz w:val="20"/>
      <w:szCs w:val="20"/>
    </w:rPr>
  </w:style>
  <w:style w:type="paragraph" w:styleId="CommentSubject">
    <w:name w:val="annotation subject"/>
    <w:basedOn w:val="CommentText"/>
    <w:next w:val="CommentText"/>
    <w:semiHidden/>
    <w:rsid w:val="001B35A7"/>
    <w:rPr>
      <w:b/>
      <w:bCs/>
    </w:rPr>
  </w:style>
  <w:style w:type="paragraph" w:styleId="BalloonText">
    <w:name w:val="Balloon Text"/>
    <w:basedOn w:val="Normal"/>
    <w:semiHidden/>
    <w:rsid w:val="001B35A7"/>
    <w:rPr>
      <w:rFonts w:ascii="Tahoma" w:hAnsi="Tahoma" w:cs="Tahoma"/>
      <w:sz w:val="16"/>
      <w:szCs w:val="16"/>
    </w:rPr>
  </w:style>
  <w:style w:type="character" w:styleId="FollowedHyperlink">
    <w:name w:val="FollowedHyperlink"/>
    <w:rsid w:val="003A38FB"/>
    <w:rPr>
      <w:color w:val="800080"/>
      <w:u w:val="single"/>
    </w:rPr>
  </w:style>
  <w:style w:type="paragraph" w:customStyle="1" w:styleId="Style0">
    <w:name w:val="Style0"/>
    <w:rsid w:val="006376E2"/>
    <w:pPr>
      <w:autoSpaceDE w:val="0"/>
      <w:autoSpaceDN w:val="0"/>
      <w:adjustRightInd w:val="0"/>
    </w:pPr>
    <w:rPr>
      <w:rFonts w:ascii="Arial" w:hAnsi="Arial"/>
      <w:sz w:val="24"/>
      <w:szCs w:val="24"/>
    </w:rPr>
  </w:style>
  <w:style w:type="paragraph" w:styleId="BodyText">
    <w:name w:val="Body Text"/>
    <w:basedOn w:val="Normal"/>
    <w:link w:val="BodyTextChar"/>
    <w:uiPriority w:val="1"/>
    <w:qFormat/>
    <w:rsid w:val="0032539A"/>
    <w:pPr>
      <w:widowControl/>
      <w:ind w:left="1880" w:hanging="360"/>
    </w:pPr>
  </w:style>
  <w:style w:type="character" w:customStyle="1" w:styleId="BodyTextChar">
    <w:name w:val="Body Text Char"/>
    <w:basedOn w:val="DefaultParagraphFont"/>
    <w:link w:val="BodyText"/>
    <w:uiPriority w:val="1"/>
    <w:rsid w:val="0032539A"/>
    <w:rPr>
      <w:sz w:val="24"/>
      <w:szCs w:val="24"/>
    </w:rPr>
  </w:style>
  <w:style w:type="paragraph" w:styleId="ListParagraph">
    <w:name w:val="List Paragraph"/>
    <w:basedOn w:val="Normal"/>
    <w:uiPriority w:val="34"/>
    <w:qFormat/>
    <w:rsid w:val="008A294C"/>
    <w:pPr>
      <w:ind w:left="720"/>
      <w:contextualSpacing/>
    </w:pPr>
  </w:style>
  <w:style w:type="character" w:styleId="UnresolvedMention">
    <w:name w:val="Unresolved Mention"/>
    <w:basedOn w:val="DefaultParagraphFont"/>
    <w:uiPriority w:val="99"/>
    <w:semiHidden/>
    <w:unhideWhenUsed/>
    <w:rsid w:val="002C602D"/>
    <w:rPr>
      <w:color w:val="605E5C"/>
      <w:shd w:val="clear" w:color="auto" w:fill="E1DFDD"/>
    </w:rPr>
  </w:style>
  <w:style w:type="paragraph" w:styleId="Revision">
    <w:name w:val="Revision"/>
    <w:hidden/>
    <w:uiPriority w:val="99"/>
    <w:semiHidden/>
    <w:rsid w:val="008C6D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information-collectio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elibrary.ferc.gov/idmws/common/OpenNat.asp?fileID=15468689" TargetMode="External" /><Relationship Id="rId2" Type="http://schemas.openxmlformats.org/officeDocument/2006/relationships/hyperlink" Target="http://www.nerc.com/pa/Stand/Reliability%20Standards/NUC-001-4.pdf" TargetMode="External" /><Relationship Id="rId3" Type="http://schemas.openxmlformats.org/officeDocument/2006/relationships/hyperlink" Target="http://www.nerc.com/aboutnerc/pages/rules-of-procedure.aspx" TargetMode="External" /><Relationship Id="rId4" Type="http://schemas.openxmlformats.org/officeDocument/2006/relationships/hyperlink" Target="http://www.nerc.com/FilingsOrders/us/RuleOfProcedureDL/NERC_ROP_Effective_20160504.pdf" TargetMode="External" /><Relationship Id="rId5" Type="http://schemas.openxmlformats.org/officeDocument/2006/relationships/hyperlink" Target="https://www.bls.gov/oes/current/naics2_22.htm" TargetMode="External" /><Relationship Id="rId6"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5" ma:contentTypeDescription="Create a new document." ma:contentTypeScope="" ma:versionID="082e90d60dd37ab01e90c34fab6c37c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466ebfd94c05f1c89097b3b18a86adf"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ate xmlns="d6eefc7d-9817-4fa6-84d5-3bc009be21b8">2021-09-07T04:00:00+00:00</Date>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725F</_x0031__x002e__x0020_Collection_x0020_Number>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IC21-10</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SharedWithUsers xmlns="5a7c6213-c3f8-4376-93f2-dc58e5c51d54">
      <UserInfo>
        <DisplayName>Kayla Williams</DisplayName>
        <AccountId>55</AccountId>
        <AccountType/>
      </UserInfo>
    </SharedWithUsers>
  </documentManagement>
</p:properties>
</file>

<file path=customXml/itemProps1.xml><?xml version="1.0" encoding="utf-8"?>
<ds:datastoreItem xmlns:ds="http://schemas.openxmlformats.org/officeDocument/2006/customXml" ds:itemID="{81C12A48-9177-4AFA-AA10-F9AD4AB46AB0}">
  <ds:schemaRefs>
    <ds:schemaRef ds:uri="http://schemas.microsoft.com/sharepoint/v3/contenttype/forms"/>
  </ds:schemaRefs>
</ds:datastoreItem>
</file>

<file path=customXml/itemProps2.xml><?xml version="1.0" encoding="utf-8"?>
<ds:datastoreItem xmlns:ds="http://schemas.openxmlformats.org/officeDocument/2006/customXml" ds:itemID="{35C54538-907B-49AF-94F0-237095130228}">
  <ds:schemaRefs>
    <ds:schemaRef ds:uri="http://schemas.microsoft.com/office/2006/metadata/longProperties"/>
  </ds:schemaRefs>
</ds:datastoreItem>
</file>

<file path=customXml/itemProps3.xml><?xml version="1.0" encoding="utf-8"?>
<ds:datastoreItem xmlns:ds="http://schemas.openxmlformats.org/officeDocument/2006/customXml" ds:itemID="{27E03A31-1360-4238-9DB6-A0D8E3C7C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CFEFD-B26E-47EF-9CEA-191274CD9C52}">
  <ds:schemaRefs>
    <ds:schemaRef ds:uri="http://schemas.openxmlformats.org/officeDocument/2006/bibliography"/>
  </ds:schemaRefs>
</ds:datastoreItem>
</file>

<file path=customXml/itemProps5.xml><?xml version="1.0" encoding="utf-8"?>
<ds:datastoreItem xmlns:ds="http://schemas.openxmlformats.org/officeDocument/2006/customXml" ds:itemID="{14EC79D9-2771-4E3B-9FC3-D49A71862C09}">
  <ds:schemaRefs>
    <ds:schemaRef ds:uri="d6eefc7d-9817-4fa6-84d5-3bc009be21b8"/>
    <ds:schemaRef ds:uri="e029e753-062b-49ce-baa7-feb352134f8f"/>
    <ds:schemaRef ds:uri="5a7c6213-c3f8-4376-93f2-dc58e5c51d54"/>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3990</Words>
  <Characters>23615</Characters>
  <Application>Microsoft Office Word</Application>
  <DocSecurity>0</DocSecurity>
  <Lines>196</Lines>
  <Paragraphs>55</Paragraphs>
  <ScaleCrop>false</ScaleCrop>
  <Company/>
  <LinksUpToDate>false</LinksUpToDate>
  <CharactersWithSpaces>27550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2024-05-30T20:32:00Z</dcterms:created>
  <dcterms:modified xsi:type="dcterms:W3CDTF">2024-06-07T14:02:00Z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1e08ca73-81a2-4b19-aafb-00d7f9580bc2</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2021-09-20T19:45:59Z</vt:lpwstr>
  </property>
  <property fmtid="{D5CDD505-2E9C-101B-9397-08002B2CF9AE}" pid="10" name="MSIP_Label_6155a89b-0f08-4a93-8ea2-8a916d6643b5_SiteId">
    <vt:lpwstr>19caa9e9-04ff-43fa-885f-d77fac387903</vt:lpwstr>
  </property>
</Properties>
</file>