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446" w:rsidP="000E152C" w14:paraId="2B164FFA" w14:textId="77777777">
      <w:pPr>
        <w:tabs>
          <w:tab w:val="center" w:pos="5040"/>
        </w:tabs>
        <w:autoSpaceDE w:val="0"/>
        <w:autoSpaceDN w:val="0"/>
        <w:adjustRightInd w:val="0"/>
        <w:spacing w:after="0" w:line="240" w:lineRule="auto"/>
        <w:jc w:val="center"/>
        <w:rPr>
          <w:rFonts w:ascii="Times New Roman" w:eastAsia="Times New Roman" w:hAnsi="Times New Roman" w:cs="Times New Roman"/>
          <w:sz w:val="24"/>
          <w:szCs w:val="24"/>
        </w:rPr>
      </w:pPr>
    </w:p>
    <w:p w:rsidR="000E152C" w:rsidRPr="008B77CF" w:rsidP="000E152C" w14:paraId="73468C76" w14:textId="38C2FAA5">
      <w:pPr>
        <w:tabs>
          <w:tab w:val="center" w:pos="5040"/>
        </w:tabs>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Supporting Statement for</w:t>
      </w:r>
    </w:p>
    <w:p w:rsidR="000E152C" w:rsidRPr="008B77CF" w:rsidP="000E152C" w14:paraId="73468C77" w14:textId="62BDB813">
      <w:pPr>
        <w:widowControl w:val="0"/>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r w:rsidRPr="008B77CF">
        <w:rPr>
          <w:rFonts w:ascii="Times New Roman" w:eastAsia="Times New Roman" w:hAnsi="Times New Roman" w:cs="Times New Roman"/>
          <w:b/>
          <w:bCs/>
          <w:sz w:val="24"/>
          <w:szCs w:val="24"/>
        </w:rPr>
        <w:t>FERC-729, Electric Transmission Facilities</w:t>
      </w:r>
      <w:r w:rsidR="00D37879">
        <w:rPr>
          <w:rFonts w:ascii="Times New Roman" w:eastAsia="Times New Roman" w:hAnsi="Times New Roman" w:cs="Times New Roman"/>
          <w:b/>
          <w:bCs/>
          <w:sz w:val="24"/>
          <w:szCs w:val="24"/>
        </w:rPr>
        <w:t xml:space="preserve">: </w:t>
      </w:r>
      <w:r w:rsidR="00D71478">
        <w:rPr>
          <w:rFonts w:ascii="Times New Roman" w:eastAsia="Times New Roman" w:hAnsi="Times New Roman" w:cs="Times New Roman"/>
          <w:b/>
          <w:bCs/>
          <w:sz w:val="24"/>
          <w:szCs w:val="24"/>
        </w:rPr>
        <w:t xml:space="preserve"> </w:t>
      </w:r>
      <w:r w:rsidR="00D37879">
        <w:rPr>
          <w:rFonts w:ascii="Times New Roman" w:eastAsia="Times New Roman" w:hAnsi="Times New Roman" w:cs="Times New Roman"/>
          <w:b/>
          <w:bCs/>
          <w:sz w:val="24"/>
          <w:szCs w:val="24"/>
        </w:rPr>
        <w:t xml:space="preserve">Modifications </w:t>
      </w:r>
      <w:r w:rsidR="00D71478">
        <w:rPr>
          <w:rFonts w:ascii="Times New Roman" w:eastAsia="Times New Roman" w:hAnsi="Times New Roman" w:cs="Times New Roman"/>
          <w:b/>
          <w:bCs/>
          <w:sz w:val="24"/>
          <w:szCs w:val="24"/>
        </w:rPr>
        <w:t>in</w:t>
      </w:r>
      <w:r w:rsidR="00D37879">
        <w:rPr>
          <w:rFonts w:ascii="Times New Roman" w:eastAsia="Times New Roman" w:hAnsi="Times New Roman" w:cs="Times New Roman"/>
          <w:b/>
          <w:bCs/>
          <w:sz w:val="24"/>
          <w:szCs w:val="24"/>
        </w:rPr>
        <w:t xml:space="preserve"> </w:t>
      </w:r>
      <w:r w:rsidR="003A2A81">
        <w:rPr>
          <w:rFonts w:ascii="Times New Roman" w:eastAsia="Times New Roman" w:hAnsi="Times New Roman" w:cs="Times New Roman"/>
          <w:b/>
          <w:bCs/>
          <w:sz w:val="24"/>
          <w:szCs w:val="24"/>
        </w:rPr>
        <w:t>Final Rule</w:t>
      </w:r>
      <w:r w:rsidR="00D37879">
        <w:rPr>
          <w:rFonts w:ascii="Times New Roman" w:eastAsia="Times New Roman" w:hAnsi="Times New Roman" w:cs="Times New Roman"/>
          <w:b/>
          <w:bCs/>
          <w:sz w:val="24"/>
          <w:szCs w:val="24"/>
        </w:rPr>
        <w:t xml:space="preserve"> </w:t>
      </w:r>
      <w:r w:rsidR="006D10B4">
        <w:rPr>
          <w:rFonts w:ascii="Times New Roman" w:eastAsia="Times New Roman" w:hAnsi="Times New Roman" w:cs="Times New Roman"/>
          <w:b/>
          <w:bCs/>
          <w:sz w:val="24"/>
          <w:szCs w:val="24"/>
        </w:rPr>
        <w:t>(</w:t>
      </w:r>
      <w:r w:rsidR="003A2A81">
        <w:rPr>
          <w:rFonts w:ascii="Times New Roman" w:eastAsia="Times New Roman" w:hAnsi="Times New Roman" w:cs="Times New Roman"/>
          <w:b/>
          <w:bCs/>
          <w:sz w:val="24"/>
          <w:szCs w:val="24"/>
        </w:rPr>
        <w:t xml:space="preserve">Docket No. </w:t>
      </w:r>
      <w:r w:rsidR="00D37879">
        <w:rPr>
          <w:rFonts w:ascii="Times New Roman" w:eastAsia="Times New Roman" w:hAnsi="Times New Roman" w:cs="Times New Roman"/>
          <w:b/>
          <w:bCs/>
          <w:sz w:val="24"/>
          <w:szCs w:val="24"/>
        </w:rPr>
        <w:t>RM22-7-000</w:t>
      </w:r>
      <w:r w:rsidR="006D10B4">
        <w:rPr>
          <w:rFonts w:ascii="Times New Roman" w:eastAsia="Times New Roman" w:hAnsi="Times New Roman" w:cs="Times New Roman"/>
          <w:b/>
          <w:bCs/>
          <w:sz w:val="24"/>
          <w:szCs w:val="24"/>
        </w:rPr>
        <w:t>)</w:t>
      </w:r>
    </w:p>
    <w:p w:rsidR="000E152C" w:rsidRPr="008B77CF" w:rsidP="000E152C" w14:paraId="73468C78" w14:textId="77777777">
      <w:pPr>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55446" w:rsidP="000E152C" w14:paraId="3A59E884" w14:textId="53F48D2A">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sz w:val="24"/>
          <w:szCs w:val="24"/>
        </w:rPr>
        <w:t xml:space="preserve">The Federal Energy Regulatory Commission (Commission or FERC) requests that the Office of Management and Budget (OMB) </w:t>
      </w:r>
      <w:r w:rsidR="00D11095">
        <w:rPr>
          <w:rFonts w:ascii="Times New Roman" w:eastAsia="Times New Roman" w:hAnsi="Times New Roman" w:cs="Times New Roman"/>
          <w:sz w:val="24"/>
          <w:szCs w:val="24"/>
        </w:rPr>
        <w:t xml:space="preserve">review </w:t>
      </w:r>
      <w:r w:rsidR="006476B7">
        <w:rPr>
          <w:rFonts w:ascii="Times New Roman" w:eastAsia="Times New Roman" w:hAnsi="Times New Roman" w:cs="Times New Roman"/>
          <w:sz w:val="24"/>
          <w:szCs w:val="24"/>
        </w:rPr>
        <w:t xml:space="preserve">and renew </w:t>
      </w:r>
      <w:r w:rsidRPr="008B77CF">
        <w:rPr>
          <w:rFonts w:ascii="Times New Roman" w:eastAsia="Times New Roman" w:hAnsi="Times New Roman" w:cs="Times New Roman"/>
          <w:bCs/>
          <w:sz w:val="24"/>
          <w:szCs w:val="24"/>
        </w:rPr>
        <w:t xml:space="preserve">FERC-729 </w:t>
      </w:r>
      <w:r>
        <w:rPr>
          <w:rFonts w:ascii="Times New Roman" w:eastAsia="Times New Roman" w:hAnsi="Times New Roman" w:cs="Times New Roman"/>
          <w:bCs/>
          <w:sz w:val="24"/>
          <w:szCs w:val="24"/>
        </w:rPr>
        <w:t>(</w:t>
      </w:r>
      <w:r w:rsidRPr="008B77CF">
        <w:rPr>
          <w:rFonts w:ascii="Times New Roman" w:eastAsia="Times New Roman" w:hAnsi="Times New Roman" w:cs="Times New Roman"/>
          <w:bCs/>
          <w:sz w:val="24"/>
          <w:szCs w:val="24"/>
        </w:rPr>
        <w:t>Electric Transmission Facilitie</w:t>
      </w:r>
      <w:r>
        <w:rPr>
          <w:rFonts w:ascii="Times New Roman" w:eastAsia="Times New Roman" w:hAnsi="Times New Roman" w:cs="Times New Roman"/>
          <w:bCs/>
          <w:sz w:val="24"/>
          <w:szCs w:val="24"/>
        </w:rPr>
        <w:t>s</w:t>
      </w:r>
      <w:r w:rsidR="00453E3D">
        <w:rPr>
          <w:rFonts w:ascii="Times New Roman" w:eastAsia="Times New Roman" w:hAnsi="Times New Roman" w:cs="Times New Roman"/>
          <w:bCs/>
          <w:sz w:val="24"/>
          <w:szCs w:val="24"/>
        </w:rPr>
        <w:t>, OMB Control No. 1902-0238</w:t>
      </w:r>
      <w:r>
        <w:rPr>
          <w:rFonts w:ascii="Times New Roman" w:eastAsia="Times New Roman" w:hAnsi="Times New Roman" w:cs="Times New Roman"/>
          <w:bCs/>
          <w:sz w:val="24"/>
          <w:szCs w:val="24"/>
        </w:rPr>
        <w:t>)</w:t>
      </w:r>
      <w:r w:rsidR="00E96A2B">
        <w:rPr>
          <w:rFonts w:ascii="Times New Roman" w:eastAsia="Times New Roman" w:hAnsi="Times New Roman" w:cs="Times New Roman"/>
          <w:bCs/>
          <w:sz w:val="24"/>
          <w:szCs w:val="24"/>
        </w:rPr>
        <w:t xml:space="preserve">, including the modifications </w:t>
      </w:r>
      <w:r>
        <w:rPr>
          <w:rFonts w:ascii="Times New Roman" w:eastAsia="Times New Roman" w:hAnsi="Times New Roman" w:cs="Times New Roman"/>
          <w:bCs/>
          <w:sz w:val="24"/>
          <w:szCs w:val="24"/>
        </w:rPr>
        <w:t xml:space="preserve">as </w:t>
      </w:r>
      <w:r w:rsidR="00E96A2B">
        <w:rPr>
          <w:rFonts w:ascii="Times New Roman" w:eastAsia="Times New Roman" w:hAnsi="Times New Roman" w:cs="Times New Roman"/>
          <w:bCs/>
          <w:sz w:val="24"/>
          <w:szCs w:val="24"/>
        </w:rPr>
        <w:t xml:space="preserve">provided </w:t>
      </w:r>
      <w:r>
        <w:rPr>
          <w:rFonts w:ascii="Times New Roman" w:eastAsia="Times New Roman" w:hAnsi="Times New Roman" w:cs="Times New Roman"/>
          <w:bCs/>
          <w:sz w:val="24"/>
          <w:szCs w:val="24"/>
        </w:rPr>
        <w:t>in</w:t>
      </w:r>
      <w:r w:rsidR="00235256">
        <w:rPr>
          <w:rFonts w:ascii="Times New Roman" w:eastAsia="Times New Roman" w:hAnsi="Times New Roman" w:cs="Times New Roman"/>
          <w:bCs/>
          <w:sz w:val="24"/>
          <w:szCs w:val="24"/>
        </w:rPr>
        <w:t xml:space="preserve"> the</w:t>
      </w:r>
      <w:r w:rsidR="00294EED">
        <w:rPr>
          <w:rFonts w:ascii="Times New Roman" w:eastAsia="Times New Roman" w:hAnsi="Times New Roman" w:cs="Times New Roman"/>
          <w:bCs/>
          <w:sz w:val="24"/>
          <w:szCs w:val="24"/>
        </w:rPr>
        <w:t xml:space="preserve"> </w:t>
      </w:r>
      <w:r w:rsidR="007E03AC">
        <w:rPr>
          <w:rFonts w:ascii="Times New Roman" w:eastAsia="Times New Roman" w:hAnsi="Times New Roman" w:cs="Times New Roman"/>
          <w:bCs/>
          <w:sz w:val="24"/>
          <w:szCs w:val="24"/>
        </w:rPr>
        <w:t xml:space="preserve">Final Rule </w:t>
      </w:r>
      <w:r w:rsidR="00294EED">
        <w:rPr>
          <w:rFonts w:ascii="Times New Roman" w:eastAsia="Times New Roman" w:hAnsi="Times New Roman" w:cs="Times New Roman"/>
          <w:bCs/>
          <w:sz w:val="24"/>
          <w:szCs w:val="24"/>
        </w:rPr>
        <w:t xml:space="preserve">issued on </w:t>
      </w:r>
      <w:r w:rsidR="00E479B7">
        <w:rPr>
          <w:rFonts w:ascii="Times New Roman" w:eastAsia="Times New Roman" w:hAnsi="Times New Roman" w:cs="Times New Roman"/>
          <w:bCs/>
          <w:sz w:val="24"/>
          <w:szCs w:val="24"/>
        </w:rPr>
        <w:t>May 13, 2024</w:t>
      </w:r>
      <w:r w:rsidR="00287EF9">
        <w:rPr>
          <w:rFonts w:ascii="Times New Roman" w:eastAsia="Times New Roman" w:hAnsi="Times New Roman" w:cs="Times New Roman"/>
          <w:bCs/>
          <w:sz w:val="24"/>
          <w:szCs w:val="24"/>
        </w:rPr>
        <w:t>,</w:t>
      </w:r>
      <w:r w:rsidR="00E479B7">
        <w:rPr>
          <w:rFonts w:ascii="Times New Roman" w:eastAsia="Times New Roman" w:hAnsi="Times New Roman" w:cs="Times New Roman"/>
          <w:bCs/>
          <w:sz w:val="24"/>
          <w:szCs w:val="24"/>
        </w:rPr>
        <w:t xml:space="preserve"> </w:t>
      </w:r>
      <w:r w:rsidR="00F46263">
        <w:rPr>
          <w:rFonts w:ascii="Times New Roman" w:eastAsia="Times New Roman" w:hAnsi="Times New Roman" w:cs="Times New Roman"/>
          <w:bCs/>
          <w:sz w:val="24"/>
          <w:szCs w:val="24"/>
        </w:rPr>
        <w:t>in</w:t>
      </w:r>
      <w:r w:rsidR="00294EED">
        <w:rPr>
          <w:rFonts w:ascii="Times New Roman" w:eastAsia="Times New Roman" w:hAnsi="Times New Roman" w:cs="Times New Roman"/>
          <w:bCs/>
          <w:sz w:val="24"/>
          <w:szCs w:val="24"/>
        </w:rPr>
        <w:t xml:space="preserve"> </w:t>
      </w:r>
      <w:r w:rsidR="00E51074">
        <w:rPr>
          <w:rFonts w:ascii="Times New Roman" w:eastAsia="Times New Roman" w:hAnsi="Times New Roman" w:cs="Times New Roman"/>
          <w:bCs/>
          <w:sz w:val="24"/>
          <w:szCs w:val="24"/>
        </w:rPr>
        <w:t>D</w:t>
      </w:r>
      <w:r w:rsidR="00294EED">
        <w:rPr>
          <w:rFonts w:ascii="Times New Roman" w:eastAsia="Times New Roman" w:hAnsi="Times New Roman" w:cs="Times New Roman"/>
          <w:bCs/>
          <w:sz w:val="24"/>
          <w:szCs w:val="24"/>
        </w:rPr>
        <w:t xml:space="preserve">ocket </w:t>
      </w:r>
      <w:r w:rsidR="00E51074">
        <w:rPr>
          <w:rFonts w:ascii="Times New Roman" w:eastAsia="Times New Roman" w:hAnsi="Times New Roman" w:cs="Times New Roman"/>
          <w:bCs/>
          <w:sz w:val="24"/>
          <w:szCs w:val="24"/>
        </w:rPr>
        <w:t xml:space="preserve">No. </w:t>
      </w:r>
      <w:r>
        <w:rPr>
          <w:rFonts w:ascii="Times New Roman" w:eastAsia="Times New Roman" w:hAnsi="Times New Roman" w:cs="Times New Roman"/>
          <w:bCs/>
          <w:sz w:val="24"/>
          <w:szCs w:val="24"/>
        </w:rPr>
        <w:t>RM22-7-000.</w:t>
      </w:r>
    </w:p>
    <w:p w:rsidR="00D55446" w:rsidP="000E152C" w14:paraId="1791397F"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0E152C" w:rsidRPr="008B77CF" w:rsidP="000E152C" w14:paraId="73468C79" w14:textId="7BCE3B63">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FERC-729 is an existing </w:t>
      </w:r>
      <w:r w:rsidR="00A41579">
        <w:rPr>
          <w:rFonts w:ascii="Times New Roman" w:eastAsia="Times New Roman" w:hAnsi="Times New Roman" w:cs="Times New Roman"/>
          <w:sz w:val="24"/>
          <w:szCs w:val="24"/>
        </w:rPr>
        <w:t>information</w:t>
      </w:r>
      <w:r w:rsidRPr="008B77CF">
        <w:rPr>
          <w:rFonts w:ascii="Times New Roman" w:eastAsia="Times New Roman" w:hAnsi="Times New Roman" w:cs="Times New Roman"/>
          <w:sz w:val="24"/>
          <w:szCs w:val="24"/>
        </w:rPr>
        <w:t xml:space="preserve"> collection </w:t>
      </w:r>
      <w:r w:rsidR="00C6293B">
        <w:rPr>
          <w:rFonts w:ascii="Times New Roman" w:eastAsia="Times New Roman" w:hAnsi="Times New Roman" w:cs="Times New Roman"/>
          <w:sz w:val="24"/>
          <w:szCs w:val="24"/>
        </w:rPr>
        <w:t>under</w:t>
      </w:r>
      <w:r w:rsidR="00FE2450">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 xml:space="preserve">18 </w:t>
      </w:r>
      <w:r w:rsidR="00707308">
        <w:rPr>
          <w:rFonts w:ascii="Times New Roman" w:eastAsia="Times New Roman" w:hAnsi="Times New Roman" w:cs="Times New Roman"/>
          <w:sz w:val="24"/>
          <w:szCs w:val="24"/>
        </w:rPr>
        <w:t>CFR Part</w:t>
      </w:r>
      <w:r w:rsidR="00EA17A0">
        <w:rPr>
          <w:rFonts w:ascii="Times New Roman" w:eastAsia="Times New Roman" w:hAnsi="Times New Roman" w:cs="Times New Roman"/>
          <w:sz w:val="24"/>
          <w:szCs w:val="24"/>
        </w:rPr>
        <w:t>s</w:t>
      </w:r>
      <w:r w:rsidRPr="008B77CF">
        <w:rPr>
          <w:rFonts w:ascii="Times New Roman" w:eastAsia="Times New Roman" w:hAnsi="Times New Roman" w:cs="Times New Roman"/>
          <w:sz w:val="24"/>
          <w:szCs w:val="24"/>
        </w:rPr>
        <w:t xml:space="preserve"> 50</w:t>
      </w:r>
      <w:r w:rsidR="00EA17A0">
        <w:rPr>
          <w:rFonts w:ascii="Times New Roman" w:eastAsia="Times New Roman" w:hAnsi="Times New Roman" w:cs="Times New Roman"/>
          <w:sz w:val="24"/>
          <w:szCs w:val="24"/>
        </w:rPr>
        <w:t xml:space="preserve"> and 380</w:t>
      </w:r>
      <w:r w:rsidR="00DA0F06">
        <w:rPr>
          <w:rFonts w:ascii="Times New Roman" w:eastAsia="Times New Roman" w:hAnsi="Times New Roman" w:cs="Times New Roman"/>
          <w:sz w:val="24"/>
          <w:szCs w:val="24"/>
        </w:rPr>
        <w:t>.</w:t>
      </w:r>
    </w:p>
    <w:p w:rsidR="000E152C" w:rsidRPr="008B77CF" w:rsidP="000E152C" w14:paraId="73468C7A"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7B" w14:textId="77777777">
      <w:pPr>
        <w:widowControl w:val="0"/>
        <w:numPr>
          <w:ilvl w:val="0"/>
          <w:numId w:val="6"/>
        </w:numPr>
        <w:tabs>
          <w:tab w:val="num" w:pos="720"/>
          <w:tab w:val="left" w:pos="180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CIRCUMSTANCES THAT MAKE THE COLLECTION OF INFORMATION NECESSARY</w:t>
      </w:r>
    </w:p>
    <w:p w:rsidR="000E152C" w:rsidRPr="008B77CF" w:rsidP="000E152C" w14:paraId="73468C7C" w14:textId="77777777">
      <w:pPr>
        <w:tabs>
          <w:tab w:val="left" w:pos="1800"/>
        </w:tabs>
        <w:autoSpaceDE w:val="0"/>
        <w:autoSpaceDN w:val="0"/>
        <w:adjustRightInd w:val="0"/>
        <w:spacing w:after="0" w:line="240" w:lineRule="auto"/>
        <w:rPr>
          <w:rFonts w:ascii="Times New Roman" w:eastAsia="Times New Roman" w:hAnsi="Times New Roman" w:cs="Times New Roman"/>
          <w:b/>
          <w:sz w:val="24"/>
          <w:szCs w:val="24"/>
        </w:rPr>
      </w:pPr>
    </w:p>
    <w:p w:rsidR="00B658C4" w:rsidP="00B658C4" w14:paraId="440ADFE2" w14:textId="792D5C8F">
      <w:pPr>
        <w:pStyle w:val="CommentText"/>
        <w:spacing w:after="0"/>
        <w:rPr>
          <w:rFonts w:ascii="Times New Roman" w:eastAsia="Times New Roman" w:hAnsi="Times New Roman" w:cs="Times New Roman"/>
          <w:sz w:val="24"/>
          <w:szCs w:val="24"/>
        </w:rPr>
      </w:pPr>
      <w:r w:rsidRPr="00C56656">
        <w:rPr>
          <w:rFonts w:ascii="Times New Roman" w:eastAsia="Times New Roman" w:hAnsi="Times New Roman" w:cs="Times New Roman"/>
          <w:sz w:val="24"/>
          <w:szCs w:val="24"/>
        </w:rPr>
        <w:t xml:space="preserve">FERC-729 </w:t>
      </w:r>
      <w:r w:rsidR="00E44C71">
        <w:rPr>
          <w:rFonts w:ascii="Times New Roman" w:eastAsia="Times New Roman" w:hAnsi="Times New Roman" w:cs="Times New Roman"/>
          <w:sz w:val="24"/>
          <w:szCs w:val="24"/>
        </w:rPr>
        <w:t xml:space="preserve">consists of information collection activities </w:t>
      </w:r>
      <w:r w:rsidRPr="00711E79">
        <w:rPr>
          <w:rFonts w:ascii="Times New Roman" w:eastAsia="Times New Roman" w:hAnsi="Times New Roman" w:cs="Times New Roman"/>
          <w:sz w:val="24"/>
          <w:szCs w:val="24"/>
        </w:rPr>
        <w:t>for entities seeking to construct electric transmission facilities</w:t>
      </w:r>
      <w:r w:rsidRPr="00C56656">
        <w:rPr>
          <w:rFonts w:ascii="Times New Roman" w:eastAsia="Times New Roman" w:hAnsi="Times New Roman" w:cs="Times New Roman"/>
          <w:sz w:val="24"/>
          <w:szCs w:val="24"/>
        </w:rPr>
        <w:t xml:space="preserve"> pursuant to the Commission’s authority under section 216 of the Federal Power Act (FPA).</w:t>
      </w:r>
      <w:r>
        <w:rPr>
          <w:rStyle w:val="FootnoteReference"/>
          <w:rFonts w:eastAsia="Times New Roman" w:cs="Times New Roman"/>
          <w:sz w:val="24"/>
          <w:szCs w:val="24"/>
        </w:rPr>
        <w:footnoteReference w:id="3"/>
      </w:r>
      <w:r w:rsidRPr="00C56656">
        <w:rPr>
          <w:rFonts w:ascii="Times New Roman" w:eastAsia="Times New Roman" w:hAnsi="Times New Roman" w:cs="Times New Roman"/>
          <w:sz w:val="24"/>
          <w:szCs w:val="24"/>
        </w:rPr>
        <w:t xml:space="preserve">  Specifically, section 216(b) of the FPA authorizes the Commission, under certain circumstances, to issue permits for the construction of electric transmission facilities within national interest electric transmission corridors designated by the Secretary of Energy</w:t>
      </w:r>
      <w:r w:rsidRPr="00335CE8">
        <w:rPr>
          <w:rFonts w:ascii="Times New Roman" w:eastAsia="Times New Roman" w:hAnsi="Times New Roman" w:cs="Times New Roman"/>
          <w:sz w:val="24"/>
          <w:szCs w:val="24"/>
        </w:rPr>
        <w:t>.</w:t>
      </w:r>
      <w:r>
        <w:rPr>
          <w:rStyle w:val="FootnoteReference"/>
          <w:rFonts w:eastAsia="Times New Roman" w:cs="Times New Roman"/>
        </w:rPr>
        <w:footnoteReference w:id="4"/>
      </w:r>
    </w:p>
    <w:p w:rsidR="00D26C6C" w:rsidP="00B658C4" w14:paraId="2D8CC2EF" w14:textId="46C36AFA">
      <w:pPr>
        <w:pStyle w:val="CommentText"/>
        <w:spacing w:after="0"/>
        <w:rPr>
          <w:rFonts w:ascii="Times New Roman" w:eastAsia="Times New Roman" w:hAnsi="Times New Roman" w:cs="Times New Roman"/>
          <w:sz w:val="24"/>
          <w:szCs w:val="24"/>
        </w:rPr>
      </w:pPr>
    </w:p>
    <w:p w:rsidR="00D26C6C" w:rsidP="00B658C4" w14:paraId="51EBD6C8" w14:textId="7EBB1531">
      <w:pPr>
        <w:pStyle w:val="CommentText"/>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this statutory </w:t>
      </w:r>
      <w:r w:rsidR="00D71478">
        <w:rPr>
          <w:rFonts w:ascii="Times New Roman" w:eastAsia="Times New Roman" w:hAnsi="Times New Roman" w:cs="Times New Roman"/>
          <w:sz w:val="24"/>
          <w:szCs w:val="24"/>
        </w:rPr>
        <w:t>authority</w:t>
      </w:r>
      <w:r>
        <w:rPr>
          <w:rFonts w:ascii="Times New Roman" w:eastAsia="Times New Roman" w:hAnsi="Times New Roman" w:cs="Times New Roman"/>
          <w:sz w:val="24"/>
          <w:szCs w:val="24"/>
        </w:rPr>
        <w:t>, on November 16, 2006, the Commission issued Order No. 689,</w:t>
      </w:r>
      <w:r>
        <w:rPr>
          <w:rStyle w:val="FootnoteReference"/>
          <w:rFonts w:eastAsia="Times New Roman" w:cs="Times New Roman"/>
        </w:rPr>
        <w:footnoteReference w:id="5"/>
      </w:r>
      <w:r>
        <w:rPr>
          <w:rFonts w:ascii="Times New Roman" w:eastAsia="Times New Roman" w:hAnsi="Times New Roman" w:cs="Times New Roman"/>
          <w:sz w:val="24"/>
          <w:szCs w:val="24"/>
        </w:rPr>
        <w:t xml:space="preserve"> which implemented new regulations for </w:t>
      </w:r>
      <w:r w:rsidR="00CE55E2">
        <w:rPr>
          <w:rFonts w:ascii="Times New Roman" w:eastAsia="Times New Roman" w:hAnsi="Times New Roman" w:cs="Times New Roman"/>
          <w:sz w:val="24"/>
          <w:szCs w:val="24"/>
        </w:rPr>
        <w:t xml:space="preserve">FPA </w:t>
      </w:r>
      <w:r>
        <w:rPr>
          <w:rFonts w:ascii="Times New Roman" w:eastAsia="Times New Roman" w:hAnsi="Times New Roman" w:cs="Times New Roman"/>
          <w:sz w:val="24"/>
          <w:szCs w:val="24"/>
        </w:rPr>
        <w:t>section 216 permit applications by adding part 50 to the Commission’s regulations.</w:t>
      </w:r>
      <w:r>
        <w:rPr>
          <w:rStyle w:val="FootnoteReference"/>
          <w:rFonts w:eastAsia="Times New Roman" w:cs="Times New Roman"/>
          <w:sz w:val="24"/>
          <w:szCs w:val="24"/>
        </w:rPr>
        <w:footnoteReference w:id="6"/>
      </w:r>
      <w:r>
        <w:rPr>
          <w:rFonts w:ascii="Times New Roman" w:eastAsia="Times New Roman" w:hAnsi="Times New Roman" w:cs="Times New Roman"/>
          <w:sz w:val="24"/>
          <w:szCs w:val="24"/>
        </w:rPr>
        <w:t xml:space="preserve">  In addition, Order No. 689 adopted certain modifications to the Commission’s </w:t>
      </w:r>
      <w:r w:rsidR="00C85F25">
        <w:rPr>
          <w:rFonts w:ascii="Times New Roman" w:eastAsia="Times New Roman" w:hAnsi="Times New Roman" w:cs="Times New Roman"/>
          <w:sz w:val="24"/>
          <w:szCs w:val="24"/>
        </w:rPr>
        <w:t xml:space="preserve">part 380 </w:t>
      </w:r>
      <w:r>
        <w:rPr>
          <w:rFonts w:ascii="Times New Roman" w:eastAsia="Times New Roman" w:hAnsi="Times New Roman" w:cs="Times New Roman"/>
          <w:sz w:val="24"/>
          <w:szCs w:val="24"/>
        </w:rPr>
        <w:t xml:space="preserve">regulations implementing </w:t>
      </w:r>
      <w:r w:rsidR="00A2255C">
        <w:rPr>
          <w:rFonts w:ascii="Times New Roman" w:eastAsia="Times New Roman" w:hAnsi="Times New Roman" w:cs="Times New Roman"/>
          <w:sz w:val="24"/>
          <w:szCs w:val="24"/>
        </w:rPr>
        <w:t xml:space="preserve">section 102(2)(C) of the </w:t>
      </w:r>
      <w:r>
        <w:rPr>
          <w:rFonts w:ascii="Times New Roman" w:eastAsia="Times New Roman" w:hAnsi="Times New Roman" w:cs="Times New Roman"/>
          <w:sz w:val="24"/>
          <w:szCs w:val="24"/>
        </w:rPr>
        <w:t xml:space="preserve">National Environmental Policy Act of 1969 </w:t>
      </w:r>
      <w:r w:rsidR="00EC5159">
        <w:rPr>
          <w:rFonts w:ascii="Times New Roman" w:eastAsia="Times New Roman" w:hAnsi="Times New Roman" w:cs="Times New Roman"/>
          <w:sz w:val="24"/>
          <w:szCs w:val="24"/>
        </w:rPr>
        <w:t>(NEPA)</w:t>
      </w:r>
      <w:r>
        <w:rPr>
          <w:rStyle w:val="FootnoteReference"/>
          <w:rFonts w:eastAsia="Times New Roman" w:cs="Times New Roman"/>
          <w:sz w:val="24"/>
          <w:szCs w:val="24"/>
        </w:rPr>
        <w:footnoteReference w:id="7"/>
      </w:r>
      <w:r w:rsidR="00EC5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ensure </w:t>
      </w:r>
      <w:r w:rsidR="00A77920">
        <w:rPr>
          <w:rFonts w:ascii="Times New Roman" w:eastAsia="Times New Roman" w:hAnsi="Times New Roman" w:cs="Times New Roman"/>
          <w:sz w:val="24"/>
          <w:szCs w:val="24"/>
        </w:rPr>
        <w:t>that the Commission is provided sufficient information to conduct an environmental analysis of a proposed electric transmission project.</w:t>
      </w:r>
      <w:r>
        <w:rPr>
          <w:rStyle w:val="FootnoteReference"/>
          <w:rFonts w:eastAsia="Times New Roman" w:cs="Times New Roman"/>
          <w:sz w:val="24"/>
          <w:szCs w:val="24"/>
        </w:rPr>
        <w:footnoteReference w:id="8"/>
      </w:r>
      <w:r w:rsidRPr="00D8241A" w:rsidR="00A77920">
        <w:rPr>
          <w:rFonts w:ascii="Times New Roman" w:eastAsia="Times New Roman" w:hAnsi="Times New Roman" w:cs="Times New Roman"/>
          <w:sz w:val="24"/>
          <w:szCs w:val="24"/>
        </w:rPr>
        <w:t xml:space="preserve"> </w:t>
      </w:r>
      <w:r w:rsidR="00A77920">
        <w:rPr>
          <w:rFonts w:ascii="Times New Roman" w:eastAsia="Times New Roman" w:hAnsi="Times New Roman" w:cs="Times New Roman"/>
          <w:sz w:val="24"/>
          <w:szCs w:val="24"/>
        </w:rPr>
        <w:t xml:space="preserve"> In 2009, the U.S. Court of Appeals for the </w:t>
      </w:r>
      <w:r w:rsidR="00A77920">
        <w:rPr>
          <w:rFonts w:ascii="Times New Roman" w:eastAsia="Times New Roman" w:hAnsi="Times New Roman" w:cs="Times New Roman"/>
          <w:sz w:val="24"/>
          <w:szCs w:val="24"/>
        </w:rPr>
        <w:t>Fourth Circuit</w:t>
      </w:r>
      <w:r w:rsidR="00EC5159">
        <w:rPr>
          <w:rFonts w:ascii="Times New Roman" w:eastAsia="Times New Roman" w:hAnsi="Times New Roman" w:cs="Times New Roman"/>
          <w:sz w:val="24"/>
          <w:szCs w:val="24"/>
        </w:rPr>
        <w:t xml:space="preserve"> (Fourth Circuit)</w:t>
      </w:r>
      <w:r w:rsidR="00A77920">
        <w:rPr>
          <w:rFonts w:ascii="Times New Roman" w:eastAsia="Times New Roman" w:hAnsi="Times New Roman" w:cs="Times New Roman"/>
          <w:sz w:val="24"/>
          <w:szCs w:val="24"/>
        </w:rPr>
        <w:t xml:space="preserve">, among other things, vacated the Commission’s transmission-related amendments </w:t>
      </w:r>
      <w:r w:rsidR="00EC5159">
        <w:rPr>
          <w:rFonts w:ascii="Times New Roman" w:eastAsia="Times New Roman" w:hAnsi="Times New Roman" w:cs="Times New Roman"/>
          <w:sz w:val="24"/>
          <w:szCs w:val="24"/>
        </w:rPr>
        <w:t>to its part 380 regulations implementing NEPA.</w:t>
      </w:r>
      <w:r>
        <w:rPr>
          <w:rStyle w:val="FootnoteReference"/>
          <w:rFonts w:eastAsia="Times New Roman" w:cs="Times New Roman"/>
          <w:sz w:val="24"/>
          <w:szCs w:val="24"/>
        </w:rPr>
        <w:footnoteReference w:id="9"/>
      </w:r>
      <w:r w:rsidR="00EC5159">
        <w:rPr>
          <w:rFonts w:ascii="Times New Roman" w:eastAsia="Times New Roman" w:hAnsi="Times New Roman" w:cs="Times New Roman"/>
          <w:sz w:val="24"/>
          <w:szCs w:val="24"/>
        </w:rPr>
        <w:t xml:space="preserve">  Notwithstanding the Fourth Circuit’s vacatur, the NEPA </w:t>
      </w:r>
      <w:r w:rsidR="00CA68B6">
        <w:rPr>
          <w:rFonts w:ascii="Times New Roman" w:eastAsia="Times New Roman" w:hAnsi="Times New Roman" w:cs="Times New Roman"/>
          <w:sz w:val="24"/>
          <w:szCs w:val="24"/>
        </w:rPr>
        <w:t xml:space="preserve">procedures </w:t>
      </w:r>
      <w:r w:rsidR="00EC5159">
        <w:rPr>
          <w:rFonts w:ascii="Times New Roman" w:eastAsia="Times New Roman" w:hAnsi="Times New Roman" w:cs="Times New Roman"/>
          <w:sz w:val="24"/>
          <w:szCs w:val="24"/>
        </w:rPr>
        <w:t xml:space="preserve">set forth in Order No. 689 are still reflected in part 380 of the Commission’s regulations. </w:t>
      </w:r>
    </w:p>
    <w:p w:rsidR="005E2DD3" w:rsidP="00B658C4" w14:paraId="601F52CD" w14:textId="77777777">
      <w:pPr>
        <w:pStyle w:val="CommentText"/>
        <w:spacing w:after="0"/>
        <w:rPr>
          <w:rFonts w:ascii="Times New Roman" w:eastAsia="Times New Roman" w:hAnsi="Times New Roman" w:cs="Times New Roman"/>
          <w:sz w:val="24"/>
          <w:szCs w:val="24"/>
        </w:rPr>
      </w:pPr>
    </w:p>
    <w:p w:rsidR="005E2DD3" w:rsidRPr="005E2DD3" w:rsidP="005E2DD3" w14:paraId="2AF4CFFC" w14:textId="0D357960">
      <w:pPr>
        <w:pStyle w:val="CommentText"/>
        <w:spacing w:after="0"/>
        <w:rPr>
          <w:rFonts w:ascii="Times New Roman" w:eastAsia="Times New Roman" w:hAnsi="Times New Roman" w:cs="Times New Roman"/>
          <w:sz w:val="24"/>
          <w:szCs w:val="24"/>
        </w:rPr>
      </w:pPr>
      <w:r w:rsidRPr="005E2DD3">
        <w:rPr>
          <w:rFonts w:ascii="Times New Roman" w:eastAsia="Times New Roman" w:hAnsi="Times New Roman" w:cs="Times New Roman"/>
          <w:sz w:val="24"/>
          <w:szCs w:val="24"/>
        </w:rPr>
        <w:t>In the Infrastructure Investment and Jobs Act of 2021 (IIJA), Congress amended section 216</w:t>
      </w:r>
      <w:r w:rsidR="0023786A">
        <w:rPr>
          <w:rFonts w:ascii="Times New Roman" w:eastAsia="Times New Roman" w:hAnsi="Times New Roman" w:cs="Times New Roman"/>
          <w:sz w:val="24"/>
          <w:szCs w:val="24"/>
        </w:rPr>
        <w:t xml:space="preserve"> of the FPA</w:t>
      </w:r>
      <w:r w:rsidRPr="005E2DD3">
        <w:rPr>
          <w:rFonts w:ascii="Times New Roman" w:eastAsia="Times New Roman" w:hAnsi="Times New Roman" w:cs="Times New Roman"/>
          <w:sz w:val="24"/>
          <w:szCs w:val="24"/>
        </w:rPr>
        <w:t xml:space="preserve"> to modify the circumstances under which </w:t>
      </w:r>
      <w:r w:rsidR="0023786A">
        <w:rPr>
          <w:rFonts w:ascii="Times New Roman" w:eastAsia="Times New Roman" w:hAnsi="Times New Roman" w:cs="Times New Roman"/>
          <w:sz w:val="24"/>
          <w:szCs w:val="24"/>
        </w:rPr>
        <w:t>the Secretary of Energy</w:t>
      </w:r>
      <w:r w:rsidRPr="005E2DD3">
        <w:rPr>
          <w:rFonts w:ascii="Times New Roman" w:eastAsia="Times New Roman" w:hAnsi="Times New Roman" w:cs="Times New Roman"/>
          <w:sz w:val="24"/>
          <w:szCs w:val="24"/>
        </w:rPr>
        <w:t xml:space="preserve"> may designate </w:t>
      </w:r>
      <w:r w:rsidRPr="0023786A" w:rsidR="0023786A">
        <w:rPr>
          <w:rFonts w:ascii="Times New Roman" w:eastAsia="Times New Roman" w:hAnsi="Times New Roman" w:cs="Times New Roman"/>
          <w:sz w:val="24"/>
          <w:szCs w:val="24"/>
        </w:rPr>
        <w:t xml:space="preserve">national interest electric transmission corridors </w:t>
      </w:r>
      <w:r w:rsidRPr="005E2DD3">
        <w:rPr>
          <w:rFonts w:ascii="Times New Roman" w:eastAsia="Times New Roman" w:hAnsi="Times New Roman" w:cs="Times New Roman"/>
          <w:sz w:val="24"/>
          <w:szCs w:val="24"/>
        </w:rPr>
        <w:t>and to clarify the circumstances giving rise to the Commission’s jurisdiction.</w:t>
      </w:r>
      <w:r>
        <w:rPr>
          <w:rStyle w:val="FootnoteReference"/>
          <w:rFonts w:eastAsia="Times New Roman" w:cs="Times New Roman"/>
        </w:rPr>
        <w:footnoteReference w:id="10"/>
      </w:r>
      <w:r w:rsidRPr="005E2DD3">
        <w:rPr>
          <w:rFonts w:ascii="Times New Roman" w:eastAsia="Times New Roman" w:hAnsi="Times New Roman" w:cs="Times New Roman"/>
          <w:sz w:val="24"/>
          <w:szCs w:val="24"/>
        </w:rPr>
        <w:t xml:space="preserve">  With respect to the Commission’s siting authority, the IIJA clarified that the Commission may issue a permit if a State has denied a</w:t>
      </w:r>
      <w:r w:rsidR="009565F6">
        <w:rPr>
          <w:rFonts w:ascii="Times New Roman" w:eastAsia="Times New Roman" w:hAnsi="Times New Roman" w:cs="Times New Roman"/>
          <w:sz w:val="24"/>
          <w:szCs w:val="24"/>
        </w:rPr>
        <w:t xml:space="preserve"> siting</w:t>
      </w:r>
      <w:r w:rsidRPr="005E2DD3">
        <w:rPr>
          <w:rFonts w:ascii="Times New Roman" w:eastAsia="Times New Roman" w:hAnsi="Times New Roman" w:cs="Times New Roman"/>
          <w:sz w:val="24"/>
          <w:szCs w:val="24"/>
        </w:rPr>
        <w:t xml:space="preserve"> application.  The </w:t>
      </w:r>
      <w:r w:rsidR="003668F6">
        <w:rPr>
          <w:rFonts w:ascii="Times New Roman" w:eastAsia="Times New Roman" w:hAnsi="Times New Roman" w:cs="Times New Roman"/>
          <w:sz w:val="24"/>
          <w:szCs w:val="24"/>
        </w:rPr>
        <w:t>IIJA</w:t>
      </w:r>
      <w:r w:rsidRPr="005E2DD3">
        <w:rPr>
          <w:rFonts w:ascii="Times New Roman" w:eastAsia="Times New Roman" w:hAnsi="Times New Roman" w:cs="Times New Roman"/>
          <w:sz w:val="24"/>
          <w:szCs w:val="24"/>
        </w:rPr>
        <w:t xml:space="preserve"> also amended section 216(e) to require the Commission to determine, as a precondition to a permit holder exercising eminent domain authority, that the permit holder has made “good faith efforts to engage with landowners and other stakeholders early in the applicable permitting process.”</w:t>
      </w:r>
    </w:p>
    <w:p w:rsidR="005E2DD3" w:rsidP="00B658C4" w14:paraId="196173CA" w14:textId="77777777">
      <w:pPr>
        <w:pStyle w:val="CommentText"/>
        <w:spacing w:after="0"/>
        <w:rPr>
          <w:rFonts w:ascii="Times New Roman" w:eastAsia="Times New Roman" w:hAnsi="Times New Roman" w:cs="Times New Roman"/>
          <w:sz w:val="24"/>
          <w:szCs w:val="24"/>
        </w:rPr>
      </w:pPr>
    </w:p>
    <w:p w:rsidR="00526187" w:rsidRPr="003665F4" w:rsidP="00AD6A1E" w14:paraId="2975A08B" w14:textId="6019108D">
      <w:pPr>
        <w:pStyle w:val="CommentText"/>
        <w:spacing w:after="0"/>
        <w:rPr>
          <w:rFonts w:ascii="Times New Roman" w:eastAsia="Times New Roman" w:hAnsi="Times New Roman" w:cs="Times New Roman"/>
          <w:sz w:val="24"/>
          <w:szCs w:val="24"/>
        </w:rPr>
      </w:pPr>
      <w:r w:rsidRPr="00FE0D26">
        <w:rPr>
          <w:rFonts w:ascii="Times New Roman" w:eastAsia="Times New Roman" w:hAnsi="Times New Roman" w:cs="Times New Roman"/>
          <w:sz w:val="24"/>
          <w:szCs w:val="24"/>
        </w:rPr>
        <w:t xml:space="preserve">To align the Commission’s regulations with the IIJA and to update certain regulatory requirements, the Commission issued a Notice of Proposed Rulemaking </w:t>
      </w:r>
      <w:r w:rsidR="0083372C">
        <w:rPr>
          <w:rFonts w:ascii="Times New Roman" w:eastAsia="Times New Roman" w:hAnsi="Times New Roman" w:cs="Times New Roman"/>
          <w:sz w:val="24"/>
          <w:szCs w:val="24"/>
        </w:rPr>
        <w:t>(</w:t>
      </w:r>
      <w:r w:rsidRPr="00FE0D26">
        <w:rPr>
          <w:rFonts w:ascii="Times New Roman" w:eastAsia="Times New Roman" w:hAnsi="Times New Roman" w:cs="Times New Roman"/>
          <w:sz w:val="24"/>
          <w:szCs w:val="24"/>
        </w:rPr>
        <w:t xml:space="preserve">NOPR) on December 15, 2022, proposing revisions to </w:t>
      </w:r>
      <w:r w:rsidR="0083372C">
        <w:rPr>
          <w:rFonts w:ascii="Times New Roman" w:eastAsia="Times New Roman" w:hAnsi="Times New Roman" w:cs="Times New Roman"/>
          <w:sz w:val="24"/>
          <w:szCs w:val="24"/>
        </w:rPr>
        <w:t>its regulations in p</w:t>
      </w:r>
      <w:r w:rsidRPr="00FE0D26">
        <w:rPr>
          <w:rFonts w:ascii="Times New Roman" w:eastAsia="Times New Roman" w:hAnsi="Times New Roman" w:cs="Times New Roman"/>
          <w:sz w:val="24"/>
          <w:szCs w:val="24"/>
        </w:rPr>
        <w:t>arts 50 and 380</w:t>
      </w:r>
      <w:r w:rsidR="00AA1A69">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11"/>
      </w:r>
      <w:r w:rsidRPr="00E17B5C" w:rsidR="00AA1A69">
        <w:rPr>
          <w:rFonts w:ascii="Times New Roman" w:eastAsia="Times New Roman" w:hAnsi="Times New Roman" w:cs="Times New Roman"/>
          <w:sz w:val="24"/>
          <w:szCs w:val="24"/>
        </w:rPr>
        <w:t xml:space="preserve"> </w:t>
      </w:r>
      <w:r w:rsidR="00AA1A69">
        <w:rPr>
          <w:rFonts w:ascii="Times New Roman" w:eastAsia="Times New Roman" w:hAnsi="Times New Roman" w:cs="Times New Roman"/>
          <w:sz w:val="24"/>
          <w:szCs w:val="24"/>
        </w:rPr>
        <w:t xml:space="preserve"> </w:t>
      </w:r>
      <w:r w:rsidRPr="003665F4" w:rsidR="007243F7">
        <w:rPr>
          <w:rFonts w:ascii="Times New Roman" w:eastAsia="Times New Roman" w:hAnsi="Times New Roman" w:cs="Times New Roman"/>
          <w:sz w:val="24"/>
          <w:szCs w:val="24"/>
        </w:rPr>
        <w:t xml:space="preserve">The </w:t>
      </w:r>
      <w:r w:rsidRPr="003665F4" w:rsidR="001F0591">
        <w:rPr>
          <w:rFonts w:ascii="Times New Roman" w:eastAsia="Times New Roman" w:hAnsi="Times New Roman" w:cs="Times New Roman"/>
          <w:sz w:val="24"/>
          <w:szCs w:val="24"/>
        </w:rPr>
        <w:t>Final Rule</w:t>
      </w:r>
      <w:r w:rsidRPr="003665F4" w:rsidR="00294EED">
        <w:rPr>
          <w:rFonts w:ascii="Times New Roman" w:eastAsia="Times New Roman" w:hAnsi="Times New Roman" w:cs="Times New Roman"/>
          <w:sz w:val="24"/>
          <w:szCs w:val="24"/>
        </w:rPr>
        <w:t xml:space="preserve"> amend</w:t>
      </w:r>
      <w:r w:rsidRPr="003665F4" w:rsidR="00B43657">
        <w:rPr>
          <w:rFonts w:ascii="Times New Roman" w:eastAsia="Times New Roman" w:hAnsi="Times New Roman" w:cs="Times New Roman"/>
          <w:sz w:val="24"/>
          <w:szCs w:val="24"/>
        </w:rPr>
        <w:t>s</w:t>
      </w:r>
      <w:r w:rsidRPr="003665F4" w:rsidR="00294EED">
        <w:rPr>
          <w:rFonts w:ascii="Times New Roman" w:eastAsia="Times New Roman" w:hAnsi="Times New Roman" w:cs="Times New Roman"/>
          <w:sz w:val="24"/>
          <w:szCs w:val="24"/>
        </w:rPr>
        <w:t xml:space="preserve"> the Commission’s </w:t>
      </w:r>
      <w:r w:rsidRPr="003665F4" w:rsidR="00EC5159">
        <w:rPr>
          <w:rFonts w:ascii="Times New Roman" w:eastAsia="Times New Roman" w:hAnsi="Times New Roman" w:cs="Times New Roman"/>
          <w:sz w:val="24"/>
          <w:szCs w:val="24"/>
        </w:rPr>
        <w:t xml:space="preserve">parts 50 and 380 </w:t>
      </w:r>
      <w:r w:rsidR="00055B0F">
        <w:rPr>
          <w:rFonts w:ascii="Times New Roman" w:eastAsia="Times New Roman" w:hAnsi="Times New Roman" w:cs="Times New Roman"/>
          <w:sz w:val="24"/>
          <w:szCs w:val="24"/>
        </w:rPr>
        <w:t xml:space="preserve">regulations </w:t>
      </w:r>
      <w:r w:rsidRPr="003665F4" w:rsidR="00294EED">
        <w:rPr>
          <w:rFonts w:ascii="Times New Roman" w:eastAsia="Times New Roman" w:hAnsi="Times New Roman" w:cs="Times New Roman"/>
          <w:sz w:val="24"/>
          <w:szCs w:val="24"/>
        </w:rPr>
        <w:t>to ensure consistency with</w:t>
      </w:r>
      <w:r w:rsidRPr="003665F4" w:rsidR="00DB7A6E">
        <w:rPr>
          <w:rFonts w:ascii="Times New Roman" w:eastAsia="Times New Roman" w:hAnsi="Times New Roman" w:cs="Times New Roman"/>
          <w:sz w:val="24"/>
          <w:szCs w:val="24"/>
        </w:rPr>
        <w:t xml:space="preserve"> the </w:t>
      </w:r>
      <w:r w:rsidR="00055B0F">
        <w:rPr>
          <w:rFonts w:ascii="Times New Roman" w:eastAsia="Times New Roman" w:hAnsi="Times New Roman" w:cs="Times New Roman"/>
          <w:sz w:val="24"/>
          <w:szCs w:val="24"/>
        </w:rPr>
        <w:t>IIJA</w:t>
      </w:r>
      <w:r w:rsidRPr="003665F4" w:rsidR="00294EED">
        <w:rPr>
          <w:rFonts w:ascii="Times New Roman" w:eastAsia="Times New Roman" w:hAnsi="Times New Roman" w:cs="Times New Roman"/>
          <w:sz w:val="24"/>
          <w:szCs w:val="24"/>
        </w:rPr>
        <w:t>, to modernize certain regulatory requirements, and to incorporate other updates and clarifications to provide for the efficient and timely review of permit applications</w:t>
      </w:r>
      <w:r w:rsidRPr="003665F4" w:rsidR="00DB7A6E">
        <w:rPr>
          <w:rFonts w:ascii="Times New Roman" w:eastAsia="Times New Roman" w:hAnsi="Times New Roman" w:cs="Times New Roman"/>
          <w:sz w:val="24"/>
          <w:szCs w:val="24"/>
        </w:rPr>
        <w:t xml:space="preserve">. </w:t>
      </w:r>
      <w:r w:rsidRPr="003665F4" w:rsidR="00D26C6C">
        <w:rPr>
          <w:rFonts w:ascii="Times New Roman" w:eastAsia="Times New Roman" w:hAnsi="Times New Roman" w:cs="Times New Roman"/>
          <w:sz w:val="24"/>
          <w:szCs w:val="24"/>
        </w:rPr>
        <w:t xml:space="preserve"> </w:t>
      </w:r>
      <w:r w:rsidRPr="003665F4" w:rsidR="00DB7A6E">
        <w:rPr>
          <w:rFonts w:ascii="Times New Roman" w:eastAsia="Times New Roman" w:hAnsi="Times New Roman" w:cs="Times New Roman"/>
          <w:sz w:val="24"/>
          <w:szCs w:val="24"/>
        </w:rPr>
        <w:t xml:space="preserve">The </w:t>
      </w:r>
      <w:r w:rsidRPr="003665F4" w:rsidR="00B43657">
        <w:rPr>
          <w:rFonts w:ascii="Times New Roman" w:eastAsia="Times New Roman" w:hAnsi="Times New Roman" w:cs="Times New Roman"/>
          <w:sz w:val="24"/>
          <w:szCs w:val="24"/>
        </w:rPr>
        <w:t>Final Rule</w:t>
      </w:r>
      <w:r w:rsidRPr="003665F4" w:rsidR="00294EED">
        <w:rPr>
          <w:rFonts w:ascii="Times New Roman" w:eastAsia="Times New Roman" w:hAnsi="Times New Roman" w:cs="Times New Roman"/>
          <w:sz w:val="24"/>
          <w:szCs w:val="24"/>
        </w:rPr>
        <w:t>, among other things,</w:t>
      </w:r>
      <w:r w:rsidRPr="003665F4" w:rsidR="00DB7A6E">
        <w:rPr>
          <w:rFonts w:ascii="Times New Roman" w:eastAsia="Times New Roman" w:hAnsi="Times New Roman" w:cs="Times New Roman"/>
          <w:sz w:val="24"/>
          <w:szCs w:val="24"/>
        </w:rPr>
        <w:t xml:space="preserve"> require</w:t>
      </w:r>
      <w:r w:rsidRPr="003665F4" w:rsidR="00B43657">
        <w:rPr>
          <w:rFonts w:ascii="Times New Roman" w:eastAsia="Times New Roman" w:hAnsi="Times New Roman" w:cs="Times New Roman"/>
          <w:sz w:val="24"/>
          <w:szCs w:val="24"/>
        </w:rPr>
        <w:t>s</w:t>
      </w:r>
      <w:r w:rsidRPr="003665F4" w:rsidR="00DB7A6E">
        <w:rPr>
          <w:rFonts w:ascii="Times New Roman" w:eastAsia="Times New Roman" w:hAnsi="Times New Roman" w:cs="Times New Roman"/>
          <w:sz w:val="24"/>
          <w:szCs w:val="24"/>
        </w:rPr>
        <w:t xml:space="preserve"> applicants to:</w:t>
      </w:r>
    </w:p>
    <w:p w:rsidR="00B43657" w:rsidRPr="003665F4" w:rsidP="00AD6A1E" w14:paraId="54F77348" w14:textId="77777777">
      <w:pPr>
        <w:pStyle w:val="CommentText"/>
        <w:spacing w:after="0"/>
      </w:pPr>
    </w:p>
    <w:p w:rsidR="009A4824" w:rsidRPr="003665F4" w:rsidP="00E876C7" w14:paraId="696755D8" w14:textId="65DF19B7">
      <w:pPr>
        <w:widowControl w:val="0"/>
        <w:numPr>
          <w:ilvl w:val="0"/>
          <w:numId w:val="9"/>
        </w:numPr>
        <w:spacing w:after="0" w:line="240" w:lineRule="auto"/>
        <w:rPr>
          <w:rFonts w:ascii="Times New Roman" w:hAnsi="Times New Roman" w:cs="Times New Roman"/>
          <w:sz w:val="24"/>
          <w:szCs w:val="24"/>
        </w:rPr>
      </w:pPr>
      <w:r w:rsidRPr="003665F4">
        <w:rPr>
          <w:rFonts w:ascii="Times New Roman" w:hAnsi="Times New Roman" w:cs="Times New Roman"/>
          <w:sz w:val="24"/>
          <w:szCs w:val="24"/>
        </w:rPr>
        <w:t xml:space="preserve">maintain an affected landowner contact log, provide certain information to affected landowners, file an affirmative statement with the Commission indicating the applicant’s intent to comply with the Applicant Code of Conduct, and include compliance updates as part of monthly status reports during the pre-filing </w:t>
      </w:r>
      <w:r w:rsidR="00680F95">
        <w:rPr>
          <w:rFonts w:ascii="Times New Roman" w:hAnsi="Times New Roman" w:cs="Times New Roman"/>
          <w:sz w:val="24"/>
          <w:szCs w:val="24"/>
        </w:rPr>
        <w:t xml:space="preserve">and application review </w:t>
      </w:r>
      <w:r w:rsidRPr="003665F4">
        <w:rPr>
          <w:rFonts w:ascii="Times New Roman" w:hAnsi="Times New Roman" w:cs="Times New Roman"/>
          <w:sz w:val="24"/>
          <w:szCs w:val="24"/>
        </w:rPr>
        <w:t>process</w:t>
      </w:r>
      <w:r w:rsidR="004F40F4">
        <w:rPr>
          <w:rFonts w:ascii="Times New Roman" w:hAnsi="Times New Roman" w:cs="Times New Roman"/>
          <w:sz w:val="24"/>
          <w:szCs w:val="24"/>
        </w:rPr>
        <w:t>es</w:t>
      </w:r>
      <w:r w:rsidRPr="003665F4">
        <w:rPr>
          <w:rFonts w:ascii="Times New Roman" w:hAnsi="Times New Roman" w:cs="Times New Roman"/>
          <w:sz w:val="24"/>
          <w:szCs w:val="24"/>
        </w:rPr>
        <w:t>;</w:t>
      </w:r>
      <w:r>
        <w:rPr>
          <w:rFonts w:ascii="Times New Roman" w:hAnsi="Times New Roman" w:cs="Times New Roman"/>
          <w:b/>
          <w:sz w:val="24"/>
          <w:szCs w:val="24"/>
          <w:vertAlign w:val="superscript"/>
        </w:rPr>
        <w:footnoteReference w:id="12"/>
      </w:r>
      <w:r w:rsidRPr="003665F4">
        <w:rPr>
          <w:rFonts w:ascii="Times New Roman" w:hAnsi="Times New Roman" w:cs="Times New Roman"/>
          <w:sz w:val="24"/>
          <w:szCs w:val="24"/>
        </w:rPr>
        <w:t xml:space="preserve"> </w:t>
      </w:r>
    </w:p>
    <w:p w:rsidR="00526187" w:rsidRPr="00AD6A1E" w:rsidP="00AD6A1E" w14:paraId="3A4B6EEC" w14:textId="1E66D0DC">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provide additional congestion and system analysis information during the pre-filing process and as part of the application; </w:t>
      </w:r>
    </w:p>
    <w:p w:rsidR="00526187" w:rsidP="00AD6A1E" w14:paraId="7AEB39C9" w14:textId="6DBFF26E">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develop and file</w:t>
      </w:r>
      <w:r w:rsidRPr="00A84814" w:rsidR="00A84814">
        <w:rPr>
          <w:rFonts w:ascii="Times New Roman" w:hAnsi="Times New Roman" w:cs="Times New Roman"/>
          <w:sz w:val="24"/>
          <w:szCs w:val="24"/>
        </w:rPr>
        <w:t>, as part of the Project Participation Plan,</w:t>
      </w:r>
      <w:r w:rsidRPr="00AD6A1E">
        <w:rPr>
          <w:rFonts w:ascii="Times New Roman" w:hAnsi="Times New Roman" w:cs="Times New Roman"/>
          <w:sz w:val="24"/>
          <w:szCs w:val="24"/>
        </w:rPr>
        <w:t xml:space="preserve"> an </w:t>
      </w:r>
      <w:r w:rsidR="00042D90">
        <w:rPr>
          <w:rFonts w:ascii="Times New Roman" w:hAnsi="Times New Roman" w:cs="Times New Roman"/>
          <w:sz w:val="24"/>
          <w:szCs w:val="24"/>
        </w:rPr>
        <w:t>E</w:t>
      </w:r>
      <w:r w:rsidRPr="00AD6A1E">
        <w:rPr>
          <w:rFonts w:ascii="Times New Roman" w:hAnsi="Times New Roman" w:cs="Times New Roman"/>
          <w:sz w:val="24"/>
          <w:szCs w:val="24"/>
        </w:rPr>
        <w:t xml:space="preserve">nvironmental </w:t>
      </w:r>
      <w:r w:rsidR="00042D90">
        <w:rPr>
          <w:rFonts w:ascii="Times New Roman" w:hAnsi="Times New Roman" w:cs="Times New Roman"/>
          <w:sz w:val="24"/>
          <w:szCs w:val="24"/>
        </w:rPr>
        <w:t>J</w:t>
      </w:r>
      <w:r w:rsidRPr="00AD6A1E">
        <w:rPr>
          <w:rFonts w:ascii="Times New Roman" w:hAnsi="Times New Roman" w:cs="Times New Roman"/>
          <w:sz w:val="24"/>
          <w:szCs w:val="24"/>
        </w:rPr>
        <w:t xml:space="preserve">ustice </w:t>
      </w:r>
      <w:r w:rsidR="00042D90">
        <w:rPr>
          <w:rFonts w:ascii="Times New Roman" w:hAnsi="Times New Roman" w:cs="Times New Roman"/>
          <w:sz w:val="24"/>
          <w:szCs w:val="24"/>
        </w:rPr>
        <w:t>P</w:t>
      </w:r>
      <w:r w:rsidRPr="00AD6A1E">
        <w:rPr>
          <w:rFonts w:ascii="Times New Roman" w:hAnsi="Times New Roman" w:cs="Times New Roman"/>
          <w:sz w:val="24"/>
          <w:szCs w:val="24"/>
        </w:rPr>
        <w:t xml:space="preserve">ublic </w:t>
      </w:r>
      <w:r w:rsidR="00042D90">
        <w:rPr>
          <w:rFonts w:ascii="Times New Roman" w:hAnsi="Times New Roman" w:cs="Times New Roman"/>
          <w:sz w:val="24"/>
          <w:szCs w:val="24"/>
        </w:rPr>
        <w:t>E</w:t>
      </w:r>
      <w:r w:rsidRPr="00AD6A1E">
        <w:rPr>
          <w:rFonts w:ascii="Times New Roman" w:hAnsi="Times New Roman" w:cs="Times New Roman"/>
          <w:sz w:val="24"/>
          <w:szCs w:val="24"/>
        </w:rPr>
        <w:t xml:space="preserve">ngagement </w:t>
      </w:r>
      <w:r w:rsidR="00042D90">
        <w:rPr>
          <w:rFonts w:ascii="Times New Roman" w:hAnsi="Times New Roman" w:cs="Times New Roman"/>
          <w:sz w:val="24"/>
          <w:szCs w:val="24"/>
        </w:rPr>
        <w:t>P</w:t>
      </w:r>
      <w:r w:rsidRPr="00AD6A1E">
        <w:rPr>
          <w:rFonts w:ascii="Times New Roman" w:hAnsi="Times New Roman" w:cs="Times New Roman"/>
          <w:sz w:val="24"/>
          <w:szCs w:val="24"/>
        </w:rPr>
        <w:t xml:space="preserve">lan describing completed and planned targeted outreach </w:t>
      </w:r>
      <w:r w:rsidR="00314B8F">
        <w:rPr>
          <w:rFonts w:ascii="Times New Roman" w:hAnsi="Times New Roman" w:cs="Times New Roman"/>
          <w:sz w:val="24"/>
          <w:szCs w:val="24"/>
        </w:rPr>
        <w:t>to environmental justice communities</w:t>
      </w:r>
      <w:r w:rsidRPr="00AD6A1E">
        <w:rPr>
          <w:rFonts w:ascii="Times New Roman" w:hAnsi="Times New Roman" w:cs="Times New Roman"/>
          <w:sz w:val="24"/>
          <w:szCs w:val="24"/>
        </w:rPr>
        <w:t>;</w:t>
      </w:r>
    </w:p>
    <w:p w:rsidR="0043596F" w:rsidRPr="0043596F" w:rsidP="0043596F" w14:paraId="7DBD3549" w14:textId="2E1551CE">
      <w:pPr>
        <w:widowControl w:val="0"/>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43596F">
        <w:rPr>
          <w:rFonts w:ascii="Times New Roman" w:hAnsi="Times New Roman" w:cs="Times New Roman"/>
          <w:sz w:val="24"/>
          <w:szCs w:val="24"/>
        </w:rPr>
        <w:t xml:space="preserve">evelop and file, as part of the Project Participation Plan, a Tribal Engagement </w:t>
      </w:r>
      <w:r w:rsidRPr="0043596F">
        <w:rPr>
          <w:rFonts w:ascii="Times New Roman" w:hAnsi="Times New Roman" w:cs="Times New Roman"/>
          <w:sz w:val="24"/>
          <w:szCs w:val="24"/>
        </w:rPr>
        <w:t>Plan describing completed and planned targeted outreach to identified Indian Tribes;</w:t>
      </w:r>
    </w:p>
    <w:p w:rsidR="0043596F" w:rsidRPr="0043596F" w:rsidP="0043596F" w14:paraId="633F685B" w14:textId="41D2CA8F">
      <w:pPr>
        <w:widowControl w:val="0"/>
        <w:numPr>
          <w:ilvl w:val="0"/>
          <w:numId w:val="9"/>
        </w:numPr>
        <w:spacing w:after="0" w:line="240" w:lineRule="auto"/>
        <w:rPr>
          <w:rFonts w:ascii="Times New Roman" w:hAnsi="Times New Roman" w:cs="Times New Roman"/>
          <w:sz w:val="24"/>
          <w:szCs w:val="24"/>
        </w:rPr>
      </w:pPr>
      <w:r w:rsidRPr="0043596F">
        <w:rPr>
          <w:rFonts w:ascii="Times New Roman" w:hAnsi="Times New Roman" w:cs="Times New Roman"/>
          <w:sz w:val="24"/>
          <w:szCs w:val="24"/>
        </w:rPr>
        <w:t xml:space="preserve">include </w:t>
      </w:r>
      <w:r w:rsidRPr="0043596F" w:rsidR="008C4141">
        <w:rPr>
          <w:rFonts w:ascii="Times New Roman" w:hAnsi="Times New Roman" w:cs="Times New Roman"/>
          <w:sz w:val="24"/>
          <w:szCs w:val="24"/>
        </w:rPr>
        <w:t xml:space="preserve">written translations </w:t>
      </w:r>
      <w:r w:rsidRPr="0043596F">
        <w:rPr>
          <w:rFonts w:ascii="Times New Roman" w:hAnsi="Times New Roman" w:cs="Times New Roman"/>
          <w:sz w:val="24"/>
          <w:szCs w:val="24"/>
        </w:rPr>
        <w:t xml:space="preserve">in mailed notifications to landowners under certain circumstances, publish project notifications in online or hard copy periodicals and submit the same to available county and municipal government online bulletin boards, and provide the Commission with proof of publication; </w:t>
      </w:r>
    </w:p>
    <w:p w:rsidR="00526187" w:rsidRPr="00AD6A1E" w:rsidP="00AD6A1E" w14:paraId="2D14BCFF"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develop and file a new resource report describing the proposed project’s impacts on Tribal resources; </w:t>
      </w:r>
    </w:p>
    <w:p w:rsidR="00526187" w:rsidRPr="00AD6A1E" w:rsidP="00AD6A1E" w14:paraId="0FA3488C"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develop and file a new resource report describing the proposed project’s impacts on environmental justice communities; </w:t>
      </w:r>
    </w:p>
    <w:p w:rsidR="00526187" w:rsidRPr="00AD6A1E" w:rsidP="00AD6A1E" w14:paraId="0622E866"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develop and file a new resource report describing the proposed project’s impact on air quality and environmental noise; </w:t>
      </w:r>
    </w:p>
    <w:p w:rsidR="00526187" w:rsidRPr="00AD6A1E" w:rsidP="00AD6A1E" w14:paraId="043A33C0"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provide additional information describing the proposed project’s visual impacts; and </w:t>
      </w:r>
    </w:p>
    <w:p w:rsidR="00526187" w:rsidRPr="00AD6A1E" w:rsidP="00AD6A1E" w14:paraId="47E0040C" w14:textId="77777777">
      <w:pPr>
        <w:widowControl w:val="0"/>
        <w:numPr>
          <w:ilvl w:val="0"/>
          <w:numId w:val="9"/>
        </w:numPr>
        <w:spacing w:after="0" w:line="240" w:lineRule="auto"/>
        <w:rPr>
          <w:rFonts w:ascii="Times New Roman" w:hAnsi="Times New Roman" w:cs="Times New Roman"/>
          <w:sz w:val="24"/>
          <w:szCs w:val="24"/>
        </w:rPr>
      </w:pPr>
      <w:r w:rsidRPr="00AD6A1E">
        <w:rPr>
          <w:rFonts w:ascii="Times New Roman" w:hAnsi="Times New Roman" w:cs="Times New Roman"/>
          <w:sz w:val="24"/>
          <w:szCs w:val="24"/>
        </w:rPr>
        <w:t xml:space="preserve">provide additional information as part of the following existing resource reports:  </w:t>
      </w:r>
      <w:r w:rsidRPr="00AD6A1E">
        <w:rPr>
          <w:rFonts w:ascii="Times New Roman" w:hAnsi="Times New Roman" w:cs="Times New Roman"/>
          <w:i/>
          <w:iCs/>
          <w:sz w:val="24"/>
          <w:szCs w:val="24"/>
        </w:rPr>
        <w:t>General project description</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Water use and quality</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Fish, wildlife, and vegetation</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Soils</w:t>
      </w:r>
      <w:r w:rsidRPr="00AD6A1E">
        <w:rPr>
          <w:rFonts w:ascii="Times New Roman" w:hAnsi="Times New Roman" w:cs="Times New Roman"/>
          <w:sz w:val="24"/>
          <w:szCs w:val="24"/>
        </w:rPr>
        <w:t xml:space="preserve">; </w:t>
      </w:r>
      <w:r w:rsidRPr="00AD6A1E">
        <w:rPr>
          <w:rFonts w:ascii="Times New Roman" w:hAnsi="Times New Roman" w:cs="Times New Roman"/>
          <w:i/>
          <w:iCs/>
          <w:sz w:val="24"/>
          <w:szCs w:val="24"/>
        </w:rPr>
        <w:t>Land use, recreation, and aesthetics</w:t>
      </w:r>
      <w:r w:rsidRPr="00AD6A1E">
        <w:rPr>
          <w:rFonts w:ascii="Times New Roman" w:hAnsi="Times New Roman" w:cs="Times New Roman"/>
          <w:sz w:val="24"/>
          <w:szCs w:val="24"/>
        </w:rPr>
        <w:t xml:space="preserve">; and </w:t>
      </w:r>
      <w:r w:rsidRPr="00AD6A1E">
        <w:rPr>
          <w:rFonts w:ascii="Times New Roman" w:hAnsi="Times New Roman" w:cs="Times New Roman"/>
          <w:i/>
          <w:iCs/>
          <w:sz w:val="24"/>
          <w:szCs w:val="24"/>
        </w:rPr>
        <w:t>Reliability and safety</w:t>
      </w:r>
      <w:r w:rsidRPr="00AD6A1E">
        <w:rPr>
          <w:rFonts w:ascii="Times New Roman" w:hAnsi="Times New Roman" w:cs="Times New Roman"/>
          <w:sz w:val="24"/>
          <w:szCs w:val="24"/>
        </w:rPr>
        <w:t xml:space="preserve">. </w:t>
      </w:r>
    </w:p>
    <w:p w:rsidR="000E152C" w:rsidRPr="008B77CF" w:rsidP="000E152C" w14:paraId="73468C86" w14:textId="69DF5E84">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87" w14:textId="77777777">
      <w:pPr>
        <w:widowControl w:val="0"/>
        <w:numPr>
          <w:ilvl w:val="0"/>
          <w:numId w:val="1"/>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HOW, BY WHOM AND FOR WHAT PURPOSE IS THE INFORMATION TO BE USED AND THE CONSEQUENCES OF NOT COLLECTING THE INFORMATION </w:t>
      </w:r>
    </w:p>
    <w:p w:rsidR="000E152C" w:rsidRPr="008B77CF" w:rsidP="000E152C" w14:paraId="73468C88"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B34DA9" w:rsidP="00711E79" w14:paraId="79215552" w14:textId="21BB692B">
      <w:pPr>
        <w:spacing w:after="0" w:line="240" w:lineRule="auto"/>
        <w:rPr>
          <w:rFonts w:ascii="Times New Roman" w:eastAsia="Times New Roman" w:hAnsi="Times New Roman" w:cs="Times New Roman"/>
          <w:sz w:val="24"/>
          <w:szCs w:val="24"/>
        </w:rPr>
      </w:pPr>
      <w:r w:rsidRPr="00711E79">
        <w:rPr>
          <w:rFonts w:ascii="Times New Roman" w:eastAsia="Times New Roman" w:hAnsi="Times New Roman" w:cs="Times New Roman"/>
          <w:sz w:val="24"/>
          <w:szCs w:val="24"/>
        </w:rPr>
        <w:t>The purpose of the Commission’s regulations is to provide for efficient and timely review of requests for permits for the siting of proposed electric transmission facilities under section 216 of the FP</w:t>
      </w:r>
      <w:r w:rsidR="00642924">
        <w:rPr>
          <w:rFonts w:ascii="Times New Roman" w:eastAsia="Times New Roman" w:hAnsi="Times New Roman" w:cs="Times New Roman"/>
          <w:sz w:val="24"/>
          <w:szCs w:val="24"/>
        </w:rPr>
        <w:t>A, as amended by the IIJA</w:t>
      </w:r>
      <w:r w:rsidRPr="00711E79">
        <w:rPr>
          <w:rFonts w:ascii="Times New Roman" w:eastAsia="Times New Roman" w:hAnsi="Times New Roman" w:cs="Times New Roman"/>
          <w:sz w:val="24"/>
          <w:szCs w:val="24"/>
        </w:rPr>
        <w:t xml:space="preserve">.  </w:t>
      </w:r>
      <w:r w:rsidR="006E2EA6">
        <w:rPr>
          <w:rFonts w:ascii="Times New Roman" w:eastAsia="Times New Roman" w:hAnsi="Times New Roman" w:cs="Times New Roman"/>
          <w:sz w:val="24"/>
          <w:szCs w:val="24"/>
        </w:rPr>
        <w:t xml:space="preserve">As described above, the </w:t>
      </w:r>
      <w:r w:rsidR="009778BD">
        <w:rPr>
          <w:rFonts w:ascii="Times New Roman" w:eastAsia="Times New Roman" w:hAnsi="Times New Roman" w:cs="Times New Roman"/>
          <w:sz w:val="24"/>
          <w:szCs w:val="24"/>
        </w:rPr>
        <w:t>Final Rule</w:t>
      </w:r>
      <w:r w:rsidR="00F05B06">
        <w:rPr>
          <w:rFonts w:ascii="Times New Roman" w:eastAsia="Times New Roman" w:hAnsi="Times New Roman" w:cs="Times New Roman"/>
          <w:sz w:val="24"/>
          <w:szCs w:val="24"/>
        </w:rPr>
        <w:t xml:space="preserve"> </w:t>
      </w:r>
      <w:r w:rsidR="007B134A">
        <w:rPr>
          <w:rFonts w:ascii="Times New Roman" w:eastAsia="Times New Roman" w:hAnsi="Times New Roman" w:cs="Times New Roman"/>
          <w:sz w:val="24"/>
          <w:szCs w:val="24"/>
        </w:rPr>
        <w:t>amend</w:t>
      </w:r>
      <w:r w:rsidR="00F05B06">
        <w:rPr>
          <w:rFonts w:ascii="Times New Roman" w:eastAsia="Times New Roman" w:hAnsi="Times New Roman" w:cs="Times New Roman"/>
          <w:sz w:val="24"/>
          <w:szCs w:val="24"/>
        </w:rPr>
        <w:t>s</w:t>
      </w:r>
      <w:r w:rsidR="006E2EA6">
        <w:rPr>
          <w:rFonts w:ascii="Times New Roman" w:eastAsia="Times New Roman" w:hAnsi="Times New Roman" w:cs="Times New Roman"/>
          <w:sz w:val="24"/>
          <w:szCs w:val="24"/>
        </w:rPr>
        <w:t xml:space="preserve"> the </w:t>
      </w:r>
      <w:r w:rsidR="007B134A">
        <w:rPr>
          <w:rFonts w:ascii="Times New Roman" w:eastAsia="Times New Roman" w:hAnsi="Times New Roman" w:cs="Times New Roman"/>
          <w:sz w:val="24"/>
          <w:szCs w:val="24"/>
        </w:rPr>
        <w:t xml:space="preserve">Commission’s </w:t>
      </w:r>
      <w:r w:rsidR="006E2EA6">
        <w:rPr>
          <w:rFonts w:ascii="Times New Roman" w:eastAsia="Times New Roman" w:hAnsi="Times New Roman" w:cs="Times New Roman"/>
          <w:sz w:val="24"/>
          <w:szCs w:val="24"/>
        </w:rPr>
        <w:t>existing regul</w:t>
      </w:r>
      <w:r w:rsidR="007B134A">
        <w:rPr>
          <w:rFonts w:ascii="Times New Roman" w:eastAsia="Times New Roman" w:hAnsi="Times New Roman" w:cs="Times New Roman"/>
          <w:sz w:val="24"/>
          <w:szCs w:val="24"/>
        </w:rPr>
        <w:t>atory requirements</w:t>
      </w:r>
      <w:r w:rsidR="00DD52CF">
        <w:rPr>
          <w:rFonts w:ascii="Times New Roman" w:eastAsia="Times New Roman" w:hAnsi="Times New Roman" w:cs="Times New Roman"/>
          <w:sz w:val="24"/>
          <w:szCs w:val="24"/>
        </w:rPr>
        <w:t xml:space="preserve"> in 18 CFR Parts 50 and 380.</w:t>
      </w:r>
    </w:p>
    <w:p w:rsidR="00B34DA9" w:rsidRPr="00711E79" w:rsidP="00711E79" w14:paraId="3A9C4250" w14:textId="77777777">
      <w:pPr>
        <w:spacing w:after="0" w:line="240" w:lineRule="auto"/>
        <w:rPr>
          <w:rFonts w:ascii="Times New Roman" w:eastAsia="Times New Roman" w:hAnsi="Times New Roman" w:cs="Times New Roman"/>
          <w:sz w:val="24"/>
          <w:szCs w:val="24"/>
        </w:rPr>
      </w:pPr>
    </w:p>
    <w:p w:rsidR="002C5300" w:rsidRPr="00B34DA9" w:rsidP="00AD6A1E" w14:paraId="22ECEDE3" w14:textId="1EF5DB66">
      <w:pPr>
        <w:spacing w:after="0" w:line="240" w:lineRule="auto"/>
        <w:rPr>
          <w:rFonts w:ascii="Times New Roman" w:eastAsia="Times New Roman" w:hAnsi="Times New Roman" w:cs="Times New Roman"/>
          <w:bCs/>
          <w:sz w:val="24"/>
          <w:szCs w:val="24"/>
        </w:rPr>
      </w:pPr>
      <w:r w:rsidRPr="005740AD">
        <w:rPr>
          <w:rFonts w:ascii="Times New Roman" w:eastAsia="Times New Roman" w:hAnsi="Times New Roman" w:cs="Times New Roman"/>
          <w:bCs/>
          <w:sz w:val="24"/>
          <w:szCs w:val="24"/>
        </w:rPr>
        <w:t>Th</w:t>
      </w:r>
      <w:r w:rsidR="0083132B">
        <w:rPr>
          <w:rFonts w:ascii="Times New Roman" w:eastAsia="Times New Roman" w:hAnsi="Times New Roman" w:cs="Times New Roman"/>
          <w:bCs/>
          <w:sz w:val="24"/>
          <w:szCs w:val="24"/>
        </w:rPr>
        <w:t>is</w:t>
      </w:r>
      <w:r w:rsidRPr="005740AD">
        <w:rPr>
          <w:rFonts w:ascii="Times New Roman" w:eastAsia="Times New Roman" w:hAnsi="Times New Roman" w:cs="Times New Roman"/>
          <w:bCs/>
          <w:sz w:val="24"/>
          <w:szCs w:val="24"/>
        </w:rPr>
        <w:t xml:space="preserve"> information collection cannot be discontinued or collected less frequently because of statutory requirements.  </w:t>
      </w:r>
      <w:r w:rsidRPr="008B77CF">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 xml:space="preserve">this </w:t>
      </w:r>
      <w:r w:rsidRPr="008B77CF">
        <w:rPr>
          <w:rFonts w:ascii="Times New Roman" w:eastAsia="Times New Roman" w:hAnsi="Times New Roman" w:cs="Times New Roman"/>
          <w:sz w:val="24"/>
          <w:szCs w:val="24"/>
        </w:rPr>
        <w:t>info</w:t>
      </w:r>
      <w:r>
        <w:rPr>
          <w:rFonts w:ascii="Times New Roman" w:eastAsia="Times New Roman" w:hAnsi="Times New Roman" w:cs="Times New Roman"/>
          <w:sz w:val="24"/>
          <w:szCs w:val="24"/>
        </w:rPr>
        <w:t>rmation</w:t>
      </w:r>
      <w:r w:rsidRPr="008B77CF">
        <w:rPr>
          <w:rFonts w:ascii="Times New Roman" w:eastAsia="Times New Roman" w:hAnsi="Times New Roman" w:cs="Times New Roman"/>
          <w:sz w:val="24"/>
          <w:szCs w:val="24"/>
        </w:rPr>
        <w:t>, the Commission would be unable</w:t>
      </w:r>
      <w:r w:rsidR="00AD6A1E">
        <w:rPr>
          <w:rFonts w:ascii="Times New Roman" w:eastAsia="Times New Roman" w:hAnsi="Times New Roman" w:cs="Times New Roman"/>
          <w:sz w:val="24"/>
          <w:szCs w:val="24"/>
        </w:rPr>
        <w:t xml:space="preserve"> to </w:t>
      </w:r>
      <w:r w:rsidRPr="008B77CF">
        <w:rPr>
          <w:rFonts w:ascii="Times New Roman" w:eastAsia="Times New Roman" w:hAnsi="Times New Roman" w:cs="Times New Roman"/>
          <w:sz w:val="24"/>
          <w:szCs w:val="24"/>
        </w:rPr>
        <w:t xml:space="preserve">fulfill its statutory </w:t>
      </w:r>
      <w:r w:rsidR="0094698C">
        <w:rPr>
          <w:rFonts w:ascii="Times New Roman" w:eastAsia="Times New Roman" w:hAnsi="Times New Roman" w:cs="Times New Roman"/>
          <w:sz w:val="24"/>
          <w:szCs w:val="24"/>
        </w:rPr>
        <w:t>obligations</w:t>
      </w:r>
      <w:r w:rsidRPr="008B77CF">
        <w:rPr>
          <w:rFonts w:ascii="Times New Roman" w:eastAsia="Times New Roman" w:hAnsi="Times New Roman" w:cs="Times New Roman"/>
          <w:sz w:val="24"/>
          <w:szCs w:val="24"/>
        </w:rPr>
        <w:t xml:space="preserve"> under the FPA </w:t>
      </w:r>
      <w:r>
        <w:rPr>
          <w:rFonts w:ascii="Times New Roman" w:eastAsia="Times New Roman" w:hAnsi="Times New Roman" w:cs="Times New Roman"/>
          <w:sz w:val="24"/>
          <w:szCs w:val="24"/>
        </w:rPr>
        <w:t>and NEPA</w:t>
      </w:r>
      <w:r w:rsidR="00437DF8">
        <w:rPr>
          <w:rFonts w:ascii="Times New Roman" w:eastAsia="Times New Roman" w:hAnsi="Times New Roman" w:cs="Times New Roman"/>
          <w:sz w:val="24"/>
          <w:szCs w:val="24"/>
        </w:rPr>
        <w:t xml:space="preserve"> in evaluating proposals to site electric transmission facilities</w:t>
      </w:r>
      <w:r>
        <w:rPr>
          <w:rFonts w:ascii="Times New Roman" w:eastAsia="Times New Roman" w:hAnsi="Times New Roman" w:cs="Times New Roman"/>
          <w:sz w:val="24"/>
          <w:szCs w:val="24"/>
        </w:rPr>
        <w:t>.</w:t>
      </w:r>
    </w:p>
    <w:p w:rsidR="000E152C" w:rsidRPr="008B77CF" w:rsidP="000E152C" w14:paraId="73468C9E" w14:textId="7777777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9F" w14:textId="77777777">
      <w:pPr>
        <w:widowControl w:val="0"/>
        <w:numPr>
          <w:ilvl w:val="0"/>
          <w:numId w:val="1"/>
        </w:numPr>
        <w:autoSpaceDE w:val="0"/>
        <w:autoSpaceDN w:val="0"/>
        <w:adjustRightInd w:val="0"/>
        <w:spacing w:after="0" w:line="240" w:lineRule="auto"/>
        <w:ind w:left="720" w:hanging="720"/>
        <w:rPr>
          <w:rFonts w:ascii="Times New Roman" w:eastAsia="Times New Roman" w:hAnsi="Times New Roman" w:cs="Times New Roman"/>
          <w:sz w:val="24"/>
          <w:szCs w:val="24"/>
        </w:rPr>
      </w:pPr>
      <w:r w:rsidRPr="008B77CF">
        <w:rPr>
          <w:rFonts w:ascii="Times New Roman" w:eastAsia="Times New Roman" w:hAnsi="Times New Roman" w:cs="Times New Roman"/>
          <w:b/>
          <w:sz w:val="24"/>
          <w:szCs w:val="24"/>
        </w:rPr>
        <w:t>DESCRIBE ANY CONSIDERATION OF THE USE OF IMPROVED INFORMATION TECHNOLOGY TO REDUCE BURDEN AND THE TECHNICAL OR LEGAL OBSTACLES TO REDUCING BURDEN</w:t>
      </w:r>
    </w:p>
    <w:p w:rsidR="000E152C" w:rsidRPr="008B77CF" w:rsidP="000E152C" w14:paraId="73468CA0"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A1" w14:textId="772DD644">
      <w:pPr>
        <w:widowControl w:val="0"/>
        <w:autoSpaceDE w:val="0"/>
        <w:autoSpaceDN w:val="0"/>
        <w:adjustRightInd w:val="0"/>
        <w:spacing w:after="0" w:line="240" w:lineRule="auto"/>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 xml:space="preserve">There is an ongoing effort to determine the potential </w:t>
      </w:r>
      <w:r w:rsidR="00C570CC">
        <w:rPr>
          <w:rFonts w:ascii="Times New Roman" w:eastAsia="Times New Roman" w:hAnsi="Times New Roman" w:cs="Times New Roman"/>
          <w:sz w:val="24"/>
          <w:szCs w:val="24"/>
        </w:rPr>
        <w:t xml:space="preserve">for </w:t>
      </w:r>
      <w:r w:rsidRPr="005740AD">
        <w:rPr>
          <w:rFonts w:ascii="Times New Roman" w:eastAsia="Times New Roman" w:hAnsi="Times New Roman" w:cs="Times New Roman"/>
          <w:sz w:val="24"/>
          <w:szCs w:val="24"/>
        </w:rPr>
        <w:t xml:space="preserve">improved information technology to reduce burden, and the Commission encourages the use of electronic filing.  </w:t>
      </w:r>
      <w:r w:rsidR="007015EC">
        <w:rPr>
          <w:rFonts w:ascii="Times New Roman" w:eastAsia="Times New Roman" w:hAnsi="Times New Roman" w:cs="Times New Roman"/>
          <w:sz w:val="24"/>
          <w:szCs w:val="24"/>
        </w:rPr>
        <w:t>As posted at</w:t>
      </w:r>
      <w:r w:rsidR="006B7811">
        <w:rPr>
          <w:rFonts w:ascii="Times New Roman" w:eastAsia="Times New Roman" w:hAnsi="Times New Roman" w:cs="Times New Roman"/>
          <w:sz w:val="24"/>
          <w:szCs w:val="24"/>
        </w:rPr>
        <w:t xml:space="preserve">: </w:t>
      </w:r>
      <w:r w:rsidR="007015EC">
        <w:rPr>
          <w:rFonts w:ascii="Times New Roman" w:eastAsia="Times New Roman" w:hAnsi="Times New Roman" w:cs="Times New Roman"/>
          <w:sz w:val="24"/>
          <w:szCs w:val="24"/>
        </w:rPr>
        <w:t xml:space="preserve"> </w:t>
      </w:r>
      <w:hyperlink r:id="rId9" w:history="1">
        <w:r w:rsidRPr="00343694" w:rsidR="007015EC">
          <w:rPr>
            <w:rStyle w:val="Hyperlink"/>
            <w:rFonts w:ascii="Times New Roman" w:eastAsia="Times New Roman" w:hAnsi="Times New Roman" w:cs="Times New Roman"/>
            <w:sz w:val="24"/>
            <w:szCs w:val="24"/>
          </w:rPr>
          <w:t>https://www.ferc.gov/sites/default/files/2020-05/filing.pdf</w:t>
        </w:r>
      </w:hyperlink>
      <w:r w:rsidR="007015EC">
        <w:rPr>
          <w:rFonts w:ascii="Times New Roman" w:eastAsia="Times New Roman" w:hAnsi="Times New Roman" w:cs="Times New Roman"/>
          <w:sz w:val="24"/>
          <w:szCs w:val="24"/>
        </w:rPr>
        <w:t xml:space="preserve">, the </w:t>
      </w:r>
      <w:r w:rsidRPr="005740AD">
        <w:rPr>
          <w:rFonts w:ascii="Times New Roman" w:eastAsia="Times New Roman" w:hAnsi="Times New Roman" w:cs="Times New Roman"/>
          <w:sz w:val="24"/>
          <w:szCs w:val="24"/>
        </w:rPr>
        <w:t>FERC-</w:t>
      </w:r>
      <w:r>
        <w:rPr>
          <w:rFonts w:ascii="Times New Roman" w:eastAsia="Times New Roman" w:hAnsi="Times New Roman" w:cs="Times New Roman"/>
          <w:sz w:val="24"/>
          <w:szCs w:val="24"/>
        </w:rPr>
        <w:t>729</w:t>
      </w:r>
      <w:r w:rsidRPr="005740AD">
        <w:rPr>
          <w:rFonts w:ascii="Times New Roman" w:eastAsia="Times New Roman" w:hAnsi="Times New Roman" w:cs="Times New Roman"/>
          <w:sz w:val="24"/>
          <w:szCs w:val="24"/>
        </w:rPr>
        <w:t xml:space="preserve"> </w:t>
      </w:r>
      <w:r w:rsidR="00FC241A">
        <w:rPr>
          <w:rFonts w:ascii="Times New Roman" w:eastAsia="Times New Roman" w:hAnsi="Times New Roman" w:cs="Times New Roman"/>
          <w:sz w:val="24"/>
          <w:szCs w:val="24"/>
        </w:rPr>
        <w:t xml:space="preserve">information </w:t>
      </w:r>
      <w:r w:rsidRPr="005740AD">
        <w:rPr>
          <w:rFonts w:ascii="Times New Roman" w:eastAsia="Times New Roman" w:hAnsi="Times New Roman" w:cs="Times New Roman"/>
          <w:sz w:val="24"/>
          <w:szCs w:val="24"/>
        </w:rPr>
        <w:t xml:space="preserve">may be </w:t>
      </w:r>
      <w:r w:rsidR="00C570CC">
        <w:rPr>
          <w:rFonts w:ascii="Times New Roman" w:eastAsia="Times New Roman" w:hAnsi="Times New Roman" w:cs="Times New Roman"/>
          <w:sz w:val="24"/>
          <w:szCs w:val="24"/>
        </w:rPr>
        <w:t>electronically filed</w:t>
      </w:r>
      <w:r w:rsidRPr="005740AD">
        <w:rPr>
          <w:rFonts w:ascii="Times New Roman" w:eastAsia="Times New Roman" w:hAnsi="Times New Roman" w:cs="Times New Roman"/>
          <w:sz w:val="24"/>
          <w:szCs w:val="24"/>
        </w:rPr>
        <w:t xml:space="preserve"> through the Commission’s eFiling system.</w:t>
      </w:r>
    </w:p>
    <w:p w:rsidR="000E152C" w:rsidRPr="008B77CF" w:rsidP="000E152C" w14:paraId="73468CA2"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A3" w14:textId="3481D6B4">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4.</w:t>
      </w:r>
      <w:r w:rsidRPr="008B77CF">
        <w:rPr>
          <w:rFonts w:ascii="Times New Roman" w:eastAsia="Times New Roman" w:hAnsi="Times New Roman" w:cs="Times New Roman"/>
          <w:b/>
          <w:sz w:val="24"/>
          <w:szCs w:val="24"/>
        </w:rPr>
        <w:tab/>
        <w:t>DESCRIBE EFFORTS TO IDENTIFY DUPLICATION AND SHOW SPECIFICALLY WHY ANY SIMILAR INFORMATION ALREADY AVAILABLE CANNOT BE USED OR MODIFIED FOR USE FOR THE PURPOSE(S) DESCRIBED IN INSTRUCTION NO. 2</w:t>
      </w:r>
    </w:p>
    <w:p w:rsidR="000E152C" w:rsidRPr="008B77CF" w:rsidP="000E152C" w14:paraId="73468CA4"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CA5" w14:textId="245143D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duplication, Commission staff</w:t>
      </w:r>
      <w:r w:rsidRPr="008B77CF">
        <w:rPr>
          <w:rFonts w:ascii="Times New Roman" w:eastAsia="Times New Roman" w:hAnsi="Times New Roman" w:cs="Times New Roman"/>
          <w:sz w:val="24"/>
          <w:szCs w:val="24"/>
        </w:rPr>
        <w:t xml:space="preserve"> periodically review </w:t>
      </w:r>
      <w:r>
        <w:rPr>
          <w:rFonts w:ascii="Times New Roman" w:eastAsia="Times New Roman" w:hAnsi="Times New Roman" w:cs="Times New Roman"/>
          <w:sz w:val="24"/>
          <w:szCs w:val="24"/>
        </w:rPr>
        <w:t xml:space="preserve">filing requirements </w:t>
      </w:r>
      <w:r w:rsidR="004160C9">
        <w:rPr>
          <w:rFonts w:ascii="Times New Roman" w:eastAsia="Times New Roman" w:hAnsi="Times New Roman" w:cs="Times New Roman"/>
          <w:sz w:val="24"/>
          <w:szCs w:val="24"/>
        </w:rPr>
        <w:t>before the expiration of the information collection</w:t>
      </w:r>
      <w:r w:rsidRPr="008B7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B77CF">
        <w:rPr>
          <w:rFonts w:ascii="Times New Roman" w:eastAsia="Times New Roman" w:hAnsi="Times New Roman" w:cs="Times New Roman"/>
          <w:sz w:val="24"/>
          <w:szCs w:val="24"/>
        </w:rPr>
        <w:t xml:space="preserve"> as the Commission may deem necessary in carrying out its </w:t>
      </w:r>
      <w:r w:rsidR="004160C9">
        <w:rPr>
          <w:rFonts w:ascii="Times New Roman" w:eastAsia="Times New Roman" w:hAnsi="Times New Roman" w:cs="Times New Roman"/>
          <w:sz w:val="24"/>
          <w:szCs w:val="24"/>
        </w:rPr>
        <w:t>statutory</w:t>
      </w:r>
      <w:r w:rsidRPr="008B77CF">
        <w:rPr>
          <w:rFonts w:ascii="Times New Roman" w:eastAsia="Times New Roman" w:hAnsi="Times New Roman" w:cs="Times New Roman"/>
          <w:sz w:val="24"/>
          <w:szCs w:val="24"/>
        </w:rPr>
        <w:t xml:space="preserve"> responsibilities.  There is no other source of this information.</w:t>
      </w:r>
    </w:p>
    <w:p w:rsidR="000E152C" w:rsidRPr="008B77CF" w:rsidP="000E152C" w14:paraId="73468CA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A7"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B77CF">
        <w:rPr>
          <w:rFonts w:ascii="Times New Roman" w:eastAsia="Times New Roman" w:hAnsi="Times New Roman" w:cs="Times New Roman"/>
          <w:b/>
          <w:sz w:val="24"/>
          <w:szCs w:val="24"/>
        </w:rPr>
        <w:t>5.</w:t>
      </w:r>
      <w:r w:rsidRPr="008B77CF">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METHODS USED TO MINIMIZE BURDEN IN COLLECTION OF INFORMATION INVOLVING SMALL ENTITIES</w:t>
      </w:r>
      <w:r w:rsidRPr="008B77CF">
        <w:rPr>
          <w:rFonts w:ascii="Times New Roman" w:eastAsia="Times New Roman" w:hAnsi="Times New Roman" w:cs="Times New Roman"/>
          <w:sz w:val="24"/>
          <w:szCs w:val="24"/>
        </w:rPr>
        <w:t xml:space="preserve"> </w:t>
      </w:r>
    </w:p>
    <w:p w:rsidR="000E152C" w:rsidRPr="008B77CF" w:rsidP="000E152C" w14:paraId="73468CA8" w14:textId="77777777">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0E152C" w:rsidRPr="008B77CF" w:rsidP="000E152C" w14:paraId="73468CA9" w14:textId="5D8BDF09">
      <w:pPr>
        <w:autoSpaceDE w:val="0"/>
        <w:autoSpaceDN w:val="0"/>
        <w:adjustRightInd w:val="0"/>
        <w:spacing w:after="0" w:line="240" w:lineRule="auto"/>
        <w:rPr>
          <w:rFonts w:ascii="Times New Roman" w:eastAsia="Times New Roman" w:hAnsi="Times New Roman" w:cs="Times New Roman"/>
          <w:b/>
          <w:bCs/>
          <w:sz w:val="24"/>
          <w:szCs w:val="24"/>
        </w:rPr>
      </w:pPr>
      <w:r w:rsidRPr="008B77CF">
        <w:rPr>
          <w:rFonts w:ascii="Times New Roman" w:eastAsia="Times New Roman" w:hAnsi="Times New Roman" w:cs="Times New Roman"/>
          <w:sz w:val="24"/>
          <w:szCs w:val="24"/>
        </w:rPr>
        <w:t xml:space="preserve">The Commission expects entities seeking </w:t>
      </w:r>
      <w:r w:rsidR="000362D1">
        <w:rPr>
          <w:rFonts w:ascii="Times New Roman" w:eastAsia="Times New Roman" w:hAnsi="Times New Roman" w:cs="Times New Roman"/>
          <w:sz w:val="24"/>
          <w:szCs w:val="24"/>
        </w:rPr>
        <w:t xml:space="preserve">to construct electric transmission facilities pursuant to the Commission’s </w:t>
      </w:r>
      <w:r w:rsidR="00184338">
        <w:rPr>
          <w:rFonts w:ascii="Times New Roman" w:eastAsia="Times New Roman" w:hAnsi="Times New Roman" w:cs="Times New Roman"/>
          <w:sz w:val="24"/>
          <w:szCs w:val="24"/>
        </w:rPr>
        <w:t xml:space="preserve">authority </w:t>
      </w:r>
      <w:r w:rsidR="000362D1">
        <w:rPr>
          <w:rFonts w:ascii="Times New Roman" w:eastAsia="Times New Roman" w:hAnsi="Times New Roman" w:cs="Times New Roman"/>
          <w:sz w:val="24"/>
          <w:szCs w:val="24"/>
        </w:rPr>
        <w:t>under section 216 of the FPA to</w:t>
      </w:r>
      <w:r w:rsidRPr="008B77CF">
        <w:rPr>
          <w:rFonts w:ascii="Times New Roman" w:eastAsia="Times New Roman" w:hAnsi="Times New Roman" w:cs="Times New Roman"/>
          <w:sz w:val="24"/>
          <w:szCs w:val="24"/>
        </w:rPr>
        <w:t xml:space="preserve"> be major </w:t>
      </w:r>
      <w:r w:rsidR="000362D1">
        <w:rPr>
          <w:rFonts w:ascii="Times New Roman" w:eastAsia="Times New Roman" w:hAnsi="Times New Roman" w:cs="Times New Roman"/>
          <w:sz w:val="24"/>
          <w:szCs w:val="24"/>
        </w:rPr>
        <w:t>developers</w:t>
      </w:r>
      <w:r w:rsidRPr="008B77CF">
        <w:rPr>
          <w:rFonts w:ascii="Times New Roman" w:eastAsia="Times New Roman" w:hAnsi="Times New Roman" w:cs="Times New Roman"/>
          <w:sz w:val="24"/>
          <w:szCs w:val="24"/>
        </w:rPr>
        <w:t xml:space="preserve"> capable of financing complex and </w:t>
      </w:r>
      <w:r w:rsidR="00184338">
        <w:rPr>
          <w:rFonts w:ascii="Times New Roman" w:eastAsia="Times New Roman" w:hAnsi="Times New Roman" w:cs="Times New Roman"/>
          <w:sz w:val="24"/>
          <w:szCs w:val="24"/>
        </w:rPr>
        <w:t>expensive</w:t>
      </w:r>
      <w:r w:rsidRPr="008B77CF">
        <w:rPr>
          <w:rFonts w:ascii="Times New Roman" w:eastAsia="Times New Roman" w:hAnsi="Times New Roman" w:cs="Times New Roman"/>
          <w:sz w:val="24"/>
          <w:szCs w:val="24"/>
        </w:rPr>
        <w:t xml:space="preserve"> projects.</w:t>
      </w:r>
      <w:r w:rsidR="00470CF3">
        <w:rPr>
          <w:rFonts w:ascii="Times New Roman" w:eastAsia="Times New Roman" w:hAnsi="Times New Roman" w:cs="Times New Roman"/>
          <w:sz w:val="24"/>
          <w:szCs w:val="24"/>
        </w:rPr>
        <w:t xml:space="preserve"> </w:t>
      </w:r>
      <w:r w:rsidR="00B658C4">
        <w:rPr>
          <w:rFonts w:ascii="Times New Roman" w:eastAsia="Times New Roman" w:hAnsi="Times New Roman" w:cs="Times New Roman"/>
          <w:sz w:val="24"/>
          <w:szCs w:val="24"/>
        </w:rPr>
        <w:t xml:space="preserve"> To date, only one entity has participated in the Commission’s </w:t>
      </w:r>
      <w:r w:rsidR="00B36EE5">
        <w:rPr>
          <w:rFonts w:ascii="Times New Roman" w:eastAsia="Times New Roman" w:hAnsi="Times New Roman" w:cs="Times New Roman"/>
          <w:sz w:val="24"/>
          <w:szCs w:val="24"/>
        </w:rPr>
        <w:t xml:space="preserve">mandatory </w:t>
      </w:r>
      <w:r w:rsidR="00B658C4">
        <w:rPr>
          <w:rFonts w:ascii="Times New Roman" w:eastAsia="Times New Roman" w:hAnsi="Times New Roman" w:cs="Times New Roman"/>
          <w:sz w:val="24"/>
          <w:szCs w:val="24"/>
        </w:rPr>
        <w:t>pre-filing process</w:t>
      </w:r>
      <w:r w:rsidR="0064491E">
        <w:rPr>
          <w:rFonts w:ascii="Times New Roman" w:eastAsia="Times New Roman" w:hAnsi="Times New Roman" w:cs="Times New Roman"/>
          <w:sz w:val="24"/>
          <w:szCs w:val="24"/>
        </w:rPr>
        <w:t xml:space="preserve"> in 18 CFR Part 50</w:t>
      </w:r>
      <w:r w:rsidR="00B658C4">
        <w:rPr>
          <w:rFonts w:ascii="Times New Roman" w:eastAsia="Times New Roman" w:hAnsi="Times New Roman" w:cs="Times New Roman"/>
          <w:sz w:val="24"/>
          <w:szCs w:val="24"/>
        </w:rPr>
        <w:t xml:space="preserve">, and that was a major electric utility company. </w:t>
      </w:r>
      <w:r w:rsidR="00470CF3">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 xml:space="preserve">Therefore, the Commission </w:t>
      </w:r>
      <w:r w:rsidR="000362D1">
        <w:rPr>
          <w:rFonts w:ascii="Times New Roman" w:eastAsia="Times New Roman" w:hAnsi="Times New Roman" w:cs="Times New Roman"/>
          <w:sz w:val="24"/>
          <w:szCs w:val="24"/>
        </w:rPr>
        <w:t>does not anticipate</w:t>
      </w:r>
      <w:r w:rsidRPr="008B77CF">
        <w:rPr>
          <w:rFonts w:ascii="Times New Roman" w:eastAsia="Times New Roman" w:hAnsi="Times New Roman" w:cs="Times New Roman"/>
          <w:sz w:val="24"/>
          <w:szCs w:val="24"/>
        </w:rPr>
        <w:t xml:space="preserve"> that these </w:t>
      </w:r>
      <w:r w:rsidR="000362D1">
        <w:rPr>
          <w:rFonts w:ascii="Times New Roman" w:eastAsia="Times New Roman" w:hAnsi="Times New Roman" w:cs="Times New Roman"/>
          <w:sz w:val="24"/>
          <w:szCs w:val="24"/>
        </w:rPr>
        <w:t xml:space="preserve">information collection </w:t>
      </w:r>
      <w:r w:rsidRPr="008B77CF">
        <w:rPr>
          <w:rFonts w:ascii="Times New Roman" w:eastAsia="Times New Roman" w:hAnsi="Times New Roman" w:cs="Times New Roman"/>
          <w:sz w:val="24"/>
          <w:szCs w:val="24"/>
        </w:rPr>
        <w:t xml:space="preserve">requirements would </w:t>
      </w:r>
      <w:r w:rsidR="000362D1">
        <w:rPr>
          <w:rFonts w:ascii="Times New Roman" w:eastAsia="Times New Roman" w:hAnsi="Times New Roman" w:cs="Times New Roman"/>
          <w:sz w:val="24"/>
          <w:szCs w:val="24"/>
        </w:rPr>
        <w:t>impose</w:t>
      </w:r>
      <w:r w:rsidRPr="008B77CF">
        <w:rPr>
          <w:rFonts w:ascii="Times New Roman" w:eastAsia="Times New Roman" w:hAnsi="Times New Roman" w:cs="Times New Roman"/>
          <w:sz w:val="24"/>
          <w:szCs w:val="24"/>
        </w:rPr>
        <w:t xml:space="preserve"> a </w:t>
      </w:r>
      <w:r w:rsidR="000362D1">
        <w:rPr>
          <w:rFonts w:ascii="Times New Roman" w:eastAsia="Times New Roman" w:hAnsi="Times New Roman" w:cs="Times New Roman"/>
          <w:sz w:val="24"/>
          <w:szCs w:val="24"/>
        </w:rPr>
        <w:t>burden on</w:t>
      </w:r>
      <w:r w:rsidRPr="008B77CF">
        <w:rPr>
          <w:rFonts w:ascii="Times New Roman" w:eastAsia="Times New Roman" w:hAnsi="Times New Roman" w:cs="Times New Roman"/>
          <w:sz w:val="24"/>
          <w:szCs w:val="24"/>
        </w:rPr>
        <w:t xml:space="preserve"> small entities. </w:t>
      </w:r>
      <w:r w:rsidR="00184338">
        <w:rPr>
          <w:rFonts w:ascii="Times New Roman" w:eastAsia="Times New Roman" w:hAnsi="Times New Roman" w:cs="Times New Roman"/>
          <w:sz w:val="24"/>
          <w:szCs w:val="24"/>
        </w:rPr>
        <w:t xml:space="preserve"> Additionally, </w:t>
      </w:r>
      <w:r w:rsidR="00717CF8">
        <w:rPr>
          <w:rFonts w:ascii="Times New Roman" w:eastAsia="Times New Roman" w:hAnsi="Times New Roman" w:cs="Times New Roman"/>
          <w:sz w:val="24"/>
          <w:szCs w:val="24"/>
        </w:rPr>
        <w:t xml:space="preserve">as noted above, </w:t>
      </w:r>
      <w:r w:rsidR="008D03F3">
        <w:rPr>
          <w:rFonts w:ascii="Times New Roman" w:eastAsia="Times New Roman" w:hAnsi="Times New Roman" w:cs="Times New Roman"/>
          <w:sz w:val="24"/>
          <w:szCs w:val="24"/>
        </w:rPr>
        <w:t xml:space="preserve">any </w:t>
      </w:r>
      <w:r w:rsidR="00184338">
        <w:rPr>
          <w:rFonts w:ascii="Times New Roman" w:eastAsia="Times New Roman" w:hAnsi="Times New Roman" w:cs="Times New Roman"/>
          <w:sz w:val="24"/>
          <w:szCs w:val="24"/>
        </w:rPr>
        <w:t xml:space="preserve">applicants </w:t>
      </w:r>
      <w:r w:rsidR="008D7AB6">
        <w:rPr>
          <w:rFonts w:ascii="Times New Roman" w:eastAsia="Times New Roman" w:hAnsi="Times New Roman" w:cs="Times New Roman"/>
          <w:sz w:val="24"/>
          <w:szCs w:val="24"/>
        </w:rPr>
        <w:t xml:space="preserve">may </w:t>
      </w:r>
      <w:r w:rsidR="00ED6370">
        <w:rPr>
          <w:rFonts w:ascii="Times New Roman" w:eastAsia="Times New Roman" w:hAnsi="Times New Roman" w:cs="Times New Roman"/>
          <w:sz w:val="24"/>
          <w:szCs w:val="24"/>
        </w:rPr>
        <w:t xml:space="preserve">reduce the burdens by </w:t>
      </w:r>
      <w:r w:rsidR="008D7AB6">
        <w:rPr>
          <w:rFonts w:ascii="Times New Roman" w:eastAsia="Times New Roman" w:hAnsi="Times New Roman" w:cs="Times New Roman"/>
          <w:sz w:val="24"/>
          <w:szCs w:val="24"/>
        </w:rPr>
        <w:t>fil</w:t>
      </w:r>
      <w:r w:rsidR="00ED6370">
        <w:rPr>
          <w:rFonts w:ascii="Times New Roman" w:eastAsia="Times New Roman" w:hAnsi="Times New Roman" w:cs="Times New Roman"/>
          <w:sz w:val="24"/>
          <w:szCs w:val="24"/>
        </w:rPr>
        <w:t>ing</w:t>
      </w:r>
      <w:r w:rsidR="00184338">
        <w:rPr>
          <w:rFonts w:ascii="Times New Roman" w:eastAsia="Times New Roman" w:hAnsi="Times New Roman" w:cs="Times New Roman"/>
          <w:sz w:val="24"/>
          <w:szCs w:val="24"/>
        </w:rPr>
        <w:t xml:space="preserve"> information electronically through the Commission’s eFiling system.</w:t>
      </w:r>
    </w:p>
    <w:p w:rsidR="000E152C" w:rsidRPr="008B77CF" w:rsidP="000E152C" w14:paraId="73468CAA" w14:textId="77777777">
      <w:pPr>
        <w:autoSpaceDE w:val="0"/>
        <w:autoSpaceDN w:val="0"/>
        <w:adjustRightInd w:val="0"/>
        <w:spacing w:after="0" w:line="240" w:lineRule="auto"/>
        <w:ind w:left="1440"/>
        <w:rPr>
          <w:rFonts w:ascii="Times New Roman" w:eastAsia="Times New Roman" w:hAnsi="Times New Roman" w:cs="Times New Roman"/>
          <w:sz w:val="24"/>
          <w:szCs w:val="24"/>
        </w:rPr>
      </w:pPr>
    </w:p>
    <w:p w:rsidR="000E152C" w:rsidRPr="008B77CF" w:rsidP="000E152C" w14:paraId="73468CAB" w14:textId="77777777">
      <w:pPr>
        <w:widowControl w:val="0"/>
        <w:numPr>
          <w:ilvl w:val="0"/>
          <w:numId w:val="2"/>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CONSEQUENCE TO FEDERAL PROGRAM IF COLLECTION WERE CONDUCTED LESS FREQUENTLY</w:t>
      </w:r>
    </w:p>
    <w:p w:rsidR="000E152C" w:rsidRPr="008B77CF" w:rsidP="000E152C" w14:paraId="73468CAC" w14:textId="77777777">
      <w:pPr>
        <w:autoSpaceDE w:val="0"/>
        <w:autoSpaceDN w:val="0"/>
        <w:adjustRightInd w:val="0"/>
        <w:spacing w:after="0" w:line="240" w:lineRule="auto"/>
        <w:rPr>
          <w:rFonts w:ascii="Times New Roman" w:eastAsia="Times New Roman" w:hAnsi="Times New Roman" w:cs="Times New Roman"/>
          <w:b/>
          <w:sz w:val="24"/>
          <w:szCs w:val="24"/>
        </w:rPr>
      </w:pPr>
    </w:p>
    <w:p w:rsidR="000E152C" w:rsidRPr="00711E79" w:rsidP="000E152C" w14:paraId="73468CB3" w14:textId="2FBD59E5">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triggered by </w:t>
      </w:r>
      <w:r w:rsidR="00D86D8B">
        <w:rPr>
          <w:rFonts w:ascii="Times New Roman" w:hAnsi="Times New Roman" w:cs="Times New Roman"/>
          <w:sz w:val="24"/>
          <w:szCs w:val="24"/>
        </w:rPr>
        <w:t>an applicant filing</w:t>
      </w:r>
      <w:r w:rsidR="009D1946">
        <w:rPr>
          <w:rFonts w:ascii="Times New Roman" w:hAnsi="Times New Roman" w:cs="Times New Roman"/>
          <w:sz w:val="24"/>
          <w:szCs w:val="24"/>
        </w:rPr>
        <w:t xml:space="preserve"> a request to commence the </w:t>
      </w:r>
      <w:r w:rsidR="00496BEF">
        <w:rPr>
          <w:rFonts w:ascii="Times New Roman" w:hAnsi="Times New Roman" w:cs="Times New Roman"/>
          <w:sz w:val="24"/>
          <w:szCs w:val="24"/>
        </w:rPr>
        <w:t>Commission’s pre-filing process</w:t>
      </w:r>
      <w:r w:rsidR="00114AF4">
        <w:rPr>
          <w:rFonts w:ascii="Times New Roman" w:hAnsi="Times New Roman" w:cs="Times New Roman"/>
          <w:sz w:val="24"/>
          <w:szCs w:val="24"/>
        </w:rPr>
        <w:t>.  Compliance with the pre-filin</w:t>
      </w:r>
      <w:r w:rsidR="002E221F">
        <w:rPr>
          <w:rFonts w:ascii="Times New Roman" w:hAnsi="Times New Roman" w:cs="Times New Roman"/>
          <w:sz w:val="24"/>
          <w:szCs w:val="24"/>
        </w:rPr>
        <w:t>g procedures is</w:t>
      </w:r>
      <w:r w:rsidR="00496BEF">
        <w:rPr>
          <w:rFonts w:ascii="Times New Roman" w:hAnsi="Times New Roman" w:cs="Times New Roman"/>
          <w:sz w:val="24"/>
          <w:szCs w:val="24"/>
        </w:rPr>
        <w:t xml:space="preserve"> a</w:t>
      </w:r>
      <w:r w:rsidR="00F22486">
        <w:rPr>
          <w:rFonts w:ascii="Times New Roman" w:hAnsi="Times New Roman" w:cs="Times New Roman"/>
          <w:sz w:val="24"/>
          <w:szCs w:val="24"/>
        </w:rPr>
        <w:t xml:space="preserve"> prerequisite to filing an application</w:t>
      </w:r>
      <w:r w:rsidR="00D86D8B">
        <w:rPr>
          <w:rFonts w:ascii="Times New Roman" w:hAnsi="Times New Roman" w:cs="Times New Roman"/>
          <w:sz w:val="24"/>
          <w:szCs w:val="24"/>
        </w:rPr>
        <w:t xml:space="preserve"> for a permit to construct </w:t>
      </w:r>
      <w:r w:rsidR="00D973F2">
        <w:rPr>
          <w:rFonts w:ascii="Times New Roman" w:hAnsi="Times New Roman" w:cs="Times New Roman"/>
          <w:sz w:val="24"/>
          <w:szCs w:val="24"/>
        </w:rPr>
        <w:t>electric transmission facilities</w:t>
      </w:r>
      <w:r w:rsidR="00D86D8B">
        <w:rPr>
          <w:rFonts w:ascii="Times New Roman" w:hAnsi="Times New Roman" w:cs="Times New Roman"/>
          <w:sz w:val="24"/>
          <w:szCs w:val="24"/>
        </w:rPr>
        <w:t xml:space="preserve"> under section </w:t>
      </w:r>
      <w:r w:rsidR="00D04223">
        <w:rPr>
          <w:rFonts w:ascii="Times New Roman" w:hAnsi="Times New Roman" w:cs="Times New Roman"/>
          <w:sz w:val="24"/>
          <w:szCs w:val="24"/>
        </w:rPr>
        <w:t xml:space="preserve">216 </w:t>
      </w:r>
      <w:r w:rsidR="00D86D8B">
        <w:rPr>
          <w:rFonts w:ascii="Times New Roman" w:hAnsi="Times New Roman" w:cs="Times New Roman"/>
          <w:sz w:val="24"/>
          <w:szCs w:val="24"/>
        </w:rPr>
        <w:t xml:space="preserve">of the FPA.  </w:t>
      </w:r>
      <w:r w:rsidRPr="008B77CF">
        <w:rPr>
          <w:rFonts w:ascii="Times New Roman" w:eastAsia="Times New Roman" w:hAnsi="Times New Roman" w:cs="Times New Roman"/>
          <w:sz w:val="24"/>
          <w:szCs w:val="24"/>
        </w:rPr>
        <w:t xml:space="preserve">Without </w:t>
      </w:r>
      <w:r w:rsidR="00D86D8B">
        <w:rPr>
          <w:rFonts w:ascii="Times New Roman" w:eastAsia="Times New Roman" w:hAnsi="Times New Roman" w:cs="Times New Roman"/>
          <w:sz w:val="24"/>
          <w:szCs w:val="24"/>
        </w:rPr>
        <w:t>th</w:t>
      </w:r>
      <w:r w:rsidR="00C63B55">
        <w:rPr>
          <w:rFonts w:ascii="Times New Roman" w:eastAsia="Times New Roman" w:hAnsi="Times New Roman" w:cs="Times New Roman"/>
          <w:sz w:val="24"/>
          <w:szCs w:val="24"/>
        </w:rPr>
        <w:t>e</w:t>
      </w:r>
      <w:r w:rsidR="00D86D8B">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information</w:t>
      </w:r>
      <w:r w:rsidR="00C63B55">
        <w:rPr>
          <w:rFonts w:ascii="Times New Roman" w:eastAsia="Times New Roman" w:hAnsi="Times New Roman" w:cs="Times New Roman"/>
          <w:sz w:val="24"/>
          <w:szCs w:val="24"/>
        </w:rPr>
        <w:t xml:space="preserve"> </w:t>
      </w:r>
      <w:r w:rsidR="00191F54">
        <w:rPr>
          <w:rFonts w:ascii="Times New Roman" w:eastAsia="Times New Roman" w:hAnsi="Times New Roman" w:cs="Times New Roman"/>
          <w:sz w:val="24"/>
          <w:szCs w:val="24"/>
        </w:rPr>
        <w:t>submitted</w:t>
      </w:r>
      <w:r w:rsidR="00C63B55">
        <w:rPr>
          <w:rFonts w:ascii="Times New Roman" w:eastAsia="Times New Roman" w:hAnsi="Times New Roman" w:cs="Times New Roman"/>
          <w:sz w:val="24"/>
          <w:szCs w:val="24"/>
        </w:rPr>
        <w:t xml:space="preserve"> </w:t>
      </w:r>
      <w:r w:rsidR="00191F54">
        <w:rPr>
          <w:rFonts w:ascii="Times New Roman" w:eastAsia="Times New Roman" w:hAnsi="Times New Roman" w:cs="Times New Roman"/>
          <w:sz w:val="24"/>
          <w:szCs w:val="24"/>
        </w:rPr>
        <w:t xml:space="preserve">by an applicant </w:t>
      </w:r>
      <w:r w:rsidR="00C63B55">
        <w:rPr>
          <w:rFonts w:ascii="Times New Roman" w:eastAsia="Times New Roman" w:hAnsi="Times New Roman" w:cs="Times New Roman"/>
          <w:sz w:val="24"/>
          <w:szCs w:val="24"/>
        </w:rPr>
        <w:t>during the pre-filing and application review</w:t>
      </w:r>
      <w:r w:rsidR="00191F54">
        <w:rPr>
          <w:rFonts w:ascii="Times New Roman" w:eastAsia="Times New Roman" w:hAnsi="Times New Roman" w:cs="Times New Roman"/>
          <w:sz w:val="24"/>
          <w:szCs w:val="24"/>
        </w:rPr>
        <w:t xml:space="preserve"> </w:t>
      </w:r>
      <w:r w:rsidR="00771654">
        <w:rPr>
          <w:rFonts w:ascii="Times New Roman" w:eastAsia="Times New Roman" w:hAnsi="Times New Roman" w:cs="Times New Roman"/>
          <w:sz w:val="24"/>
          <w:szCs w:val="24"/>
        </w:rPr>
        <w:t>processes</w:t>
      </w:r>
      <w:r w:rsidRPr="008B77CF">
        <w:rPr>
          <w:rFonts w:ascii="Times New Roman" w:eastAsia="Times New Roman" w:hAnsi="Times New Roman" w:cs="Times New Roman"/>
          <w:sz w:val="24"/>
          <w:szCs w:val="24"/>
        </w:rPr>
        <w:t xml:space="preserve">, the Commission would be unable to fulfill its statutory </w:t>
      </w:r>
      <w:r w:rsidR="0094698C">
        <w:rPr>
          <w:rFonts w:ascii="Times New Roman" w:eastAsia="Times New Roman" w:hAnsi="Times New Roman" w:cs="Times New Roman"/>
          <w:sz w:val="24"/>
          <w:szCs w:val="24"/>
        </w:rPr>
        <w:t>obligations</w:t>
      </w:r>
      <w:r w:rsidR="00981D61">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 xml:space="preserve">under the FPA </w:t>
      </w:r>
      <w:r w:rsidR="00D86D8B">
        <w:rPr>
          <w:rFonts w:ascii="Times New Roman" w:eastAsia="Times New Roman" w:hAnsi="Times New Roman" w:cs="Times New Roman"/>
          <w:sz w:val="24"/>
          <w:szCs w:val="24"/>
        </w:rPr>
        <w:t xml:space="preserve">and </w:t>
      </w:r>
      <w:r w:rsidRPr="008B77CF">
        <w:rPr>
          <w:rFonts w:ascii="Times New Roman" w:eastAsia="Times New Roman" w:hAnsi="Times New Roman" w:cs="Times New Roman"/>
          <w:sz w:val="24"/>
          <w:szCs w:val="24"/>
        </w:rPr>
        <w:t>NEPA</w:t>
      </w:r>
      <w:r w:rsidRPr="008B77CF">
        <w:rPr>
          <w:rFonts w:ascii="Times New Roman" w:eastAsia="Times New Roman" w:hAnsi="Times New Roman" w:cs="Times New Roman"/>
          <w:bCs/>
          <w:sz w:val="24"/>
          <w:szCs w:val="24"/>
        </w:rPr>
        <w:t>.</w:t>
      </w:r>
      <w:r w:rsidR="009C3CC5">
        <w:rPr>
          <w:rFonts w:ascii="Times New Roman" w:eastAsia="Times New Roman" w:hAnsi="Times New Roman" w:cs="Times New Roman"/>
          <w:bCs/>
          <w:sz w:val="24"/>
          <w:szCs w:val="24"/>
        </w:rPr>
        <w:t xml:space="preserve">  </w:t>
      </w:r>
    </w:p>
    <w:p w:rsidR="000E152C" w:rsidRPr="008B77CF" w:rsidP="000E152C" w14:paraId="73468CB4"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B5"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7</w:t>
      </w:r>
      <w:r w:rsidRPr="008B77CF">
        <w:rPr>
          <w:rFonts w:ascii="Times New Roman" w:eastAsia="Times New Roman" w:hAnsi="Times New Roman" w:cs="Times New Roman"/>
          <w:sz w:val="24"/>
          <w:szCs w:val="24"/>
        </w:rPr>
        <w:t>.</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EXPLAIN ANY SPECIAL CIRCUMSTANCES RELATING TO THE INFORMATION</w:t>
      </w:r>
    </w:p>
    <w:p w:rsidR="000E152C" w:rsidRPr="008B77CF" w:rsidP="000E152C" w14:paraId="73468CB6"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FA0D59" w14:paraId="73468CB7" w14:textId="34BB0B63">
      <w:pPr>
        <w:pStyle w:val="CommentText"/>
        <w:spacing w:after="0"/>
        <w:rPr>
          <w:rFonts w:ascii="Times New Roman" w:eastAsia="Times New Roman" w:hAnsi="Times New Roman" w:cs="Times New Roman"/>
          <w:b/>
          <w:bCs/>
          <w:sz w:val="24"/>
          <w:szCs w:val="24"/>
        </w:rPr>
      </w:pPr>
      <w:bookmarkStart w:id="0" w:name="_Hlk107225116"/>
      <w:r w:rsidRPr="008B77CF">
        <w:rPr>
          <w:rFonts w:ascii="Times New Roman" w:eastAsia="Times New Roman" w:hAnsi="Times New Roman" w:cs="Times New Roman"/>
          <w:sz w:val="24"/>
          <w:szCs w:val="24"/>
        </w:rPr>
        <w:t xml:space="preserve">FERC-729 meets </w:t>
      </w:r>
      <w:r w:rsidRPr="008B77CF" w:rsidR="00F11F5D">
        <w:rPr>
          <w:rFonts w:ascii="Times New Roman" w:eastAsia="Times New Roman" w:hAnsi="Times New Roman" w:cs="Times New Roman"/>
          <w:sz w:val="24"/>
          <w:szCs w:val="24"/>
        </w:rPr>
        <w:t>OMB</w:t>
      </w:r>
      <w:r w:rsidR="00F11F5D">
        <w:rPr>
          <w:rFonts w:ascii="Times New Roman" w:eastAsia="Times New Roman" w:hAnsi="Times New Roman" w:cs="Times New Roman"/>
          <w:sz w:val="24"/>
          <w:szCs w:val="24"/>
        </w:rPr>
        <w:t>’</w:t>
      </w:r>
      <w:r w:rsidRPr="008B77CF" w:rsidR="00F11F5D">
        <w:rPr>
          <w:rFonts w:ascii="Times New Roman" w:eastAsia="Times New Roman" w:hAnsi="Times New Roman" w:cs="Times New Roman"/>
          <w:sz w:val="24"/>
          <w:szCs w:val="24"/>
        </w:rPr>
        <w:t xml:space="preserve">s </w:t>
      </w:r>
      <w:r w:rsidR="001152E5">
        <w:rPr>
          <w:rFonts w:ascii="Times New Roman" w:eastAsia="Times New Roman" w:hAnsi="Times New Roman" w:cs="Times New Roman"/>
          <w:sz w:val="24"/>
          <w:szCs w:val="24"/>
        </w:rPr>
        <w:t>s</w:t>
      </w:r>
      <w:r w:rsidRPr="008B77CF">
        <w:rPr>
          <w:rFonts w:ascii="Times New Roman" w:eastAsia="Times New Roman" w:hAnsi="Times New Roman" w:cs="Times New Roman"/>
          <w:sz w:val="24"/>
          <w:szCs w:val="24"/>
        </w:rPr>
        <w:t xml:space="preserve">ection 1320.5 </w:t>
      </w:r>
      <w:bookmarkEnd w:id="0"/>
      <w:r w:rsidRPr="008B77CF">
        <w:rPr>
          <w:rFonts w:ascii="Times New Roman" w:eastAsia="Times New Roman" w:hAnsi="Times New Roman" w:cs="Times New Roman"/>
          <w:sz w:val="24"/>
          <w:szCs w:val="24"/>
        </w:rPr>
        <w:t>requirements</w:t>
      </w:r>
      <w:r w:rsidR="006426AB">
        <w:rPr>
          <w:rFonts w:ascii="Times New Roman" w:eastAsia="Times New Roman" w:hAnsi="Times New Roman" w:cs="Times New Roman"/>
          <w:sz w:val="24"/>
          <w:szCs w:val="24"/>
        </w:rPr>
        <w:t xml:space="preserve"> </w:t>
      </w:r>
      <w:r w:rsidRPr="005740AD" w:rsidR="006426AB">
        <w:rPr>
          <w:rFonts w:ascii="Times New Roman" w:eastAsia="Times New Roman" w:hAnsi="Times New Roman" w:cs="Times New Roman"/>
          <w:sz w:val="24"/>
          <w:szCs w:val="24"/>
        </w:rPr>
        <w:t>with the exception of 1320.5(d)(2)(iii)</w:t>
      </w:r>
      <w:r w:rsidR="0045106A">
        <w:rPr>
          <w:rFonts w:ascii="Times New Roman" w:eastAsia="Times New Roman" w:hAnsi="Times New Roman" w:cs="Times New Roman"/>
          <w:sz w:val="24"/>
          <w:szCs w:val="24"/>
        </w:rPr>
        <w:t>, which provides that agencies not require respondents to submit more than an original and two copies of any document</w:t>
      </w:r>
      <w:r w:rsidRPr="005740AD" w:rsidR="006426AB">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13"/>
      </w:r>
      <w:r w:rsidRPr="005740AD" w:rsidR="006426AB">
        <w:rPr>
          <w:rFonts w:ascii="Times New Roman" w:eastAsia="Times New Roman" w:hAnsi="Times New Roman" w:cs="Times New Roman"/>
          <w:sz w:val="24"/>
          <w:szCs w:val="24"/>
        </w:rPr>
        <w:t xml:space="preserve">  </w:t>
      </w:r>
      <w:r w:rsidR="006426AB">
        <w:rPr>
          <w:rFonts w:ascii="Times New Roman" w:eastAsia="Times New Roman" w:hAnsi="Times New Roman" w:cs="Times New Roman"/>
          <w:sz w:val="24"/>
          <w:szCs w:val="24"/>
        </w:rPr>
        <w:t>Specifically, s</w:t>
      </w:r>
      <w:r w:rsidRPr="005740AD" w:rsidR="006426AB">
        <w:rPr>
          <w:rFonts w:ascii="Times New Roman" w:eastAsia="Times New Roman" w:hAnsi="Times New Roman" w:cs="Times New Roman"/>
          <w:sz w:val="24"/>
          <w:szCs w:val="24"/>
        </w:rPr>
        <w:t>ection 5</w:t>
      </w:r>
      <w:r w:rsidR="006426AB">
        <w:rPr>
          <w:rFonts w:ascii="Times New Roman" w:eastAsia="Times New Roman" w:hAnsi="Times New Roman" w:cs="Times New Roman"/>
          <w:sz w:val="24"/>
          <w:szCs w:val="24"/>
        </w:rPr>
        <w:t>0</w:t>
      </w:r>
      <w:r w:rsidRPr="005740AD" w:rsidR="006426AB">
        <w:rPr>
          <w:rFonts w:ascii="Times New Roman" w:eastAsia="Times New Roman" w:hAnsi="Times New Roman" w:cs="Times New Roman"/>
          <w:sz w:val="24"/>
          <w:szCs w:val="24"/>
        </w:rPr>
        <w:t>.3</w:t>
      </w:r>
      <w:r w:rsidR="002D4E2B">
        <w:rPr>
          <w:rFonts w:ascii="Times New Roman" w:eastAsia="Times New Roman" w:hAnsi="Times New Roman" w:cs="Times New Roman"/>
          <w:sz w:val="24"/>
          <w:szCs w:val="24"/>
        </w:rPr>
        <w:t>(b)</w:t>
      </w:r>
      <w:r>
        <w:rPr>
          <w:rStyle w:val="FootnoteReference"/>
          <w:rFonts w:eastAsia="Times New Roman" w:cs="Times New Roman"/>
          <w:sz w:val="24"/>
          <w:szCs w:val="24"/>
        </w:rPr>
        <w:footnoteReference w:id="14"/>
      </w:r>
      <w:r w:rsidRPr="005740AD" w:rsidR="006426AB">
        <w:rPr>
          <w:rFonts w:ascii="Times New Roman" w:eastAsia="Times New Roman" w:hAnsi="Times New Roman" w:cs="Times New Roman"/>
          <w:sz w:val="24"/>
          <w:szCs w:val="24"/>
        </w:rPr>
        <w:t xml:space="preserve"> of the </w:t>
      </w:r>
      <w:r w:rsidRPr="005740AD" w:rsidR="00A50A16">
        <w:rPr>
          <w:rFonts w:ascii="Times New Roman" w:eastAsia="Times New Roman" w:hAnsi="Times New Roman" w:cs="Times New Roman"/>
          <w:sz w:val="24"/>
          <w:szCs w:val="24"/>
        </w:rPr>
        <w:t>Commission</w:t>
      </w:r>
      <w:r w:rsidR="00A50A16">
        <w:rPr>
          <w:rFonts w:ascii="Times New Roman" w:eastAsia="Times New Roman" w:hAnsi="Times New Roman" w:cs="Times New Roman"/>
          <w:sz w:val="24"/>
          <w:szCs w:val="24"/>
        </w:rPr>
        <w:t>’</w:t>
      </w:r>
      <w:r w:rsidRPr="005740AD" w:rsidR="00A50A16">
        <w:rPr>
          <w:rFonts w:ascii="Times New Roman" w:eastAsia="Times New Roman" w:hAnsi="Times New Roman" w:cs="Times New Roman"/>
          <w:sz w:val="24"/>
          <w:szCs w:val="24"/>
        </w:rPr>
        <w:t xml:space="preserve">s </w:t>
      </w:r>
      <w:r w:rsidRPr="005740AD" w:rsidR="006426AB">
        <w:rPr>
          <w:rFonts w:ascii="Times New Roman" w:eastAsia="Times New Roman" w:hAnsi="Times New Roman" w:cs="Times New Roman"/>
          <w:sz w:val="24"/>
          <w:szCs w:val="24"/>
        </w:rPr>
        <w:t xml:space="preserve">regulations requires </w:t>
      </w:r>
      <w:r w:rsidR="006426AB">
        <w:rPr>
          <w:rFonts w:ascii="Times New Roman" w:eastAsia="Times New Roman" w:hAnsi="Times New Roman" w:cs="Times New Roman"/>
          <w:sz w:val="24"/>
          <w:szCs w:val="24"/>
        </w:rPr>
        <w:t xml:space="preserve">an </w:t>
      </w:r>
      <w:r w:rsidRPr="005740AD" w:rsidR="006426AB">
        <w:rPr>
          <w:rFonts w:ascii="Times New Roman" w:eastAsia="Times New Roman" w:hAnsi="Times New Roman" w:cs="Times New Roman"/>
          <w:sz w:val="24"/>
          <w:szCs w:val="24"/>
        </w:rPr>
        <w:t xml:space="preserve">original and seven conformed copies </w:t>
      </w:r>
      <w:r w:rsidR="006426AB">
        <w:rPr>
          <w:rFonts w:ascii="Times New Roman" w:eastAsia="Times New Roman" w:hAnsi="Times New Roman" w:cs="Times New Roman"/>
          <w:sz w:val="24"/>
          <w:szCs w:val="24"/>
        </w:rPr>
        <w:t xml:space="preserve">of the information to be submitted </w:t>
      </w:r>
      <w:r w:rsidRPr="005740AD" w:rsidR="006426AB">
        <w:rPr>
          <w:rFonts w:ascii="Times New Roman" w:eastAsia="Times New Roman" w:hAnsi="Times New Roman" w:cs="Times New Roman"/>
          <w:sz w:val="24"/>
          <w:szCs w:val="24"/>
        </w:rPr>
        <w:t xml:space="preserve">for the Commission to conduct </w:t>
      </w:r>
      <w:r w:rsidR="006426AB">
        <w:rPr>
          <w:rFonts w:ascii="Times New Roman" w:eastAsia="Times New Roman" w:hAnsi="Times New Roman" w:cs="Times New Roman"/>
          <w:sz w:val="24"/>
          <w:szCs w:val="24"/>
        </w:rPr>
        <w:t>its</w:t>
      </w:r>
      <w:r w:rsidRPr="005740AD" w:rsidR="006426AB">
        <w:rPr>
          <w:rFonts w:ascii="Times New Roman" w:eastAsia="Times New Roman" w:hAnsi="Times New Roman" w:cs="Times New Roman"/>
          <w:sz w:val="24"/>
          <w:szCs w:val="24"/>
        </w:rPr>
        <w:t xml:space="preserve"> review</w:t>
      </w:r>
      <w:r w:rsidRPr="008B77CF">
        <w:rPr>
          <w:rFonts w:ascii="Times New Roman" w:eastAsia="Times New Roman" w:hAnsi="Times New Roman" w:cs="Times New Roman"/>
          <w:sz w:val="24"/>
          <w:szCs w:val="24"/>
        </w:rPr>
        <w:t>.</w:t>
      </w:r>
      <w:r w:rsidR="005C1ECA">
        <w:rPr>
          <w:rFonts w:ascii="Times New Roman" w:eastAsia="Times New Roman" w:hAnsi="Times New Roman" w:cs="Times New Roman"/>
          <w:sz w:val="24"/>
          <w:szCs w:val="24"/>
        </w:rPr>
        <w:t xml:space="preserve">  The </w:t>
      </w:r>
      <w:r w:rsidR="00C717E8">
        <w:rPr>
          <w:rFonts w:ascii="Times New Roman" w:eastAsia="Times New Roman" w:hAnsi="Times New Roman" w:cs="Times New Roman"/>
          <w:sz w:val="24"/>
          <w:szCs w:val="24"/>
        </w:rPr>
        <w:t>Final Rule</w:t>
      </w:r>
      <w:r w:rsidR="005C1ECA">
        <w:rPr>
          <w:rFonts w:ascii="Times New Roman" w:eastAsia="Times New Roman" w:hAnsi="Times New Roman" w:cs="Times New Roman"/>
          <w:sz w:val="24"/>
          <w:szCs w:val="24"/>
        </w:rPr>
        <w:t xml:space="preserve"> revise</w:t>
      </w:r>
      <w:r w:rsidR="00C717E8">
        <w:rPr>
          <w:rFonts w:ascii="Times New Roman" w:eastAsia="Times New Roman" w:hAnsi="Times New Roman" w:cs="Times New Roman"/>
          <w:sz w:val="24"/>
          <w:szCs w:val="24"/>
        </w:rPr>
        <w:t>s</w:t>
      </w:r>
      <w:r w:rsidR="005C1ECA">
        <w:rPr>
          <w:rFonts w:ascii="Times New Roman" w:eastAsia="Times New Roman" w:hAnsi="Times New Roman" w:cs="Times New Roman"/>
          <w:sz w:val="24"/>
          <w:szCs w:val="24"/>
        </w:rPr>
        <w:t xml:space="preserve"> section 50.3(b) to only require applicants to make submissions in electronic format</w:t>
      </w:r>
      <w:r w:rsidR="00F02D35">
        <w:rPr>
          <w:rFonts w:ascii="Times New Roman" w:eastAsia="Times New Roman" w:hAnsi="Times New Roman" w:cs="Times New Roman"/>
          <w:sz w:val="24"/>
          <w:szCs w:val="24"/>
        </w:rPr>
        <w:t>,</w:t>
      </w:r>
      <w:r w:rsidR="009D0410">
        <w:rPr>
          <w:rFonts w:ascii="Times New Roman" w:eastAsia="Times New Roman" w:hAnsi="Times New Roman" w:cs="Times New Roman"/>
          <w:sz w:val="24"/>
          <w:szCs w:val="24"/>
        </w:rPr>
        <w:t xml:space="preserve"> </w:t>
      </w:r>
      <w:r w:rsidR="00FD1F83">
        <w:rPr>
          <w:rFonts w:ascii="Times New Roman" w:eastAsia="Times New Roman" w:hAnsi="Times New Roman" w:cs="Times New Roman"/>
          <w:sz w:val="24"/>
          <w:szCs w:val="24"/>
        </w:rPr>
        <w:t>which</w:t>
      </w:r>
      <w:r w:rsidR="0052765E">
        <w:rPr>
          <w:rFonts w:ascii="Times New Roman" w:eastAsia="Times New Roman" w:hAnsi="Times New Roman" w:cs="Times New Roman"/>
          <w:sz w:val="24"/>
          <w:szCs w:val="24"/>
        </w:rPr>
        <w:t xml:space="preserve"> </w:t>
      </w:r>
      <w:r w:rsidR="00C85B12">
        <w:rPr>
          <w:rFonts w:ascii="Times New Roman" w:eastAsia="Times New Roman" w:hAnsi="Times New Roman" w:cs="Times New Roman"/>
          <w:sz w:val="24"/>
          <w:szCs w:val="24"/>
        </w:rPr>
        <w:t>is consistent with</w:t>
      </w:r>
      <w:r w:rsidR="0052765E">
        <w:rPr>
          <w:rFonts w:ascii="Times New Roman" w:eastAsia="Times New Roman" w:hAnsi="Times New Roman" w:cs="Times New Roman"/>
          <w:sz w:val="24"/>
          <w:szCs w:val="24"/>
        </w:rPr>
        <w:t xml:space="preserve"> s</w:t>
      </w:r>
      <w:r w:rsidRPr="008B77CF" w:rsidR="0052765E">
        <w:rPr>
          <w:rFonts w:ascii="Times New Roman" w:eastAsia="Times New Roman" w:hAnsi="Times New Roman" w:cs="Times New Roman"/>
          <w:sz w:val="24"/>
          <w:szCs w:val="24"/>
        </w:rPr>
        <w:t>ection 1320.5</w:t>
      </w:r>
      <w:r w:rsidR="0025616B">
        <w:rPr>
          <w:rFonts w:ascii="Times New Roman" w:eastAsia="Times New Roman" w:hAnsi="Times New Roman" w:cs="Times New Roman"/>
          <w:sz w:val="24"/>
          <w:szCs w:val="24"/>
        </w:rPr>
        <w:t>(d)(2)(iii</w:t>
      </w:r>
      <w:r w:rsidR="0006011B">
        <w:rPr>
          <w:rFonts w:ascii="Times New Roman" w:eastAsia="Times New Roman" w:hAnsi="Times New Roman" w:cs="Times New Roman"/>
          <w:sz w:val="24"/>
          <w:szCs w:val="24"/>
        </w:rPr>
        <w:t>)</w:t>
      </w:r>
      <w:r w:rsidR="0052765E">
        <w:rPr>
          <w:rFonts w:ascii="Times New Roman" w:eastAsia="Times New Roman" w:hAnsi="Times New Roman" w:cs="Times New Roman"/>
          <w:sz w:val="24"/>
          <w:szCs w:val="24"/>
        </w:rPr>
        <w:t xml:space="preserve">. </w:t>
      </w:r>
    </w:p>
    <w:p w:rsidR="000E152C" w:rsidRPr="008B77CF" w:rsidP="000E152C" w14:paraId="73468CB8"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B9"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8.  </w:t>
      </w:r>
      <w:r w:rsidRPr="008B77CF">
        <w:rPr>
          <w:rFonts w:ascii="Times New Roman" w:eastAsia="Times New Roman" w:hAnsi="Times New Roman" w:cs="Times New Roman"/>
          <w:b/>
          <w:sz w:val="24"/>
          <w:szCs w:val="24"/>
        </w:rPr>
        <w:tab/>
        <w:t>DESCRIBE EFFORTS TO CONSULT OUTSIDE THE AGENCY:  SUMMARIZE PUBLIC COMMENTS AND THE AGENCY’S RESPONSE TO THESE COMMENTS</w:t>
      </w:r>
    </w:p>
    <w:p w:rsidR="000E152C" w:rsidP="000E152C" w14:paraId="73468CBA" w14:textId="716C4ACA">
      <w:pPr>
        <w:autoSpaceDE w:val="0"/>
        <w:autoSpaceDN w:val="0"/>
        <w:adjustRightInd w:val="0"/>
        <w:spacing w:after="0" w:line="240" w:lineRule="auto"/>
        <w:ind w:firstLine="720"/>
        <w:rPr>
          <w:rFonts w:ascii="Times New Roman" w:eastAsia="Times New Roman" w:hAnsi="Times New Roman" w:cs="Times New Roman"/>
          <w:sz w:val="24"/>
          <w:szCs w:val="24"/>
        </w:rPr>
      </w:pPr>
    </w:p>
    <w:p w:rsidR="0093750B" w:rsidP="00470CF3" w14:paraId="145E20B0" w14:textId="2FF446D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December 15, 2022, t</w:t>
      </w:r>
      <w:r w:rsidR="007243F7">
        <w:rPr>
          <w:rFonts w:ascii="Times New Roman" w:eastAsia="Times New Roman" w:hAnsi="Times New Roman" w:cs="Times New Roman"/>
          <w:sz w:val="24"/>
          <w:szCs w:val="24"/>
        </w:rPr>
        <w:t xml:space="preserve">he </w:t>
      </w:r>
      <w:r w:rsidR="008A6D33">
        <w:rPr>
          <w:rFonts w:ascii="Times New Roman" w:eastAsia="Times New Roman" w:hAnsi="Times New Roman" w:cs="Times New Roman"/>
          <w:sz w:val="24"/>
          <w:szCs w:val="24"/>
        </w:rPr>
        <w:t xml:space="preserve">Commission issued </w:t>
      </w:r>
      <w:r>
        <w:rPr>
          <w:rFonts w:ascii="Times New Roman" w:eastAsia="Times New Roman" w:hAnsi="Times New Roman" w:cs="Times New Roman"/>
          <w:sz w:val="24"/>
          <w:szCs w:val="24"/>
        </w:rPr>
        <w:t xml:space="preserve">its </w:t>
      </w:r>
      <w:r w:rsidR="007243F7">
        <w:rPr>
          <w:rFonts w:ascii="Times New Roman" w:eastAsia="Times New Roman" w:hAnsi="Times New Roman" w:cs="Times New Roman"/>
          <w:sz w:val="24"/>
          <w:szCs w:val="24"/>
        </w:rPr>
        <w:t xml:space="preserve">NOPR </w:t>
      </w:r>
      <w:r w:rsidR="002C166D">
        <w:rPr>
          <w:rFonts w:ascii="Times New Roman" w:eastAsia="Times New Roman" w:hAnsi="Times New Roman" w:cs="Times New Roman"/>
          <w:sz w:val="24"/>
          <w:szCs w:val="24"/>
        </w:rPr>
        <w:t xml:space="preserve">proposing </w:t>
      </w:r>
      <w:r w:rsidR="00007BAA">
        <w:rPr>
          <w:rFonts w:ascii="Times New Roman" w:eastAsia="Times New Roman" w:hAnsi="Times New Roman" w:cs="Times New Roman"/>
          <w:sz w:val="24"/>
          <w:szCs w:val="24"/>
        </w:rPr>
        <w:t>to revise its</w:t>
      </w:r>
      <w:r w:rsidR="002C166D">
        <w:rPr>
          <w:rFonts w:ascii="Times New Roman" w:eastAsia="Times New Roman" w:hAnsi="Times New Roman" w:cs="Times New Roman"/>
          <w:sz w:val="24"/>
          <w:szCs w:val="24"/>
        </w:rPr>
        <w:t xml:space="preserve"> regulations in parts 50 and 380.</w:t>
      </w:r>
      <w:r>
        <w:rPr>
          <w:rStyle w:val="FootnoteReference"/>
          <w:rFonts w:eastAsia="Times New Roman" w:cs="Times New Roman"/>
          <w:sz w:val="24"/>
          <w:szCs w:val="24"/>
        </w:rPr>
        <w:footnoteReference w:id="15"/>
      </w:r>
      <w:r w:rsidRPr="00E17B5C" w:rsidR="002C166D">
        <w:rPr>
          <w:rFonts w:ascii="Times New Roman" w:eastAsia="Times New Roman" w:hAnsi="Times New Roman" w:cs="Times New Roman"/>
          <w:sz w:val="24"/>
          <w:szCs w:val="24"/>
        </w:rPr>
        <w:t xml:space="preserve"> </w:t>
      </w:r>
      <w:r w:rsidR="00007BAA">
        <w:rPr>
          <w:rFonts w:ascii="Times New Roman" w:eastAsia="Times New Roman" w:hAnsi="Times New Roman" w:cs="Times New Roman"/>
          <w:sz w:val="24"/>
          <w:szCs w:val="24"/>
        </w:rPr>
        <w:t xml:space="preserve"> The NOPR</w:t>
      </w:r>
      <w:r w:rsidR="002C166D">
        <w:rPr>
          <w:rFonts w:ascii="Times New Roman" w:eastAsia="Times New Roman" w:hAnsi="Times New Roman" w:cs="Times New Roman"/>
          <w:sz w:val="24"/>
          <w:szCs w:val="24"/>
        </w:rPr>
        <w:t xml:space="preserve"> </w:t>
      </w:r>
      <w:r w:rsidR="007243F7">
        <w:rPr>
          <w:rFonts w:ascii="Times New Roman" w:eastAsia="Times New Roman" w:hAnsi="Times New Roman" w:cs="Times New Roman"/>
          <w:sz w:val="24"/>
          <w:szCs w:val="24"/>
        </w:rPr>
        <w:t xml:space="preserve">was published in the </w:t>
      </w:r>
      <w:r w:rsidRPr="00245DB9" w:rsidR="007243F7">
        <w:rPr>
          <w:rFonts w:ascii="Times New Roman" w:eastAsia="Times New Roman" w:hAnsi="Times New Roman" w:cs="Times New Roman"/>
          <w:i/>
          <w:iCs/>
          <w:sz w:val="24"/>
          <w:szCs w:val="24"/>
        </w:rPr>
        <w:t>Federal Register</w:t>
      </w:r>
      <w:r w:rsidR="007243F7">
        <w:rPr>
          <w:rFonts w:ascii="Times New Roman" w:eastAsia="Times New Roman" w:hAnsi="Times New Roman" w:cs="Times New Roman"/>
          <w:sz w:val="24"/>
          <w:szCs w:val="24"/>
        </w:rPr>
        <w:t xml:space="preserve"> on </w:t>
      </w:r>
      <w:r w:rsidR="00D26C6C">
        <w:rPr>
          <w:rFonts w:ascii="Times New Roman" w:eastAsia="Times New Roman" w:hAnsi="Times New Roman" w:cs="Times New Roman"/>
          <w:sz w:val="24"/>
          <w:szCs w:val="24"/>
        </w:rPr>
        <w:t>January 17, 2023,</w:t>
      </w:r>
      <w:r w:rsidR="0032036F">
        <w:rPr>
          <w:rFonts w:ascii="Times New Roman" w:eastAsia="Times New Roman" w:hAnsi="Times New Roman" w:cs="Times New Roman"/>
          <w:sz w:val="24"/>
          <w:szCs w:val="24"/>
        </w:rPr>
        <w:t xml:space="preserve"> with a 90-day comment period</w:t>
      </w:r>
      <w:r w:rsidR="007243F7">
        <w:rPr>
          <w:rFonts w:ascii="Times New Roman" w:eastAsia="Times New Roman" w:hAnsi="Times New Roman" w:cs="Times New Roman"/>
          <w:sz w:val="24"/>
          <w:szCs w:val="24"/>
        </w:rPr>
        <w:t>.</w:t>
      </w:r>
      <w:r>
        <w:rPr>
          <w:rStyle w:val="FootnoteReference"/>
          <w:rFonts w:eastAsia="Times New Roman" w:cs="Times New Roman"/>
          <w:sz w:val="24"/>
          <w:szCs w:val="24"/>
        </w:rPr>
        <w:footnoteReference w:id="16"/>
      </w:r>
      <w:r w:rsidR="007243F7">
        <w:rPr>
          <w:rFonts w:ascii="Times New Roman" w:eastAsia="Times New Roman" w:hAnsi="Times New Roman" w:cs="Times New Roman"/>
          <w:sz w:val="24"/>
          <w:szCs w:val="24"/>
        </w:rPr>
        <w:t xml:space="preserve"> </w:t>
      </w:r>
      <w:r w:rsidR="002C4F77">
        <w:rPr>
          <w:rFonts w:ascii="Times New Roman" w:eastAsia="Times New Roman" w:hAnsi="Times New Roman" w:cs="Times New Roman"/>
          <w:sz w:val="24"/>
          <w:szCs w:val="24"/>
        </w:rPr>
        <w:t xml:space="preserve"> Because some of</w:t>
      </w:r>
      <w:r w:rsidR="007243F7">
        <w:rPr>
          <w:rFonts w:ascii="Times New Roman" w:eastAsia="Times New Roman" w:hAnsi="Times New Roman" w:cs="Times New Roman"/>
          <w:sz w:val="24"/>
          <w:szCs w:val="24"/>
        </w:rPr>
        <w:t xml:space="preserve"> the</w:t>
      </w:r>
      <w:r w:rsidR="00C6351C">
        <w:rPr>
          <w:rFonts w:ascii="Times New Roman" w:eastAsia="Times New Roman" w:hAnsi="Times New Roman" w:cs="Times New Roman"/>
          <w:sz w:val="24"/>
          <w:szCs w:val="24"/>
        </w:rPr>
        <w:t xml:space="preserve"> information collection activities </w:t>
      </w:r>
      <w:r w:rsidR="00D94FB6">
        <w:rPr>
          <w:rFonts w:ascii="Times New Roman" w:eastAsia="Times New Roman" w:hAnsi="Times New Roman" w:cs="Times New Roman"/>
          <w:sz w:val="24"/>
          <w:szCs w:val="24"/>
        </w:rPr>
        <w:t xml:space="preserve">proposed in the NOPR </w:t>
      </w:r>
      <w:r w:rsidR="002C4F77">
        <w:rPr>
          <w:rFonts w:ascii="Times New Roman" w:eastAsia="Times New Roman" w:hAnsi="Times New Roman" w:cs="Times New Roman"/>
          <w:sz w:val="24"/>
          <w:szCs w:val="24"/>
        </w:rPr>
        <w:t>are novel, the</w:t>
      </w:r>
      <w:r w:rsidR="007243F7">
        <w:rPr>
          <w:rFonts w:ascii="Times New Roman" w:eastAsia="Times New Roman" w:hAnsi="Times New Roman" w:cs="Times New Roman"/>
          <w:sz w:val="24"/>
          <w:szCs w:val="24"/>
        </w:rPr>
        <w:t xml:space="preserve"> Commission solicited comments on the</w:t>
      </w:r>
      <w:r w:rsidR="00D94FB6">
        <w:rPr>
          <w:rFonts w:ascii="Times New Roman" w:eastAsia="Times New Roman" w:hAnsi="Times New Roman" w:cs="Times New Roman"/>
          <w:sz w:val="24"/>
          <w:szCs w:val="24"/>
        </w:rPr>
        <w:t xml:space="preserve"> burden hour and</w:t>
      </w:r>
      <w:r w:rsidR="000D6301">
        <w:rPr>
          <w:rFonts w:ascii="Times New Roman" w:eastAsia="Times New Roman" w:hAnsi="Times New Roman" w:cs="Times New Roman"/>
          <w:sz w:val="24"/>
          <w:szCs w:val="24"/>
        </w:rPr>
        <w:t xml:space="preserve"> cost</w:t>
      </w:r>
      <w:r w:rsidR="002C4F77">
        <w:rPr>
          <w:rFonts w:ascii="Times New Roman" w:eastAsia="Times New Roman" w:hAnsi="Times New Roman" w:cs="Times New Roman"/>
          <w:sz w:val="24"/>
          <w:szCs w:val="24"/>
        </w:rPr>
        <w:t xml:space="preserve"> </w:t>
      </w:r>
      <w:r w:rsidR="007243F7">
        <w:rPr>
          <w:rFonts w:ascii="Times New Roman" w:eastAsia="Times New Roman" w:hAnsi="Times New Roman" w:cs="Times New Roman"/>
          <w:sz w:val="24"/>
          <w:szCs w:val="24"/>
        </w:rPr>
        <w:t>estimates</w:t>
      </w:r>
      <w:r w:rsidR="002C4F77">
        <w:rPr>
          <w:rFonts w:ascii="Times New Roman" w:eastAsia="Times New Roman" w:hAnsi="Times New Roman" w:cs="Times New Roman"/>
          <w:sz w:val="24"/>
          <w:szCs w:val="24"/>
        </w:rPr>
        <w:t xml:space="preserve"> in the NOPR</w:t>
      </w:r>
      <w:r w:rsidR="007243F7">
        <w:rPr>
          <w:rFonts w:ascii="Times New Roman" w:eastAsia="Times New Roman" w:hAnsi="Times New Roman" w:cs="Times New Roman"/>
          <w:sz w:val="24"/>
          <w:szCs w:val="24"/>
        </w:rPr>
        <w:t xml:space="preserve">.  </w:t>
      </w:r>
      <w:r w:rsidR="002C4F77">
        <w:rPr>
          <w:rFonts w:ascii="Times New Roman" w:eastAsia="Times New Roman" w:hAnsi="Times New Roman" w:cs="Times New Roman"/>
          <w:sz w:val="24"/>
          <w:szCs w:val="24"/>
        </w:rPr>
        <w:t>The Commission</w:t>
      </w:r>
      <w:r w:rsidR="00BC45F9">
        <w:rPr>
          <w:rFonts w:ascii="Times New Roman" w:eastAsia="Times New Roman" w:hAnsi="Times New Roman" w:cs="Times New Roman"/>
          <w:sz w:val="24"/>
          <w:szCs w:val="24"/>
        </w:rPr>
        <w:t xml:space="preserve"> did not receive </w:t>
      </w:r>
      <w:r w:rsidR="00E2182E">
        <w:rPr>
          <w:rFonts w:ascii="Times New Roman" w:eastAsia="Times New Roman" w:hAnsi="Times New Roman" w:cs="Times New Roman"/>
          <w:sz w:val="24"/>
          <w:szCs w:val="24"/>
        </w:rPr>
        <w:t xml:space="preserve">comments on the burden hour and cost estimates </w:t>
      </w:r>
      <w:r w:rsidR="0015298F">
        <w:rPr>
          <w:rFonts w:ascii="Times New Roman" w:eastAsia="Times New Roman" w:hAnsi="Times New Roman" w:cs="Times New Roman"/>
          <w:sz w:val="24"/>
          <w:szCs w:val="24"/>
        </w:rPr>
        <w:t>specifically but</w:t>
      </w:r>
      <w:r w:rsidR="00E2182E">
        <w:rPr>
          <w:rFonts w:ascii="Times New Roman" w:eastAsia="Times New Roman" w:hAnsi="Times New Roman" w:cs="Times New Roman"/>
          <w:sz w:val="24"/>
          <w:szCs w:val="24"/>
        </w:rPr>
        <w:t xml:space="preserve"> did receive </w:t>
      </w:r>
      <w:r w:rsidR="009B543D">
        <w:rPr>
          <w:rFonts w:ascii="Times New Roman" w:eastAsia="Times New Roman" w:hAnsi="Times New Roman" w:cs="Times New Roman"/>
          <w:sz w:val="24"/>
          <w:szCs w:val="24"/>
        </w:rPr>
        <w:t xml:space="preserve">comments on other aspects of the </w:t>
      </w:r>
      <w:r w:rsidR="007505FE">
        <w:rPr>
          <w:rFonts w:ascii="Times New Roman" w:eastAsia="Times New Roman" w:hAnsi="Times New Roman" w:cs="Times New Roman"/>
          <w:sz w:val="24"/>
          <w:szCs w:val="24"/>
        </w:rPr>
        <w:t>NOPR, which the</w:t>
      </w:r>
      <w:r w:rsidR="0015298F">
        <w:rPr>
          <w:rFonts w:ascii="Times New Roman" w:eastAsia="Times New Roman" w:hAnsi="Times New Roman" w:cs="Times New Roman"/>
          <w:sz w:val="24"/>
          <w:szCs w:val="24"/>
        </w:rPr>
        <w:t xml:space="preserve"> Commission</w:t>
      </w:r>
      <w:r w:rsidR="002C4F77">
        <w:rPr>
          <w:rFonts w:ascii="Times New Roman" w:eastAsia="Times New Roman" w:hAnsi="Times New Roman" w:cs="Times New Roman"/>
          <w:sz w:val="24"/>
          <w:szCs w:val="24"/>
        </w:rPr>
        <w:t xml:space="preserve"> </w:t>
      </w:r>
      <w:r w:rsidR="006966C4">
        <w:rPr>
          <w:rFonts w:ascii="Times New Roman" w:eastAsia="Times New Roman" w:hAnsi="Times New Roman" w:cs="Times New Roman"/>
          <w:sz w:val="24"/>
          <w:szCs w:val="24"/>
        </w:rPr>
        <w:t>addresses</w:t>
      </w:r>
      <w:r w:rsidR="006763BA">
        <w:rPr>
          <w:rFonts w:ascii="Times New Roman" w:eastAsia="Times New Roman" w:hAnsi="Times New Roman" w:cs="Times New Roman"/>
          <w:sz w:val="24"/>
          <w:szCs w:val="24"/>
        </w:rPr>
        <w:t xml:space="preserve"> </w:t>
      </w:r>
      <w:r w:rsidR="002C4F77">
        <w:rPr>
          <w:rFonts w:ascii="Times New Roman" w:eastAsia="Times New Roman" w:hAnsi="Times New Roman" w:cs="Times New Roman"/>
          <w:sz w:val="24"/>
          <w:szCs w:val="24"/>
        </w:rPr>
        <w:t xml:space="preserve">in </w:t>
      </w:r>
      <w:r w:rsidR="0015298F">
        <w:rPr>
          <w:rFonts w:ascii="Times New Roman" w:eastAsia="Times New Roman" w:hAnsi="Times New Roman" w:cs="Times New Roman"/>
          <w:sz w:val="24"/>
          <w:szCs w:val="24"/>
        </w:rPr>
        <w:t xml:space="preserve">the </w:t>
      </w:r>
      <w:r w:rsidR="006763BA">
        <w:rPr>
          <w:rFonts w:ascii="Times New Roman" w:eastAsia="Times New Roman" w:hAnsi="Times New Roman" w:cs="Times New Roman"/>
          <w:sz w:val="24"/>
          <w:szCs w:val="24"/>
        </w:rPr>
        <w:t>F</w:t>
      </w:r>
      <w:r w:rsidR="002C4F77">
        <w:rPr>
          <w:rFonts w:ascii="Times New Roman" w:eastAsia="Times New Roman" w:hAnsi="Times New Roman" w:cs="Times New Roman"/>
          <w:sz w:val="24"/>
          <w:szCs w:val="24"/>
        </w:rPr>
        <w:t xml:space="preserve">inal </w:t>
      </w:r>
      <w:r w:rsidR="006763BA">
        <w:rPr>
          <w:rFonts w:ascii="Times New Roman" w:eastAsia="Times New Roman" w:hAnsi="Times New Roman" w:cs="Times New Roman"/>
          <w:sz w:val="24"/>
          <w:szCs w:val="24"/>
        </w:rPr>
        <w:t>R</w:t>
      </w:r>
      <w:r w:rsidR="002C4F77">
        <w:rPr>
          <w:rFonts w:ascii="Times New Roman" w:eastAsia="Times New Roman" w:hAnsi="Times New Roman" w:cs="Times New Roman"/>
          <w:sz w:val="24"/>
          <w:szCs w:val="24"/>
        </w:rPr>
        <w:t xml:space="preserve">ule </w:t>
      </w:r>
      <w:r w:rsidR="00B17AFA">
        <w:rPr>
          <w:rFonts w:ascii="Times New Roman" w:eastAsia="Times New Roman" w:hAnsi="Times New Roman" w:cs="Times New Roman"/>
          <w:sz w:val="24"/>
          <w:szCs w:val="24"/>
        </w:rPr>
        <w:t xml:space="preserve">issued </w:t>
      </w:r>
      <w:r w:rsidR="006A176D">
        <w:rPr>
          <w:rFonts w:ascii="Times New Roman" w:eastAsia="Times New Roman" w:hAnsi="Times New Roman" w:cs="Times New Roman"/>
          <w:sz w:val="24"/>
          <w:szCs w:val="24"/>
        </w:rPr>
        <w:t>in</w:t>
      </w:r>
      <w:r w:rsidR="002C4F77">
        <w:rPr>
          <w:rFonts w:ascii="Times New Roman" w:eastAsia="Times New Roman" w:hAnsi="Times New Roman" w:cs="Times New Roman"/>
          <w:sz w:val="24"/>
          <w:szCs w:val="24"/>
        </w:rPr>
        <w:t xml:space="preserve"> </w:t>
      </w:r>
      <w:r w:rsidR="006763BA">
        <w:rPr>
          <w:rFonts w:ascii="Times New Roman" w:eastAsia="Times New Roman" w:hAnsi="Times New Roman" w:cs="Times New Roman"/>
          <w:sz w:val="24"/>
          <w:szCs w:val="24"/>
        </w:rPr>
        <w:t xml:space="preserve">Docket No. </w:t>
      </w:r>
      <w:r w:rsidR="002C4F77">
        <w:rPr>
          <w:rFonts w:ascii="Times New Roman" w:eastAsia="Times New Roman" w:hAnsi="Times New Roman" w:cs="Times New Roman"/>
          <w:sz w:val="24"/>
          <w:szCs w:val="24"/>
        </w:rPr>
        <w:t>RM22-7-000</w:t>
      </w:r>
      <w:r w:rsidR="007243F7">
        <w:rPr>
          <w:rFonts w:ascii="Times New Roman" w:eastAsia="Times New Roman" w:hAnsi="Times New Roman" w:cs="Times New Roman"/>
          <w:sz w:val="24"/>
          <w:szCs w:val="24"/>
        </w:rPr>
        <w:t>.</w:t>
      </w:r>
      <w:r w:rsidR="002C4F77">
        <w:rPr>
          <w:rFonts w:ascii="Times New Roman" w:eastAsia="Times New Roman" w:hAnsi="Times New Roman" w:cs="Times New Roman"/>
          <w:sz w:val="24"/>
          <w:szCs w:val="24"/>
        </w:rPr>
        <w:t xml:space="preserve">  As described in the NOPR</w:t>
      </w:r>
      <w:r w:rsidR="00113C54">
        <w:rPr>
          <w:rFonts w:ascii="Times New Roman" w:eastAsia="Times New Roman" w:hAnsi="Times New Roman" w:cs="Times New Roman"/>
          <w:sz w:val="24"/>
          <w:szCs w:val="24"/>
        </w:rPr>
        <w:t xml:space="preserve"> and Final Rule</w:t>
      </w:r>
      <w:r w:rsidR="002C4F77">
        <w:rPr>
          <w:rFonts w:ascii="Times New Roman" w:eastAsia="Times New Roman" w:hAnsi="Times New Roman" w:cs="Times New Roman"/>
          <w:sz w:val="24"/>
          <w:szCs w:val="24"/>
        </w:rPr>
        <w:t xml:space="preserve">, </w:t>
      </w:r>
      <w:r w:rsidR="00913E6F">
        <w:rPr>
          <w:rFonts w:ascii="Times New Roman" w:eastAsia="Times New Roman" w:hAnsi="Times New Roman" w:cs="Times New Roman"/>
          <w:sz w:val="24"/>
          <w:szCs w:val="24"/>
        </w:rPr>
        <w:t xml:space="preserve">the </w:t>
      </w:r>
      <w:r w:rsidR="002C4F77">
        <w:rPr>
          <w:rFonts w:ascii="Times New Roman" w:eastAsia="Times New Roman" w:hAnsi="Times New Roman" w:cs="Times New Roman"/>
          <w:sz w:val="24"/>
          <w:szCs w:val="24"/>
        </w:rPr>
        <w:t>Commission also consult</w:t>
      </w:r>
      <w:r w:rsidR="00113C54">
        <w:rPr>
          <w:rFonts w:ascii="Times New Roman" w:eastAsia="Times New Roman" w:hAnsi="Times New Roman" w:cs="Times New Roman"/>
          <w:sz w:val="24"/>
          <w:szCs w:val="24"/>
        </w:rPr>
        <w:t>ed</w:t>
      </w:r>
      <w:r w:rsidR="002C4F77">
        <w:rPr>
          <w:rFonts w:ascii="Times New Roman" w:eastAsia="Times New Roman" w:hAnsi="Times New Roman" w:cs="Times New Roman"/>
          <w:sz w:val="24"/>
          <w:szCs w:val="24"/>
        </w:rPr>
        <w:t xml:space="preserve"> with the Council on Environmental Quality o</w:t>
      </w:r>
      <w:r w:rsidR="00913E6F">
        <w:rPr>
          <w:rFonts w:ascii="Times New Roman" w:eastAsia="Times New Roman" w:hAnsi="Times New Roman" w:cs="Times New Roman"/>
          <w:sz w:val="24"/>
          <w:szCs w:val="24"/>
        </w:rPr>
        <w:t>n</w:t>
      </w:r>
      <w:r w:rsidR="002C4F77">
        <w:rPr>
          <w:rFonts w:ascii="Times New Roman" w:eastAsia="Times New Roman" w:hAnsi="Times New Roman" w:cs="Times New Roman"/>
          <w:sz w:val="24"/>
          <w:szCs w:val="24"/>
        </w:rPr>
        <w:t xml:space="preserve"> </w:t>
      </w:r>
      <w:r w:rsidR="00785283">
        <w:rPr>
          <w:rFonts w:ascii="Times New Roman" w:eastAsia="Times New Roman" w:hAnsi="Times New Roman" w:cs="Times New Roman"/>
          <w:sz w:val="24"/>
          <w:szCs w:val="24"/>
        </w:rPr>
        <w:t xml:space="preserve">its </w:t>
      </w:r>
      <w:r w:rsidR="002C4F77">
        <w:rPr>
          <w:rFonts w:ascii="Times New Roman" w:eastAsia="Times New Roman" w:hAnsi="Times New Roman" w:cs="Times New Roman"/>
          <w:sz w:val="24"/>
          <w:szCs w:val="24"/>
        </w:rPr>
        <w:t xml:space="preserve">NEPA </w:t>
      </w:r>
      <w:r w:rsidR="00785283">
        <w:rPr>
          <w:rFonts w:ascii="Times New Roman" w:eastAsia="Times New Roman" w:hAnsi="Times New Roman" w:cs="Times New Roman"/>
          <w:sz w:val="24"/>
          <w:szCs w:val="24"/>
        </w:rPr>
        <w:t xml:space="preserve">implementing </w:t>
      </w:r>
      <w:r w:rsidR="002C4F77">
        <w:rPr>
          <w:rFonts w:ascii="Times New Roman" w:eastAsia="Times New Roman" w:hAnsi="Times New Roman" w:cs="Times New Roman"/>
          <w:sz w:val="24"/>
          <w:szCs w:val="24"/>
        </w:rPr>
        <w:t xml:space="preserve">regulations in </w:t>
      </w:r>
      <w:r w:rsidR="00113C54">
        <w:rPr>
          <w:rFonts w:ascii="Times New Roman" w:eastAsia="Times New Roman" w:hAnsi="Times New Roman" w:cs="Times New Roman"/>
          <w:sz w:val="24"/>
          <w:szCs w:val="24"/>
        </w:rPr>
        <w:t>18 CFR P</w:t>
      </w:r>
      <w:r w:rsidR="002C4F77">
        <w:rPr>
          <w:rFonts w:ascii="Times New Roman" w:eastAsia="Times New Roman" w:hAnsi="Times New Roman" w:cs="Times New Roman"/>
          <w:sz w:val="24"/>
          <w:szCs w:val="24"/>
        </w:rPr>
        <w:t>art 380.</w:t>
      </w:r>
    </w:p>
    <w:p w:rsidR="008E5769" w:rsidP="00470CF3" w14:paraId="22D86AEC" w14:textId="77777777">
      <w:pPr>
        <w:autoSpaceDE w:val="0"/>
        <w:autoSpaceDN w:val="0"/>
        <w:adjustRightInd w:val="0"/>
        <w:spacing w:after="0" w:line="240" w:lineRule="auto"/>
        <w:rPr>
          <w:rFonts w:ascii="Times New Roman" w:eastAsia="Times New Roman" w:hAnsi="Times New Roman" w:cs="Times New Roman"/>
          <w:sz w:val="24"/>
          <w:szCs w:val="24"/>
        </w:rPr>
      </w:pPr>
    </w:p>
    <w:p w:rsidR="00476126" w:rsidP="00470CF3" w14:paraId="04A133EB" w14:textId="6D06253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w:t>
      </w:r>
      <w:r w:rsidR="007E1CB0">
        <w:rPr>
          <w:rFonts w:ascii="Times New Roman" w:eastAsia="Times New Roman" w:hAnsi="Times New Roman" w:cs="Times New Roman"/>
          <w:sz w:val="24"/>
          <w:szCs w:val="24"/>
        </w:rPr>
        <w:t xml:space="preserve">he public comments </w:t>
      </w:r>
      <w:r w:rsidR="00EA46B2">
        <w:rPr>
          <w:rFonts w:ascii="Times New Roman" w:eastAsia="Times New Roman" w:hAnsi="Times New Roman" w:cs="Times New Roman"/>
          <w:sz w:val="24"/>
          <w:szCs w:val="24"/>
        </w:rPr>
        <w:t xml:space="preserve">on the information collection activities in </w:t>
      </w:r>
      <w:r w:rsidR="007E1CB0">
        <w:rPr>
          <w:rFonts w:ascii="Times New Roman" w:eastAsia="Times New Roman" w:hAnsi="Times New Roman" w:cs="Times New Roman"/>
          <w:sz w:val="24"/>
          <w:szCs w:val="24"/>
        </w:rPr>
        <w:t>the Final Rule</w:t>
      </w:r>
      <w:r w:rsidR="00EA46B2">
        <w:rPr>
          <w:rFonts w:ascii="Times New Roman" w:eastAsia="Times New Roman" w:hAnsi="Times New Roman" w:cs="Times New Roman"/>
          <w:sz w:val="24"/>
          <w:szCs w:val="24"/>
        </w:rPr>
        <w:t xml:space="preserve"> focused </w:t>
      </w:r>
      <w:r w:rsidR="000A2429">
        <w:rPr>
          <w:rFonts w:ascii="Times New Roman" w:eastAsia="Times New Roman" w:hAnsi="Times New Roman" w:cs="Times New Roman"/>
          <w:sz w:val="24"/>
          <w:szCs w:val="24"/>
        </w:rPr>
        <w:t xml:space="preserve">on the </w:t>
      </w:r>
      <w:r w:rsidR="00246718">
        <w:rPr>
          <w:rFonts w:ascii="Times New Roman" w:eastAsia="Times New Roman" w:hAnsi="Times New Roman" w:cs="Times New Roman"/>
          <w:sz w:val="24"/>
          <w:szCs w:val="24"/>
        </w:rPr>
        <w:t xml:space="preserve">proposed </w:t>
      </w:r>
      <w:r w:rsidR="000A2429">
        <w:rPr>
          <w:rFonts w:ascii="Times New Roman" w:eastAsia="Times New Roman" w:hAnsi="Times New Roman" w:cs="Times New Roman"/>
          <w:sz w:val="24"/>
          <w:szCs w:val="24"/>
        </w:rPr>
        <w:t>engagement plan for outreach to environmental justice communities</w:t>
      </w:r>
      <w:r w:rsidR="00246718">
        <w:rPr>
          <w:rFonts w:ascii="Times New Roman" w:eastAsia="Times New Roman" w:hAnsi="Times New Roman" w:cs="Times New Roman"/>
          <w:sz w:val="24"/>
          <w:szCs w:val="24"/>
        </w:rPr>
        <w:t xml:space="preserve">.  </w:t>
      </w:r>
      <w:r w:rsidR="00936EB9">
        <w:rPr>
          <w:rFonts w:ascii="Times New Roman" w:eastAsia="Times New Roman" w:hAnsi="Times New Roman" w:cs="Times New Roman"/>
          <w:sz w:val="24"/>
          <w:szCs w:val="24"/>
        </w:rPr>
        <w:t xml:space="preserve">In the Final Rule, the Commission </w:t>
      </w:r>
      <w:r w:rsidRPr="00936EB9" w:rsidR="00936EB9">
        <w:rPr>
          <w:rFonts w:ascii="Times New Roman" w:eastAsia="Times New Roman" w:hAnsi="Times New Roman" w:cs="Times New Roman"/>
          <w:sz w:val="24"/>
          <w:szCs w:val="24"/>
        </w:rPr>
        <w:t>adopt</w:t>
      </w:r>
      <w:r w:rsidR="00C21E00">
        <w:rPr>
          <w:rFonts w:ascii="Times New Roman" w:eastAsia="Times New Roman" w:hAnsi="Times New Roman" w:cs="Times New Roman"/>
          <w:sz w:val="24"/>
          <w:szCs w:val="24"/>
        </w:rPr>
        <w:t>ed</w:t>
      </w:r>
      <w:r w:rsidRPr="00936EB9" w:rsidR="00936EB9">
        <w:rPr>
          <w:rFonts w:ascii="Times New Roman" w:eastAsia="Times New Roman" w:hAnsi="Times New Roman" w:cs="Times New Roman"/>
          <w:sz w:val="24"/>
          <w:szCs w:val="24"/>
        </w:rPr>
        <w:t xml:space="preserve"> the NOPR proposal to require an Environmental Justice Public Engagement Plan under </w:t>
      </w:r>
      <w:r w:rsidR="00D612C4">
        <w:rPr>
          <w:rFonts w:ascii="Times New Roman" w:eastAsia="Times New Roman" w:hAnsi="Times New Roman" w:cs="Times New Roman"/>
          <w:sz w:val="24"/>
          <w:szCs w:val="24"/>
        </w:rPr>
        <w:t xml:space="preserve">18 CFR </w:t>
      </w:r>
      <w:r w:rsidRPr="00936EB9" w:rsidR="00936EB9">
        <w:rPr>
          <w:rFonts w:ascii="Times New Roman" w:eastAsia="Times New Roman" w:hAnsi="Times New Roman" w:cs="Times New Roman"/>
          <w:sz w:val="24"/>
          <w:szCs w:val="24"/>
        </w:rPr>
        <w:t xml:space="preserve">50.4(a)(4) as a component of the Project Participation Plan, with </w:t>
      </w:r>
      <w:r w:rsidR="00C21E00">
        <w:rPr>
          <w:rFonts w:ascii="Times New Roman" w:eastAsia="Times New Roman" w:hAnsi="Times New Roman" w:cs="Times New Roman"/>
          <w:sz w:val="24"/>
          <w:szCs w:val="24"/>
        </w:rPr>
        <w:t xml:space="preserve">a </w:t>
      </w:r>
      <w:r w:rsidRPr="00936EB9" w:rsidR="00936EB9">
        <w:rPr>
          <w:rFonts w:ascii="Times New Roman" w:eastAsia="Times New Roman" w:hAnsi="Times New Roman" w:cs="Times New Roman"/>
          <w:sz w:val="24"/>
          <w:szCs w:val="24"/>
        </w:rPr>
        <w:t>modification</w:t>
      </w:r>
      <w:r w:rsidR="00D612C4">
        <w:rPr>
          <w:rFonts w:ascii="Times New Roman" w:eastAsia="Times New Roman" w:hAnsi="Times New Roman" w:cs="Times New Roman"/>
          <w:sz w:val="24"/>
          <w:szCs w:val="24"/>
        </w:rPr>
        <w:t xml:space="preserve"> clarifying </w:t>
      </w:r>
      <w:r w:rsidRPr="00936EB9" w:rsidR="00936EB9">
        <w:rPr>
          <w:rFonts w:ascii="Times New Roman" w:eastAsia="Times New Roman" w:hAnsi="Times New Roman" w:cs="Times New Roman"/>
          <w:sz w:val="24"/>
          <w:szCs w:val="24"/>
        </w:rPr>
        <w:t>that applicants must describe efforts to identify, engage, and accommodate “individuals with limited English proficiency.”</w:t>
      </w:r>
      <w:r w:rsidR="00347DFD">
        <w:rPr>
          <w:rFonts w:ascii="Times New Roman" w:eastAsia="Times New Roman" w:hAnsi="Times New Roman" w:cs="Times New Roman"/>
          <w:sz w:val="24"/>
          <w:szCs w:val="24"/>
        </w:rPr>
        <w:t xml:space="preserve">  </w:t>
      </w:r>
      <w:r w:rsidR="005729D3">
        <w:rPr>
          <w:rFonts w:ascii="Times New Roman" w:eastAsia="Times New Roman" w:hAnsi="Times New Roman" w:cs="Times New Roman"/>
          <w:sz w:val="24"/>
          <w:szCs w:val="24"/>
        </w:rPr>
        <w:t xml:space="preserve">Some commenters urged the Commission to add a requirement for an engagement plan </w:t>
      </w:r>
      <w:r w:rsidR="003D6F4F">
        <w:rPr>
          <w:rFonts w:ascii="Times New Roman" w:eastAsia="Times New Roman" w:hAnsi="Times New Roman" w:cs="Times New Roman"/>
          <w:sz w:val="24"/>
          <w:szCs w:val="24"/>
        </w:rPr>
        <w:t>describing an applicant</w:t>
      </w:r>
      <w:r w:rsidR="00AD12F8">
        <w:rPr>
          <w:rFonts w:ascii="Times New Roman" w:eastAsia="Times New Roman" w:hAnsi="Times New Roman" w:cs="Times New Roman"/>
          <w:sz w:val="24"/>
          <w:szCs w:val="24"/>
        </w:rPr>
        <w:t>’s</w:t>
      </w:r>
      <w:r w:rsidR="003D6F4F">
        <w:rPr>
          <w:rFonts w:ascii="Times New Roman" w:eastAsia="Times New Roman" w:hAnsi="Times New Roman" w:cs="Times New Roman"/>
          <w:sz w:val="24"/>
          <w:szCs w:val="24"/>
        </w:rPr>
        <w:t xml:space="preserve"> </w:t>
      </w:r>
      <w:r w:rsidR="005729D3">
        <w:rPr>
          <w:rFonts w:ascii="Times New Roman" w:eastAsia="Times New Roman" w:hAnsi="Times New Roman" w:cs="Times New Roman"/>
          <w:sz w:val="24"/>
          <w:szCs w:val="24"/>
        </w:rPr>
        <w:t xml:space="preserve">outreach to </w:t>
      </w:r>
      <w:r w:rsidR="00CF5C47">
        <w:rPr>
          <w:rFonts w:ascii="Times New Roman" w:eastAsia="Times New Roman" w:hAnsi="Times New Roman" w:cs="Times New Roman"/>
          <w:sz w:val="24"/>
          <w:szCs w:val="24"/>
        </w:rPr>
        <w:t xml:space="preserve">Indian </w:t>
      </w:r>
      <w:r w:rsidR="005729D3">
        <w:rPr>
          <w:rFonts w:ascii="Times New Roman" w:eastAsia="Times New Roman" w:hAnsi="Times New Roman" w:cs="Times New Roman"/>
          <w:sz w:val="24"/>
          <w:szCs w:val="24"/>
        </w:rPr>
        <w:t xml:space="preserve">Tribes.  </w:t>
      </w:r>
      <w:r w:rsidR="00880FBB">
        <w:rPr>
          <w:rFonts w:ascii="Times New Roman" w:eastAsia="Times New Roman" w:hAnsi="Times New Roman" w:cs="Times New Roman"/>
          <w:sz w:val="24"/>
          <w:szCs w:val="24"/>
        </w:rPr>
        <w:t xml:space="preserve">The Commission adopted in the Final Rule </w:t>
      </w:r>
      <w:r w:rsidRPr="00AC1D75" w:rsidR="00081CAF">
        <w:rPr>
          <w:rFonts w:ascii="Times New Roman" w:eastAsia="Times New Roman" w:hAnsi="Times New Roman" w:cs="Times New Roman"/>
          <w:sz w:val="24"/>
          <w:szCs w:val="24"/>
        </w:rPr>
        <w:t xml:space="preserve">new </w:t>
      </w:r>
      <w:r w:rsidR="00081CAF">
        <w:rPr>
          <w:rFonts w:ascii="Times New Roman" w:eastAsia="Times New Roman" w:hAnsi="Times New Roman" w:cs="Times New Roman"/>
          <w:sz w:val="24"/>
          <w:szCs w:val="24"/>
        </w:rPr>
        <w:t>18 CFR</w:t>
      </w:r>
      <w:r w:rsidRPr="00AC1D75" w:rsidR="00081CAF">
        <w:rPr>
          <w:rFonts w:ascii="Times New Roman" w:eastAsia="Times New Roman" w:hAnsi="Times New Roman" w:cs="Times New Roman"/>
          <w:sz w:val="24"/>
          <w:szCs w:val="24"/>
        </w:rPr>
        <w:t> 50.4(a)(5)</w:t>
      </w:r>
      <w:r w:rsidR="00081CAF">
        <w:rPr>
          <w:rFonts w:ascii="Times New Roman" w:eastAsia="Times New Roman" w:hAnsi="Times New Roman" w:cs="Times New Roman"/>
          <w:sz w:val="24"/>
          <w:szCs w:val="24"/>
        </w:rPr>
        <w:t xml:space="preserve">, which </w:t>
      </w:r>
      <w:r w:rsidRPr="00AC1D75" w:rsidR="00081CAF">
        <w:rPr>
          <w:rFonts w:ascii="Times New Roman" w:eastAsia="Times New Roman" w:hAnsi="Times New Roman" w:cs="Times New Roman"/>
          <w:sz w:val="24"/>
          <w:szCs w:val="24"/>
        </w:rPr>
        <w:t>requires an applicant to include a Tribal Engagement Plan as a component of the Project Participation Plan</w:t>
      </w:r>
      <w:r w:rsidR="005F474F">
        <w:rPr>
          <w:rFonts w:ascii="Times New Roman" w:eastAsia="Times New Roman" w:hAnsi="Times New Roman" w:cs="Times New Roman"/>
          <w:sz w:val="24"/>
          <w:szCs w:val="24"/>
        </w:rPr>
        <w:t xml:space="preserve">.  </w:t>
      </w:r>
      <w:r w:rsidR="00352414">
        <w:rPr>
          <w:rFonts w:ascii="Times New Roman" w:eastAsia="Times New Roman" w:hAnsi="Times New Roman" w:cs="Times New Roman"/>
          <w:sz w:val="24"/>
          <w:szCs w:val="24"/>
        </w:rPr>
        <w:t>The Final Rule explained that r</w:t>
      </w:r>
      <w:r w:rsidR="00D276F2">
        <w:rPr>
          <w:rFonts w:ascii="Times New Roman" w:eastAsia="Times New Roman" w:hAnsi="Times New Roman" w:cs="Times New Roman"/>
          <w:sz w:val="24"/>
          <w:szCs w:val="24"/>
        </w:rPr>
        <w:t>equiring applicants</w:t>
      </w:r>
      <w:r w:rsidR="007B3925">
        <w:rPr>
          <w:rFonts w:ascii="Times New Roman" w:eastAsia="Times New Roman" w:hAnsi="Times New Roman" w:cs="Times New Roman"/>
          <w:sz w:val="24"/>
          <w:szCs w:val="24"/>
        </w:rPr>
        <w:t xml:space="preserve"> to prepare engagement plans </w:t>
      </w:r>
      <w:r w:rsidRPr="00AC1D75" w:rsidR="00AC1D75">
        <w:rPr>
          <w:rFonts w:ascii="Times New Roman" w:eastAsia="Times New Roman" w:hAnsi="Times New Roman" w:cs="Times New Roman"/>
          <w:sz w:val="24"/>
          <w:szCs w:val="24"/>
        </w:rPr>
        <w:t xml:space="preserve">facilitates the development of the record that the Commission needs to assess impacts on </w:t>
      </w:r>
      <w:r w:rsidR="007B3925">
        <w:rPr>
          <w:rFonts w:ascii="Times New Roman" w:eastAsia="Times New Roman" w:hAnsi="Times New Roman" w:cs="Times New Roman"/>
          <w:sz w:val="24"/>
          <w:szCs w:val="24"/>
        </w:rPr>
        <w:t xml:space="preserve">environmental justice communities and </w:t>
      </w:r>
      <w:r w:rsidRPr="00AC1D75" w:rsidR="00AC1D75">
        <w:rPr>
          <w:rFonts w:ascii="Times New Roman" w:eastAsia="Times New Roman" w:hAnsi="Times New Roman" w:cs="Times New Roman"/>
          <w:sz w:val="24"/>
          <w:szCs w:val="24"/>
        </w:rPr>
        <w:t xml:space="preserve">Indian Tribes by detailing the steps applicants will take to identify and engage </w:t>
      </w:r>
      <w:r w:rsidR="0021266B">
        <w:rPr>
          <w:rFonts w:ascii="Times New Roman" w:eastAsia="Times New Roman" w:hAnsi="Times New Roman" w:cs="Times New Roman"/>
          <w:sz w:val="24"/>
          <w:szCs w:val="24"/>
        </w:rPr>
        <w:t>with these</w:t>
      </w:r>
      <w:r w:rsidRPr="00AC1D75" w:rsidR="00AC1D75">
        <w:rPr>
          <w:rFonts w:ascii="Times New Roman" w:eastAsia="Times New Roman" w:hAnsi="Times New Roman" w:cs="Times New Roman"/>
          <w:sz w:val="24"/>
          <w:szCs w:val="24"/>
        </w:rPr>
        <w:t xml:space="preserve"> communities.</w:t>
      </w:r>
    </w:p>
    <w:p w:rsidR="00B1550A" w:rsidP="00470CF3" w14:paraId="624CA35C" w14:textId="77777777">
      <w:pPr>
        <w:autoSpaceDE w:val="0"/>
        <w:autoSpaceDN w:val="0"/>
        <w:adjustRightInd w:val="0"/>
        <w:spacing w:after="0" w:line="240" w:lineRule="auto"/>
        <w:rPr>
          <w:rFonts w:ascii="Times New Roman" w:eastAsia="Times New Roman" w:hAnsi="Times New Roman" w:cs="Times New Roman"/>
          <w:sz w:val="24"/>
          <w:szCs w:val="24"/>
        </w:rPr>
      </w:pPr>
    </w:p>
    <w:p w:rsidR="00B1550A" w:rsidP="00470CF3" w14:paraId="31F6D112" w14:textId="0D8B497F">
      <w:pPr>
        <w:autoSpaceDE w:val="0"/>
        <w:autoSpaceDN w:val="0"/>
        <w:adjustRightInd w:val="0"/>
        <w:spacing w:after="0" w:line="240" w:lineRule="auto"/>
        <w:rPr>
          <w:rFonts w:ascii="Times New Roman" w:eastAsia="Times New Roman" w:hAnsi="Times New Roman" w:cs="Times New Roman"/>
          <w:sz w:val="24"/>
          <w:szCs w:val="24"/>
        </w:rPr>
      </w:pPr>
      <w:r w:rsidRPr="00341774">
        <w:rPr>
          <w:rFonts w:ascii="Times New Roman" w:eastAsia="Times New Roman" w:hAnsi="Times New Roman" w:cs="Times New Roman"/>
          <w:sz w:val="24"/>
          <w:szCs w:val="24"/>
        </w:rPr>
        <w:t xml:space="preserve">Other public comments on the information collection activities </w:t>
      </w:r>
      <w:r w:rsidRPr="00341774" w:rsidR="00980DBC">
        <w:rPr>
          <w:rFonts w:ascii="Times New Roman" w:eastAsia="Times New Roman" w:hAnsi="Times New Roman" w:cs="Times New Roman"/>
          <w:sz w:val="24"/>
          <w:szCs w:val="24"/>
        </w:rPr>
        <w:t xml:space="preserve">generally </w:t>
      </w:r>
      <w:r w:rsidRPr="00341774" w:rsidR="00A74C27">
        <w:rPr>
          <w:rFonts w:ascii="Times New Roman" w:eastAsia="Times New Roman" w:hAnsi="Times New Roman" w:cs="Times New Roman"/>
          <w:sz w:val="24"/>
          <w:szCs w:val="24"/>
        </w:rPr>
        <w:t>focused on the</w:t>
      </w:r>
      <w:r w:rsidRPr="00341774" w:rsidR="008D6540">
        <w:rPr>
          <w:rFonts w:ascii="Times New Roman" w:eastAsia="Times New Roman" w:hAnsi="Times New Roman" w:cs="Times New Roman"/>
          <w:sz w:val="24"/>
          <w:szCs w:val="24"/>
        </w:rPr>
        <w:t xml:space="preserve"> Applicant Code of Conduct, </w:t>
      </w:r>
      <w:r w:rsidRPr="00341774" w:rsidR="00AD2B99">
        <w:rPr>
          <w:rFonts w:ascii="Times New Roman" w:eastAsia="Times New Roman" w:hAnsi="Times New Roman" w:cs="Times New Roman"/>
          <w:sz w:val="24"/>
          <w:szCs w:val="24"/>
        </w:rPr>
        <w:t>project notification</w:t>
      </w:r>
      <w:r w:rsidRPr="00341774" w:rsidR="008A6393">
        <w:rPr>
          <w:rFonts w:ascii="Times New Roman" w:eastAsia="Times New Roman" w:hAnsi="Times New Roman" w:cs="Times New Roman"/>
          <w:sz w:val="24"/>
          <w:szCs w:val="24"/>
        </w:rPr>
        <w:t xml:space="preserve"> </w:t>
      </w:r>
      <w:r w:rsidRPr="00341774" w:rsidR="00A74C27">
        <w:rPr>
          <w:rFonts w:ascii="Times New Roman" w:eastAsia="Times New Roman" w:hAnsi="Times New Roman" w:cs="Times New Roman"/>
          <w:sz w:val="24"/>
          <w:szCs w:val="24"/>
        </w:rPr>
        <w:t>requirements</w:t>
      </w:r>
      <w:r w:rsidRPr="00341774" w:rsidR="00AD2B99">
        <w:rPr>
          <w:rFonts w:ascii="Times New Roman" w:eastAsia="Times New Roman" w:hAnsi="Times New Roman" w:cs="Times New Roman"/>
          <w:sz w:val="24"/>
          <w:szCs w:val="24"/>
        </w:rPr>
        <w:t xml:space="preserve">, </w:t>
      </w:r>
      <w:r w:rsidRPr="00341774" w:rsidR="008D6540">
        <w:rPr>
          <w:rFonts w:ascii="Times New Roman" w:eastAsia="Times New Roman" w:hAnsi="Times New Roman" w:cs="Times New Roman"/>
          <w:sz w:val="24"/>
          <w:szCs w:val="24"/>
        </w:rPr>
        <w:t>the</w:t>
      </w:r>
      <w:r w:rsidRPr="00341774" w:rsidR="00206ACD">
        <w:rPr>
          <w:rFonts w:ascii="Times New Roman" w:eastAsia="Times New Roman" w:hAnsi="Times New Roman" w:cs="Times New Roman"/>
          <w:sz w:val="24"/>
          <w:szCs w:val="24"/>
        </w:rPr>
        <w:t xml:space="preserve"> three new environmental resource reports (</w:t>
      </w:r>
      <w:r w:rsidRPr="00341774" w:rsidR="00F27C44">
        <w:rPr>
          <w:rFonts w:ascii="Times New Roman" w:eastAsia="Times New Roman" w:hAnsi="Times New Roman" w:cs="Times New Roman"/>
          <w:sz w:val="24"/>
          <w:szCs w:val="24"/>
        </w:rPr>
        <w:t xml:space="preserve">covering potential impacts </w:t>
      </w:r>
      <w:r w:rsidRPr="00341774" w:rsidR="00CB6E66">
        <w:rPr>
          <w:rFonts w:ascii="Times New Roman" w:eastAsia="Times New Roman" w:hAnsi="Times New Roman" w:cs="Times New Roman"/>
          <w:sz w:val="24"/>
          <w:szCs w:val="24"/>
        </w:rPr>
        <w:t>on environmental</w:t>
      </w:r>
      <w:r w:rsidRPr="00341774" w:rsidR="00925D85">
        <w:rPr>
          <w:rFonts w:ascii="Times New Roman" w:eastAsia="Times New Roman" w:hAnsi="Times New Roman" w:cs="Times New Roman"/>
          <w:sz w:val="24"/>
          <w:szCs w:val="24"/>
        </w:rPr>
        <w:t xml:space="preserve"> justice</w:t>
      </w:r>
      <w:r w:rsidRPr="00341774" w:rsidR="00F27C44">
        <w:rPr>
          <w:rFonts w:ascii="Times New Roman" w:eastAsia="Times New Roman" w:hAnsi="Times New Roman" w:cs="Times New Roman"/>
          <w:sz w:val="24"/>
          <w:szCs w:val="24"/>
        </w:rPr>
        <w:t xml:space="preserve"> communities</w:t>
      </w:r>
      <w:r w:rsidRPr="00341774" w:rsidR="00925D85">
        <w:rPr>
          <w:rFonts w:ascii="Times New Roman" w:eastAsia="Times New Roman" w:hAnsi="Times New Roman" w:cs="Times New Roman"/>
          <w:sz w:val="24"/>
          <w:szCs w:val="24"/>
        </w:rPr>
        <w:t xml:space="preserve">, </w:t>
      </w:r>
      <w:r w:rsidRPr="00341774" w:rsidR="008229D6">
        <w:rPr>
          <w:rFonts w:ascii="Times New Roman" w:eastAsia="Times New Roman" w:hAnsi="Times New Roman" w:cs="Times New Roman"/>
          <w:sz w:val="24"/>
          <w:szCs w:val="24"/>
        </w:rPr>
        <w:t>T</w:t>
      </w:r>
      <w:r w:rsidRPr="00341774" w:rsidR="00925D85">
        <w:rPr>
          <w:rFonts w:ascii="Times New Roman" w:eastAsia="Times New Roman" w:hAnsi="Times New Roman" w:cs="Times New Roman"/>
          <w:sz w:val="24"/>
          <w:szCs w:val="24"/>
        </w:rPr>
        <w:t>ribal resources, and air quality and environmental noise),</w:t>
      </w:r>
      <w:r w:rsidRPr="00341774" w:rsidR="00054FC4">
        <w:rPr>
          <w:rFonts w:ascii="Times New Roman" w:eastAsia="Times New Roman" w:hAnsi="Times New Roman" w:cs="Times New Roman"/>
          <w:sz w:val="24"/>
          <w:szCs w:val="24"/>
        </w:rPr>
        <w:t xml:space="preserve"> </w:t>
      </w:r>
      <w:r w:rsidRPr="00341774" w:rsidR="004102F5">
        <w:rPr>
          <w:rFonts w:ascii="Times New Roman" w:eastAsia="Times New Roman" w:hAnsi="Times New Roman" w:cs="Times New Roman"/>
          <w:sz w:val="24"/>
          <w:szCs w:val="24"/>
        </w:rPr>
        <w:t>visual impact</w:t>
      </w:r>
      <w:r w:rsidR="005645B0">
        <w:rPr>
          <w:rFonts w:ascii="Times New Roman" w:eastAsia="Times New Roman" w:hAnsi="Times New Roman" w:cs="Times New Roman"/>
          <w:sz w:val="24"/>
          <w:szCs w:val="24"/>
        </w:rPr>
        <w:t xml:space="preserve"> assessment</w:t>
      </w:r>
      <w:r w:rsidRPr="00341774" w:rsidR="000D67DE">
        <w:rPr>
          <w:rFonts w:ascii="Times New Roman" w:eastAsia="Times New Roman" w:hAnsi="Times New Roman" w:cs="Times New Roman"/>
          <w:sz w:val="24"/>
          <w:szCs w:val="24"/>
        </w:rPr>
        <w:t>,</w:t>
      </w:r>
      <w:r w:rsidRPr="00341774" w:rsidR="004102F5">
        <w:rPr>
          <w:rFonts w:ascii="Times New Roman" w:eastAsia="Times New Roman" w:hAnsi="Times New Roman" w:cs="Times New Roman"/>
          <w:sz w:val="24"/>
          <w:szCs w:val="24"/>
        </w:rPr>
        <w:t xml:space="preserve"> </w:t>
      </w:r>
      <w:r w:rsidRPr="00341774" w:rsidR="00054FC4">
        <w:rPr>
          <w:rFonts w:ascii="Times New Roman" w:eastAsia="Times New Roman" w:hAnsi="Times New Roman" w:cs="Times New Roman"/>
          <w:sz w:val="24"/>
          <w:szCs w:val="24"/>
        </w:rPr>
        <w:t xml:space="preserve">and </w:t>
      </w:r>
      <w:r w:rsidRPr="00341774" w:rsidR="007E515C">
        <w:rPr>
          <w:rFonts w:ascii="Times New Roman" w:eastAsia="Times New Roman" w:hAnsi="Times New Roman" w:cs="Times New Roman"/>
          <w:sz w:val="24"/>
          <w:szCs w:val="24"/>
        </w:rPr>
        <w:t>various updates to the existing environmental resource reports.</w:t>
      </w:r>
      <w:r w:rsidRPr="00341774" w:rsidR="00DC7D33">
        <w:rPr>
          <w:rFonts w:ascii="Times New Roman" w:eastAsia="Times New Roman" w:hAnsi="Times New Roman" w:cs="Times New Roman"/>
          <w:sz w:val="24"/>
          <w:szCs w:val="24"/>
        </w:rPr>
        <w:t xml:space="preserve">  The Final Rule made a number of clarifying changes in response </w:t>
      </w:r>
      <w:r w:rsidRPr="00341774" w:rsidR="00AF21F9">
        <w:rPr>
          <w:rFonts w:ascii="Times New Roman" w:eastAsia="Times New Roman" w:hAnsi="Times New Roman" w:cs="Times New Roman"/>
          <w:sz w:val="24"/>
          <w:szCs w:val="24"/>
        </w:rPr>
        <w:t>to comments.</w:t>
      </w:r>
      <w:r w:rsidR="00AF21F9">
        <w:rPr>
          <w:rFonts w:ascii="Times New Roman" w:eastAsia="Times New Roman" w:hAnsi="Times New Roman" w:cs="Times New Roman"/>
          <w:sz w:val="24"/>
          <w:szCs w:val="24"/>
        </w:rPr>
        <w:t xml:space="preserve">  </w:t>
      </w:r>
      <w:r w:rsidR="007E515C">
        <w:rPr>
          <w:rFonts w:ascii="Times New Roman" w:eastAsia="Times New Roman" w:hAnsi="Times New Roman" w:cs="Times New Roman"/>
          <w:sz w:val="24"/>
          <w:szCs w:val="24"/>
        </w:rPr>
        <w:t xml:space="preserve"> </w:t>
      </w:r>
      <w:r w:rsidR="00925D85">
        <w:rPr>
          <w:rFonts w:ascii="Times New Roman" w:eastAsia="Times New Roman" w:hAnsi="Times New Roman" w:cs="Times New Roman"/>
          <w:sz w:val="24"/>
          <w:szCs w:val="24"/>
        </w:rPr>
        <w:t xml:space="preserve"> </w:t>
      </w:r>
    </w:p>
    <w:p w:rsidR="00476126" w:rsidP="00190B95" w14:paraId="19382046" w14:textId="77777777">
      <w:pPr>
        <w:autoSpaceDE w:val="0"/>
        <w:autoSpaceDN w:val="0"/>
        <w:adjustRightInd w:val="0"/>
        <w:spacing w:after="0" w:line="240" w:lineRule="auto"/>
        <w:rPr>
          <w:rFonts w:ascii="Times New Roman" w:eastAsia="Times New Roman" w:hAnsi="Times New Roman" w:cs="Times New Roman"/>
          <w:sz w:val="24"/>
          <w:szCs w:val="24"/>
        </w:rPr>
      </w:pPr>
    </w:p>
    <w:p w:rsidR="00190B95" w:rsidP="00341774" w14:paraId="2330EFF4" w14:textId="2A4CED63">
      <w:pPr>
        <w:tabs>
          <w:tab w:val="left" w:pos="0"/>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 u</w:t>
      </w:r>
      <w:r w:rsidR="0068263C">
        <w:rPr>
          <w:rFonts w:ascii="Times New Roman" w:eastAsia="Times New Roman" w:hAnsi="Times New Roman" w:cs="Times New Roman"/>
          <w:sz w:val="24"/>
          <w:szCs w:val="24"/>
        </w:rPr>
        <w:t xml:space="preserve">nrelated to information collection activities, </w:t>
      </w:r>
      <w:r w:rsidR="00F514ED">
        <w:rPr>
          <w:rFonts w:ascii="Times New Roman" w:eastAsia="Times New Roman" w:hAnsi="Times New Roman" w:cs="Times New Roman"/>
          <w:sz w:val="24"/>
          <w:szCs w:val="24"/>
        </w:rPr>
        <w:t>m</w:t>
      </w:r>
      <w:r w:rsidR="00CE542B">
        <w:rPr>
          <w:rFonts w:ascii="Times New Roman" w:eastAsia="Times New Roman" w:hAnsi="Times New Roman" w:cs="Times New Roman"/>
          <w:sz w:val="24"/>
          <w:szCs w:val="24"/>
        </w:rPr>
        <w:t xml:space="preserve">any </w:t>
      </w:r>
      <w:r w:rsidR="00E46251">
        <w:rPr>
          <w:rFonts w:ascii="Times New Roman" w:eastAsia="Times New Roman" w:hAnsi="Times New Roman" w:cs="Times New Roman"/>
          <w:sz w:val="24"/>
          <w:szCs w:val="24"/>
        </w:rPr>
        <w:t xml:space="preserve">public comments addressed </w:t>
      </w:r>
      <w:r w:rsidR="00B076E2">
        <w:rPr>
          <w:rFonts w:ascii="Times New Roman" w:eastAsia="Times New Roman" w:hAnsi="Times New Roman" w:cs="Times New Roman"/>
          <w:sz w:val="24"/>
          <w:szCs w:val="24"/>
        </w:rPr>
        <w:t xml:space="preserve">the Commission’s </w:t>
      </w:r>
      <w:r w:rsidR="00E46251">
        <w:rPr>
          <w:rFonts w:ascii="Times New Roman" w:eastAsia="Times New Roman" w:hAnsi="Times New Roman" w:cs="Times New Roman"/>
          <w:sz w:val="24"/>
          <w:szCs w:val="24"/>
        </w:rPr>
        <w:t xml:space="preserve">proposal </w:t>
      </w:r>
      <w:r w:rsidR="00BF6F61">
        <w:rPr>
          <w:rFonts w:ascii="Times New Roman" w:eastAsia="Times New Roman" w:hAnsi="Times New Roman" w:cs="Times New Roman"/>
          <w:sz w:val="24"/>
          <w:szCs w:val="24"/>
        </w:rPr>
        <w:t xml:space="preserve">to allow simultaneous processing of State and FERC </w:t>
      </w:r>
      <w:r w:rsidR="004A4027">
        <w:rPr>
          <w:rFonts w:ascii="Times New Roman" w:eastAsia="Times New Roman" w:hAnsi="Times New Roman" w:cs="Times New Roman"/>
          <w:sz w:val="24"/>
          <w:szCs w:val="24"/>
        </w:rPr>
        <w:t xml:space="preserve">siting applications.  </w:t>
      </w:r>
      <w:r w:rsidR="00CE542B">
        <w:rPr>
          <w:rFonts w:ascii="Times New Roman" w:eastAsia="Times New Roman" w:hAnsi="Times New Roman" w:cs="Times New Roman"/>
          <w:sz w:val="24"/>
          <w:szCs w:val="24"/>
        </w:rPr>
        <w:t>I</w:t>
      </w:r>
      <w:r w:rsidR="00B076E2">
        <w:rPr>
          <w:rFonts w:ascii="Times New Roman" w:eastAsia="Times New Roman" w:hAnsi="Times New Roman" w:cs="Times New Roman"/>
          <w:sz w:val="24"/>
          <w:szCs w:val="24"/>
        </w:rPr>
        <w:t>n the Final Rule</w:t>
      </w:r>
      <w:r w:rsidR="00CE542B">
        <w:rPr>
          <w:rFonts w:ascii="Times New Roman" w:eastAsia="Times New Roman" w:hAnsi="Times New Roman" w:cs="Times New Roman"/>
          <w:sz w:val="24"/>
          <w:szCs w:val="24"/>
        </w:rPr>
        <w:t>, the Commission declined</w:t>
      </w:r>
      <w:r w:rsidR="00B076E2">
        <w:rPr>
          <w:rFonts w:ascii="Times New Roman" w:eastAsia="Times New Roman" w:hAnsi="Times New Roman" w:cs="Times New Roman"/>
          <w:sz w:val="24"/>
          <w:szCs w:val="24"/>
        </w:rPr>
        <w:t xml:space="preserve"> </w:t>
      </w:r>
      <w:r w:rsidR="004A4027">
        <w:rPr>
          <w:rFonts w:ascii="Times New Roman" w:eastAsia="Times New Roman" w:hAnsi="Times New Roman" w:cs="Times New Roman"/>
          <w:sz w:val="24"/>
          <w:szCs w:val="24"/>
        </w:rPr>
        <w:t>to adopt the proposa</w:t>
      </w:r>
      <w:r w:rsidR="00F07AC1">
        <w:rPr>
          <w:rFonts w:ascii="Times New Roman" w:eastAsia="Times New Roman" w:hAnsi="Times New Roman" w:cs="Times New Roman"/>
          <w:sz w:val="24"/>
          <w:szCs w:val="24"/>
        </w:rPr>
        <w:t>l</w:t>
      </w:r>
      <w:r w:rsidR="004A4027">
        <w:rPr>
          <w:rFonts w:ascii="Times New Roman" w:eastAsia="Times New Roman" w:hAnsi="Times New Roman" w:cs="Times New Roman"/>
          <w:sz w:val="24"/>
          <w:szCs w:val="24"/>
        </w:rPr>
        <w:t xml:space="preserve">, and instead </w:t>
      </w:r>
      <w:r w:rsidR="007F653F">
        <w:rPr>
          <w:rFonts w:ascii="Times New Roman" w:eastAsia="Times New Roman" w:hAnsi="Times New Roman" w:cs="Times New Roman"/>
          <w:sz w:val="24"/>
          <w:szCs w:val="24"/>
        </w:rPr>
        <w:t xml:space="preserve">stated </w:t>
      </w:r>
      <w:r w:rsidR="00CE542B">
        <w:rPr>
          <w:rFonts w:ascii="Times New Roman" w:eastAsia="Times New Roman" w:hAnsi="Times New Roman" w:cs="Times New Roman"/>
          <w:sz w:val="24"/>
          <w:szCs w:val="24"/>
        </w:rPr>
        <w:t xml:space="preserve">that it would </w:t>
      </w:r>
      <w:r w:rsidR="00B076E2">
        <w:rPr>
          <w:rFonts w:ascii="Times New Roman" w:eastAsia="Times New Roman" w:hAnsi="Times New Roman" w:cs="Times New Roman"/>
          <w:sz w:val="24"/>
          <w:szCs w:val="24"/>
        </w:rPr>
        <w:t xml:space="preserve">continue the existing policy </w:t>
      </w:r>
      <w:r w:rsidR="0014392B">
        <w:rPr>
          <w:rFonts w:ascii="Times New Roman" w:eastAsia="Times New Roman" w:hAnsi="Times New Roman" w:cs="Times New Roman"/>
          <w:sz w:val="24"/>
          <w:szCs w:val="24"/>
        </w:rPr>
        <w:t xml:space="preserve">of a one-year delay between the </w:t>
      </w:r>
      <w:r w:rsidR="0014392B">
        <w:rPr>
          <w:rFonts w:ascii="Times New Roman" w:eastAsia="Times New Roman" w:hAnsi="Times New Roman" w:cs="Times New Roman"/>
          <w:sz w:val="24"/>
          <w:szCs w:val="24"/>
        </w:rPr>
        <w:t xml:space="preserve">filing of the relevant State siting </w:t>
      </w:r>
      <w:r w:rsidR="00476126">
        <w:rPr>
          <w:rFonts w:ascii="Times New Roman" w:eastAsia="Times New Roman" w:hAnsi="Times New Roman" w:cs="Times New Roman"/>
          <w:sz w:val="24"/>
          <w:szCs w:val="24"/>
        </w:rPr>
        <w:t>applications and the commencement of the Commission’s pre-filing process.</w:t>
      </w:r>
      <w:r w:rsidR="003F509B">
        <w:rPr>
          <w:rFonts w:ascii="Times New Roman" w:eastAsia="Times New Roman" w:hAnsi="Times New Roman" w:cs="Times New Roman"/>
          <w:sz w:val="24"/>
          <w:szCs w:val="24"/>
        </w:rPr>
        <w:t xml:space="preserve">  </w:t>
      </w:r>
      <w:r w:rsidR="00CE542B">
        <w:rPr>
          <w:rFonts w:ascii="Times New Roman" w:eastAsia="Times New Roman" w:hAnsi="Times New Roman" w:cs="Times New Roman"/>
          <w:sz w:val="24"/>
          <w:szCs w:val="24"/>
        </w:rPr>
        <w:t>T</w:t>
      </w:r>
      <w:r w:rsidR="00CC4CA8">
        <w:rPr>
          <w:rFonts w:ascii="Times New Roman" w:eastAsia="Times New Roman" w:hAnsi="Times New Roman" w:cs="Times New Roman"/>
          <w:sz w:val="24"/>
          <w:szCs w:val="24"/>
        </w:rPr>
        <w:t>he Final Rule</w:t>
      </w:r>
      <w:r w:rsidR="00423EEE">
        <w:rPr>
          <w:rFonts w:ascii="Times New Roman" w:eastAsia="Times New Roman" w:hAnsi="Times New Roman" w:cs="Times New Roman"/>
          <w:sz w:val="24"/>
          <w:szCs w:val="24"/>
        </w:rPr>
        <w:t xml:space="preserve"> explained </w:t>
      </w:r>
      <w:r w:rsidR="003F509B">
        <w:rPr>
          <w:rFonts w:ascii="Times New Roman" w:eastAsia="Times New Roman" w:hAnsi="Times New Roman" w:cs="Times New Roman"/>
          <w:sz w:val="24"/>
          <w:szCs w:val="24"/>
        </w:rPr>
        <w:t xml:space="preserve">that this determination </w:t>
      </w:r>
      <w:r w:rsidR="00CE542B">
        <w:rPr>
          <w:rFonts w:ascii="Times New Roman" w:eastAsia="Times New Roman" w:hAnsi="Times New Roman" w:cs="Times New Roman"/>
          <w:sz w:val="24"/>
          <w:szCs w:val="24"/>
        </w:rPr>
        <w:t>wa</w:t>
      </w:r>
      <w:r w:rsidR="003F509B">
        <w:rPr>
          <w:rFonts w:ascii="Times New Roman" w:eastAsia="Times New Roman" w:hAnsi="Times New Roman" w:cs="Times New Roman"/>
          <w:sz w:val="24"/>
          <w:szCs w:val="24"/>
        </w:rPr>
        <w:t xml:space="preserve">s </w:t>
      </w:r>
      <w:r w:rsidRPr="00596D2A" w:rsidR="00596D2A">
        <w:rPr>
          <w:rFonts w:ascii="Times New Roman" w:eastAsia="Times New Roman" w:hAnsi="Times New Roman" w:cs="Times New Roman"/>
          <w:sz w:val="24"/>
          <w:szCs w:val="24"/>
        </w:rPr>
        <w:t xml:space="preserve">based on </w:t>
      </w:r>
      <w:r w:rsidR="003F509B">
        <w:rPr>
          <w:rFonts w:ascii="Times New Roman" w:eastAsia="Times New Roman" w:hAnsi="Times New Roman" w:cs="Times New Roman"/>
          <w:sz w:val="24"/>
          <w:szCs w:val="24"/>
        </w:rPr>
        <w:t xml:space="preserve">a </w:t>
      </w:r>
      <w:r w:rsidRPr="00596D2A" w:rsidR="00596D2A">
        <w:rPr>
          <w:rFonts w:ascii="Times New Roman" w:eastAsia="Times New Roman" w:hAnsi="Times New Roman" w:cs="Times New Roman"/>
          <w:sz w:val="24"/>
          <w:szCs w:val="24"/>
        </w:rPr>
        <w:t>review of the record and, in particular, the feedback received from States in their filed comments and at the February 28, 2024</w:t>
      </w:r>
      <w:r w:rsidR="008154EA">
        <w:rPr>
          <w:rFonts w:ascii="Times New Roman" w:eastAsia="Times New Roman" w:hAnsi="Times New Roman" w:cs="Times New Roman"/>
          <w:sz w:val="24"/>
          <w:szCs w:val="24"/>
        </w:rPr>
        <w:t>,</w:t>
      </w:r>
      <w:r w:rsidRPr="00596D2A" w:rsidR="00596D2A">
        <w:rPr>
          <w:rFonts w:ascii="Times New Roman" w:eastAsia="Times New Roman" w:hAnsi="Times New Roman" w:cs="Times New Roman"/>
          <w:sz w:val="24"/>
          <w:szCs w:val="24"/>
        </w:rPr>
        <w:t xml:space="preserve"> meeting of the Joint Federal-State Task Force on Electric Transmission.  </w:t>
      </w:r>
    </w:p>
    <w:p w:rsidR="00190B95" w:rsidP="000E152C" w14:paraId="75C8C47C"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0E152C" w:rsidRPr="008B77CF" w:rsidP="000E152C" w14:paraId="73468CBD" w14:textId="7C5B9BF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9.</w:t>
      </w:r>
      <w:r w:rsidRPr="008B77CF">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EXPLAIN ANY PAYMENT OR GIFTS TO RESPONDENTS</w:t>
      </w:r>
    </w:p>
    <w:p w:rsidR="000E152C" w:rsidRPr="008B77CF" w:rsidP="000E152C" w14:paraId="73468CBE"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CBF" w14:textId="42B25181">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There are no payments or gifts to FERC-729 respondents.</w:t>
      </w:r>
    </w:p>
    <w:p w:rsidR="000E152C" w:rsidRPr="008B77CF" w:rsidP="000E152C" w14:paraId="73468CC0"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0E152C" w:rsidRPr="008B77CF" w:rsidP="000E152C" w14:paraId="73468CC1"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10.</w:t>
      </w:r>
      <w:r w:rsidRPr="008B77CF">
        <w:rPr>
          <w:rFonts w:ascii="Times New Roman" w:eastAsia="Times New Roman" w:hAnsi="Times New Roman" w:cs="Times New Roman"/>
          <w:b/>
          <w:sz w:val="24"/>
          <w:szCs w:val="24"/>
        </w:rPr>
        <w:tab/>
        <w:t xml:space="preserve"> DESCRIBE ANY ASSURANCE OF CONFIDENTIALITY PROVIDED TO RESPONDENTS</w:t>
      </w:r>
    </w:p>
    <w:p w:rsidR="000E152C" w:rsidRPr="008B77CF" w:rsidP="000E152C" w14:paraId="73468CC2"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5740AD" w:rsidRPr="005740AD" w:rsidP="005740AD" w14:paraId="4EB7026A" w14:textId="2818281A">
      <w:pPr>
        <w:autoSpaceDE w:val="0"/>
        <w:autoSpaceDN w:val="0"/>
        <w:adjustRightInd w:val="0"/>
        <w:spacing w:after="0" w:line="240" w:lineRule="auto"/>
        <w:rPr>
          <w:rFonts w:ascii="Times New Roman" w:eastAsia="Times New Roman" w:hAnsi="Times New Roman" w:cs="Times New Roman"/>
          <w:sz w:val="24"/>
          <w:szCs w:val="24"/>
        </w:rPr>
      </w:pPr>
      <w:r w:rsidRPr="005740AD">
        <w:rPr>
          <w:rFonts w:ascii="Times New Roman" w:eastAsia="Times New Roman" w:hAnsi="Times New Roman" w:cs="Times New Roman"/>
          <w:sz w:val="24"/>
          <w:szCs w:val="24"/>
        </w:rPr>
        <w:t>The Commission does not consider the information collected in FERC-</w:t>
      </w:r>
      <w:r>
        <w:rPr>
          <w:rFonts w:ascii="Times New Roman" w:eastAsia="Times New Roman" w:hAnsi="Times New Roman" w:cs="Times New Roman"/>
          <w:sz w:val="24"/>
          <w:szCs w:val="24"/>
        </w:rPr>
        <w:t>729</w:t>
      </w:r>
      <w:r w:rsidRPr="005740AD">
        <w:rPr>
          <w:rFonts w:ascii="Times New Roman" w:eastAsia="Times New Roman" w:hAnsi="Times New Roman" w:cs="Times New Roman"/>
          <w:sz w:val="24"/>
          <w:szCs w:val="24"/>
        </w:rPr>
        <w:t xml:space="preserve"> filings to be confidential.  Filers may request privileged or C</w:t>
      </w:r>
      <w:r w:rsidR="001152E5">
        <w:rPr>
          <w:rFonts w:ascii="Times New Roman" w:eastAsia="Times New Roman" w:hAnsi="Times New Roman" w:cs="Times New Roman"/>
          <w:sz w:val="24"/>
          <w:szCs w:val="24"/>
        </w:rPr>
        <w:t xml:space="preserve">ritical </w:t>
      </w:r>
      <w:r w:rsidRPr="005740AD">
        <w:rPr>
          <w:rFonts w:ascii="Times New Roman" w:eastAsia="Times New Roman" w:hAnsi="Times New Roman" w:cs="Times New Roman"/>
          <w:sz w:val="24"/>
          <w:szCs w:val="24"/>
        </w:rPr>
        <w:t>E</w:t>
      </w:r>
      <w:r w:rsidR="001152E5">
        <w:rPr>
          <w:rFonts w:ascii="Times New Roman" w:eastAsia="Times New Roman" w:hAnsi="Times New Roman" w:cs="Times New Roman"/>
          <w:sz w:val="24"/>
          <w:szCs w:val="24"/>
        </w:rPr>
        <w:t xml:space="preserve">nergy </w:t>
      </w:r>
      <w:r w:rsidRPr="005740AD">
        <w:rPr>
          <w:rFonts w:ascii="Times New Roman" w:eastAsia="Times New Roman" w:hAnsi="Times New Roman" w:cs="Times New Roman"/>
          <w:sz w:val="24"/>
          <w:szCs w:val="24"/>
        </w:rPr>
        <w:t>I</w:t>
      </w:r>
      <w:r w:rsidR="001152E5">
        <w:rPr>
          <w:rFonts w:ascii="Times New Roman" w:eastAsia="Times New Roman" w:hAnsi="Times New Roman" w:cs="Times New Roman"/>
          <w:sz w:val="24"/>
          <w:szCs w:val="24"/>
        </w:rPr>
        <w:t xml:space="preserve">nfrastructure </w:t>
      </w:r>
      <w:r w:rsidRPr="005740AD">
        <w:rPr>
          <w:rFonts w:ascii="Times New Roman" w:eastAsia="Times New Roman" w:hAnsi="Times New Roman" w:cs="Times New Roman"/>
          <w:sz w:val="24"/>
          <w:szCs w:val="24"/>
        </w:rPr>
        <w:t>I</w:t>
      </w:r>
      <w:r w:rsidR="001152E5">
        <w:rPr>
          <w:rFonts w:ascii="Times New Roman" w:eastAsia="Times New Roman" w:hAnsi="Times New Roman" w:cs="Times New Roman"/>
          <w:sz w:val="24"/>
          <w:szCs w:val="24"/>
        </w:rPr>
        <w:t>nformation</w:t>
      </w:r>
      <w:r w:rsidRPr="005740AD">
        <w:rPr>
          <w:rFonts w:ascii="Times New Roman" w:eastAsia="Times New Roman" w:hAnsi="Times New Roman" w:cs="Times New Roman"/>
          <w:sz w:val="24"/>
          <w:szCs w:val="24"/>
        </w:rPr>
        <w:t xml:space="preserve"> treatment of a filing that may contain information the applicant deems harmful if released to the general public.</w:t>
      </w:r>
      <w:r>
        <w:rPr>
          <w:rFonts w:ascii="Times New Roman" w:eastAsia="Times New Roman" w:hAnsi="Times New Roman" w:cs="Times New Roman"/>
          <w:b/>
          <w:sz w:val="24"/>
          <w:szCs w:val="24"/>
          <w:vertAlign w:val="superscript"/>
        </w:rPr>
        <w:footnoteReference w:id="17"/>
      </w:r>
      <w:r w:rsidRPr="005740AD">
        <w:rPr>
          <w:rFonts w:ascii="Times New Roman" w:eastAsia="Times New Roman" w:hAnsi="Times New Roman" w:cs="Times New Roman"/>
          <w:b/>
          <w:sz w:val="24"/>
          <w:szCs w:val="24"/>
        </w:rPr>
        <w:t xml:space="preserve"> </w:t>
      </w:r>
      <w:r w:rsidRPr="005740AD">
        <w:rPr>
          <w:rFonts w:ascii="Times New Roman" w:eastAsia="Times New Roman" w:hAnsi="Times New Roman" w:cs="Times New Roman"/>
          <w:sz w:val="24"/>
          <w:szCs w:val="24"/>
        </w:rPr>
        <w:t xml:space="preserve"> </w:t>
      </w:r>
    </w:p>
    <w:p w:rsidR="000E152C" w:rsidRPr="008B77CF" w:rsidP="000E152C" w14:paraId="73468CC4"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C5"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11.</w:t>
      </w:r>
      <w:r w:rsidRPr="008B77CF">
        <w:rPr>
          <w:rFonts w:ascii="Times New Roman" w:eastAsia="Times New Roman" w:hAnsi="Times New Roman" w:cs="Times New Roman"/>
          <w:b/>
          <w:sz w:val="24"/>
          <w:szCs w:val="24"/>
        </w:rPr>
        <w:tab/>
        <w:t xml:space="preserve"> PROVIDE ADDITIONAL JUSTIFICATION FOR ANY QUESTIONS OF A SENSITIVE NATURE, SUCH AS SEXUAL BEHAVIOR AND ATTITDUES, RELIGIOUS BELIEFS, AND OTHER MATTERS THAT ARE COMMONLY CONSIDERED PRIVATE</w:t>
      </w:r>
    </w:p>
    <w:p w:rsidR="000E152C" w:rsidRPr="008B77CF" w:rsidP="000E152C" w14:paraId="73468CC6" w14:textId="77777777">
      <w:pPr>
        <w:autoSpaceDE w:val="0"/>
        <w:autoSpaceDN w:val="0"/>
        <w:adjustRightInd w:val="0"/>
        <w:spacing w:after="0" w:line="240" w:lineRule="auto"/>
        <w:rPr>
          <w:rFonts w:ascii="Times New Roman" w:eastAsia="Times New Roman" w:hAnsi="Times New Roman" w:cs="Times New Roman"/>
          <w:b/>
          <w:sz w:val="24"/>
          <w:szCs w:val="24"/>
        </w:rPr>
      </w:pPr>
    </w:p>
    <w:p w:rsidR="000E152C" w:rsidRPr="008B77CF" w:rsidP="000E152C" w14:paraId="73468CC7" w14:textId="2756100D">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w:t>
      </w:r>
      <w:r w:rsidR="00BD11E3">
        <w:rPr>
          <w:rFonts w:ascii="Times New Roman" w:eastAsia="Times New Roman" w:hAnsi="Times New Roman" w:cs="Times New Roman"/>
          <w:sz w:val="24"/>
          <w:szCs w:val="24"/>
        </w:rPr>
        <w:t>re are no</w:t>
      </w:r>
      <w:r w:rsidRPr="008B77CF">
        <w:rPr>
          <w:rFonts w:ascii="Times New Roman" w:eastAsia="Times New Roman" w:hAnsi="Times New Roman" w:cs="Times New Roman"/>
          <w:sz w:val="24"/>
          <w:szCs w:val="24"/>
        </w:rPr>
        <w:t xml:space="preserve"> questions of a sensitive nature </w:t>
      </w:r>
      <w:r w:rsidR="00BD11E3">
        <w:rPr>
          <w:rFonts w:ascii="Times New Roman" w:eastAsia="Times New Roman" w:hAnsi="Times New Roman" w:cs="Times New Roman"/>
          <w:sz w:val="24"/>
          <w:szCs w:val="24"/>
        </w:rPr>
        <w:t>in this information collection</w:t>
      </w:r>
      <w:r w:rsidRPr="008B77CF">
        <w:rPr>
          <w:rFonts w:ascii="Times New Roman" w:eastAsia="Times New Roman" w:hAnsi="Times New Roman" w:cs="Times New Roman"/>
          <w:sz w:val="24"/>
          <w:szCs w:val="24"/>
        </w:rPr>
        <w:t>.</w:t>
      </w:r>
    </w:p>
    <w:p w:rsidR="000E152C" w:rsidRPr="008B77CF" w:rsidP="000E152C" w14:paraId="73468CC8"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CC9"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12.</w:t>
      </w:r>
      <w:r w:rsidRPr="008B77CF">
        <w:rPr>
          <w:rFonts w:ascii="Times New Roman" w:eastAsia="Times New Roman" w:hAnsi="Times New Roman" w:cs="Times New Roman"/>
          <w:b/>
          <w:sz w:val="24"/>
          <w:szCs w:val="24"/>
        </w:rPr>
        <w:tab/>
        <w:t xml:space="preserve"> ESTIMATED BURDEN OF COLLECTION OF INFORMATION</w:t>
      </w:r>
    </w:p>
    <w:p w:rsidR="000E152C" w:rsidRPr="008B77CF" w:rsidP="000E152C" w14:paraId="73468CC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03387" w:rsidP="000E152C" w14:paraId="73468CCB" w14:textId="2ABDF31A">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Commission estimates the </w:t>
      </w:r>
      <w:r w:rsidR="00A73935">
        <w:rPr>
          <w:rFonts w:ascii="Times New Roman" w:eastAsia="Times New Roman" w:hAnsi="Times New Roman" w:cs="Times New Roman"/>
          <w:sz w:val="24"/>
          <w:szCs w:val="24"/>
        </w:rPr>
        <w:t>annual p</w:t>
      </w:r>
      <w:r w:rsidRPr="008B77CF">
        <w:rPr>
          <w:rFonts w:ascii="Times New Roman" w:eastAsia="Times New Roman" w:hAnsi="Times New Roman" w:cs="Times New Roman"/>
          <w:sz w:val="24"/>
          <w:szCs w:val="24"/>
        </w:rPr>
        <w:t xml:space="preserve">ublic </w:t>
      </w:r>
      <w:r w:rsidR="00A73935">
        <w:rPr>
          <w:rFonts w:ascii="Times New Roman" w:eastAsia="Times New Roman" w:hAnsi="Times New Roman" w:cs="Times New Roman"/>
          <w:sz w:val="24"/>
          <w:szCs w:val="24"/>
        </w:rPr>
        <w:t>r</w:t>
      </w:r>
      <w:r w:rsidRPr="008B77CF">
        <w:rPr>
          <w:rFonts w:ascii="Times New Roman" w:eastAsia="Times New Roman" w:hAnsi="Times New Roman" w:cs="Times New Roman"/>
          <w:sz w:val="24"/>
          <w:szCs w:val="24"/>
        </w:rPr>
        <w:t xml:space="preserve">eporting </w:t>
      </w:r>
      <w:r w:rsidR="00A73935">
        <w:rPr>
          <w:rFonts w:ascii="Times New Roman" w:eastAsia="Times New Roman" w:hAnsi="Times New Roman" w:cs="Times New Roman"/>
          <w:sz w:val="24"/>
          <w:szCs w:val="24"/>
        </w:rPr>
        <w:t>b</w:t>
      </w:r>
      <w:r w:rsidRPr="008B77CF">
        <w:rPr>
          <w:rFonts w:ascii="Times New Roman" w:eastAsia="Times New Roman" w:hAnsi="Times New Roman" w:cs="Times New Roman"/>
          <w:sz w:val="24"/>
          <w:szCs w:val="24"/>
        </w:rPr>
        <w:t xml:space="preserve">urden for </w:t>
      </w:r>
      <w:r w:rsidR="00CA284A">
        <w:rPr>
          <w:rFonts w:ascii="Times New Roman" w:eastAsia="Times New Roman" w:hAnsi="Times New Roman" w:cs="Times New Roman"/>
          <w:sz w:val="24"/>
          <w:szCs w:val="24"/>
        </w:rPr>
        <w:t xml:space="preserve">the requirements contained in the </w:t>
      </w:r>
      <w:r w:rsidR="00113C54">
        <w:rPr>
          <w:rFonts w:ascii="Times New Roman" w:eastAsia="Times New Roman" w:hAnsi="Times New Roman" w:cs="Times New Roman"/>
          <w:sz w:val="24"/>
          <w:szCs w:val="24"/>
        </w:rPr>
        <w:t xml:space="preserve">Final Rule </w:t>
      </w:r>
      <w:r w:rsidRPr="008B77CF">
        <w:rPr>
          <w:rFonts w:ascii="Times New Roman" w:eastAsia="Times New Roman" w:hAnsi="Times New Roman" w:cs="Times New Roman"/>
          <w:sz w:val="24"/>
          <w:szCs w:val="24"/>
        </w:rPr>
        <w:t>as:</w:t>
      </w:r>
    </w:p>
    <w:p w:rsidR="00D03387" w14:paraId="5423E4B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E152C" w:rsidRPr="008B77CF" w:rsidP="000E152C" w14:paraId="752F1823" w14:textId="77777777">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F46263" w:rsidP="000E152C" w14:paraId="4B84333E" w14:textId="5EF26EAA">
      <w:pPr>
        <w:autoSpaceDE w:val="0"/>
        <w:autoSpaceDN w:val="0"/>
        <w:adjustRightInd w:val="0"/>
        <w:spacing w:after="0" w:line="240" w:lineRule="auto"/>
        <w:rPr>
          <w:rFonts w:ascii="Times New Roman" w:eastAsia="Times New Roman" w:hAnsi="Times New Roman" w:cs="Times New Roman"/>
          <w:sz w:val="24"/>
          <w:szCs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350"/>
        <w:gridCol w:w="1260"/>
        <w:gridCol w:w="1298"/>
        <w:gridCol w:w="1383"/>
        <w:gridCol w:w="1724"/>
      </w:tblGrid>
      <w:tr w14:paraId="4B8019B1" w14:textId="77777777" w:rsidTr="00111C22">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91"/>
          <w:tblHeader/>
          <w:jc w:val="right"/>
        </w:trPr>
        <w:tc>
          <w:tcPr>
            <w:tcW w:w="936" w:type="pct"/>
            <w:shd w:val="clear" w:color="auto" w:fill="D9D9D9"/>
          </w:tcPr>
          <w:p w:rsidR="00F46263" w:rsidRPr="001952D9" w:rsidP="00707168" w14:paraId="3A5FA5FE" w14:textId="77777777">
            <w:pPr>
              <w:jc w:val="center"/>
              <w:rPr>
                <w:rFonts w:eastAsia="Calibri"/>
                <w:b/>
                <w:sz w:val="20"/>
                <w:szCs w:val="20"/>
              </w:rPr>
            </w:pPr>
          </w:p>
        </w:tc>
        <w:tc>
          <w:tcPr>
            <w:tcW w:w="782" w:type="pct"/>
            <w:shd w:val="clear" w:color="auto" w:fill="D9D9D9"/>
            <w:vAlign w:val="center"/>
          </w:tcPr>
          <w:p w:rsidR="00F46263" w:rsidRPr="00F46263" w:rsidP="008A0D59" w14:paraId="026FDEF1"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No. of Respondents</w:t>
            </w:r>
          </w:p>
          <w:p w:rsidR="00F46263" w:rsidRPr="00F46263" w:rsidP="008A0D59" w14:paraId="18C8699E"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(1)</w:t>
            </w:r>
          </w:p>
        </w:tc>
        <w:tc>
          <w:tcPr>
            <w:tcW w:w="730" w:type="pct"/>
            <w:shd w:val="clear" w:color="auto" w:fill="D9D9D9"/>
            <w:vAlign w:val="center"/>
          </w:tcPr>
          <w:p w:rsidR="00F46263" w:rsidRPr="00F46263" w:rsidP="008A0D59" w14:paraId="5B88905D"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No. of Responses</w:t>
            </w:r>
            <w:r>
              <w:rPr>
                <w:rStyle w:val="FootnoteReference"/>
                <w:rFonts w:eastAsia="Calibri" w:cs="Times New Roman"/>
                <w:sz w:val="20"/>
                <w:szCs w:val="20"/>
              </w:rPr>
              <w:footnoteReference w:id="18"/>
            </w:r>
            <w:r w:rsidRPr="00F46263">
              <w:rPr>
                <w:rFonts w:ascii="Times New Roman" w:eastAsia="Calibri" w:hAnsi="Times New Roman" w:cs="Times New Roman"/>
                <w:b/>
                <w:sz w:val="20"/>
                <w:szCs w:val="20"/>
              </w:rPr>
              <w:t xml:space="preserve"> per Respondent</w:t>
            </w:r>
          </w:p>
          <w:p w:rsidR="00F46263" w:rsidRPr="00F46263" w:rsidP="008A0D59" w14:paraId="211738F2"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(2)</w:t>
            </w:r>
          </w:p>
        </w:tc>
        <w:tc>
          <w:tcPr>
            <w:tcW w:w="752" w:type="pct"/>
            <w:shd w:val="clear" w:color="auto" w:fill="D9D9D9"/>
            <w:vAlign w:val="center"/>
          </w:tcPr>
          <w:p w:rsidR="00F46263" w:rsidRPr="00F46263" w:rsidP="008A0D59" w14:paraId="12F06ABE"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Total No. of Responses</w:t>
            </w:r>
          </w:p>
          <w:p w:rsidR="00F46263" w:rsidRPr="00F46263" w:rsidP="008A0D59" w14:paraId="2C3BB1CC"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(1)X(2)=(3)</w:t>
            </w:r>
          </w:p>
        </w:tc>
        <w:tc>
          <w:tcPr>
            <w:tcW w:w="801" w:type="pct"/>
            <w:shd w:val="clear" w:color="auto" w:fill="D9D9D9"/>
            <w:vAlign w:val="center"/>
          </w:tcPr>
          <w:p w:rsidR="00F46263" w:rsidRPr="00F46263" w:rsidP="008A0D59" w14:paraId="0920B07C"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Avg. Burden Hrs. &amp; Cost Per Response</w:t>
            </w:r>
            <w:r>
              <w:rPr>
                <w:rFonts w:ascii="Times New Roman" w:eastAsia="Calibri" w:hAnsi="Times New Roman" w:cs="Times New Roman"/>
                <w:b/>
                <w:sz w:val="20"/>
                <w:szCs w:val="20"/>
                <w:vertAlign w:val="superscript"/>
              </w:rPr>
              <w:footnoteReference w:id="19"/>
            </w:r>
          </w:p>
          <w:p w:rsidR="00F46263" w:rsidRPr="00F46263" w:rsidP="008A0D59" w14:paraId="461F4290" w14:textId="77777777">
            <w:pPr>
              <w:spacing w:after="0" w:line="240" w:lineRule="auto"/>
              <w:jc w:val="center"/>
              <w:rPr>
                <w:rFonts w:ascii="Times New Roman" w:eastAsia="Calibri" w:hAnsi="Times New Roman" w:cs="Times New Roman"/>
                <w:b/>
                <w:sz w:val="20"/>
                <w:szCs w:val="20"/>
              </w:rPr>
            </w:pPr>
          </w:p>
          <w:p w:rsidR="00F46263" w:rsidRPr="00F46263" w:rsidP="008A0D59" w14:paraId="38496D06"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(4)</w:t>
            </w:r>
          </w:p>
        </w:tc>
        <w:tc>
          <w:tcPr>
            <w:tcW w:w="999" w:type="pct"/>
            <w:shd w:val="clear" w:color="auto" w:fill="D9D9D9"/>
            <w:vAlign w:val="center"/>
          </w:tcPr>
          <w:p w:rsidR="00F46263" w:rsidRPr="00F46263" w:rsidP="008A0D59" w14:paraId="73E8496E"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Total Annual Burden Hours &amp; Total Annual Cost</w:t>
            </w:r>
          </w:p>
          <w:p w:rsidR="00F46263" w:rsidRPr="00F46263" w:rsidP="008A0D59" w14:paraId="31560164" w14:textId="77777777">
            <w:pPr>
              <w:spacing w:after="0" w:line="240" w:lineRule="auto"/>
              <w:jc w:val="center"/>
              <w:rPr>
                <w:rFonts w:ascii="Times New Roman" w:eastAsia="Calibri" w:hAnsi="Times New Roman" w:cs="Times New Roman"/>
                <w:b/>
                <w:sz w:val="20"/>
                <w:szCs w:val="20"/>
              </w:rPr>
            </w:pPr>
            <w:r w:rsidRPr="00F46263">
              <w:rPr>
                <w:rFonts w:ascii="Times New Roman" w:eastAsia="Calibri" w:hAnsi="Times New Roman" w:cs="Times New Roman"/>
                <w:b/>
                <w:sz w:val="20"/>
                <w:szCs w:val="20"/>
              </w:rPr>
              <w:t>(3)X(4)=5</w:t>
            </w:r>
          </w:p>
        </w:tc>
      </w:tr>
      <w:tr w14:paraId="62ECFB27" w14:textId="77777777" w:rsidTr="00111C22">
        <w:tblPrEx>
          <w:tblW w:w="5000" w:type="pct"/>
          <w:jc w:val="right"/>
          <w:tblLayout w:type="fixed"/>
          <w:tblLook w:val="01E0"/>
        </w:tblPrEx>
        <w:trPr>
          <w:cantSplit/>
          <w:trHeight w:val="241"/>
          <w:jc w:val="right"/>
        </w:trPr>
        <w:tc>
          <w:tcPr>
            <w:tcW w:w="936" w:type="pct"/>
          </w:tcPr>
          <w:p w:rsidR="00F46263" w:rsidP="00707168" w14:paraId="0C667644" w14:textId="77777777">
            <w:pPr>
              <w:rPr>
                <w:rFonts w:eastAsia="Calibri"/>
                <w:sz w:val="20"/>
                <w:szCs w:val="20"/>
              </w:rPr>
            </w:pPr>
          </w:p>
        </w:tc>
        <w:tc>
          <w:tcPr>
            <w:tcW w:w="782" w:type="pct"/>
            <w:vAlign w:val="bottom"/>
          </w:tcPr>
          <w:p w:rsidR="00F46263" w:rsidRPr="00F46263" w:rsidP="00707168" w14:paraId="51D3D5CF" w14:textId="77777777">
            <w:pPr>
              <w:jc w:val="right"/>
              <w:rPr>
                <w:rFonts w:ascii="Times New Roman" w:eastAsia="Calibri" w:hAnsi="Times New Roman" w:cs="Times New Roman"/>
                <w:sz w:val="20"/>
                <w:szCs w:val="20"/>
              </w:rPr>
            </w:pPr>
          </w:p>
        </w:tc>
        <w:tc>
          <w:tcPr>
            <w:tcW w:w="730" w:type="pct"/>
            <w:vAlign w:val="bottom"/>
          </w:tcPr>
          <w:p w:rsidR="00F46263" w:rsidRPr="00F46263" w:rsidP="00707168" w14:paraId="46BE4E80" w14:textId="77777777">
            <w:pPr>
              <w:jc w:val="right"/>
              <w:rPr>
                <w:rFonts w:ascii="Times New Roman" w:eastAsia="Calibri" w:hAnsi="Times New Roman" w:cs="Times New Roman"/>
                <w:sz w:val="20"/>
                <w:szCs w:val="20"/>
              </w:rPr>
            </w:pPr>
          </w:p>
        </w:tc>
        <w:tc>
          <w:tcPr>
            <w:tcW w:w="752" w:type="pct"/>
            <w:vAlign w:val="bottom"/>
          </w:tcPr>
          <w:p w:rsidR="00F46263" w:rsidRPr="00F46263" w:rsidP="00707168" w14:paraId="0DD65859" w14:textId="77777777">
            <w:pPr>
              <w:jc w:val="right"/>
              <w:rPr>
                <w:rFonts w:ascii="Times New Roman" w:eastAsia="Calibri" w:hAnsi="Times New Roman" w:cs="Times New Roman"/>
                <w:sz w:val="20"/>
                <w:szCs w:val="20"/>
              </w:rPr>
            </w:pPr>
          </w:p>
        </w:tc>
        <w:tc>
          <w:tcPr>
            <w:tcW w:w="801" w:type="pct"/>
            <w:vAlign w:val="bottom"/>
          </w:tcPr>
          <w:p w:rsidR="00F46263" w:rsidRPr="00F46263" w:rsidP="00707168" w14:paraId="73080B9F" w14:textId="77777777">
            <w:pPr>
              <w:jc w:val="right"/>
              <w:rPr>
                <w:rFonts w:ascii="Times New Roman" w:eastAsia="Calibri" w:hAnsi="Times New Roman" w:cs="Times New Roman"/>
                <w:sz w:val="20"/>
                <w:szCs w:val="20"/>
              </w:rPr>
            </w:pPr>
          </w:p>
        </w:tc>
        <w:tc>
          <w:tcPr>
            <w:tcW w:w="999" w:type="pct"/>
            <w:vAlign w:val="bottom"/>
          </w:tcPr>
          <w:p w:rsidR="00F46263" w:rsidRPr="00F46263" w:rsidP="00707168" w14:paraId="16B2C2EF" w14:textId="77777777">
            <w:pPr>
              <w:jc w:val="right"/>
              <w:rPr>
                <w:rFonts w:ascii="Times New Roman" w:eastAsia="Calibri" w:hAnsi="Times New Roman" w:cs="Times New Roman"/>
                <w:sz w:val="20"/>
                <w:szCs w:val="20"/>
              </w:rPr>
            </w:pPr>
          </w:p>
        </w:tc>
      </w:tr>
      <w:tr w14:paraId="1E8CB0ED" w14:textId="77777777" w:rsidTr="00707168">
        <w:tblPrEx>
          <w:tblW w:w="5000" w:type="pct"/>
          <w:jc w:val="right"/>
          <w:tblLayout w:type="fixed"/>
          <w:tblLook w:val="01E0"/>
        </w:tblPrEx>
        <w:trPr>
          <w:cantSplit/>
          <w:trHeight w:val="224"/>
          <w:jc w:val="right"/>
        </w:trPr>
        <w:tc>
          <w:tcPr>
            <w:tcW w:w="5000" w:type="pct"/>
            <w:gridSpan w:val="6"/>
            <w:shd w:val="clear" w:color="auto" w:fill="D9D9D9" w:themeFill="background1" w:themeFillShade="D9"/>
          </w:tcPr>
          <w:p w:rsidR="00F46263" w:rsidRPr="00F46263" w:rsidP="00707168" w14:paraId="386BE714" w14:textId="2FBE9DA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Previously Approved </w:t>
            </w:r>
            <w:r w:rsidRPr="00F46263" w:rsidR="007243F7">
              <w:rPr>
                <w:rFonts w:ascii="Times New Roman" w:eastAsia="Calibri" w:hAnsi="Times New Roman" w:cs="Times New Roman"/>
                <w:b/>
                <w:bCs/>
                <w:sz w:val="20"/>
                <w:szCs w:val="20"/>
              </w:rPr>
              <w:t>FERC 729 Collection</w:t>
            </w:r>
          </w:p>
        </w:tc>
      </w:tr>
      <w:tr w14:paraId="4A6AD267" w14:textId="77777777" w:rsidTr="00A820B0">
        <w:tblPrEx>
          <w:tblW w:w="5000" w:type="pct"/>
          <w:jc w:val="right"/>
          <w:tblLayout w:type="fixed"/>
          <w:tblLook w:val="01E0"/>
        </w:tblPrEx>
        <w:trPr>
          <w:cantSplit/>
          <w:trHeight w:val="241"/>
          <w:jc w:val="right"/>
        </w:trPr>
        <w:tc>
          <w:tcPr>
            <w:tcW w:w="936" w:type="pct"/>
            <w:vAlign w:val="bottom"/>
          </w:tcPr>
          <w:p w:rsidR="00F46263" w:rsidRPr="00F46263" w:rsidP="00F218AE" w14:paraId="166C3297" w14:textId="77777777">
            <w:pPr>
              <w:spacing w:after="0" w:line="240" w:lineRule="auto"/>
              <w:jc w:val="center"/>
              <w:rPr>
                <w:rFonts w:ascii="Times New Roman" w:eastAsia="Calibri" w:hAnsi="Times New Roman" w:cs="Times New Roman"/>
                <w:sz w:val="20"/>
                <w:szCs w:val="20"/>
              </w:rPr>
            </w:pPr>
            <w:r w:rsidRPr="00F46263">
              <w:rPr>
                <w:rFonts w:ascii="Times New Roman" w:eastAsia="Calibri" w:hAnsi="Times New Roman" w:cs="Times New Roman"/>
                <w:sz w:val="20"/>
                <w:szCs w:val="20"/>
              </w:rPr>
              <w:t>FERC-729</w:t>
            </w:r>
          </w:p>
        </w:tc>
        <w:tc>
          <w:tcPr>
            <w:tcW w:w="782" w:type="pct"/>
            <w:vAlign w:val="bottom"/>
          </w:tcPr>
          <w:p w:rsidR="00F46263" w:rsidRPr="00F46263" w:rsidP="00A20850" w14:paraId="4FDD9110"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F46263" w:rsidRPr="00F46263" w:rsidP="00A20850" w14:paraId="0212F439"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F46263" w:rsidRPr="00F46263" w:rsidP="00A20850" w14:paraId="2C2FE748"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F46263" w:rsidRPr="00F46263" w:rsidP="00A20850" w14:paraId="44C86DF4"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9,600 hrs.</w:t>
            </w:r>
          </w:p>
          <w:p w:rsidR="00F46263" w:rsidRPr="00F46263" w:rsidP="00A20850" w14:paraId="582F0E58" w14:textId="1ED07EDC">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sidR="00761DBC">
              <w:rPr>
                <w:rFonts w:ascii="Times New Roman" w:eastAsia="Calibri" w:hAnsi="Times New Roman" w:cs="Times New Roman"/>
                <w:sz w:val="20"/>
                <w:szCs w:val="20"/>
              </w:rPr>
              <w:t>960,000</w:t>
            </w:r>
          </w:p>
        </w:tc>
        <w:tc>
          <w:tcPr>
            <w:tcW w:w="999" w:type="pct"/>
            <w:vAlign w:val="bottom"/>
          </w:tcPr>
          <w:p w:rsidR="00F46263" w:rsidRPr="00F46263" w:rsidP="00A20850" w14:paraId="2046249B"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9,600 hrs.</w:t>
            </w:r>
          </w:p>
          <w:p w:rsidR="00F46263" w:rsidRPr="00F46263" w:rsidP="00A20850" w14:paraId="3DF71198" w14:textId="7ECD316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sidR="00D07493">
              <w:rPr>
                <w:rFonts w:ascii="Times New Roman" w:eastAsia="Calibri" w:hAnsi="Times New Roman" w:cs="Times New Roman"/>
                <w:sz w:val="20"/>
                <w:szCs w:val="20"/>
              </w:rPr>
              <w:t>960,000</w:t>
            </w:r>
          </w:p>
        </w:tc>
      </w:tr>
      <w:tr w14:paraId="21F66750" w14:textId="77777777" w:rsidTr="00A20850">
        <w:tblPrEx>
          <w:tblW w:w="5000" w:type="pct"/>
          <w:jc w:val="right"/>
          <w:tblLayout w:type="fixed"/>
          <w:tblLook w:val="01E0"/>
        </w:tblPrEx>
        <w:trPr>
          <w:cantSplit/>
          <w:trHeight w:val="241"/>
          <w:jc w:val="right"/>
        </w:trPr>
        <w:tc>
          <w:tcPr>
            <w:tcW w:w="5000" w:type="pct"/>
            <w:gridSpan w:val="6"/>
            <w:shd w:val="clear" w:color="auto" w:fill="D9D9D9" w:themeFill="background1" w:themeFillShade="D9"/>
            <w:vAlign w:val="bottom"/>
          </w:tcPr>
          <w:p w:rsidR="00F46263" w:rsidRPr="00F46263" w:rsidP="00A20850" w14:paraId="7F169F9E" w14:textId="2A4D57D2">
            <w:pPr>
              <w:spacing w:after="0" w:line="240" w:lineRule="auto"/>
              <w:jc w:val="center"/>
              <w:rPr>
                <w:rFonts w:ascii="Times New Roman" w:eastAsia="Calibri" w:hAnsi="Times New Roman" w:cs="Times New Roman"/>
                <w:b/>
                <w:bCs/>
                <w:sz w:val="20"/>
                <w:szCs w:val="20"/>
              </w:rPr>
            </w:pPr>
            <w:r w:rsidRPr="00F46263">
              <w:rPr>
                <w:rFonts w:ascii="Times New Roman" w:eastAsia="Calibri" w:hAnsi="Times New Roman" w:cs="Times New Roman"/>
                <w:b/>
                <w:bCs/>
                <w:sz w:val="20"/>
                <w:szCs w:val="20"/>
              </w:rPr>
              <w:t>Revisions in RM22-7-000</w:t>
            </w:r>
          </w:p>
        </w:tc>
      </w:tr>
      <w:tr w14:paraId="64529AB7" w14:textId="77777777" w:rsidTr="00A820B0">
        <w:tblPrEx>
          <w:tblW w:w="5000" w:type="pct"/>
          <w:jc w:val="right"/>
          <w:tblLayout w:type="fixed"/>
          <w:tblLook w:val="01E0"/>
        </w:tblPrEx>
        <w:trPr>
          <w:cantSplit/>
          <w:trHeight w:val="241"/>
          <w:jc w:val="right"/>
        </w:trPr>
        <w:tc>
          <w:tcPr>
            <w:tcW w:w="936" w:type="pct"/>
            <w:vAlign w:val="bottom"/>
          </w:tcPr>
          <w:p w:rsidR="00F46263" w:rsidRPr="00F46263" w:rsidP="00C31237" w14:paraId="04E625BB"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Applicant Code of Conduct</w:t>
            </w:r>
            <w:r>
              <w:rPr>
                <w:rStyle w:val="FootnoteReference"/>
                <w:rFonts w:eastAsia="Calibri" w:cs="Times New Roman"/>
                <w:sz w:val="20"/>
                <w:szCs w:val="20"/>
              </w:rPr>
              <w:footnoteReference w:id="20"/>
            </w:r>
          </w:p>
        </w:tc>
        <w:tc>
          <w:tcPr>
            <w:tcW w:w="782" w:type="pct"/>
            <w:vAlign w:val="bottom"/>
          </w:tcPr>
          <w:p w:rsidR="00F46263" w:rsidRPr="00F46263" w:rsidP="00A20850" w14:paraId="0C423D38" w14:textId="77777777">
            <w:pPr>
              <w:spacing w:after="0" w:line="240" w:lineRule="auto"/>
              <w:jc w:val="right"/>
              <w:rPr>
                <w:rFonts w:ascii="Times New Roman" w:eastAsia="Calibri" w:hAnsi="Times New Roman" w:cs="Times New Roman"/>
                <w:sz w:val="20"/>
                <w:szCs w:val="20"/>
                <w:highlight w:val="yellow"/>
              </w:rPr>
            </w:pPr>
            <w:r w:rsidRPr="00F46263">
              <w:rPr>
                <w:rFonts w:ascii="Times New Roman" w:eastAsia="Calibri" w:hAnsi="Times New Roman" w:cs="Times New Roman"/>
                <w:sz w:val="20"/>
                <w:szCs w:val="20"/>
              </w:rPr>
              <w:t>1</w:t>
            </w:r>
            <w:r>
              <w:rPr>
                <w:rStyle w:val="FootnoteReference"/>
                <w:rFonts w:eastAsia="Calibri" w:cs="Times New Roman"/>
                <w:sz w:val="20"/>
                <w:szCs w:val="20"/>
              </w:rPr>
              <w:footnoteReference w:id="21"/>
            </w:r>
          </w:p>
        </w:tc>
        <w:tc>
          <w:tcPr>
            <w:tcW w:w="730" w:type="pct"/>
            <w:vAlign w:val="bottom"/>
          </w:tcPr>
          <w:p w:rsidR="00F46263" w:rsidRPr="00F46263" w:rsidP="00A20850" w14:paraId="64334F5B"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F46263" w:rsidRPr="00F46263" w:rsidP="00A20850" w14:paraId="1F7830E0"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F46263" w:rsidRPr="00F46263" w:rsidP="00A20850" w14:paraId="60F7BA8B" w14:textId="617C0DA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6471BD">
              <w:rPr>
                <w:rFonts w:ascii="Times New Roman" w:eastAsia="Calibri" w:hAnsi="Times New Roman" w:cs="Times New Roman"/>
                <w:sz w:val="20"/>
                <w:szCs w:val="20"/>
              </w:rPr>
              <w:t>60</w:t>
            </w:r>
            <w:r w:rsidRPr="00F46263">
              <w:rPr>
                <w:rFonts w:ascii="Times New Roman" w:eastAsia="Calibri" w:hAnsi="Times New Roman" w:cs="Times New Roman"/>
                <w:sz w:val="20"/>
                <w:szCs w:val="20"/>
              </w:rPr>
              <w:t xml:space="preserve"> hrs</w:t>
            </w:r>
            <w:r w:rsidR="00CD1763">
              <w:rPr>
                <w:rFonts w:ascii="Times New Roman" w:eastAsia="Calibri" w:hAnsi="Times New Roman" w:cs="Times New Roman"/>
                <w:sz w:val="20"/>
                <w:szCs w:val="20"/>
              </w:rPr>
              <w:t>.</w:t>
            </w:r>
            <w:r w:rsidRPr="00F46263">
              <w:rPr>
                <w:rFonts w:ascii="Times New Roman" w:eastAsia="Calibri" w:hAnsi="Times New Roman" w:cs="Times New Roman"/>
                <w:sz w:val="20"/>
                <w:szCs w:val="20"/>
              </w:rPr>
              <w:t>;</w:t>
            </w:r>
          </w:p>
          <w:p w:rsidR="00F46263" w:rsidRPr="00F46263" w:rsidP="00A20850" w14:paraId="1ABC570A" w14:textId="6CA5C4ED">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sidR="00D07493">
              <w:rPr>
                <w:rFonts w:ascii="Times New Roman" w:eastAsia="Calibri" w:hAnsi="Times New Roman" w:cs="Times New Roman"/>
                <w:sz w:val="20"/>
                <w:szCs w:val="20"/>
              </w:rPr>
              <w:t>1</w:t>
            </w:r>
            <w:r w:rsidR="006471BD">
              <w:rPr>
                <w:rFonts w:ascii="Times New Roman" w:eastAsia="Calibri" w:hAnsi="Times New Roman" w:cs="Times New Roman"/>
                <w:sz w:val="20"/>
                <w:szCs w:val="20"/>
              </w:rPr>
              <w:t>6</w:t>
            </w:r>
            <w:r w:rsidR="00D2766C">
              <w:rPr>
                <w:rFonts w:ascii="Times New Roman" w:eastAsia="Calibri" w:hAnsi="Times New Roman" w:cs="Times New Roman"/>
                <w:sz w:val="20"/>
                <w:szCs w:val="20"/>
              </w:rPr>
              <w:t>,</w:t>
            </w:r>
            <w:r w:rsidR="006471BD">
              <w:rPr>
                <w:rFonts w:ascii="Times New Roman" w:eastAsia="Calibri" w:hAnsi="Times New Roman" w:cs="Times New Roman"/>
                <w:sz w:val="20"/>
                <w:szCs w:val="20"/>
              </w:rPr>
              <w:t>0</w:t>
            </w:r>
            <w:r w:rsidR="00D07493">
              <w:rPr>
                <w:rFonts w:ascii="Times New Roman" w:eastAsia="Calibri" w:hAnsi="Times New Roman" w:cs="Times New Roman"/>
                <w:sz w:val="20"/>
                <w:szCs w:val="20"/>
              </w:rPr>
              <w:t>00</w:t>
            </w:r>
          </w:p>
        </w:tc>
        <w:tc>
          <w:tcPr>
            <w:tcW w:w="999" w:type="pct"/>
            <w:vAlign w:val="bottom"/>
          </w:tcPr>
          <w:p w:rsidR="00F46263" w:rsidRPr="00F46263" w:rsidP="00A20850" w14:paraId="4663EDBA" w14:textId="2E80B59B">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6471BD">
              <w:rPr>
                <w:rFonts w:ascii="Times New Roman" w:eastAsia="Calibri" w:hAnsi="Times New Roman" w:cs="Times New Roman"/>
                <w:sz w:val="20"/>
                <w:szCs w:val="20"/>
              </w:rPr>
              <w:t>60</w:t>
            </w:r>
            <w:r w:rsidRPr="00F46263">
              <w:rPr>
                <w:rFonts w:ascii="Times New Roman" w:eastAsia="Calibri" w:hAnsi="Times New Roman" w:cs="Times New Roman"/>
                <w:sz w:val="20"/>
                <w:szCs w:val="20"/>
              </w:rPr>
              <w:t xml:space="preserve"> hrs.;</w:t>
            </w:r>
          </w:p>
          <w:p w:rsidR="00F46263" w:rsidRPr="00F46263" w:rsidP="00A20850" w14:paraId="02A3E346" w14:textId="61851623">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6471BD">
              <w:rPr>
                <w:rFonts w:ascii="Times New Roman" w:eastAsia="Calibri" w:hAnsi="Times New Roman" w:cs="Times New Roman"/>
                <w:sz w:val="20"/>
                <w:szCs w:val="20"/>
              </w:rPr>
              <w:t>6</w:t>
            </w:r>
            <w:r w:rsidR="00D2766C">
              <w:rPr>
                <w:rFonts w:ascii="Times New Roman" w:eastAsia="Calibri" w:hAnsi="Times New Roman" w:cs="Times New Roman"/>
                <w:sz w:val="20"/>
                <w:szCs w:val="20"/>
              </w:rPr>
              <w:t>,</w:t>
            </w:r>
            <w:r w:rsidR="006471BD">
              <w:rPr>
                <w:rFonts w:ascii="Times New Roman" w:eastAsia="Calibri" w:hAnsi="Times New Roman" w:cs="Times New Roman"/>
                <w:sz w:val="20"/>
                <w:szCs w:val="20"/>
              </w:rPr>
              <w:t>0</w:t>
            </w:r>
            <w:r w:rsidR="00D2766C">
              <w:rPr>
                <w:rFonts w:ascii="Times New Roman" w:eastAsia="Calibri" w:hAnsi="Times New Roman" w:cs="Times New Roman"/>
                <w:sz w:val="20"/>
                <w:szCs w:val="20"/>
              </w:rPr>
              <w:t>00</w:t>
            </w:r>
          </w:p>
        </w:tc>
      </w:tr>
      <w:tr w14:paraId="67D3DCAD" w14:textId="77777777" w:rsidTr="00A820B0">
        <w:tblPrEx>
          <w:tblW w:w="5000" w:type="pct"/>
          <w:jc w:val="right"/>
          <w:tblLayout w:type="fixed"/>
          <w:tblLook w:val="01E0"/>
        </w:tblPrEx>
        <w:trPr>
          <w:cantSplit/>
          <w:trHeight w:val="179"/>
          <w:jc w:val="right"/>
        </w:trPr>
        <w:tc>
          <w:tcPr>
            <w:tcW w:w="936" w:type="pct"/>
            <w:vAlign w:val="bottom"/>
          </w:tcPr>
          <w:p w:rsidR="00F46263" w:rsidRPr="00F46263" w:rsidP="00C31237" w14:paraId="500657B7"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Environmental Justice Public Engagement Plan</w:t>
            </w:r>
          </w:p>
        </w:tc>
        <w:tc>
          <w:tcPr>
            <w:tcW w:w="782" w:type="pct"/>
            <w:vAlign w:val="bottom"/>
          </w:tcPr>
          <w:p w:rsidR="00F46263" w:rsidRPr="00F46263" w:rsidP="00A20850" w14:paraId="1E5FF447"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F46263" w:rsidRPr="00F46263" w:rsidP="00A20850" w14:paraId="622B17BD"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F46263" w:rsidRPr="00F46263" w:rsidP="00A20850" w14:paraId="2A3AA699"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F46263" w:rsidRPr="00F46263" w:rsidP="00A20850" w14:paraId="2715F581"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24 hrs.;</w:t>
            </w:r>
          </w:p>
          <w:p w:rsidR="00F46263" w:rsidRPr="00F46263" w:rsidP="00A20850" w14:paraId="10781901" w14:textId="21B21140">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sidR="00D2766C">
              <w:rPr>
                <w:rFonts w:ascii="Times New Roman" w:eastAsia="Calibri" w:hAnsi="Times New Roman" w:cs="Times New Roman"/>
                <w:sz w:val="20"/>
                <w:szCs w:val="20"/>
              </w:rPr>
              <w:t>400</w:t>
            </w:r>
          </w:p>
        </w:tc>
        <w:tc>
          <w:tcPr>
            <w:tcW w:w="999" w:type="pct"/>
            <w:vAlign w:val="bottom"/>
          </w:tcPr>
          <w:p w:rsidR="00F46263" w:rsidRPr="00F46263" w:rsidP="00A20850" w14:paraId="6A63E53F"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24 hrs.;</w:t>
            </w:r>
          </w:p>
          <w:p w:rsidR="00F46263" w:rsidRPr="00F46263" w:rsidP="00A20850" w14:paraId="155E9055" w14:textId="14708E8D">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sidR="00D2766C">
              <w:rPr>
                <w:rFonts w:ascii="Times New Roman" w:eastAsia="Calibri" w:hAnsi="Times New Roman" w:cs="Times New Roman"/>
                <w:sz w:val="20"/>
                <w:szCs w:val="20"/>
              </w:rPr>
              <w:t>,400</w:t>
            </w:r>
          </w:p>
        </w:tc>
      </w:tr>
      <w:tr w14:paraId="1AF0C571" w14:textId="77777777" w:rsidTr="00C31237">
        <w:tblPrEx>
          <w:tblW w:w="5000" w:type="pct"/>
          <w:jc w:val="right"/>
          <w:tblLayout w:type="fixed"/>
          <w:tblLook w:val="01E0"/>
        </w:tblPrEx>
        <w:trPr>
          <w:cantSplit/>
          <w:trHeight w:val="179"/>
          <w:jc w:val="right"/>
        </w:trPr>
        <w:tc>
          <w:tcPr>
            <w:tcW w:w="936" w:type="pct"/>
          </w:tcPr>
          <w:p w:rsidR="00B806FF" w:rsidRPr="00B806FF" w:rsidP="00C31237" w14:paraId="5A395952" w14:textId="1AD6CF97">
            <w:pPr>
              <w:spacing w:after="0" w:line="240" w:lineRule="auto"/>
              <w:rPr>
                <w:rFonts w:ascii="Times New Roman" w:eastAsia="Calibri" w:hAnsi="Times New Roman" w:cs="Times New Roman"/>
                <w:sz w:val="20"/>
                <w:szCs w:val="20"/>
              </w:rPr>
            </w:pPr>
            <w:r w:rsidRPr="00C31237">
              <w:rPr>
                <w:rFonts w:ascii="Times New Roman" w:eastAsia="Cambria" w:hAnsi="Times New Roman" w:cs="Times New Roman"/>
                <w:sz w:val="20"/>
                <w:szCs w:val="20"/>
              </w:rPr>
              <w:t>Tribal Engagement Plan</w:t>
            </w:r>
          </w:p>
        </w:tc>
        <w:tc>
          <w:tcPr>
            <w:tcW w:w="782" w:type="pct"/>
            <w:vAlign w:val="bottom"/>
          </w:tcPr>
          <w:p w:rsidR="00B806FF" w:rsidRPr="00B806FF" w:rsidP="00B806FF" w14:paraId="65249759" w14:textId="3DE6860F">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730" w:type="pct"/>
            <w:vAlign w:val="bottom"/>
          </w:tcPr>
          <w:p w:rsidR="00B806FF" w:rsidRPr="00B806FF" w:rsidP="00B806FF" w14:paraId="47CF1523" w14:textId="4FB1BBC0">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752" w:type="pct"/>
            <w:vAlign w:val="bottom"/>
          </w:tcPr>
          <w:p w:rsidR="00B806FF" w:rsidRPr="00B806FF" w:rsidP="00B806FF" w14:paraId="6E6AB774" w14:textId="707C8778">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801" w:type="pct"/>
            <w:vAlign w:val="bottom"/>
          </w:tcPr>
          <w:p w:rsidR="007F467A" w:rsidRPr="00F46263" w:rsidP="007F467A" w14:paraId="74CED242"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24 hrs.;</w:t>
            </w:r>
          </w:p>
          <w:p w:rsidR="00B806FF" w:rsidRPr="00B806FF" w:rsidP="007F467A" w14:paraId="0F0CD1E2" w14:textId="3D652E7B">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400</w:t>
            </w:r>
          </w:p>
        </w:tc>
        <w:tc>
          <w:tcPr>
            <w:tcW w:w="999" w:type="pct"/>
            <w:vAlign w:val="bottom"/>
          </w:tcPr>
          <w:p w:rsidR="007F467A" w:rsidRPr="00F46263" w:rsidP="007F467A" w14:paraId="512BEE47"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24 hrs.;</w:t>
            </w:r>
          </w:p>
          <w:p w:rsidR="00B806FF" w:rsidRPr="00B806FF" w:rsidP="007F467A" w14:paraId="79DC7E93" w14:textId="1D60FC0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400</w:t>
            </w:r>
          </w:p>
        </w:tc>
      </w:tr>
      <w:tr w14:paraId="4659C2EF" w14:textId="77777777" w:rsidTr="00C31237">
        <w:tblPrEx>
          <w:tblW w:w="5000" w:type="pct"/>
          <w:jc w:val="right"/>
          <w:tblLayout w:type="fixed"/>
          <w:tblLook w:val="01E0"/>
        </w:tblPrEx>
        <w:trPr>
          <w:cantSplit/>
          <w:trHeight w:val="179"/>
          <w:jc w:val="right"/>
        </w:trPr>
        <w:tc>
          <w:tcPr>
            <w:tcW w:w="936" w:type="pct"/>
          </w:tcPr>
          <w:p w:rsidR="00B769AA" w:rsidRPr="00B769AA" w:rsidP="00C31237" w14:paraId="713EBF85" w14:textId="56C0CFD1">
            <w:pPr>
              <w:spacing w:after="0" w:line="240" w:lineRule="auto"/>
              <w:rPr>
                <w:rFonts w:ascii="Times New Roman" w:eastAsia="Calibri" w:hAnsi="Times New Roman" w:cs="Times New Roman"/>
                <w:sz w:val="20"/>
                <w:szCs w:val="20"/>
              </w:rPr>
            </w:pPr>
            <w:r w:rsidRPr="00C31237">
              <w:rPr>
                <w:rFonts w:ascii="Times New Roman" w:eastAsia="Cambria" w:hAnsi="Times New Roman" w:cs="Times New Roman"/>
                <w:sz w:val="20"/>
                <w:szCs w:val="20"/>
              </w:rPr>
              <w:t>Project Notification Requirements</w:t>
            </w:r>
            <w:r>
              <w:rPr>
                <w:rStyle w:val="FootnoteReference"/>
                <w:rFonts w:eastAsia="Cambria" w:cs="Times New Roman"/>
                <w:sz w:val="20"/>
                <w:szCs w:val="20"/>
              </w:rPr>
              <w:footnoteReference w:id="22"/>
            </w:r>
          </w:p>
        </w:tc>
        <w:tc>
          <w:tcPr>
            <w:tcW w:w="782" w:type="pct"/>
            <w:vAlign w:val="bottom"/>
          </w:tcPr>
          <w:p w:rsidR="00B769AA" w:rsidRPr="00B769AA" w:rsidP="00B769AA" w14:paraId="0F4635F3" w14:textId="720C3D02">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730" w:type="pct"/>
            <w:vAlign w:val="bottom"/>
          </w:tcPr>
          <w:p w:rsidR="00B769AA" w:rsidRPr="00B769AA" w:rsidP="00B769AA" w14:paraId="13905CA8" w14:textId="5A8D62E5">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752" w:type="pct"/>
            <w:vAlign w:val="bottom"/>
          </w:tcPr>
          <w:p w:rsidR="00B769AA" w:rsidRPr="00B769AA" w:rsidP="00B769AA" w14:paraId="243F6769" w14:textId="7D17DE0E">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w:t>
            </w:r>
          </w:p>
        </w:tc>
        <w:tc>
          <w:tcPr>
            <w:tcW w:w="801" w:type="pct"/>
            <w:vAlign w:val="bottom"/>
          </w:tcPr>
          <w:p w:rsidR="001C07D8" w:rsidP="00B769AA" w14:paraId="503F1525" w14:textId="52CEC2E8">
            <w:pPr>
              <w:spacing w:after="0" w:line="240" w:lineRule="auto"/>
              <w:jc w:val="right"/>
              <w:rPr>
                <w:rFonts w:ascii="Times New Roman" w:eastAsia="Cambria" w:hAnsi="Times New Roman" w:cs="Times New Roman"/>
                <w:sz w:val="20"/>
                <w:szCs w:val="20"/>
              </w:rPr>
            </w:pPr>
            <w:r>
              <w:rPr>
                <w:rFonts w:ascii="Times New Roman" w:eastAsia="Cambria" w:hAnsi="Times New Roman" w:cs="Times New Roman"/>
                <w:sz w:val="20"/>
                <w:szCs w:val="20"/>
              </w:rPr>
              <w:t>144 hrs.;</w:t>
            </w:r>
          </w:p>
          <w:p w:rsidR="00B769AA" w:rsidRPr="00B769AA" w:rsidP="00B769AA" w14:paraId="2F6EDA79" w14:textId="4BC14349">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$14,400</w:t>
            </w:r>
          </w:p>
        </w:tc>
        <w:tc>
          <w:tcPr>
            <w:tcW w:w="999" w:type="pct"/>
            <w:vAlign w:val="bottom"/>
          </w:tcPr>
          <w:p w:rsidR="00020505" w:rsidP="00B769AA" w14:paraId="0A8D355D" w14:textId="77777777">
            <w:pPr>
              <w:spacing w:after="0" w:line="240" w:lineRule="auto"/>
              <w:jc w:val="right"/>
              <w:rPr>
                <w:rFonts w:ascii="Times New Roman" w:eastAsia="Cambria" w:hAnsi="Times New Roman" w:cs="Times New Roman"/>
                <w:sz w:val="20"/>
                <w:szCs w:val="20"/>
              </w:rPr>
            </w:pPr>
          </w:p>
          <w:p w:rsidR="00020505" w:rsidP="00020505" w14:paraId="32FFA4E6" w14:textId="7CDB84AA">
            <w:pPr>
              <w:spacing w:after="0" w:line="240" w:lineRule="auto"/>
              <w:jc w:val="right"/>
              <w:rPr>
                <w:rFonts w:ascii="Times New Roman" w:eastAsia="Cambria" w:hAnsi="Times New Roman" w:cs="Times New Roman"/>
                <w:sz w:val="20"/>
                <w:szCs w:val="20"/>
              </w:rPr>
            </w:pPr>
            <w:r>
              <w:rPr>
                <w:rFonts w:ascii="Times New Roman" w:eastAsia="Cambria" w:hAnsi="Times New Roman" w:cs="Times New Roman"/>
                <w:sz w:val="20"/>
                <w:szCs w:val="20"/>
              </w:rPr>
              <w:t>144 hrs.;</w:t>
            </w:r>
          </w:p>
          <w:p w:rsidR="00B769AA" w:rsidRPr="00B769AA" w:rsidP="00B769AA" w14:paraId="4AC017B1" w14:textId="30F2EF5F">
            <w:pPr>
              <w:spacing w:after="0" w:line="240" w:lineRule="auto"/>
              <w:jc w:val="right"/>
              <w:rPr>
                <w:rFonts w:ascii="Times New Roman" w:eastAsia="Calibri" w:hAnsi="Times New Roman" w:cs="Times New Roman"/>
                <w:sz w:val="20"/>
                <w:szCs w:val="20"/>
              </w:rPr>
            </w:pPr>
            <w:r w:rsidRPr="00C31237">
              <w:rPr>
                <w:rFonts w:ascii="Times New Roman" w:eastAsia="Cambria" w:hAnsi="Times New Roman" w:cs="Times New Roman"/>
                <w:sz w:val="20"/>
                <w:szCs w:val="20"/>
              </w:rPr>
              <w:t>$14,400</w:t>
            </w:r>
          </w:p>
        </w:tc>
      </w:tr>
      <w:tr w14:paraId="5F0F0C2F" w14:textId="77777777" w:rsidTr="00A820B0">
        <w:tblPrEx>
          <w:tblW w:w="5000" w:type="pct"/>
          <w:jc w:val="right"/>
          <w:tblLayout w:type="fixed"/>
          <w:tblLook w:val="01E0"/>
        </w:tblPrEx>
        <w:trPr>
          <w:cantSplit/>
          <w:trHeight w:val="179"/>
          <w:jc w:val="right"/>
        </w:trPr>
        <w:tc>
          <w:tcPr>
            <w:tcW w:w="936" w:type="pct"/>
            <w:vAlign w:val="bottom"/>
          </w:tcPr>
          <w:p w:rsidR="00B769AA" w:rsidRPr="00F46263" w:rsidP="00C31237" w14:paraId="45C5C3D8"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Congestion and System Analysis Data</w:t>
            </w:r>
            <w:r>
              <w:rPr>
                <w:rStyle w:val="FootnoteReference"/>
                <w:rFonts w:eastAsia="Calibri" w:cs="Times New Roman"/>
                <w:sz w:val="20"/>
                <w:szCs w:val="20"/>
              </w:rPr>
              <w:footnoteReference w:id="23"/>
            </w:r>
          </w:p>
        </w:tc>
        <w:tc>
          <w:tcPr>
            <w:tcW w:w="782" w:type="pct"/>
            <w:vAlign w:val="bottom"/>
          </w:tcPr>
          <w:p w:rsidR="00B769AA" w:rsidRPr="00F46263" w:rsidP="00B769AA" w14:paraId="4EF71DFE"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B769AA" w:rsidRPr="00F46263" w:rsidP="00B769AA" w14:paraId="79468205"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B769AA" w:rsidRPr="00F46263" w:rsidP="00B769AA" w14:paraId="20F6F779"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B769AA" w:rsidRPr="00F46263" w:rsidP="00B769AA" w14:paraId="3D80A7F6" w14:textId="49AF1FB2">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16</w:t>
            </w:r>
            <w:r>
              <w:rPr>
                <w:rFonts w:ascii="Times New Roman" w:eastAsia="Calibri" w:hAnsi="Times New Roman" w:cs="Times New Roman"/>
                <w:sz w:val="20"/>
                <w:szCs w:val="20"/>
              </w:rPr>
              <w:t>5</w:t>
            </w:r>
            <w:r w:rsidRPr="00F46263">
              <w:rPr>
                <w:rFonts w:ascii="Times New Roman" w:eastAsia="Calibri" w:hAnsi="Times New Roman" w:cs="Times New Roman"/>
                <w:sz w:val="20"/>
                <w:szCs w:val="20"/>
              </w:rPr>
              <w:t xml:space="preserve"> hrs.;</w:t>
            </w:r>
          </w:p>
          <w:p w:rsidR="00B769AA" w:rsidRPr="00F46263" w:rsidP="00B769AA" w14:paraId="0BB85B64" w14:textId="5E5FC77A">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Pr>
                <w:rFonts w:ascii="Times New Roman" w:eastAsia="Calibri" w:hAnsi="Times New Roman" w:cs="Times New Roman"/>
                <w:sz w:val="20"/>
                <w:szCs w:val="20"/>
              </w:rPr>
              <w:t>6,500</w:t>
            </w:r>
          </w:p>
        </w:tc>
        <w:tc>
          <w:tcPr>
            <w:tcW w:w="999" w:type="pct"/>
            <w:vAlign w:val="bottom"/>
          </w:tcPr>
          <w:p w:rsidR="00B769AA" w:rsidRPr="00F46263" w:rsidP="00B769AA" w14:paraId="3A96C8B2" w14:textId="1B748F08">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16</w:t>
            </w:r>
            <w:r>
              <w:rPr>
                <w:rFonts w:ascii="Times New Roman" w:eastAsia="Calibri" w:hAnsi="Times New Roman" w:cs="Times New Roman"/>
                <w:sz w:val="20"/>
                <w:szCs w:val="20"/>
              </w:rPr>
              <w:t>5</w:t>
            </w:r>
            <w:r w:rsidRPr="00F46263">
              <w:rPr>
                <w:rFonts w:ascii="Times New Roman" w:eastAsia="Calibri" w:hAnsi="Times New Roman" w:cs="Times New Roman"/>
                <w:sz w:val="20"/>
                <w:szCs w:val="20"/>
              </w:rPr>
              <w:t xml:space="preserve"> hrs.;</w:t>
            </w:r>
          </w:p>
          <w:p w:rsidR="00B769AA" w:rsidRPr="00F46263" w:rsidP="00B769AA" w14:paraId="459E2570" w14:textId="619FD51C">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Pr>
                <w:rFonts w:ascii="Times New Roman" w:eastAsia="Calibri" w:hAnsi="Times New Roman" w:cs="Times New Roman"/>
                <w:sz w:val="20"/>
                <w:szCs w:val="20"/>
              </w:rPr>
              <w:t>6,500</w:t>
            </w:r>
          </w:p>
        </w:tc>
      </w:tr>
      <w:tr w14:paraId="5CFBBF14" w14:textId="77777777" w:rsidTr="00A820B0">
        <w:tblPrEx>
          <w:tblW w:w="5000" w:type="pct"/>
          <w:jc w:val="right"/>
          <w:tblLayout w:type="fixed"/>
          <w:tblLook w:val="01E0"/>
        </w:tblPrEx>
        <w:trPr>
          <w:cantSplit/>
          <w:trHeight w:val="179"/>
          <w:jc w:val="right"/>
        </w:trPr>
        <w:tc>
          <w:tcPr>
            <w:tcW w:w="936" w:type="pct"/>
            <w:vAlign w:val="bottom"/>
          </w:tcPr>
          <w:p w:rsidR="00B769AA" w:rsidRPr="00F46263" w:rsidP="00C31237" w14:paraId="5F534063"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Other Updates to 18 CFR pt. 50</w:t>
            </w:r>
            <w:r>
              <w:rPr>
                <w:rStyle w:val="FootnoteReference"/>
                <w:rFonts w:eastAsia="Calibri" w:cs="Times New Roman"/>
                <w:sz w:val="20"/>
                <w:szCs w:val="20"/>
              </w:rPr>
              <w:footnoteReference w:id="24"/>
            </w:r>
          </w:p>
        </w:tc>
        <w:tc>
          <w:tcPr>
            <w:tcW w:w="782" w:type="pct"/>
            <w:vAlign w:val="bottom"/>
          </w:tcPr>
          <w:p w:rsidR="00B769AA" w:rsidRPr="00F46263" w:rsidP="00B769AA" w14:paraId="17DA0396"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B769AA" w:rsidRPr="00F46263" w:rsidP="00B769AA" w14:paraId="21C8615E"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B769AA" w:rsidRPr="00F46263" w:rsidP="00B769AA" w14:paraId="1F4C1EC1"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B769AA" w:rsidRPr="00F46263" w:rsidP="00B769AA" w14:paraId="46449027" w14:textId="4BBF7DA5">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0</w:t>
            </w:r>
            <w:r w:rsidRPr="00F46263">
              <w:rPr>
                <w:rFonts w:ascii="Times New Roman" w:eastAsia="Calibri" w:hAnsi="Times New Roman" w:cs="Times New Roman"/>
                <w:sz w:val="20"/>
                <w:szCs w:val="20"/>
              </w:rPr>
              <w:t xml:space="preserve"> hrs.;</w:t>
            </w:r>
          </w:p>
          <w:p w:rsidR="00B769AA" w:rsidRPr="00F46263" w:rsidP="00B769AA" w14:paraId="4F5B114B" w14:textId="0C44010E">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000</w:t>
            </w:r>
          </w:p>
        </w:tc>
        <w:tc>
          <w:tcPr>
            <w:tcW w:w="999" w:type="pct"/>
            <w:vAlign w:val="bottom"/>
          </w:tcPr>
          <w:p w:rsidR="00B769AA" w:rsidRPr="00F46263" w:rsidP="00B769AA" w14:paraId="73B33E03" w14:textId="27E92EF5">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0</w:t>
            </w:r>
            <w:r w:rsidRPr="00F46263">
              <w:rPr>
                <w:rFonts w:ascii="Times New Roman" w:eastAsia="Calibri" w:hAnsi="Times New Roman" w:cs="Times New Roman"/>
                <w:sz w:val="20"/>
                <w:szCs w:val="20"/>
              </w:rPr>
              <w:t xml:space="preserve"> hrs.;</w:t>
            </w:r>
          </w:p>
          <w:p w:rsidR="00B769AA" w:rsidRPr="00F46263" w:rsidP="00B769AA" w14:paraId="3E5EFC24" w14:textId="37BB41AC">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000</w:t>
            </w:r>
          </w:p>
        </w:tc>
      </w:tr>
      <w:tr w14:paraId="2F3CBE62" w14:textId="77777777" w:rsidTr="00A820B0">
        <w:tblPrEx>
          <w:tblW w:w="5000" w:type="pct"/>
          <w:jc w:val="right"/>
          <w:tblLayout w:type="fixed"/>
          <w:tblLook w:val="01E0"/>
        </w:tblPrEx>
        <w:trPr>
          <w:cantSplit/>
          <w:trHeight w:val="179"/>
          <w:jc w:val="right"/>
        </w:trPr>
        <w:tc>
          <w:tcPr>
            <w:tcW w:w="936" w:type="pct"/>
            <w:vAlign w:val="bottom"/>
          </w:tcPr>
          <w:p w:rsidR="00B769AA" w:rsidRPr="00F46263" w:rsidP="00C31237" w14:paraId="40DE3F7A" w14:textId="2F8605A0">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Resource Report: Tribal Resources</w:t>
            </w:r>
          </w:p>
        </w:tc>
        <w:tc>
          <w:tcPr>
            <w:tcW w:w="782" w:type="pct"/>
            <w:vAlign w:val="bottom"/>
          </w:tcPr>
          <w:p w:rsidR="00B769AA" w:rsidRPr="00F46263" w:rsidP="00B769AA" w14:paraId="293603AA"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B769AA" w:rsidRPr="00F46263" w:rsidP="00B769AA" w14:paraId="18374A28"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B769AA" w:rsidRPr="00F46263" w:rsidP="00B769AA" w14:paraId="1C249941"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B769AA" w:rsidRPr="00F46263" w:rsidP="00B769AA" w14:paraId="43181959" w14:textId="25D34711">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4</w:t>
            </w:r>
            <w:r w:rsidR="00D633E4">
              <w:rPr>
                <w:rFonts w:ascii="Times New Roman" w:eastAsia="Calibri" w:hAnsi="Times New Roman" w:cs="Times New Roman"/>
                <w:sz w:val="20"/>
                <w:szCs w:val="20"/>
              </w:rPr>
              <w:t>3</w:t>
            </w:r>
            <w:r w:rsidRPr="00F46263">
              <w:rPr>
                <w:rFonts w:ascii="Times New Roman" w:eastAsia="Calibri" w:hAnsi="Times New Roman" w:cs="Times New Roman"/>
                <w:sz w:val="20"/>
                <w:szCs w:val="20"/>
              </w:rPr>
              <w:t xml:space="preserve"> hrs.;</w:t>
            </w:r>
          </w:p>
          <w:p w:rsidR="00B769AA" w:rsidRPr="00F46263" w:rsidP="00B769AA" w14:paraId="0E9130CB" w14:textId="355A1A03">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Pr>
                <w:rFonts w:ascii="Times New Roman" w:eastAsia="Calibri" w:hAnsi="Times New Roman" w:cs="Times New Roman"/>
                <w:sz w:val="20"/>
                <w:szCs w:val="20"/>
              </w:rPr>
              <w:t>4,</w:t>
            </w:r>
            <w:r w:rsidR="00D633E4">
              <w:rPr>
                <w:rFonts w:ascii="Times New Roman" w:eastAsia="Calibri" w:hAnsi="Times New Roman" w:cs="Times New Roman"/>
                <w:sz w:val="20"/>
                <w:szCs w:val="20"/>
              </w:rPr>
              <w:t>3</w:t>
            </w:r>
            <w:r>
              <w:rPr>
                <w:rFonts w:ascii="Times New Roman" w:eastAsia="Calibri" w:hAnsi="Times New Roman" w:cs="Times New Roman"/>
                <w:sz w:val="20"/>
                <w:szCs w:val="20"/>
              </w:rPr>
              <w:t>00</w:t>
            </w:r>
          </w:p>
        </w:tc>
        <w:tc>
          <w:tcPr>
            <w:tcW w:w="999" w:type="pct"/>
            <w:vAlign w:val="bottom"/>
          </w:tcPr>
          <w:p w:rsidR="00B769AA" w:rsidRPr="00F46263" w:rsidP="00B769AA" w14:paraId="73099DD4" w14:textId="5CA4BFD4">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4</w:t>
            </w:r>
            <w:r w:rsidR="00D633E4">
              <w:rPr>
                <w:rFonts w:ascii="Times New Roman" w:eastAsia="Calibri" w:hAnsi="Times New Roman" w:cs="Times New Roman"/>
                <w:sz w:val="20"/>
                <w:szCs w:val="20"/>
              </w:rPr>
              <w:t>3</w:t>
            </w:r>
            <w:r w:rsidRPr="00F46263">
              <w:rPr>
                <w:rFonts w:ascii="Times New Roman" w:eastAsia="Calibri" w:hAnsi="Times New Roman" w:cs="Times New Roman"/>
                <w:sz w:val="20"/>
                <w:szCs w:val="20"/>
              </w:rPr>
              <w:t xml:space="preserve"> hrs.;</w:t>
            </w:r>
          </w:p>
          <w:p w:rsidR="00B769AA" w:rsidRPr="00F46263" w:rsidP="00B769AA" w14:paraId="52F8D629" w14:textId="37600095">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Pr>
                <w:rFonts w:ascii="Times New Roman" w:eastAsia="Calibri" w:hAnsi="Times New Roman" w:cs="Times New Roman"/>
                <w:sz w:val="20"/>
                <w:szCs w:val="20"/>
              </w:rPr>
              <w:t>4,</w:t>
            </w:r>
            <w:r w:rsidR="00D633E4">
              <w:rPr>
                <w:rFonts w:ascii="Times New Roman" w:eastAsia="Calibri" w:hAnsi="Times New Roman" w:cs="Times New Roman"/>
                <w:sz w:val="20"/>
                <w:szCs w:val="20"/>
              </w:rPr>
              <w:t>3</w:t>
            </w:r>
            <w:r>
              <w:rPr>
                <w:rFonts w:ascii="Times New Roman" w:eastAsia="Calibri" w:hAnsi="Times New Roman" w:cs="Times New Roman"/>
                <w:sz w:val="20"/>
                <w:szCs w:val="20"/>
              </w:rPr>
              <w:t>00</w:t>
            </w:r>
          </w:p>
        </w:tc>
      </w:tr>
      <w:tr w14:paraId="571418D2" w14:textId="77777777" w:rsidTr="00A820B0">
        <w:tblPrEx>
          <w:tblW w:w="5000" w:type="pct"/>
          <w:jc w:val="right"/>
          <w:tblLayout w:type="fixed"/>
          <w:tblLook w:val="01E0"/>
        </w:tblPrEx>
        <w:trPr>
          <w:cantSplit/>
          <w:trHeight w:val="179"/>
          <w:jc w:val="right"/>
        </w:trPr>
        <w:tc>
          <w:tcPr>
            <w:tcW w:w="936" w:type="pct"/>
            <w:vAlign w:val="bottom"/>
          </w:tcPr>
          <w:p w:rsidR="00B769AA" w:rsidRPr="00F46263" w:rsidP="00C31237" w14:paraId="48608720"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Resource Report: Environmental Justice</w:t>
            </w:r>
          </w:p>
        </w:tc>
        <w:tc>
          <w:tcPr>
            <w:tcW w:w="782" w:type="pct"/>
            <w:vAlign w:val="bottom"/>
          </w:tcPr>
          <w:p w:rsidR="00B769AA" w:rsidRPr="00F46263" w:rsidP="00B769AA" w14:paraId="3A2CA214"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B769AA" w:rsidRPr="00F46263" w:rsidP="00B769AA" w14:paraId="5D52AFBB"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B769AA" w:rsidRPr="00F46263" w:rsidP="00B769AA" w14:paraId="482C8A4D"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B769AA" w:rsidRPr="00F46263" w:rsidP="00B769AA" w14:paraId="6FC27EFE"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80 hrs.;</w:t>
            </w:r>
          </w:p>
          <w:p w:rsidR="00B769AA" w:rsidRPr="00F46263" w:rsidP="00B769AA" w14:paraId="138EBA02" w14:textId="4EA8E6B6">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Pr>
                <w:rFonts w:ascii="Times New Roman" w:eastAsia="Calibri" w:hAnsi="Times New Roman" w:cs="Times New Roman"/>
                <w:sz w:val="20"/>
                <w:szCs w:val="20"/>
              </w:rPr>
              <w:t>8,000</w:t>
            </w:r>
          </w:p>
        </w:tc>
        <w:tc>
          <w:tcPr>
            <w:tcW w:w="999" w:type="pct"/>
            <w:vAlign w:val="bottom"/>
          </w:tcPr>
          <w:p w:rsidR="00B769AA" w:rsidRPr="00F46263" w:rsidP="00B769AA" w14:paraId="65828935"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80 hrs.;</w:t>
            </w:r>
          </w:p>
          <w:p w:rsidR="00B769AA" w:rsidRPr="00F46263" w:rsidP="00B769AA" w14:paraId="5BD6B615" w14:textId="2A394C1B">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Pr>
                <w:rFonts w:ascii="Times New Roman" w:eastAsia="Calibri" w:hAnsi="Times New Roman" w:cs="Times New Roman"/>
                <w:sz w:val="20"/>
                <w:szCs w:val="20"/>
              </w:rPr>
              <w:t>8,000</w:t>
            </w:r>
          </w:p>
        </w:tc>
      </w:tr>
      <w:tr w14:paraId="0B5C72DF" w14:textId="77777777" w:rsidTr="00A820B0">
        <w:tblPrEx>
          <w:tblW w:w="5000" w:type="pct"/>
          <w:jc w:val="right"/>
          <w:tblLayout w:type="fixed"/>
          <w:tblLook w:val="01E0"/>
        </w:tblPrEx>
        <w:trPr>
          <w:cantSplit/>
          <w:trHeight w:val="179"/>
          <w:jc w:val="right"/>
        </w:trPr>
        <w:tc>
          <w:tcPr>
            <w:tcW w:w="936" w:type="pct"/>
            <w:vAlign w:val="bottom"/>
          </w:tcPr>
          <w:p w:rsidR="00B769AA" w:rsidRPr="00F46263" w:rsidP="00C31237" w14:paraId="39091E49"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Resource Report: Air Quality &amp; Environmental Noise</w:t>
            </w:r>
          </w:p>
        </w:tc>
        <w:tc>
          <w:tcPr>
            <w:tcW w:w="782" w:type="pct"/>
            <w:vAlign w:val="bottom"/>
          </w:tcPr>
          <w:p w:rsidR="00B769AA" w:rsidRPr="00F46263" w:rsidP="00B769AA" w14:paraId="2DDBA2DF"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B769AA" w:rsidRPr="00F46263" w:rsidP="00B769AA" w14:paraId="5E04225F"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B769AA" w:rsidRPr="00F46263" w:rsidP="00B769AA" w14:paraId="5FA77CCA"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B769AA" w:rsidRPr="00F46263" w:rsidP="00B769AA" w14:paraId="376B28E6"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296 hrs.;</w:t>
            </w:r>
          </w:p>
          <w:p w:rsidR="00B769AA" w:rsidRPr="00F46263" w:rsidP="00B769AA" w14:paraId="250CDF64" w14:textId="6742FD4F">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9,600</w:t>
            </w:r>
          </w:p>
        </w:tc>
        <w:tc>
          <w:tcPr>
            <w:tcW w:w="999" w:type="pct"/>
            <w:vAlign w:val="bottom"/>
          </w:tcPr>
          <w:p w:rsidR="00B769AA" w:rsidRPr="00F46263" w:rsidP="00B769AA" w14:paraId="79E2BF04"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296 hrs.;</w:t>
            </w:r>
          </w:p>
          <w:p w:rsidR="00B769AA" w:rsidRPr="00F46263" w:rsidP="00B769AA" w14:paraId="0AC6E56E" w14:textId="7CB0B08D">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$2</w:t>
            </w:r>
            <w:r>
              <w:rPr>
                <w:rFonts w:ascii="Times New Roman" w:eastAsia="Calibri" w:hAnsi="Times New Roman" w:cs="Times New Roman"/>
                <w:sz w:val="20"/>
                <w:szCs w:val="20"/>
              </w:rPr>
              <w:t>9,600</w:t>
            </w:r>
          </w:p>
        </w:tc>
      </w:tr>
      <w:tr w14:paraId="6C9A0856" w14:textId="77777777" w:rsidTr="00A820B0">
        <w:tblPrEx>
          <w:tblW w:w="5000" w:type="pct"/>
          <w:jc w:val="right"/>
          <w:tblLayout w:type="fixed"/>
          <w:tblLook w:val="01E0"/>
        </w:tblPrEx>
        <w:trPr>
          <w:cantSplit/>
          <w:trHeight w:val="179"/>
          <w:jc w:val="right"/>
        </w:trPr>
        <w:tc>
          <w:tcPr>
            <w:tcW w:w="936" w:type="pct"/>
            <w:vAlign w:val="bottom"/>
          </w:tcPr>
          <w:p w:rsidR="00B769AA" w:rsidRPr="00F46263" w:rsidP="00C31237" w14:paraId="74AF9A8B"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Information on Visual Impacts</w:t>
            </w:r>
          </w:p>
        </w:tc>
        <w:tc>
          <w:tcPr>
            <w:tcW w:w="782" w:type="pct"/>
            <w:vAlign w:val="bottom"/>
          </w:tcPr>
          <w:p w:rsidR="00B769AA" w:rsidRPr="00F46263" w:rsidP="00B769AA" w14:paraId="0FC8B5EB"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B769AA" w:rsidRPr="00F46263" w:rsidP="00B769AA" w14:paraId="21F7AFBF"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B769AA" w:rsidRPr="00F46263" w:rsidP="00B769AA" w14:paraId="361DEEC8"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B769AA" w:rsidRPr="00F46263" w:rsidP="00B769AA" w14:paraId="355E3191" w14:textId="7903226D">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10</w:t>
            </w:r>
            <w:r w:rsidR="00D633E4">
              <w:rPr>
                <w:rFonts w:ascii="Times New Roman" w:eastAsia="Calibri" w:hAnsi="Times New Roman" w:cs="Times New Roman"/>
                <w:sz w:val="20"/>
                <w:szCs w:val="20"/>
              </w:rPr>
              <w:t>4</w:t>
            </w:r>
            <w:r w:rsidRPr="00F46263">
              <w:rPr>
                <w:rFonts w:ascii="Times New Roman" w:eastAsia="Calibri" w:hAnsi="Times New Roman" w:cs="Times New Roman"/>
                <w:sz w:val="20"/>
                <w:szCs w:val="20"/>
              </w:rPr>
              <w:t xml:space="preserve"> hrs.;</w:t>
            </w:r>
          </w:p>
          <w:p w:rsidR="00B769AA" w:rsidRPr="00F46263" w:rsidP="00B769AA" w14:paraId="79A06961" w14:textId="084CA8AF">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Pr>
                <w:rFonts w:ascii="Times New Roman" w:eastAsia="Calibri" w:hAnsi="Times New Roman" w:cs="Times New Roman"/>
                <w:sz w:val="20"/>
                <w:szCs w:val="20"/>
              </w:rPr>
              <w:t>10,</w:t>
            </w:r>
            <w:r w:rsidR="00D633E4">
              <w:rPr>
                <w:rFonts w:ascii="Times New Roman" w:eastAsia="Calibri" w:hAnsi="Times New Roman" w:cs="Times New Roman"/>
                <w:sz w:val="20"/>
                <w:szCs w:val="20"/>
              </w:rPr>
              <w:t>4</w:t>
            </w:r>
            <w:r>
              <w:rPr>
                <w:rFonts w:ascii="Times New Roman" w:eastAsia="Calibri" w:hAnsi="Times New Roman" w:cs="Times New Roman"/>
                <w:sz w:val="20"/>
                <w:szCs w:val="20"/>
              </w:rPr>
              <w:t>00</w:t>
            </w:r>
          </w:p>
        </w:tc>
        <w:tc>
          <w:tcPr>
            <w:tcW w:w="999" w:type="pct"/>
            <w:vAlign w:val="bottom"/>
          </w:tcPr>
          <w:p w:rsidR="00B769AA" w:rsidRPr="00F46263" w:rsidP="00B769AA" w14:paraId="19F7A90C" w14:textId="7FF0096D">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10</w:t>
            </w:r>
            <w:r w:rsidR="00D633E4">
              <w:rPr>
                <w:rFonts w:ascii="Times New Roman" w:eastAsia="Calibri" w:hAnsi="Times New Roman" w:cs="Times New Roman"/>
                <w:sz w:val="20"/>
                <w:szCs w:val="20"/>
              </w:rPr>
              <w:t>4</w:t>
            </w:r>
            <w:r w:rsidRPr="00F46263">
              <w:rPr>
                <w:rFonts w:ascii="Times New Roman" w:eastAsia="Calibri" w:hAnsi="Times New Roman" w:cs="Times New Roman"/>
                <w:sz w:val="20"/>
                <w:szCs w:val="20"/>
              </w:rPr>
              <w:t xml:space="preserve"> hrs.;</w:t>
            </w:r>
          </w:p>
          <w:p w:rsidR="00B769AA" w:rsidRPr="00F46263" w:rsidP="00B769AA" w14:paraId="4D1D001C" w14:textId="36A6A238">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Pr>
                <w:rFonts w:ascii="Times New Roman" w:eastAsia="Calibri" w:hAnsi="Times New Roman" w:cs="Times New Roman"/>
                <w:sz w:val="20"/>
                <w:szCs w:val="20"/>
              </w:rPr>
              <w:t>10,</w:t>
            </w:r>
            <w:r w:rsidR="00D633E4">
              <w:rPr>
                <w:rFonts w:ascii="Times New Roman" w:eastAsia="Calibri" w:hAnsi="Times New Roman" w:cs="Times New Roman"/>
                <w:sz w:val="20"/>
                <w:szCs w:val="20"/>
              </w:rPr>
              <w:t>4</w:t>
            </w:r>
            <w:r>
              <w:rPr>
                <w:rFonts w:ascii="Times New Roman" w:eastAsia="Calibri" w:hAnsi="Times New Roman" w:cs="Times New Roman"/>
                <w:sz w:val="20"/>
                <w:szCs w:val="20"/>
              </w:rPr>
              <w:t>00</w:t>
            </w:r>
          </w:p>
        </w:tc>
      </w:tr>
      <w:tr w14:paraId="46EB43EC" w14:textId="77777777" w:rsidTr="00A820B0">
        <w:tblPrEx>
          <w:tblW w:w="5000" w:type="pct"/>
          <w:jc w:val="right"/>
          <w:tblLayout w:type="fixed"/>
          <w:tblLook w:val="01E0"/>
        </w:tblPrEx>
        <w:trPr>
          <w:cantSplit/>
          <w:trHeight w:val="179"/>
          <w:jc w:val="right"/>
        </w:trPr>
        <w:tc>
          <w:tcPr>
            <w:tcW w:w="936" w:type="pct"/>
            <w:vAlign w:val="bottom"/>
          </w:tcPr>
          <w:p w:rsidR="00B769AA" w:rsidRPr="00F46263" w:rsidP="00C31237" w14:paraId="6C3EC719" w14:textId="77777777">
            <w:pPr>
              <w:spacing w:after="0" w:line="240" w:lineRule="auto"/>
              <w:rPr>
                <w:rFonts w:ascii="Times New Roman" w:eastAsia="Calibri" w:hAnsi="Times New Roman" w:cs="Times New Roman"/>
                <w:sz w:val="20"/>
                <w:szCs w:val="20"/>
              </w:rPr>
            </w:pPr>
            <w:r w:rsidRPr="00F46263">
              <w:rPr>
                <w:rFonts w:ascii="Times New Roman" w:eastAsia="Calibri" w:hAnsi="Times New Roman" w:cs="Times New Roman"/>
                <w:sz w:val="20"/>
                <w:szCs w:val="20"/>
              </w:rPr>
              <w:t>Other Updates to 18 CFR pt. 380</w:t>
            </w:r>
            <w:r>
              <w:rPr>
                <w:rStyle w:val="FootnoteReference"/>
                <w:rFonts w:eastAsia="Calibri" w:cs="Times New Roman"/>
                <w:sz w:val="20"/>
                <w:szCs w:val="20"/>
              </w:rPr>
              <w:footnoteReference w:id="25"/>
            </w:r>
          </w:p>
        </w:tc>
        <w:tc>
          <w:tcPr>
            <w:tcW w:w="782" w:type="pct"/>
            <w:vAlign w:val="bottom"/>
          </w:tcPr>
          <w:p w:rsidR="00B769AA" w:rsidRPr="00F46263" w:rsidP="00B769AA" w14:paraId="3F68EDA9"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30" w:type="pct"/>
            <w:vAlign w:val="bottom"/>
          </w:tcPr>
          <w:p w:rsidR="00B769AA" w:rsidRPr="00F46263" w:rsidP="00B769AA" w14:paraId="377255AB"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752" w:type="pct"/>
            <w:vAlign w:val="bottom"/>
          </w:tcPr>
          <w:p w:rsidR="00B769AA" w:rsidRPr="00F46263" w:rsidP="00B769AA" w14:paraId="384D62D4" w14:textId="77777777">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p>
        </w:tc>
        <w:tc>
          <w:tcPr>
            <w:tcW w:w="801" w:type="pct"/>
            <w:vAlign w:val="bottom"/>
          </w:tcPr>
          <w:p w:rsidR="00B769AA" w:rsidRPr="00F46263" w:rsidP="00B769AA" w14:paraId="0BD53377" w14:textId="31AA0F7E">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D633E4">
              <w:rPr>
                <w:rFonts w:ascii="Times New Roman" w:eastAsia="Calibri" w:hAnsi="Times New Roman" w:cs="Times New Roman"/>
                <w:sz w:val="20"/>
                <w:szCs w:val="20"/>
              </w:rPr>
              <w:t>82</w:t>
            </w:r>
            <w:r w:rsidRPr="00F46263">
              <w:rPr>
                <w:rFonts w:ascii="Times New Roman" w:eastAsia="Calibri" w:hAnsi="Times New Roman" w:cs="Times New Roman"/>
                <w:sz w:val="20"/>
                <w:szCs w:val="20"/>
              </w:rPr>
              <w:t xml:space="preserve"> hrs.;</w:t>
            </w:r>
          </w:p>
          <w:p w:rsidR="00B769AA" w:rsidRPr="00F46263" w:rsidP="00B769AA" w14:paraId="0D24048C" w14:textId="66654175">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D633E4">
              <w:rPr>
                <w:rFonts w:ascii="Times New Roman" w:eastAsia="Calibri" w:hAnsi="Times New Roman" w:cs="Times New Roman"/>
                <w:sz w:val="20"/>
                <w:szCs w:val="20"/>
              </w:rPr>
              <w:t>8</w:t>
            </w:r>
            <w:r>
              <w:rPr>
                <w:rFonts w:ascii="Times New Roman" w:eastAsia="Calibri" w:hAnsi="Times New Roman" w:cs="Times New Roman"/>
                <w:sz w:val="20"/>
                <w:szCs w:val="20"/>
              </w:rPr>
              <w:t>,</w:t>
            </w:r>
            <w:r w:rsidR="00D633E4">
              <w:rPr>
                <w:rFonts w:ascii="Times New Roman" w:eastAsia="Calibri" w:hAnsi="Times New Roman" w:cs="Times New Roman"/>
                <w:sz w:val="20"/>
                <w:szCs w:val="20"/>
              </w:rPr>
              <w:t>2</w:t>
            </w:r>
            <w:r>
              <w:rPr>
                <w:rFonts w:ascii="Times New Roman" w:eastAsia="Calibri" w:hAnsi="Times New Roman" w:cs="Times New Roman"/>
                <w:sz w:val="20"/>
                <w:szCs w:val="20"/>
              </w:rPr>
              <w:t>00</w:t>
            </w:r>
          </w:p>
        </w:tc>
        <w:tc>
          <w:tcPr>
            <w:tcW w:w="999" w:type="pct"/>
            <w:vAlign w:val="bottom"/>
          </w:tcPr>
          <w:p w:rsidR="00B769AA" w:rsidRPr="00F46263" w:rsidP="00B769AA" w14:paraId="39CF17B2" w14:textId="558D14FF">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D633E4">
              <w:rPr>
                <w:rFonts w:ascii="Times New Roman" w:eastAsia="Calibri" w:hAnsi="Times New Roman" w:cs="Times New Roman"/>
                <w:sz w:val="20"/>
                <w:szCs w:val="20"/>
              </w:rPr>
              <w:t>82</w:t>
            </w:r>
            <w:r w:rsidRPr="00F46263">
              <w:rPr>
                <w:rFonts w:ascii="Times New Roman" w:eastAsia="Calibri" w:hAnsi="Times New Roman" w:cs="Times New Roman"/>
                <w:sz w:val="20"/>
                <w:szCs w:val="20"/>
              </w:rPr>
              <w:t xml:space="preserve"> hrs.;</w:t>
            </w:r>
          </w:p>
          <w:p w:rsidR="00B769AA" w:rsidRPr="00F46263" w:rsidP="00B769AA" w14:paraId="58CCE147" w14:textId="52328B5E">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D633E4">
              <w:rPr>
                <w:rFonts w:ascii="Times New Roman" w:eastAsia="Calibri" w:hAnsi="Times New Roman" w:cs="Times New Roman"/>
                <w:sz w:val="20"/>
                <w:szCs w:val="20"/>
              </w:rPr>
              <w:t>8</w:t>
            </w:r>
            <w:r>
              <w:rPr>
                <w:rFonts w:ascii="Times New Roman" w:eastAsia="Calibri" w:hAnsi="Times New Roman" w:cs="Times New Roman"/>
                <w:sz w:val="20"/>
                <w:szCs w:val="20"/>
              </w:rPr>
              <w:t>,</w:t>
            </w:r>
            <w:r w:rsidR="00D633E4">
              <w:rPr>
                <w:rFonts w:ascii="Times New Roman" w:eastAsia="Calibri" w:hAnsi="Times New Roman" w:cs="Times New Roman"/>
                <w:sz w:val="20"/>
                <w:szCs w:val="20"/>
              </w:rPr>
              <w:t>2</w:t>
            </w:r>
            <w:r>
              <w:rPr>
                <w:rFonts w:ascii="Times New Roman" w:eastAsia="Calibri" w:hAnsi="Times New Roman" w:cs="Times New Roman"/>
                <w:sz w:val="20"/>
                <w:szCs w:val="20"/>
              </w:rPr>
              <w:t>00</w:t>
            </w:r>
          </w:p>
        </w:tc>
      </w:tr>
      <w:tr w14:paraId="1877C901" w14:textId="77777777" w:rsidTr="00A820B0">
        <w:tblPrEx>
          <w:tblW w:w="5000" w:type="pct"/>
          <w:jc w:val="right"/>
          <w:tblLayout w:type="fixed"/>
          <w:tblLook w:val="01E0"/>
        </w:tblPrEx>
        <w:trPr>
          <w:cantSplit/>
          <w:trHeight w:val="179"/>
          <w:jc w:val="right"/>
        </w:trPr>
        <w:tc>
          <w:tcPr>
            <w:tcW w:w="936" w:type="pct"/>
          </w:tcPr>
          <w:p w:rsidR="00B769AA" w:rsidRPr="00F46263" w:rsidP="00020505" w14:paraId="4A999A7D" w14:textId="57D3F467">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REQUESTED </w:t>
            </w:r>
            <w:r w:rsidRPr="00F46263">
              <w:rPr>
                <w:rFonts w:ascii="Times New Roman" w:eastAsia="Calibri" w:hAnsi="Times New Roman" w:cs="Times New Roman"/>
                <w:b/>
                <w:sz w:val="20"/>
                <w:szCs w:val="20"/>
              </w:rPr>
              <w:t>TOTAL</w:t>
            </w:r>
          </w:p>
        </w:tc>
        <w:tc>
          <w:tcPr>
            <w:tcW w:w="1512" w:type="pct"/>
            <w:gridSpan w:val="2"/>
            <w:shd w:val="clear" w:color="auto" w:fill="BFBFBF" w:themeFill="background1" w:themeFillShade="BF"/>
            <w:vAlign w:val="bottom"/>
          </w:tcPr>
          <w:p w:rsidR="00B769AA" w:rsidRPr="00F46263" w:rsidP="00B769AA" w14:paraId="01C87A84" w14:textId="77777777">
            <w:pPr>
              <w:spacing w:after="0" w:line="240" w:lineRule="auto"/>
              <w:jc w:val="right"/>
              <w:rPr>
                <w:rFonts w:ascii="Times New Roman" w:eastAsia="Calibri" w:hAnsi="Times New Roman" w:cs="Times New Roman"/>
                <w:sz w:val="20"/>
                <w:szCs w:val="20"/>
              </w:rPr>
            </w:pPr>
          </w:p>
        </w:tc>
        <w:tc>
          <w:tcPr>
            <w:tcW w:w="752" w:type="pct"/>
            <w:vAlign w:val="bottom"/>
          </w:tcPr>
          <w:p w:rsidR="00B769AA" w:rsidRPr="00F46263" w:rsidP="00B769AA" w14:paraId="0310C9E9" w14:textId="781982EA">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01" w:type="pct"/>
            <w:shd w:val="clear" w:color="auto" w:fill="BFBFBF" w:themeFill="background1" w:themeFillShade="BF"/>
            <w:vAlign w:val="bottom"/>
          </w:tcPr>
          <w:p w:rsidR="00B769AA" w:rsidRPr="00F46263" w:rsidP="00B769AA" w14:paraId="361EACB7" w14:textId="77777777">
            <w:pPr>
              <w:spacing w:after="0" w:line="240" w:lineRule="auto"/>
              <w:jc w:val="right"/>
              <w:rPr>
                <w:rFonts w:ascii="Times New Roman" w:eastAsia="Calibri" w:hAnsi="Times New Roman" w:cs="Times New Roman"/>
                <w:sz w:val="20"/>
                <w:szCs w:val="20"/>
              </w:rPr>
            </w:pPr>
          </w:p>
        </w:tc>
        <w:tc>
          <w:tcPr>
            <w:tcW w:w="999" w:type="pct"/>
            <w:vAlign w:val="bottom"/>
          </w:tcPr>
          <w:p w:rsidR="00B769AA" w:rsidRPr="00F46263" w:rsidP="00B769AA" w14:paraId="51D4B461" w14:textId="05C04F2F">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1,</w:t>
            </w:r>
            <w:r w:rsidR="002E65C4">
              <w:rPr>
                <w:rFonts w:ascii="Times New Roman" w:eastAsia="Calibri" w:hAnsi="Times New Roman" w:cs="Times New Roman"/>
                <w:sz w:val="20"/>
                <w:szCs w:val="20"/>
              </w:rPr>
              <w:t>242</w:t>
            </w:r>
            <w:r w:rsidRPr="00F46263">
              <w:rPr>
                <w:rFonts w:ascii="Times New Roman" w:eastAsia="Calibri" w:hAnsi="Times New Roman" w:cs="Times New Roman"/>
                <w:sz w:val="20"/>
                <w:szCs w:val="20"/>
              </w:rPr>
              <w:t xml:space="preserve"> hrs.;</w:t>
            </w:r>
          </w:p>
          <w:p w:rsidR="00B769AA" w:rsidRPr="00F46263" w:rsidP="00B769AA" w14:paraId="6818BF82" w14:textId="3DAA816F">
            <w:pPr>
              <w:spacing w:after="0" w:line="240" w:lineRule="auto"/>
              <w:jc w:val="right"/>
              <w:rPr>
                <w:rFonts w:ascii="Times New Roman" w:eastAsia="Calibri" w:hAnsi="Times New Roman" w:cs="Times New Roman"/>
                <w:sz w:val="20"/>
                <w:szCs w:val="20"/>
              </w:rPr>
            </w:pPr>
            <w:r w:rsidRPr="00F46263">
              <w:rPr>
                <w:rFonts w:ascii="Times New Roman" w:eastAsia="Calibri" w:hAnsi="Times New Roman" w:cs="Times New Roman"/>
                <w:sz w:val="20"/>
                <w:szCs w:val="20"/>
              </w:rPr>
              <w:t>$</w:t>
            </w:r>
            <w:r>
              <w:rPr>
                <w:rFonts w:ascii="Times New Roman" w:eastAsia="Calibri" w:hAnsi="Times New Roman" w:cs="Times New Roman"/>
                <w:sz w:val="20"/>
                <w:szCs w:val="20"/>
              </w:rPr>
              <w:t>1</w:t>
            </w:r>
            <w:r w:rsidR="002E65C4">
              <w:rPr>
                <w:rFonts w:ascii="Times New Roman" w:eastAsia="Calibri" w:hAnsi="Times New Roman" w:cs="Times New Roman"/>
                <w:sz w:val="20"/>
                <w:szCs w:val="20"/>
              </w:rPr>
              <w:t>24</w:t>
            </w:r>
            <w:r>
              <w:rPr>
                <w:rFonts w:ascii="Times New Roman" w:eastAsia="Calibri" w:hAnsi="Times New Roman" w:cs="Times New Roman"/>
                <w:sz w:val="20"/>
                <w:szCs w:val="20"/>
              </w:rPr>
              <w:t>,200</w:t>
            </w:r>
          </w:p>
        </w:tc>
      </w:tr>
      <w:tr w14:paraId="55246FEA" w14:textId="77777777" w:rsidTr="00A820B0">
        <w:tblPrEx>
          <w:tblW w:w="5000" w:type="pct"/>
          <w:jc w:val="right"/>
          <w:tblLayout w:type="fixed"/>
          <w:tblLook w:val="01E0"/>
        </w:tblPrEx>
        <w:trPr>
          <w:cantSplit/>
          <w:trHeight w:val="179"/>
          <w:jc w:val="right"/>
        </w:trPr>
        <w:tc>
          <w:tcPr>
            <w:tcW w:w="936" w:type="pct"/>
          </w:tcPr>
          <w:p w:rsidR="00B769AA" w:rsidP="00020505" w14:paraId="05283711" w14:textId="2B69FAC7">
            <w:pPr>
              <w:rPr>
                <w:rFonts w:ascii="Times New Roman" w:eastAsia="Calibri" w:hAnsi="Times New Roman" w:cs="Times New Roman"/>
                <w:b/>
                <w:sz w:val="20"/>
                <w:szCs w:val="20"/>
              </w:rPr>
            </w:pPr>
            <w:r>
              <w:rPr>
                <w:rFonts w:ascii="Times New Roman" w:eastAsia="Calibri" w:hAnsi="Times New Roman" w:cs="Times New Roman"/>
                <w:b/>
                <w:sz w:val="20"/>
                <w:szCs w:val="20"/>
              </w:rPr>
              <w:t>PREVIOUSLY APPROVED PLUS REQUESTED TOTAL</w:t>
            </w:r>
          </w:p>
        </w:tc>
        <w:tc>
          <w:tcPr>
            <w:tcW w:w="1512" w:type="pct"/>
            <w:gridSpan w:val="2"/>
            <w:shd w:val="clear" w:color="auto" w:fill="BFBFBF" w:themeFill="background1" w:themeFillShade="BF"/>
            <w:vAlign w:val="bottom"/>
          </w:tcPr>
          <w:p w:rsidR="00B769AA" w:rsidRPr="00F46263" w:rsidP="00B769AA" w14:paraId="72D54A89" w14:textId="77777777">
            <w:pPr>
              <w:spacing w:after="0" w:line="240" w:lineRule="auto"/>
              <w:jc w:val="right"/>
              <w:rPr>
                <w:rFonts w:ascii="Times New Roman" w:eastAsia="Calibri" w:hAnsi="Times New Roman" w:cs="Times New Roman"/>
                <w:sz w:val="20"/>
                <w:szCs w:val="20"/>
              </w:rPr>
            </w:pPr>
          </w:p>
        </w:tc>
        <w:tc>
          <w:tcPr>
            <w:tcW w:w="752" w:type="pct"/>
            <w:vAlign w:val="bottom"/>
          </w:tcPr>
          <w:p w:rsidR="00B769AA" w:rsidP="00B769AA" w14:paraId="7B994EEB" w14:textId="5134647A">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r w:rsidR="00AD2BDA">
              <w:rPr>
                <w:rFonts w:ascii="Times New Roman" w:eastAsia="Calibri" w:hAnsi="Times New Roman" w:cs="Times New Roman"/>
                <w:sz w:val="20"/>
                <w:szCs w:val="20"/>
              </w:rPr>
              <w:t>2</w:t>
            </w:r>
          </w:p>
        </w:tc>
        <w:tc>
          <w:tcPr>
            <w:tcW w:w="801" w:type="pct"/>
            <w:shd w:val="clear" w:color="auto" w:fill="BFBFBF" w:themeFill="background1" w:themeFillShade="BF"/>
            <w:vAlign w:val="bottom"/>
          </w:tcPr>
          <w:p w:rsidR="00B769AA" w:rsidRPr="00F46263" w:rsidP="00B769AA" w14:paraId="437595F7" w14:textId="77777777">
            <w:pPr>
              <w:spacing w:after="0" w:line="240" w:lineRule="auto"/>
              <w:jc w:val="right"/>
              <w:rPr>
                <w:rFonts w:ascii="Times New Roman" w:eastAsia="Calibri" w:hAnsi="Times New Roman" w:cs="Times New Roman"/>
                <w:sz w:val="20"/>
                <w:szCs w:val="20"/>
              </w:rPr>
            </w:pPr>
          </w:p>
        </w:tc>
        <w:tc>
          <w:tcPr>
            <w:tcW w:w="999" w:type="pct"/>
            <w:vAlign w:val="bottom"/>
          </w:tcPr>
          <w:p w:rsidR="00B769AA" w:rsidP="00B769AA" w14:paraId="75C975BE" w14:textId="61FF7E66">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w:t>
            </w:r>
            <w:r w:rsidR="00C13740">
              <w:rPr>
                <w:rFonts w:ascii="Times New Roman" w:eastAsia="Calibri" w:hAnsi="Times New Roman" w:cs="Times New Roman"/>
                <w:sz w:val="20"/>
                <w:szCs w:val="20"/>
              </w:rPr>
              <w:t>842</w:t>
            </w:r>
            <w:r>
              <w:rPr>
                <w:rFonts w:ascii="Times New Roman" w:eastAsia="Calibri" w:hAnsi="Times New Roman" w:cs="Times New Roman"/>
                <w:sz w:val="20"/>
                <w:szCs w:val="20"/>
              </w:rPr>
              <w:t xml:space="preserve"> hrs.;</w:t>
            </w:r>
          </w:p>
          <w:p w:rsidR="00B769AA" w:rsidRPr="00F46263" w:rsidP="00B769AA" w14:paraId="110703AB" w14:textId="21A10658">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w:t>
            </w:r>
            <w:r w:rsidR="00C13740">
              <w:rPr>
                <w:rFonts w:ascii="Times New Roman" w:eastAsia="Calibri" w:hAnsi="Times New Roman" w:cs="Times New Roman"/>
                <w:sz w:val="20"/>
                <w:szCs w:val="20"/>
              </w:rPr>
              <w:t>84</w:t>
            </w:r>
            <w:r>
              <w:rPr>
                <w:rFonts w:ascii="Times New Roman" w:eastAsia="Calibri" w:hAnsi="Times New Roman" w:cs="Times New Roman"/>
                <w:sz w:val="20"/>
                <w:szCs w:val="20"/>
              </w:rPr>
              <w:t>,200</w:t>
            </w:r>
          </w:p>
        </w:tc>
      </w:tr>
    </w:tbl>
    <w:p w:rsidR="000E152C" w:rsidRPr="008B77CF" w:rsidP="00AD6A1E" w14:paraId="73468CE9"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EA" w14:textId="77777777">
      <w:pPr>
        <w:widowControl w:val="0"/>
        <w:numPr>
          <w:ilvl w:val="0"/>
          <w:numId w:val="3"/>
        </w:num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ESTIMATE OF TOTAL ANNUAL COST OF BURDEN TO</w:t>
      </w:r>
    </w:p>
    <w:p w:rsidR="000E152C" w:rsidRPr="008B77CF" w:rsidP="000E152C" w14:paraId="73468CEB" w14:textId="77777777">
      <w:p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ab/>
        <w:t xml:space="preserve"> RESPONDENTS</w:t>
      </w:r>
    </w:p>
    <w:p w:rsidR="000E152C" w:rsidRPr="008B77CF" w:rsidP="000E152C" w14:paraId="73468CEC"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CED" w14:textId="1F5112C2">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All </w:t>
      </w:r>
      <w:r w:rsidR="00A73935">
        <w:rPr>
          <w:rFonts w:ascii="Times New Roman" w:eastAsia="Times New Roman" w:hAnsi="Times New Roman" w:cs="Times New Roman"/>
          <w:sz w:val="24"/>
          <w:szCs w:val="24"/>
        </w:rPr>
        <w:t xml:space="preserve">of the </w:t>
      </w:r>
      <w:r w:rsidRPr="008B77CF">
        <w:rPr>
          <w:rFonts w:ascii="Times New Roman" w:eastAsia="Times New Roman" w:hAnsi="Times New Roman" w:cs="Times New Roman"/>
          <w:sz w:val="24"/>
          <w:szCs w:val="24"/>
        </w:rPr>
        <w:t xml:space="preserve">costs are </w:t>
      </w:r>
      <w:r w:rsidR="00A73935">
        <w:rPr>
          <w:rFonts w:ascii="Times New Roman" w:eastAsia="Times New Roman" w:hAnsi="Times New Roman" w:cs="Times New Roman"/>
          <w:sz w:val="24"/>
          <w:szCs w:val="24"/>
        </w:rPr>
        <w:t>associated with</w:t>
      </w:r>
      <w:r w:rsidRPr="008B77CF">
        <w:rPr>
          <w:rFonts w:ascii="Times New Roman" w:eastAsia="Times New Roman" w:hAnsi="Times New Roman" w:cs="Times New Roman"/>
          <w:sz w:val="24"/>
          <w:szCs w:val="24"/>
        </w:rPr>
        <w:t xml:space="preserve"> burden hours </w:t>
      </w:r>
      <w:r w:rsidR="00A73935">
        <w:rPr>
          <w:rFonts w:ascii="Times New Roman" w:eastAsia="Times New Roman" w:hAnsi="Times New Roman" w:cs="Times New Roman"/>
          <w:sz w:val="24"/>
          <w:szCs w:val="24"/>
        </w:rPr>
        <w:t xml:space="preserve">(labor) </w:t>
      </w:r>
      <w:r w:rsidRPr="008B77CF">
        <w:rPr>
          <w:rFonts w:ascii="Times New Roman" w:eastAsia="Times New Roman" w:hAnsi="Times New Roman" w:cs="Times New Roman"/>
          <w:sz w:val="24"/>
          <w:szCs w:val="24"/>
        </w:rPr>
        <w:t xml:space="preserve">and addressed in </w:t>
      </w:r>
      <w:r w:rsidR="00A73935">
        <w:rPr>
          <w:rFonts w:ascii="Times New Roman" w:eastAsia="Times New Roman" w:hAnsi="Times New Roman" w:cs="Times New Roman"/>
          <w:sz w:val="24"/>
          <w:szCs w:val="24"/>
        </w:rPr>
        <w:t>q</w:t>
      </w:r>
      <w:r w:rsidRPr="008B77CF">
        <w:rPr>
          <w:rFonts w:ascii="Times New Roman" w:eastAsia="Times New Roman" w:hAnsi="Times New Roman" w:cs="Times New Roman"/>
          <w:sz w:val="24"/>
          <w:szCs w:val="24"/>
        </w:rPr>
        <w:t>uestions #12 and #15.</w:t>
      </w:r>
    </w:p>
    <w:p w:rsidR="000E152C" w:rsidRPr="008B77CF" w:rsidP="000E152C" w14:paraId="73468CEE" w14:textId="77777777">
      <w:pPr>
        <w:autoSpaceDE w:val="0"/>
        <w:autoSpaceDN w:val="0"/>
        <w:adjustRightInd w:val="0"/>
        <w:spacing w:after="0" w:line="240" w:lineRule="auto"/>
        <w:rPr>
          <w:rFonts w:ascii="Times New Roman" w:eastAsia="Times New Roman" w:hAnsi="Times New Roman" w:cs="Times New Roman"/>
          <w:b/>
          <w:sz w:val="24"/>
          <w:szCs w:val="24"/>
        </w:rPr>
      </w:pPr>
    </w:p>
    <w:p w:rsidR="000E152C" w:rsidRPr="008B77CF" w:rsidP="000E152C" w14:paraId="73468CEF"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14.</w:t>
      </w:r>
      <w:r w:rsidRPr="008B77CF">
        <w:rPr>
          <w:rFonts w:ascii="Times New Roman" w:eastAsia="Times New Roman" w:hAnsi="Times New Roman" w:cs="Times New Roman"/>
          <w:sz w:val="24"/>
          <w:szCs w:val="24"/>
        </w:rPr>
        <w:tab/>
        <w:t xml:space="preserve"> </w:t>
      </w:r>
      <w:r w:rsidRPr="008B77CF">
        <w:rPr>
          <w:rFonts w:ascii="Times New Roman" w:eastAsia="Times New Roman" w:hAnsi="Times New Roman" w:cs="Times New Roman"/>
          <w:b/>
          <w:sz w:val="24"/>
          <w:szCs w:val="24"/>
        </w:rPr>
        <w:t>ESTIMATED ANNUALIZED COST TO FEDERAL</w:t>
      </w:r>
    </w:p>
    <w:p w:rsidR="000E152C" w:rsidRPr="008B77CF" w:rsidP="000E152C" w14:paraId="73468CF0"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w:t>
      </w:r>
      <w:r w:rsidRPr="008B77CF">
        <w:rPr>
          <w:rFonts w:ascii="Times New Roman" w:eastAsia="Times New Roman" w:hAnsi="Times New Roman" w:cs="Times New Roman"/>
          <w:b/>
          <w:sz w:val="24"/>
          <w:szCs w:val="24"/>
        </w:rPr>
        <w:tab/>
        <w:t xml:space="preserve"> GOVERNMENT</w:t>
      </w:r>
    </w:p>
    <w:p w:rsidR="000E152C" w:rsidP="000E152C" w14:paraId="73468CF1" w14:textId="7C593BD6">
      <w:pPr>
        <w:widowControl w:val="0"/>
        <w:tabs>
          <w:tab w:val="left" w:pos="-1440"/>
        </w:tabs>
        <w:autoSpaceDE w:val="0"/>
        <w:autoSpaceDN w:val="0"/>
        <w:adjustRightInd w:val="0"/>
        <w:spacing w:after="0" w:line="240" w:lineRule="auto"/>
        <w:ind w:left="5040" w:hanging="4320"/>
        <w:rPr>
          <w:rFonts w:ascii="Times New Roman" w:eastAsia="Times New Roman" w:hAnsi="Times New Roman" w:cs="Times New Roman"/>
          <w:sz w:val="24"/>
          <w:szCs w:val="24"/>
        </w:rPr>
      </w:pPr>
    </w:p>
    <w:p w:rsidR="004B2083" w:rsidP="00711E79" w14:paraId="06598B70" w14:textId="6A14F12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estimates the annualized cost to the federal government for this information collection as:</w:t>
      </w:r>
    </w:p>
    <w:p w:rsidR="0033019D" w:rsidP="00711E79" w14:paraId="019FEAC5"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8"/>
        <w:gridCol w:w="3057"/>
        <w:gridCol w:w="3240"/>
      </w:tblGrid>
      <w:tr w14:paraId="73468CF5" w14:textId="77777777" w:rsidTr="005E0CEE">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78" w:type="dxa"/>
            <w:shd w:val="clear" w:color="auto" w:fill="CCCCCC"/>
          </w:tcPr>
          <w:p w:rsidR="000E152C" w:rsidP="000E152C" w14:paraId="3D880AD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019D" w:rsidRPr="008B77CF" w:rsidP="000E152C" w14:paraId="73468CF2" w14:textId="76DD07E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57" w:type="dxa"/>
            <w:shd w:val="clear" w:color="auto" w:fill="CCCCCC"/>
          </w:tcPr>
          <w:p w:rsidR="000E152C" w:rsidRPr="008B77CF" w:rsidP="000E152C" w14:paraId="73468CF3"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Number of Employees (FTEs)</w:t>
            </w:r>
          </w:p>
        </w:tc>
        <w:tc>
          <w:tcPr>
            <w:tcW w:w="3240" w:type="dxa"/>
            <w:shd w:val="clear" w:color="auto" w:fill="CCCCCC"/>
          </w:tcPr>
          <w:p w:rsidR="000E152C" w:rsidRPr="008B77CF" w:rsidP="000E152C" w14:paraId="73468CF4"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Estimated Annual Federal Cost</w:t>
            </w:r>
          </w:p>
        </w:tc>
      </w:tr>
      <w:tr w14:paraId="73468CF9" w14:textId="77777777" w:rsidTr="005E0CEE">
        <w:tblPrEx>
          <w:tblW w:w="9175" w:type="dxa"/>
          <w:tblLook w:val="01E0"/>
        </w:tblPrEx>
        <w:tc>
          <w:tcPr>
            <w:tcW w:w="2878" w:type="dxa"/>
            <w:shd w:val="clear" w:color="auto" w:fill="auto"/>
          </w:tcPr>
          <w:p w:rsidR="000E152C" w:rsidRPr="008B77CF" w:rsidP="000E152C" w14:paraId="73468CF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PRA</w:t>
            </w:r>
            <w:r>
              <w:rPr>
                <w:rFonts w:ascii="Times New Roman" w:eastAsia="Times New Roman" w:hAnsi="Times New Roman" w:cs="Times New Roman"/>
                <w:b/>
                <w:bCs/>
                <w:sz w:val="24"/>
                <w:szCs w:val="24"/>
                <w:vertAlign w:val="superscript"/>
              </w:rPr>
              <w:footnoteReference w:id="26"/>
            </w:r>
            <w:r w:rsidRPr="008B77CF">
              <w:rPr>
                <w:rFonts w:ascii="Times New Roman" w:eastAsia="Times New Roman" w:hAnsi="Times New Roman" w:cs="Times New Roman"/>
                <w:b/>
                <w:sz w:val="24"/>
                <w:szCs w:val="24"/>
              </w:rPr>
              <w:t xml:space="preserve"> </w:t>
            </w:r>
            <w:r w:rsidRPr="008B77CF">
              <w:rPr>
                <w:rFonts w:ascii="Times New Roman" w:eastAsia="Times New Roman" w:hAnsi="Times New Roman" w:cs="Times New Roman"/>
                <w:sz w:val="24"/>
                <w:szCs w:val="24"/>
              </w:rPr>
              <w:t>Administration Cost</w:t>
            </w:r>
            <w:r>
              <w:rPr>
                <w:rFonts w:ascii="Times New Roman" w:eastAsia="Times New Roman" w:hAnsi="Times New Roman" w:cs="Times New Roman"/>
                <w:b/>
                <w:sz w:val="24"/>
                <w:szCs w:val="24"/>
                <w:vertAlign w:val="superscript"/>
              </w:rPr>
              <w:footnoteReference w:id="27"/>
            </w:r>
            <w:r w:rsidRPr="008B77CF">
              <w:rPr>
                <w:rFonts w:ascii="Times New Roman" w:eastAsia="Times New Roman" w:hAnsi="Times New Roman" w:cs="Times New Roman"/>
                <w:sz w:val="24"/>
                <w:szCs w:val="24"/>
              </w:rPr>
              <w:t xml:space="preserve"> </w:t>
            </w:r>
          </w:p>
        </w:tc>
        <w:tc>
          <w:tcPr>
            <w:tcW w:w="3057" w:type="dxa"/>
            <w:shd w:val="clear" w:color="auto" w:fill="auto"/>
          </w:tcPr>
          <w:p w:rsidR="000E152C" w:rsidRPr="008B77CF" w:rsidP="000E152C" w14:paraId="73468CF7"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p>
        </w:tc>
        <w:tc>
          <w:tcPr>
            <w:tcW w:w="3240" w:type="dxa"/>
            <w:shd w:val="clear" w:color="auto" w:fill="auto"/>
          </w:tcPr>
          <w:p w:rsidR="000E152C" w:rsidRPr="008B77CF" w:rsidP="00F87544" w14:paraId="73468CF8" w14:textId="3007D260">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r w:rsidR="00F21158">
              <w:rPr>
                <w:rFonts w:ascii="Times New Roman" w:eastAsia="Times New Roman" w:hAnsi="Times New Roman" w:cs="Times New Roman"/>
                <w:sz w:val="24"/>
                <w:szCs w:val="24"/>
              </w:rPr>
              <w:t>8,</w:t>
            </w:r>
            <w:r w:rsidR="007E0D0A">
              <w:rPr>
                <w:rFonts w:ascii="Times New Roman" w:eastAsia="Times New Roman" w:hAnsi="Times New Roman" w:cs="Times New Roman"/>
                <w:sz w:val="24"/>
                <w:szCs w:val="24"/>
              </w:rPr>
              <w:t>3</w:t>
            </w:r>
            <w:r w:rsidR="00F21158">
              <w:rPr>
                <w:rFonts w:ascii="Times New Roman" w:eastAsia="Times New Roman" w:hAnsi="Times New Roman" w:cs="Times New Roman"/>
                <w:sz w:val="24"/>
                <w:szCs w:val="24"/>
              </w:rPr>
              <w:t>96</w:t>
            </w:r>
          </w:p>
        </w:tc>
      </w:tr>
      <w:tr w14:paraId="73468CFD" w14:textId="77777777" w:rsidTr="005E0CEE">
        <w:tblPrEx>
          <w:tblW w:w="9175" w:type="dxa"/>
          <w:tblLook w:val="01E0"/>
        </w:tblPrEx>
        <w:tc>
          <w:tcPr>
            <w:tcW w:w="2878" w:type="dxa"/>
            <w:shd w:val="clear" w:color="auto" w:fill="auto"/>
          </w:tcPr>
          <w:p w:rsidR="000E152C" w:rsidRPr="008B77CF" w:rsidP="000E152C" w14:paraId="73468CFA" w14:textId="0EEB6E85">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Analysis</w:t>
            </w:r>
            <w:r w:rsidR="00D739B0">
              <w:rPr>
                <w:rFonts w:ascii="Times New Roman" w:eastAsia="Times New Roman" w:hAnsi="Times New Roman" w:cs="Times New Roman"/>
                <w:sz w:val="24"/>
                <w:szCs w:val="24"/>
              </w:rPr>
              <w:t xml:space="preserve"> and Processing of Filings</w:t>
            </w:r>
            <w:r>
              <w:rPr>
                <w:rFonts w:ascii="Times New Roman" w:eastAsia="Times New Roman" w:hAnsi="Times New Roman" w:cs="Times New Roman"/>
                <w:b/>
                <w:sz w:val="24"/>
                <w:szCs w:val="24"/>
                <w:vertAlign w:val="superscript"/>
              </w:rPr>
              <w:footnoteReference w:id="28"/>
            </w:r>
          </w:p>
        </w:tc>
        <w:tc>
          <w:tcPr>
            <w:tcW w:w="3057" w:type="dxa"/>
            <w:shd w:val="clear" w:color="auto" w:fill="auto"/>
          </w:tcPr>
          <w:p w:rsidR="000E152C" w:rsidRPr="008B77CF" w:rsidP="000E152C" w14:paraId="73468CFB" w14:textId="4EAF4EC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Style w:val="FootnoteReference"/>
                <w:rFonts w:eastAsia="Times New Roman" w:cs="Times New Roman"/>
                <w:sz w:val="24"/>
                <w:szCs w:val="24"/>
              </w:rPr>
              <w:footnoteReference w:id="29"/>
            </w:r>
          </w:p>
        </w:tc>
        <w:tc>
          <w:tcPr>
            <w:tcW w:w="3240" w:type="dxa"/>
            <w:shd w:val="clear" w:color="auto" w:fill="auto"/>
          </w:tcPr>
          <w:p w:rsidR="000E152C" w:rsidRPr="008B77CF" w:rsidP="00EA60F1" w14:paraId="73468CFC" w14:textId="0F4A639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5DA">
              <w:rPr>
                <w:rFonts w:ascii="Times New Roman" w:eastAsia="Times New Roman" w:hAnsi="Times New Roman" w:cs="Times New Roman"/>
                <w:sz w:val="24"/>
                <w:szCs w:val="24"/>
              </w:rPr>
              <w:t>1,870,074</w:t>
            </w:r>
          </w:p>
        </w:tc>
      </w:tr>
      <w:tr w14:paraId="73468D01" w14:textId="77777777" w:rsidTr="005E0CEE">
        <w:tblPrEx>
          <w:tblW w:w="9175" w:type="dxa"/>
          <w:tblLook w:val="01E0"/>
        </w:tblPrEx>
        <w:tc>
          <w:tcPr>
            <w:tcW w:w="2878" w:type="dxa"/>
            <w:shd w:val="clear" w:color="auto" w:fill="auto"/>
          </w:tcPr>
          <w:p w:rsidR="000E152C" w:rsidRPr="008B77CF" w:rsidP="000E152C" w14:paraId="73468CF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FERC Total</w:t>
            </w:r>
          </w:p>
        </w:tc>
        <w:tc>
          <w:tcPr>
            <w:tcW w:w="3057" w:type="dxa"/>
            <w:tcBorders>
              <w:bottom w:val="single" w:sz="4" w:space="0" w:color="auto"/>
            </w:tcBorders>
            <w:shd w:val="clear" w:color="auto" w:fill="BFBFBF"/>
          </w:tcPr>
          <w:p w:rsidR="000E152C" w:rsidRPr="008B77CF" w:rsidP="000E152C" w14:paraId="73468CFF"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3240" w:type="dxa"/>
            <w:shd w:val="clear" w:color="auto" w:fill="auto"/>
          </w:tcPr>
          <w:p w:rsidR="000E152C" w:rsidRPr="008B77CF" w:rsidP="00F87544" w14:paraId="73468D00" w14:textId="0CE73A6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r w:rsidR="00F54646">
              <w:rPr>
                <w:rFonts w:ascii="Times New Roman" w:eastAsia="Times New Roman" w:hAnsi="Times New Roman" w:cs="Times New Roman"/>
                <w:sz w:val="24"/>
                <w:szCs w:val="24"/>
              </w:rPr>
              <w:t>1,878</w:t>
            </w:r>
            <w:r w:rsidR="0023255F">
              <w:rPr>
                <w:rFonts w:ascii="Times New Roman" w:eastAsia="Times New Roman" w:hAnsi="Times New Roman" w:cs="Times New Roman"/>
                <w:sz w:val="24"/>
                <w:szCs w:val="24"/>
              </w:rPr>
              <w:t>,470</w:t>
            </w:r>
          </w:p>
        </w:tc>
      </w:tr>
    </w:tbl>
    <w:p w:rsidR="000E152C" w:rsidRPr="008B77CF" w:rsidP="000E152C" w14:paraId="73468D02"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03" w14:textId="57FEAD5A">
      <w:pPr>
        <w:widowControl w:val="0"/>
        <w:tabs>
          <w:tab w:val="center" w:pos="4680"/>
        </w:tabs>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Commission bases its estimate of the “Analysis and Processing of </w:t>
      </w:r>
      <w:r w:rsidR="00D739B0">
        <w:rPr>
          <w:rFonts w:ascii="Times New Roman" w:eastAsia="Times New Roman" w:hAnsi="Times New Roman" w:cs="Times New Roman"/>
          <w:sz w:val="24"/>
          <w:szCs w:val="24"/>
        </w:rPr>
        <w:t>F</w:t>
      </w:r>
      <w:r w:rsidRPr="008B77CF">
        <w:rPr>
          <w:rFonts w:ascii="Times New Roman" w:eastAsia="Times New Roman" w:hAnsi="Times New Roman" w:cs="Times New Roman"/>
          <w:sz w:val="24"/>
          <w:szCs w:val="24"/>
        </w:rPr>
        <w:t xml:space="preserve">ilings” cost to the </w:t>
      </w:r>
      <w:r w:rsidR="00D739B0">
        <w:rPr>
          <w:rFonts w:ascii="Times New Roman" w:eastAsia="Times New Roman" w:hAnsi="Times New Roman" w:cs="Times New Roman"/>
          <w:sz w:val="24"/>
          <w:szCs w:val="24"/>
        </w:rPr>
        <w:t>f</w:t>
      </w:r>
      <w:r w:rsidRPr="008B77CF">
        <w:rPr>
          <w:rFonts w:ascii="Times New Roman" w:eastAsia="Times New Roman" w:hAnsi="Times New Roman" w:cs="Times New Roman"/>
          <w:sz w:val="24"/>
          <w:szCs w:val="24"/>
        </w:rPr>
        <w:t xml:space="preserve">ederal </w:t>
      </w:r>
      <w:r w:rsidR="00D739B0">
        <w:rPr>
          <w:rFonts w:ascii="Times New Roman" w:eastAsia="Times New Roman" w:hAnsi="Times New Roman" w:cs="Times New Roman"/>
          <w:sz w:val="24"/>
          <w:szCs w:val="24"/>
        </w:rPr>
        <w:t>g</w:t>
      </w:r>
      <w:r w:rsidRPr="008B77CF">
        <w:rPr>
          <w:rFonts w:ascii="Times New Roman" w:eastAsia="Times New Roman" w:hAnsi="Times New Roman" w:cs="Times New Roman"/>
          <w:sz w:val="24"/>
          <w:szCs w:val="24"/>
        </w:rPr>
        <w:t xml:space="preserve">overnment on salaries and benefits for professional and clerical support.  This estimated cost represents staff analysis, decision making, and review of any actual filings made in response to the information collection.  </w:t>
      </w:r>
    </w:p>
    <w:p w:rsidR="000E152C" w:rsidRPr="008B77CF" w:rsidP="000E152C" w14:paraId="73468D0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05"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15.</w:t>
      </w:r>
      <w:r w:rsidRPr="008B77CF">
        <w:rPr>
          <w:rFonts w:ascii="Times New Roman" w:eastAsia="Times New Roman" w:hAnsi="Times New Roman" w:cs="Times New Roman"/>
          <w:b/>
          <w:sz w:val="24"/>
          <w:szCs w:val="24"/>
        </w:rPr>
        <w:tab/>
        <w:t xml:space="preserve"> REASONS FOR CHANGES IN BURDEN INCLUDING THE NEED          FOR ANY INCREASE</w:t>
      </w:r>
    </w:p>
    <w:p w:rsidR="000E152C" w:rsidRPr="008B77CF" w:rsidP="000E152C" w14:paraId="73468D06"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331861" w:rsidRPr="00711E79" w:rsidP="000E152C" w14:paraId="012905BD" w14:textId="0D7FD34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increase in </w:t>
      </w:r>
      <w:r w:rsidR="004942D1">
        <w:rPr>
          <w:rFonts w:ascii="Times New Roman" w:eastAsia="Times New Roman" w:hAnsi="Times New Roman" w:cs="Times New Roman"/>
          <w:sz w:val="24"/>
          <w:szCs w:val="24"/>
        </w:rPr>
        <w:t xml:space="preserve">estimated </w:t>
      </w:r>
      <w:r>
        <w:rPr>
          <w:rFonts w:ascii="Times New Roman" w:eastAsia="Times New Roman" w:hAnsi="Times New Roman" w:cs="Times New Roman"/>
          <w:sz w:val="24"/>
          <w:szCs w:val="24"/>
        </w:rPr>
        <w:t>burden</w:t>
      </w:r>
      <w:r w:rsidR="003203F7">
        <w:rPr>
          <w:rFonts w:ascii="Times New Roman" w:eastAsia="Times New Roman" w:hAnsi="Times New Roman" w:cs="Times New Roman"/>
          <w:sz w:val="24"/>
          <w:szCs w:val="24"/>
        </w:rPr>
        <w:t xml:space="preserve"> </w:t>
      </w:r>
      <w:r w:rsidR="00E768DE">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due to the </w:t>
      </w:r>
      <w:r w:rsidR="00C473FA">
        <w:rPr>
          <w:rFonts w:ascii="Times New Roman" w:eastAsia="Times New Roman" w:hAnsi="Times New Roman" w:cs="Times New Roman"/>
          <w:sz w:val="24"/>
          <w:szCs w:val="24"/>
        </w:rPr>
        <w:t>adopted</w:t>
      </w:r>
      <w:r w:rsidR="00841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changes in</w:t>
      </w:r>
      <w:r w:rsidR="00FC2F26">
        <w:rPr>
          <w:rFonts w:ascii="Times New Roman" w:eastAsia="Times New Roman" w:hAnsi="Times New Roman" w:cs="Times New Roman"/>
          <w:sz w:val="24"/>
          <w:szCs w:val="24"/>
        </w:rPr>
        <w:t xml:space="preserve"> the </w:t>
      </w:r>
      <w:r w:rsidR="006C5D22">
        <w:rPr>
          <w:rFonts w:ascii="Times New Roman" w:eastAsia="Times New Roman" w:hAnsi="Times New Roman" w:cs="Times New Roman"/>
          <w:sz w:val="24"/>
          <w:szCs w:val="24"/>
        </w:rPr>
        <w:t>Final Rule</w:t>
      </w:r>
      <w:r w:rsidR="001F0591">
        <w:rPr>
          <w:rFonts w:ascii="Times New Roman" w:eastAsia="Times New Roman" w:hAnsi="Times New Roman" w:cs="Times New Roman"/>
          <w:sz w:val="24"/>
          <w:szCs w:val="24"/>
        </w:rPr>
        <w:t xml:space="preserve">, </w:t>
      </w:r>
      <w:r w:rsidR="00FC2F26">
        <w:rPr>
          <w:rFonts w:ascii="Times New Roman" w:eastAsia="Times New Roman" w:hAnsi="Times New Roman" w:cs="Times New Roman"/>
          <w:sz w:val="24"/>
          <w:szCs w:val="24"/>
        </w:rPr>
        <w:t>as described above</w:t>
      </w:r>
      <w:r>
        <w:rPr>
          <w:rFonts w:ascii="Times New Roman" w:eastAsia="Times New Roman" w:hAnsi="Times New Roman" w:cs="Times New Roman"/>
          <w:sz w:val="24"/>
          <w:szCs w:val="24"/>
        </w:rPr>
        <w:t>.  The total increase in burden</w:t>
      </w:r>
      <w:r w:rsidR="001D2545">
        <w:rPr>
          <w:rFonts w:ascii="Times New Roman" w:eastAsia="Times New Roman" w:hAnsi="Times New Roman" w:cs="Times New Roman"/>
          <w:sz w:val="24"/>
          <w:szCs w:val="24"/>
        </w:rPr>
        <w:t xml:space="preserve"> </w:t>
      </w:r>
      <w:r w:rsidR="00A74942">
        <w:rPr>
          <w:rFonts w:ascii="Times New Roman" w:eastAsia="Times New Roman" w:hAnsi="Times New Roman" w:cs="Times New Roman"/>
          <w:sz w:val="24"/>
          <w:szCs w:val="24"/>
        </w:rPr>
        <w:t>represents</w:t>
      </w:r>
      <w:r w:rsidR="00F63B85">
        <w:rPr>
          <w:rFonts w:ascii="Times New Roman" w:eastAsia="Times New Roman" w:hAnsi="Times New Roman" w:cs="Times New Roman"/>
          <w:sz w:val="24"/>
          <w:szCs w:val="24"/>
        </w:rPr>
        <w:t xml:space="preserve"> </w:t>
      </w:r>
      <w:r w:rsidR="00610BB3">
        <w:rPr>
          <w:rFonts w:ascii="Times New Roman" w:eastAsia="Times New Roman" w:hAnsi="Times New Roman" w:cs="Times New Roman"/>
          <w:sz w:val="24"/>
          <w:szCs w:val="24"/>
        </w:rPr>
        <w:t>11</w:t>
      </w:r>
      <w:r w:rsidR="001D2545">
        <w:rPr>
          <w:rFonts w:ascii="Times New Roman" w:eastAsia="Times New Roman" w:hAnsi="Times New Roman" w:cs="Times New Roman"/>
          <w:sz w:val="24"/>
          <w:szCs w:val="24"/>
        </w:rPr>
        <w:t xml:space="preserve"> responses and</w:t>
      </w:r>
      <w:r>
        <w:rPr>
          <w:rFonts w:ascii="Times New Roman" w:eastAsia="Times New Roman" w:hAnsi="Times New Roman" w:cs="Times New Roman"/>
          <w:sz w:val="24"/>
          <w:szCs w:val="24"/>
        </w:rPr>
        <w:t xml:space="preserve"> </w:t>
      </w:r>
      <w:r w:rsidR="00C02B29">
        <w:rPr>
          <w:rFonts w:ascii="Times New Roman" w:eastAsia="Times New Roman" w:hAnsi="Times New Roman" w:cs="Times New Roman"/>
          <w:sz w:val="24"/>
          <w:szCs w:val="24"/>
        </w:rPr>
        <w:t>1,</w:t>
      </w:r>
      <w:r w:rsidR="00610BB3">
        <w:rPr>
          <w:rFonts w:ascii="Times New Roman" w:eastAsia="Times New Roman" w:hAnsi="Times New Roman" w:cs="Times New Roman"/>
          <w:sz w:val="24"/>
          <w:szCs w:val="24"/>
        </w:rPr>
        <w:t xml:space="preserve">242 </w:t>
      </w:r>
      <w:r w:rsidR="00C02B29">
        <w:rPr>
          <w:rFonts w:ascii="Times New Roman" w:eastAsia="Times New Roman" w:hAnsi="Times New Roman" w:cs="Times New Roman"/>
          <w:sz w:val="24"/>
          <w:szCs w:val="24"/>
        </w:rPr>
        <w:t>hours</w:t>
      </w:r>
      <w:r>
        <w:rPr>
          <w:rFonts w:ascii="Times New Roman" w:eastAsia="Times New Roman" w:hAnsi="Times New Roman" w:cs="Times New Roman"/>
          <w:sz w:val="24"/>
          <w:szCs w:val="24"/>
        </w:rPr>
        <w:t>.</w:t>
      </w:r>
    </w:p>
    <w:p w:rsidR="00953826" w:rsidRPr="008B77CF" w:rsidP="000E152C" w14:paraId="4364FD5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0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following table shows the total burden </w:t>
      </w:r>
      <w:r w:rsidRPr="008B77CF" w:rsidR="00F87544">
        <w:rPr>
          <w:rFonts w:ascii="Times New Roman" w:eastAsia="Times New Roman" w:hAnsi="Times New Roman" w:cs="Times New Roman"/>
          <w:sz w:val="24"/>
          <w:szCs w:val="24"/>
        </w:rPr>
        <w:t>for</w:t>
      </w:r>
      <w:r w:rsidRPr="008B77CF">
        <w:rPr>
          <w:rFonts w:ascii="Times New Roman" w:eastAsia="Times New Roman" w:hAnsi="Times New Roman" w:cs="Times New Roman"/>
          <w:sz w:val="24"/>
          <w:szCs w:val="24"/>
        </w:rPr>
        <w:t xml:space="preserve"> the collection of information.  The format, labels, and definitions of the table follow the ROCIS submission system’s “Information Collection Request Summary of Burden” for the metadata.</w:t>
      </w:r>
    </w:p>
    <w:p w:rsidR="000E152C" w:rsidRPr="008B77CF" w:rsidP="000E152C" w14:paraId="73468D0A"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tbl>
      <w:tblPr>
        <w:tblW w:w="8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327"/>
        <w:gridCol w:w="1980"/>
        <w:gridCol w:w="1890"/>
        <w:gridCol w:w="1270"/>
      </w:tblGrid>
      <w:tr w14:paraId="73468D10" w14:textId="77777777" w:rsidTr="00EA60F1">
        <w:tblPrEx>
          <w:tblW w:w="8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vAlign w:val="bottom"/>
          </w:tcPr>
          <w:p w:rsidR="000E152C" w:rsidRPr="008B77CF" w:rsidP="000E152C" w14:paraId="73468D0B"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FERC-729</w:t>
            </w:r>
          </w:p>
        </w:tc>
        <w:tc>
          <w:tcPr>
            <w:tcW w:w="1327" w:type="dxa"/>
            <w:shd w:val="clear" w:color="auto" w:fill="D9D9D9"/>
            <w:vAlign w:val="bottom"/>
          </w:tcPr>
          <w:p w:rsidR="000E152C" w:rsidRPr="008B77CF" w:rsidP="000E152C" w14:paraId="73468D0C"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Total Request</w:t>
            </w:r>
          </w:p>
        </w:tc>
        <w:tc>
          <w:tcPr>
            <w:tcW w:w="1980" w:type="dxa"/>
            <w:shd w:val="clear" w:color="auto" w:fill="D9D9D9"/>
            <w:vAlign w:val="bottom"/>
          </w:tcPr>
          <w:p w:rsidR="000E152C" w:rsidRPr="008B77CF" w:rsidP="000E152C" w14:paraId="73468D0D"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Previously Approved</w:t>
            </w:r>
          </w:p>
        </w:tc>
        <w:tc>
          <w:tcPr>
            <w:tcW w:w="1890" w:type="dxa"/>
            <w:shd w:val="clear" w:color="auto" w:fill="D9D9D9"/>
            <w:vAlign w:val="bottom"/>
          </w:tcPr>
          <w:p w:rsidR="000E152C" w:rsidRPr="008B77CF" w:rsidP="000E152C" w14:paraId="73468D0E" w14:textId="466A622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Change </w:t>
            </w:r>
            <w:r w:rsidR="001B63F5">
              <w:rPr>
                <w:rFonts w:ascii="Times New Roman" w:eastAsia="Times New Roman" w:hAnsi="Times New Roman" w:cs="Times New Roman"/>
                <w:b/>
                <w:sz w:val="24"/>
                <w:szCs w:val="24"/>
              </w:rPr>
              <w:t>D</w:t>
            </w:r>
            <w:r w:rsidRPr="008B77CF">
              <w:rPr>
                <w:rFonts w:ascii="Times New Roman" w:eastAsia="Times New Roman" w:hAnsi="Times New Roman" w:cs="Times New Roman"/>
                <w:b/>
                <w:sz w:val="24"/>
                <w:szCs w:val="24"/>
              </w:rPr>
              <w:t>ue to Adjustment in Estimate</w:t>
            </w:r>
          </w:p>
        </w:tc>
        <w:tc>
          <w:tcPr>
            <w:tcW w:w="1270" w:type="dxa"/>
            <w:shd w:val="clear" w:color="auto" w:fill="D9D9D9"/>
            <w:vAlign w:val="bottom"/>
          </w:tcPr>
          <w:p w:rsidR="000E152C" w:rsidRPr="008B77CF" w:rsidP="000E152C" w14:paraId="73468D0F"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Change Due to Agency Discretion</w:t>
            </w:r>
          </w:p>
        </w:tc>
      </w:tr>
      <w:tr w14:paraId="73468D16" w14:textId="77777777" w:rsidTr="00EA60F1">
        <w:tblPrEx>
          <w:tblW w:w="8627" w:type="dxa"/>
          <w:tblInd w:w="108" w:type="dxa"/>
          <w:tblLook w:val="01E0"/>
        </w:tblPrEx>
        <w:trPr>
          <w:trHeight w:val="591"/>
        </w:trPr>
        <w:tc>
          <w:tcPr>
            <w:tcW w:w="2160" w:type="dxa"/>
            <w:shd w:val="clear" w:color="auto" w:fill="auto"/>
          </w:tcPr>
          <w:p w:rsidR="000E152C" w:rsidRPr="008B77CF" w:rsidP="000E152C" w14:paraId="73468D11"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Number of Responses</w:t>
            </w:r>
          </w:p>
        </w:tc>
        <w:tc>
          <w:tcPr>
            <w:tcW w:w="1327" w:type="dxa"/>
            <w:shd w:val="clear" w:color="auto" w:fill="auto"/>
            <w:vAlign w:val="center"/>
          </w:tcPr>
          <w:p w:rsidR="000E152C" w:rsidRPr="008B77CF" w:rsidP="000E152C" w14:paraId="73468D12" w14:textId="7BD82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1</w:t>
            </w:r>
            <w:r w:rsidR="00E355B1">
              <w:rPr>
                <w:rFonts w:ascii="Times New Roman" w:eastAsia="Times New Roman" w:hAnsi="Times New Roman" w:cs="Times New Roman"/>
                <w:sz w:val="24"/>
                <w:szCs w:val="24"/>
              </w:rPr>
              <w:t>2</w:t>
            </w:r>
          </w:p>
        </w:tc>
        <w:tc>
          <w:tcPr>
            <w:tcW w:w="1980" w:type="dxa"/>
            <w:shd w:val="clear" w:color="auto" w:fill="auto"/>
            <w:vAlign w:val="center"/>
          </w:tcPr>
          <w:p w:rsidR="000E152C" w:rsidRPr="008B77CF" w:rsidP="000E152C" w14:paraId="73468D13"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1</w:t>
            </w:r>
          </w:p>
        </w:tc>
        <w:tc>
          <w:tcPr>
            <w:tcW w:w="1890" w:type="dxa"/>
            <w:shd w:val="clear" w:color="auto" w:fill="auto"/>
            <w:vAlign w:val="center"/>
          </w:tcPr>
          <w:p w:rsidR="000E152C" w:rsidRPr="008B77CF" w:rsidP="000E152C" w14:paraId="73468D14"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shd w:val="clear" w:color="auto" w:fill="auto"/>
            <w:vAlign w:val="center"/>
          </w:tcPr>
          <w:p w:rsidR="000E152C" w:rsidRPr="008B77CF" w:rsidP="000E152C" w14:paraId="73468D15" w14:textId="2D770CA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14:paraId="73468D1C" w14:textId="77777777" w:rsidTr="00EA60F1">
        <w:tblPrEx>
          <w:tblW w:w="8627" w:type="dxa"/>
          <w:tblInd w:w="108" w:type="dxa"/>
          <w:tblLook w:val="01E0"/>
        </w:tblPrEx>
        <w:trPr>
          <w:trHeight w:val="575"/>
        </w:trPr>
        <w:tc>
          <w:tcPr>
            <w:tcW w:w="2160" w:type="dxa"/>
            <w:shd w:val="clear" w:color="auto" w:fill="auto"/>
          </w:tcPr>
          <w:p w:rsidR="000E152C" w:rsidRPr="008B77CF" w:rsidP="000E152C" w14:paraId="73468D17" w14:textId="788C903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Time Burden (H</w:t>
            </w:r>
            <w:r w:rsidR="0000431C">
              <w:rPr>
                <w:rFonts w:ascii="Times New Roman" w:eastAsia="Times New Roman" w:hAnsi="Times New Roman" w:cs="Times New Roman"/>
                <w:sz w:val="24"/>
                <w:szCs w:val="24"/>
              </w:rPr>
              <w:t>ou</w:t>
            </w:r>
            <w:r w:rsidRPr="008B77CF">
              <w:rPr>
                <w:rFonts w:ascii="Times New Roman" w:eastAsia="Times New Roman" w:hAnsi="Times New Roman" w:cs="Times New Roman"/>
                <w:sz w:val="24"/>
                <w:szCs w:val="24"/>
              </w:rPr>
              <w:t>r</w:t>
            </w:r>
            <w:r w:rsidR="0000431C">
              <w:rPr>
                <w:rFonts w:ascii="Times New Roman" w:eastAsia="Times New Roman" w:hAnsi="Times New Roman" w:cs="Times New Roman"/>
                <w:sz w:val="24"/>
                <w:szCs w:val="24"/>
              </w:rPr>
              <w:t>s</w:t>
            </w:r>
            <w:r w:rsidRPr="008B77CF">
              <w:rPr>
                <w:rFonts w:ascii="Times New Roman" w:eastAsia="Times New Roman" w:hAnsi="Times New Roman" w:cs="Times New Roman"/>
                <w:sz w:val="24"/>
                <w:szCs w:val="24"/>
              </w:rPr>
              <w:t>)</w:t>
            </w:r>
          </w:p>
        </w:tc>
        <w:tc>
          <w:tcPr>
            <w:tcW w:w="1327" w:type="dxa"/>
            <w:shd w:val="clear" w:color="auto" w:fill="auto"/>
            <w:vAlign w:val="center"/>
          </w:tcPr>
          <w:p w:rsidR="000E152C" w:rsidRPr="008B77CF" w:rsidP="000E152C" w14:paraId="73468D18" w14:textId="4B2CAAF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564D2">
              <w:rPr>
                <w:rFonts w:ascii="Times New Roman" w:eastAsia="Times New Roman" w:hAnsi="Times New Roman" w:cs="Times New Roman"/>
                <w:sz w:val="24"/>
                <w:szCs w:val="24"/>
              </w:rPr>
              <w:t>842</w:t>
            </w:r>
          </w:p>
        </w:tc>
        <w:tc>
          <w:tcPr>
            <w:tcW w:w="1980" w:type="dxa"/>
            <w:shd w:val="clear" w:color="auto" w:fill="auto"/>
            <w:vAlign w:val="center"/>
          </w:tcPr>
          <w:p w:rsidR="000E152C" w:rsidRPr="008B77CF" w:rsidP="000E152C" w14:paraId="73468D19"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9,600</w:t>
            </w:r>
          </w:p>
        </w:tc>
        <w:tc>
          <w:tcPr>
            <w:tcW w:w="1890" w:type="dxa"/>
            <w:shd w:val="clear" w:color="auto" w:fill="auto"/>
            <w:vAlign w:val="center"/>
          </w:tcPr>
          <w:p w:rsidR="000E152C" w:rsidRPr="008B77CF" w:rsidP="000E152C" w14:paraId="73468D1A"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shd w:val="clear" w:color="auto" w:fill="auto"/>
            <w:vAlign w:val="center"/>
          </w:tcPr>
          <w:p w:rsidR="000E152C" w:rsidRPr="008B77CF" w:rsidP="000E152C" w14:paraId="73468D1B" w14:textId="0BA8D40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564D2">
              <w:rPr>
                <w:rFonts w:ascii="Times New Roman" w:eastAsia="Times New Roman" w:hAnsi="Times New Roman" w:cs="Times New Roman"/>
                <w:sz w:val="24"/>
                <w:szCs w:val="24"/>
              </w:rPr>
              <w:t>24</w:t>
            </w:r>
            <w:r w:rsidR="00086343">
              <w:rPr>
                <w:rFonts w:ascii="Times New Roman" w:eastAsia="Times New Roman" w:hAnsi="Times New Roman" w:cs="Times New Roman"/>
                <w:sz w:val="24"/>
                <w:szCs w:val="24"/>
              </w:rPr>
              <w:t>2</w:t>
            </w:r>
          </w:p>
        </w:tc>
      </w:tr>
      <w:tr w14:paraId="73468D22" w14:textId="77777777" w:rsidTr="00EA60F1">
        <w:tblPrEx>
          <w:tblW w:w="8627" w:type="dxa"/>
          <w:tblInd w:w="108" w:type="dxa"/>
          <w:tblLook w:val="01E0"/>
        </w:tblPrEx>
        <w:trPr>
          <w:trHeight w:val="295"/>
        </w:trPr>
        <w:tc>
          <w:tcPr>
            <w:tcW w:w="2160" w:type="dxa"/>
            <w:tcBorders>
              <w:bottom w:val="single" w:sz="4" w:space="0" w:color="auto"/>
            </w:tcBorders>
            <w:shd w:val="clear" w:color="auto" w:fill="auto"/>
          </w:tcPr>
          <w:p w:rsidR="000E152C" w:rsidRPr="008B77CF" w:rsidP="000E152C" w14:paraId="73468D1D"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Cost Burden ($)</w:t>
            </w:r>
          </w:p>
        </w:tc>
        <w:tc>
          <w:tcPr>
            <w:tcW w:w="1327" w:type="dxa"/>
            <w:tcBorders>
              <w:bottom w:val="single" w:sz="4" w:space="0" w:color="auto"/>
            </w:tcBorders>
            <w:shd w:val="clear" w:color="auto" w:fill="auto"/>
            <w:vAlign w:val="center"/>
          </w:tcPr>
          <w:p w:rsidR="000E152C" w:rsidRPr="008B77CF" w:rsidP="000E152C" w14:paraId="73468D1E"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980" w:type="dxa"/>
            <w:tcBorders>
              <w:bottom w:val="single" w:sz="4" w:space="0" w:color="auto"/>
            </w:tcBorders>
            <w:shd w:val="clear" w:color="auto" w:fill="auto"/>
            <w:vAlign w:val="center"/>
          </w:tcPr>
          <w:p w:rsidR="000E152C" w:rsidRPr="008B77CF" w:rsidP="000E152C" w14:paraId="73468D1F"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890" w:type="dxa"/>
            <w:tcBorders>
              <w:bottom w:val="single" w:sz="4" w:space="0" w:color="auto"/>
            </w:tcBorders>
            <w:shd w:val="clear" w:color="auto" w:fill="auto"/>
            <w:vAlign w:val="center"/>
          </w:tcPr>
          <w:p w:rsidR="000E152C" w:rsidRPr="008B77CF" w:rsidP="000E152C" w14:paraId="73468D20"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tcBorders>
              <w:bottom w:val="single" w:sz="4" w:space="0" w:color="auto"/>
            </w:tcBorders>
            <w:shd w:val="clear" w:color="auto" w:fill="auto"/>
            <w:vAlign w:val="center"/>
          </w:tcPr>
          <w:p w:rsidR="000E152C" w:rsidRPr="008B77CF" w:rsidP="000E152C" w14:paraId="73468D21" w14:textId="7777777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r>
    </w:tbl>
    <w:p w:rsidR="000E152C" w:rsidRPr="008B77CF" w:rsidP="000E152C" w14:paraId="73468D23"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431E1D" w14:paraId="73468D24" w14:textId="77777777">
      <w:pPr>
        <w:autoSpaceDE w:val="0"/>
        <w:autoSpaceDN w:val="0"/>
        <w:adjustRightInd w:val="0"/>
        <w:spacing w:after="0" w:line="240" w:lineRule="auto"/>
        <w:rPr>
          <w:rFonts w:ascii="Times New Roman" w:eastAsia="Times New Roman" w:hAnsi="Times New Roman" w:cs="Times New Roman"/>
          <w:sz w:val="24"/>
          <w:szCs w:val="24"/>
        </w:rPr>
      </w:pPr>
    </w:p>
    <w:p w:rsidR="000E152C" w:rsidRPr="008B77CF" w:rsidP="000E152C" w14:paraId="73468D25" w14:textId="394AECF5">
      <w:pPr>
        <w:widowControl w:val="0"/>
        <w:numPr>
          <w:ilvl w:val="0"/>
          <w:numId w:val="4"/>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TIME SCHEDULE FOR PUBLICATION OF DATA</w:t>
      </w:r>
    </w:p>
    <w:p w:rsidR="000E152C" w:rsidRPr="008B77CF" w:rsidP="000E152C" w14:paraId="73468D26" w14:textId="77777777">
      <w:pPr>
        <w:autoSpaceDE w:val="0"/>
        <w:autoSpaceDN w:val="0"/>
        <w:adjustRightInd w:val="0"/>
        <w:spacing w:after="0" w:line="240" w:lineRule="auto"/>
        <w:ind w:left="720"/>
        <w:rPr>
          <w:rFonts w:ascii="Times New Roman" w:eastAsia="Times New Roman" w:hAnsi="Times New Roman" w:cs="Times New Roman"/>
          <w:b/>
          <w:sz w:val="24"/>
          <w:szCs w:val="24"/>
        </w:rPr>
      </w:pPr>
    </w:p>
    <w:p w:rsidR="000E152C" w:rsidRPr="008B77CF" w:rsidP="000E152C" w14:paraId="73468D27" w14:textId="0C0729BE">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w:t>
      </w:r>
      <w:r w:rsidR="005855ED">
        <w:rPr>
          <w:rFonts w:ascii="Times New Roman" w:eastAsia="Times New Roman" w:hAnsi="Times New Roman" w:cs="Times New Roman"/>
          <w:sz w:val="24"/>
          <w:szCs w:val="24"/>
        </w:rPr>
        <w:t xml:space="preserve">Commission does not publish any </w:t>
      </w:r>
      <w:r w:rsidRPr="008B77CF">
        <w:rPr>
          <w:rFonts w:ascii="Times New Roman" w:eastAsia="Times New Roman" w:hAnsi="Times New Roman" w:cs="Times New Roman"/>
          <w:sz w:val="24"/>
          <w:szCs w:val="24"/>
        </w:rPr>
        <w:t xml:space="preserve">data </w:t>
      </w:r>
      <w:r w:rsidR="005855ED">
        <w:rPr>
          <w:rFonts w:ascii="Times New Roman" w:eastAsia="Times New Roman" w:hAnsi="Times New Roman" w:cs="Times New Roman"/>
          <w:sz w:val="24"/>
          <w:szCs w:val="24"/>
        </w:rPr>
        <w:t>associated with this information collection</w:t>
      </w:r>
      <w:r w:rsidRPr="008B77CF">
        <w:rPr>
          <w:rFonts w:ascii="Times New Roman" w:eastAsia="Times New Roman" w:hAnsi="Times New Roman" w:cs="Times New Roman"/>
          <w:sz w:val="24"/>
          <w:szCs w:val="24"/>
        </w:rPr>
        <w:t>.</w:t>
      </w:r>
    </w:p>
    <w:p w:rsidR="000E152C" w:rsidRPr="008B77CF" w:rsidP="000E152C" w14:paraId="73468D28"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0E152C" w:rsidRPr="008B77CF" w:rsidP="000E152C" w14:paraId="73468D29" w14:textId="77777777">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17.</w:t>
      </w:r>
      <w:r w:rsidRPr="008B77CF">
        <w:rPr>
          <w:rFonts w:ascii="Times New Roman" w:eastAsia="Times New Roman" w:hAnsi="Times New Roman" w:cs="Times New Roman"/>
          <w:sz w:val="24"/>
          <w:szCs w:val="24"/>
        </w:rPr>
        <w:tab/>
        <w:t xml:space="preserve"> </w:t>
      </w:r>
      <w:r w:rsidRPr="008B77CF">
        <w:rPr>
          <w:rFonts w:ascii="Times New Roman" w:eastAsia="Times New Roman" w:hAnsi="Times New Roman" w:cs="Times New Roman"/>
          <w:b/>
          <w:sz w:val="24"/>
          <w:szCs w:val="24"/>
        </w:rPr>
        <w:t>DISPLAY OF EXPIRATION DATE</w:t>
      </w:r>
    </w:p>
    <w:p w:rsidR="000E152C" w:rsidRPr="008B77CF" w:rsidP="000E152C" w14:paraId="73468D2A" w14:textId="77777777">
      <w:pPr>
        <w:autoSpaceDE w:val="0"/>
        <w:autoSpaceDN w:val="0"/>
        <w:adjustRightInd w:val="0"/>
        <w:spacing w:after="0" w:line="240" w:lineRule="auto"/>
        <w:ind w:firstLine="720"/>
        <w:rPr>
          <w:rFonts w:ascii="Times New Roman" w:eastAsia="Times New Roman" w:hAnsi="Times New Roman" w:cs="Times New Roman"/>
          <w:b/>
          <w:sz w:val="24"/>
          <w:szCs w:val="24"/>
        </w:rPr>
      </w:pPr>
    </w:p>
    <w:p w:rsidR="000E152C" w:rsidRPr="008B77CF" w:rsidP="000E152C" w14:paraId="73468D2B" w14:textId="469EC4DF">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expiration date </w:t>
      </w:r>
      <w:r w:rsidR="00622C4F">
        <w:rPr>
          <w:rFonts w:ascii="Times New Roman" w:eastAsia="Times New Roman" w:hAnsi="Times New Roman" w:cs="Times New Roman"/>
          <w:sz w:val="24"/>
          <w:szCs w:val="24"/>
        </w:rPr>
        <w:t>is</w:t>
      </w:r>
      <w:r w:rsidRPr="008B77CF">
        <w:rPr>
          <w:rFonts w:ascii="Times New Roman" w:eastAsia="Times New Roman" w:hAnsi="Times New Roman" w:cs="Times New Roman"/>
          <w:sz w:val="24"/>
          <w:szCs w:val="24"/>
        </w:rPr>
        <w:t xml:space="preserve"> posted </w:t>
      </w:r>
      <w:r w:rsidR="005855ED">
        <w:rPr>
          <w:rFonts w:ascii="Times New Roman" w:eastAsia="Times New Roman" w:hAnsi="Times New Roman" w:cs="Times New Roman"/>
          <w:sz w:val="24"/>
          <w:szCs w:val="24"/>
        </w:rPr>
        <w:t xml:space="preserve">at:  </w:t>
      </w:r>
      <w:hyperlink r:id="rId10" w:history="1">
        <w:r w:rsidRPr="005855ED" w:rsidR="005855ED">
          <w:rPr>
            <w:rStyle w:val="Hyperlink"/>
            <w:rFonts w:ascii="Times New Roman" w:eastAsia="Times New Roman" w:hAnsi="Times New Roman" w:cs="Times New Roman"/>
            <w:sz w:val="24"/>
            <w:szCs w:val="24"/>
          </w:rPr>
          <w:t>https://www.ferc.gov/</w:t>
        </w:r>
        <w:r w:rsidRPr="001B63F5" w:rsidR="005855ED">
          <w:rPr>
            <w:rStyle w:val="Hyperlink"/>
            <w:rFonts w:ascii="Times New Roman" w:eastAsia="Times New Roman" w:hAnsi="Times New Roman" w:cs="Times New Roman"/>
            <w:sz w:val="24"/>
            <w:szCs w:val="24"/>
          </w:rPr>
          <w:t>information</w:t>
        </w:r>
        <w:r w:rsidRPr="00163D39" w:rsidR="005855ED">
          <w:rPr>
            <w:rStyle w:val="Hyperlink"/>
            <w:rFonts w:ascii="Times New Roman" w:eastAsia="Times New Roman" w:hAnsi="Times New Roman" w:cs="Times New Roman"/>
            <w:sz w:val="24"/>
            <w:szCs w:val="24"/>
          </w:rPr>
          <w:t>-collections</w:t>
        </w:r>
      </w:hyperlink>
      <w:r w:rsidR="005855ED">
        <w:rPr>
          <w:rFonts w:ascii="Times New Roman" w:eastAsia="Times New Roman" w:hAnsi="Times New Roman" w:cs="Times New Roman"/>
          <w:sz w:val="24"/>
          <w:szCs w:val="24"/>
        </w:rPr>
        <w:t xml:space="preserve">. </w:t>
      </w:r>
      <w:r w:rsidR="00A043C1">
        <w:rPr>
          <w:rFonts w:ascii="Times New Roman" w:eastAsia="Times New Roman" w:hAnsi="Times New Roman" w:cs="Times New Roman"/>
          <w:sz w:val="24"/>
          <w:szCs w:val="24"/>
        </w:rPr>
        <w:t xml:space="preserve">  </w:t>
      </w:r>
    </w:p>
    <w:p w:rsidR="000E152C" w:rsidRPr="008B77CF" w:rsidP="000E152C" w14:paraId="73468D2C"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0E152C" w:rsidRPr="008B77CF" w:rsidP="000E152C" w14:paraId="73468D2D" w14:textId="77777777">
      <w:pPr>
        <w:widowControl w:val="0"/>
        <w:numPr>
          <w:ilvl w:val="0"/>
          <w:numId w:val="5"/>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EXCEPTIONS TO THE CERTIFICATION STATEMENT</w:t>
      </w:r>
    </w:p>
    <w:p w:rsidR="000E152C" w:rsidRPr="008B77CF" w:rsidP="000E152C" w14:paraId="73468D2E" w14:textId="77777777">
      <w:pPr>
        <w:autoSpaceDE w:val="0"/>
        <w:autoSpaceDN w:val="0"/>
        <w:adjustRightInd w:val="0"/>
        <w:spacing w:after="0" w:line="240" w:lineRule="auto"/>
        <w:ind w:left="720"/>
        <w:rPr>
          <w:rFonts w:ascii="Times New Roman" w:eastAsia="Times New Roman" w:hAnsi="Times New Roman" w:cs="Times New Roman"/>
          <w:b/>
          <w:sz w:val="24"/>
          <w:szCs w:val="24"/>
        </w:rPr>
      </w:pPr>
    </w:p>
    <w:p w:rsidR="000E152C" w:rsidRPr="008B77CF" w:rsidP="000E152C" w14:paraId="73468D2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There are no exceptions.</w:t>
      </w:r>
    </w:p>
    <w:p w:rsidR="000E152C" w:rsidRPr="008B77CF" w:rsidP="000E152C" w14:paraId="73468D30"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CC6EB8" w:rsidRPr="008B77CF" w14:paraId="73468D31" w14:textId="77777777">
      <w:pPr>
        <w:rPr>
          <w:rFonts w:ascii="Times New Roman" w:hAnsi="Times New Roman" w:cs="Times New Roman"/>
          <w:sz w:val="24"/>
          <w:szCs w:val="24"/>
        </w:rPr>
      </w:pPr>
    </w:p>
    <w:sectPr>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73468D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A7570B" w:rsidP="00F53486" w14:paraId="73468D3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73468D3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075">
      <w:rPr>
        <w:rStyle w:val="PageNumber"/>
        <w:noProof/>
      </w:rPr>
      <w:t>1</w:t>
    </w:r>
    <w:r>
      <w:rPr>
        <w:rStyle w:val="PageNumber"/>
      </w:rPr>
      <w:fldChar w:fldCharType="end"/>
    </w:r>
  </w:p>
  <w:p w:rsidR="00A7570B" w:rsidP="00F53486" w14:paraId="73468D3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46EA" w:rsidP="000E152C" w14:paraId="35DE9120" w14:textId="77777777">
      <w:pPr>
        <w:spacing w:after="0" w:line="240" w:lineRule="auto"/>
      </w:pPr>
      <w:r>
        <w:separator/>
      </w:r>
    </w:p>
  </w:footnote>
  <w:footnote w:type="continuationSeparator" w:id="1">
    <w:p w:rsidR="004246EA" w:rsidP="000E152C" w14:paraId="58F8263D" w14:textId="77777777">
      <w:pPr>
        <w:spacing w:after="0" w:line="240" w:lineRule="auto"/>
      </w:pPr>
      <w:r>
        <w:continuationSeparator/>
      </w:r>
    </w:p>
  </w:footnote>
  <w:footnote w:type="continuationNotice" w:id="2">
    <w:p w:rsidR="004246EA" w14:paraId="22BB1E78" w14:textId="77777777">
      <w:pPr>
        <w:spacing w:after="0" w:line="240" w:lineRule="auto"/>
      </w:pPr>
    </w:p>
  </w:footnote>
  <w:footnote w:id="3">
    <w:p w:rsidR="00D26EFF" w:rsidRPr="00E17B5C" w14:paraId="144B1D5C" w14:textId="61BFF558">
      <w:pPr>
        <w:pStyle w:val="FootnoteText"/>
        <w:rPr>
          <w:rFonts w:ascii="Times New Roman" w:hAnsi="Times New Roman" w:cs="Times New Roman"/>
          <w:sz w:val="24"/>
          <w:szCs w:val="24"/>
        </w:rPr>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rPr>
        <w:t>16 U.S.C. 824p.</w:t>
      </w:r>
    </w:p>
  </w:footnote>
  <w:footnote w:id="4">
    <w:p w:rsidR="00611DC9" w:rsidRPr="00DB01AA" w14:paraId="5C44E46A" w14:textId="6A95A80E">
      <w:pPr>
        <w:pStyle w:val="FootnoteText"/>
        <w:rPr>
          <w:rFonts w:ascii="Times New Roman" w:hAnsi="Times New Roman"/>
          <w:sz w:val="24"/>
        </w:rPr>
      </w:pPr>
      <w:r w:rsidRPr="00DB01AA">
        <w:rPr>
          <w:rStyle w:val="FootnoteReference"/>
          <w:sz w:val="24"/>
        </w:rPr>
        <w:footnoteRef/>
      </w:r>
      <w:r w:rsidRPr="00DB01AA">
        <w:rPr>
          <w:rFonts w:ascii="Times New Roman" w:hAnsi="Times New Roman"/>
          <w:sz w:val="24"/>
        </w:rPr>
        <w:t xml:space="preserve"> </w:t>
      </w:r>
      <w:r w:rsidRPr="00DB01AA" w:rsidR="00985533">
        <w:rPr>
          <w:rFonts w:ascii="Times New Roman" w:hAnsi="Times New Roman"/>
          <w:sz w:val="24"/>
        </w:rPr>
        <w:t xml:space="preserve">Under 16 U.S.C. 824p(a), </w:t>
      </w:r>
      <w:r w:rsidRPr="00DB01AA" w:rsidR="000E0AE3">
        <w:rPr>
          <w:rFonts w:ascii="Times New Roman" w:hAnsi="Times New Roman"/>
          <w:sz w:val="24"/>
        </w:rPr>
        <w:t>the Secretary of Energy may designate</w:t>
      </w:r>
      <w:r w:rsidRPr="00DB01AA" w:rsidR="00FA1C4A">
        <w:rPr>
          <w:rFonts w:ascii="Times New Roman" w:hAnsi="Times New Roman"/>
          <w:sz w:val="24"/>
        </w:rPr>
        <w:t xml:space="preserve"> </w:t>
      </w:r>
      <w:r w:rsidR="005453EC">
        <w:rPr>
          <w:rFonts w:ascii="Times New Roman" w:hAnsi="Times New Roman"/>
          <w:sz w:val="24"/>
        </w:rPr>
        <w:t xml:space="preserve">any </w:t>
      </w:r>
      <w:r w:rsidRPr="00DB01AA" w:rsidR="00FA1C4A">
        <w:rPr>
          <w:rFonts w:ascii="Times New Roman" w:hAnsi="Times New Roman"/>
          <w:sz w:val="24"/>
        </w:rPr>
        <w:t>geographic area as</w:t>
      </w:r>
      <w:r w:rsidR="005453EC">
        <w:rPr>
          <w:rFonts w:ascii="Times New Roman" w:hAnsi="Times New Roman"/>
          <w:sz w:val="24"/>
        </w:rPr>
        <w:t xml:space="preserve"> </w:t>
      </w:r>
      <w:r w:rsidRPr="00DB01AA" w:rsidR="000E0AE3">
        <w:rPr>
          <w:rFonts w:ascii="Times New Roman" w:hAnsi="Times New Roman"/>
          <w:sz w:val="24"/>
        </w:rPr>
        <w:t xml:space="preserve"> </w:t>
      </w:r>
      <w:r w:rsidR="005453EC">
        <w:rPr>
          <w:rFonts w:ascii="Times New Roman" w:hAnsi="Times New Roman"/>
          <w:sz w:val="24"/>
        </w:rPr>
        <w:t xml:space="preserve">a </w:t>
      </w:r>
      <w:r w:rsidRPr="00DB01AA" w:rsidR="00985533">
        <w:rPr>
          <w:rFonts w:ascii="Times New Roman" w:hAnsi="Times New Roman"/>
          <w:sz w:val="24"/>
        </w:rPr>
        <w:t xml:space="preserve">national interest </w:t>
      </w:r>
      <w:r w:rsidRPr="00DB01AA" w:rsidR="00F009E0">
        <w:rPr>
          <w:rFonts w:ascii="Times New Roman" w:hAnsi="Times New Roman"/>
          <w:sz w:val="24"/>
        </w:rPr>
        <w:t>electric transmission corridor</w:t>
      </w:r>
      <w:r w:rsidRPr="00DB01AA" w:rsidR="00913BE0">
        <w:rPr>
          <w:rFonts w:ascii="Times New Roman" w:hAnsi="Times New Roman"/>
          <w:sz w:val="24"/>
        </w:rPr>
        <w:t xml:space="preserve"> upon determining that </w:t>
      </w:r>
      <w:r w:rsidRPr="00DB01AA" w:rsidR="00FA1C4A">
        <w:rPr>
          <w:rFonts w:ascii="Times New Roman" w:hAnsi="Times New Roman"/>
          <w:sz w:val="24"/>
        </w:rPr>
        <w:t xml:space="preserve">the area </w:t>
      </w:r>
      <w:r w:rsidRPr="00DB01AA" w:rsidR="00DC0933">
        <w:rPr>
          <w:rFonts w:ascii="Times New Roman" w:hAnsi="Times New Roman"/>
          <w:sz w:val="24"/>
        </w:rPr>
        <w:t xml:space="preserve">is experiencing electric energy transmission capacity restraints or congestion that adversely affects consumers.  </w:t>
      </w:r>
      <w:r w:rsidRPr="00DB01AA" w:rsidR="002D0859">
        <w:rPr>
          <w:rFonts w:ascii="Times New Roman" w:hAnsi="Times New Roman"/>
          <w:sz w:val="24"/>
        </w:rPr>
        <w:t>Under 16 U.S.C. 824p(b), the Commission</w:t>
      </w:r>
      <w:r w:rsidRPr="00DB01AA" w:rsidR="00E42C6C">
        <w:rPr>
          <w:rFonts w:ascii="Times New Roman" w:hAnsi="Times New Roman"/>
          <w:sz w:val="24"/>
        </w:rPr>
        <w:t xml:space="preserve"> </w:t>
      </w:r>
      <w:r w:rsidRPr="00DB01AA" w:rsidR="00E52BEC">
        <w:rPr>
          <w:rFonts w:ascii="Times New Roman" w:hAnsi="Times New Roman"/>
          <w:sz w:val="24"/>
        </w:rPr>
        <w:t xml:space="preserve">may issue permits for the construction or modification of electric transmission facilities in a national interest electric transmission </w:t>
      </w:r>
      <w:r w:rsidRPr="00DB01AA" w:rsidR="00323C62">
        <w:rPr>
          <w:rFonts w:ascii="Times New Roman" w:hAnsi="Times New Roman"/>
          <w:sz w:val="24"/>
        </w:rPr>
        <w:t xml:space="preserve">corridor.  The Commission’s authority is limited by 16 U.S.C. 824p(i), </w:t>
      </w:r>
      <w:r w:rsidRPr="00DB01AA" w:rsidR="008B07E6">
        <w:rPr>
          <w:rFonts w:ascii="Times New Roman" w:hAnsi="Times New Roman"/>
          <w:sz w:val="24"/>
        </w:rPr>
        <w:t xml:space="preserve">which pertains to </w:t>
      </w:r>
      <w:r w:rsidRPr="00DB01AA" w:rsidR="00B54657">
        <w:rPr>
          <w:rFonts w:ascii="Times New Roman" w:hAnsi="Times New Roman"/>
          <w:sz w:val="24"/>
        </w:rPr>
        <w:t xml:space="preserve">regional transmission </w:t>
      </w:r>
      <w:r w:rsidRPr="00DB01AA" w:rsidR="00DB01AA">
        <w:rPr>
          <w:rFonts w:ascii="Times New Roman" w:hAnsi="Times New Roman"/>
          <w:sz w:val="24"/>
        </w:rPr>
        <w:t>siting agencies established by three or more contiguous States.</w:t>
      </w:r>
    </w:p>
  </w:footnote>
  <w:footnote w:id="5">
    <w:p w:rsidR="00044733" w:rsidRPr="00DA1792" w14:paraId="6FB0E03D" w14:textId="0E56256A">
      <w:pPr>
        <w:pStyle w:val="FootnoteText"/>
        <w:rPr>
          <w:sz w:val="24"/>
          <w:szCs w:val="24"/>
        </w:rPr>
      </w:pPr>
      <w:r w:rsidRPr="00A83DE7">
        <w:rPr>
          <w:rStyle w:val="FootnoteReference"/>
          <w:sz w:val="24"/>
          <w:szCs w:val="24"/>
        </w:rPr>
        <w:footnoteRef/>
      </w:r>
      <w:r w:rsidRPr="00DA1792">
        <w:rPr>
          <w:sz w:val="24"/>
          <w:szCs w:val="24"/>
        </w:rPr>
        <w:t xml:space="preserve"> </w:t>
      </w:r>
      <w:r w:rsidRPr="00E17B5C">
        <w:rPr>
          <w:rFonts w:ascii="Times New Roman" w:hAnsi="Times New Roman" w:cs="Times New Roman"/>
          <w:i/>
          <w:iCs/>
          <w:sz w:val="24"/>
          <w:szCs w:val="24"/>
        </w:rPr>
        <w:t>Regulations for Filing Applications for Permits to Site Interstate Elec. Transmission Facilities</w:t>
      </w:r>
      <w:r w:rsidRPr="00E17B5C">
        <w:rPr>
          <w:rFonts w:ascii="Times New Roman" w:hAnsi="Times New Roman" w:cs="Times New Roman"/>
          <w:sz w:val="24"/>
          <w:szCs w:val="24"/>
        </w:rPr>
        <w:t xml:space="preserve">, Order No. 689, 117 FERC ¶ 61,202 (2006), </w:t>
      </w:r>
      <w:r w:rsidRPr="00E17B5C">
        <w:rPr>
          <w:rFonts w:ascii="Times New Roman" w:hAnsi="Times New Roman" w:cs="Times New Roman"/>
          <w:i/>
          <w:iCs/>
          <w:sz w:val="24"/>
          <w:szCs w:val="24"/>
        </w:rPr>
        <w:t>reh’g denied</w:t>
      </w:r>
      <w:r w:rsidRPr="00E17B5C">
        <w:rPr>
          <w:rFonts w:ascii="Times New Roman" w:hAnsi="Times New Roman" w:cs="Times New Roman"/>
          <w:sz w:val="24"/>
          <w:szCs w:val="24"/>
        </w:rPr>
        <w:t>, 119 FERC ¶ 61,154 (2007).</w:t>
      </w:r>
    </w:p>
  </w:footnote>
  <w:footnote w:id="6">
    <w:p w:rsidR="0094696E" w:rsidRPr="00DA1792" w14:paraId="59E89EAD" w14:textId="570646CC">
      <w:pPr>
        <w:pStyle w:val="FootnoteText"/>
        <w:rPr>
          <w:sz w:val="24"/>
          <w:szCs w:val="24"/>
        </w:rPr>
      </w:pPr>
      <w:r w:rsidRPr="00E17B5C">
        <w:rPr>
          <w:rStyle w:val="FootnoteReference"/>
          <w:sz w:val="24"/>
          <w:szCs w:val="24"/>
        </w:rPr>
        <w:footnoteRef/>
      </w:r>
      <w:r w:rsidRPr="00E17B5C">
        <w:rPr>
          <w:sz w:val="24"/>
          <w:szCs w:val="24"/>
        </w:rPr>
        <w:t xml:space="preserve"> </w:t>
      </w:r>
      <w:r w:rsidRPr="00E17B5C" w:rsidR="004E6A7C">
        <w:rPr>
          <w:rFonts w:ascii="Times New Roman" w:hAnsi="Times New Roman" w:cs="Times New Roman"/>
          <w:sz w:val="24"/>
          <w:szCs w:val="24"/>
        </w:rPr>
        <w:t>18 CFR pt. 50.</w:t>
      </w:r>
    </w:p>
  </w:footnote>
  <w:footnote w:id="7">
    <w:p w:rsidR="006E6689" w:rsidRPr="00DA1792" w14:paraId="711C5ADC" w14:textId="7B96AE07">
      <w:pPr>
        <w:pStyle w:val="FootnoteText"/>
        <w:rPr>
          <w:sz w:val="24"/>
          <w:szCs w:val="24"/>
        </w:rPr>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rPr>
        <w:t>42 U</w:t>
      </w:r>
      <w:r w:rsidRPr="00E17B5C" w:rsidR="00575E9B">
        <w:rPr>
          <w:rFonts w:ascii="Times New Roman" w:hAnsi="Times New Roman" w:cs="Times New Roman"/>
          <w:sz w:val="24"/>
          <w:szCs w:val="24"/>
        </w:rPr>
        <w:t>.</w:t>
      </w:r>
      <w:r w:rsidRPr="00E17B5C">
        <w:rPr>
          <w:rFonts w:ascii="Times New Roman" w:hAnsi="Times New Roman" w:cs="Times New Roman"/>
          <w:sz w:val="24"/>
          <w:szCs w:val="24"/>
        </w:rPr>
        <w:t>S</w:t>
      </w:r>
      <w:r w:rsidRPr="00E17B5C" w:rsidR="00575E9B">
        <w:rPr>
          <w:rFonts w:ascii="Times New Roman" w:hAnsi="Times New Roman" w:cs="Times New Roman"/>
          <w:sz w:val="24"/>
          <w:szCs w:val="24"/>
        </w:rPr>
        <w:t>.</w:t>
      </w:r>
      <w:r w:rsidRPr="00E17B5C">
        <w:rPr>
          <w:rFonts w:ascii="Times New Roman" w:hAnsi="Times New Roman" w:cs="Times New Roman"/>
          <w:sz w:val="24"/>
          <w:szCs w:val="24"/>
        </w:rPr>
        <w:t>C</w:t>
      </w:r>
      <w:r w:rsidRPr="00E17B5C" w:rsidR="00575E9B">
        <w:rPr>
          <w:rFonts w:ascii="Times New Roman" w:hAnsi="Times New Roman" w:cs="Times New Roman"/>
          <w:sz w:val="24"/>
          <w:szCs w:val="24"/>
        </w:rPr>
        <w:t>.</w:t>
      </w:r>
      <w:r w:rsidRPr="00E17B5C">
        <w:rPr>
          <w:rFonts w:ascii="Times New Roman" w:hAnsi="Times New Roman" w:cs="Times New Roman"/>
          <w:sz w:val="24"/>
          <w:szCs w:val="24"/>
        </w:rPr>
        <w:t xml:space="preserve"> 43</w:t>
      </w:r>
      <w:r w:rsidR="00A91E6C">
        <w:rPr>
          <w:rFonts w:ascii="Times New Roman" w:hAnsi="Times New Roman" w:cs="Times New Roman"/>
          <w:sz w:val="24"/>
          <w:szCs w:val="24"/>
        </w:rPr>
        <w:t>32</w:t>
      </w:r>
      <w:r w:rsidR="00647711">
        <w:rPr>
          <w:rFonts w:ascii="Times New Roman" w:hAnsi="Times New Roman" w:cs="Times New Roman"/>
          <w:sz w:val="24"/>
          <w:szCs w:val="24"/>
        </w:rPr>
        <w:t>(2)(C</w:t>
      </w:r>
      <w:r w:rsidR="00EF0452">
        <w:rPr>
          <w:rFonts w:ascii="Times New Roman" w:hAnsi="Times New Roman" w:cs="Times New Roman"/>
          <w:sz w:val="24"/>
          <w:szCs w:val="24"/>
        </w:rPr>
        <w:t>)</w:t>
      </w:r>
      <w:r w:rsidR="00A91E6C">
        <w:rPr>
          <w:rFonts w:ascii="Times New Roman" w:hAnsi="Times New Roman" w:cs="Times New Roman"/>
          <w:sz w:val="24"/>
          <w:szCs w:val="24"/>
        </w:rPr>
        <w:t>.</w:t>
      </w:r>
    </w:p>
  </w:footnote>
  <w:footnote w:id="8">
    <w:p w:rsidR="0094696E" w:rsidRPr="00E17B5C" w14:paraId="052369B2" w14:textId="7FA9E413">
      <w:pPr>
        <w:pStyle w:val="FootnoteText"/>
        <w:rPr>
          <w:rFonts w:ascii="Times New Roman" w:hAnsi="Times New Roman" w:cs="Times New Roman"/>
          <w:sz w:val="24"/>
          <w:szCs w:val="24"/>
        </w:rPr>
      </w:pPr>
      <w:r w:rsidRPr="00E17B5C">
        <w:rPr>
          <w:rStyle w:val="FootnoteReference"/>
          <w:sz w:val="24"/>
          <w:szCs w:val="24"/>
        </w:rPr>
        <w:footnoteRef/>
      </w:r>
      <w:r w:rsidRPr="00DA1792">
        <w:rPr>
          <w:sz w:val="24"/>
          <w:szCs w:val="24"/>
        </w:rPr>
        <w:t xml:space="preserve"> </w:t>
      </w:r>
      <w:r w:rsidRPr="00E17B5C">
        <w:rPr>
          <w:rFonts w:ascii="Times New Roman" w:hAnsi="Times New Roman" w:cs="Times New Roman"/>
          <w:sz w:val="24"/>
          <w:szCs w:val="24"/>
        </w:rPr>
        <w:t>18 CFR pt. 380.</w:t>
      </w:r>
    </w:p>
  </w:footnote>
  <w:footnote w:id="9">
    <w:p w:rsidR="00BB4975" w14:paraId="192345AA" w14:textId="26D6ECE8">
      <w:pPr>
        <w:pStyle w:val="FootnoteText"/>
      </w:pPr>
      <w:r w:rsidRPr="00E17B5C">
        <w:rPr>
          <w:rStyle w:val="FootnoteReference"/>
          <w:sz w:val="24"/>
          <w:szCs w:val="24"/>
        </w:rPr>
        <w:footnoteRef/>
      </w:r>
      <w:r w:rsidRPr="00E17B5C">
        <w:rPr>
          <w:sz w:val="24"/>
          <w:szCs w:val="24"/>
        </w:rPr>
        <w:t xml:space="preserve"> </w:t>
      </w:r>
      <w:r w:rsidRPr="00E17B5C" w:rsidR="00FC5740">
        <w:rPr>
          <w:rFonts w:ascii="Times New Roman" w:hAnsi="Times New Roman" w:cs="Times New Roman"/>
          <w:i/>
          <w:iCs/>
          <w:sz w:val="24"/>
          <w:szCs w:val="24"/>
        </w:rPr>
        <w:t>Piedmont En</w:t>
      </w:r>
      <w:r w:rsidRPr="00E17B5C" w:rsidR="003A40F3">
        <w:rPr>
          <w:rFonts w:ascii="Times New Roman" w:hAnsi="Times New Roman" w:cs="Times New Roman"/>
          <w:i/>
          <w:iCs/>
          <w:sz w:val="24"/>
          <w:szCs w:val="24"/>
        </w:rPr>
        <w:t>v</w:t>
      </w:r>
      <w:r w:rsidRPr="00DA1792" w:rsidR="00FC5740">
        <w:rPr>
          <w:rFonts w:ascii="Times New Roman" w:hAnsi="Times New Roman" w:cs="Times New Roman"/>
          <w:i/>
          <w:iCs/>
          <w:sz w:val="24"/>
          <w:szCs w:val="24"/>
        </w:rPr>
        <w:t>tl</w:t>
      </w:r>
      <w:r w:rsidRPr="00E17B5C" w:rsidR="003A40F3">
        <w:rPr>
          <w:rFonts w:ascii="Times New Roman" w:hAnsi="Times New Roman" w:cs="Times New Roman"/>
          <w:i/>
          <w:iCs/>
          <w:sz w:val="24"/>
          <w:szCs w:val="24"/>
        </w:rPr>
        <w:t>.</w:t>
      </w:r>
      <w:r w:rsidRPr="00DA1792" w:rsidR="00FC5740">
        <w:rPr>
          <w:rFonts w:ascii="Times New Roman" w:hAnsi="Times New Roman" w:cs="Times New Roman"/>
          <w:i/>
          <w:iCs/>
          <w:sz w:val="24"/>
          <w:szCs w:val="24"/>
        </w:rPr>
        <w:t xml:space="preserve"> Council v. FERC</w:t>
      </w:r>
      <w:r w:rsidRPr="00DA1792" w:rsidR="00FC5740">
        <w:rPr>
          <w:rFonts w:ascii="Times New Roman" w:hAnsi="Times New Roman" w:cs="Times New Roman"/>
          <w:sz w:val="24"/>
          <w:szCs w:val="24"/>
        </w:rPr>
        <w:t xml:space="preserve">, </w:t>
      </w:r>
      <w:r w:rsidRPr="00DA1792" w:rsidR="00865A79">
        <w:rPr>
          <w:rFonts w:ascii="Times New Roman" w:hAnsi="Times New Roman" w:cs="Times New Roman"/>
          <w:sz w:val="24"/>
          <w:szCs w:val="24"/>
        </w:rPr>
        <w:t>558 F.3d 304 (4th Cir. 2009).</w:t>
      </w:r>
      <w:r w:rsidRPr="00DA1792" w:rsidR="00FC5740">
        <w:rPr>
          <w:rFonts w:ascii="Times New Roman" w:hAnsi="Times New Roman" w:cs="Times New Roman"/>
          <w:sz w:val="24"/>
          <w:szCs w:val="24"/>
        </w:rPr>
        <w:t xml:space="preserve">  </w:t>
      </w:r>
      <w:r w:rsidRPr="00E17B5C">
        <w:rPr>
          <w:rFonts w:ascii="Times New Roman" w:hAnsi="Times New Roman" w:cs="Times New Roman"/>
          <w:sz w:val="24"/>
          <w:szCs w:val="24"/>
        </w:rPr>
        <w:t xml:space="preserve">The </w:t>
      </w:r>
      <w:r w:rsidRPr="00E17B5C" w:rsidR="00D21CAB">
        <w:rPr>
          <w:rFonts w:ascii="Times New Roman" w:hAnsi="Times New Roman" w:cs="Times New Roman"/>
          <w:sz w:val="24"/>
          <w:szCs w:val="24"/>
        </w:rPr>
        <w:t>court</w:t>
      </w:r>
      <w:r w:rsidRPr="00E17B5C">
        <w:rPr>
          <w:rFonts w:ascii="Times New Roman" w:hAnsi="Times New Roman" w:cs="Times New Roman"/>
          <w:sz w:val="24"/>
          <w:szCs w:val="24"/>
        </w:rPr>
        <w:t xml:space="preserve"> found that the Commission had failed to consult with the Council on Environmental Quality before adopting the revisions.</w:t>
      </w:r>
      <w:r w:rsidRPr="00E17B5C" w:rsidR="00D21CAB">
        <w:rPr>
          <w:rFonts w:ascii="Times New Roman" w:hAnsi="Times New Roman" w:cs="Times New Roman"/>
          <w:sz w:val="24"/>
          <w:szCs w:val="24"/>
        </w:rPr>
        <w:t xml:space="preserve">  </w:t>
      </w:r>
      <w:r w:rsidRPr="00DA1792" w:rsidR="00D21CAB">
        <w:rPr>
          <w:rFonts w:ascii="Times New Roman" w:hAnsi="Times New Roman" w:cs="Times New Roman"/>
          <w:i/>
          <w:iCs/>
          <w:sz w:val="24"/>
          <w:szCs w:val="24"/>
        </w:rPr>
        <w:t xml:space="preserve">Id. </w:t>
      </w:r>
      <w:r w:rsidRPr="00E17B5C" w:rsidR="00D21CAB">
        <w:rPr>
          <w:rFonts w:ascii="Times New Roman" w:hAnsi="Times New Roman" w:cs="Times New Roman"/>
          <w:sz w:val="24"/>
          <w:szCs w:val="24"/>
        </w:rPr>
        <w:t>at 319, 320.</w:t>
      </w:r>
    </w:p>
  </w:footnote>
  <w:footnote w:id="10">
    <w:p w:rsidR="00E25797" w:rsidRPr="005E055E" w14:paraId="21F8D8EE" w14:textId="515D7660">
      <w:pPr>
        <w:pStyle w:val="FootnoteText"/>
        <w:rPr>
          <w:rFonts w:ascii="Times New Roman" w:hAnsi="Times New Roman"/>
          <w:sz w:val="24"/>
        </w:rPr>
      </w:pPr>
      <w:r w:rsidRPr="005E055E">
        <w:rPr>
          <w:rStyle w:val="FootnoteReference"/>
          <w:sz w:val="24"/>
        </w:rPr>
        <w:footnoteRef/>
      </w:r>
      <w:r w:rsidRPr="005E055E">
        <w:rPr>
          <w:rFonts w:ascii="Times New Roman" w:hAnsi="Times New Roman"/>
          <w:sz w:val="24"/>
        </w:rPr>
        <w:t xml:space="preserve"> </w:t>
      </w:r>
      <w:r w:rsidRPr="005E055E">
        <w:rPr>
          <w:rFonts w:ascii="Times New Roman" w:hAnsi="Times New Roman"/>
          <w:i/>
          <w:iCs/>
          <w:sz w:val="24"/>
        </w:rPr>
        <w:t>See</w:t>
      </w:r>
      <w:r w:rsidRPr="005E055E">
        <w:rPr>
          <w:rFonts w:ascii="Times New Roman" w:hAnsi="Times New Roman"/>
          <w:sz w:val="24"/>
        </w:rPr>
        <w:t xml:space="preserve"> Pub. L. </w:t>
      </w:r>
      <w:r w:rsidR="00B70430">
        <w:rPr>
          <w:rFonts w:ascii="Times New Roman" w:hAnsi="Times New Roman"/>
          <w:sz w:val="24"/>
        </w:rPr>
        <w:t xml:space="preserve">No. </w:t>
      </w:r>
      <w:r w:rsidRPr="005E055E">
        <w:rPr>
          <w:rFonts w:ascii="Times New Roman" w:hAnsi="Times New Roman"/>
          <w:sz w:val="24"/>
        </w:rPr>
        <w:t>117–58, div. D, title I, §40105, Nov. 15, 2021, 135 Stat. 933.</w:t>
      </w:r>
    </w:p>
  </w:footnote>
  <w:footnote w:id="11">
    <w:p w:rsidR="00AA1A69" w:rsidRPr="00DA1792" w:rsidP="00AA1A69" w14:paraId="2F6E5108" w14:textId="34BB1AD5">
      <w:pPr>
        <w:pStyle w:val="FootnoteText"/>
        <w:rPr>
          <w:sz w:val="24"/>
          <w:szCs w:val="24"/>
        </w:rPr>
      </w:pPr>
      <w:r w:rsidRPr="00A83DE7">
        <w:rPr>
          <w:rStyle w:val="FootnoteReference"/>
          <w:sz w:val="24"/>
          <w:szCs w:val="24"/>
        </w:rPr>
        <w:footnoteRef/>
      </w:r>
      <w:r w:rsidRPr="00DA1792">
        <w:rPr>
          <w:sz w:val="24"/>
          <w:szCs w:val="24"/>
        </w:rPr>
        <w:t xml:space="preserve"> </w:t>
      </w:r>
      <w:r w:rsidRPr="00E17B5C">
        <w:rPr>
          <w:rFonts w:ascii="Times New Roman" w:hAnsi="Times New Roman" w:cs="Times New Roman"/>
          <w:i/>
          <w:iCs/>
          <w:sz w:val="24"/>
          <w:szCs w:val="24"/>
        </w:rPr>
        <w:t>Applications for Permits to Site Interstate Electric Transmission Facilities</w:t>
      </w:r>
      <w:r w:rsidRPr="00E17B5C">
        <w:rPr>
          <w:rFonts w:ascii="Times New Roman" w:hAnsi="Times New Roman" w:cs="Times New Roman"/>
          <w:sz w:val="24"/>
          <w:szCs w:val="24"/>
        </w:rPr>
        <w:t>, 181 FERC ¶</w:t>
      </w:r>
      <w:r w:rsidRPr="00E17B5C" w:rsidR="00E17B5C">
        <w:rPr>
          <w:rFonts w:ascii="Times New Roman" w:hAnsi="Times New Roman" w:cs="Times New Roman"/>
          <w:sz w:val="24"/>
          <w:szCs w:val="24"/>
        </w:rPr>
        <w:t> </w:t>
      </w:r>
      <w:r w:rsidRPr="00E17B5C">
        <w:rPr>
          <w:rFonts w:ascii="Times New Roman" w:hAnsi="Times New Roman" w:cs="Times New Roman"/>
          <w:sz w:val="24"/>
          <w:szCs w:val="24"/>
        </w:rPr>
        <w:t xml:space="preserve">61,205 (2022), </w:t>
      </w:r>
      <w:r w:rsidRPr="00E17B5C">
        <w:rPr>
          <w:rFonts w:ascii="Times New Roman" w:hAnsi="Times New Roman" w:cs="Times New Roman"/>
          <w:i/>
          <w:iCs/>
          <w:sz w:val="24"/>
          <w:szCs w:val="24"/>
        </w:rPr>
        <w:t>errata notice</w:t>
      </w:r>
      <w:r w:rsidRPr="00E17B5C">
        <w:rPr>
          <w:rFonts w:ascii="Times New Roman" w:hAnsi="Times New Roman" w:cs="Times New Roman"/>
          <w:sz w:val="24"/>
          <w:szCs w:val="24"/>
        </w:rPr>
        <w:t xml:space="preserve">, 182 FERC ¶ 61,020 (2023).  The Commission’s errata notice, issued on January 17, 2023, reflected certain stylistic revisions requested by the </w:t>
      </w:r>
      <w:r w:rsidRPr="00E17B5C">
        <w:rPr>
          <w:rFonts w:ascii="Times New Roman" w:hAnsi="Times New Roman" w:cs="Times New Roman"/>
          <w:i/>
          <w:iCs/>
          <w:sz w:val="24"/>
          <w:szCs w:val="24"/>
        </w:rPr>
        <w:t>Federal Register</w:t>
      </w:r>
      <w:r w:rsidRPr="00E17B5C">
        <w:rPr>
          <w:rFonts w:ascii="Times New Roman" w:hAnsi="Times New Roman" w:cs="Times New Roman"/>
          <w:sz w:val="24"/>
          <w:szCs w:val="24"/>
        </w:rPr>
        <w:t xml:space="preserve"> as well as minor, non-substantive editorial revisions.</w:t>
      </w:r>
      <w:r w:rsidRPr="00DA1792">
        <w:rPr>
          <w:sz w:val="24"/>
          <w:szCs w:val="24"/>
        </w:rPr>
        <w:t xml:space="preserve">  </w:t>
      </w:r>
    </w:p>
  </w:footnote>
  <w:footnote w:id="12">
    <w:p w:rsidR="00526187" w:rsidP="00526187" w14:paraId="78081C25" w14:textId="669FA113">
      <w:pPr>
        <w:pStyle w:val="FootnoteText"/>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rPr>
        <w:t xml:space="preserve">These requirements only apply to applicants who elect to comply with the Applicant Code of Conduct set forth in </w:t>
      </w:r>
      <w:r w:rsidRPr="00E17B5C" w:rsidR="00B41FA5">
        <w:rPr>
          <w:rFonts w:ascii="Times New Roman" w:hAnsi="Times New Roman" w:cs="Times New Roman"/>
          <w:sz w:val="24"/>
          <w:szCs w:val="24"/>
        </w:rPr>
        <w:t>18 CFR</w:t>
      </w:r>
      <w:r w:rsidRPr="00E17B5C">
        <w:rPr>
          <w:rFonts w:ascii="Times New Roman" w:hAnsi="Times New Roman" w:cs="Times New Roman"/>
          <w:sz w:val="24"/>
          <w:szCs w:val="24"/>
        </w:rPr>
        <w:t> 50.12.</w:t>
      </w:r>
      <w:r>
        <w:t xml:space="preserve"> </w:t>
      </w:r>
    </w:p>
  </w:footnote>
  <w:footnote w:id="13">
    <w:p w:rsidR="00E1743E" w:rsidRPr="00E17B5C" w14:paraId="7EBC47DB" w14:textId="1E4B503B">
      <w:pPr>
        <w:pStyle w:val="FootnoteText"/>
        <w:rPr>
          <w:rFonts w:ascii="Times New Roman" w:hAnsi="Times New Roman" w:cs="Times New Roman"/>
          <w:sz w:val="24"/>
          <w:szCs w:val="24"/>
          <w:lang w:val="fr-FR"/>
        </w:rPr>
      </w:pPr>
      <w:r w:rsidRPr="00E17B5C">
        <w:rPr>
          <w:rStyle w:val="FootnoteReference"/>
          <w:sz w:val="24"/>
          <w:szCs w:val="24"/>
        </w:rPr>
        <w:footnoteRef/>
      </w:r>
      <w:r w:rsidRPr="00A83DE7">
        <w:rPr>
          <w:sz w:val="24"/>
          <w:szCs w:val="24"/>
        </w:rPr>
        <w:t xml:space="preserve"> </w:t>
      </w:r>
      <w:r w:rsidRPr="00E17B5C">
        <w:rPr>
          <w:rFonts w:ascii="Times New Roman" w:hAnsi="Times New Roman" w:cs="Times New Roman"/>
          <w:sz w:val="24"/>
          <w:szCs w:val="24"/>
          <w:lang w:val="fr-FR"/>
        </w:rPr>
        <w:t>5 CFR 1320.5(d)(2)(iii)</w:t>
      </w:r>
      <w:r w:rsidRPr="00E17B5C" w:rsidR="0006011B">
        <w:rPr>
          <w:rFonts w:ascii="Times New Roman" w:hAnsi="Times New Roman" w:cs="Times New Roman"/>
          <w:sz w:val="24"/>
          <w:szCs w:val="24"/>
          <w:lang w:val="fr-FR"/>
        </w:rPr>
        <w:t xml:space="preserve"> (</w:t>
      </w:r>
      <w:r w:rsidRPr="00E17B5C" w:rsidR="00E71528">
        <w:rPr>
          <w:rFonts w:ascii="Times New Roman" w:hAnsi="Times New Roman" w:cs="Times New Roman"/>
          <w:sz w:val="24"/>
          <w:szCs w:val="24"/>
          <w:lang w:val="fr-FR"/>
        </w:rPr>
        <w:t>.</w:t>
      </w:r>
    </w:p>
  </w:footnote>
  <w:footnote w:id="14">
    <w:p w:rsidR="00E1743E" w:rsidRPr="00DA1792" w14:paraId="169837E2" w14:textId="6363DDF0">
      <w:pPr>
        <w:pStyle w:val="FootnoteText"/>
        <w:rPr>
          <w:sz w:val="24"/>
          <w:szCs w:val="24"/>
        </w:rPr>
      </w:pPr>
      <w:r w:rsidRPr="00E17B5C">
        <w:rPr>
          <w:rStyle w:val="FootnoteReference"/>
          <w:sz w:val="24"/>
          <w:szCs w:val="24"/>
        </w:rPr>
        <w:footnoteRef/>
      </w:r>
      <w:r w:rsidRPr="00E17B5C">
        <w:rPr>
          <w:sz w:val="24"/>
          <w:szCs w:val="24"/>
        </w:rPr>
        <w:t xml:space="preserve"> </w:t>
      </w:r>
      <w:r w:rsidRPr="00E17B5C">
        <w:rPr>
          <w:rFonts w:ascii="Times New Roman" w:hAnsi="Times New Roman" w:cs="Times New Roman"/>
          <w:sz w:val="24"/>
          <w:szCs w:val="24"/>
          <w:lang w:val="fr-FR"/>
        </w:rPr>
        <w:t>18 CFR 50.3(b)</w:t>
      </w:r>
      <w:r w:rsidRPr="00E17B5C" w:rsidR="00E71528">
        <w:rPr>
          <w:rFonts w:ascii="Times New Roman" w:hAnsi="Times New Roman" w:cs="Times New Roman"/>
          <w:sz w:val="24"/>
          <w:szCs w:val="24"/>
          <w:lang w:val="fr-FR"/>
        </w:rPr>
        <w:t>.</w:t>
      </w:r>
    </w:p>
  </w:footnote>
  <w:footnote w:id="15">
    <w:p w:rsidR="00281A5E" w14:paraId="10F5D3D0" w14:textId="08F78980">
      <w:pPr>
        <w:pStyle w:val="FootnoteText"/>
      </w:pPr>
      <w:r w:rsidRPr="00D47704">
        <w:rPr>
          <w:rStyle w:val="FootnoteReference"/>
          <w:sz w:val="24"/>
          <w:szCs w:val="24"/>
        </w:rPr>
        <w:footnoteRef/>
      </w:r>
      <w:r w:rsidRPr="00D47704">
        <w:rPr>
          <w:sz w:val="24"/>
          <w:szCs w:val="24"/>
        </w:rPr>
        <w:t xml:space="preserve"> </w:t>
      </w:r>
      <w:r w:rsidRPr="00E17B5C">
        <w:rPr>
          <w:rFonts w:ascii="Times New Roman" w:hAnsi="Times New Roman" w:cs="Times New Roman"/>
          <w:i/>
          <w:iCs/>
          <w:sz w:val="24"/>
          <w:szCs w:val="24"/>
        </w:rPr>
        <w:t>Applications for Permits to Site Interstate Electric Transmission Facilities</w:t>
      </w:r>
      <w:r w:rsidRPr="00D47704">
        <w:rPr>
          <w:rFonts w:ascii="Times New Roman" w:hAnsi="Times New Roman" w:cs="Times New Roman"/>
          <w:sz w:val="24"/>
          <w:szCs w:val="24"/>
        </w:rPr>
        <w:t xml:space="preserve">, 181 FERC ¶ 61,205 (2022), </w:t>
      </w:r>
      <w:r w:rsidRPr="00D47704">
        <w:rPr>
          <w:rFonts w:ascii="Times New Roman" w:hAnsi="Times New Roman" w:cs="Times New Roman"/>
          <w:i/>
          <w:iCs/>
          <w:sz w:val="24"/>
          <w:szCs w:val="24"/>
        </w:rPr>
        <w:t>errata notice</w:t>
      </w:r>
      <w:r w:rsidRPr="00D47704">
        <w:rPr>
          <w:rFonts w:ascii="Times New Roman" w:hAnsi="Times New Roman" w:cs="Times New Roman"/>
          <w:sz w:val="24"/>
          <w:szCs w:val="24"/>
        </w:rPr>
        <w:t xml:space="preserve">, 182 FERC ¶ 61,020 (2023).  The Commission’s errata notice, issued on January 17, 2023, reflected certain stylistic revisions requested by the </w:t>
      </w:r>
      <w:r w:rsidRPr="00D47704">
        <w:rPr>
          <w:rFonts w:ascii="Times New Roman" w:hAnsi="Times New Roman" w:cs="Times New Roman"/>
          <w:i/>
          <w:iCs/>
          <w:sz w:val="24"/>
          <w:szCs w:val="24"/>
        </w:rPr>
        <w:t>Federal Register</w:t>
      </w:r>
      <w:r w:rsidRPr="00D47704">
        <w:rPr>
          <w:rFonts w:ascii="Times New Roman" w:hAnsi="Times New Roman" w:cs="Times New Roman"/>
          <w:sz w:val="24"/>
          <w:szCs w:val="24"/>
        </w:rPr>
        <w:t xml:space="preserve"> as well as minor, non-substantive editorial revisions.</w:t>
      </w:r>
      <w:r w:rsidRPr="00281A5E">
        <w:t xml:space="preserve">  </w:t>
      </w:r>
    </w:p>
  </w:footnote>
  <w:footnote w:id="16">
    <w:p w:rsidR="00921D7F" w:rsidRPr="00DA1792" w:rsidP="00921D7F" w14:paraId="1AF081AD" w14:textId="18A09E79">
      <w:pPr>
        <w:pStyle w:val="FootnoteText"/>
        <w:rPr>
          <w:sz w:val="24"/>
          <w:szCs w:val="24"/>
        </w:rPr>
      </w:pPr>
      <w:r w:rsidRPr="00D47704">
        <w:rPr>
          <w:rStyle w:val="FootnoteReference"/>
          <w:sz w:val="24"/>
          <w:szCs w:val="24"/>
        </w:rPr>
        <w:footnoteRef/>
      </w:r>
      <w:r w:rsidRPr="00341774">
        <w:rPr>
          <w:sz w:val="24"/>
          <w:szCs w:val="24"/>
        </w:rPr>
        <w:t xml:space="preserve"> </w:t>
      </w:r>
      <w:r w:rsidRPr="00E17B5C">
        <w:rPr>
          <w:rFonts w:ascii="Times New Roman" w:hAnsi="Times New Roman" w:cs="Times New Roman"/>
          <w:sz w:val="24"/>
          <w:szCs w:val="24"/>
        </w:rPr>
        <w:t xml:space="preserve">Comments on the NOPR were due by April 17, 2023.  In response to a motion filed by the National Association of Regulatory Utility Commissioners, the Commission extended the </w:t>
      </w:r>
      <w:r w:rsidRPr="00E17B5C" w:rsidR="00021378">
        <w:rPr>
          <w:rFonts w:ascii="Times New Roman" w:hAnsi="Times New Roman" w:cs="Times New Roman"/>
          <w:sz w:val="24"/>
          <w:szCs w:val="24"/>
        </w:rPr>
        <w:t xml:space="preserve">NOPR </w:t>
      </w:r>
      <w:r w:rsidRPr="00E17B5C">
        <w:rPr>
          <w:rFonts w:ascii="Times New Roman" w:hAnsi="Times New Roman" w:cs="Times New Roman"/>
          <w:sz w:val="24"/>
          <w:szCs w:val="24"/>
        </w:rPr>
        <w:t>comment deadline to May 17, 2023.</w:t>
      </w:r>
      <w:r w:rsidRPr="00DA1792">
        <w:rPr>
          <w:sz w:val="24"/>
          <w:szCs w:val="24"/>
        </w:rPr>
        <w:t xml:space="preserve">  </w:t>
      </w:r>
    </w:p>
    <w:p w:rsidR="00921D7F" w14:paraId="3EBD92FA" w14:textId="17AB923B">
      <w:pPr>
        <w:pStyle w:val="FootnoteText"/>
      </w:pPr>
    </w:p>
  </w:footnote>
  <w:footnote w:id="17">
    <w:p w:rsidR="005740AD" w:rsidP="005740AD" w14:paraId="5DE46B8E" w14:textId="2F29EB37">
      <w:pPr>
        <w:pStyle w:val="FootnoteText"/>
        <w:rPr>
          <w:sz w:val="26"/>
          <w:szCs w:val="26"/>
        </w:rPr>
      </w:pPr>
      <w:r w:rsidRPr="00AD6A1E">
        <w:rPr>
          <w:rStyle w:val="FootnoteReference"/>
          <w:sz w:val="24"/>
          <w:szCs w:val="24"/>
        </w:rPr>
        <w:footnoteRef/>
      </w:r>
      <w:r>
        <w:rPr>
          <w:sz w:val="26"/>
          <w:szCs w:val="26"/>
        </w:rPr>
        <w:t xml:space="preserve"> </w:t>
      </w:r>
      <w:r w:rsidRPr="00711E79">
        <w:rPr>
          <w:rFonts w:ascii="Times New Roman" w:hAnsi="Times New Roman" w:cs="Times New Roman"/>
          <w:sz w:val="24"/>
          <w:szCs w:val="24"/>
        </w:rPr>
        <w:t>18 CFR 388.112</w:t>
      </w:r>
      <w:r w:rsidR="00CD5E91">
        <w:rPr>
          <w:rFonts w:ascii="Times New Roman" w:hAnsi="Times New Roman" w:cs="Times New Roman"/>
          <w:sz w:val="24"/>
          <w:szCs w:val="24"/>
        </w:rPr>
        <w:t xml:space="preserve">; </w:t>
      </w:r>
      <w:r w:rsidRPr="00E22A55" w:rsidR="00CD5E91">
        <w:rPr>
          <w:rFonts w:ascii="Times New Roman" w:hAnsi="Times New Roman" w:cs="Times New Roman"/>
          <w:i/>
          <w:iCs/>
          <w:sz w:val="24"/>
          <w:szCs w:val="24"/>
        </w:rPr>
        <w:t xml:space="preserve">Id. </w:t>
      </w:r>
      <w:r w:rsidR="00CD5E91">
        <w:rPr>
          <w:rFonts w:ascii="Times New Roman" w:hAnsi="Times New Roman" w:cs="Times New Roman"/>
          <w:sz w:val="24"/>
          <w:szCs w:val="24"/>
        </w:rPr>
        <w:t>388.113</w:t>
      </w:r>
      <w:r w:rsidR="009D6548">
        <w:rPr>
          <w:rFonts w:ascii="Times New Roman" w:hAnsi="Times New Roman" w:cs="Times New Roman"/>
          <w:sz w:val="24"/>
          <w:szCs w:val="24"/>
        </w:rPr>
        <w:t>.</w:t>
      </w:r>
    </w:p>
  </w:footnote>
  <w:footnote w:id="18">
    <w:p w:rsidR="00F46263" w:rsidRPr="00F46263" w:rsidP="00F46263" w14:paraId="4666D89F" w14:textId="77777777">
      <w:pPr>
        <w:pStyle w:val="FootnoteText"/>
        <w:rPr>
          <w:rFonts w:ascii="Times New Roman" w:hAnsi="Times New Roman" w:cs="Times New Roman"/>
          <w:sz w:val="24"/>
          <w:szCs w:val="24"/>
        </w:rPr>
      </w:pPr>
      <w:r w:rsidRPr="00F46263">
        <w:rPr>
          <w:rStyle w:val="FootnoteReference"/>
          <w:rFonts w:cs="Times New Roman"/>
          <w:sz w:val="24"/>
          <w:szCs w:val="24"/>
        </w:rPr>
        <w:footnoteRef/>
      </w:r>
      <w:r w:rsidRPr="00F46263">
        <w:rPr>
          <w:rFonts w:ascii="Times New Roman" w:hAnsi="Times New Roman" w:cs="Times New Roman"/>
          <w:sz w:val="24"/>
          <w:szCs w:val="24"/>
        </w:rPr>
        <w:t xml:space="preserve"> We consider the filing of an application, including the mandatory pre-filing information, to be a “response.” </w:t>
      </w:r>
    </w:p>
  </w:footnote>
  <w:footnote w:id="19">
    <w:p w:rsidR="00F46263" w:rsidRPr="00F46263" w:rsidP="00F46263" w14:paraId="72911A82" w14:textId="30D6885A">
      <w:pPr>
        <w:pStyle w:val="FootnoteText"/>
        <w:rPr>
          <w:rFonts w:ascii="Times New Roman" w:hAnsi="Times New Roman" w:cs="Times New Roman"/>
          <w:sz w:val="24"/>
          <w:szCs w:val="24"/>
        </w:rPr>
      </w:pPr>
      <w:r w:rsidRPr="00F46263">
        <w:rPr>
          <w:rStyle w:val="FootnoteReference"/>
          <w:rFonts w:cs="Times New Roman"/>
          <w:sz w:val="24"/>
          <w:szCs w:val="24"/>
        </w:rPr>
        <w:footnoteRef/>
      </w:r>
      <w:r w:rsidRPr="00F46263">
        <w:rPr>
          <w:rFonts w:ascii="Times New Roman" w:hAnsi="Times New Roman" w:cs="Times New Roman"/>
          <w:sz w:val="24"/>
          <w:szCs w:val="24"/>
        </w:rPr>
        <w:t xml:space="preserve"> The estimates for cost per response are derived using the following formula: </w:t>
      </w:r>
      <w:r w:rsidR="00C02B29">
        <w:rPr>
          <w:rFonts w:ascii="Times New Roman" w:hAnsi="Times New Roman" w:cs="Times New Roman"/>
          <w:sz w:val="24"/>
          <w:szCs w:val="24"/>
        </w:rPr>
        <w:t xml:space="preserve"> </w:t>
      </w:r>
      <w:r w:rsidRPr="00F46263">
        <w:rPr>
          <w:rFonts w:ascii="Times New Roman" w:hAnsi="Times New Roman" w:cs="Times New Roman"/>
          <w:sz w:val="24"/>
          <w:szCs w:val="24"/>
        </w:rPr>
        <w:t>Average Burden Hours per Response * $</w:t>
      </w:r>
      <w:r w:rsidR="00121011">
        <w:rPr>
          <w:rFonts w:ascii="Times New Roman" w:hAnsi="Times New Roman" w:cs="Times New Roman"/>
          <w:sz w:val="24"/>
          <w:szCs w:val="24"/>
        </w:rPr>
        <w:t>100</w:t>
      </w:r>
      <w:r w:rsidRPr="00F46263">
        <w:rPr>
          <w:rFonts w:ascii="Times New Roman" w:hAnsi="Times New Roman" w:cs="Times New Roman"/>
          <w:sz w:val="24"/>
          <w:szCs w:val="24"/>
        </w:rPr>
        <w:t xml:space="preserve"> per Hour = Average Cost per Response.  </w:t>
      </w:r>
      <w:r w:rsidRPr="00F46263">
        <w:rPr>
          <w:rFonts w:ascii="Times New Roman" w:hAnsi="Times New Roman" w:cs="Times New Roman"/>
          <w:sz w:val="24"/>
          <w:szCs w:val="24"/>
        </w:rPr>
        <w:br/>
        <w:t>The hourly cost figure is the FY202</w:t>
      </w:r>
      <w:r w:rsidR="00EB012F">
        <w:rPr>
          <w:rFonts w:ascii="Times New Roman" w:hAnsi="Times New Roman" w:cs="Times New Roman"/>
          <w:sz w:val="24"/>
          <w:szCs w:val="24"/>
        </w:rPr>
        <w:t>4</w:t>
      </w:r>
      <w:r w:rsidRPr="00F46263">
        <w:rPr>
          <w:rFonts w:ascii="Times New Roman" w:hAnsi="Times New Roman" w:cs="Times New Roman"/>
          <w:sz w:val="24"/>
          <w:szCs w:val="24"/>
        </w:rPr>
        <w:t xml:space="preserve"> FERC average annual salary plus benefits ($</w:t>
      </w:r>
      <w:r w:rsidRPr="00EF1AF9" w:rsidR="00EF1AF9">
        <w:rPr>
          <w:rFonts w:ascii="Times New Roman" w:hAnsi="Times New Roman" w:cs="Times New Roman"/>
          <w:sz w:val="24"/>
          <w:szCs w:val="24"/>
        </w:rPr>
        <w:t>207,786</w:t>
      </w:r>
      <w:r w:rsidRPr="00F46263">
        <w:rPr>
          <w:rFonts w:ascii="Times New Roman" w:hAnsi="Times New Roman" w:cs="Times New Roman"/>
          <w:sz w:val="24"/>
          <w:szCs w:val="24"/>
        </w:rPr>
        <w:t xml:space="preserve">/year or </w:t>
      </w:r>
      <w:r w:rsidR="000A71E9">
        <w:rPr>
          <w:rFonts w:ascii="Times New Roman" w:hAnsi="Times New Roman" w:cs="Times New Roman"/>
          <w:sz w:val="24"/>
          <w:szCs w:val="24"/>
        </w:rPr>
        <w:t>$</w:t>
      </w:r>
      <w:r w:rsidR="00EB012F">
        <w:rPr>
          <w:rFonts w:ascii="Times New Roman" w:hAnsi="Times New Roman" w:cs="Times New Roman"/>
          <w:sz w:val="24"/>
          <w:szCs w:val="24"/>
        </w:rPr>
        <w:t>100</w:t>
      </w:r>
      <w:r w:rsidRPr="00F46263">
        <w:rPr>
          <w:rFonts w:ascii="Times New Roman" w:hAnsi="Times New Roman" w:cs="Times New Roman"/>
          <w:sz w:val="24"/>
          <w:szCs w:val="24"/>
        </w:rPr>
        <w:t>/hour).  Commission staff estimates that industry costs for salary plus benefits are similar to Commission costs.</w:t>
      </w:r>
      <w:r w:rsidRPr="008B3512" w:rsidR="008B3512">
        <w:t xml:space="preserve"> </w:t>
      </w:r>
      <w:r w:rsidR="008B3512">
        <w:t xml:space="preserve"> </w:t>
      </w:r>
      <w:r w:rsidRPr="008B3512" w:rsidR="008B3512">
        <w:rPr>
          <w:rFonts w:ascii="Times New Roman" w:hAnsi="Times New Roman" w:cs="Times New Roman"/>
          <w:sz w:val="24"/>
          <w:szCs w:val="24"/>
        </w:rPr>
        <w:t>We note that the NOPR provided cost estimates in 2022 dollars.</w:t>
      </w:r>
    </w:p>
  </w:footnote>
  <w:footnote w:id="20">
    <w:p w:rsidR="00F46263" w:rsidRPr="00F46263" w:rsidP="00F46263" w14:paraId="43B2E9C2" w14:textId="77777777">
      <w:pPr>
        <w:pStyle w:val="FootnoteText"/>
        <w:rPr>
          <w:rFonts w:ascii="Times New Roman" w:hAnsi="Times New Roman" w:cs="Times New Roman"/>
          <w:sz w:val="24"/>
          <w:szCs w:val="24"/>
        </w:rPr>
      </w:pPr>
      <w:r w:rsidRPr="00F46263">
        <w:rPr>
          <w:rStyle w:val="FootnoteReference"/>
          <w:rFonts w:cs="Times New Roman"/>
          <w:sz w:val="24"/>
          <w:szCs w:val="24"/>
        </w:rPr>
        <w:footnoteRef/>
      </w:r>
      <w:r w:rsidRPr="00F46263">
        <w:rPr>
          <w:rFonts w:ascii="Times New Roman" w:hAnsi="Times New Roman" w:cs="Times New Roman"/>
          <w:sz w:val="24"/>
          <w:szCs w:val="24"/>
        </w:rPr>
        <w:t xml:space="preserve"> Notwithstanding that compliance with the Applicant Code of Conduct is voluntary, we are providing the estimated burden hours associated with such compliance. </w:t>
      </w:r>
    </w:p>
  </w:footnote>
  <w:footnote w:id="21">
    <w:p w:rsidR="00F46263" w:rsidRPr="00F46263" w:rsidP="00F46263" w14:paraId="41BE8D1F" w14:textId="659A17D5">
      <w:pPr>
        <w:pStyle w:val="FootnoteText"/>
        <w:rPr>
          <w:rFonts w:ascii="Times New Roman" w:hAnsi="Times New Roman" w:cs="Times New Roman"/>
          <w:sz w:val="24"/>
          <w:szCs w:val="24"/>
        </w:rPr>
      </w:pPr>
      <w:r w:rsidRPr="00F46263">
        <w:rPr>
          <w:rStyle w:val="FootnoteReference"/>
          <w:rFonts w:cs="Times New Roman"/>
          <w:sz w:val="24"/>
          <w:szCs w:val="24"/>
        </w:rPr>
        <w:footnoteRef/>
      </w:r>
      <w:r w:rsidRPr="00F46263">
        <w:rPr>
          <w:rFonts w:ascii="Times New Roman" w:hAnsi="Times New Roman" w:cs="Times New Roman"/>
          <w:sz w:val="24"/>
          <w:szCs w:val="24"/>
        </w:rPr>
        <w:t xml:space="preserve"> After implementation of this </w:t>
      </w:r>
      <w:r w:rsidR="00FF041E">
        <w:rPr>
          <w:rFonts w:ascii="Times New Roman" w:hAnsi="Times New Roman" w:cs="Times New Roman"/>
          <w:sz w:val="24"/>
          <w:szCs w:val="24"/>
        </w:rPr>
        <w:t>Final Rule</w:t>
      </w:r>
      <w:r w:rsidRPr="00F46263">
        <w:rPr>
          <w:rFonts w:ascii="Times New Roman" w:hAnsi="Times New Roman" w:cs="Times New Roman"/>
          <w:sz w:val="24"/>
          <w:szCs w:val="24"/>
        </w:rPr>
        <w:t>, we estimate one application for a permit to site electric transmission facilities will be filed per year.</w:t>
      </w:r>
    </w:p>
  </w:footnote>
  <w:footnote w:id="22">
    <w:p w:rsidR="00B769AA" w:rsidRPr="00A83DE7" w14:paraId="3DF16DC0" w14:textId="7437AE90">
      <w:pPr>
        <w:pStyle w:val="FootnoteText"/>
        <w:rPr>
          <w:sz w:val="24"/>
          <w:szCs w:val="24"/>
        </w:rPr>
      </w:pPr>
      <w:r w:rsidRPr="00A83DE7">
        <w:rPr>
          <w:rStyle w:val="FootnoteReference"/>
          <w:sz w:val="24"/>
          <w:szCs w:val="24"/>
        </w:rPr>
        <w:footnoteRef/>
      </w:r>
      <w:r w:rsidRPr="00A83DE7">
        <w:rPr>
          <w:sz w:val="24"/>
          <w:szCs w:val="24"/>
        </w:rPr>
        <w:t xml:space="preserve"> </w:t>
      </w:r>
      <w:r w:rsidRPr="00E17B5C">
        <w:rPr>
          <w:rFonts w:ascii="Times New Roman" w:hAnsi="Times New Roman" w:cs="Times New Roman"/>
          <w:sz w:val="24"/>
          <w:szCs w:val="24"/>
        </w:rPr>
        <w:t xml:space="preserve">This category covers the updates to the project notification requirements in </w:t>
      </w:r>
      <w:r w:rsidRPr="00E17B5C" w:rsidR="00E37942">
        <w:rPr>
          <w:rFonts w:ascii="Times New Roman" w:hAnsi="Times New Roman" w:cs="Times New Roman"/>
          <w:sz w:val="24"/>
          <w:szCs w:val="24"/>
        </w:rPr>
        <w:t xml:space="preserve">18 CFR </w:t>
      </w:r>
      <w:r w:rsidRPr="00E17B5C">
        <w:rPr>
          <w:rFonts w:ascii="Times New Roman" w:hAnsi="Times New Roman" w:cs="Times New Roman"/>
          <w:sz w:val="24"/>
          <w:szCs w:val="24"/>
        </w:rPr>
        <w:t>50.4(c) that require an applicant to provide written translation under certain circumstances, publish project notifications in other appropriate print and digital media outlets in addition to newspaper publication, submit proof of publication, and include additional material in the project notifications mailed to affected landowners (e.g., the Landowner Bill of Rights).</w:t>
      </w:r>
      <w:r w:rsidRPr="00A83DE7">
        <w:rPr>
          <w:sz w:val="24"/>
          <w:szCs w:val="24"/>
        </w:rPr>
        <w:t xml:space="preserve"> </w:t>
      </w:r>
    </w:p>
  </w:footnote>
  <w:footnote w:id="23">
    <w:p w:rsidR="00B769AA" w:rsidRPr="00E17B5C" w:rsidP="00F46263" w14:paraId="4638A957" w14:textId="63913785">
      <w:pPr>
        <w:pStyle w:val="FootnoteText"/>
        <w:rPr>
          <w:rFonts w:ascii="Times New Roman" w:hAnsi="Times New Roman" w:cs="Times New Roman"/>
          <w:sz w:val="24"/>
          <w:szCs w:val="24"/>
        </w:rPr>
      </w:pPr>
      <w:r w:rsidRPr="00E17B5C">
        <w:rPr>
          <w:rStyle w:val="FootnoteReference"/>
          <w:rFonts w:cs="Times New Roman"/>
          <w:sz w:val="24"/>
          <w:szCs w:val="24"/>
        </w:rPr>
        <w:footnoteRef/>
      </w:r>
      <w:r w:rsidRPr="00E17B5C">
        <w:rPr>
          <w:rFonts w:ascii="Times New Roman" w:hAnsi="Times New Roman" w:cs="Times New Roman"/>
          <w:sz w:val="24"/>
          <w:szCs w:val="24"/>
        </w:rPr>
        <w:t xml:space="preserve"> This category covers the updates to the congestion and system analysis data that an applicant must provide during the pre-filing process and as part of the application in Exhibit H, </w:t>
      </w:r>
      <w:r w:rsidRPr="00E17B5C">
        <w:rPr>
          <w:rFonts w:ascii="Times New Roman" w:hAnsi="Times New Roman" w:cs="Times New Roman"/>
          <w:i/>
          <w:iCs/>
          <w:sz w:val="24"/>
          <w:szCs w:val="24"/>
        </w:rPr>
        <w:t>System analysis data</w:t>
      </w:r>
      <w:r w:rsidRPr="00E17B5C">
        <w:rPr>
          <w:rFonts w:ascii="Times New Roman" w:hAnsi="Times New Roman" w:cs="Times New Roman"/>
          <w:sz w:val="24"/>
          <w:szCs w:val="24"/>
        </w:rPr>
        <w:t xml:space="preserve">. </w:t>
      </w:r>
    </w:p>
  </w:footnote>
  <w:footnote w:id="24">
    <w:p w:rsidR="00B769AA" w:rsidRPr="00F46263" w:rsidP="00F46263" w14:paraId="06C54899" w14:textId="7D8C4E4C">
      <w:pPr>
        <w:pStyle w:val="FootnoteText"/>
        <w:rPr>
          <w:rFonts w:ascii="Times New Roman" w:hAnsi="Times New Roman" w:cs="Times New Roman"/>
          <w:sz w:val="24"/>
          <w:szCs w:val="24"/>
        </w:rPr>
      </w:pPr>
      <w:r w:rsidRPr="00E17B5C">
        <w:rPr>
          <w:rStyle w:val="FootnoteReference"/>
          <w:rFonts w:cs="Times New Roman"/>
          <w:sz w:val="24"/>
          <w:szCs w:val="24"/>
        </w:rPr>
        <w:footnoteRef/>
      </w:r>
      <w:r w:rsidRPr="00E17B5C">
        <w:rPr>
          <w:rFonts w:ascii="Times New Roman" w:hAnsi="Times New Roman" w:cs="Times New Roman"/>
          <w:sz w:val="24"/>
          <w:szCs w:val="24"/>
        </w:rPr>
        <w:t xml:space="preserve"> This category covers additional updates to Part 50 of the Commission’s regulations that involve minor increases in burden (e.g., adding an interactive mapping feature to an applicant’s project website)</w:t>
      </w:r>
      <w:r w:rsidRPr="00E17B5C" w:rsidR="00CD5E9D">
        <w:rPr>
          <w:rFonts w:ascii="Times New Roman" w:hAnsi="Times New Roman" w:cs="Times New Roman"/>
          <w:sz w:val="24"/>
          <w:szCs w:val="24"/>
        </w:rPr>
        <w:t>,</w:t>
      </w:r>
      <w:r w:rsidRPr="00E17B5C">
        <w:rPr>
          <w:rFonts w:ascii="Times New Roman" w:hAnsi="Times New Roman" w:cs="Times New Roman"/>
          <w:sz w:val="24"/>
          <w:szCs w:val="24"/>
        </w:rPr>
        <w:t xml:space="preserve"> a reduction in burden </w:t>
      </w:r>
      <w:r w:rsidRPr="00E17B5C" w:rsidR="00E15D6F">
        <w:rPr>
          <w:rFonts w:ascii="Times New Roman" w:hAnsi="Times New Roman" w:cs="Times New Roman"/>
          <w:sz w:val="24"/>
          <w:szCs w:val="24"/>
        </w:rPr>
        <w:t>(</w:t>
      </w:r>
      <w:r w:rsidRPr="00E17B5C">
        <w:rPr>
          <w:rFonts w:ascii="Times New Roman" w:hAnsi="Times New Roman" w:cs="Times New Roman"/>
          <w:sz w:val="24"/>
          <w:szCs w:val="24"/>
        </w:rPr>
        <w:t>eliminating the requirement that an applicant provide seven paper copies of an application, exhibits, and other submittals</w:t>
      </w:r>
      <w:r w:rsidRPr="00E17B5C" w:rsidR="00E15D6F">
        <w:rPr>
          <w:rFonts w:ascii="Times New Roman" w:hAnsi="Times New Roman" w:cs="Times New Roman"/>
          <w:sz w:val="24"/>
          <w:szCs w:val="24"/>
        </w:rPr>
        <w:t xml:space="preserve">), </w:t>
      </w:r>
      <w:r w:rsidRPr="00E17B5C" w:rsidR="00B23EDB">
        <w:rPr>
          <w:rFonts w:ascii="Times New Roman" w:hAnsi="Times New Roman" w:cs="Times New Roman"/>
          <w:sz w:val="24"/>
          <w:szCs w:val="24"/>
        </w:rPr>
        <w:t>and no change in burden (revising the requirement to provide proposals for prospective third-party contractors)</w:t>
      </w:r>
      <w:r w:rsidRPr="00E17B5C">
        <w:rPr>
          <w:rFonts w:ascii="Times New Roman" w:hAnsi="Times New Roman" w:cs="Times New Roman"/>
          <w:sz w:val="24"/>
          <w:szCs w:val="24"/>
        </w:rPr>
        <w:t>.</w:t>
      </w:r>
      <w:r w:rsidRPr="007B5CF8" w:rsidR="005B70A1">
        <w:rPr>
          <w:sz w:val="24"/>
          <w:szCs w:val="24"/>
        </w:rPr>
        <w:t xml:space="preserve">  </w:t>
      </w:r>
      <w:r w:rsidRPr="00E17B5C" w:rsidR="005B70A1">
        <w:rPr>
          <w:rFonts w:ascii="Times New Roman" w:hAnsi="Times New Roman" w:cs="Times New Roman"/>
          <w:sz w:val="24"/>
          <w:szCs w:val="24"/>
        </w:rPr>
        <w:t>We note that eight burden hours that the NOPR reported in this category have been relocated to “Project Notification Requirements,” a new category added to reflect several project notification requirements adopted in this Final Rule.</w:t>
      </w:r>
      <w:r w:rsidRPr="005B70A1" w:rsidR="005B70A1">
        <w:rPr>
          <w:rFonts w:ascii="Times New Roman" w:hAnsi="Times New Roman" w:cs="Times New Roman"/>
          <w:sz w:val="24"/>
          <w:szCs w:val="24"/>
        </w:rPr>
        <w:t xml:space="preserve">  </w:t>
      </w:r>
    </w:p>
  </w:footnote>
  <w:footnote w:id="25">
    <w:p w:rsidR="00B769AA" w:rsidRPr="00F46263" w:rsidP="00F46263" w14:paraId="597ECED3" w14:textId="695EB8D7">
      <w:pPr>
        <w:pStyle w:val="FootnoteText"/>
        <w:rPr>
          <w:rFonts w:ascii="Times New Roman" w:hAnsi="Times New Roman" w:cs="Times New Roman"/>
          <w:sz w:val="24"/>
          <w:szCs w:val="24"/>
        </w:rPr>
      </w:pPr>
      <w:r w:rsidRPr="00F46263">
        <w:rPr>
          <w:rStyle w:val="FootnoteReference"/>
          <w:rFonts w:cs="Times New Roman"/>
          <w:sz w:val="24"/>
          <w:szCs w:val="24"/>
        </w:rPr>
        <w:footnoteRef/>
      </w:r>
      <w:r w:rsidRPr="00F46263">
        <w:rPr>
          <w:rFonts w:ascii="Times New Roman" w:hAnsi="Times New Roman" w:cs="Times New Roman"/>
          <w:sz w:val="24"/>
          <w:szCs w:val="24"/>
        </w:rPr>
        <w:t xml:space="preserve"> This category covers a variety of updates to § 380.16 of the Commission’s regulations that require an applicant to develop and submit additional information as part of the following </w:t>
      </w:r>
      <w:r w:rsidR="00886C06">
        <w:rPr>
          <w:rFonts w:ascii="Times New Roman" w:hAnsi="Times New Roman" w:cs="Times New Roman"/>
          <w:sz w:val="24"/>
          <w:szCs w:val="24"/>
        </w:rPr>
        <w:t xml:space="preserve">existing </w:t>
      </w:r>
      <w:r w:rsidRPr="00F46263">
        <w:rPr>
          <w:rFonts w:ascii="Times New Roman" w:hAnsi="Times New Roman" w:cs="Times New Roman"/>
          <w:sz w:val="24"/>
          <w:szCs w:val="24"/>
        </w:rPr>
        <w:t xml:space="preserve">resource reports:  </w:t>
      </w:r>
      <w:bookmarkStart w:id="1" w:name="_Hlk115786723"/>
      <w:r w:rsidRPr="00F46263">
        <w:rPr>
          <w:rFonts w:ascii="Times New Roman" w:hAnsi="Times New Roman" w:cs="Times New Roman"/>
          <w:i/>
          <w:iCs/>
          <w:sz w:val="24"/>
          <w:szCs w:val="24"/>
        </w:rPr>
        <w:t>General project description</w:t>
      </w:r>
      <w:r w:rsidRPr="00F46263">
        <w:rPr>
          <w:rFonts w:ascii="Times New Roman" w:hAnsi="Times New Roman" w:cs="Times New Roman"/>
          <w:sz w:val="24"/>
          <w:szCs w:val="24"/>
        </w:rPr>
        <w:t xml:space="preserve">; </w:t>
      </w:r>
      <w:r w:rsidRPr="00F46263">
        <w:rPr>
          <w:rFonts w:ascii="Times New Roman" w:hAnsi="Times New Roman" w:cs="Times New Roman"/>
          <w:i/>
          <w:iCs/>
          <w:sz w:val="24"/>
          <w:szCs w:val="24"/>
        </w:rPr>
        <w:t>Water use and quality</w:t>
      </w:r>
      <w:r w:rsidRPr="00F46263">
        <w:rPr>
          <w:rFonts w:ascii="Times New Roman" w:hAnsi="Times New Roman" w:cs="Times New Roman"/>
          <w:sz w:val="24"/>
          <w:szCs w:val="24"/>
        </w:rPr>
        <w:t xml:space="preserve">; </w:t>
      </w:r>
      <w:r w:rsidRPr="00F46263">
        <w:rPr>
          <w:rFonts w:ascii="Times New Roman" w:hAnsi="Times New Roman" w:cs="Times New Roman"/>
          <w:i/>
          <w:iCs/>
          <w:sz w:val="24"/>
          <w:szCs w:val="24"/>
        </w:rPr>
        <w:t>Fish, wildlife, and vegetation</w:t>
      </w:r>
      <w:r w:rsidRPr="00F46263">
        <w:rPr>
          <w:rFonts w:ascii="Times New Roman" w:hAnsi="Times New Roman" w:cs="Times New Roman"/>
          <w:sz w:val="24"/>
          <w:szCs w:val="24"/>
        </w:rPr>
        <w:t xml:space="preserve">; </w:t>
      </w:r>
      <w:r w:rsidRPr="00F46263">
        <w:rPr>
          <w:rFonts w:ascii="Times New Roman" w:hAnsi="Times New Roman" w:cs="Times New Roman"/>
          <w:i/>
          <w:iCs/>
          <w:sz w:val="24"/>
          <w:szCs w:val="24"/>
        </w:rPr>
        <w:t>Soils</w:t>
      </w:r>
      <w:r w:rsidRPr="00F46263">
        <w:rPr>
          <w:rFonts w:ascii="Times New Roman" w:hAnsi="Times New Roman" w:cs="Times New Roman"/>
          <w:sz w:val="24"/>
          <w:szCs w:val="24"/>
        </w:rPr>
        <w:t xml:space="preserve">; </w:t>
      </w:r>
      <w:r w:rsidRPr="00F46263">
        <w:rPr>
          <w:rFonts w:ascii="Times New Roman" w:hAnsi="Times New Roman" w:cs="Times New Roman"/>
          <w:i/>
          <w:iCs/>
          <w:sz w:val="24"/>
          <w:szCs w:val="24"/>
        </w:rPr>
        <w:t>Land use, recreation, and aesthetics</w:t>
      </w:r>
      <w:r w:rsidRPr="00F46263">
        <w:rPr>
          <w:rFonts w:ascii="Times New Roman" w:hAnsi="Times New Roman" w:cs="Times New Roman"/>
          <w:sz w:val="24"/>
          <w:szCs w:val="24"/>
        </w:rPr>
        <w:t xml:space="preserve">; and </w:t>
      </w:r>
      <w:r w:rsidRPr="00F46263">
        <w:rPr>
          <w:rFonts w:ascii="Times New Roman" w:hAnsi="Times New Roman" w:cs="Times New Roman"/>
          <w:i/>
          <w:iCs/>
          <w:sz w:val="24"/>
          <w:szCs w:val="24"/>
        </w:rPr>
        <w:t>Reliability and safety</w:t>
      </w:r>
      <w:r w:rsidRPr="00F46263">
        <w:rPr>
          <w:rFonts w:ascii="Times New Roman" w:hAnsi="Times New Roman" w:cs="Times New Roman"/>
          <w:sz w:val="24"/>
          <w:szCs w:val="24"/>
        </w:rPr>
        <w:t xml:space="preserve">. </w:t>
      </w:r>
      <w:bookmarkEnd w:id="1"/>
    </w:p>
  </w:footnote>
  <w:footnote w:id="26">
    <w:p w:rsidR="000E152C" w:rsidRPr="00711E79" w:rsidP="000E152C" w14:paraId="73468D4D" w14:textId="6A3D8685">
      <w:pPr>
        <w:pStyle w:val="FootnoteText"/>
        <w:rPr>
          <w:rFonts w:ascii="Times New Roman" w:hAnsi="Times New Roman" w:cs="Times New Roman"/>
          <w:sz w:val="24"/>
          <w:szCs w:val="24"/>
        </w:rPr>
      </w:pPr>
      <w:r w:rsidRPr="00711E79">
        <w:rPr>
          <w:rStyle w:val="FootnoteReference"/>
          <w:rFonts w:cs="Times New Roman"/>
          <w:bCs/>
          <w:sz w:val="24"/>
          <w:szCs w:val="24"/>
        </w:rPr>
        <w:footnoteRef/>
      </w:r>
      <w:r w:rsidRPr="009142A9">
        <w:rPr>
          <w:rFonts w:ascii="Times New Roman" w:hAnsi="Times New Roman" w:cs="Times New Roman"/>
          <w:bCs/>
          <w:sz w:val="24"/>
          <w:szCs w:val="24"/>
        </w:rPr>
        <w:t xml:space="preserve"> </w:t>
      </w:r>
      <w:r w:rsidRPr="009142A9" w:rsidR="00B120DC">
        <w:rPr>
          <w:rFonts w:ascii="Times New Roman" w:hAnsi="Times New Roman" w:cs="Times New Roman"/>
          <w:bCs/>
          <w:sz w:val="24"/>
          <w:szCs w:val="24"/>
        </w:rPr>
        <w:t xml:space="preserve">The </w:t>
      </w:r>
      <w:r w:rsidRPr="00711E79">
        <w:rPr>
          <w:rFonts w:ascii="Times New Roman" w:hAnsi="Times New Roman" w:cs="Times New Roman"/>
          <w:sz w:val="24"/>
          <w:szCs w:val="24"/>
        </w:rPr>
        <w:t>Paperwork Reduction Act of 1995</w:t>
      </w:r>
      <w:r w:rsidR="0093274C">
        <w:rPr>
          <w:rFonts w:ascii="Times New Roman" w:hAnsi="Times New Roman" w:cs="Times New Roman"/>
          <w:sz w:val="24"/>
          <w:szCs w:val="24"/>
        </w:rPr>
        <w:t xml:space="preserve">, </w:t>
      </w:r>
      <w:r w:rsidRPr="0093274C" w:rsidR="0093274C">
        <w:rPr>
          <w:rFonts w:ascii="Times New Roman" w:hAnsi="Times New Roman" w:cs="Times New Roman"/>
          <w:sz w:val="24"/>
          <w:szCs w:val="24"/>
        </w:rPr>
        <w:t>44 U.S.C. 3501-3521</w:t>
      </w:r>
      <w:r w:rsidRPr="00711E79">
        <w:rPr>
          <w:rFonts w:ascii="Times New Roman" w:hAnsi="Times New Roman" w:cs="Times New Roman"/>
          <w:sz w:val="24"/>
          <w:szCs w:val="24"/>
        </w:rPr>
        <w:t xml:space="preserve"> (PRA).</w:t>
      </w:r>
    </w:p>
  </w:footnote>
  <w:footnote w:id="27">
    <w:p w:rsidR="000E152C" w:rsidRPr="009142A9" w:rsidP="000E152C" w14:paraId="73468D4E" w14:textId="087D0E84">
      <w:pPr>
        <w:pStyle w:val="FootnoteText"/>
        <w:rPr>
          <w:rFonts w:ascii="Times New Roman" w:eastAsia="Times New Roman" w:hAnsi="Times New Roman" w:cs="Times New Roman"/>
          <w:sz w:val="24"/>
          <w:szCs w:val="24"/>
        </w:rPr>
      </w:pPr>
      <w:r w:rsidRPr="00711E79">
        <w:rPr>
          <w:rStyle w:val="FootnoteReference"/>
          <w:rFonts w:cs="Times New Roman"/>
          <w:bCs/>
          <w:sz w:val="24"/>
          <w:szCs w:val="24"/>
        </w:rPr>
        <w:footnoteRef/>
      </w:r>
      <w:r w:rsidRPr="009142A9">
        <w:rPr>
          <w:rFonts w:ascii="Times New Roman" w:hAnsi="Times New Roman" w:cs="Times New Roman"/>
          <w:bCs/>
          <w:sz w:val="24"/>
          <w:szCs w:val="24"/>
        </w:rPr>
        <w:t xml:space="preserve"> </w:t>
      </w:r>
      <w:r w:rsidRPr="00711E79" w:rsidR="00F87544">
        <w:rPr>
          <w:rFonts w:ascii="Times New Roman" w:eastAsia="Times New Roman" w:hAnsi="Times New Roman" w:cs="Times New Roman"/>
          <w:sz w:val="24"/>
          <w:szCs w:val="24"/>
        </w:rPr>
        <w:t>The PRA Administration Cost includes preparing supporting statements, notices, and other activities associated with PRA compliance.</w:t>
      </w:r>
    </w:p>
  </w:footnote>
  <w:footnote w:id="28">
    <w:p w:rsidR="000E152C" w:rsidRPr="009142A9" w:rsidP="000E152C" w14:paraId="73468D4F" w14:textId="0F51AE1C">
      <w:pPr>
        <w:pStyle w:val="FootnoteText"/>
        <w:rPr>
          <w:rFonts w:ascii="Times New Roman" w:eastAsia="Times New Roman" w:hAnsi="Times New Roman" w:cs="Times New Roman"/>
          <w:sz w:val="24"/>
          <w:szCs w:val="24"/>
        </w:rPr>
      </w:pPr>
      <w:r w:rsidRPr="009142A9">
        <w:rPr>
          <w:rStyle w:val="FootnoteReference"/>
          <w:rFonts w:cs="Times New Roman"/>
          <w:sz w:val="24"/>
          <w:szCs w:val="24"/>
        </w:rPr>
        <w:footnoteRef/>
      </w:r>
      <w:r w:rsidRPr="009142A9">
        <w:rPr>
          <w:rFonts w:ascii="Times New Roman" w:hAnsi="Times New Roman" w:cs="Times New Roman"/>
          <w:sz w:val="24"/>
          <w:szCs w:val="24"/>
        </w:rPr>
        <w:t xml:space="preserve"> </w:t>
      </w:r>
      <w:r w:rsidRPr="00711E79" w:rsidR="00F87544">
        <w:rPr>
          <w:rFonts w:ascii="Times New Roman" w:eastAsia="Times New Roman" w:hAnsi="Times New Roman" w:cs="Times New Roman"/>
          <w:sz w:val="24"/>
          <w:szCs w:val="24"/>
        </w:rPr>
        <w:t xml:space="preserve">The cost figure </w:t>
      </w:r>
      <w:r w:rsidRPr="00711E79" w:rsidR="00D739B0">
        <w:rPr>
          <w:rFonts w:ascii="Times New Roman" w:eastAsia="Times New Roman" w:hAnsi="Times New Roman" w:cs="Times New Roman"/>
          <w:sz w:val="24"/>
          <w:szCs w:val="24"/>
        </w:rPr>
        <w:t>i</w:t>
      </w:r>
      <w:r w:rsidRPr="00711E79" w:rsidR="00F87544">
        <w:rPr>
          <w:rFonts w:ascii="Times New Roman" w:eastAsia="Times New Roman" w:hAnsi="Times New Roman" w:cs="Times New Roman"/>
          <w:sz w:val="24"/>
          <w:szCs w:val="24"/>
        </w:rPr>
        <w:t xml:space="preserve">s the </w:t>
      </w:r>
      <w:r w:rsidRPr="00711E79" w:rsidR="00D739B0">
        <w:rPr>
          <w:rFonts w:ascii="Times New Roman" w:eastAsia="Times New Roman" w:hAnsi="Times New Roman" w:cs="Times New Roman"/>
          <w:sz w:val="24"/>
          <w:szCs w:val="24"/>
        </w:rPr>
        <w:t>FY</w:t>
      </w:r>
      <w:r w:rsidRPr="00711E79" w:rsidR="00F87544">
        <w:rPr>
          <w:rFonts w:ascii="Times New Roman" w:eastAsia="Times New Roman" w:hAnsi="Times New Roman" w:cs="Times New Roman"/>
          <w:sz w:val="24"/>
          <w:szCs w:val="24"/>
        </w:rPr>
        <w:t>20</w:t>
      </w:r>
      <w:r w:rsidRPr="00711E79" w:rsidR="00D739B0">
        <w:rPr>
          <w:rFonts w:ascii="Times New Roman" w:eastAsia="Times New Roman" w:hAnsi="Times New Roman" w:cs="Times New Roman"/>
          <w:sz w:val="24"/>
          <w:szCs w:val="24"/>
        </w:rPr>
        <w:t>2</w:t>
      </w:r>
      <w:r w:rsidR="00AC147B">
        <w:rPr>
          <w:rFonts w:ascii="Times New Roman" w:eastAsia="Times New Roman" w:hAnsi="Times New Roman" w:cs="Times New Roman"/>
          <w:sz w:val="24"/>
          <w:szCs w:val="24"/>
        </w:rPr>
        <w:t>4</w:t>
      </w:r>
      <w:r w:rsidRPr="00711E79" w:rsidR="00F87544">
        <w:rPr>
          <w:rFonts w:ascii="Times New Roman" w:eastAsia="Times New Roman" w:hAnsi="Times New Roman" w:cs="Times New Roman"/>
          <w:sz w:val="24"/>
          <w:szCs w:val="24"/>
        </w:rPr>
        <w:t xml:space="preserve"> FERC average </w:t>
      </w:r>
      <w:r w:rsidRPr="00711E79" w:rsidR="00D739B0">
        <w:rPr>
          <w:rFonts w:ascii="Times New Roman" w:eastAsia="Times New Roman" w:hAnsi="Times New Roman" w:cs="Times New Roman"/>
          <w:sz w:val="24"/>
          <w:szCs w:val="24"/>
        </w:rPr>
        <w:t xml:space="preserve">annual </w:t>
      </w:r>
      <w:r w:rsidRPr="00711E79" w:rsidR="00F87544">
        <w:rPr>
          <w:rFonts w:ascii="Times New Roman" w:eastAsia="Times New Roman" w:hAnsi="Times New Roman" w:cs="Times New Roman"/>
          <w:sz w:val="24"/>
          <w:szCs w:val="24"/>
        </w:rPr>
        <w:t>salary plus benefits ($</w:t>
      </w:r>
      <w:r w:rsidRPr="00EF1AF9" w:rsidR="00AC147B">
        <w:rPr>
          <w:rFonts w:ascii="Times New Roman" w:hAnsi="Times New Roman" w:cs="Times New Roman"/>
          <w:sz w:val="24"/>
          <w:szCs w:val="24"/>
        </w:rPr>
        <w:t>207,786</w:t>
      </w:r>
      <w:r w:rsidRPr="00711E79" w:rsidR="00F87544">
        <w:rPr>
          <w:rFonts w:ascii="Times New Roman" w:eastAsia="Times New Roman" w:hAnsi="Times New Roman" w:cs="Times New Roman"/>
          <w:sz w:val="24"/>
          <w:szCs w:val="24"/>
        </w:rPr>
        <w:t xml:space="preserve">/year or </w:t>
      </w:r>
      <w:r w:rsidRPr="00711E79" w:rsidR="009C3CC5">
        <w:rPr>
          <w:rFonts w:ascii="Times New Roman" w:eastAsia="Times New Roman" w:hAnsi="Times New Roman" w:cs="Times New Roman"/>
          <w:sz w:val="24"/>
          <w:szCs w:val="24"/>
        </w:rPr>
        <w:t>$</w:t>
      </w:r>
      <w:r w:rsidR="00AC147B">
        <w:rPr>
          <w:rFonts w:ascii="Times New Roman" w:eastAsia="Times New Roman" w:hAnsi="Times New Roman" w:cs="Times New Roman"/>
          <w:sz w:val="24"/>
          <w:szCs w:val="24"/>
        </w:rPr>
        <w:t>100</w:t>
      </w:r>
      <w:r w:rsidRPr="00711E79" w:rsidR="00F87544">
        <w:rPr>
          <w:rFonts w:ascii="Times New Roman" w:eastAsia="Times New Roman" w:hAnsi="Times New Roman" w:cs="Times New Roman"/>
          <w:sz w:val="24"/>
          <w:szCs w:val="24"/>
        </w:rPr>
        <w:t>/hour)</w:t>
      </w:r>
      <w:r w:rsidRPr="00711E79">
        <w:rPr>
          <w:rFonts w:ascii="Times New Roman" w:hAnsi="Times New Roman" w:cs="Times New Roman"/>
          <w:sz w:val="24"/>
          <w:szCs w:val="24"/>
        </w:rPr>
        <w:t>.</w:t>
      </w:r>
    </w:p>
  </w:footnote>
  <w:footnote w:id="29">
    <w:p w:rsidR="00900878" w14:paraId="4C2EA334" w14:textId="6065F274">
      <w:pPr>
        <w:pStyle w:val="FootnoteText"/>
      </w:pPr>
      <w:r w:rsidRPr="00AD6A1E">
        <w:rPr>
          <w:rStyle w:val="FootnoteReference"/>
          <w:sz w:val="24"/>
          <w:szCs w:val="24"/>
        </w:rPr>
        <w:footnoteRef/>
      </w:r>
      <w:r>
        <w:t xml:space="preserve"> </w:t>
      </w:r>
      <w:r w:rsidRPr="00AD6A1E" w:rsidR="0033572E">
        <w:rPr>
          <w:rFonts w:ascii="Times New Roman" w:hAnsi="Times New Roman" w:cs="Times New Roman"/>
          <w:sz w:val="24"/>
          <w:szCs w:val="24"/>
        </w:rPr>
        <w:t xml:space="preserve">Because of the expected size and complexity of proposed projects, additional staff </w:t>
      </w:r>
      <w:r w:rsidR="009D2E9B">
        <w:rPr>
          <w:rFonts w:ascii="Times New Roman" w:hAnsi="Times New Roman" w:cs="Times New Roman"/>
          <w:sz w:val="24"/>
          <w:szCs w:val="24"/>
        </w:rPr>
        <w:t xml:space="preserve">will </w:t>
      </w:r>
      <w:r w:rsidRPr="00AD6A1E" w:rsidR="0033572E">
        <w:rPr>
          <w:rFonts w:ascii="Times New Roman" w:hAnsi="Times New Roman" w:cs="Times New Roman"/>
          <w:sz w:val="24"/>
          <w:szCs w:val="24"/>
        </w:rPr>
        <w:t>be necessary to review and process pre-filing requests and application filings.</w:t>
      </w:r>
      <w:r w:rsidR="003357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446" w:rsidP="00D55446" w14:paraId="2A0B008B" w14:textId="77777777">
    <w:pPr>
      <w:spacing w:after="0" w:line="240" w:lineRule="exact"/>
      <w:rPr>
        <w:rFonts w:ascii="Times New Roman" w:hAnsi="Times New Roman" w:cs="Times New Roman"/>
        <w:sz w:val="24"/>
        <w:szCs w:val="24"/>
      </w:rPr>
    </w:pPr>
    <w:r w:rsidRPr="008B77CF">
      <w:rPr>
        <w:rFonts w:ascii="Times New Roman" w:hAnsi="Times New Roman" w:cs="Times New Roman"/>
        <w:sz w:val="24"/>
        <w:szCs w:val="24"/>
      </w:rPr>
      <w:t>FERC-729 (OMB Control No. 1902-0238</w:t>
    </w:r>
    <w:r w:rsidR="00D83396">
      <w:rPr>
        <w:rFonts w:ascii="Times New Roman" w:hAnsi="Times New Roman" w:cs="Times New Roman"/>
        <w:sz w:val="24"/>
        <w:szCs w:val="24"/>
      </w:rPr>
      <w:t>)</w:t>
    </w:r>
  </w:p>
  <w:p w:rsidR="00D55446" w:rsidP="00D55446" w14:paraId="798E8E08" w14:textId="306B6A39">
    <w:pPr>
      <w:spacing w:after="0" w:line="240" w:lineRule="exact"/>
      <w:rPr>
        <w:rFonts w:ascii="Times New Roman" w:hAnsi="Times New Roman" w:cs="Times New Roman"/>
        <w:sz w:val="24"/>
        <w:szCs w:val="24"/>
      </w:rPr>
    </w:pPr>
    <w:r>
      <w:rPr>
        <w:rFonts w:ascii="Times New Roman" w:hAnsi="Times New Roman" w:cs="Times New Roman"/>
        <w:sz w:val="24"/>
        <w:szCs w:val="24"/>
      </w:rPr>
      <w:t>RIN:</w:t>
    </w:r>
    <w:r w:rsidR="004F330E">
      <w:rPr>
        <w:rFonts w:ascii="Times New Roman" w:hAnsi="Times New Roman" w:cs="Times New Roman"/>
        <w:sz w:val="24"/>
        <w:szCs w:val="24"/>
      </w:rPr>
      <w:t xml:space="preserve"> </w:t>
    </w:r>
    <w:r w:rsidRPr="004F330E" w:rsidR="004F330E">
      <w:rPr>
        <w:rFonts w:ascii="Times New Roman" w:hAnsi="Times New Roman" w:cs="Times New Roman"/>
        <w:sz w:val="24"/>
        <w:szCs w:val="24"/>
      </w:rPr>
      <w:t>1902-AG08</w:t>
    </w:r>
  </w:p>
  <w:p w:rsidR="00BE0464" w:rsidP="00D55446" w14:paraId="7FFA92CF" w14:textId="77777777">
    <w:pPr>
      <w:spacing w:after="0" w:line="240" w:lineRule="exact"/>
      <w:rPr>
        <w:rFonts w:ascii="Times New Roman" w:hAnsi="Times New Roman" w:cs="Times New Roman"/>
        <w:sz w:val="24"/>
        <w:szCs w:val="24"/>
      </w:rPr>
    </w:pPr>
    <w:r>
      <w:rPr>
        <w:rFonts w:ascii="Times New Roman" w:hAnsi="Times New Roman" w:cs="Times New Roman"/>
        <w:sz w:val="24"/>
        <w:szCs w:val="24"/>
      </w:rPr>
      <w:t>Final Rule</w:t>
    </w:r>
    <w:r w:rsidR="007243F7">
      <w:rPr>
        <w:rFonts w:ascii="Times New Roman" w:hAnsi="Times New Roman" w:cs="Times New Roman"/>
        <w:sz w:val="24"/>
        <w:szCs w:val="24"/>
      </w:rPr>
      <w:t xml:space="preserve">: </w:t>
    </w:r>
    <w:r w:rsidR="00453E3D">
      <w:rPr>
        <w:rFonts w:ascii="Times New Roman" w:hAnsi="Times New Roman" w:cs="Times New Roman"/>
        <w:sz w:val="24"/>
        <w:szCs w:val="24"/>
      </w:rPr>
      <w:t xml:space="preserve"> </w:t>
    </w:r>
    <w:r w:rsidR="007243F7">
      <w:rPr>
        <w:rFonts w:ascii="Times New Roman" w:hAnsi="Times New Roman" w:cs="Times New Roman"/>
        <w:sz w:val="24"/>
        <w:szCs w:val="24"/>
      </w:rPr>
      <w:t>RM22-7-000</w:t>
    </w:r>
  </w:p>
  <w:p w:rsidR="00A7570B" w:rsidRPr="008B77CF" w:rsidP="00D55446" w14:paraId="73468D36" w14:textId="3D0B925B">
    <w:pPr>
      <w:spacing w:after="0" w:line="240" w:lineRule="exact"/>
      <w:rPr>
        <w:rFonts w:ascii="Times New Roman" w:hAnsi="Times New Roman" w:cs="Times New Roman"/>
        <w:sz w:val="24"/>
        <w:szCs w:val="24"/>
      </w:rPr>
    </w:pP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1">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93D76D3"/>
    <w:multiLevelType w:val="hybridMultilevel"/>
    <w:tmpl w:val="B4F2560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B75776"/>
    <w:multiLevelType w:val="hybridMultilevel"/>
    <w:tmpl w:val="34D09E9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CDB3BC5"/>
    <w:multiLevelType w:val="hybridMultilevel"/>
    <w:tmpl w:val="4B8E0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78D9768A"/>
    <w:multiLevelType w:val="hybridMultilevel"/>
    <w:tmpl w:val="C1684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3B09D3"/>
    <w:multiLevelType w:val="hybridMultilevel"/>
    <w:tmpl w:val="721ADAB0"/>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728090">
    <w:abstractNumId w:val="4"/>
  </w:num>
  <w:num w:numId="2" w16cid:durableId="994069877">
    <w:abstractNumId w:val="8"/>
  </w:num>
  <w:num w:numId="3" w16cid:durableId="100808485">
    <w:abstractNumId w:val="0"/>
  </w:num>
  <w:num w:numId="4" w16cid:durableId="1823035071">
    <w:abstractNumId w:val="1"/>
  </w:num>
  <w:num w:numId="5" w16cid:durableId="1293973530">
    <w:abstractNumId w:val="6"/>
  </w:num>
  <w:num w:numId="6" w16cid:durableId="554464489">
    <w:abstractNumId w:val="3"/>
  </w:num>
  <w:num w:numId="7" w16cid:durableId="1404256146">
    <w:abstractNumId w:val="9"/>
  </w:num>
  <w:num w:numId="8" w16cid:durableId="1823496379">
    <w:abstractNumId w:val="10"/>
  </w:num>
  <w:num w:numId="9" w16cid:durableId="518861856">
    <w:abstractNumId w:val="7"/>
  </w:num>
  <w:num w:numId="10" w16cid:durableId="1207374455">
    <w:abstractNumId w:val="2"/>
  </w:num>
  <w:num w:numId="11" w16cid:durableId="496263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2C"/>
    <w:rsid w:val="00000180"/>
    <w:rsid w:val="0000431C"/>
    <w:rsid w:val="00006F0B"/>
    <w:rsid w:val="00007BAA"/>
    <w:rsid w:val="00020505"/>
    <w:rsid w:val="00020676"/>
    <w:rsid w:val="00021378"/>
    <w:rsid w:val="00022DE1"/>
    <w:rsid w:val="00024330"/>
    <w:rsid w:val="00025EFE"/>
    <w:rsid w:val="00030F1B"/>
    <w:rsid w:val="000362D1"/>
    <w:rsid w:val="00041FC0"/>
    <w:rsid w:val="00042D90"/>
    <w:rsid w:val="00044733"/>
    <w:rsid w:val="00047203"/>
    <w:rsid w:val="00054FC4"/>
    <w:rsid w:val="00055B0F"/>
    <w:rsid w:val="00055DF9"/>
    <w:rsid w:val="0006011B"/>
    <w:rsid w:val="00060700"/>
    <w:rsid w:val="00075F52"/>
    <w:rsid w:val="000779DA"/>
    <w:rsid w:val="00081CAF"/>
    <w:rsid w:val="0008481C"/>
    <w:rsid w:val="00086343"/>
    <w:rsid w:val="0008777E"/>
    <w:rsid w:val="000A06A2"/>
    <w:rsid w:val="000A2429"/>
    <w:rsid w:val="000A678F"/>
    <w:rsid w:val="000A71E9"/>
    <w:rsid w:val="000B693D"/>
    <w:rsid w:val="000B7064"/>
    <w:rsid w:val="000B73F3"/>
    <w:rsid w:val="000D2E75"/>
    <w:rsid w:val="000D6301"/>
    <w:rsid w:val="000D6614"/>
    <w:rsid w:val="000D67DE"/>
    <w:rsid w:val="000E0502"/>
    <w:rsid w:val="000E0AE3"/>
    <w:rsid w:val="000E152C"/>
    <w:rsid w:val="000F44CB"/>
    <w:rsid w:val="00101C16"/>
    <w:rsid w:val="001057FE"/>
    <w:rsid w:val="0010651F"/>
    <w:rsid w:val="00111C22"/>
    <w:rsid w:val="00113C54"/>
    <w:rsid w:val="00114AF4"/>
    <w:rsid w:val="001152E5"/>
    <w:rsid w:val="00121011"/>
    <w:rsid w:val="0013113F"/>
    <w:rsid w:val="00136CB0"/>
    <w:rsid w:val="00137B58"/>
    <w:rsid w:val="00140708"/>
    <w:rsid w:val="0014392B"/>
    <w:rsid w:val="001456DA"/>
    <w:rsid w:val="00150685"/>
    <w:rsid w:val="0015298F"/>
    <w:rsid w:val="00155FE0"/>
    <w:rsid w:val="00162D3A"/>
    <w:rsid w:val="00163D39"/>
    <w:rsid w:val="001655CA"/>
    <w:rsid w:val="001716D7"/>
    <w:rsid w:val="001717F4"/>
    <w:rsid w:val="0017493B"/>
    <w:rsid w:val="001763F6"/>
    <w:rsid w:val="00184338"/>
    <w:rsid w:val="00190B95"/>
    <w:rsid w:val="001911B2"/>
    <w:rsid w:val="00191F54"/>
    <w:rsid w:val="001952D9"/>
    <w:rsid w:val="001A2C34"/>
    <w:rsid w:val="001B242F"/>
    <w:rsid w:val="001B33C2"/>
    <w:rsid w:val="001B4E64"/>
    <w:rsid w:val="001B63F5"/>
    <w:rsid w:val="001B79F6"/>
    <w:rsid w:val="001C07D8"/>
    <w:rsid w:val="001C580D"/>
    <w:rsid w:val="001D03F3"/>
    <w:rsid w:val="001D10AF"/>
    <w:rsid w:val="001D2545"/>
    <w:rsid w:val="001D6780"/>
    <w:rsid w:val="001F03C5"/>
    <w:rsid w:val="001F0591"/>
    <w:rsid w:val="00203B9F"/>
    <w:rsid w:val="00206ACD"/>
    <w:rsid w:val="00210907"/>
    <w:rsid w:val="0021266B"/>
    <w:rsid w:val="00221512"/>
    <w:rsid w:val="002269F4"/>
    <w:rsid w:val="00230356"/>
    <w:rsid w:val="0023255F"/>
    <w:rsid w:val="00234BE4"/>
    <w:rsid w:val="00234D0D"/>
    <w:rsid w:val="0023519A"/>
    <w:rsid w:val="00235256"/>
    <w:rsid w:val="002363FD"/>
    <w:rsid w:val="0023786A"/>
    <w:rsid w:val="00240520"/>
    <w:rsid w:val="00245DB9"/>
    <w:rsid w:val="00246718"/>
    <w:rsid w:val="002551A6"/>
    <w:rsid w:val="0025616B"/>
    <w:rsid w:val="00260075"/>
    <w:rsid w:val="002607E8"/>
    <w:rsid w:val="00281A5E"/>
    <w:rsid w:val="00282724"/>
    <w:rsid w:val="002832C6"/>
    <w:rsid w:val="002842F0"/>
    <w:rsid w:val="00284A66"/>
    <w:rsid w:val="002851C8"/>
    <w:rsid w:val="00287EF9"/>
    <w:rsid w:val="00294EED"/>
    <w:rsid w:val="00297AE7"/>
    <w:rsid w:val="002A0459"/>
    <w:rsid w:val="002A41D3"/>
    <w:rsid w:val="002B574A"/>
    <w:rsid w:val="002C166D"/>
    <w:rsid w:val="002C4F77"/>
    <w:rsid w:val="002C5300"/>
    <w:rsid w:val="002D0518"/>
    <w:rsid w:val="002D0859"/>
    <w:rsid w:val="002D4E2B"/>
    <w:rsid w:val="002E01E3"/>
    <w:rsid w:val="002E1FB7"/>
    <w:rsid w:val="002E221F"/>
    <w:rsid w:val="002E23B8"/>
    <w:rsid w:val="002E2A08"/>
    <w:rsid w:val="002E3300"/>
    <w:rsid w:val="002E4901"/>
    <w:rsid w:val="002E65C4"/>
    <w:rsid w:val="002F063E"/>
    <w:rsid w:val="002F19A7"/>
    <w:rsid w:val="00314B8F"/>
    <w:rsid w:val="0032036F"/>
    <w:rsid w:val="003203F7"/>
    <w:rsid w:val="00322CF2"/>
    <w:rsid w:val="00323C62"/>
    <w:rsid w:val="00324081"/>
    <w:rsid w:val="0032569E"/>
    <w:rsid w:val="0033019D"/>
    <w:rsid w:val="00331861"/>
    <w:rsid w:val="0033572E"/>
    <w:rsid w:val="00335CE8"/>
    <w:rsid w:val="0034163B"/>
    <w:rsid w:val="00341774"/>
    <w:rsid w:val="00343694"/>
    <w:rsid w:val="00343DC3"/>
    <w:rsid w:val="003458BF"/>
    <w:rsid w:val="00347DFD"/>
    <w:rsid w:val="00352414"/>
    <w:rsid w:val="0035363A"/>
    <w:rsid w:val="00361951"/>
    <w:rsid w:val="00365E6A"/>
    <w:rsid w:val="003665F4"/>
    <w:rsid w:val="003668F6"/>
    <w:rsid w:val="0036700B"/>
    <w:rsid w:val="00367253"/>
    <w:rsid w:val="003708C4"/>
    <w:rsid w:val="00374845"/>
    <w:rsid w:val="0038356D"/>
    <w:rsid w:val="00391136"/>
    <w:rsid w:val="00392AA7"/>
    <w:rsid w:val="00393AD3"/>
    <w:rsid w:val="003A2A81"/>
    <w:rsid w:val="003A40F3"/>
    <w:rsid w:val="003C021A"/>
    <w:rsid w:val="003C25EF"/>
    <w:rsid w:val="003D1A90"/>
    <w:rsid w:val="003D350A"/>
    <w:rsid w:val="003D38EF"/>
    <w:rsid w:val="003D42D3"/>
    <w:rsid w:val="003D6F4F"/>
    <w:rsid w:val="003E5FC4"/>
    <w:rsid w:val="003F2818"/>
    <w:rsid w:val="003F509B"/>
    <w:rsid w:val="004102F5"/>
    <w:rsid w:val="00411850"/>
    <w:rsid w:val="004160C9"/>
    <w:rsid w:val="00422DB5"/>
    <w:rsid w:val="00423EEE"/>
    <w:rsid w:val="004246EA"/>
    <w:rsid w:val="00431E1D"/>
    <w:rsid w:val="004341F1"/>
    <w:rsid w:val="0043596F"/>
    <w:rsid w:val="00437DF8"/>
    <w:rsid w:val="0045106A"/>
    <w:rsid w:val="00453E3D"/>
    <w:rsid w:val="004564D2"/>
    <w:rsid w:val="00461638"/>
    <w:rsid w:val="00465800"/>
    <w:rsid w:val="004707B7"/>
    <w:rsid w:val="00470CF3"/>
    <w:rsid w:val="00472207"/>
    <w:rsid w:val="00472D4C"/>
    <w:rsid w:val="00474C4D"/>
    <w:rsid w:val="00476126"/>
    <w:rsid w:val="00480E74"/>
    <w:rsid w:val="0048778F"/>
    <w:rsid w:val="00493723"/>
    <w:rsid w:val="004942D1"/>
    <w:rsid w:val="00496BEF"/>
    <w:rsid w:val="00496D8C"/>
    <w:rsid w:val="004A2F4D"/>
    <w:rsid w:val="004A4027"/>
    <w:rsid w:val="004A6E76"/>
    <w:rsid w:val="004B2083"/>
    <w:rsid w:val="004B22CC"/>
    <w:rsid w:val="004B281D"/>
    <w:rsid w:val="004B2E5A"/>
    <w:rsid w:val="004B7B5D"/>
    <w:rsid w:val="004B7E4A"/>
    <w:rsid w:val="004C3B69"/>
    <w:rsid w:val="004C4858"/>
    <w:rsid w:val="004C5E42"/>
    <w:rsid w:val="004D3842"/>
    <w:rsid w:val="004D563A"/>
    <w:rsid w:val="004D6894"/>
    <w:rsid w:val="004E3F75"/>
    <w:rsid w:val="004E6A7C"/>
    <w:rsid w:val="004F330E"/>
    <w:rsid w:val="004F3DE5"/>
    <w:rsid w:val="004F40F4"/>
    <w:rsid w:val="0051662E"/>
    <w:rsid w:val="00526187"/>
    <w:rsid w:val="0052765E"/>
    <w:rsid w:val="0053497B"/>
    <w:rsid w:val="00541C82"/>
    <w:rsid w:val="005453EC"/>
    <w:rsid w:val="00553CD7"/>
    <w:rsid w:val="0055690E"/>
    <w:rsid w:val="00557CB2"/>
    <w:rsid w:val="00560E21"/>
    <w:rsid w:val="005645B0"/>
    <w:rsid w:val="005709AC"/>
    <w:rsid w:val="005729D3"/>
    <w:rsid w:val="005740AD"/>
    <w:rsid w:val="00575E9B"/>
    <w:rsid w:val="005855ED"/>
    <w:rsid w:val="00590068"/>
    <w:rsid w:val="0059352D"/>
    <w:rsid w:val="005957D7"/>
    <w:rsid w:val="00596D2A"/>
    <w:rsid w:val="00597B43"/>
    <w:rsid w:val="005A0544"/>
    <w:rsid w:val="005B70A1"/>
    <w:rsid w:val="005B74F0"/>
    <w:rsid w:val="005C1ECA"/>
    <w:rsid w:val="005D3E64"/>
    <w:rsid w:val="005E055E"/>
    <w:rsid w:val="005E0CEE"/>
    <w:rsid w:val="005E2DD3"/>
    <w:rsid w:val="005F474F"/>
    <w:rsid w:val="00604ABA"/>
    <w:rsid w:val="0060753C"/>
    <w:rsid w:val="00610BB3"/>
    <w:rsid w:val="00611384"/>
    <w:rsid w:val="00611DC9"/>
    <w:rsid w:val="00622C4F"/>
    <w:rsid w:val="00624CF5"/>
    <w:rsid w:val="006319CA"/>
    <w:rsid w:val="006426AB"/>
    <w:rsid w:val="00642924"/>
    <w:rsid w:val="00642D8E"/>
    <w:rsid w:val="0064491E"/>
    <w:rsid w:val="006471BD"/>
    <w:rsid w:val="006476B7"/>
    <w:rsid w:val="00647711"/>
    <w:rsid w:val="00652820"/>
    <w:rsid w:val="006601E3"/>
    <w:rsid w:val="00661727"/>
    <w:rsid w:val="00673D06"/>
    <w:rsid w:val="006763BA"/>
    <w:rsid w:val="006774DF"/>
    <w:rsid w:val="00680F95"/>
    <w:rsid w:val="00681C29"/>
    <w:rsid w:val="00681E27"/>
    <w:rsid w:val="0068263C"/>
    <w:rsid w:val="006863B0"/>
    <w:rsid w:val="006874F6"/>
    <w:rsid w:val="006966C4"/>
    <w:rsid w:val="00696C09"/>
    <w:rsid w:val="006A176D"/>
    <w:rsid w:val="006A1F49"/>
    <w:rsid w:val="006A298C"/>
    <w:rsid w:val="006A71FA"/>
    <w:rsid w:val="006B7416"/>
    <w:rsid w:val="006B7811"/>
    <w:rsid w:val="006C307E"/>
    <w:rsid w:val="006C5D22"/>
    <w:rsid w:val="006C6CAC"/>
    <w:rsid w:val="006D10B4"/>
    <w:rsid w:val="006D6C00"/>
    <w:rsid w:val="006E05DA"/>
    <w:rsid w:val="006E12C3"/>
    <w:rsid w:val="006E2EA6"/>
    <w:rsid w:val="006E53A9"/>
    <w:rsid w:val="006E6689"/>
    <w:rsid w:val="007015EC"/>
    <w:rsid w:val="007016EA"/>
    <w:rsid w:val="0070209D"/>
    <w:rsid w:val="00707168"/>
    <w:rsid w:val="00707308"/>
    <w:rsid w:val="00711E79"/>
    <w:rsid w:val="007122C0"/>
    <w:rsid w:val="00716C6D"/>
    <w:rsid w:val="00717CF8"/>
    <w:rsid w:val="00720C37"/>
    <w:rsid w:val="007243F7"/>
    <w:rsid w:val="00726BD7"/>
    <w:rsid w:val="007370F5"/>
    <w:rsid w:val="00737EFD"/>
    <w:rsid w:val="007451E9"/>
    <w:rsid w:val="007505FE"/>
    <w:rsid w:val="00750BBA"/>
    <w:rsid w:val="00751793"/>
    <w:rsid w:val="00754AC6"/>
    <w:rsid w:val="00761DBC"/>
    <w:rsid w:val="007646B2"/>
    <w:rsid w:val="00767506"/>
    <w:rsid w:val="00770791"/>
    <w:rsid w:val="00770A6D"/>
    <w:rsid w:val="00770FDD"/>
    <w:rsid w:val="00771654"/>
    <w:rsid w:val="00771DA6"/>
    <w:rsid w:val="007816E0"/>
    <w:rsid w:val="00785283"/>
    <w:rsid w:val="007905C8"/>
    <w:rsid w:val="007923E5"/>
    <w:rsid w:val="00795C17"/>
    <w:rsid w:val="007A3A58"/>
    <w:rsid w:val="007B134A"/>
    <w:rsid w:val="007B3925"/>
    <w:rsid w:val="007B5CF8"/>
    <w:rsid w:val="007B6918"/>
    <w:rsid w:val="007C7CD6"/>
    <w:rsid w:val="007C7E96"/>
    <w:rsid w:val="007E03AC"/>
    <w:rsid w:val="007E0D0A"/>
    <w:rsid w:val="007E1CB0"/>
    <w:rsid w:val="007E3E14"/>
    <w:rsid w:val="007E515C"/>
    <w:rsid w:val="007F147E"/>
    <w:rsid w:val="007F467A"/>
    <w:rsid w:val="007F653F"/>
    <w:rsid w:val="00802B46"/>
    <w:rsid w:val="008154EA"/>
    <w:rsid w:val="008229D6"/>
    <w:rsid w:val="0083053F"/>
    <w:rsid w:val="0083132B"/>
    <w:rsid w:val="00832EEB"/>
    <w:rsid w:val="0083372C"/>
    <w:rsid w:val="00837431"/>
    <w:rsid w:val="00841C49"/>
    <w:rsid w:val="008454A6"/>
    <w:rsid w:val="00847C23"/>
    <w:rsid w:val="00852E51"/>
    <w:rsid w:val="00853016"/>
    <w:rsid w:val="008556AF"/>
    <w:rsid w:val="00865A79"/>
    <w:rsid w:val="00872455"/>
    <w:rsid w:val="00874203"/>
    <w:rsid w:val="00880FBB"/>
    <w:rsid w:val="00881368"/>
    <w:rsid w:val="00882C11"/>
    <w:rsid w:val="0088425B"/>
    <w:rsid w:val="00886C06"/>
    <w:rsid w:val="0089299F"/>
    <w:rsid w:val="008A0D59"/>
    <w:rsid w:val="008A6393"/>
    <w:rsid w:val="008A6D33"/>
    <w:rsid w:val="008B07E6"/>
    <w:rsid w:val="008B3512"/>
    <w:rsid w:val="008B77CF"/>
    <w:rsid w:val="008C4141"/>
    <w:rsid w:val="008C705A"/>
    <w:rsid w:val="008D03F3"/>
    <w:rsid w:val="008D47B3"/>
    <w:rsid w:val="008D6540"/>
    <w:rsid w:val="008D7AB6"/>
    <w:rsid w:val="008E47DD"/>
    <w:rsid w:val="008E5769"/>
    <w:rsid w:val="008E6C35"/>
    <w:rsid w:val="008F541D"/>
    <w:rsid w:val="008F7334"/>
    <w:rsid w:val="0090081C"/>
    <w:rsid w:val="00900878"/>
    <w:rsid w:val="00902EF6"/>
    <w:rsid w:val="00906943"/>
    <w:rsid w:val="00913BE0"/>
    <w:rsid w:val="00913E6F"/>
    <w:rsid w:val="009142A9"/>
    <w:rsid w:val="009208DA"/>
    <w:rsid w:val="00921D7F"/>
    <w:rsid w:val="00925D85"/>
    <w:rsid w:val="009278D9"/>
    <w:rsid w:val="00930404"/>
    <w:rsid w:val="0093274C"/>
    <w:rsid w:val="00935DD5"/>
    <w:rsid w:val="00936EB9"/>
    <w:rsid w:val="0093750B"/>
    <w:rsid w:val="00940668"/>
    <w:rsid w:val="0094089E"/>
    <w:rsid w:val="00940F98"/>
    <w:rsid w:val="0094553C"/>
    <w:rsid w:val="0094696E"/>
    <w:rsid w:val="0094698C"/>
    <w:rsid w:val="00950A11"/>
    <w:rsid w:val="00953826"/>
    <w:rsid w:val="009565F6"/>
    <w:rsid w:val="009569BE"/>
    <w:rsid w:val="00960268"/>
    <w:rsid w:val="00960DDA"/>
    <w:rsid w:val="00967D6A"/>
    <w:rsid w:val="0097032A"/>
    <w:rsid w:val="00974B92"/>
    <w:rsid w:val="009778BD"/>
    <w:rsid w:val="00980DBC"/>
    <w:rsid w:val="00981D61"/>
    <w:rsid w:val="00982762"/>
    <w:rsid w:val="009841BA"/>
    <w:rsid w:val="00985533"/>
    <w:rsid w:val="009966F9"/>
    <w:rsid w:val="009A4824"/>
    <w:rsid w:val="009B1C16"/>
    <w:rsid w:val="009B3E76"/>
    <w:rsid w:val="009B543D"/>
    <w:rsid w:val="009B631A"/>
    <w:rsid w:val="009C0235"/>
    <w:rsid w:val="009C3CC5"/>
    <w:rsid w:val="009D0410"/>
    <w:rsid w:val="009D1946"/>
    <w:rsid w:val="009D2E9B"/>
    <w:rsid w:val="009D6548"/>
    <w:rsid w:val="009D6BA0"/>
    <w:rsid w:val="009E0872"/>
    <w:rsid w:val="009E3798"/>
    <w:rsid w:val="009F23B5"/>
    <w:rsid w:val="00A01E19"/>
    <w:rsid w:val="00A034F6"/>
    <w:rsid w:val="00A043C1"/>
    <w:rsid w:val="00A1416A"/>
    <w:rsid w:val="00A16319"/>
    <w:rsid w:val="00A20850"/>
    <w:rsid w:val="00A2255C"/>
    <w:rsid w:val="00A32527"/>
    <w:rsid w:val="00A3290B"/>
    <w:rsid w:val="00A32E37"/>
    <w:rsid w:val="00A3552E"/>
    <w:rsid w:val="00A41579"/>
    <w:rsid w:val="00A42867"/>
    <w:rsid w:val="00A433D5"/>
    <w:rsid w:val="00A50A16"/>
    <w:rsid w:val="00A603F8"/>
    <w:rsid w:val="00A669EF"/>
    <w:rsid w:val="00A703A0"/>
    <w:rsid w:val="00A73935"/>
    <w:rsid w:val="00A74942"/>
    <w:rsid w:val="00A74C27"/>
    <w:rsid w:val="00A74C9C"/>
    <w:rsid w:val="00A7570B"/>
    <w:rsid w:val="00A767DC"/>
    <w:rsid w:val="00A77920"/>
    <w:rsid w:val="00A77B59"/>
    <w:rsid w:val="00A80426"/>
    <w:rsid w:val="00A820B0"/>
    <w:rsid w:val="00A83DE7"/>
    <w:rsid w:val="00A84814"/>
    <w:rsid w:val="00A91E6C"/>
    <w:rsid w:val="00A9469D"/>
    <w:rsid w:val="00AA0B6D"/>
    <w:rsid w:val="00AA0BF2"/>
    <w:rsid w:val="00AA1A69"/>
    <w:rsid w:val="00AA53EE"/>
    <w:rsid w:val="00AC147B"/>
    <w:rsid w:val="00AC1D75"/>
    <w:rsid w:val="00AD12F8"/>
    <w:rsid w:val="00AD2B99"/>
    <w:rsid w:val="00AD2BDA"/>
    <w:rsid w:val="00AD5728"/>
    <w:rsid w:val="00AD6113"/>
    <w:rsid w:val="00AD6A1E"/>
    <w:rsid w:val="00AE0631"/>
    <w:rsid w:val="00AE1E8E"/>
    <w:rsid w:val="00AE600E"/>
    <w:rsid w:val="00AF0A7A"/>
    <w:rsid w:val="00AF21F9"/>
    <w:rsid w:val="00AF2FAD"/>
    <w:rsid w:val="00B04073"/>
    <w:rsid w:val="00B049B0"/>
    <w:rsid w:val="00B076E2"/>
    <w:rsid w:val="00B11FD4"/>
    <w:rsid w:val="00B120DC"/>
    <w:rsid w:val="00B13B11"/>
    <w:rsid w:val="00B15222"/>
    <w:rsid w:val="00B1550A"/>
    <w:rsid w:val="00B17AFA"/>
    <w:rsid w:val="00B23EDB"/>
    <w:rsid w:val="00B24C29"/>
    <w:rsid w:val="00B24D4F"/>
    <w:rsid w:val="00B27771"/>
    <w:rsid w:val="00B31692"/>
    <w:rsid w:val="00B34DA9"/>
    <w:rsid w:val="00B36A70"/>
    <w:rsid w:val="00B36EE5"/>
    <w:rsid w:val="00B373D9"/>
    <w:rsid w:val="00B41FA5"/>
    <w:rsid w:val="00B43657"/>
    <w:rsid w:val="00B54657"/>
    <w:rsid w:val="00B54E16"/>
    <w:rsid w:val="00B55ACB"/>
    <w:rsid w:val="00B658C4"/>
    <w:rsid w:val="00B66AE2"/>
    <w:rsid w:val="00B70430"/>
    <w:rsid w:val="00B721F0"/>
    <w:rsid w:val="00B74BB9"/>
    <w:rsid w:val="00B75183"/>
    <w:rsid w:val="00B769AA"/>
    <w:rsid w:val="00B806FF"/>
    <w:rsid w:val="00B96467"/>
    <w:rsid w:val="00BA2DD6"/>
    <w:rsid w:val="00BB2216"/>
    <w:rsid w:val="00BB4975"/>
    <w:rsid w:val="00BC45F9"/>
    <w:rsid w:val="00BD0E43"/>
    <w:rsid w:val="00BD11E3"/>
    <w:rsid w:val="00BD16C8"/>
    <w:rsid w:val="00BD3A93"/>
    <w:rsid w:val="00BE0464"/>
    <w:rsid w:val="00BE2BDF"/>
    <w:rsid w:val="00BF6F61"/>
    <w:rsid w:val="00C02633"/>
    <w:rsid w:val="00C02B29"/>
    <w:rsid w:val="00C036A3"/>
    <w:rsid w:val="00C12B95"/>
    <w:rsid w:val="00C13064"/>
    <w:rsid w:val="00C13740"/>
    <w:rsid w:val="00C13883"/>
    <w:rsid w:val="00C17FB0"/>
    <w:rsid w:val="00C20A97"/>
    <w:rsid w:val="00C21E00"/>
    <w:rsid w:val="00C31237"/>
    <w:rsid w:val="00C3367D"/>
    <w:rsid w:val="00C33980"/>
    <w:rsid w:val="00C43C1C"/>
    <w:rsid w:val="00C473FA"/>
    <w:rsid w:val="00C52B60"/>
    <w:rsid w:val="00C56656"/>
    <w:rsid w:val="00C570CC"/>
    <w:rsid w:val="00C6293B"/>
    <w:rsid w:val="00C6351C"/>
    <w:rsid w:val="00C63B55"/>
    <w:rsid w:val="00C6452E"/>
    <w:rsid w:val="00C717E8"/>
    <w:rsid w:val="00C7449E"/>
    <w:rsid w:val="00C81FE6"/>
    <w:rsid w:val="00C85B12"/>
    <w:rsid w:val="00C85F25"/>
    <w:rsid w:val="00C86165"/>
    <w:rsid w:val="00C931BD"/>
    <w:rsid w:val="00C96CF2"/>
    <w:rsid w:val="00CA284A"/>
    <w:rsid w:val="00CA483B"/>
    <w:rsid w:val="00CA68B6"/>
    <w:rsid w:val="00CB663D"/>
    <w:rsid w:val="00CB6E66"/>
    <w:rsid w:val="00CC4256"/>
    <w:rsid w:val="00CC43A0"/>
    <w:rsid w:val="00CC4CA8"/>
    <w:rsid w:val="00CC6EB8"/>
    <w:rsid w:val="00CC7B8C"/>
    <w:rsid w:val="00CD1763"/>
    <w:rsid w:val="00CD211F"/>
    <w:rsid w:val="00CD4A8F"/>
    <w:rsid w:val="00CD53FB"/>
    <w:rsid w:val="00CD5E91"/>
    <w:rsid w:val="00CD5E9D"/>
    <w:rsid w:val="00CE542B"/>
    <w:rsid w:val="00CE55E2"/>
    <w:rsid w:val="00CE726E"/>
    <w:rsid w:val="00CF5C47"/>
    <w:rsid w:val="00D03387"/>
    <w:rsid w:val="00D04223"/>
    <w:rsid w:val="00D07101"/>
    <w:rsid w:val="00D07493"/>
    <w:rsid w:val="00D11095"/>
    <w:rsid w:val="00D12FBB"/>
    <w:rsid w:val="00D21CAB"/>
    <w:rsid w:val="00D26C6C"/>
    <w:rsid w:val="00D26EFF"/>
    <w:rsid w:val="00D2766C"/>
    <w:rsid w:val="00D276F2"/>
    <w:rsid w:val="00D37879"/>
    <w:rsid w:val="00D37EF2"/>
    <w:rsid w:val="00D46B16"/>
    <w:rsid w:val="00D47704"/>
    <w:rsid w:val="00D52D72"/>
    <w:rsid w:val="00D547A7"/>
    <w:rsid w:val="00D55446"/>
    <w:rsid w:val="00D6074E"/>
    <w:rsid w:val="00D612C4"/>
    <w:rsid w:val="00D619AF"/>
    <w:rsid w:val="00D633E4"/>
    <w:rsid w:val="00D64270"/>
    <w:rsid w:val="00D70695"/>
    <w:rsid w:val="00D71478"/>
    <w:rsid w:val="00D739B0"/>
    <w:rsid w:val="00D74F07"/>
    <w:rsid w:val="00D7633D"/>
    <w:rsid w:val="00D76D5D"/>
    <w:rsid w:val="00D8241A"/>
    <w:rsid w:val="00D83396"/>
    <w:rsid w:val="00D86390"/>
    <w:rsid w:val="00D8670E"/>
    <w:rsid w:val="00D86D8B"/>
    <w:rsid w:val="00D9418D"/>
    <w:rsid w:val="00D94FB6"/>
    <w:rsid w:val="00D9643F"/>
    <w:rsid w:val="00D973F2"/>
    <w:rsid w:val="00DA0F06"/>
    <w:rsid w:val="00DA1792"/>
    <w:rsid w:val="00DA233D"/>
    <w:rsid w:val="00DB01AA"/>
    <w:rsid w:val="00DB2C85"/>
    <w:rsid w:val="00DB7A6E"/>
    <w:rsid w:val="00DC0933"/>
    <w:rsid w:val="00DC0FAE"/>
    <w:rsid w:val="00DC5FAE"/>
    <w:rsid w:val="00DC6019"/>
    <w:rsid w:val="00DC7D33"/>
    <w:rsid w:val="00DD001B"/>
    <w:rsid w:val="00DD52CF"/>
    <w:rsid w:val="00DD7A91"/>
    <w:rsid w:val="00DE7DA5"/>
    <w:rsid w:val="00DF10DC"/>
    <w:rsid w:val="00DF19C4"/>
    <w:rsid w:val="00DF36E9"/>
    <w:rsid w:val="00DF4370"/>
    <w:rsid w:val="00E02DA0"/>
    <w:rsid w:val="00E05112"/>
    <w:rsid w:val="00E12210"/>
    <w:rsid w:val="00E15D6F"/>
    <w:rsid w:val="00E1743E"/>
    <w:rsid w:val="00E17B5C"/>
    <w:rsid w:val="00E17F00"/>
    <w:rsid w:val="00E2182E"/>
    <w:rsid w:val="00E22A55"/>
    <w:rsid w:val="00E23FD0"/>
    <w:rsid w:val="00E25797"/>
    <w:rsid w:val="00E25B2B"/>
    <w:rsid w:val="00E355B1"/>
    <w:rsid w:val="00E37942"/>
    <w:rsid w:val="00E41022"/>
    <w:rsid w:val="00E42C6C"/>
    <w:rsid w:val="00E43F72"/>
    <w:rsid w:val="00E448D1"/>
    <w:rsid w:val="00E44C71"/>
    <w:rsid w:val="00E46251"/>
    <w:rsid w:val="00E46378"/>
    <w:rsid w:val="00E479B7"/>
    <w:rsid w:val="00E51074"/>
    <w:rsid w:val="00E52BEC"/>
    <w:rsid w:val="00E60466"/>
    <w:rsid w:val="00E71528"/>
    <w:rsid w:val="00E768DE"/>
    <w:rsid w:val="00E861AE"/>
    <w:rsid w:val="00E876C7"/>
    <w:rsid w:val="00E90949"/>
    <w:rsid w:val="00E94522"/>
    <w:rsid w:val="00E96A2B"/>
    <w:rsid w:val="00EA17A0"/>
    <w:rsid w:val="00EA46B2"/>
    <w:rsid w:val="00EA60F1"/>
    <w:rsid w:val="00EB012F"/>
    <w:rsid w:val="00EC0D49"/>
    <w:rsid w:val="00EC5159"/>
    <w:rsid w:val="00ED508B"/>
    <w:rsid w:val="00ED6370"/>
    <w:rsid w:val="00EF0452"/>
    <w:rsid w:val="00EF1AF9"/>
    <w:rsid w:val="00EF2B1C"/>
    <w:rsid w:val="00F009E0"/>
    <w:rsid w:val="00F01D70"/>
    <w:rsid w:val="00F02D35"/>
    <w:rsid w:val="00F03BC7"/>
    <w:rsid w:val="00F042FB"/>
    <w:rsid w:val="00F05B06"/>
    <w:rsid w:val="00F07AC1"/>
    <w:rsid w:val="00F104CE"/>
    <w:rsid w:val="00F11F5D"/>
    <w:rsid w:val="00F14474"/>
    <w:rsid w:val="00F163BF"/>
    <w:rsid w:val="00F1726D"/>
    <w:rsid w:val="00F21158"/>
    <w:rsid w:val="00F218AE"/>
    <w:rsid w:val="00F22486"/>
    <w:rsid w:val="00F23613"/>
    <w:rsid w:val="00F25A0C"/>
    <w:rsid w:val="00F27C44"/>
    <w:rsid w:val="00F42376"/>
    <w:rsid w:val="00F4325E"/>
    <w:rsid w:val="00F46263"/>
    <w:rsid w:val="00F514ED"/>
    <w:rsid w:val="00F53486"/>
    <w:rsid w:val="00F53A90"/>
    <w:rsid w:val="00F54646"/>
    <w:rsid w:val="00F63B85"/>
    <w:rsid w:val="00F675A5"/>
    <w:rsid w:val="00F750EF"/>
    <w:rsid w:val="00F77A40"/>
    <w:rsid w:val="00F87544"/>
    <w:rsid w:val="00F91714"/>
    <w:rsid w:val="00FA0D59"/>
    <w:rsid w:val="00FA1C4A"/>
    <w:rsid w:val="00FA447B"/>
    <w:rsid w:val="00FB1D79"/>
    <w:rsid w:val="00FB44DB"/>
    <w:rsid w:val="00FC171A"/>
    <w:rsid w:val="00FC241A"/>
    <w:rsid w:val="00FC2F26"/>
    <w:rsid w:val="00FC5740"/>
    <w:rsid w:val="00FD1F83"/>
    <w:rsid w:val="00FD6A8E"/>
    <w:rsid w:val="00FE0D26"/>
    <w:rsid w:val="00FE2450"/>
    <w:rsid w:val="00FE58B5"/>
    <w:rsid w:val="00FF0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68C76"/>
  <w15:docId w15:val="{4E0682C1-97AD-4CDA-B6D2-85552D85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0E152C"/>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uiPriority w:val="99"/>
    <w:rsid w:val="000E152C"/>
    <w:rPr>
      <w:sz w:val="20"/>
      <w:szCs w:val="20"/>
    </w:rPr>
  </w:style>
  <w:style w:type="paragraph" w:styleId="Footer">
    <w:name w:val="footer"/>
    <w:basedOn w:val="Normal"/>
    <w:link w:val="FooterChar"/>
    <w:uiPriority w:val="99"/>
    <w:unhideWhenUsed/>
    <w:rsid w:val="000E1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2C"/>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0E152C"/>
    <w:rPr>
      <w:rFonts w:ascii="Times New Roman" w:hAnsi="Times New Roman"/>
      <w:b/>
      <w:sz w:val="26"/>
      <w:szCs w:val="26"/>
      <w:vertAlign w:val="superscript"/>
    </w:rPr>
  </w:style>
  <w:style w:type="character" w:styleId="PageNumber">
    <w:name w:val="page number"/>
    <w:basedOn w:val="DefaultParagraphFont"/>
    <w:rsid w:val="000E152C"/>
  </w:style>
  <w:style w:type="character" w:styleId="Hyperlink">
    <w:name w:val="Hyperlink"/>
    <w:rsid w:val="000E152C"/>
    <w:rPr>
      <w:strike w:val="0"/>
      <w:dstrike w:val="0"/>
      <w:color w:val="000080"/>
      <w:u w:val="none"/>
      <w:effect w:val="none"/>
    </w:rPr>
  </w:style>
  <w:style w:type="paragraph" w:styleId="Header">
    <w:name w:val="header"/>
    <w:basedOn w:val="Normal"/>
    <w:link w:val="HeaderChar"/>
    <w:uiPriority w:val="99"/>
    <w:unhideWhenUsed/>
    <w:rsid w:val="00A94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9D"/>
  </w:style>
  <w:style w:type="character" w:styleId="CommentReference">
    <w:name w:val="annotation reference"/>
    <w:basedOn w:val="DefaultParagraphFont"/>
    <w:uiPriority w:val="99"/>
    <w:semiHidden/>
    <w:unhideWhenUsed/>
    <w:rsid w:val="004707B7"/>
    <w:rPr>
      <w:sz w:val="16"/>
      <w:szCs w:val="16"/>
    </w:rPr>
  </w:style>
  <w:style w:type="paragraph" w:styleId="CommentText">
    <w:name w:val="annotation text"/>
    <w:basedOn w:val="Normal"/>
    <w:link w:val="CommentTextChar"/>
    <w:uiPriority w:val="99"/>
    <w:unhideWhenUsed/>
    <w:rsid w:val="004707B7"/>
    <w:pPr>
      <w:spacing w:line="240" w:lineRule="auto"/>
    </w:pPr>
    <w:rPr>
      <w:sz w:val="20"/>
      <w:szCs w:val="20"/>
    </w:rPr>
  </w:style>
  <w:style w:type="character" w:customStyle="1" w:styleId="CommentTextChar">
    <w:name w:val="Comment Text Char"/>
    <w:basedOn w:val="DefaultParagraphFont"/>
    <w:link w:val="CommentText"/>
    <w:uiPriority w:val="99"/>
    <w:rsid w:val="004707B7"/>
    <w:rPr>
      <w:sz w:val="20"/>
      <w:szCs w:val="20"/>
    </w:rPr>
  </w:style>
  <w:style w:type="paragraph" w:styleId="CommentSubject">
    <w:name w:val="annotation subject"/>
    <w:basedOn w:val="CommentText"/>
    <w:next w:val="CommentText"/>
    <w:link w:val="CommentSubjectChar"/>
    <w:uiPriority w:val="99"/>
    <w:semiHidden/>
    <w:unhideWhenUsed/>
    <w:rsid w:val="004707B7"/>
    <w:rPr>
      <w:b/>
      <w:bCs/>
    </w:rPr>
  </w:style>
  <w:style w:type="character" w:customStyle="1" w:styleId="CommentSubjectChar">
    <w:name w:val="Comment Subject Char"/>
    <w:basedOn w:val="CommentTextChar"/>
    <w:link w:val="CommentSubject"/>
    <w:uiPriority w:val="99"/>
    <w:semiHidden/>
    <w:rsid w:val="004707B7"/>
    <w:rPr>
      <w:b/>
      <w:bCs/>
      <w:sz w:val="20"/>
      <w:szCs w:val="20"/>
    </w:rPr>
  </w:style>
  <w:style w:type="paragraph" w:styleId="BalloonText">
    <w:name w:val="Balloon Text"/>
    <w:basedOn w:val="Normal"/>
    <w:link w:val="BalloonTextChar"/>
    <w:uiPriority w:val="99"/>
    <w:semiHidden/>
    <w:unhideWhenUsed/>
    <w:rsid w:val="00470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B7"/>
    <w:rPr>
      <w:rFonts w:ascii="Segoe UI" w:hAnsi="Segoe UI" w:cs="Segoe UI"/>
      <w:sz w:val="18"/>
      <w:szCs w:val="18"/>
    </w:rPr>
  </w:style>
  <w:style w:type="character" w:styleId="FollowedHyperlink">
    <w:name w:val="FollowedHyperlink"/>
    <w:basedOn w:val="DefaultParagraphFont"/>
    <w:uiPriority w:val="99"/>
    <w:semiHidden/>
    <w:unhideWhenUsed/>
    <w:rsid w:val="00974B92"/>
    <w:rPr>
      <w:color w:val="954F72" w:themeColor="followedHyperlink"/>
      <w:u w:val="single"/>
    </w:rPr>
  </w:style>
  <w:style w:type="character" w:styleId="UnresolvedMention">
    <w:name w:val="Unresolved Mention"/>
    <w:basedOn w:val="DefaultParagraphFont"/>
    <w:uiPriority w:val="99"/>
    <w:semiHidden/>
    <w:unhideWhenUsed/>
    <w:rsid w:val="00A043C1"/>
    <w:rPr>
      <w:color w:val="605E5C"/>
      <w:shd w:val="clear" w:color="auto" w:fill="E1DFDD"/>
    </w:rPr>
  </w:style>
  <w:style w:type="paragraph" w:styleId="Revision">
    <w:name w:val="Revision"/>
    <w:hidden/>
    <w:uiPriority w:val="99"/>
    <w:semiHidden/>
    <w:rsid w:val="00AD6113"/>
    <w:pPr>
      <w:spacing w:after="0" w:line="240" w:lineRule="auto"/>
    </w:pPr>
  </w:style>
  <w:style w:type="paragraph" w:customStyle="1" w:styleId="FERCparanumber">
    <w:name w:val="FERC paranumber"/>
    <w:basedOn w:val="Normal"/>
    <w:link w:val="FERCparanumberChar"/>
    <w:qFormat/>
    <w:rsid w:val="00DB7A6E"/>
    <w:pPr>
      <w:numPr>
        <w:numId w:val="8"/>
      </w:numPr>
      <w:spacing w:after="0" w:line="480" w:lineRule="auto"/>
    </w:pPr>
    <w:rPr>
      <w:rFonts w:ascii="Times New Roman" w:hAnsi="Times New Roman" w:cs="Times New Roman"/>
      <w:sz w:val="26"/>
    </w:rPr>
  </w:style>
  <w:style w:type="character" w:customStyle="1" w:styleId="FERCparanumberChar">
    <w:name w:val="FERC paranumber Char"/>
    <w:basedOn w:val="DefaultParagraphFont"/>
    <w:link w:val="FERCparanumber"/>
    <w:rsid w:val="00DB7A6E"/>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sites/default/files/2020-05/fil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06796DD4B38C4393EBEA202BD97C8F" ma:contentTypeVersion="10" ma:contentTypeDescription="Create a new document." ma:contentTypeScope="" ma:versionID="eeee23f99990afcb32c140cbe04fa0b7">
  <xsd:schema xmlns:xsd="http://www.w3.org/2001/XMLSchema" xmlns:xs="http://www.w3.org/2001/XMLSchema" xmlns:p="http://schemas.microsoft.com/office/2006/metadata/properties" xmlns:ns2="055960a4-5f88-4051-bb3c-9a4b91c78cd3" xmlns:ns3="c3f373f5-c3a4-4865-9747-dd0db0d3d135" targetNamespace="http://schemas.microsoft.com/office/2006/metadata/properties" ma:root="true" ma:fieldsID="e60cca9eb56aad14df58d8fc113ded81" ns2:_="" ns3:_="">
    <xsd:import namespace="055960a4-5f88-4051-bb3c-9a4b91c78cd3"/>
    <xsd:import namespace="c3f373f5-c3a4-4865-9747-dd0db0d3d135"/>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960a4-5f88-4051-bb3c-9a4b91c78c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373f5-c3a4-4865-9747-dd0db0d3d135"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55960a4-5f88-4051-bb3c-9a4b91c78cd3">
      <UserInfo>
        <DisplayName>Jean Sonneman</DisplayName>
        <AccountId>762</AccountId>
        <AccountType/>
      </UserInfo>
    </SharedWithUsers>
  </documentManagement>
</p:properties>
</file>

<file path=customXml/itemProps1.xml><?xml version="1.0" encoding="utf-8"?>
<ds:datastoreItem xmlns:ds="http://schemas.openxmlformats.org/officeDocument/2006/customXml" ds:itemID="{A8C5023F-CE30-4BA7-A4BB-3DAB31CD308D}">
  <ds:schemaRefs>
    <ds:schemaRef ds:uri="http://schemas.microsoft.com/sharepoint/v3/contenttype/forms"/>
  </ds:schemaRefs>
</ds:datastoreItem>
</file>

<file path=customXml/itemProps2.xml><?xml version="1.0" encoding="utf-8"?>
<ds:datastoreItem xmlns:ds="http://schemas.openxmlformats.org/officeDocument/2006/customXml" ds:itemID="{7A02EFF5-F1A6-40FB-9094-864FC7BBD3B5}">
  <ds:schemaRefs>
    <ds:schemaRef ds:uri="http://schemas.openxmlformats.org/officeDocument/2006/bibliography"/>
  </ds:schemaRefs>
</ds:datastoreItem>
</file>

<file path=customXml/itemProps3.xml><?xml version="1.0" encoding="utf-8"?>
<ds:datastoreItem xmlns:ds="http://schemas.openxmlformats.org/officeDocument/2006/customXml" ds:itemID="{56B8C9F0-C45B-40C2-802A-61F25E4CC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960a4-5f88-4051-bb3c-9a4b91c78cd3"/>
    <ds:schemaRef ds:uri="c3f373f5-c3a4-4865-9747-dd0db0d3d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FDFA0-ABFF-4473-A672-4133F97DB920}">
  <ds:schemaRefs>
    <ds:schemaRef ds:uri="http://schemas.microsoft.com/office/2006/metadata/properties"/>
    <ds:schemaRef ds:uri="http://schemas.microsoft.com/office/infopath/2007/PartnerControls"/>
    <ds:schemaRef ds:uri="055960a4-5f88-4051-bb3c-9a4b91c78cd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creator>Michele Chambers</dc:creator>
  <cp:lastModifiedBy>Jean Sonneman</cp:lastModifiedBy>
  <cp:revision>10</cp:revision>
  <dcterms:created xsi:type="dcterms:W3CDTF">2024-05-29T12:40:00Z</dcterms:created>
  <dcterms:modified xsi:type="dcterms:W3CDTF">2024-05-29T12:46:00Z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0x0101004C06796DD4B38C4393EBEA202BD97C8F</vt:lpwstr>
  </property>
  <property fmtid="{D5CDD505-2E9C-101B-9397-08002B2CF9AE}" pid="3" name="MediaServiceImageTags">
    <vt:lpwstr/>
  </property>
  <property fmtid="{D5CDD505-2E9C-101B-9397-08002B2CF9AE}" pid="4" name="MSIP_Label_6155a89b-0f08-4a93-8ea2-8a916d6643b5_ActionId">
    <vt:lpwstr>ed8e165d-de38-4e3f-b008-481db7c8f9d2</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2022-05-09T18:20:00Z</vt:lpwstr>
  </property>
  <property fmtid="{D5CDD505-2E9C-101B-9397-08002B2CF9AE}" pid="10" name="MSIP_Label_6155a89b-0f08-4a93-8ea2-8a916d6643b5_SiteId">
    <vt:lpwstr>19caa9e9-04ff-43fa-885f-d77fac387903</vt:lpwstr>
  </property>
</Properties>
</file>