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2367" w:rsidRDefault="00867216" w14:paraId="4D887387" w14:textId="77777777">
      <w:pPr>
        <w:jc w:val="center"/>
      </w:pPr>
      <w:r>
        <w:t>179 FERC ¶ 61,114</w:t>
      </w:r>
    </w:p>
    <w:p w:rsidRPr="00B61165" w:rsidR="00AF4249" w:rsidP="006B4244" w:rsidRDefault="00AF4249" w14:paraId="2851BCE6" w14:textId="77777777">
      <w:pPr>
        <w:jc w:val="center"/>
      </w:pPr>
      <w:r w:rsidRPr="00B61165">
        <w:t>DEPARTMENT OF ENERGY</w:t>
      </w:r>
    </w:p>
    <w:p w:rsidRPr="00B61165" w:rsidR="00AF4249" w:rsidP="006B4244" w:rsidRDefault="00AF4249" w14:paraId="62C890E1" w14:textId="77777777">
      <w:pPr>
        <w:jc w:val="center"/>
      </w:pPr>
      <w:r w:rsidRPr="00B61165">
        <w:t>FEDERAL ENERGY REGULATORY COMMISSION</w:t>
      </w:r>
    </w:p>
    <w:p w:rsidRPr="00B61165" w:rsidR="00AF4249" w:rsidP="006B4244" w:rsidRDefault="00AF4249" w14:paraId="436AF2F6" w14:textId="77777777">
      <w:pPr>
        <w:jc w:val="center"/>
      </w:pPr>
    </w:p>
    <w:p w:rsidRPr="00B61165" w:rsidR="00AF4249" w:rsidP="006B4244" w:rsidRDefault="00AF4249" w14:paraId="4E85E4B6" w14:textId="5AEAD09C">
      <w:pPr>
        <w:jc w:val="center"/>
      </w:pPr>
      <w:r w:rsidRPr="00B61165">
        <w:t>18 CFR Part</w:t>
      </w:r>
      <w:r w:rsidR="00D8104E">
        <w:t>s</w:t>
      </w:r>
      <w:r w:rsidRPr="00B61165">
        <w:t xml:space="preserve"> </w:t>
      </w:r>
      <w:r w:rsidRPr="00D8104E" w:rsidR="00D8104E">
        <w:t>154, 260, &amp; 284</w:t>
      </w:r>
    </w:p>
    <w:p w:rsidR="00D8104E" w:rsidP="006B4244" w:rsidRDefault="00D8104E" w14:paraId="26727749" w14:textId="77777777">
      <w:pPr>
        <w:jc w:val="center"/>
      </w:pPr>
    </w:p>
    <w:p w:rsidRPr="00B61165" w:rsidR="00AF4249" w:rsidP="006B4244" w:rsidRDefault="00AF4249" w14:paraId="01A3F29D" w14:textId="5C8360BC">
      <w:pPr>
        <w:jc w:val="center"/>
      </w:pPr>
      <w:r w:rsidRPr="00B61165">
        <w:t>[</w:t>
      </w:r>
      <w:r>
        <w:t>Docket No.</w:t>
      </w:r>
      <w:r w:rsidR="00D8104E">
        <w:t xml:space="preserve"> RM21-18-000</w:t>
      </w:r>
      <w:r w:rsidRPr="00B61165">
        <w:t>]</w:t>
      </w:r>
    </w:p>
    <w:p w:rsidR="00AF4249" w:rsidP="006B4244" w:rsidRDefault="00AF4249" w14:paraId="099F1202" w14:textId="77777777">
      <w:pPr>
        <w:jc w:val="center"/>
      </w:pPr>
    </w:p>
    <w:p w:rsidRPr="00B61165" w:rsidR="00AF4249" w:rsidP="006B4244" w:rsidRDefault="00634113" w14:paraId="4889CF3D" w14:textId="4F832542">
      <w:pPr>
        <w:jc w:val="center"/>
      </w:pPr>
      <w:r>
        <w:t xml:space="preserve">Revised </w:t>
      </w:r>
      <w:r w:rsidRPr="00634113">
        <w:t>Filing and Reporting Requirements for Interstate Natural Gas Company Rate Schedules and Tariffs</w:t>
      </w:r>
    </w:p>
    <w:p w:rsidRPr="00B61165" w:rsidR="00AF4249" w:rsidP="006B4244" w:rsidRDefault="00AF4249" w14:paraId="69E0242F" w14:textId="77777777">
      <w:pPr>
        <w:jc w:val="center"/>
      </w:pPr>
    </w:p>
    <w:p w:rsidR="00AF4249" w:rsidP="00066C0F" w:rsidRDefault="00066C0F" w14:paraId="60FF4A92" w14:textId="1C4113B0">
      <w:pPr>
        <w:widowControl/>
        <w:jc w:val="center"/>
      </w:pPr>
      <w:r w:rsidRPr="00066C0F">
        <w:t>(Issued May 1</w:t>
      </w:r>
      <w:r>
        <w:t>9</w:t>
      </w:r>
      <w:r w:rsidRPr="00066C0F">
        <w:t>, 2022)</w:t>
      </w:r>
    </w:p>
    <w:p w:rsidRPr="00066C0F" w:rsidR="00066C0F" w:rsidP="00066C0F" w:rsidRDefault="00066C0F" w14:paraId="037188AC" w14:textId="77777777">
      <w:pPr>
        <w:widowControl/>
      </w:pPr>
    </w:p>
    <w:p w:rsidRPr="00B61165" w:rsidR="00AF4249" w:rsidP="006B4244" w:rsidRDefault="00AF4249" w14:paraId="3CDC9DED" w14:textId="77777777">
      <w:pPr>
        <w:spacing w:line="480" w:lineRule="auto"/>
      </w:pPr>
      <w:r w:rsidRPr="00867216">
        <w:rPr>
          <w:b/>
          <w:bCs/>
        </w:rPr>
        <w:t>AGENCY:</w:t>
      </w:r>
      <w:r w:rsidRPr="00B61165">
        <w:t xml:space="preserve">  Federal Energy Regulatory Commission.</w:t>
      </w:r>
    </w:p>
    <w:p w:rsidRPr="00B61165" w:rsidR="00AF4249" w:rsidP="006B4244" w:rsidRDefault="00AF4249" w14:paraId="76A37399" w14:textId="54DDC823">
      <w:pPr>
        <w:spacing w:line="480" w:lineRule="auto"/>
      </w:pPr>
      <w:r w:rsidRPr="001E48F9">
        <w:rPr>
          <w:b/>
          <w:bCs/>
        </w:rPr>
        <w:t>ACTION</w:t>
      </w:r>
      <w:r w:rsidRPr="00B61165">
        <w:t xml:space="preserve">:  Notice of </w:t>
      </w:r>
      <w:r w:rsidR="001307EF">
        <w:t>p</w:t>
      </w:r>
      <w:r w:rsidRPr="00B61165" w:rsidR="001307EF">
        <w:t xml:space="preserve">roposed </w:t>
      </w:r>
      <w:r w:rsidR="001307EF">
        <w:t>r</w:t>
      </w:r>
      <w:r w:rsidRPr="00B61165" w:rsidR="001307EF">
        <w:t>ulemaking</w:t>
      </w:r>
      <w:r w:rsidRPr="00B61165">
        <w:t>.</w:t>
      </w:r>
    </w:p>
    <w:p w:rsidRPr="00B603FA" w:rsidR="00B603FA" w:rsidP="00B603FA" w:rsidRDefault="00AF4249" w14:paraId="0C1A7F36" w14:textId="79950882">
      <w:pPr>
        <w:spacing w:line="480" w:lineRule="auto"/>
      </w:pPr>
      <w:r w:rsidRPr="001E48F9">
        <w:rPr>
          <w:b/>
          <w:bCs/>
        </w:rPr>
        <w:t>SUMMARY</w:t>
      </w:r>
      <w:r w:rsidRPr="00B61165">
        <w:t xml:space="preserve">:  </w:t>
      </w:r>
      <w:r w:rsidRPr="00D8104E" w:rsidR="00D8104E">
        <w:t xml:space="preserve">The Federal Energy Regulatory Commission </w:t>
      </w:r>
      <w:r w:rsidRPr="0005431E" w:rsidR="00711B10">
        <w:t>propose</w:t>
      </w:r>
      <w:r w:rsidR="00711B10">
        <w:t>s</w:t>
      </w:r>
      <w:r w:rsidRPr="0005431E" w:rsidR="00711B10">
        <w:t xml:space="preserve"> to establish </w:t>
      </w:r>
      <w:r w:rsidR="00711B10">
        <w:t xml:space="preserve">a </w:t>
      </w:r>
      <w:r w:rsidRPr="0005431E" w:rsidR="00711B10">
        <w:t>rule to</w:t>
      </w:r>
      <w:r w:rsidDel="002B500B" w:rsidR="00711B10">
        <w:rPr>
          <w:bCs/>
        </w:rPr>
        <w:t xml:space="preserve"> </w:t>
      </w:r>
      <w:r w:rsidRPr="00D8104E" w:rsidR="00D8104E">
        <w:rPr>
          <w:bCs/>
        </w:rPr>
        <w:t>require natural gas pipeline</w:t>
      </w:r>
      <w:r w:rsidR="00E8407C">
        <w:rPr>
          <w:bCs/>
        </w:rPr>
        <w:t>s</w:t>
      </w:r>
      <w:r w:rsidRPr="00D8104E" w:rsidR="00D8104E">
        <w:rPr>
          <w:bCs/>
        </w:rPr>
        <w:t xml:space="preserve"> </w:t>
      </w:r>
      <w:r w:rsidRPr="00D8104E" w:rsidR="00D8104E">
        <w:t>to submit all supporting statements, schedules and workpapers in native format (e.g.</w:t>
      </w:r>
      <w:r w:rsidR="009E7D5C">
        <w:t>,</w:t>
      </w:r>
      <w:r w:rsidRPr="00D8104E" w:rsidR="00D8104E">
        <w:t xml:space="preserve"> </w:t>
      </w:r>
      <w:r w:rsidR="001D4B52">
        <w:t xml:space="preserve">Microsoft </w:t>
      </w:r>
      <w:r w:rsidRPr="00D8104E" w:rsidR="00D8104E">
        <w:t>Excel) with all links and formulas intact when filing a Natural Gas Act section 4 rate case.</w:t>
      </w:r>
      <w:r w:rsidR="00B603FA">
        <w:t xml:space="preserve">  </w:t>
      </w:r>
    </w:p>
    <w:p w:rsidRPr="00B61165" w:rsidR="00AF4249" w:rsidP="006B4244" w:rsidRDefault="00AF4249" w14:paraId="68AB76E8" w14:textId="54A39A21">
      <w:pPr>
        <w:spacing w:line="480" w:lineRule="auto"/>
      </w:pPr>
      <w:r w:rsidRPr="001E48F9">
        <w:rPr>
          <w:b/>
          <w:bCs/>
        </w:rPr>
        <w:t>DATES</w:t>
      </w:r>
      <w:r w:rsidRPr="00B61165">
        <w:t>:  Comments are due</w:t>
      </w:r>
      <w:r w:rsidRPr="00B61165">
        <w:rPr>
          <w:b/>
        </w:rPr>
        <w:t xml:space="preserve"> </w:t>
      </w:r>
      <w:r w:rsidRPr="00B3607A">
        <w:rPr>
          <w:b/>
        </w:rPr>
        <w:t xml:space="preserve">[INSERT DATE </w:t>
      </w:r>
      <w:r w:rsidR="008B4865">
        <w:rPr>
          <w:b/>
        </w:rPr>
        <w:t>3</w:t>
      </w:r>
      <w:r w:rsidR="00753B99">
        <w:rPr>
          <w:b/>
        </w:rPr>
        <w:t>0</w:t>
      </w:r>
      <w:r w:rsidR="00FB6CE6">
        <w:rPr>
          <w:b/>
        </w:rPr>
        <w:t xml:space="preserve"> </w:t>
      </w:r>
      <w:r w:rsidRPr="004731B2">
        <w:rPr>
          <w:b/>
        </w:rPr>
        <w:t>DAYS</w:t>
      </w:r>
      <w:r>
        <w:rPr>
          <w:b/>
        </w:rPr>
        <w:t xml:space="preserve"> </w:t>
      </w:r>
      <w:r w:rsidRPr="00B3607A">
        <w:rPr>
          <w:b/>
        </w:rPr>
        <w:t>AFTER DATE OF PUBLICATION IN THE FEDERAL REGISTER]</w:t>
      </w:r>
      <w:r w:rsidRPr="00B3607A">
        <w:rPr>
          <w:bCs/>
        </w:rPr>
        <w:t>.</w:t>
      </w:r>
    </w:p>
    <w:p w:rsidR="00AF4249" w:rsidP="006B4244" w:rsidRDefault="00AF4249" w14:paraId="14FD9081" w14:textId="10067CEE">
      <w:pPr>
        <w:spacing w:line="480" w:lineRule="auto"/>
      </w:pPr>
      <w:r w:rsidRPr="001E48F9">
        <w:rPr>
          <w:b/>
          <w:bCs/>
        </w:rPr>
        <w:t>ADDRESSES</w:t>
      </w:r>
      <w:r w:rsidRPr="00B61165">
        <w:t xml:space="preserve">:  </w:t>
      </w:r>
      <w:r w:rsidRPr="007D6683">
        <w:t xml:space="preserve">Comments, identified by </w:t>
      </w:r>
      <w:r w:rsidR="00C460C1">
        <w:t xml:space="preserve">Docket No. </w:t>
      </w:r>
      <w:r w:rsidR="003124A9">
        <w:t>RM21-18-000</w:t>
      </w:r>
      <w:r>
        <w:t xml:space="preserve">, may be filed in the following ways.  </w:t>
      </w:r>
      <w:r w:rsidRPr="00C32965">
        <w:t>Elec</w:t>
      </w:r>
      <w:r>
        <w:t xml:space="preserve">tronic filing through </w:t>
      </w:r>
      <w:hyperlink w:history="1" r:id="rId12">
        <w:r w:rsidRPr="000D4CD3">
          <w:rPr>
            <w:rStyle w:val="Hyperlink"/>
          </w:rPr>
          <w:t>http://www.ferc.gov</w:t>
        </w:r>
      </w:hyperlink>
      <w:r>
        <w:t xml:space="preserve"> is preferred.</w:t>
      </w:r>
    </w:p>
    <w:p w:rsidR="00AF4249" w:rsidP="006B4244" w:rsidRDefault="00AF4249" w14:paraId="5E9D5FC1" w14:textId="77777777">
      <w:pPr>
        <w:pStyle w:val="ListParagraph"/>
        <w:numPr>
          <w:ilvl w:val="0"/>
          <w:numId w:val="22"/>
        </w:numPr>
        <w:spacing w:line="480" w:lineRule="auto"/>
      </w:pPr>
      <w:r w:rsidRPr="004A564C">
        <w:t>Electronic Filing</w:t>
      </w:r>
      <w:r w:rsidRPr="00C32965">
        <w:t>:</w:t>
      </w:r>
      <w:r>
        <w:t xml:space="preserve"> Documents must be filed in acceptable native applications and print-to-PDF, but not in</w:t>
      </w:r>
      <w:r w:rsidRPr="007D6683">
        <w:t xml:space="preserve"> scanned </w:t>
      </w:r>
      <w:r>
        <w:t xml:space="preserve">or picture </w:t>
      </w:r>
      <w:r w:rsidRPr="007D6683">
        <w:t>format.</w:t>
      </w:r>
    </w:p>
    <w:p w:rsidR="00AF4249" w:rsidP="006B4244" w:rsidRDefault="00AF4249" w14:paraId="566F6679" w14:textId="77777777">
      <w:pPr>
        <w:pStyle w:val="ListParagraph"/>
        <w:numPr>
          <w:ilvl w:val="0"/>
          <w:numId w:val="22"/>
        </w:numPr>
        <w:spacing w:line="480" w:lineRule="auto"/>
      </w:pPr>
      <w:r w:rsidRPr="00C32965">
        <w:t>For</w:t>
      </w:r>
      <w:r w:rsidRPr="00E950E7">
        <w:t xml:space="preserve"> those unable to file electronically, comments may be filed </w:t>
      </w:r>
      <w:r>
        <w:t>by USPS mail or by hand (including courier) delivery.</w:t>
      </w:r>
    </w:p>
    <w:p w:rsidR="00AF4249" w:rsidP="00BE0AFD" w:rsidRDefault="00AF4249" w14:paraId="0ABB175D" w14:textId="32EA4697">
      <w:pPr>
        <w:pStyle w:val="ListParagraph"/>
        <w:widowControl/>
        <w:numPr>
          <w:ilvl w:val="1"/>
          <w:numId w:val="22"/>
        </w:numPr>
        <w:spacing w:line="480" w:lineRule="auto"/>
      </w:pPr>
      <w:r w:rsidRPr="004A564C">
        <w:lastRenderedPageBreak/>
        <w:t>Mail via U.S. Postal Service Only</w:t>
      </w:r>
      <w:r w:rsidRPr="00C32965">
        <w:t xml:space="preserve">: </w:t>
      </w:r>
      <w:r>
        <w:t xml:space="preserve">Addressed </w:t>
      </w:r>
      <w:r w:rsidRPr="00E950E7">
        <w:t>to: Federal Energy Regulatory Commission, Secretary of the Commission, 888 First Street, N.E., Washington, DC</w:t>
      </w:r>
      <w:r w:rsidR="00BE0AFD">
        <w:t xml:space="preserve">  </w:t>
      </w:r>
      <w:r w:rsidRPr="00E950E7">
        <w:t>20426.</w:t>
      </w:r>
    </w:p>
    <w:p w:rsidR="00AF4249" w:rsidP="006B4244" w:rsidRDefault="00AF4249" w14:paraId="467BF160" w14:textId="60A2D583">
      <w:pPr>
        <w:pStyle w:val="ListParagraph"/>
        <w:numPr>
          <w:ilvl w:val="1"/>
          <w:numId w:val="22"/>
        </w:numPr>
        <w:spacing w:line="480" w:lineRule="auto"/>
      </w:pPr>
      <w:r w:rsidRPr="004A564C">
        <w:t>Hand (including courier) delivery</w:t>
      </w:r>
      <w:r>
        <w:t>: D</w:t>
      </w:r>
      <w:r w:rsidRPr="00E950E7">
        <w:t>eliver to: Federal Energy Regulatory Commission, 12225 Wilkins Avenue, Rockville, M</w:t>
      </w:r>
      <w:r>
        <w:t>D</w:t>
      </w:r>
      <w:r w:rsidRPr="00E950E7">
        <w:t xml:space="preserve"> </w:t>
      </w:r>
      <w:r w:rsidR="00BE0AFD">
        <w:t xml:space="preserve"> </w:t>
      </w:r>
      <w:r w:rsidRPr="00E950E7">
        <w:t>20852.</w:t>
      </w:r>
    </w:p>
    <w:p w:rsidRPr="00B61165" w:rsidR="00AF4249" w:rsidP="00626AD6" w:rsidRDefault="00AF4249" w14:paraId="1BE7B842" w14:textId="77777777">
      <w:pPr>
        <w:spacing w:line="480" w:lineRule="auto"/>
      </w:pPr>
      <w:r w:rsidRPr="0016531B">
        <w:t xml:space="preserve">The Comment Procedures Section of this document contains </w:t>
      </w:r>
      <w:r>
        <w:t xml:space="preserve">more detailed </w:t>
      </w:r>
      <w:r w:rsidRPr="0016531B">
        <w:t>filing procedures.</w:t>
      </w:r>
    </w:p>
    <w:p w:rsidR="00AF4249" w:rsidP="006B4244" w:rsidRDefault="00AF4249" w14:paraId="2394814A" w14:textId="77777777">
      <w:r w:rsidRPr="001E48F9">
        <w:rPr>
          <w:b/>
          <w:bCs/>
        </w:rPr>
        <w:t>FOR FURTHER INFORMATION CONTACT</w:t>
      </w:r>
      <w:r w:rsidRPr="00B61165">
        <w:t>:</w:t>
      </w:r>
    </w:p>
    <w:p w:rsidRPr="00B61165" w:rsidR="00AF4249" w:rsidP="006B4244" w:rsidRDefault="00AF4249" w14:paraId="1330A809" w14:textId="77777777"/>
    <w:p w:rsidRPr="003124A9" w:rsidR="003124A9" w:rsidP="003124A9" w:rsidRDefault="003124A9" w14:paraId="41BA5156" w14:textId="3D4AA036">
      <w:proofErr w:type="spellStart"/>
      <w:r>
        <w:t>Tehseen</w:t>
      </w:r>
      <w:proofErr w:type="spellEnd"/>
      <w:r>
        <w:t xml:space="preserve"> Rana</w:t>
      </w:r>
      <w:r w:rsidRPr="003124A9">
        <w:t xml:space="preserve"> (</w:t>
      </w:r>
      <w:r>
        <w:t>Technical</w:t>
      </w:r>
      <w:r w:rsidRPr="003124A9">
        <w:t xml:space="preserve"> Information)</w:t>
      </w:r>
    </w:p>
    <w:p w:rsidRPr="003124A9" w:rsidR="003124A9" w:rsidP="003124A9" w:rsidRDefault="003124A9" w14:paraId="23CF1840" w14:textId="10C0452B">
      <w:r w:rsidRPr="003124A9">
        <w:t xml:space="preserve">Office of </w:t>
      </w:r>
      <w:r>
        <w:t>Energy Market Regulation</w:t>
      </w:r>
    </w:p>
    <w:p w:rsidRPr="003124A9" w:rsidR="003124A9" w:rsidP="003124A9" w:rsidRDefault="003124A9" w14:paraId="5AE21814" w14:textId="77777777">
      <w:r w:rsidRPr="003124A9">
        <w:t>888 First Street, NE</w:t>
      </w:r>
    </w:p>
    <w:p w:rsidRPr="003124A9" w:rsidR="003124A9" w:rsidP="003124A9" w:rsidRDefault="003124A9" w14:paraId="2EC2A663" w14:textId="77777777">
      <w:r w:rsidRPr="003124A9">
        <w:t>Washington, DC  20426</w:t>
      </w:r>
    </w:p>
    <w:p w:rsidRPr="003124A9" w:rsidR="003124A9" w:rsidP="003124A9" w:rsidRDefault="003124A9" w14:paraId="7C75E5C0" w14:textId="2207A199">
      <w:r w:rsidRPr="003124A9">
        <w:t>(202) 502-8</w:t>
      </w:r>
      <w:r>
        <w:t>639</w:t>
      </w:r>
    </w:p>
    <w:p w:rsidR="003124A9" w:rsidP="003124A9" w:rsidRDefault="00867216" w14:paraId="51FBE305" w14:textId="030EE310">
      <w:pPr>
        <w:rPr>
          <w:rStyle w:val="Hyperlink"/>
        </w:rPr>
      </w:pPr>
      <w:hyperlink w:history="1" r:id="rId13">
        <w:r w:rsidRPr="003124A9" w:rsidR="003124A9">
          <w:rPr>
            <w:rStyle w:val="Hyperlink"/>
          </w:rPr>
          <w:t>Tehseen.Rana@ferc.gov</w:t>
        </w:r>
      </w:hyperlink>
    </w:p>
    <w:p w:rsidR="006B4244" w:rsidP="003124A9" w:rsidRDefault="006B4244" w14:paraId="319C5644" w14:textId="603A4420">
      <w:pPr>
        <w:rPr>
          <w:rStyle w:val="Hyperlink"/>
        </w:rPr>
      </w:pPr>
    </w:p>
    <w:p w:rsidRPr="007C269E" w:rsidR="007C269E" w:rsidP="007C269E" w:rsidRDefault="00723CEF" w14:paraId="4E42485D" w14:textId="25BDE694">
      <w:r>
        <w:t>Caitlin Tweed</w:t>
      </w:r>
      <w:r w:rsidR="007C269E">
        <w:t xml:space="preserve"> </w:t>
      </w:r>
      <w:r w:rsidRPr="007C269E" w:rsidR="007C269E">
        <w:t>(Legal Information)</w:t>
      </w:r>
    </w:p>
    <w:p w:rsidRPr="007C269E" w:rsidR="007C269E" w:rsidP="007C269E" w:rsidRDefault="007C269E" w14:paraId="5FDEEC27" w14:textId="77777777">
      <w:r w:rsidRPr="007C269E">
        <w:t>Office of the General Counsel</w:t>
      </w:r>
    </w:p>
    <w:p w:rsidRPr="007C269E" w:rsidR="007C269E" w:rsidP="007C269E" w:rsidRDefault="007C269E" w14:paraId="0616823E" w14:textId="77777777">
      <w:r w:rsidRPr="007C269E">
        <w:t>888 First Street, NE</w:t>
      </w:r>
    </w:p>
    <w:p w:rsidRPr="007C269E" w:rsidR="007C269E" w:rsidP="007C269E" w:rsidRDefault="007C269E" w14:paraId="288F317B" w14:textId="77777777">
      <w:r w:rsidRPr="007C269E">
        <w:t>Washington, DC  20426</w:t>
      </w:r>
    </w:p>
    <w:p w:rsidRPr="007C269E" w:rsidR="007C269E" w:rsidP="007C269E" w:rsidRDefault="007C269E" w14:paraId="186A14ED" w14:textId="3834C305">
      <w:r w:rsidRPr="007C269E">
        <w:t>(202) 502-</w:t>
      </w:r>
      <w:r w:rsidR="00723CEF">
        <w:t>8073</w:t>
      </w:r>
    </w:p>
    <w:p w:rsidRPr="00F364AC" w:rsidR="00F3533F" w:rsidP="006B4244" w:rsidRDefault="00F3533F" w14:paraId="6C2F39B1" w14:textId="77777777">
      <w:r>
        <w:fldChar w:fldCharType="begin"/>
      </w:r>
      <w:r>
        <w:instrText xml:space="preserve"> HYPERLINK "mailto:</w:instrText>
      </w:r>
      <w:r w:rsidRPr="00F364AC">
        <w:instrText>Caitlin.Tweed@ferc.gov</w:instrText>
      </w:r>
    </w:p>
    <w:p w:rsidRPr="00581250" w:rsidR="00F3533F" w:rsidP="006B4244" w:rsidRDefault="00F3533F" w14:paraId="6AC5259F" w14:textId="77777777">
      <w:pPr>
        <w:rPr>
          <w:rStyle w:val="Hyperlink"/>
        </w:rPr>
      </w:pPr>
      <w:r>
        <w:instrText xml:space="preserve">" </w:instrText>
      </w:r>
      <w:r>
        <w:fldChar w:fldCharType="separate"/>
      </w:r>
      <w:r w:rsidRPr="00F3533F">
        <w:rPr>
          <w:rStyle w:val="Hyperlink"/>
        </w:rPr>
        <w:t>C</w:t>
      </w:r>
      <w:r w:rsidRPr="00581250">
        <w:rPr>
          <w:rStyle w:val="Hyperlink"/>
        </w:rPr>
        <w:t>aitlin.Tweed@ferc.gov</w:t>
      </w:r>
    </w:p>
    <w:p w:rsidRPr="003124A9" w:rsidR="007411E8" w:rsidP="003124A9" w:rsidRDefault="00F3533F" w14:paraId="6C6F3E73" w14:textId="7367DD0F">
      <w:r>
        <w:fldChar w:fldCharType="end"/>
      </w:r>
    </w:p>
    <w:p w:rsidRPr="00B61165" w:rsidR="00AF4249" w:rsidP="006B4244" w:rsidRDefault="00AF4249" w14:paraId="046ECF57" w14:textId="5026CAD2"/>
    <w:p w:rsidRPr="00B61165" w:rsidR="00AF4249" w:rsidP="006B4244" w:rsidRDefault="00AF4249" w14:paraId="2A14E19F" w14:textId="77777777">
      <w:pPr>
        <w:sectPr w:rsidRPr="00B61165" w:rsidR="00AF4249" w:rsidSect="00AF424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titlePg/>
          <w:docGrid w:linePitch="360"/>
        </w:sectPr>
      </w:pPr>
      <w:r w:rsidRPr="001E48F9">
        <w:rPr>
          <w:b/>
          <w:bCs/>
        </w:rPr>
        <w:t>SUPPLEMENTARY INFORMATION</w:t>
      </w:r>
      <w:r w:rsidRPr="00B61165">
        <w:t>:</w:t>
      </w:r>
    </w:p>
    <w:p w:rsidRPr="00115DCA" w:rsidR="007B30C5" w:rsidP="006B4244" w:rsidRDefault="00115DCA" w14:paraId="04F2577F" w14:textId="6A25DC61">
      <w:pPr>
        <w:jc w:val="center"/>
      </w:pPr>
      <w:r>
        <w:lastRenderedPageBreak/>
        <w:t>179 FERC ¶ 61,114</w:t>
      </w:r>
    </w:p>
    <w:p w:rsidRPr="00B61165" w:rsidR="00AF4249" w:rsidP="006B4244" w:rsidRDefault="00AF4249" w14:paraId="7E206042" w14:textId="69127A7F">
      <w:pPr>
        <w:jc w:val="center"/>
      </w:pPr>
      <w:r w:rsidRPr="00B61165">
        <w:t>UNITED STATES OF AMERICA</w:t>
      </w:r>
    </w:p>
    <w:p w:rsidRPr="00B61165" w:rsidR="00AF4249" w:rsidP="006B4244" w:rsidRDefault="00AF4249" w14:paraId="3B19B977" w14:textId="77777777">
      <w:pPr>
        <w:jc w:val="center"/>
      </w:pPr>
      <w:r w:rsidRPr="00B61165">
        <w:t>FEDERAL ENERGY REGULATORY COMMISSION</w:t>
      </w:r>
    </w:p>
    <w:p w:rsidRPr="00B61165" w:rsidR="00AF4249" w:rsidP="006B4244" w:rsidRDefault="00AF4249" w14:paraId="64ECDCE0" w14:textId="77777777">
      <w:pPr>
        <w:jc w:val="center"/>
      </w:pPr>
    </w:p>
    <w:p w:rsidRPr="00066C0F" w:rsidR="00AF4249" w:rsidP="00066C0F" w:rsidRDefault="00066C0F" w14:paraId="6DE264A0" w14:textId="0539186F">
      <w:pPr>
        <w:widowControl/>
      </w:pPr>
      <w:r w:rsidRPr="00066C0F">
        <w:t xml:space="preserve">Before Commissioners:  Richard Glick, </w:t>
      </w:r>
      <w:proofErr w:type="gramStart"/>
      <w:r w:rsidRPr="00066C0F">
        <w:t>Chairman;</w:t>
      </w:r>
      <w:proofErr w:type="gramEnd"/>
    </w:p>
    <w:p w:rsidRPr="00066C0F" w:rsidR="00066C0F" w:rsidP="00066C0F" w:rsidRDefault="00066C0F" w14:paraId="7A6AFC0A" w14:textId="32D5B3D2">
      <w:pPr>
        <w:widowControl/>
      </w:pPr>
      <w:r w:rsidRPr="00066C0F">
        <w:t xml:space="preserve">                                        James P. </w:t>
      </w:r>
      <w:proofErr w:type="spellStart"/>
      <w:r w:rsidRPr="00066C0F">
        <w:t>Danly</w:t>
      </w:r>
      <w:proofErr w:type="spellEnd"/>
      <w:r w:rsidRPr="00066C0F">
        <w:t>, Allison Clements,</w:t>
      </w:r>
    </w:p>
    <w:p w:rsidRPr="00B61165" w:rsidR="00066C0F" w:rsidP="00066C0F" w:rsidRDefault="00066C0F" w14:paraId="4B60487E" w14:textId="47C9F55F">
      <w:pPr>
        <w:widowControl/>
      </w:pPr>
      <w:r w:rsidRPr="00066C0F">
        <w:t xml:space="preserve">                                        Mark C. Christie, and Willie L. Phillips.</w:t>
      </w:r>
    </w:p>
    <w:p w:rsidRPr="00B61165" w:rsidR="00AF4249" w:rsidP="006B4244" w:rsidRDefault="00AF4249" w14:paraId="213B3381" w14:textId="77777777">
      <w:pPr>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5932"/>
        <w:gridCol w:w="1535"/>
        <w:gridCol w:w="1893"/>
      </w:tblGrid>
      <w:tr w:rsidRPr="00B61165" w:rsidR="00AF4249" w:rsidTr="00AF4249" w14:paraId="31222F61" w14:textId="77777777">
        <w:tc>
          <w:tcPr>
            <w:tcW w:w="6088" w:type="dxa"/>
            <w:shd w:val="clear" w:color="auto" w:fill="auto"/>
          </w:tcPr>
          <w:p w:rsidRPr="00B61165" w:rsidR="00AF4249" w:rsidP="006B4244" w:rsidRDefault="00634113" w14:paraId="7733AC8F" w14:textId="0ABDB4C8">
            <w:r>
              <w:t xml:space="preserve">Revised </w:t>
            </w:r>
            <w:r w:rsidRPr="00634113">
              <w:t>Filing and Reporting Requirements for Interstate Natural Gas Company Rate Schedules and Tariffs</w:t>
            </w:r>
          </w:p>
        </w:tc>
        <w:tc>
          <w:tcPr>
            <w:tcW w:w="1560" w:type="dxa"/>
            <w:shd w:val="clear" w:color="auto" w:fill="auto"/>
            <w:tcMar>
              <w:left w:w="72" w:type="dxa"/>
            </w:tcMar>
          </w:tcPr>
          <w:p w:rsidRPr="00B61165" w:rsidR="00AF4249" w:rsidP="006B4244" w:rsidRDefault="00AF4249" w14:paraId="146FDBD8" w14:textId="77777777">
            <w:r>
              <w:t>Docket No.</w:t>
            </w:r>
          </w:p>
        </w:tc>
        <w:tc>
          <w:tcPr>
            <w:tcW w:w="1928" w:type="dxa"/>
            <w:shd w:val="clear" w:color="auto" w:fill="auto"/>
            <w:tcMar>
              <w:left w:w="144" w:type="dxa"/>
            </w:tcMar>
          </w:tcPr>
          <w:p w:rsidRPr="00B61165" w:rsidR="00AF4249" w:rsidP="006B4244" w:rsidRDefault="00BE0AFD" w14:paraId="2251A48B" w14:textId="517393C6">
            <w:pPr>
              <w:ind w:hanging="140"/>
            </w:pPr>
            <w:r>
              <w:t xml:space="preserve"> </w:t>
            </w:r>
            <w:r w:rsidR="00B603FA">
              <w:t>RM21-18-000</w:t>
            </w:r>
          </w:p>
        </w:tc>
      </w:tr>
    </w:tbl>
    <w:p w:rsidRPr="00B61165" w:rsidR="00AF4249" w:rsidP="006B4244" w:rsidRDefault="00AF4249" w14:paraId="65477A0F" w14:textId="77777777">
      <w:pPr>
        <w:jc w:val="center"/>
      </w:pPr>
    </w:p>
    <w:p w:rsidRPr="00B61165" w:rsidR="00AF4249" w:rsidP="006B4244" w:rsidRDefault="00AF4249" w14:paraId="022273FC" w14:textId="77777777">
      <w:pPr>
        <w:jc w:val="center"/>
      </w:pPr>
      <w:r w:rsidRPr="00B61165">
        <w:t>NOTICE OF PROPOSED RULEMAKING</w:t>
      </w:r>
    </w:p>
    <w:p w:rsidRPr="00B61165" w:rsidR="00AF4249" w:rsidP="006B4244" w:rsidRDefault="00AF4249" w14:paraId="7EC8388D" w14:textId="77777777"/>
    <w:p w:rsidR="00AF4249" w:rsidP="00066C0F" w:rsidRDefault="00066C0F" w14:paraId="622E674B" w14:textId="1EA52040">
      <w:pPr>
        <w:widowControl/>
        <w:jc w:val="center"/>
      </w:pPr>
      <w:r w:rsidRPr="00066C0F">
        <w:t>(Issued May 1</w:t>
      </w:r>
      <w:r>
        <w:t>9</w:t>
      </w:r>
      <w:r w:rsidRPr="00066C0F">
        <w:t>, 2022)</w:t>
      </w:r>
    </w:p>
    <w:p w:rsidR="00AF4249" w:rsidP="006B4244" w:rsidRDefault="00AF4249" w14:paraId="293D9292" w14:textId="77777777">
      <w:pPr>
        <w:jc w:val="center"/>
      </w:pPr>
    </w:p>
    <w:p w:rsidR="00AF4249" w:rsidP="006B4244" w:rsidRDefault="00AF4249" w14:paraId="3A2CBB37" w14:textId="77777777">
      <w:pPr>
        <w:jc w:val="center"/>
      </w:pPr>
      <w:r>
        <w:t>TABLE OF CONTENTS</w:t>
      </w:r>
    </w:p>
    <w:p w:rsidR="00AF4249" w:rsidP="006B4244" w:rsidRDefault="00AF4249" w14:paraId="6116EE17" w14:textId="77777777"/>
    <w:p w:rsidR="00AF4249" w:rsidP="006B4244" w:rsidRDefault="00AF4249" w14:paraId="47B8E2A3" w14:textId="5FB74E7F">
      <w:pPr>
        <w:tabs>
          <w:tab w:val="right" w:pos="9360"/>
        </w:tabs>
        <w:rPr>
          <w:u w:val="single"/>
        </w:rPr>
      </w:pPr>
      <w:r>
        <w:tab/>
      </w:r>
      <w:r>
        <w:rPr>
          <w:u w:val="single"/>
        </w:rPr>
        <w:t>Paragraph Numbers</w:t>
      </w:r>
    </w:p>
    <w:p w:rsidRPr="006D716B" w:rsidR="006D716B" w:rsidP="006D716B" w:rsidRDefault="006D716B" w14:paraId="0E02515B" w14:textId="736B5DCE">
      <w:pPr>
        <w:tabs>
          <w:tab w:val="right" w:leader="dot" w:pos="9360"/>
        </w:tabs>
        <w:autoSpaceDE w:val="0"/>
        <w:autoSpaceDN w:val="0"/>
        <w:adjustRightInd w:val="0"/>
        <w:spacing w:before="120"/>
        <w:rPr>
          <w:rFonts w:eastAsia="Times New Roman"/>
          <w:szCs w:val="26"/>
        </w:rPr>
      </w:pPr>
      <w:r w:rsidRPr="006D716B">
        <w:rPr>
          <w:rFonts w:eastAsia="Times New Roman"/>
          <w:szCs w:val="26"/>
        </w:rPr>
        <w:t xml:space="preserve">I.  </w:t>
      </w:r>
      <w:r w:rsidR="00544DD9">
        <w:rPr>
          <w:rFonts w:eastAsia="Times New Roman"/>
          <w:szCs w:val="26"/>
        </w:rPr>
        <w:t>Introduction</w:t>
      </w:r>
      <w:r w:rsidRPr="006D716B">
        <w:rPr>
          <w:rFonts w:eastAsia="Times New Roman"/>
          <w:szCs w:val="26"/>
        </w:rPr>
        <w:tab/>
      </w:r>
      <w:hyperlink w:history="1" w:anchor="Introduction">
        <w:r w:rsidRPr="00756149">
          <w:rPr>
            <w:rStyle w:val="Hyperlink"/>
          </w:rPr>
          <w:t>1.</w:t>
        </w:r>
      </w:hyperlink>
    </w:p>
    <w:p w:rsidRPr="00ED44D1" w:rsidR="00ED44D1" w:rsidP="00756149" w:rsidRDefault="00ED44D1" w14:paraId="6D9851D8" w14:textId="54618DD8">
      <w:pPr>
        <w:tabs>
          <w:tab w:val="right" w:leader="dot" w:pos="9360"/>
        </w:tabs>
        <w:autoSpaceDE w:val="0"/>
        <w:autoSpaceDN w:val="0"/>
        <w:adjustRightInd w:val="0"/>
        <w:spacing w:before="120"/>
        <w:rPr>
          <w:rFonts w:eastAsia="Times New Roman"/>
          <w:szCs w:val="26"/>
        </w:rPr>
      </w:pPr>
      <w:r w:rsidRPr="00ED44D1">
        <w:rPr>
          <w:rFonts w:eastAsia="Times New Roman"/>
          <w:szCs w:val="26"/>
        </w:rPr>
        <w:t>II.  Background</w:t>
      </w:r>
      <w:r w:rsidRPr="00ED44D1">
        <w:rPr>
          <w:rFonts w:eastAsia="Times New Roman"/>
          <w:szCs w:val="26"/>
        </w:rPr>
        <w:tab/>
      </w:r>
      <w:hyperlink w:history="1" w:anchor="Background">
        <w:r w:rsidR="00756149">
          <w:rPr>
            <w:rStyle w:val="Hyperlink"/>
            <w:rFonts w:eastAsia="Times New Roman"/>
            <w:szCs w:val="26"/>
          </w:rPr>
          <w:t>3.</w:t>
        </w:r>
      </w:hyperlink>
    </w:p>
    <w:p w:rsidRPr="00ED44D1" w:rsidR="00ED44D1" w:rsidP="00ED44D1" w:rsidRDefault="00ED44D1" w14:paraId="0788AE3B" w14:textId="45F290F1">
      <w:pPr>
        <w:tabs>
          <w:tab w:val="right" w:leader="dot" w:pos="9360"/>
        </w:tabs>
        <w:autoSpaceDE w:val="0"/>
        <w:autoSpaceDN w:val="0"/>
        <w:adjustRightInd w:val="0"/>
        <w:spacing w:before="120"/>
        <w:rPr>
          <w:rFonts w:eastAsia="Times New Roman"/>
          <w:szCs w:val="26"/>
        </w:rPr>
      </w:pPr>
      <w:r w:rsidRPr="00ED44D1">
        <w:rPr>
          <w:rFonts w:eastAsia="Times New Roman"/>
          <w:szCs w:val="26"/>
        </w:rPr>
        <w:t>III.  Discussion</w:t>
      </w:r>
      <w:r w:rsidRPr="00ED44D1">
        <w:rPr>
          <w:rFonts w:eastAsia="Times New Roman"/>
          <w:szCs w:val="26"/>
        </w:rPr>
        <w:tab/>
      </w:r>
      <w:hyperlink w:history="1" w:anchor="Discussion">
        <w:r w:rsidR="00964A1F">
          <w:rPr>
            <w:rStyle w:val="Hyperlink"/>
            <w:rFonts w:eastAsia="Times New Roman"/>
            <w:szCs w:val="26"/>
          </w:rPr>
          <w:t>5.</w:t>
        </w:r>
      </w:hyperlink>
    </w:p>
    <w:p w:rsidRPr="00ED44D1" w:rsidR="00ED44D1" w:rsidP="00ED44D1" w:rsidRDefault="00ED44D1" w14:paraId="25D73724" w14:textId="2367BD1B">
      <w:pPr>
        <w:tabs>
          <w:tab w:val="right" w:leader="dot" w:pos="9360"/>
        </w:tabs>
        <w:autoSpaceDE w:val="0"/>
        <w:autoSpaceDN w:val="0"/>
        <w:adjustRightInd w:val="0"/>
        <w:spacing w:before="120"/>
        <w:rPr>
          <w:rFonts w:eastAsia="Times New Roman"/>
          <w:szCs w:val="26"/>
        </w:rPr>
      </w:pPr>
      <w:r w:rsidRPr="00ED44D1">
        <w:rPr>
          <w:rFonts w:eastAsia="Times New Roman"/>
          <w:szCs w:val="26"/>
        </w:rPr>
        <w:t>IV.  I</w:t>
      </w:r>
      <w:r w:rsidR="006A4579">
        <w:rPr>
          <w:rFonts w:eastAsia="Times New Roman"/>
          <w:szCs w:val="26"/>
        </w:rPr>
        <w:t>nformation Collection Statement</w:t>
      </w:r>
      <w:r w:rsidRPr="00ED44D1">
        <w:rPr>
          <w:rFonts w:eastAsia="Times New Roman"/>
          <w:szCs w:val="26"/>
        </w:rPr>
        <w:tab/>
      </w:r>
      <w:hyperlink w:history="1" w:anchor="ICS">
        <w:r w:rsidR="00E00D16">
          <w:rPr>
            <w:rStyle w:val="Hyperlink"/>
            <w:rFonts w:eastAsia="Times New Roman"/>
            <w:szCs w:val="26"/>
          </w:rPr>
          <w:t>9.</w:t>
        </w:r>
      </w:hyperlink>
    </w:p>
    <w:p w:rsidRPr="00ED44D1" w:rsidR="00ED44D1" w:rsidP="00ED44D1" w:rsidRDefault="00ED44D1" w14:paraId="4C6B1B32" w14:textId="53DF5A8B">
      <w:pPr>
        <w:tabs>
          <w:tab w:val="right" w:leader="dot" w:pos="9360"/>
        </w:tabs>
        <w:autoSpaceDE w:val="0"/>
        <w:autoSpaceDN w:val="0"/>
        <w:adjustRightInd w:val="0"/>
        <w:spacing w:before="120"/>
        <w:rPr>
          <w:rFonts w:eastAsia="Times New Roman"/>
          <w:szCs w:val="26"/>
        </w:rPr>
      </w:pPr>
      <w:r w:rsidRPr="00ED44D1">
        <w:rPr>
          <w:rFonts w:eastAsia="Times New Roman"/>
          <w:szCs w:val="26"/>
        </w:rPr>
        <w:t xml:space="preserve">V.  </w:t>
      </w:r>
      <w:r w:rsidR="00F55810">
        <w:rPr>
          <w:rFonts w:eastAsia="Times New Roman"/>
          <w:szCs w:val="26"/>
        </w:rPr>
        <w:t>Environmental Analysis</w:t>
      </w:r>
      <w:r w:rsidRPr="00ED44D1">
        <w:rPr>
          <w:rFonts w:eastAsia="Times New Roman"/>
          <w:szCs w:val="26"/>
        </w:rPr>
        <w:tab/>
      </w:r>
      <w:hyperlink w:history="1" w:anchor="EA">
        <w:r w:rsidR="00E00D16">
          <w:rPr>
            <w:rStyle w:val="Hyperlink"/>
            <w:rFonts w:eastAsia="Times New Roman"/>
            <w:szCs w:val="26"/>
          </w:rPr>
          <w:t>25.</w:t>
        </w:r>
      </w:hyperlink>
    </w:p>
    <w:p w:rsidRPr="00ED44D1" w:rsidR="00ED44D1" w:rsidP="00ED44D1" w:rsidRDefault="00F55810" w14:paraId="11FD820F" w14:textId="3AA15FF6">
      <w:pPr>
        <w:tabs>
          <w:tab w:val="right" w:leader="dot" w:pos="9360"/>
        </w:tabs>
        <w:autoSpaceDE w:val="0"/>
        <w:autoSpaceDN w:val="0"/>
        <w:adjustRightInd w:val="0"/>
        <w:spacing w:before="120"/>
        <w:rPr>
          <w:rFonts w:eastAsia="Times New Roman"/>
          <w:szCs w:val="26"/>
        </w:rPr>
      </w:pPr>
      <w:r>
        <w:rPr>
          <w:rFonts w:eastAsia="Times New Roman"/>
          <w:szCs w:val="26"/>
        </w:rPr>
        <w:t>VI</w:t>
      </w:r>
      <w:r w:rsidRPr="00ED44D1" w:rsidR="00ED44D1">
        <w:rPr>
          <w:rFonts w:eastAsia="Times New Roman"/>
          <w:szCs w:val="26"/>
        </w:rPr>
        <w:t>.  Regulatory Flexibility Act Certification</w:t>
      </w:r>
      <w:r w:rsidRPr="00ED44D1" w:rsidR="00ED44D1">
        <w:rPr>
          <w:rFonts w:eastAsia="Times New Roman"/>
          <w:szCs w:val="26"/>
        </w:rPr>
        <w:tab/>
      </w:r>
      <w:hyperlink w:history="1" w:anchor="Regulatory">
        <w:r w:rsidR="00E00D16">
          <w:rPr>
            <w:rStyle w:val="Hyperlink"/>
            <w:rFonts w:eastAsia="Times New Roman"/>
            <w:szCs w:val="26"/>
          </w:rPr>
          <w:t>26.</w:t>
        </w:r>
      </w:hyperlink>
    </w:p>
    <w:p w:rsidRPr="00ED44D1" w:rsidR="00ED44D1" w:rsidP="00ED44D1" w:rsidRDefault="00F55810" w14:paraId="45733744" w14:textId="56C928C6">
      <w:pPr>
        <w:tabs>
          <w:tab w:val="right" w:leader="dot" w:pos="9360"/>
        </w:tabs>
        <w:autoSpaceDE w:val="0"/>
        <w:autoSpaceDN w:val="0"/>
        <w:adjustRightInd w:val="0"/>
        <w:spacing w:before="120"/>
        <w:rPr>
          <w:rFonts w:eastAsia="Times New Roman"/>
          <w:szCs w:val="26"/>
        </w:rPr>
      </w:pPr>
      <w:r>
        <w:rPr>
          <w:rFonts w:eastAsia="Times New Roman"/>
          <w:szCs w:val="26"/>
        </w:rPr>
        <w:t>VII</w:t>
      </w:r>
      <w:r w:rsidRPr="00ED44D1" w:rsidR="00ED44D1">
        <w:rPr>
          <w:rFonts w:eastAsia="Times New Roman"/>
          <w:szCs w:val="26"/>
        </w:rPr>
        <w:t>.  Comment Procedures</w:t>
      </w:r>
      <w:r w:rsidRPr="00ED44D1" w:rsidR="00ED44D1">
        <w:rPr>
          <w:rFonts w:eastAsia="Times New Roman"/>
          <w:szCs w:val="26"/>
        </w:rPr>
        <w:tab/>
      </w:r>
      <w:hyperlink w:history="1" w:anchor="Comment">
        <w:r w:rsidR="00E00D16">
          <w:rPr>
            <w:rStyle w:val="Hyperlink"/>
            <w:rFonts w:eastAsia="Times New Roman"/>
            <w:szCs w:val="26"/>
          </w:rPr>
          <w:t>2</w:t>
        </w:r>
        <w:r w:rsidR="00BE0AFD">
          <w:rPr>
            <w:rStyle w:val="Hyperlink"/>
            <w:rFonts w:eastAsia="Times New Roman"/>
            <w:szCs w:val="26"/>
          </w:rPr>
          <w:t>8</w:t>
        </w:r>
        <w:r w:rsidR="00E00D16">
          <w:rPr>
            <w:rStyle w:val="Hyperlink"/>
            <w:rFonts w:eastAsia="Times New Roman"/>
            <w:szCs w:val="26"/>
          </w:rPr>
          <w:t>.</w:t>
        </w:r>
      </w:hyperlink>
    </w:p>
    <w:p w:rsidRPr="00ED44D1" w:rsidR="00ED44D1" w:rsidP="00ED44D1" w:rsidRDefault="00F55810" w14:paraId="701BFFEB" w14:textId="4094113A">
      <w:pPr>
        <w:tabs>
          <w:tab w:val="right" w:leader="dot" w:pos="9360"/>
        </w:tabs>
        <w:autoSpaceDE w:val="0"/>
        <w:autoSpaceDN w:val="0"/>
        <w:adjustRightInd w:val="0"/>
        <w:spacing w:before="120"/>
        <w:rPr>
          <w:rFonts w:eastAsia="Times New Roman"/>
          <w:szCs w:val="26"/>
        </w:rPr>
      </w:pPr>
      <w:r>
        <w:rPr>
          <w:rFonts w:eastAsia="Times New Roman"/>
          <w:szCs w:val="26"/>
        </w:rPr>
        <w:t>VIII</w:t>
      </w:r>
      <w:r w:rsidRPr="00ED44D1" w:rsidR="00ED44D1">
        <w:rPr>
          <w:rFonts w:eastAsia="Times New Roman"/>
          <w:szCs w:val="26"/>
        </w:rPr>
        <w:t>.  Document Availability</w:t>
      </w:r>
      <w:r w:rsidRPr="00ED44D1" w:rsidR="00ED44D1">
        <w:rPr>
          <w:rFonts w:eastAsia="Times New Roman"/>
          <w:szCs w:val="26"/>
        </w:rPr>
        <w:tab/>
      </w:r>
      <w:hyperlink w:history="1" w:anchor="DocAvail">
        <w:r w:rsidR="00E00D16">
          <w:rPr>
            <w:rStyle w:val="Hyperlink"/>
            <w:rFonts w:eastAsia="Times New Roman"/>
            <w:szCs w:val="26"/>
          </w:rPr>
          <w:t>3</w:t>
        </w:r>
        <w:r w:rsidR="00BE0AFD">
          <w:rPr>
            <w:rStyle w:val="Hyperlink"/>
            <w:rFonts w:eastAsia="Times New Roman"/>
            <w:szCs w:val="26"/>
          </w:rPr>
          <w:t>1</w:t>
        </w:r>
        <w:r w:rsidR="00E00D16">
          <w:rPr>
            <w:rStyle w:val="Hyperlink"/>
            <w:rFonts w:eastAsia="Times New Roman"/>
            <w:szCs w:val="26"/>
          </w:rPr>
          <w:t>.</w:t>
        </w:r>
      </w:hyperlink>
    </w:p>
    <w:p w:rsidR="006D7664" w:rsidRDefault="006D7664" w14:paraId="7A01A57D" w14:textId="4DA7ECD1">
      <w:pPr>
        <w:widowControl/>
        <w:spacing w:after="160" w:line="259" w:lineRule="auto"/>
      </w:pPr>
      <w:r>
        <w:br w:type="page"/>
      </w:r>
    </w:p>
    <w:p w:rsidR="00C024F1" w:rsidP="00AF4249" w:rsidRDefault="00C024F1" w14:paraId="1604000E" w14:textId="5FFDEDD5">
      <w:pPr>
        <w:pStyle w:val="Heading1"/>
      </w:pPr>
      <w:r>
        <w:lastRenderedPageBreak/>
        <w:t>Introduction</w:t>
      </w:r>
    </w:p>
    <w:p w:rsidRPr="0088048B" w:rsidR="00C024F1" w:rsidP="00C024F1" w:rsidRDefault="00C024F1" w14:paraId="7AE69D59" w14:textId="1909EB37">
      <w:pPr>
        <w:pStyle w:val="FERCparanumber"/>
      </w:pPr>
      <w:bookmarkStart w:name="Introduction" w:id="0"/>
      <w:bookmarkEnd w:id="0"/>
      <w:r w:rsidRPr="009E11C7">
        <w:rPr>
          <w:szCs w:val="26"/>
        </w:rPr>
        <w:t>On</w:t>
      </w:r>
      <w:r w:rsidRPr="00B451B1">
        <w:t xml:space="preserve"> June 24, 2021, </w:t>
      </w:r>
      <w:r w:rsidRPr="00AB3A7E">
        <w:rPr>
          <w:bCs/>
        </w:rPr>
        <w:t>American Gas Association</w:t>
      </w:r>
      <w:r w:rsidRPr="00592E28">
        <w:rPr>
          <w:bCs/>
        </w:rPr>
        <w:t>,</w:t>
      </w:r>
      <w:r w:rsidRPr="00B451B1">
        <w:t xml:space="preserve"> </w:t>
      </w:r>
      <w:r w:rsidRPr="00AB3A7E">
        <w:rPr>
          <w:bCs/>
        </w:rPr>
        <w:t>American Public Gas Association</w:t>
      </w:r>
      <w:r w:rsidRPr="00B451B1">
        <w:t xml:space="preserve">, American Forest &amp; Paper Association, Industrial Energy Consumers of America, Process Gas Consumers Group and Natural Gas Supply Association (collectively, Petitioners) filed </w:t>
      </w:r>
      <w:r>
        <w:t>a</w:t>
      </w:r>
      <w:r w:rsidRPr="00B451B1">
        <w:t xml:space="preserve"> </w:t>
      </w:r>
      <w:r w:rsidR="001A0474">
        <w:t>p</w:t>
      </w:r>
      <w:r w:rsidRPr="00B451B1">
        <w:t xml:space="preserve">etition requesting that the Commission institute a </w:t>
      </w:r>
      <w:r>
        <w:t>r</w:t>
      </w:r>
      <w:r w:rsidRPr="00B451B1">
        <w:t xml:space="preserve">ulemaking to revise its regulations, or </w:t>
      </w:r>
      <w:r>
        <w:t>at the minimum</w:t>
      </w:r>
      <w:r w:rsidRPr="00B451B1">
        <w:t>, issue an order revising and updating the</w:t>
      </w:r>
      <w:r w:rsidR="00156992">
        <w:t xml:space="preserve"> </w:t>
      </w:r>
      <w:r w:rsidRPr="00635D08" w:rsidR="00156992">
        <w:rPr>
          <w:i/>
          <w:iCs/>
        </w:rPr>
        <w:t>FERC</w:t>
      </w:r>
      <w:r w:rsidRPr="00635D08">
        <w:rPr>
          <w:i/>
          <w:iCs/>
        </w:rPr>
        <w:t xml:space="preserve"> Implementation Guide</w:t>
      </w:r>
      <w:r w:rsidRPr="00B451B1">
        <w:t xml:space="preserve"> </w:t>
      </w:r>
      <w:r w:rsidRPr="006B29BB" w:rsidR="00845C09">
        <w:rPr>
          <w:i/>
          <w:iCs/>
        </w:rPr>
        <w:t>for Electronic Filing of Parts 35, 154, 284, 300 and 341 Tariff Filings</w:t>
      </w:r>
      <w:r w:rsidRPr="00B451B1" w:rsidR="00845C09">
        <w:t xml:space="preserve"> </w:t>
      </w:r>
      <w:r w:rsidR="00845C09">
        <w:t xml:space="preserve">(FERC Implementation Guide) </w:t>
      </w:r>
      <w:r w:rsidRPr="00B451B1">
        <w:t xml:space="preserve">to require </w:t>
      </w:r>
      <w:r w:rsidR="0091358F">
        <w:t xml:space="preserve">natural gas </w:t>
      </w:r>
      <w:r>
        <w:t xml:space="preserve">pipelines to </w:t>
      </w:r>
      <w:r w:rsidRPr="00B451B1">
        <w:t>subm</w:t>
      </w:r>
      <w:r>
        <w:t>it</w:t>
      </w:r>
      <w:r w:rsidRPr="00B451B1">
        <w:t xml:space="preserve"> all supporting statements, schedules and workpapers in native format</w:t>
      </w:r>
      <w:r w:rsidRPr="00B603FA" w:rsidR="002917DD">
        <w:rPr>
          <w:b/>
          <w:bCs/>
          <w:vertAlign w:val="superscript"/>
        </w:rPr>
        <w:footnoteReference w:id="2"/>
      </w:r>
      <w:r w:rsidRPr="00B451B1">
        <w:t xml:space="preserve"> with all links and formulas intact </w:t>
      </w:r>
      <w:r>
        <w:t>when filing</w:t>
      </w:r>
      <w:r w:rsidRPr="00B451B1">
        <w:t xml:space="preserve"> </w:t>
      </w:r>
      <w:r>
        <w:t>a</w:t>
      </w:r>
      <w:r w:rsidR="009939E3">
        <w:t xml:space="preserve"> general</w:t>
      </w:r>
      <w:r w:rsidR="000B063F">
        <w:t xml:space="preserve"> </w:t>
      </w:r>
      <w:r w:rsidR="003358DB">
        <w:t>Natural Gas Act (</w:t>
      </w:r>
      <w:r w:rsidR="000B063F">
        <w:t>NGA</w:t>
      </w:r>
      <w:r w:rsidR="003358DB">
        <w:t>)</w:t>
      </w:r>
      <w:r>
        <w:t xml:space="preserve"> section 4</w:t>
      </w:r>
      <w:r w:rsidR="003358DB">
        <w:rPr>
          <w:rStyle w:val="FootnoteReference"/>
        </w:rPr>
        <w:footnoteReference w:id="3"/>
      </w:r>
      <w:r>
        <w:t xml:space="preserve"> rate case</w:t>
      </w:r>
      <w:r w:rsidR="001A0474">
        <w:t xml:space="preserve"> (Petition)</w:t>
      </w:r>
      <w:r w:rsidRPr="00B451B1">
        <w:t>.</w:t>
      </w:r>
      <w:r w:rsidR="00BE0AFD">
        <w:t xml:space="preserve">  </w:t>
      </w:r>
      <w:r w:rsidRPr="00B451B1">
        <w:t xml:space="preserve">Petitioners state that the Commission’s current policy does not ensure that Commission staff and stakeholders have access to all the information </w:t>
      </w:r>
      <w:r>
        <w:t>needed</w:t>
      </w:r>
      <w:r w:rsidRPr="00B451B1">
        <w:t xml:space="preserve"> to perform routine </w:t>
      </w:r>
      <w:r w:rsidR="000B063F">
        <w:t xml:space="preserve">rate </w:t>
      </w:r>
      <w:r w:rsidRPr="00B451B1">
        <w:t xml:space="preserve">analyses.  </w:t>
      </w:r>
    </w:p>
    <w:p w:rsidR="00C024F1" w:rsidP="00C024F1" w:rsidRDefault="00C024F1" w14:paraId="7C2F64DA" w14:textId="482FB0DE">
      <w:pPr>
        <w:pStyle w:val="FERCparanumber"/>
      </w:pPr>
      <w:r w:rsidRPr="00592E28">
        <w:lastRenderedPageBreak/>
        <w:t xml:space="preserve">CenterPoint Energy Resources Corporation (CenterPoint), National Grid </w:t>
      </w:r>
      <w:r w:rsidR="00EC26B8">
        <w:t xml:space="preserve">Gas </w:t>
      </w:r>
      <w:r w:rsidRPr="00592E28">
        <w:t>Delivery Companies (National Grid),</w:t>
      </w:r>
      <w:r w:rsidRPr="00592E28">
        <w:rPr>
          <w:b/>
          <w:vertAlign w:val="superscript"/>
        </w:rPr>
        <w:footnoteReference w:id="4"/>
      </w:r>
      <w:r w:rsidRPr="00592E28">
        <w:t xml:space="preserve"> and Exelon Corporation, Exelon Generation Company, LLC, and affiliates (collectively, Exelon) filed general comments in support of the Petition.  In its comments, CenterPoint states that the </w:t>
      </w:r>
      <w:r w:rsidR="00137987">
        <w:t xml:space="preserve">changes proposed in the </w:t>
      </w:r>
      <w:r w:rsidRPr="00592E28">
        <w:t>Petition may expedite proceedings by removing the</w:t>
      </w:r>
      <w:r w:rsidR="001F0C54">
        <w:t xml:space="preserve"> </w:t>
      </w:r>
      <w:r w:rsidR="00F158AA">
        <w:t>additional</w:t>
      </w:r>
      <w:r w:rsidRPr="00592E28">
        <w:t xml:space="preserve"> step where intervenors must submit separate requests for supporting statements, schedules and workpapers in native format, in effect reducing time and expense for all stakeholders.  National Grid states that when a natural gas </w:t>
      </w:r>
      <w:r w:rsidR="00E8407C">
        <w:t>pipeline</w:t>
      </w:r>
      <w:r w:rsidRPr="00592E28">
        <w:t xml:space="preserve"> does not file in native format</w:t>
      </w:r>
      <w:r w:rsidRPr="00592E28" w:rsidDel="00D063C3">
        <w:t xml:space="preserve">, </w:t>
      </w:r>
      <w:r w:rsidRPr="00592E28">
        <w:t>a party’s only recourse is either the time-consuming process of raising the matter in protests and waiting for the Commission to direct the filer to provide all statements</w:t>
      </w:r>
      <w:r w:rsidR="00FB0967">
        <w:t xml:space="preserve">, </w:t>
      </w:r>
      <w:r w:rsidRPr="00592E28">
        <w:t>schedules</w:t>
      </w:r>
      <w:r w:rsidR="00FB0967">
        <w:t xml:space="preserve"> and workpapers</w:t>
      </w:r>
      <w:r w:rsidRPr="00592E28">
        <w:t xml:space="preserve"> in native format and subsequently the </w:t>
      </w:r>
      <w:r w:rsidR="00AF559D">
        <w:t xml:space="preserve">pipeline’s </w:t>
      </w:r>
      <w:r w:rsidRPr="00592E28">
        <w:t xml:space="preserve">compliance with those </w:t>
      </w:r>
      <w:r w:rsidRPr="00592E28" w:rsidR="00110A16">
        <w:t>directives or</w:t>
      </w:r>
      <w:r w:rsidRPr="00592E28">
        <w:t xml:space="preserve"> pursuing this necessary information even later in the process through discovery.  National Grid further states that these recourses are not only inefficient but cost parties time waiting on workpapers that allow for a complete and thorough assessment of the rate filing.  Exelon maintains that supporting statements, schedules and workpapers should be provided in native format for stakeholders to review and </w:t>
      </w:r>
      <w:r w:rsidR="00087924">
        <w:t>determine whether</w:t>
      </w:r>
      <w:r w:rsidRPr="00592E28">
        <w:t xml:space="preserve"> a natural gas pipeline’s proposed rate increase is just and reasonable and in conformance with Commission </w:t>
      </w:r>
      <w:r w:rsidRPr="00592E28">
        <w:lastRenderedPageBreak/>
        <w:t xml:space="preserve">policies.  Exelon argues that it is difficult to conduct a thorough analysis of a rate case if supporting statements, schedules and workpapers are submitted in </w:t>
      </w:r>
      <w:r w:rsidR="001D4B52">
        <w:t xml:space="preserve">Adobe </w:t>
      </w:r>
      <w:r w:rsidRPr="00592E28">
        <w:t>PDF format.</w:t>
      </w:r>
    </w:p>
    <w:p w:rsidRPr="00B61165" w:rsidR="00AF4249" w:rsidP="00AF4249" w:rsidRDefault="00AF4249" w14:paraId="0FC9BE61" w14:textId="0720F281">
      <w:pPr>
        <w:pStyle w:val="Heading1"/>
      </w:pPr>
      <w:r w:rsidRPr="00F86749">
        <w:t>Background</w:t>
      </w:r>
    </w:p>
    <w:p w:rsidR="00502A83" w:rsidP="001D1696" w:rsidRDefault="00502A83" w14:paraId="711DA426" w14:textId="5C4619FA">
      <w:pPr>
        <w:pStyle w:val="FERCparanumber"/>
      </w:pPr>
      <w:bookmarkStart w:name="Background" w:id="1"/>
      <w:bookmarkEnd w:id="1"/>
      <w:r w:rsidRPr="00502A83">
        <w:t xml:space="preserve">As required by </w:t>
      </w:r>
      <w:r w:rsidR="001307EF">
        <w:t>§</w:t>
      </w:r>
      <w:r w:rsidRPr="00502A83">
        <w:t xml:space="preserve"> 284.10 of the Commission’s regulations,</w:t>
      </w:r>
      <w:r w:rsidRPr="00502A83">
        <w:rPr>
          <w:b/>
          <w:vertAlign w:val="superscript"/>
        </w:rPr>
        <w:footnoteReference w:id="5"/>
      </w:r>
      <w:r w:rsidRPr="00502A83">
        <w:t xml:space="preserve"> interstate natural gas pipelines generally have stated rates for their services, which are approved in a rate proceeding under NGA sections 4 or 5 and remain in effect until changed in a subsequent section 4 or 5 proceeding.  When </w:t>
      </w:r>
      <w:r w:rsidR="00D44833">
        <w:t>a</w:t>
      </w:r>
      <w:r w:rsidRPr="00502A83">
        <w:t xml:space="preserve"> </w:t>
      </w:r>
      <w:r w:rsidR="000A6CE8">
        <w:t xml:space="preserve">natural gas </w:t>
      </w:r>
      <w:r w:rsidRPr="00502A83">
        <w:t>pipeline file</w:t>
      </w:r>
      <w:r w:rsidR="00D44833">
        <w:t>s</w:t>
      </w:r>
      <w:r w:rsidRPr="00502A83">
        <w:t xml:space="preserve"> under NGA section 4 to change </w:t>
      </w:r>
      <w:r w:rsidR="00D44833">
        <w:t>its</w:t>
      </w:r>
      <w:r w:rsidRPr="00502A83">
        <w:t xml:space="preserve"> rates, the Commission requires the pipeline to provide detailed support for all the components of its cost of service.</w:t>
      </w:r>
      <w:r w:rsidRPr="00502A83">
        <w:rPr>
          <w:b/>
          <w:vertAlign w:val="superscript"/>
        </w:rPr>
        <w:footnoteReference w:id="6"/>
      </w:r>
      <w:r w:rsidR="00BE0AFD">
        <w:t xml:space="preserve">  </w:t>
      </w:r>
      <w:r w:rsidR="002D770E">
        <w:t>Further, s</w:t>
      </w:r>
      <w:r w:rsidRPr="002D770E" w:rsidR="002D770E">
        <w:t xml:space="preserve">ection 4(c) of the NGA requires that a natural gas </w:t>
      </w:r>
      <w:r w:rsidR="00E9049F">
        <w:t xml:space="preserve">pipeline </w:t>
      </w:r>
      <w:r w:rsidRPr="002D770E" w:rsidR="002D770E">
        <w:t xml:space="preserve">file proposed changes in rates with the Commission </w:t>
      </w:r>
      <w:r w:rsidR="00517721">
        <w:t>30</w:t>
      </w:r>
      <w:r w:rsidRPr="002D770E" w:rsidR="00517721">
        <w:t xml:space="preserve"> </w:t>
      </w:r>
      <w:r w:rsidRPr="002D770E" w:rsidR="002D770E">
        <w:t>days prior to the proposed effective date.</w:t>
      </w:r>
      <w:r w:rsidR="002D770E">
        <w:rPr>
          <w:rStyle w:val="FootnoteReference"/>
        </w:rPr>
        <w:footnoteReference w:id="7"/>
      </w:r>
    </w:p>
    <w:p w:rsidR="007C269E" w:rsidP="001D1696" w:rsidRDefault="007C269E" w14:paraId="0E900073" w14:textId="75D29358">
      <w:pPr>
        <w:pStyle w:val="FERCparanumber"/>
      </w:pPr>
      <w:r>
        <w:t xml:space="preserve">Commission regulations require that </w:t>
      </w:r>
      <w:r w:rsidR="002D770E">
        <w:t xml:space="preserve">natural gas </w:t>
      </w:r>
      <w:r>
        <w:t xml:space="preserve">pipelines filing </w:t>
      </w:r>
      <w:r w:rsidR="00860C44">
        <w:t xml:space="preserve">general </w:t>
      </w:r>
      <w:r>
        <w:t xml:space="preserve">section 4 rate cases provide </w:t>
      </w:r>
      <w:r w:rsidR="002D770E">
        <w:t>certain</w:t>
      </w:r>
      <w:r>
        <w:t xml:space="preserve"> statements (Statement</w:t>
      </w:r>
      <w:r w:rsidR="00D44833">
        <w:t>s</w:t>
      </w:r>
      <w:r>
        <w:t xml:space="preserve"> A through P).</w:t>
      </w:r>
      <w:r>
        <w:rPr>
          <w:rStyle w:val="FootnoteReference"/>
        </w:rPr>
        <w:footnoteReference w:id="8"/>
      </w:r>
      <w:r>
        <w:t xml:space="preserve">  </w:t>
      </w:r>
      <w:r w:rsidRPr="0016548A">
        <w:t>In 199</w:t>
      </w:r>
      <w:r>
        <w:t>5</w:t>
      </w:r>
      <w:r w:rsidRPr="0016548A">
        <w:t xml:space="preserve">, the Commission issued </w:t>
      </w:r>
      <w:r w:rsidR="002D770E">
        <w:t>its</w:t>
      </w:r>
      <w:r w:rsidRPr="002D770E" w:rsidR="002D770E">
        <w:rPr>
          <w:i/>
          <w:iCs/>
        </w:rPr>
        <w:t xml:space="preserve"> Filing and Reporting Requirements for Interstate Natural Gas Company Rate Schedules and Tariffs</w:t>
      </w:r>
      <w:r w:rsidR="002D770E">
        <w:rPr>
          <w:i/>
          <w:iCs/>
        </w:rPr>
        <w:t xml:space="preserve"> </w:t>
      </w:r>
      <w:r w:rsidRPr="00760EBC" w:rsidR="002D770E">
        <w:t>(Order No. 582)</w:t>
      </w:r>
      <w:r w:rsidRPr="0016548A">
        <w:t>, stating that Statements I</w:t>
      </w:r>
      <w:r w:rsidRPr="00475AD3">
        <w:t xml:space="preserve">, </w:t>
      </w:r>
      <w:r w:rsidRPr="0016548A">
        <w:t>J</w:t>
      </w:r>
      <w:r w:rsidRPr="00475AD3">
        <w:t xml:space="preserve"> and a portion of H</w:t>
      </w:r>
      <w:r>
        <w:t xml:space="preserve"> (</w:t>
      </w:r>
      <w:r w:rsidRPr="00475AD3">
        <w:t>containing state tax formulations</w:t>
      </w:r>
      <w:r>
        <w:t>)</w:t>
      </w:r>
      <w:r w:rsidRPr="0016548A">
        <w:t xml:space="preserve"> must be received in spreadsheet format with formulas</w:t>
      </w:r>
      <w:r>
        <w:t xml:space="preserve"> </w:t>
      </w:r>
      <w:r w:rsidRPr="0016548A">
        <w:t>included,</w:t>
      </w:r>
      <w:r w:rsidDel="000B0377" w:rsidR="000B0377">
        <w:rPr>
          <w:rStyle w:val="FootnoteReference"/>
        </w:rPr>
        <w:t xml:space="preserve"> </w:t>
      </w:r>
      <w:r w:rsidRPr="0016548A">
        <w:t>as the</w:t>
      </w:r>
      <w:r w:rsidR="00D44833">
        <w:t xml:space="preserve"> data provided in the</w:t>
      </w:r>
      <w:r w:rsidRPr="0016548A">
        <w:t xml:space="preserve">se </w:t>
      </w:r>
      <w:r w:rsidR="00110A16">
        <w:t>statements</w:t>
      </w:r>
      <w:r w:rsidRPr="0016548A" w:rsidR="00110A16">
        <w:t xml:space="preserve"> </w:t>
      </w:r>
      <w:r w:rsidRPr="0016548A">
        <w:t xml:space="preserve">are essential to </w:t>
      </w:r>
      <w:r w:rsidRPr="0016548A">
        <w:lastRenderedPageBreak/>
        <w:t xml:space="preserve">understanding </w:t>
      </w:r>
      <w:r>
        <w:t>a</w:t>
      </w:r>
      <w:r w:rsidRPr="0016548A">
        <w:t xml:space="preserve"> </w:t>
      </w:r>
      <w:r>
        <w:t xml:space="preserve">natural gas </w:t>
      </w:r>
      <w:r w:rsidRPr="0016548A">
        <w:t>pipeline’s position with regard to cost allocation and rate design.</w:t>
      </w:r>
      <w:r>
        <w:rPr>
          <w:rStyle w:val="FootnoteReference"/>
        </w:rPr>
        <w:footnoteReference w:id="9"/>
      </w:r>
      <w:r w:rsidRPr="0016548A">
        <w:t xml:space="preserve">  </w:t>
      </w:r>
      <w:r w:rsidR="00CF0B39">
        <w:t>T</w:t>
      </w:r>
      <w:r w:rsidR="006312AA">
        <w:t>he Commission</w:t>
      </w:r>
      <w:r w:rsidRPr="00475AD3">
        <w:t xml:space="preserve"> </w:t>
      </w:r>
      <w:r>
        <w:t xml:space="preserve">found </w:t>
      </w:r>
      <w:r w:rsidRPr="0016548A">
        <w:t xml:space="preserve">that </w:t>
      </w:r>
      <w:r>
        <w:t xml:space="preserve">although </w:t>
      </w:r>
      <w:r w:rsidRPr="0016548A">
        <w:t>these spreadsheets c</w:t>
      </w:r>
      <w:r>
        <w:t>ould</w:t>
      </w:r>
      <w:r w:rsidRPr="0016548A">
        <w:t xml:space="preserve"> be obtained through discovery</w:t>
      </w:r>
      <w:r>
        <w:t>,</w:t>
      </w:r>
      <w:r w:rsidRPr="0016548A">
        <w:t xml:space="preserve"> that process is burdensome</w:t>
      </w:r>
      <w:r>
        <w:t>,</w:t>
      </w:r>
      <w:r w:rsidRPr="0016548A">
        <w:t xml:space="preserve"> </w:t>
      </w:r>
      <w:r w:rsidRPr="00475AD3">
        <w:t xml:space="preserve">often </w:t>
      </w:r>
      <w:r w:rsidRPr="0016548A">
        <w:t>redundant of the initial filing</w:t>
      </w:r>
      <w:r>
        <w:t xml:space="preserve"> and </w:t>
      </w:r>
      <w:r w:rsidRPr="0016548A">
        <w:t>inhibits better-informed protests.</w:t>
      </w:r>
      <w:r>
        <w:rPr>
          <w:rStyle w:val="FootnoteReference"/>
        </w:rPr>
        <w:footnoteReference w:id="10"/>
      </w:r>
      <w:r w:rsidR="00BE0AFD">
        <w:t xml:space="preserve">  </w:t>
      </w:r>
      <w:r>
        <w:t xml:space="preserve">Subsequently, </w:t>
      </w:r>
      <w:r w:rsidRPr="0016548A">
        <w:t xml:space="preserve">the </w:t>
      </w:r>
      <w:r w:rsidRPr="00261948">
        <w:t>FERC Implementation Guide</w:t>
      </w:r>
      <w:r w:rsidR="0061682A">
        <w:t xml:space="preserve"> </w:t>
      </w:r>
      <w:r>
        <w:t xml:space="preserve">stated </w:t>
      </w:r>
      <w:r w:rsidRPr="0016548A">
        <w:t>that</w:t>
      </w:r>
      <w:r w:rsidR="00AF0198">
        <w:t xml:space="preserve"> the</w:t>
      </w:r>
      <w:r>
        <w:t xml:space="preserve"> </w:t>
      </w:r>
      <w:r w:rsidR="002112AD">
        <w:t>“</w:t>
      </w:r>
      <w:r w:rsidRPr="0016548A">
        <w:t xml:space="preserve">submission of spreadsheets in native </w:t>
      </w:r>
      <w:r w:rsidR="002112AD">
        <w:t xml:space="preserve">file </w:t>
      </w:r>
      <w:r>
        <w:t>f</w:t>
      </w:r>
      <w:r w:rsidRPr="0016548A">
        <w:t>ormat is preferred</w:t>
      </w:r>
      <w:r w:rsidR="00B5595E">
        <w:t xml:space="preserve"> </w:t>
      </w:r>
      <w:r w:rsidRPr="00B5595E" w:rsidR="00B5595E">
        <w:t>for Statements A through M</w:t>
      </w:r>
      <w:r w:rsidR="00B5595E">
        <w:t>,</w:t>
      </w:r>
      <w:r w:rsidR="00D31ADB">
        <w:t xml:space="preserve"> </w:t>
      </w:r>
      <w:r w:rsidRPr="00D31ADB" w:rsidR="00D31ADB">
        <w:t xml:space="preserve">including related schedules. </w:t>
      </w:r>
      <w:r w:rsidR="005E449E">
        <w:t xml:space="preserve"> </w:t>
      </w:r>
      <w:r w:rsidRPr="00D31ADB" w:rsidR="00D31ADB">
        <w:t>Statements O and P may use any electronic format that renders text, graphics, spreadsheets or data bases that the Commission accepts (the list of FERC Acceptable File Formats is available on</w:t>
      </w:r>
      <w:r w:rsidR="009621E6">
        <w:t xml:space="preserve"> http://</w:t>
      </w:r>
      <w:hyperlink w:history="1" r:id="rId20">
        <w:r w:rsidRPr="00EC5B46" w:rsidR="00D31ADB">
          <w:rPr>
            <w:rStyle w:val="Hyperlink"/>
          </w:rPr>
          <w:t>www.ferc.gov</w:t>
        </w:r>
      </w:hyperlink>
      <w:r w:rsidRPr="00D31ADB" w:rsidR="00D31ADB">
        <w:t>).</w:t>
      </w:r>
      <w:r w:rsidR="002112AD">
        <w:t>”</w:t>
      </w:r>
      <w:r w:rsidR="00941AF3">
        <w:rPr>
          <w:rStyle w:val="FootnoteReference"/>
        </w:rPr>
        <w:footnoteReference w:id="11"/>
      </w:r>
      <w:r w:rsidR="00D31ADB">
        <w:t xml:space="preserve"> </w:t>
      </w:r>
      <w:r w:rsidR="005E449E">
        <w:t xml:space="preserve"> </w:t>
      </w:r>
      <w:r w:rsidR="00802B2B">
        <w:t>Furthermore, f</w:t>
      </w:r>
      <w:r w:rsidR="00B80270">
        <w:t xml:space="preserve">or Statements I, J and a portion of H, the </w:t>
      </w:r>
      <w:r w:rsidR="00845C09">
        <w:t xml:space="preserve">FERC </w:t>
      </w:r>
      <w:r w:rsidR="00B80270">
        <w:t xml:space="preserve">Implementation Guide </w:t>
      </w:r>
      <w:r w:rsidR="00802B2B">
        <w:t>state</w:t>
      </w:r>
      <w:r w:rsidR="00350A21">
        <w:t>d</w:t>
      </w:r>
      <w:r w:rsidR="00802B2B">
        <w:t xml:space="preserve"> that if spreadsheets in native format (e.g.</w:t>
      </w:r>
      <w:r w:rsidR="00D66BEE">
        <w:t>,</w:t>
      </w:r>
      <w:r w:rsidR="00802B2B">
        <w:t xml:space="preserve"> </w:t>
      </w:r>
      <w:r w:rsidR="00A3347F">
        <w:t xml:space="preserve">Microsoft </w:t>
      </w:r>
      <w:r w:rsidR="00802B2B">
        <w:t xml:space="preserve">Excel) are not available that the </w:t>
      </w:r>
      <w:r w:rsidR="000A6CE8">
        <w:t xml:space="preserve">natural gas </w:t>
      </w:r>
      <w:r w:rsidR="00802B2B">
        <w:t xml:space="preserve">pipeline may submit using any </w:t>
      </w:r>
      <w:r w:rsidR="00EE72B0">
        <w:t xml:space="preserve">of the </w:t>
      </w:r>
      <w:r w:rsidR="00C70515">
        <w:t xml:space="preserve">aforementioned </w:t>
      </w:r>
      <w:r w:rsidR="00802B2B">
        <w:t xml:space="preserve">acceptable </w:t>
      </w:r>
      <w:r w:rsidR="00C70515">
        <w:t xml:space="preserve">electronic </w:t>
      </w:r>
      <w:r w:rsidRPr="00D31ADB" w:rsidR="00802B2B">
        <w:t>format</w:t>
      </w:r>
      <w:r w:rsidR="00EE72B0">
        <w:t>s</w:t>
      </w:r>
      <w:r w:rsidR="00C70515">
        <w:t xml:space="preserve"> which the Commission accepts.</w:t>
      </w:r>
      <w:r>
        <w:rPr>
          <w:rStyle w:val="FootnoteReference"/>
        </w:rPr>
        <w:footnoteReference w:id="12"/>
      </w:r>
      <w:r w:rsidRPr="0016548A">
        <w:t xml:space="preserve">  </w:t>
      </w:r>
      <w:r w:rsidRPr="0016548A" w:rsidDel="00B80270" w:rsidR="00B80270">
        <w:t xml:space="preserve"> </w:t>
      </w:r>
    </w:p>
    <w:p w:rsidRPr="00B61165" w:rsidR="00AF4249" w:rsidP="00AF4249" w:rsidRDefault="00AF4249" w14:paraId="16FA7FA8" w14:textId="77777777">
      <w:pPr>
        <w:pStyle w:val="Heading1"/>
      </w:pPr>
      <w:r w:rsidRPr="00F86749">
        <w:lastRenderedPageBreak/>
        <w:t>Discussion</w:t>
      </w:r>
    </w:p>
    <w:p w:rsidR="00592E28" w:rsidP="00677931" w:rsidRDefault="004D4F33" w14:paraId="18ED2CA9" w14:textId="0060EBC0">
      <w:pPr>
        <w:pStyle w:val="FERCparanumber"/>
      </w:pPr>
      <w:bookmarkStart w:name="Discussion" w:id="2"/>
      <w:bookmarkEnd w:id="2"/>
      <w:r w:rsidRPr="0005431E">
        <w:t xml:space="preserve">Pursuant to </w:t>
      </w:r>
      <w:r w:rsidR="00987A8B">
        <w:t>NGA section 4</w:t>
      </w:r>
      <w:r>
        <w:t xml:space="preserve">, </w:t>
      </w:r>
      <w:r w:rsidRPr="0005431E">
        <w:t xml:space="preserve">we propose to establish </w:t>
      </w:r>
      <w:r w:rsidR="00B35FF5">
        <w:t xml:space="preserve">a </w:t>
      </w:r>
      <w:r w:rsidRPr="0005431E">
        <w:t xml:space="preserve">rule to </w:t>
      </w:r>
      <w:r w:rsidRPr="00E754D9" w:rsidR="00B35FF5">
        <w:t xml:space="preserve">require </w:t>
      </w:r>
      <w:r w:rsidR="000A6CE8">
        <w:t xml:space="preserve">natural gas </w:t>
      </w:r>
      <w:r w:rsidRPr="00E754D9" w:rsidR="00B35FF5">
        <w:t>pipelines to submit all statements</w:t>
      </w:r>
      <w:r w:rsidR="00F32A69">
        <w:t xml:space="preserve">, </w:t>
      </w:r>
      <w:r w:rsidRPr="00E754D9" w:rsidR="00B35FF5">
        <w:t>schedules</w:t>
      </w:r>
      <w:r w:rsidR="00F32A69">
        <w:t xml:space="preserve"> and workpapers</w:t>
      </w:r>
      <w:r w:rsidRPr="00E754D9" w:rsidR="00B35FF5">
        <w:t xml:space="preserve"> in native format with formulas and links intact</w:t>
      </w:r>
      <w:r w:rsidRPr="00FE0CF4" w:rsidR="00B35FF5">
        <w:rPr>
          <w:b/>
          <w:bCs/>
          <w:vertAlign w:val="superscript"/>
        </w:rPr>
        <w:footnoteReference w:id="13"/>
      </w:r>
      <w:r w:rsidRPr="00CD5E94" w:rsidR="00B35FF5">
        <w:t xml:space="preserve"> </w:t>
      </w:r>
      <w:r w:rsidR="00B35FF5">
        <w:t>when filing</w:t>
      </w:r>
      <w:r w:rsidRPr="00B451B1" w:rsidR="00B35FF5">
        <w:t xml:space="preserve"> </w:t>
      </w:r>
      <w:r w:rsidR="00B35FF5">
        <w:t xml:space="preserve">a </w:t>
      </w:r>
      <w:r w:rsidR="00AE3F6F">
        <w:t xml:space="preserve">general </w:t>
      </w:r>
      <w:r w:rsidR="001F55B5">
        <w:t xml:space="preserve">NGA </w:t>
      </w:r>
      <w:r w:rsidR="00B35FF5">
        <w:t xml:space="preserve">section 4 rate case.  </w:t>
      </w:r>
    </w:p>
    <w:p w:rsidRPr="00B368CA" w:rsidR="00FE0CF4" w:rsidP="00AF4249" w:rsidRDefault="00C655B5" w14:paraId="2821D969" w14:textId="64DBC012">
      <w:pPr>
        <w:pStyle w:val="FERCparanumber"/>
      </w:pPr>
      <w:r w:rsidRPr="00C07B4B">
        <w:t>First</w:t>
      </w:r>
      <w:r w:rsidRPr="00C07B4B" w:rsidR="00FE0CF4">
        <w:t>, r</w:t>
      </w:r>
      <w:r w:rsidRPr="00677931" w:rsidR="00FE0CF4">
        <w:t>equiring</w:t>
      </w:r>
      <w:r w:rsidRPr="00FE0CF4" w:rsidR="00FE0CF4">
        <w:t xml:space="preserve"> all statements</w:t>
      </w:r>
      <w:r w:rsidR="0009427E">
        <w:t xml:space="preserve">, </w:t>
      </w:r>
      <w:r w:rsidRPr="00FE0CF4" w:rsidR="00FE0CF4">
        <w:t>schedules</w:t>
      </w:r>
      <w:r w:rsidR="0009427E">
        <w:t xml:space="preserve"> and workpapers</w:t>
      </w:r>
      <w:r w:rsidRPr="00FE0CF4" w:rsidR="00FE0CF4">
        <w:t xml:space="preserve"> to be filed in native format </w:t>
      </w:r>
      <w:r w:rsidR="00522F5A">
        <w:t>will</w:t>
      </w:r>
      <w:r w:rsidRPr="00FE0CF4" w:rsidR="00522F5A">
        <w:t xml:space="preserve"> </w:t>
      </w:r>
      <w:r w:rsidRPr="00FE0CF4" w:rsidR="00FE0CF4">
        <w:t xml:space="preserve">reconcile any ambiguity in the current requirements with a formal requirement for </w:t>
      </w:r>
      <w:proofErr w:type="gramStart"/>
      <w:r w:rsidRPr="00FE0CF4" w:rsidR="00FE0CF4">
        <w:t>all natural</w:t>
      </w:r>
      <w:proofErr w:type="gramEnd"/>
      <w:r w:rsidRPr="00FE0CF4" w:rsidR="00FE0CF4">
        <w:t xml:space="preserve"> gas pipeline</w:t>
      </w:r>
      <w:r w:rsidR="00E9049F">
        <w:t>s</w:t>
      </w:r>
      <w:r w:rsidRPr="00FE0CF4" w:rsidR="00FE0CF4">
        <w:t xml:space="preserve"> to file accordingly.  For example, in the Order on Clarification of Order No. 582, the Commission state</w:t>
      </w:r>
      <w:r w:rsidR="009A3BA3">
        <w:t>s</w:t>
      </w:r>
      <w:r w:rsidRPr="00FE0CF4" w:rsidR="00FE0CF4">
        <w:t xml:space="preserve"> that if there are no underlying links used to develop a spreadsheet (i.e.</w:t>
      </w:r>
      <w:r w:rsidR="00D66BEE">
        <w:t>,</w:t>
      </w:r>
      <w:r w:rsidRPr="00FE0CF4" w:rsidR="00FE0CF4">
        <w:t xml:space="preserve"> the spreadsheets are prepared separately from each other) then links do not need to be created.  </w:t>
      </w:r>
      <w:r w:rsidR="0026251D">
        <w:t xml:space="preserve">Currently, when a </w:t>
      </w:r>
      <w:r w:rsidR="00D05E96">
        <w:t>natural gas pipeline</w:t>
      </w:r>
      <w:r w:rsidR="0026251D">
        <w:t xml:space="preserve"> submits a section 4 rate case filing</w:t>
      </w:r>
      <w:r w:rsidRPr="00FE0CF4" w:rsidR="00FE0CF4">
        <w:t xml:space="preserve">, the Commission </w:t>
      </w:r>
      <w:r w:rsidR="00C07B4B">
        <w:t xml:space="preserve">often </w:t>
      </w:r>
      <w:r w:rsidRPr="00FE0CF4" w:rsidR="00FE0CF4">
        <w:t>cannot verify whether the</w:t>
      </w:r>
      <w:r w:rsidR="00C07B4B">
        <w:t>re were un</w:t>
      </w:r>
      <w:r w:rsidRPr="00FE0CF4" w:rsidR="00FE0CF4">
        <w:t xml:space="preserve">derlying links used </w:t>
      </w:r>
      <w:r w:rsidR="00C07B4B">
        <w:t>to develop</w:t>
      </w:r>
      <w:r w:rsidR="001F55B5">
        <w:t xml:space="preserve"> a</w:t>
      </w:r>
      <w:r w:rsidRPr="00FE0CF4" w:rsidR="00FE0CF4">
        <w:t xml:space="preserve"> spreadsheet or whether a </w:t>
      </w:r>
      <w:r w:rsidR="00AF559D">
        <w:t xml:space="preserve">pipeline </w:t>
      </w:r>
      <w:r w:rsidRPr="00FE0CF4" w:rsidR="00FE0CF4">
        <w:t xml:space="preserve">severed those links before filing its rate case.  </w:t>
      </w:r>
      <w:r w:rsidR="003358DB">
        <w:t>We</w:t>
      </w:r>
      <w:r w:rsidR="00AE3F6F">
        <w:t xml:space="preserve"> seek to </w:t>
      </w:r>
      <w:r w:rsidRPr="00FE0CF4" w:rsidR="00FE0CF4">
        <w:t xml:space="preserve">address this </w:t>
      </w:r>
      <w:r w:rsidR="00AE3F6F">
        <w:t>information gap</w:t>
      </w:r>
      <w:r w:rsidRPr="00FE0CF4" w:rsidR="00AE3F6F">
        <w:t xml:space="preserve"> </w:t>
      </w:r>
      <w:r w:rsidRPr="00FE0CF4" w:rsidR="00FE0CF4">
        <w:t xml:space="preserve">and require </w:t>
      </w:r>
      <w:r w:rsidR="00D05E96">
        <w:t xml:space="preserve">natural gas </w:t>
      </w:r>
      <w:r w:rsidRPr="00FE0CF4" w:rsidR="00FE0CF4">
        <w:t>pipeline</w:t>
      </w:r>
      <w:r w:rsidR="00D05E96">
        <w:t>s</w:t>
      </w:r>
      <w:r w:rsidRPr="00FE0CF4" w:rsidR="00FE0CF4">
        <w:t xml:space="preserve"> to file statements and schedules linking progressive calculations regardless of how the statements and schedules were created.  </w:t>
      </w:r>
      <w:r w:rsidR="00AE3F6F">
        <w:t>Furthermore, r</w:t>
      </w:r>
      <w:r w:rsidRPr="00FE0CF4" w:rsidR="00FE0CF4">
        <w:t>equiring spreadsheets with links and formulas intac</w:t>
      </w:r>
      <w:r w:rsidRPr="00677931" w:rsidR="00FE0CF4">
        <w:t xml:space="preserve">t </w:t>
      </w:r>
      <w:r w:rsidRPr="00C07B4B" w:rsidR="00FE0CF4">
        <w:t>will</w:t>
      </w:r>
      <w:r w:rsidRPr="00FE0CF4" w:rsidR="00FE0CF4">
        <w:t xml:space="preserve"> </w:t>
      </w:r>
      <w:r w:rsidR="006B17A6">
        <w:t>enable</w:t>
      </w:r>
      <w:r w:rsidRPr="00FE0CF4" w:rsidR="006B17A6">
        <w:t xml:space="preserve"> </w:t>
      </w:r>
      <w:r w:rsidRPr="00FE0CF4" w:rsidR="00FE0CF4">
        <w:t xml:space="preserve">rate case participants to manipulate the </w:t>
      </w:r>
      <w:r w:rsidRPr="00FE0CF4" w:rsidR="006B17A6">
        <w:t>cost-of-service</w:t>
      </w:r>
      <w:r w:rsidRPr="00FE0CF4" w:rsidR="00FE0CF4">
        <w:t xml:space="preserve"> components </w:t>
      </w:r>
      <w:r w:rsidR="00B368CA">
        <w:t xml:space="preserve">(including </w:t>
      </w:r>
      <w:r w:rsidRPr="00FE0CF4" w:rsidR="00FE0CF4">
        <w:t>billing determinants</w:t>
      </w:r>
      <w:r w:rsidR="00B368CA">
        <w:t>)</w:t>
      </w:r>
      <w:r w:rsidRPr="00FE0CF4" w:rsidR="00FE0CF4">
        <w:t xml:space="preserve"> to evaluate different rate outcomes without the need to create their own rate models.  </w:t>
      </w:r>
      <w:r w:rsidRPr="00677931" w:rsidR="00FE0CF4">
        <w:t xml:space="preserve">This </w:t>
      </w:r>
      <w:r w:rsidRPr="00C07B4B" w:rsidR="00FE0CF4">
        <w:t>will</w:t>
      </w:r>
      <w:r w:rsidRPr="00677931" w:rsidR="00FE0CF4">
        <w:t xml:space="preserve"> </w:t>
      </w:r>
      <w:r w:rsidRPr="00677931" w:rsidR="00FE0CF4">
        <w:lastRenderedPageBreak/>
        <w:t xml:space="preserve">expedite settlement negotiations and </w:t>
      </w:r>
      <w:r w:rsidRPr="00C07B4B" w:rsidR="00FE0CF4">
        <w:t>will</w:t>
      </w:r>
      <w:r w:rsidRPr="00677931" w:rsidR="00FE0CF4">
        <w:t xml:space="preserve"> allow all rate case participants to evaluate the filing on equal footing with the</w:t>
      </w:r>
      <w:r w:rsidR="000A6CE8">
        <w:t xml:space="preserve"> natural gas</w:t>
      </w:r>
      <w:r w:rsidRPr="00677931" w:rsidR="00FE0CF4">
        <w:t xml:space="preserve"> pipeline and without the need to hire expert</w:t>
      </w:r>
      <w:r w:rsidRPr="00677931" w:rsidR="00F06C01">
        <w:t>s</w:t>
      </w:r>
      <w:r w:rsidRPr="00677931" w:rsidR="00FE0CF4">
        <w:t xml:space="preserve"> or rely on other parties to </w:t>
      </w:r>
      <w:r w:rsidRPr="00677931" w:rsidR="005C31DD">
        <w:t>re</w:t>
      </w:r>
      <w:r w:rsidRPr="00B368CA" w:rsidR="005C31DD">
        <w:t xml:space="preserve">create </w:t>
      </w:r>
      <w:r w:rsidRPr="00677931" w:rsidR="00FE0CF4">
        <w:t>a pipeline’s rate model.</w:t>
      </w:r>
    </w:p>
    <w:p w:rsidR="00FE0CF4" w:rsidP="00AF4249" w:rsidRDefault="00C655B5" w14:paraId="0158389A" w14:textId="259CF1AA">
      <w:pPr>
        <w:pStyle w:val="FERCparanumber"/>
      </w:pPr>
      <w:r w:rsidRPr="00C07B4B">
        <w:t>Second</w:t>
      </w:r>
      <w:r w:rsidRPr="00C07B4B" w:rsidR="00FE0CF4">
        <w:t>,</w:t>
      </w:r>
      <w:r w:rsidRPr="00677931" w:rsidR="00FE0CF4">
        <w:t xml:space="preserve"> submitting all statements</w:t>
      </w:r>
      <w:r w:rsidR="0009427E">
        <w:t>, schedules and workpapers</w:t>
      </w:r>
      <w:r w:rsidRPr="00677931" w:rsidR="00FE0CF4">
        <w:t xml:space="preserve"> in native format </w:t>
      </w:r>
      <w:r w:rsidRPr="00C07B4B" w:rsidR="004C4E0C">
        <w:t>will</w:t>
      </w:r>
      <w:r w:rsidRPr="00677931" w:rsidR="004C4E0C">
        <w:t xml:space="preserve"> </w:t>
      </w:r>
      <w:r w:rsidRPr="00677931" w:rsidR="00FE0CF4">
        <w:t xml:space="preserve">provide for a timely and comprehensive analysis of a rate case filing.  If </w:t>
      </w:r>
      <w:r w:rsidR="000A6CE8">
        <w:t xml:space="preserve">natural gas </w:t>
      </w:r>
      <w:r w:rsidRPr="00677931" w:rsidR="00FE0CF4">
        <w:t xml:space="preserve">pipelines </w:t>
      </w:r>
      <w:r w:rsidR="00350A21">
        <w:t>are</w:t>
      </w:r>
      <w:r w:rsidRPr="00FE0CF4" w:rsidR="00FE0CF4">
        <w:t xml:space="preserve"> required to submit all statements</w:t>
      </w:r>
      <w:r w:rsidR="000A6CE8">
        <w:t>,</w:t>
      </w:r>
      <w:r w:rsidR="0009427E">
        <w:t xml:space="preserve"> </w:t>
      </w:r>
      <w:r w:rsidRPr="00FE0CF4" w:rsidR="00FE0CF4">
        <w:t xml:space="preserve">schedules </w:t>
      </w:r>
      <w:r w:rsidR="0009427E">
        <w:t xml:space="preserve">and workpapers </w:t>
      </w:r>
      <w:r w:rsidRPr="00FE0CF4" w:rsidR="00FE0CF4">
        <w:t xml:space="preserve">in native format with links and formulas intact in the initial filing, stakeholders </w:t>
      </w:r>
      <w:r w:rsidRPr="00C07B4B" w:rsidR="00FE0CF4">
        <w:t>w</w:t>
      </w:r>
      <w:r w:rsidRPr="00C07B4B" w:rsidR="00522F5A">
        <w:t>ill</w:t>
      </w:r>
      <w:r w:rsidRPr="00677931" w:rsidR="00FE0CF4">
        <w:t xml:space="preserve"> be provided with pertinent information to analyze the rates and determine if they are just and reasonable.  Parties </w:t>
      </w:r>
      <w:r w:rsidR="00350A21">
        <w:t>can</w:t>
      </w:r>
      <w:r w:rsidRPr="00677931" w:rsidR="00FE0CF4">
        <w:t xml:space="preserve"> begin examining the entire filing during the typical 12-day comment period and thus file </w:t>
      </w:r>
      <w:r w:rsidRPr="00677931" w:rsidR="0051082E">
        <w:t xml:space="preserve">more </w:t>
      </w:r>
      <w:r w:rsidRPr="00677931" w:rsidR="00FE0CF4">
        <w:t>informed protests.</w:t>
      </w:r>
      <w:r w:rsidR="00BE0AFD">
        <w:t xml:space="preserve">  </w:t>
      </w:r>
      <w:r w:rsidRPr="00677931" w:rsidR="00FE0CF4">
        <w:t xml:space="preserve">Furthermore, if </w:t>
      </w:r>
      <w:r w:rsidR="000A6CE8">
        <w:t xml:space="preserve">natural gas </w:t>
      </w:r>
      <w:r w:rsidRPr="00677931" w:rsidR="00FE0CF4">
        <w:t>pipeline</w:t>
      </w:r>
      <w:r w:rsidR="000A6CE8">
        <w:t>s</w:t>
      </w:r>
      <w:r w:rsidRPr="00677931" w:rsidR="00FE0CF4">
        <w:t xml:space="preserve"> </w:t>
      </w:r>
      <w:r w:rsidR="009A3BA3">
        <w:t>are</w:t>
      </w:r>
      <w:r w:rsidRPr="00677931" w:rsidR="00FE0CF4">
        <w:t xml:space="preserve"> required to file all statements and schedules with formulas and links intact, all rate case participants </w:t>
      </w:r>
      <w:r w:rsidRPr="00C07B4B" w:rsidR="00FE0CF4">
        <w:t>w</w:t>
      </w:r>
      <w:r w:rsidRPr="00C07B4B" w:rsidR="00522F5A">
        <w:t>ill</w:t>
      </w:r>
      <w:r w:rsidRPr="00677931" w:rsidR="00FE0CF4">
        <w:t xml:space="preserve"> be able to evaluate the filing and any settlement offers from the same baseline, as</w:t>
      </w:r>
      <w:r w:rsidRPr="00FE0CF4" w:rsidR="00FE0CF4">
        <w:t xml:space="preserve"> opposed to all parties creating their own rate models.  This </w:t>
      </w:r>
      <w:r w:rsidR="00522F5A">
        <w:t>will</w:t>
      </w:r>
      <w:r w:rsidRPr="00FE0CF4" w:rsidR="00522F5A">
        <w:t xml:space="preserve"> </w:t>
      </w:r>
      <w:r w:rsidRPr="00FE0CF4" w:rsidR="00FE0CF4">
        <w:t xml:space="preserve">streamline the rate case process, including settlement discussions, and avoid parties exchanging multiple rounds of discovery and testimony </w:t>
      </w:r>
      <w:r>
        <w:t>merely</w:t>
      </w:r>
      <w:r w:rsidRPr="00FE0CF4">
        <w:t xml:space="preserve"> </w:t>
      </w:r>
      <w:r w:rsidRPr="00FE0CF4" w:rsidR="00FE0CF4">
        <w:t xml:space="preserve">to understand the rate model’s underlying calculations.  </w:t>
      </w:r>
      <w:bookmarkStart w:name="_Hlk98834443" w:id="3"/>
      <w:r w:rsidRPr="00FE0CF4" w:rsidR="00FE0CF4">
        <w:t xml:space="preserve">The </w:t>
      </w:r>
      <w:r w:rsidR="00D05E96">
        <w:t xml:space="preserve">Commission acknowledged this in the </w:t>
      </w:r>
      <w:r w:rsidRPr="00FE0CF4" w:rsidR="00FE0CF4">
        <w:t>Order on Clarification of Order No. 582, stating</w:t>
      </w:r>
      <w:proofErr w:type="gramStart"/>
      <w:r w:rsidRPr="00FE0CF4" w:rsidR="00FE0CF4">
        <w:t>:</w:t>
      </w:r>
      <w:r w:rsidR="00BE0AFD">
        <w:t xml:space="preserve">  </w:t>
      </w:r>
      <w:r w:rsidRPr="00FE0CF4" w:rsidR="00FE0CF4">
        <w:t>“</w:t>
      </w:r>
      <w:proofErr w:type="gramEnd"/>
      <w:r w:rsidRPr="00FE0CF4" w:rsidR="00FE0CF4">
        <w:t>Requiring parties, including staff, to input all the figures from the rate case and spend weeks and rounds of discovery to recreate the pipeline</w:t>
      </w:r>
      <w:r w:rsidR="004C4E0C">
        <w:t>’</w:t>
      </w:r>
      <w:r w:rsidRPr="00FE0CF4" w:rsidR="00FE0CF4">
        <w:t xml:space="preserve">s computations is grossly inefficient and unduly burdensome.  Receiving the rate </w:t>
      </w:r>
      <w:r w:rsidRPr="00FE0CF4" w:rsidR="00FE0CF4">
        <w:lastRenderedPageBreak/>
        <w:t>case in a manipulable format is critical given the 12-day period for comment and protest.”</w:t>
      </w:r>
      <w:r w:rsidRPr="00FE0CF4" w:rsidR="00FE0CF4">
        <w:rPr>
          <w:b/>
          <w:vertAlign w:val="superscript"/>
        </w:rPr>
        <w:footnoteReference w:id="14"/>
      </w:r>
      <w:bookmarkEnd w:id="3"/>
    </w:p>
    <w:p w:rsidR="00F364AC" w:rsidP="00F364AC" w:rsidRDefault="0051082E" w14:paraId="6F4CF6F2" w14:textId="4C49EA04">
      <w:pPr>
        <w:pStyle w:val="FERCparanumber"/>
      </w:pPr>
      <w:r>
        <w:t>Third</w:t>
      </w:r>
      <w:r w:rsidRPr="00FE0CF4" w:rsidR="00FE0CF4">
        <w:t xml:space="preserve">, the current regulations are </w:t>
      </w:r>
      <w:r>
        <w:t>outdated</w:t>
      </w:r>
      <w:r w:rsidRPr="00FE0CF4" w:rsidR="00FE0CF4">
        <w:t xml:space="preserve">.  Order No. 582 was issued in 1995.  Since then, information technology has significantly improved.  Section 4 rate cases are now </w:t>
      </w:r>
      <w:r w:rsidR="006729E6">
        <w:t xml:space="preserve">generally </w:t>
      </w:r>
      <w:r w:rsidRPr="00FE0CF4" w:rsidR="00FE0CF4">
        <w:t xml:space="preserve">developed using </w:t>
      </w:r>
      <w:r w:rsidR="0066550D">
        <w:t xml:space="preserve">Microsoft </w:t>
      </w:r>
      <w:r w:rsidRPr="00FE0CF4" w:rsidR="00FE0CF4">
        <w:t>Excel and submitted electronically.  The concerns raised in the comments submitted in the rulemaking underlying Order No. 582 no longer exist (e.g.</w:t>
      </w:r>
      <w:r w:rsidR="00BE0A4D">
        <w:t>,</w:t>
      </w:r>
      <w:r w:rsidRPr="00FE0CF4" w:rsidR="00FE0CF4">
        <w:t xml:space="preserve"> outdated software programs, or submitting numerous diskettes).  </w:t>
      </w:r>
      <w:r w:rsidR="00B3421F">
        <w:t xml:space="preserve">With this </w:t>
      </w:r>
      <w:r w:rsidRPr="00FE0CF4" w:rsidR="00FE0CF4">
        <w:t>rulemaking</w:t>
      </w:r>
      <w:r w:rsidR="006729E6">
        <w:t>,</w:t>
      </w:r>
      <w:r w:rsidR="00B3421F">
        <w:t xml:space="preserve"> we seek</w:t>
      </w:r>
      <w:r w:rsidRPr="00FE0CF4" w:rsidR="00FE0CF4">
        <w:t xml:space="preserve"> to update the filing requirements to reflect current information technology capabilities.</w:t>
      </w:r>
      <w:r w:rsidR="00CD415E">
        <w:t xml:space="preserve">  </w:t>
      </w:r>
      <w:r w:rsidR="005B2B12">
        <w:t>We</w:t>
      </w:r>
      <w:r w:rsidR="008316B7">
        <w:t xml:space="preserve"> </w:t>
      </w:r>
      <w:r w:rsidR="00FE0CF4">
        <w:t xml:space="preserve">recognize that a </w:t>
      </w:r>
      <w:r w:rsidR="006312AA">
        <w:t>f</w:t>
      </w:r>
      <w:r w:rsidR="00FE0CF4">
        <w:t xml:space="preserve">inal </w:t>
      </w:r>
      <w:r w:rsidR="006312AA">
        <w:t>r</w:t>
      </w:r>
      <w:r w:rsidR="00FE0CF4">
        <w:t>ule adopting the</w:t>
      </w:r>
      <w:r w:rsidR="006312AA">
        <w:t>se</w:t>
      </w:r>
      <w:r w:rsidR="00FE0CF4">
        <w:t xml:space="preserve"> proposals could increase the burden on natural gas pipeline</w:t>
      </w:r>
      <w:r w:rsidR="00E9049F">
        <w:t>s</w:t>
      </w:r>
      <w:r w:rsidR="00FE0CF4">
        <w:t xml:space="preserve"> associated with submitting section 4 rate case filings.  Currently, natural gas pipeline</w:t>
      </w:r>
      <w:r w:rsidR="00E9049F">
        <w:t>s</w:t>
      </w:r>
      <w:r w:rsidR="00FE0CF4">
        <w:t xml:space="preserve"> are only required to submit Statements I, J and the state income taxes portion of Schedule H-3 in native format with formulas and links intact.  One specific burden mentioned in the Order on Clarification of Order No. 582</w:t>
      </w:r>
      <w:r w:rsidR="005C31DD">
        <w:t xml:space="preserve"> </w:t>
      </w:r>
      <w:r w:rsidR="00FE0CF4">
        <w:t>is the need to create links in files where they do not naturally occur when the spreadsheet is developed.  As stated above, the Commission</w:t>
      </w:r>
      <w:r w:rsidR="005C31DD">
        <w:t xml:space="preserve"> </w:t>
      </w:r>
      <w:r w:rsidR="00FE0CF4">
        <w:t xml:space="preserve">cannot verify whether underlying links exist or not but to the extent </w:t>
      </w:r>
      <w:r w:rsidR="00846104">
        <w:t xml:space="preserve">natural gas </w:t>
      </w:r>
      <w:r w:rsidR="00FE0CF4">
        <w:t>pipeline</w:t>
      </w:r>
      <w:r w:rsidR="00846104">
        <w:t>s</w:t>
      </w:r>
      <w:r w:rsidR="00FE0CF4">
        <w:t xml:space="preserve"> w</w:t>
      </w:r>
      <w:r w:rsidR="00522F5A">
        <w:t>ill</w:t>
      </w:r>
      <w:r w:rsidR="00FE0CF4">
        <w:t xml:space="preserve"> need to create links among multiple spreadsheets that did not naturally occur when the spreadsheets were generated, their filing burden w</w:t>
      </w:r>
      <w:r w:rsidR="00522F5A">
        <w:t>ill</w:t>
      </w:r>
      <w:r w:rsidR="00FE0CF4">
        <w:t xml:space="preserve"> increase. </w:t>
      </w:r>
      <w:r w:rsidRPr="00D5488A" w:rsidR="00FE0CF4">
        <w:t xml:space="preserve"> </w:t>
      </w:r>
      <w:r w:rsidR="00FE0CF4">
        <w:t xml:space="preserve">However, </w:t>
      </w:r>
      <w:r w:rsidR="00B77C8D">
        <w:t>we</w:t>
      </w:r>
      <w:r w:rsidR="00FE0CF4">
        <w:t xml:space="preserve"> </w:t>
      </w:r>
      <w:r w:rsidR="005B47C5">
        <w:t>do</w:t>
      </w:r>
      <w:r w:rsidR="00FE0CF4">
        <w:t xml:space="preserve"> not </w:t>
      </w:r>
      <w:r w:rsidR="005B47C5">
        <w:t>anticipate that</w:t>
      </w:r>
      <w:r w:rsidR="00FE0CF4">
        <w:t xml:space="preserve"> this requirement will be excessively burdensome on </w:t>
      </w:r>
      <w:r w:rsidR="00846104">
        <w:t xml:space="preserve">natural gas </w:t>
      </w:r>
      <w:r w:rsidR="00FE0CF4">
        <w:t>pipeline</w:t>
      </w:r>
      <w:r w:rsidR="003B7C85">
        <w:t>s</w:t>
      </w:r>
      <w:r w:rsidR="00FE0CF4">
        <w:t>, as any</w:t>
      </w:r>
      <w:r w:rsidR="003C41CC">
        <w:t xml:space="preserve"> </w:t>
      </w:r>
      <w:r w:rsidR="0086064D">
        <w:t>entity</w:t>
      </w:r>
      <w:r w:rsidR="00FE0CF4">
        <w:t xml:space="preserve"> </w:t>
      </w:r>
      <w:r w:rsidR="006729E6">
        <w:t xml:space="preserve">that </w:t>
      </w:r>
      <w:r w:rsidR="00FE0CF4">
        <w:lastRenderedPageBreak/>
        <w:t xml:space="preserve">wants to calculate rates, including the pipeline, needs a linked rate model, and </w:t>
      </w:r>
      <w:r w:rsidR="00826BED">
        <w:t>must</w:t>
      </w:r>
      <w:r w:rsidR="00FE0CF4">
        <w:t xml:space="preserve"> create one if it is not provided in the original rate case filing.</w:t>
      </w:r>
    </w:p>
    <w:p w:rsidRPr="00B61165" w:rsidR="00AF4249" w:rsidP="00F364AC" w:rsidRDefault="00AF4249" w14:paraId="53D5556A" w14:textId="773A6894">
      <w:pPr>
        <w:pStyle w:val="Heading1"/>
      </w:pPr>
      <w:r w:rsidRPr="00F364AC">
        <w:t>Information Collection Statement</w:t>
      </w:r>
    </w:p>
    <w:p w:rsidRPr="00865AEB" w:rsidR="00865AEB" w:rsidP="003F5DFB" w:rsidRDefault="00865AEB" w14:paraId="0EB1EB72" w14:textId="77777777">
      <w:pPr>
        <w:pStyle w:val="FERCparanumber"/>
      </w:pPr>
      <w:bookmarkStart w:name="ICS" w:id="4"/>
      <w:bookmarkEnd w:id="4"/>
      <w:r w:rsidRPr="00865AEB">
        <w:t>The information collection requirements contained in this NOPR are subject to review by the Office of Management and Budget (OMB) under section 3507(d) of the Paperwork Reduction Act of 1995.</w:t>
      </w:r>
      <w:r w:rsidRPr="00124E14">
        <w:rPr>
          <w:b/>
          <w:vertAlign w:val="superscript"/>
        </w:rPr>
        <w:footnoteReference w:id="15"/>
      </w:r>
      <w:r w:rsidRPr="00865AEB">
        <w:t xml:space="preserve">  OMB’s regulations require approval of certain information collection requirements imposed by agency rules.</w:t>
      </w:r>
      <w:r w:rsidRPr="003F5DFB">
        <w:rPr>
          <w:b/>
          <w:vertAlign w:val="superscript"/>
        </w:rPr>
        <w:footnoteReference w:id="16"/>
      </w:r>
      <w:r w:rsidRPr="009621E6">
        <w:rPr>
          <w:b/>
        </w:rPr>
        <w:t xml:space="preserve"> </w:t>
      </w:r>
      <w:r w:rsidRPr="005C31DD">
        <w:t xml:space="preserve"> </w:t>
      </w:r>
      <w:r w:rsidRPr="00865AEB">
        <w:t>Upon approval of a collection of information, OMB will assign an OMB control number and expiration date.  Respondents subject to the filing requirements of this rule will not be penalized for failing to respond to these collections of information unless the collections of information display a valid OMB control number.</w:t>
      </w:r>
    </w:p>
    <w:p w:rsidR="00713C22" w:rsidP="00124E14" w:rsidRDefault="00865AEB" w14:paraId="301D8F87" w14:textId="192BD8BD">
      <w:pPr>
        <w:pStyle w:val="FERCparanumber"/>
      </w:pPr>
      <w:r>
        <w:t xml:space="preserve">This NOPR will </w:t>
      </w:r>
      <w:r w:rsidR="00BC34AE">
        <w:t>modify the current</w:t>
      </w:r>
      <w:r w:rsidR="009C15E0">
        <w:t>ly</w:t>
      </w:r>
      <w:r w:rsidR="00BC34AE">
        <w:t xml:space="preserve"> approved information collection </w:t>
      </w:r>
      <w:r w:rsidR="00205D9F">
        <w:t xml:space="preserve">associated with </w:t>
      </w:r>
      <w:r w:rsidR="00BC34AE">
        <w:t>FERC-545</w:t>
      </w:r>
      <w:r w:rsidR="00496DBF">
        <w:t xml:space="preserve">, </w:t>
      </w:r>
      <w:r w:rsidRPr="00496DBF" w:rsidR="00496DBF">
        <w:t xml:space="preserve">Gas Pipeline Rates: Rate Change (Non-Formal) (OMB Control </w:t>
      </w:r>
      <w:r w:rsidR="00BE0AFD">
        <w:t xml:space="preserve">          </w:t>
      </w:r>
      <w:r w:rsidRPr="00496DBF" w:rsidR="00496DBF">
        <w:t>No. 1902-0154) (FERC-545) </w:t>
      </w:r>
      <w:r w:rsidR="00496DBF">
        <w:t>by updating</w:t>
      </w:r>
      <w:r w:rsidR="00BC34AE">
        <w:t xml:space="preserve"> the requirements for submitting a rate case under section 4 of the NGA. </w:t>
      </w:r>
    </w:p>
    <w:p w:rsidR="00713C22" w:rsidP="00124E14" w:rsidRDefault="00865AEB" w14:paraId="605296AF" w14:textId="4226816F">
      <w:pPr>
        <w:pStyle w:val="FERCparanumber"/>
      </w:pPr>
      <w:r>
        <w:t xml:space="preserve">Interested persons may obtain information on the reporting requirements by contacting Ellen Brown, Office of the Executive Director, Federal Energy Regulatory Commission, 888 First Street, NE, Washington, DC </w:t>
      </w:r>
      <w:r w:rsidR="00BE0AFD">
        <w:t xml:space="preserve"> </w:t>
      </w:r>
      <w:r>
        <w:t>20426 via email (</w:t>
      </w:r>
      <w:hyperlink w:history="1" r:id="rId21">
        <w:r>
          <w:rPr>
            <w:rStyle w:val="Hyperlink"/>
          </w:rPr>
          <w:t>DataClearance@ferc.gov</w:t>
        </w:r>
      </w:hyperlink>
      <w:r>
        <w:t>) or telephone ((202) 502-8663).</w:t>
      </w:r>
    </w:p>
    <w:p w:rsidR="00713C22" w:rsidP="00124E14" w:rsidRDefault="00865AEB" w14:paraId="7E074894" w14:textId="4808935F">
      <w:pPr>
        <w:pStyle w:val="FERCparanumber"/>
      </w:pPr>
      <w:r>
        <w:lastRenderedPageBreak/>
        <w:t>The Commission solicits comments on the Commission’s need for this information, whether the information will have practical utility, the accuracy of the burden estimates, ways to enhance the quality, utility, and clarity of the information to be collected or retained, and any suggested methods for minimizing respondents’ burden, including the use of automated information techniques.</w:t>
      </w:r>
    </w:p>
    <w:p w:rsidR="00713C22" w:rsidP="00124E14" w:rsidRDefault="00865AEB" w14:paraId="529682BD" w14:textId="60066282">
      <w:pPr>
        <w:pStyle w:val="FERCparanumber"/>
      </w:pPr>
      <w:r>
        <w:t>Please send comments concerning the collection of information and the associated burden estimates to:</w:t>
      </w:r>
      <w:r w:rsidR="00BE0AFD">
        <w:t xml:space="preserve">  </w:t>
      </w:r>
      <w:r>
        <w:t xml:space="preserve">Office of Information and Regulatory Affairs, Office of Management and Budget, 725 17th Street, NW, Washington, DC 20503 [Attention:  Desk Officer for the Federal Energy Regulatory Commission].  Due to security concerns, comments should be sent electronically to the following e-mail address: oira_submission@omb.eop.gov. </w:t>
      </w:r>
      <w:r w:rsidR="005362AB">
        <w:t xml:space="preserve"> </w:t>
      </w:r>
      <w:r>
        <w:t xml:space="preserve">Comments submitted to OMB should refer to OMB Control </w:t>
      </w:r>
      <w:r w:rsidR="005362AB">
        <w:t>No</w:t>
      </w:r>
      <w:r>
        <w:t>.</w:t>
      </w:r>
      <w:r w:rsidR="005362AB">
        <w:t xml:space="preserve"> 1902-0154.</w:t>
      </w:r>
    </w:p>
    <w:p w:rsidR="00713C22" w:rsidP="00124E14" w:rsidRDefault="00865AEB" w14:paraId="06031AFA" w14:textId="1CEAED82">
      <w:pPr>
        <w:pStyle w:val="FERCparanumber"/>
      </w:pPr>
      <w:r>
        <w:t xml:space="preserve">Please submit a copy of your comments on the information collection to the Commission via the </w:t>
      </w:r>
      <w:proofErr w:type="spellStart"/>
      <w:r>
        <w:t>eFiling</w:t>
      </w:r>
      <w:proofErr w:type="spellEnd"/>
      <w:r>
        <w:t xml:space="preserve"> link on the Commission</w:t>
      </w:r>
      <w:r w:rsidR="00F65121">
        <w:t>’</w:t>
      </w:r>
      <w:r>
        <w:t xml:space="preserve">s website at </w:t>
      </w:r>
      <w:hyperlink w:history="1" r:id="rId22">
        <w:r>
          <w:rPr>
            <w:rStyle w:val="Hyperlink"/>
          </w:rPr>
          <w:t>http://www.ferc.gov</w:t>
        </w:r>
      </w:hyperlink>
      <w:r w:rsidRPr="00F55810">
        <w:rPr>
          <w:i/>
          <w:iCs/>
        </w:rPr>
        <w:t>.</w:t>
      </w:r>
      <w:r>
        <w:t xml:space="preserve">  If you are not able to file comments electronically, please send a copy of your comments to: Federal Energy Regulatory Commission, Secretary of the Commission, 888 First Street NE, Washington, DC </w:t>
      </w:r>
      <w:r w:rsidR="00BE0AFD">
        <w:t xml:space="preserve"> </w:t>
      </w:r>
      <w:r>
        <w:t>20426.  Comments on the information collection that are sent to FERC should refer to RM21-18-000.</w:t>
      </w:r>
    </w:p>
    <w:p w:rsidR="00713C22" w:rsidP="00124E14" w:rsidRDefault="00865AEB" w14:paraId="383E33B3" w14:textId="49D2FF7C">
      <w:pPr>
        <w:pStyle w:val="FERCparanumber"/>
      </w:pPr>
      <w:r w:rsidRPr="00F55810">
        <w:rPr>
          <w:u w:val="single"/>
        </w:rPr>
        <w:t>Title</w:t>
      </w:r>
      <w:r>
        <w:t>:</w:t>
      </w:r>
      <w:r w:rsidR="00BE0AFD">
        <w:t xml:space="preserve">  </w:t>
      </w:r>
      <w:r w:rsidR="002258EE">
        <w:t>Gas Pipeline Rates: Rate Change (Non-Formal)</w:t>
      </w:r>
    </w:p>
    <w:p w:rsidR="00713C22" w:rsidP="00124E14" w:rsidRDefault="00865AEB" w14:paraId="1EFD2396" w14:textId="584129D8">
      <w:pPr>
        <w:pStyle w:val="FERCparanumber"/>
      </w:pPr>
      <w:r w:rsidRPr="00F55810">
        <w:rPr>
          <w:u w:val="single"/>
        </w:rPr>
        <w:t>Action</w:t>
      </w:r>
      <w:r>
        <w:t>:</w:t>
      </w:r>
      <w:r w:rsidR="00BE0AFD">
        <w:t xml:space="preserve">  </w:t>
      </w:r>
      <w:r>
        <w:t xml:space="preserve">Proposed </w:t>
      </w:r>
      <w:r w:rsidR="002258EE">
        <w:t xml:space="preserve">modification </w:t>
      </w:r>
      <w:r>
        <w:t>of collection of information in accordance with RM21-</w:t>
      </w:r>
      <w:r w:rsidR="002258EE">
        <w:t>18</w:t>
      </w:r>
      <w:r>
        <w:t>-000.</w:t>
      </w:r>
    </w:p>
    <w:p w:rsidR="00713C22" w:rsidP="00124E14" w:rsidRDefault="00865AEB" w14:paraId="23842BAA" w14:textId="47D6198C">
      <w:pPr>
        <w:pStyle w:val="FERCparanumber"/>
      </w:pPr>
      <w:r w:rsidRPr="00F55810">
        <w:rPr>
          <w:u w:val="single"/>
        </w:rPr>
        <w:t>OMB Control N</w:t>
      </w:r>
      <w:r w:rsidR="005362AB">
        <w:rPr>
          <w:u w:val="single"/>
        </w:rPr>
        <w:t>o</w:t>
      </w:r>
      <w:r w:rsidRPr="00F55810">
        <w:rPr>
          <w:u w:val="single"/>
        </w:rPr>
        <w:t>.</w:t>
      </w:r>
      <w:r>
        <w:t>:</w:t>
      </w:r>
      <w:r w:rsidR="00BE0AFD">
        <w:t xml:space="preserve">  </w:t>
      </w:r>
      <w:r w:rsidRPr="002258EE" w:rsidR="002258EE">
        <w:t>1902-0154</w:t>
      </w:r>
    </w:p>
    <w:p w:rsidR="00713C22" w:rsidP="00124E14" w:rsidRDefault="00865AEB" w14:paraId="4CBFEE11" w14:textId="08651897">
      <w:pPr>
        <w:pStyle w:val="FERCparanumber"/>
      </w:pPr>
      <w:r w:rsidRPr="00F55810">
        <w:rPr>
          <w:u w:val="single"/>
        </w:rPr>
        <w:lastRenderedPageBreak/>
        <w:t>Respondents for this Rulemaking</w:t>
      </w:r>
      <w:r>
        <w:t>:</w:t>
      </w:r>
      <w:r w:rsidR="00BE0AFD">
        <w:t xml:space="preserve">  </w:t>
      </w:r>
      <w:r w:rsidR="00112368">
        <w:t xml:space="preserve">Gas </w:t>
      </w:r>
      <w:r w:rsidR="00684740">
        <w:t>p</w:t>
      </w:r>
      <w:r w:rsidR="00112368">
        <w:t>ipelines fil</w:t>
      </w:r>
      <w:r w:rsidR="00D6284A">
        <w:t>ing</w:t>
      </w:r>
      <w:r w:rsidR="00112368">
        <w:t xml:space="preserve"> a</w:t>
      </w:r>
      <w:r w:rsidR="00045784">
        <w:t>n NGA</w:t>
      </w:r>
      <w:r w:rsidR="00112368">
        <w:t xml:space="preserve"> section 4 rate c</w:t>
      </w:r>
      <w:r w:rsidR="008316B7">
        <w:t>ase</w:t>
      </w:r>
      <w:r w:rsidR="00112368">
        <w:t>.</w:t>
      </w:r>
    </w:p>
    <w:p w:rsidR="00713C22" w:rsidP="00124E14" w:rsidRDefault="00865AEB" w14:paraId="667EE0AF" w14:textId="1670C055">
      <w:pPr>
        <w:pStyle w:val="FERCparanumber"/>
      </w:pPr>
      <w:r w:rsidRPr="00F55810">
        <w:rPr>
          <w:u w:val="single"/>
        </w:rPr>
        <w:t>Frequency of Information Collection</w:t>
      </w:r>
      <w:r>
        <w:t>:</w:t>
      </w:r>
      <w:r w:rsidR="00BE0AFD">
        <w:t xml:space="preserve">  </w:t>
      </w:r>
      <w:r w:rsidR="00112368">
        <w:t>As needed for section 4 rate cases</w:t>
      </w:r>
      <w:r w:rsidR="00CA61F8">
        <w:t>.</w:t>
      </w:r>
    </w:p>
    <w:p w:rsidR="00FA07C1" w:rsidP="00124E14" w:rsidRDefault="00865AEB" w14:paraId="6DFC572D" w14:textId="62D3DA73">
      <w:pPr>
        <w:pStyle w:val="FERCparanumber"/>
      </w:pPr>
      <w:r w:rsidRPr="00F55810">
        <w:rPr>
          <w:u w:val="single"/>
        </w:rPr>
        <w:t>Necessity of Information</w:t>
      </w:r>
      <w:r>
        <w:t xml:space="preserve">: </w:t>
      </w:r>
      <w:r w:rsidR="00777FA9">
        <w:t xml:space="preserve">The </w:t>
      </w:r>
      <w:r w:rsidR="00040D89">
        <w:t xml:space="preserve">proposed rule </w:t>
      </w:r>
      <w:r w:rsidR="00522F5A">
        <w:t>will</w:t>
      </w:r>
      <w:r w:rsidR="00040D89">
        <w:t xml:space="preserve"> require all statements</w:t>
      </w:r>
      <w:r w:rsidR="006522B7">
        <w:t>, s</w:t>
      </w:r>
      <w:r w:rsidR="00040D89">
        <w:t xml:space="preserve">chedules </w:t>
      </w:r>
      <w:r w:rsidR="006522B7">
        <w:t xml:space="preserve">and workpapers </w:t>
      </w:r>
      <w:r w:rsidR="00040D89">
        <w:t xml:space="preserve">submitted </w:t>
      </w:r>
      <w:r w:rsidR="00777FA9">
        <w:t>during a section 4 rate case</w:t>
      </w:r>
      <w:r w:rsidR="00040D89">
        <w:t xml:space="preserve"> to be submitted in native format</w:t>
      </w:r>
      <w:r w:rsidR="00B447CD">
        <w:t xml:space="preserve"> with all links and formulas intact</w:t>
      </w:r>
      <w:r w:rsidR="00777FA9">
        <w:t xml:space="preserve">. </w:t>
      </w:r>
      <w:r w:rsidR="00040D89">
        <w:t xml:space="preserve"> The modification to this collection is intended to reduce </w:t>
      </w:r>
      <w:r w:rsidR="00B447CD">
        <w:t xml:space="preserve">the overall burden for all parties involved in a section 4 rate case.  </w:t>
      </w:r>
    </w:p>
    <w:p w:rsidR="00FA07C1" w:rsidP="00124E14" w:rsidRDefault="00865AEB" w14:paraId="32284EFE" w14:textId="7157FAA3">
      <w:pPr>
        <w:pStyle w:val="FERCparanumber"/>
      </w:pPr>
      <w:r w:rsidRPr="00F55810">
        <w:rPr>
          <w:u w:val="single"/>
        </w:rPr>
        <w:t>Internal Review</w:t>
      </w:r>
      <w:r>
        <w:t>:  The Commission has reviewed the changes and has determined that such changes are necessary.  These requirements conform to the Commission’s need for efficient information collection, communication, and management within the energy industry.  The Commission has specific, objective support for the burden estimates associated with the information collection requirements.</w:t>
      </w:r>
    </w:p>
    <w:p w:rsidR="00865AEB" w:rsidP="00124E14" w:rsidRDefault="00865AEB" w14:paraId="468955DF" w14:textId="585BFC15">
      <w:pPr>
        <w:pStyle w:val="FERCparanumber"/>
      </w:pPr>
      <w:r>
        <w:t>The Commission estimates that the NOPR w</w:t>
      </w:r>
      <w:r w:rsidR="00677931">
        <w:t>ill</w:t>
      </w:r>
      <w:r>
        <w:t xml:space="preserve"> affect the burden</w:t>
      </w:r>
      <w:r>
        <w:rPr>
          <w:b/>
          <w:vertAlign w:val="superscript"/>
        </w:rPr>
        <w:footnoteReference w:id="17"/>
      </w:r>
      <w:r>
        <w:t xml:space="preserve"> and cost</w:t>
      </w:r>
      <w:r>
        <w:rPr>
          <w:b/>
          <w:vertAlign w:val="superscript"/>
        </w:rPr>
        <w:footnoteReference w:id="18"/>
      </w:r>
      <w:r>
        <w:t xml:space="preserve"> as follows:</w:t>
      </w:r>
    </w:p>
    <w:tbl>
      <w:tblPr>
        <w:tblStyle w:val="TableGrid1"/>
        <w:tblW w:w="0" w:type="auto"/>
        <w:tblInd w:w="0" w:type="dxa"/>
        <w:tblLayout w:type="fixed"/>
        <w:tblLook w:val="04A0" w:firstRow="1" w:lastRow="0" w:firstColumn="1" w:lastColumn="0" w:noHBand="0" w:noVBand="1"/>
      </w:tblPr>
      <w:tblGrid>
        <w:gridCol w:w="1795"/>
        <w:gridCol w:w="1530"/>
        <w:gridCol w:w="1440"/>
        <w:gridCol w:w="1440"/>
        <w:gridCol w:w="1260"/>
        <w:gridCol w:w="1885"/>
      </w:tblGrid>
      <w:tr w:rsidR="00865AEB" w:rsidTr="009621E6" w14:paraId="0AE51FA5" w14:textId="77777777">
        <w:trPr>
          <w:trHeight w:val="143"/>
        </w:trPr>
        <w:tc>
          <w:tcPr>
            <w:tcW w:w="9350"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865AEB" w:rsidRDefault="00865AEB" w14:paraId="1DB02E18" w14:textId="123F2826">
            <w:pPr>
              <w:jc w:val="center"/>
              <w:rPr>
                <w:b/>
                <w:bCs/>
              </w:rPr>
            </w:pPr>
            <w:r>
              <w:rPr>
                <w:b/>
                <w:bCs/>
              </w:rPr>
              <w:lastRenderedPageBreak/>
              <w:t>Proposed</w:t>
            </w:r>
            <w:r w:rsidR="00AB2C6D">
              <w:rPr>
                <w:b/>
                <w:bCs/>
              </w:rPr>
              <w:t xml:space="preserve"> Modifications to FERC 545 from</w:t>
            </w:r>
            <w:r>
              <w:rPr>
                <w:b/>
                <w:bCs/>
              </w:rPr>
              <w:t xml:space="preserve"> NOPR in Docket No. RM21-</w:t>
            </w:r>
            <w:r w:rsidR="002859B6">
              <w:rPr>
                <w:b/>
                <w:bCs/>
              </w:rPr>
              <w:t>18</w:t>
            </w:r>
            <w:r>
              <w:rPr>
                <w:b/>
                <w:bCs/>
              </w:rPr>
              <w:t>-000</w:t>
            </w:r>
          </w:p>
        </w:tc>
      </w:tr>
      <w:tr w:rsidR="00865AEB" w:rsidTr="009621E6" w14:paraId="05F74C4A" w14:textId="77777777">
        <w:trPr>
          <w:trHeight w:val="197"/>
        </w:trPr>
        <w:tc>
          <w:tcPr>
            <w:tcW w:w="179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865AEB" w:rsidRDefault="00865AEB" w14:paraId="39EFDC29" w14:textId="77777777">
            <w:pPr>
              <w:widowControl/>
              <w:jc w:val="center"/>
              <w:rPr>
                <w:rFonts w:eastAsia="Calibri"/>
                <w:b/>
                <w:bCs/>
                <w:sz w:val="24"/>
              </w:rPr>
            </w:pPr>
            <w:r>
              <w:rPr>
                <w:rFonts w:eastAsia="Calibri"/>
                <w:b/>
                <w:bCs/>
                <w:sz w:val="24"/>
              </w:rPr>
              <w:t>A.</w:t>
            </w:r>
          </w:p>
          <w:p w:rsidR="00865AEB" w:rsidRDefault="00865AEB" w14:paraId="41DDD1B5" w14:textId="77777777">
            <w:pPr>
              <w:widowControl/>
              <w:jc w:val="center"/>
              <w:rPr>
                <w:rFonts w:eastAsia="Calibri"/>
                <w:b/>
                <w:bCs/>
                <w:sz w:val="24"/>
              </w:rPr>
            </w:pPr>
            <w:r>
              <w:rPr>
                <w:rFonts w:eastAsia="Calibri"/>
                <w:b/>
                <w:bCs/>
                <w:sz w:val="24"/>
              </w:rPr>
              <w:t>Area of Modification</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865AEB" w:rsidRDefault="00865AEB" w14:paraId="75C2EB29" w14:textId="77777777">
            <w:pPr>
              <w:widowControl/>
              <w:jc w:val="center"/>
              <w:rPr>
                <w:rFonts w:eastAsia="Calibri"/>
                <w:b/>
                <w:bCs/>
                <w:sz w:val="24"/>
              </w:rPr>
            </w:pPr>
            <w:r>
              <w:rPr>
                <w:rFonts w:eastAsia="Calibri"/>
                <w:b/>
                <w:bCs/>
                <w:sz w:val="24"/>
              </w:rPr>
              <w:t>B.</w:t>
            </w:r>
          </w:p>
          <w:p w:rsidR="00865AEB" w:rsidRDefault="00865AEB" w14:paraId="51C47F00" w14:textId="77777777">
            <w:pPr>
              <w:widowControl/>
              <w:jc w:val="center"/>
              <w:rPr>
                <w:rFonts w:eastAsia="Calibri"/>
                <w:b/>
                <w:bCs/>
                <w:sz w:val="24"/>
              </w:rPr>
            </w:pPr>
            <w:r>
              <w:rPr>
                <w:rFonts w:eastAsia="Calibri"/>
                <w:b/>
                <w:bCs/>
                <w:sz w:val="24"/>
              </w:rPr>
              <w:t>Number of Respondents</w:t>
            </w:r>
          </w:p>
          <w:p w:rsidR="00865AEB" w:rsidRDefault="00865AEB" w14:paraId="7A490D9F" w14:textId="77777777">
            <w:pPr>
              <w:widowControl/>
              <w:jc w:val="center"/>
              <w:rPr>
                <w:rFonts w:eastAsia="Calibri"/>
                <w:b/>
                <w:bCs/>
                <w:sz w:val="24"/>
              </w:rPr>
            </w:pP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865AEB" w:rsidRDefault="00865AEB" w14:paraId="5F9C78CF" w14:textId="77777777">
            <w:pPr>
              <w:widowControl/>
              <w:jc w:val="center"/>
              <w:rPr>
                <w:rFonts w:eastAsia="Calibri"/>
                <w:b/>
                <w:bCs/>
                <w:sz w:val="24"/>
              </w:rPr>
            </w:pPr>
            <w:r>
              <w:rPr>
                <w:rFonts w:eastAsia="Calibri"/>
                <w:b/>
                <w:bCs/>
                <w:sz w:val="24"/>
              </w:rPr>
              <w:t>C.</w:t>
            </w:r>
          </w:p>
          <w:p w:rsidR="00865AEB" w:rsidRDefault="00865AEB" w14:paraId="10D37458" w14:textId="77777777">
            <w:pPr>
              <w:widowControl/>
              <w:jc w:val="center"/>
              <w:rPr>
                <w:rFonts w:eastAsia="Calibri"/>
                <w:b/>
                <w:bCs/>
                <w:sz w:val="24"/>
              </w:rPr>
            </w:pPr>
            <w:r>
              <w:rPr>
                <w:rFonts w:eastAsia="Calibri"/>
                <w:b/>
                <w:bCs/>
                <w:sz w:val="24"/>
              </w:rPr>
              <w:t>Annual Estimated Number of Responses per Respondent</w:t>
            </w:r>
          </w:p>
          <w:p w:rsidR="00865AEB" w:rsidRDefault="00865AEB" w14:paraId="1B2310F7" w14:textId="77777777">
            <w:pPr>
              <w:widowControl/>
              <w:jc w:val="center"/>
              <w:rPr>
                <w:rFonts w:eastAsia="Calibri"/>
                <w:b/>
                <w:bCs/>
                <w:sz w:val="24"/>
              </w:rPr>
            </w:pP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865AEB" w:rsidRDefault="00865AEB" w14:paraId="2B4E81AA" w14:textId="77777777">
            <w:pPr>
              <w:widowControl/>
              <w:jc w:val="center"/>
              <w:rPr>
                <w:rFonts w:eastAsia="Calibri"/>
                <w:b/>
                <w:bCs/>
                <w:sz w:val="24"/>
              </w:rPr>
            </w:pPr>
            <w:r>
              <w:rPr>
                <w:rFonts w:eastAsia="Calibri"/>
                <w:b/>
                <w:bCs/>
                <w:sz w:val="24"/>
              </w:rPr>
              <w:t>D.</w:t>
            </w:r>
          </w:p>
          <w:p w:rsidR="00865AEB" w:rsidRDefault="00865AEB" w14:paraId="7DD1177E" w14:textId="77777777">
            <w:pPr>
              <w:widowControl/>
              <w:jc w:val="center"/>
              <w:rPr>
                <w:rFonts w:eastAsia="Calibri"/>
                <w:b/>
                <w:bCs/>
                <w:sz w:val="24"/>
              </w:rPr>
            </w:pPr>
            <w:r>
              <w:rPr>
                <w:rFonts w:eastAsia="Calibri"/>
                <w:b/>
                <w:bCs/>
                <w:sz w:val="24"/>
              </w:rPr>
              <w:t>Annual Estimated Number of Responses</w:t>
            </w:r>
          </w:p>
          <w:p w:rsidR="00865AEB" w:rsidRDefault="00865AEB" w14:paraId="597F3A94" w14:textId="77777777">
            <w:pPr>
              <w:widowControl/>
              <w:jc w:val="center"/>
              <w:rPr>
                <w:rFonts w:eastAsia="Calibri"/>
                <w:b/>
                <w:bCs/>
                <w:sz w:val="24"/>
              </w:rPr>
            </w:pPr>
            <w:r>
              <w:rPr>
                <w:rFonts w:eastAsia="Calibri"/>
                <w:b/>
                <w:bCs/>
                <w:sz w:val="24"/>
              </w:rPr>
              <w:t>(Column B X Column C)</w:t>
            </w:r>
          </w:p>
          <w:p w:rsidR="00865AEB" w:rsidRDefault="00865AEB" w14:paraId="00F718B6" w14:textId="77777777">
            <w:pPr>
              <w:widowControl/>
              <w:jc w:val="center"/>
              <w:rPr>
                <w:rFonts w:eastAsia="Calibri"/>
                <w:b/>
                <w:bCs/>
                <w:sz w:val="24"/>
              </w:rPr>
            </w:pP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865AEB" w:rsidRDefault="00865AEB" w14:paraId="227BA289" w14:textId="77777777">
            <w:pPr>
              <w:widowControl/>
              <w:jc w:val="center"/>
              <w:rPr>
                <w:rFonts w:eastAsia="Calibri"/>
                <w:b/>
                <w:bCs/>
                <w:sz w:val="24"/>
              </w:rPr>
            </w:pPr>
            <w:r>
              <w:rPr>
                <w:rFonts w:eastAsia="Calibri"/>
                <w:b/>
                <w:bCs/>
                <w:sz w:val="24"/>
              </w:rPr>
              <w:t>E.</w:t>
            </w:r>
          </w:p>
          <w:p w:rsidR="00865AEB" w:rsidRDefault="00865AEB" w14:paraId="7C171FE2" w14:textId="77777777">
            <w:pPr>
              <w:widowControl/>
              <w:jc w:val="center"/>
              <w:rPr>
                <w:rFonts w:eastAsia="Calibri"/>
                <w:b/>
                <w:bCs/>
                <w:sz w:val="24"/>
              </w:rPr>
            </w:pPr>
            <w:r>
              <w:rPr>
                <w:rFonts w:eastAsia="Calibri"/>
                <w:b/>
                <w:bCs/>
                <w:sz w:val="24"/>
              </w:rPr>
              <w:t>Average Burden Hours &amp; Cost per Response</w:t>
            </w:r>
          </w:p>
          <w:p w:rsidR="00865AEB" w:rsidRDefault="00865AEB" w14:paraId="1E2F1CB3" w14:textId="77777777">
            <w:pPr>
              <w:widowControl/>
              <w:jc w:val="center"/>
              <w:rPr>
                <w:rFonts w:eastAsia="Calibri"/>
                <w:b/>
                <w:bCs/>
                <w:sz w:val="24"/>
              </w:rPr>
            </w:pPr>
          </w:p>
        </w:tc>
        <w:tc>
          <w:tcPr>
            <w:tcW w:w="188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865AEB" w:rsidRDefault="00865AEB" w14:paraId="106CB701" w14:textId="77777777">
            <w:pPr>
              <w:widowControl/>
              <w:jc w:val="center"/>
              <w:rPr>
                <w:rFonts w:eastAsia="Calibri"/>
                <w:b/>
                <w:bCs/>
                <w:sz w:val="24"/>
              </w:rPr>
            </w:pPr>
            <w:r>
              <w:rPr>
                <w:rFonts w:eastAsia="Calibri"/>
                <w:b/>
                <w:bCs/>
                <w:sz w:val="24"/>
              </w:rPr>
              <w:t>F.</w:t>
            </w:r>
          </w:p>
          <w:p w:rsidR="00865AEB" w:rsidRDefault="00865AEB" w14:paraId="35B548C7" w14:textId="77777777">
            <w:pPr>
              <w:widowControl/>
              <w:jc w:val="center"/>
              <w:rPr>
                <w:rFonts w:eastAsia="Calibri"/>
                <w:b/>
                <w:bCs/>
                <w:sz w:val="24"/>
              </w:rPr>
            </w:pPr>
            <w:r>
              <w:rPr>
                <w:rFonts w:eastAsia="Calibri"/>
                <w:b/>
                <w:bCs/>
                <w:sz w:val="24"/>
              </w:rPr>
              <w:t>Total Estimated Burden Hours &amp; Total Estimated Cost</w:t>
            </w:r>
          </w:p>
          <w:p w:rsidR="00865AEB" w:rsidRDefault="00865AEB" w14:paraId="06B5C29A" w14:textId="77777777">
            <w:pPr>
              <w:widowControl/>
              <w:jc w:val="center"/>
              <w:rPr>
                <w:rFonts w:eastAsia="Calibri"/>
                <w:b/>
                <w:bCs/>
                <w:sz w:val="24"/>
              </w:rPr>
            </w:pPr>
            <w:r>
              <w:rPr>
                <w:rFonts w:eastAsia="Calibri"/>
                <w:b/>
                <w:bCs/>
                <w:sz w:val="24"/>
              </w:rPr>
              <w:t>(Column D x Column E)</w:t>
            </w:r>
          </w:p>
        </w:tc>
      </w:tr>
      <w:tr w:rsidR="00865AEB" w:rsidTr="009621E6" w14:paraId="71B9A0D0" w14:textId="77777777">
        <w:trPr>
          <w:trHeight w:val="197"/>
        </w:trPr>
        <w:tc>
          <w:tcPr>
            <w:tcW w:w="9350"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00865AEB" w:rsidRDefault="00865AEB" w14:paraId="7B366B27" w14:textId="59A0BDA9">
            <w:pPr>
              <w:widowControl/>
              <w:jc w:val="center"/>
              <w:rPr>
                <w:rFonts w:eastAsia="Calibri"/>
                <w:b/>
                <w:bCs/>
                <w:sz w:val="24"/>
              </w:rPr>
            </w:pPr>
            <w:r>
              <w:rPr>
                <w:rFonts w:eastAsia="Calibri"/>
                <w:b/>
                <w:bCs/>
                <w:sz w:val="24"/>
              </w:rPr>
              <w:t>Section 4 Rate Case</w:t>
            </w:r>
          </w:p>
        </w:tc>
      </w:tr>
    </w:tbl>
    <w:tbl>
      <w:tblPr>
        <w:tblW w:w="9345" w:type="dxa"/>
        <w:tblInd w:w="5" w:type="dxa"/>
        <w:tblLayout w:type="fixed"/>
        <w:tblLook w:val="04A0" w:firstRow="1" w:lastRow="0" w:firstColumn="1" w:lastColumn="0" w:noHBand="0" w:noVBand="1"/>
      </w:tblPr>
      <w:tblGrid>
        <w:gridCol w:w="1790"/>
        <w:gridCol w:w="1529"/>
        <w:gridCol w:w="1439"/>
        <w:gridCol w:w="1439"/>
        <w:gridCol w:w="1259"/>
        <w:gridCol w:w="1889"/>
      </w:tblGrid>
      <w:tr w:rsidR="00865AEB" w:rsidTr="00124E14" w14:paraId="1BF66AEF" w14:textId="77777777">
        <w:trPr>
          <w:trHeight w:val="2115"/>
        </w:trPr>
        <w:tc>
          <w:tcPr>
            <w:tcW w:w="1790" w:type="dxa"/>
            <w:tcBorders>
              <w:top w:val="nil"/>
              <w:left w:val="single" w:color="auto" w:sz="4" w:space="0"/>
              <w:bottom w:val="single" w:color="auto" w:sz="4" w:space="0"/>
              <w:right w:val="single" w:color="auto" w:sz="4" w:space="0"/>
            </w:tcBorders>
            <w:vAlign w:val="center"/>
            <w:hideMark/>
          </w:tcPr>
          <w:p w:rsidR="00865AEB" w:rsidRDefault="00812459" w14:paraId="795B5042" w14:textId="40100DF3">
            <w:pPr>
              <w:widowControl/>
              <w:spacing w:after="160" w:line="256" w:lineRule="auto"/>
              <w:rPr>
                <w:rFonts w:eastAsia="Times New Roman"/>
                <w:color w:val="000000"/>
                <w:sz w:val="24"/>
                <w:szCs w:val="26"/>
              </w:rPr>
            </w:pPr>
            <w:r>
              <w:rPr>
                <w:rFonts w:eastAsia="Times New Roman"/>
                <w:color w:val="000000"/>
                <w:sz w:val="24"/>
                <w:szCs w:val="26"/>
              </w:rPr>
              <w:t xml:space="preserve">FERC 545: </w:t>
            </w:r>
            <w:r w:rsidR="003C0302">
              <w:rPr>
                <w:rFonts w:eastAsia="Times New Roman"/>
                <w:color w:val="000000"/>
                <w:sz w:val="24"/>
                <w:szCs w:val="26"/>
              </w:rPr>
              <w:t>Annual Section 4 Rate Cases</w:t>
            </w:r>
          </w:p>
        </w:tc>
        <w:tc>
          <w:tcPr>
            <w:tcW w:w="1529" w:type="dxa"/>
            <w:tcBorders>
              <w:top w:val="nil"/>
              <w:left w:val="nil"/>
              <w:bottom w:val="single" w:color="auto" w:sz="4" w:space="0"/>
              <w:right w:val="single" w:color="auto" w:sz="4" w:space="0"/>
            </w:tcBorders>
            <w:vAlign w:val="center"/>
            <w:hideMark/>
          </w:tcPr>
          <w:p w:rsidR="00865AEB" w:rsidP="00205D9F" w:rsidRDefault="003C0302" w14:paraId="3F22E831" w14:textId="7F35CA65">
            <w:pPr>
              <w:widowControl/>
              <w:spacing w:after="160" w:line="256" w:lineRule="auto"/>
              <w:jc w:val="right"/>
              <w:rPr>
                <w:rFonts w:eastAsia="Times New Roman"/>
                <w:color w:val="000000"/>
                <w:sz w:val="24"/>
                <w:szCs w:val="26"/>
              </w:rPr>
            </w:pPr>
            <w:r>
              <w:rPr>
                <w:rFonts w:eastAsia="Times New Roman"/>
                <w:color w:val="000000"/>
                <w:sz w:val="24"/>
                <w:szCs w:val="26"/>
              </w:rPr>
              <w:t>8</w:t>
            </w:r>
          </w:p>
        </w:tc>
        <w:tc>
          <w:tcPr>
            <w:tcW w:w="1439" w:type="dxa"/>
            <w:tcBorders>
              <w:top w:val="nil"/>
              <w:left w:val="nil"/>
              <w:bottom w:val="single" w:color="auto" w:sz="4" w:space="0"/>
              <w:right w:val="single" w:color="auto" w:sz="4" w:space="0"/>
            </w:tcBorders>
            <w:vAlign w:val="center"/>
            <w:hideMark/>
          </w:tcPr>
          <w:p w:rsidR="00865AEB" w:rsidP="002D770E" w:rsidRDefault="003C0302" w14:paraId="39326F27" w14:textId="71F52AE7">
            <w:pPr>
              <w:widowControl/>
              <w:spacing w:after="160" w:line="256" w:lineRule="auto"/>
              <w:jc w:val="right"/>
              <w:rPr>
                <w:rFonts w:eastAsia="Times New Roman"/>
                <w:color w:val="000000"/>
                <w:sz w:val="24"/>
                <w:szCs w:val="26"/>
              </w:rPr>
            </w:pPr>
            <w:r>
              <w:rPr>
                <w:rFonts w:eastAsia="Times New Roman"/>
                <w:color w:val="000000"/>
                <w:sz w:val="24"/>
                <w:szCs w:val="26"/>
              </w:rPr>
              <w:t>1</w:t>
            </w:r>
          </w:p>
        </w:tc>
        <w:tc>
          <w:tcPr>
            <w:tcW w:w="1439" w:type="dxa"/>
            <w:tcBorders>
              <w:top w:val="nil"/>
              <w:left w:val="single" w:color="auto" w:sz="4" w:space="0"/>
              <w:bottom w:val="single" w:color="auto" w:sz="4" w:space="0"/>
              <w:right w:val="single" w:color="auto" w:sz="4" w:space="0"/>
            </w:tcBorders>
            <w:vAlign w:val="center"/>
            <w:hideMark/>
          </w:tcPr>
          <w:p w:rsidR="00865AEB" w:rsidRDefault="003C0302" w14:paraId="5EDEEC5B" w14:textId="2D320246">
            <w:pPr>
              <w:widowControl/>
              <w:spacing w:after="160" w:line="256" w:lineRule="auto"/>
              <w:jc w:val="right"/>
              <w:rPr>
                <w:rFonts w:eastAsia="Times New Roman"/>
                <w:color w:val="000000"/>
                <w:sz w:val="24"/>
                <w:szCs w:val="26"/>
              </w:rPr>
            </w:pPr>
            <w:r>
              <w:rPr>
                <w:rFonts w:eastAsia="Times New Roman"/>
                <w:color w:val="000000"/>
                <w:sz w:val="24"/>
                <w:szCs w:val="26"/>
              </w:rPr>
              <w:t>8</w:t>
            </w:r>
          </w:p>
        </w:tc>
        <w:tc>
          <w:tcPr>
            <w:tcW w:w="1259" w:type="dxa"/>
            <w:tcBorders>
              <w:top w:val="nil"/>
              <w:left w:val="nil"/>
              <w:bottom w:val="single" w:color="auto" w:sz="4" w:space="0"/>
              <w:right w:val="single" w:color="auto" w:sz="4" w:space="0"/>
            </w:tcBorders>
            <w:vAlign w:val="center"/>
            <w:hideMark/>
          </w:tcPr>
          <w:p w:rsidR="00865AEB" w:rsidRDefault="003C0302" w14:paraId="291E39F3" w14:textId="7BDEE1C6">
            <w:pPr>
              <w:widowControl/>
              <w:spacing w:after="160" w:line="256" w:lineRule="auto"/>
              <w:jc w:val="right"/>
              <w:rPr>
                <w:rFonts w:eastAsia="Times New Roman"/>
                <w:color w:val="000000"/>
                <w:sz w:val="24"/>
                <w:szCs w:val="26"/>
              </w:rPr>
            </w:pPr>
            <w:r>
              <w:rPr>
                <w:rFonts w:eastAsia="Times New Roman"/>
                <w:color w:val="000000"/>
                <w:sz w:val="24"/>
                <w:szCs w:val="26"/>
              </w:rPr>
              <w:t>100 hours; $9,700</w:t>
            </w:r>
          </w:p>
        </w:tc>
        <w:tc>
          <w:tcPr>
            <w:tcW w:w="1889" w:type="dxa"/>
            <w:tcBorders>
              <w:top w:val="nil"/>
              <w:left w:val="nil"/>
              <w:bottom w:val="single" w:color="auto" w:sz="4" w:space="0"/>
              <w:right w:val="single" w:color="auto" w:sz="4" w:space="0"/>
            </w:tcBorders>
            <w:vAlign w:val="center"/>
            <w:hideMark/>
          </w:tcPr>
          <w:p w:rsidRPr="003C0302" w:rsidR="003C0302" w:rsidP="009621E6" w:rsidRDefault="003C0302" w14:paraId="667C451D" w14:textId="7EADCF64">
            <w:pPr>
              <w:widowControl/>
              <w:spacing w:line="256" w:lineRule="auto"/>
              <w:jc w:val="right"/>
              <w:rPr>
                <w:rFonts w:eastAsia="Times New Roman"/>
                <w:color w:val="000000"/>
                <w:sz w:val="24"/>
                <w:szCs w:val="26"/>
              </w:rPr>
            </w:pPr>
            <w:r w:rsidRPr="003C0302">
              <w:rPr>
                <w:rFonts w:eastAsia="Times New Roman"/>
                <w:color w:val="000000"/>
                <w:sz w:val="24"/>
                <w:szCs w:val="26"/>
              </w:rPr>
              <w:t xml:space="preserve">800 </w:t>
            </w:r>
            <w:proofErr w:type="gramStart"/>
            <w:r w:rsidRPr="003C0302">
              <w:rPr>
                <w:rFonts w:eastAsia="Times New Roman"/>
                <w:color w:val="000000"/>
                <w:sz w:val="24"/>
                <w:szCs w:val="26"/>
              </w:rPr>
              <w:t>h</w:t>
            </w:r>
            <w:r>
              <w:rPr>
                <w:rFonts w:eastAsia="Times New Roman"/>
                <w:color w:val="000000"/>
                <w:sz w:val="24"/>
                <w:szCs w:val="26"/>
              </w:rPr>
              <w:t>ours</w:t>
            </w:r>
            <w:r w:rsidRPr="003C0302">
              <w:rPr>
                <w:rFonts w:eastAsia="Times New Roman"/>
                <w:color w:val="000000"/>
                <w:sz w:val="24"/>
                <w:szCs w:val="26"/>
              </w:rPr>
              <w:t>;</w:t>
            </w:r>
            <w:proofErr w:type="gramEnd"/>
          </w:p>
          <w:p w:rsidR="00865AEB" w:rsidP="009621E6" w:rsidRDefault="00DA3595" w14:paraId="6804D1ED" w14:textId="4438DEC2">
            <w:pPr>
              <w:widowControl/>
              <w:spacing w:after="100" w:afterAutospacing="1" w:line="256" w:lineRule="auto"/>
              <w:jc w:val="right"/>
              <w:rPr>
                <w:rFonts w:eastAsia="Times New Roman"/>
                <w:color w:val="000000"/>
                <w:sz w:val="24"/>
                <w:szCs w:val="26"/>
              </w:rPr>
            </w:pPr>
            <w:r>
              <w:rPr>
                <w:rFonts w:eastAsia="Times New Roman"/>
                <w:color w:val="000000"/>
                <w:sz w:val="24"/>
                <w:szCs w:val="26"/>
              </w:rPr>
              <w:t>$</w:t>
            </w:r>
            <w:r w:rsidRPr="003C0302" w:rsidR="003C0302">
              <w:rPr>
                <w:rFonts w:eastAsia="Times New Roman"/>
                <w:color w:val="000000"/>
                <w:sz w:val="24"/>
                <w:szCs w:val="26"/>
              </w:rPr>
              <w:t>77,600</w:t>
            </w:r>
          </w:p>
        </w:tc>
      </w:tr>
    </w:tbl>
    <w:p w:rsidR="00865AEB" w:rsidP="00865AEB" w:rsidRDefault="00865AEB" w14:paraId="4C0B190D" w14:textId="77777777">
      <w:pPr>
        <w:pStyle w:val="FERCparanumber"/>
        <w:numPr>
          <w:ilvl w:val="0"/>
          <w:numId w:val="0"/>
        </w:numPr>
        <w:tabs>
          <w:tab w:val="left" w:pos="720"/>
        </w:tabs>
      </w:pPr>
    </w:p>
    <w:p w:rsidR="00865AEB" w:rsidP="00124E14" w:rsidRDefault="00865AEB" w14:paraId="60CCE8C1" w14:textId="4526C365">
      <w:pPr>
        <w:pStyle w:val="FERCparanumber"/>
      </w:pPr>
      <w:bookmarkStart w:name="_Hlk54341558" w:id="5"/>
      <w:r>
        <w:t>For the purposes of estimating burden in this NOPR, in the table above, we conservatively estimate</w:t>
      </w:r>
      <w:r w:rsidR="00AB2C6D">
        <w:t xml:space="preserve"> the annual total of </w:t>
      </w:r>
      <w:r w:rsidR="009C15E0">
        <w:t xml:space="preserve">general </w:t>
      </w:r>
      <w:r w:rsidR="00AB2C6D">
        <w:t xml:space="preserve">section 4 rate cases to be </w:t>
      </w:r>
      <w:r w:rsidR="00313E90">
        <w:t>eight</w:t>
      </w:r>
      <w:r w:rsidR="00AB2C6D">
        <w:t>.</w:t>
      </w:r>
      <w:r w:rsidR="008F7B72">
        <w:t xml:space="preserve"> </w:t>
      </w:r>
      <w:r w:rsidR="00A9474B">
        <w:t xml:space="preserve"> </w:t>
      </w:r>
      <w:r w:rsidR="008F7B72">
        <w:t xml:space="preserve">This number is higher than </w:t>
      </w:r>
      <w:r w:rsidR="00AB2C6D">
        <w:t>the Commission’s</w:t>
      </w:r>
      <w:r w:rsidR="008F7B72">
        <w:t xml:space="preserve"> average number of </w:t>
      </w:r>
      <w:r w:rsidR="008316B7">
        <w:t>s</w:t>
      </w:r>
      <w:r w:rsidR="008F7B72">
        <w:t>ection 4 rate cases</w:t>
      </w:r>
      <w:r w:rsidR="00AB2C6D">
        <w:t>, but we created our estimate to</w:t>
      </w:r>
      <w:r w:rsidR="00AD191C">
        <w:t xml:space="preserve"> allow for additional rate case</w:t>
      </w:r>
      <w:r w:rsidR="00AB2C6D">
        <w:t xml:space="preserve"> submissions. </w:t>
      </w:r>
      <w:r w:rsidR="00AD191C">
        <w:t xml:space="preserve"> </w:t>
      </w:r>
      <w:bookmarkEnd w:id="5"/>
    </w:p>
    <w:p w:rsidRPr="00F33E3A" w:rsidR="00812459" w:rsidP="00812459" w:rsidRDefault="00812459" w14:paraId="56968C40" w14:textId="41079207">
      <w:pPr>
        <w:pStyle w:val="FERCparanumber"/>
      </w:pPr>
      <w:r w:rsidRPr="00F33E3A">
        <w:t xml:space="preserve">FERC-545 is required to implement </w:t>
      </w:r>
      <w:r w:rsidR="00045784">
        <w:t xml:space="preserve">rates pursuant to </w:t>
      </w:r>
      <w:r w:rsidRPr="00F33E3A">
        <w:t>sections 4, 5, and 16 of NGA, (15 USC 717c</w:t>
      </w:r>
      <w:r w:rsidR="00FF357E">
        <w:t>&amp;</w:t>
      </w:r>
      <w:r w:rsidRPr="00F33E3A">
        <w:t xml:space="preserve"> 717o, PL 75 688, 52 Stat. 822 and 830).  NGA </w:t>
      </w:r>
      <w:r w:rsidR="009C15E0">
        <w:t>s</w:t>
      </w:r>
      <w:r w:rsidRPr="00F33E3A">
        <w:t xml:space="preserve">ections 4, 5, and </w:t>
      </w:r>
      <w:r w:rsidR="009C15E0">
        <w:t>1</w:t>
      </w:r>
      <w:r w:rsidRPr="00F33E3A">
        <w:t>6 authorize the Commission to inquire into rate structures and methodologies and to set rat</w:t>
      </w:r>
      <w:r w:rsidRPr="000262CA">
        <w:t xml:space="preserve">es at a just and reasonable level.  Specifically, a natural gas </w:t>
      </w:r>
      <w:r w:rsidR="00E9049F">
        <w:t xml:space="preserve">pipeline </w:t>
      </w:r>
      <w:r w:rsidRPr="000262CA">
        <w:t>must obtain Commission authorization for all rates and charges made, demanded, or received in connection with the transportation or sale of natural gas in interstate commerce.</w:t>
      </w:r>
      <w:r>
        <w:t xml:space="preserve">  The </w:t>
      </w:r>
      <w:r>
        <w:lastRenderedPageBreak/>
        <w:t xml:space="preserve">proposed modification as described in this NOPR in Docket No. RM21-18-000 only impacts filings under section 4 of the NGA.  The collections associated with sections 5 and </w:t>
      </w:r>
      <w:r w:rsidR="009C15E0">
        <w:t>1</w:t>
      </w:r>
      <w:r>
        <w:t>6 remain unchanged.</w:t>
      </w:r>
    </w:p>
    <w:p w:rsidRPr="00B61165" w:rsidR="00AF4249" w:rsidP="00AF4249" w:rsidRDefault="00AF4249" w14:paraId="7573F3D9" w14:textId="77777777">
      <w:pPr>
        <w:pStyle w:val="Heading1"/>
      </w:pPr>
      <w:r w:rsidRPr="00B61165">
        <w:t>Environmental Analysis</w:t>
      </w:r>
    </w:p>
    <w:p w:rsidRPr="00B61165" w:rsidR="00C52046" w:rsidP="006B4244" w:rsidRDefault="00AF4249" w14:paraId="5A425267" w14:textId="3BE2D9C2">
      <w:pPr>
        <w:pStyle w:val="FERCparanumber"/>
      </w:pPr>
      <w:bookmarkStart w:name="EA" w:id="6"/>
      <w:bookmarkEnd w:id="6"/>
      <w:r w:rsidRPr="00B61165">
        <w:t>The Commission is required to prepare an Environmental Assessment or an Environmental Impact Statement for any action that may have a significant adverse effect on the human environment.</w:t>
      </w:r>
      <w:r w:rsidRPr="00AF4249">
        <w:rPr>
          <w:rStyle w:val="FootnoteReference"/>
        </w:rPr>
        <w:footnoteReference w:id="19"/>
      </w:r>
      <w:r w:rsidR="00C52046">
        <w:t xml:space="preserve">  </w:t>
      </w:r>
      <w:r w:rsidRPr="00596D8F" w:rsidR="00C52046">
        <w:t>The actions proposed to be taken here fall within categorical exclusions in the Commission</w:t>
      </w:r>
      <w:r w:rsidR="00C52046">
        <w:t>’</w:t>
      </w:r>
      <w:r w:rsidRPr="00596D8F" w:rsidR="00C52046">
        <w:t>s regulations for rules regarding information gathering, analysis, and dissemination, and for rules regarding sales, exchange, and transportation of natural gas that require no construction of facilities.</w:t>
      </w:r>
      <w:r w:rsidRPr="00596D8F" w:rsidR="00C52046">
        <w:rPr>
          <w:rStyle w:val="FootnoteReference"/>
        </w:rPr>
        <w:footnoteReference w:id="20"/>
      </w:r>
      <w:r w:rsidRPr="00596D8F" w:rsidR="00C52046">
        <w:t xml:space="preserve">  Therefore, an environmental review is unnecessary and has not been prepared in this rulemaking.</w:t>
      </w:r>
    </w:p>
    <w:p w:rsidRPr="00B61165" w:rsidR="00AF4249" w:rsidP="00AF4249" w:rsidRDefault="00AF4249" w14:paraId="580BF1F4" w14:textId="59E1B639">
      <w:pPr>
        <w:pStyle w:val="Heading1"/>
      </w:pPr>
      <w:r w:rsidRPr="00B61165">
        <w:t xml:space="preserve">Regulatory Flexibility Act </w:t>
      </w:r>
    </w:p>
    <w:p w:rsidR="000F41F3" w:rsidP="00AF4249" w:rsidRDefault="00AF4249" w14:paraId="4F2700C8" w14:textId="77777777">
      <w:pPr>
        <w:pStyle w:val="FERCparanumber"/>
      </w:pPr>
      <w:bookmarkStart w:name="Regulatory" w:id="7"/>
      <w:bookmarkEnd w:id="7"/>
      <w:r w:rsidRPr="00B61165">
        <w:t>The Regulatory Fle</w:t>
      </w:r>
      <w:r w:rsidRPr="00B61165">
        <w:rPr>
          <w:rStyle w:val="FERCparanumberChar"/>
        </w:rPr>
        <w:t>x</w:t>
      </w:r>
      <w:r w:rsidRPr="00B61165">
        <w:t>ibility Act of 1980 (RFA)</w:t>
      </w:r>
      <w:r w:rsidRPr="00AF4249">
        <w:rPr>
          <w:rStyle w:val="FootnoteReference"/>
        </w:rPr>
        <w:footnoteReference w:id="21"/>
      </w:r>
      <w:r w:rsidR="00101216">
        <w:t xml:space="preserve"> requires the Commission to determine the effect of the NOPR on small entities.  </w:t>
      </w:r>
      <w:r w:rsidR="000F41F3">
        <w:t xml:space="preserve">The Commission intends to pose the least possible burden on all entities both large and small. </w:t>
      </w:r>
    </w:p>
    <w:p w:rsidRPr="00B61165" w:rsidR="00AF4249" w:rsidP="00A45EFB" w:rsidRDefault="00D841E9" w14:paraId="5D4DF12F" w14:textId="30C1CE02">
      <w:pPr>
        <w:pStyle w:val="FERCparanumber"/>
      </w:pPr>
      <w:r>
        <w:t xml:space="preserve">The NOPR only applies to </w:t>
      </w:r>
      <w:r w:rsidR="00C5369B">
        <w:t>natural gas pipelines</w:t>
      </w:r>
      <w:r>
        <w:t xml:space="preserve"> </w:t>
      </w:r>
      <w:r w:rsidR="00FA52E3">
        <w:t>who</w:t>
      </w:r>
      <w:r>
        <w:t xml:space="preserve"> file a section 4 rate case.  There are a total of </w:t>
      </w:r>
      <w:r w:rsidR="003F76BE">
        <w:t>145</w:t>
      </w:r>
      <w:r>
        <w:t xml:space="preserve"> entities that may file a rate change and may be impacted by the </w:t>
      </w:r>
      <w:r>
        <w:lastRenderedPageBreak/>
        <w:t>NOPR.  The Small Business Administration (SBA) defines a small entity in the category of, “Pipeline Transportation of Natural Gas”</w:t>
      </w:r>
      <w:r w:rsidR="003F76BE">
        <w:rPr>
          <w:rStyle w:val="FootnoteReference"/>
        </w:rPr>
        <w:footnoteReference w:id="22"/>
      </w:r>
      <w:r>
        <w:t xml:space="preserve"> by entities with fewer than $30 million of annual receipts.  Out of the total number of entities, only </w:t>
      </w:r>
      <w:r w:rsidR="00056D75">
        <w:t xml:space="preserve">five </w:t>
      </w:r>
      <w:r>
        <w:t xml:space="preserve">are </w:t>
      </w:r>
      <w:r w:rsidR="00962876">
        <w:t>small entities</w:t>
      </w:r>
      <w:r w:rsidR="003F76BE">
        <w:t xml:space="preserve"> (~3% of the total population)</w:t>
      </w:r>
      <w:r w:rsidR="00962876">
        <w:t xml:space="preserve">.  </w:t>
      </w:r>
      <w:r w:rsidR="00160BA0">
        <w:t>We</w:t>
      </w:r>
      <w:r w:rsidR="00962876">
        <w:t xml:space="preserve"> estimate the</w:t>
      </w:r>
      <w:r w:rsidR="00F15018">
        <w:t xml:space="preserve"> annual additional</w:t>
      </w:r>
      <w:r w:rsidR="00962876">
        <w:t xml:space="preserve"> costs of filing a section 4 rate case </w:t>
      </w:r>
      <w:r w:rsidR="00E37465">
        <w:t>to be</w:t>
      </w:r>
      <w:r w:rsidR="00F15018">
        <w:t xml:space="preserve"> </w:t>
      </w:r>
      <w:r w:rsidR="00962876">
        <w:t>$9,700</w:t>
      </w:r>
      <w:r w:rsidR="00F15018">
        <w:t xml:space="preserve">.  </w:t>
      </w:r>
      <w:r w:rsidR="00160BA0">
        <w:t>We</w:t>
      </w:r>
      <w:r w:rsidR="00F15018">
        <w:t xml:space="preserve"> </w:t>
      </w:r>
      <w:r w:rsidR="00902E63">
        <w:t xml:space="preserve">further </w:t>
      </w:r>
      <w:r w:rsidR="00F15018">
        <w:t xml:space="preserve">estimate an average of </w:t>
      </w:r>
      <w:r w:rsidR="00902E63">
        <w:t>eight</w:t>
      </w:r>
      <w:r w:rsidR="00F15018">
        <w:t xml:space="preserve"> responses</w:t>
      </w:r>
      <w:r w:rsidR="003F76BE">
        <w:t xml:space="preserve"> per year </w:t>
      </w:r>
      <w:r w:rsidR="00F15018">
        <w:t>and</w:t>
      </w:r>
      <w:r w:rsidR="003F76BE">
        <w:t xml:space="preserve"> conservatively estimates </w:t>
      </w:r>
      <w:r w:rsidR="00E37465">
        <w:t>that one</w:t>
      </w:r>
      <w:r w:rsidR="00F15018">
        <w:t xml:space="preserve"> may be a small entity.</w:t>
      </w:r>
      <w:r w:rsidR="003F05B0">
        <w:t xml:space="preserve">  </w:t>
      </w:r>
      <w:r w:rsidR="00F15018">
        <w:t xml:space="preserve">Therefore, the proposed rule does not pose a significant change to </w:t>
      </w:r>
      <w:r w:rsidR="003F76BE">
        <w:t xml:space="preserve">small entities. </w:t>
      </w:r>
      <w:r w:rsidR="00F15018">
        <w:t xml:space="preserve"> </w:t>
      </w:r>
    </w:p>
    <w:p w:rsidRPr="00B61165" w:rsidR="00AF4249" w:rsidP="00AF4249" w:rsidRDefault="00AF4249" w14:paraId="122A8639" w14:textId="77777777">
      <w:pPr>
        <w:pStyle w:val="Heading1"/>
      </w:pPr>
      <w:r w:rsidRPr="00B61165">
        <w:t>Comment Procedures</w:t>
      </w:r>
    </w:p>
    <w:p w:rsidR="00AF4249" w:rsidP="00AF4249" w:rsidRDefault="00AF4249" w14:paraId="046BECA3" w14:textId="3FEAD704">
      <w:pPr>
        <w:pStyle w:val="FERCparanumber"/>
      </w:pPr>
      <w:bookmarkStart w:name="Comment" w:id="8"/>
      <w:bookmarkEnd w:id="8"/>
      <w:r w:rsidRPr="00B61165">
        <w:t>The Commission invites interested persons to submit comments on the matters and issues proposed in this notice to be adopted, including any related matters or alternative proposals that commenters may wish to discuss.  Comments are due</w:t>
      </w:r>
      <w:r>
        <w:t xml:space="preserve"> </w:t>
      </w:r>
      <w:r w:rsidRPr="00B3607A">
        <w:rPr>
          <w:b/>
        </w:rPr>
        <w:t>[INSERT DA</w:t>
      </w:r>
      <w:r w:rsidR="00C460C1">
        <w:rPr>
          <w:b/>
        </w:rPr>
        <w:t xml:space="preserve">TE 30 </w:t>
      </w:r>
      <w:r w:rsidRPr="004731B2">
        <w:rPr>
          <w:b/>
          <w:bCs/>
        </w:rPr>
        <w:t xml:space="preserve">DAYS </w:t>
      </w:r>
      <w:r w:rsidRPr="00B3607A">
        <w:rPr>
          <w:b/>
        </w:rPr>
        <w:t>AFTER DATE OF PUBLICATION IN THE FEDERAL REGISTER]</w:t>
      </w:r>
      <w:r w:rsidRPr="00B61165">
        <w:t xml:space="preserve">.  Comments must refer to Docket No. </w:t>
      </w:r>
      <w:r w:rsidR="00C460C1">
        <w:t>RM21-18-000</w:t>
      </w:r>
      <w:r w:rsidRPr="00B61165">
        <w:t>, and must include the commenter</w:t>
      </w:r>
      <w:r w:rsidR="00F65121">
        <w:t>’</w:t>
      </w:r>
      <w:r w:rsidRPr="00B61165">
        <w:t>s name, the organization they represent, if applicable, and their address in their comments.</w:t>
      </w:r>
      <w:r>
        <w:t xml:space="preserve">  </w:t>
      </w:r>
      <w:r w:rsidRPr="00B61165">
        <w:t>All comments will be placed in the Commission</w:t>
      </w:r>
      <w:r w:rsidR="00F65121">
        <w:t>’</w:t>
      </w:r>
      <w:r w:rsidRPr="00B61165">
        <w:t>s public files and may be viewed, printed, or downloaded remotely as described in the Document Availability section below.  Commenters on this proposal are not required to serve copies of their comments on other commenters.</w:t>
      </w:r>
    </w:p>
    <w:p w:rsidR="00AF4249" w:rsidP="00AF4249" w:rsidRDefault="00AF4249" w14:paraId="3B61D7F9" w14:textId="5E3D0C6C">
      <w:pPr>
        <w:pStyle w:val="FERCparanumber"/>
      </w:pPr>
      <w:r w:rsidRPr="00626AD6">
        <w:lastRenderedPageBreak/>
        <w:t xml:space="preserve">The Commission encourages comments to be filed electronically via the </w:t>
      </w:r>
      <w:proofErr w:type="spellStart"/>
      <w:r w:rsidRPr="00626AD6">
        <w:t>eFiling</w:t>
      </w:r>
      <w:proofErr w:type="spellEnd"/>
      <w:r w:rsidRPr="00626AD6">
        <w:t xml:space="preserve"> link on the Commission’s website at </w:t>
      </w:r>
      <w:hyperlink w:history="1" r:id="rId23">
        <w:r w:rsidRPr="00626AD6">
          <w:rPr>
            <w:rStyle w:val="Hyperlink"/>
          </w:rPr>
          <w:t>http://www.ferc.gov</w:t>
        </w:r>
      </w:hyperlink>
      <w:r w:rsidRPr="00626AD6">
        <w:t>.</w:t>
      </w:r>
      <w:r w:rsidR="003F05B0">
        <w:t xml:space="preserve">  </w:t>
      </w:r>
      <w:r w:rsidRPr="00626AD6">
        <w:t xml:space="preserve">The Commission accepts most standard word processing formats.  Documents created electronically using word processing software </w:t>
      </w:r>
      <w:r>
        <w:t xml:space="preserve">must </w:t>
      </w:r>
      <w:r w:rsidRPr="00626AD6">
        <w:t>be filed in native applications or print-to-PDF format and not in a scanned format.  Commenters filing electronically do not need to make a paper filing.</w:t>
      </w:r>
    </w:p>
    <w:p w:rsidR="00AF4249" w:rsidP="00AF4249" w:rsidRDefault="00AF4249" w14:paraId="33A72C1F" w14:textId="2C7A2DF1">
      <w:pPr>
        <w:pStyle w:val="FERCparanumber"/>
      </w:pPr>
      <w:r w:rsidRPr="00626AD6">
        <w:t xml:space="preserve">Commenters that are not able to file comments electronically </w:t>
      </w:r>
      <w:r w:rsidRPr="00E950E7">
        <w:t>may file</w:t>
      </w:r>
      <w:r>
        <w:t xml:space="preserve"> an original of their comment by USPS mail or by </w:t>
      </w:r>
      <w:r w:rsidRPr="00A90123">
        <w:t>courier</w:t>
      </w:r>
      <w:r w:rsidR="00281065">
        <w:t xml:space="preserve"> </w:t>
      </w:r>
      <w:r>
        <w:t xml:space="preserve">or other </w:t>
      </w:r>
      <w:r w:rsidRPr="00A90123">
        <w:t>deliver</w:t>
      </w:r>
      <w:r>
        <w:t>y services.</w:t>
      </w:r>
      <w:r w:rsidRPr="00626AD6">
        <w:t xml:space="preserve">  For submission sent via USPS</w:t>
      </w:r>
      <w:r>
        <w:t xml:space="preserve"> only</w:t>
      </w:r>
      <w:r w:rsidRPr="00626AD6">
        <w:t xml:space="preserve">, filings should </w:t>
      </w:r>
      <w:r>
        <w:t xml:space="preserve">be </w:t>
      </w:r>
      <w:r w:rsidRPr="00626AD6">
        <w:t xml:space="preserve">mailed to: </w:t>
      </w:r>
      <w:r w:rsidR="003F05B0">
        <w:t xml:space="preserve"> </w:t>
      </w:r>
      <w:r w:rsidRPr="00626AD6">
        <w:t>Federal Energy Regulatory Commission, Office of the Secretary, 888 First Street, NE, Washington, DC</w:t>
      </w:r>
      <w:r w:rsidR="003F05B0">
        <w:t xml:space="preserve">  </w:t>
      </w:r>
      <w:r w:rsidRPr="00626AD6">
        <w:t xml:space="preserve">20426.  Submission of filings other than by USPS should be </w:t>
      </w:r>
      <w:r>
        <w:t xml:space="preserve">delivered </w:t>
      </w:r>
      <w:r w:rsidRPr="00626AD6">
        <w:t xml:space="preserve">to: </w:t>
      </w:r>
      <w:r w:rsidR="003F05B0">
        <w:t xml:space="preserve"> </w:t>
      </w:r>
      <w:r w:rsidRPr="00626AD6">
        <w:t>Federal Energy Regulatory Commission, 12225 Wilkins Avenue, Rockville, M</w:t>
      </w:r>
      <w:r>
        <w:t>D</w:t>
      </w:r>
      <w:r w:rsidRPr="00626AD6">
        <w:t xml:space="preserve"> </w:t>
      </w:r>
      <w:r w:rsidR="003F05B0">
        <w:t xml:space="preserve"> </w:t>
      </w:r>
      <w:r w:rsidRPr="00626AD6">
        <w:t>20852.</w:t>
      </w:r>
    </w:p>
    <w:p w:rsidRPr="00B61165" w:rsidR="00AF4249" w:rsidP="00AF4249" w:rsidRDefault="00AF4249" w14:paraId="2F5471BC" w14:textId="77777777">
      <w:pPr>
        <w:pStyle w:val="Heading1"/>
      </w:pPr>
      <w:r w:rsidRPr="00B61165">
        <w:t>Document Availability</w:t>
      </w:r>
    </w:p>
    <w:p w:rsidRPr="00B61165" w:rsidR="00AF4249" w:rsidP="00AF4249" w:rsidRDefault="00AF4249" w14:paraId="559C1648" w14:textId="2F47884D">
      <w:pPr>
        <w:pStyle w:val="FERCparanumber"/>
      </w:pPr>
      <w:bookmarkStart w:name="DocAvail" w:id="9"/>
      <w:bookmarkEnd w:id="9"/>
      <w:r w:rsidRPr="00D547AA">
        <w:t xml:space="preserve">In addition to publishing the full text of this document in the </w:t>
      </w:r>
      <w:r w:rsidRPr="00E32A5E">
        <w:rPr>
          <w:i/>
          <w:iCs/>
        </w:rPr>
        <w:t>Federal Register</w:t>
      </w:r>
      <w:r w:rsidRPr="00D547AA">
        <w:t>, the Commission provides all interested persons an opportunity to view and/or print the contents of this document via the Internet through the Commission</w:t>
      </w:r>
      <w:r w:rsidR="00F65121">
        <w:t>’</w:t>
      </w:r>
      <w:r w:rsidRPr="00D547AA">
        <w:t>s Home Page (</w:t>
      </w:r>
      <w:hyperlink w:history="1" r:id="rId24">
        <w:r w:rsidRPr="00D547AA">
          <w:rPr>
            <w:rStyle w:val="Hyperlink"/>
          </w:rPr>
          <w:t>http://www.ferc.gov</w:t>
        </w:r>
      </w:hyperlink>
      <w:r w:rsidRPr="00D547AA">
        <w:t>).  At this time, the Commission has suspended access to the Commission’s Public Reference Room due to the President’s March 13, 2020 proclamation declaring a National Emergency concerning the Novel Coronavirus Disease (COVID-19).</w:t>
      </w:r>
    </w:p>
    <w:p w:rsidRPr="00B61165" w:rsidR="00AF4249" w:rsidP="00AF4249" w:rsidRDefault="00AF4249" w14:paraId="600FB1F4" w14:textId="44040213">
      <w:pPr>
        <w:pStyle w:val="FERCparanumber"/>
      </w:pPr>
      <w:r w:rsidRPr="00B61165">
        <w:t>From the Commission</w:t>
      </w:r>
      <w:r w:rsidR="00F65121">
        <w:t>’</w:t>
      </w:r>
      <w:r w:rsidRPr="00B61165">
        <w:t xml:space="preserve">s Home Page on the Internet, this information is available on eLibrary.  The full text of this document is available on eLibrary in PDF and Microsoft Word format for viewing, printing, and/or downloading.  To access this </w:t>
      </w:r>
      <w:r w:rsidRPr="00B61165">
        <w:lastRenderedPageBreak/>
        <w:t>document in eLibrary, type the docket number excluding the last three digits of this document in the docket number field.</w:t>
      </w:r>
    </w:p>
    <w:p w:rsidRPr="00B61165" w:rsidR="00AF4249" w:rsidP="00AF4249" w:rsidRDefault="00AF4249" w14:paraId="552AC9C3" w14:textId="652C32FD">
      <w:pPr>
        <w:pStyle w:val="FERCparanumber"/>
      </w:pPr>
      <w:r w:rsidRPr="00B61165">
        <w:t>User assistance is av</w:t>
      </w:r>
      <w:r>
        <w:t>ailable for eLibrary and the</w:t>
      </w:r>
      <w:r w:rsidRPr="00B61165">
        <w:t xml:space="preserve"> Commission’s website during normal business hours from the Commission’s Online Support at </w:t>
      </w:r>
      <w:r w:rsidR="00E32A5E">
        <w:t>(</w:t>
      </w:r>
      <w:r w:rsidRPr="00B61165">
        <w:t>202</w:t>
      </w:r>
      <w:r w:rsidR="00E32A5E">
        <w:t>)</w:t>
      </w:r>
      <w:r w:rsidRPr="00B61165">
        <w:t xml:space="preserve">-502-6652 </w:t>
      </w:r>
      <w:r w:rsidR="00E32A5E">
        <w:t xml:space="preserve">    </w:t>
      </w:r>
      <w:proofErr w:type="gramStart"/>
      <w:r w:rsidR="00E32A5E">
        <w:t xml:space="preserve">   </w:t>
      </w:r>
      <w:r w:rsidRPr="00B61165">
        <w:t>(</w:t>
      </w:r>
      <w:proofErr w:type="gramEnd"/>
      <w:r w:rsidRPr="00B61165">
        <w:t xml:space="preserve">toll free at 1-866-208-3676) or email at </w:t>
      </w:r>
      <w:hyperlink w:history="1" r:id="rId25">
        <w:r w:rsidRPr="00B61165">
          <w:rPr>
            <w:rStyle w:val="Hyperlink"/>
          </w:rPr>
          <w:t>ferconlinesupport@ferc.gov</w:t>
        </w:r>
      </w:hyperlink>
      <w:r w:rsidRPr="00B61165">
        <w:t xml:space="preserve">, or the Public Reference Room at (202) 502-8371, TTY (202)502-8659.  E-mail the Public Reference Room at </w:t>
      </w:r>
      <w:hyperlink w:history="1" r:id="rId26">
        <w:r w:rsidRPr="00B61165">
          <w:rPr>
            <w:rStyle w:val="Hyperlink"/>
          </w:rPr>
          <w:t>public.referenceroom@ferc.gov</w:t>
        </w:r>
      </w:hyperlink>
      <w:r w:rsidRPr="00B61165">
        <w:t>.</w:t>
      </w:r>
    </w:p>
    <w:p w:rsidR="00AF4249" w:rsidP="00401A63" w:rsidRDefault="00AF4249" w14:paraId="24B658C6" w14:textId="079D183D">
      <w:pPr>
        <w:spacing w:line="480" w:lineRule="auto"/>
      </w:pPr>
      <w:r w:rsidRPr="00B61165">
        <w:t>By direction of the Commission.</w:t>
      </w:r>
    </w:p>
    <w:p w:rsidR="00066C0F" w:rsidP="00066C0F" w:rsidRDefault="00066C0F" w14:paraId="1DE3A060" w14:textId="5E9DA5E6">
      <w:pPr>
        <w:widowControl/>
      </w:pPr>
      <w:proofErr w:type="gramStart"/>
      <w:r w:rsidRPr="00066C0F">
        <w:t>( S</w:t>
      </w:r>
      <w:proofErr w:type="gramEnd"/>
      <w:r w:rsidRPr="00066C0F">
        <w:t xml:space="preserve"> E A L )</w:t>
      </w:r>
    </w:p>
    <w:p w:rsidRPr="00066C0F" w:rsidR="00066C0F" w:rsidP="00066C0F" w:rsidRDefault="00066C0F" w14:paraId="60F25A12" w14:textId="77777777">
      <w:pPr>
        <w:widowControl/>
      </w:pPr>
    </w:p>
    <w:p w:rsidR="00AF4249" w:rsidP="00066C0F" w:rsidRDefault="00AF4249" w14:paraId="02785A7B" w14:textId="7054F49F">
      <w:pPr>
        <w:widowControl/>
      </w:pPr>
      <w:r w:rsidRPr="00B61165">
        <w:tab/>
      </w:r>
      <w:r w:rsidRPr="00B61165">
        <w:tab/>
      </w:r>
      <w:r w:rsidRPr="00B61165">
        <w:tab/>
      </w:r>
      <w:r w:rsidRPr="00B61165">
        <w:tab/>
      </w:r>
      <w:r w:rsidRPr="00B61165">
        <w:tab/>
      </w:r>
      <w:r w:rsidRPr="00B61165">
        <w:tab/>
      </w:r>
    </w:p>
    <w:p w:rsidR="00066C0F" w:rsidP="00066C0F" w:rsidRDefault="00066C0F" w14:paraId="06396FA7" w14:textId="647CFEC1">
      <w:pPr>
        <w:widowControl/>
      </w:pPr>
    </w:p>
    <w:p w:rsidR="00066C0F" w:rsidP="00066C0F" w:rsidRDefault="00066C0F" w14:paraId="2A462EF2" w14:textId="6183C4EA">
      <w:pPr>
        <w:widowControl/>
      </w:pPr>
    </w:p>
    <w:p w:rsidR="00066C0F" w:rsidP="00066C0F" w:rsidRDefault="00066C0F" w14:paraId="17263E65" w14:textId="3134660F">
      <w:pPr>
        <w:widowControl/>
      </w:pPr>
    </w:p>
    <w:p w:rsidRPr="00066C0F" w:rsidR="00066C0F" w:rsidP="00066C0F" w:rsidRDefault="00066C0F" w14:paraId="423C1E39" w14:textId="21DD0CFC">
      <w:pPr>
        <w:widowControl/>
        <w:ind w:firstLine="2174"/>
        <w:jc w:val="center"/>
      </w:pPr>
      <w:r w:rsidRPr="00066C0F">
        <w:t>Kimberly D. Bose,</w:t>
      </w:r>
    </w:p>
    <w:p w:rsidRPr="00066C0F" w:rsidR="00066C0F" w:rsidP="00066C0F" w:rsidRDefault="00066C0F" w14:paraId="62FEFB34" w14:textId="3847EB86">
      <w:pPr>
        <w:widowControl/>
        <w:ind w:firstLine="2174"/>
        <w:jc w:val="center"/>
      </w:pPr>
      <w:r w:rsidRPr="00066C0F">
        <w:t>Secretary.</w:t>
      </w:r>
    </w:p>
    <w:p w:rsidRPr="00B61165" w:rsidR="00066C0F" w:rsidP="00066C0F" w:rsidRDefault="00066C0F" w14:paraId="43795C77" w14:textId="77777777">
      <w:pPr>
        <w:widowControl/>
      </w:pPr>
    </w:p>
    <w:p w:rsidRPr="0003382F" w:rsidR="00FF32A1" w:rsidP="00AF4249" w:rsidRDefault="00FF32A1" w14:paraId="44B42D29" w14:textId="77777777">
      <w:pPr>
        <w:pStyle w:val="FootnoteText"/>
        <w:ind w:firstLine="0"/>
        <w:jc w:val="right"/>
      </w:pPr>
    </w:p>
    <w:sectPr w:rsidRPr="0003382F" w:rsidR="00FF32A1" w:rsidSect="00AF4249">
      <w:headerReference w:type="even" r:id="rId27"/>
      <w:headerReference w:type="default" r:id="rId28"/>
      <w:headerReference w:type="first" r:id="rId29"/>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5D8A9" w14:textId="77777777" w:rsidR="0009427E" w:rsidRDefault="0009427E" w:rsidP="0048020B">
      <w:r>
        <w:separator/>
      </w:r>
    </w:p>
  </w:endnote>
  <w:endnote w:type="continuationSeparator" w:id="0">
    <w:p w14:paraId="47968036" w14:textId="77777777" w:rsidR="0009427E" w:rsidRDefault="0009427E" w:rsidP="0048020B">
      <w:r>
        <w:continuationSeparator/>
      </w:r>
    </w:p>
  </w:endnote>
  <w:endnote w:type="continuationNotice" w:id="1">
    <w:p w14:paraId="5DDCF62D" w14:textId="77777777" w:rsidR="0009427E" w:rsidRDefault="00094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96BE8" w14:textId="77777777" w:rsidR="003F05B0" w:rsidRDefault="003F0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B5B9" w14:textId="77777777" w:rsidR="003F05B0" w:rsidRDefault="003F0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2DD93" w14:textId="77777777" w:rsidR="003F05B0" w:rsidRDefault="003F0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E2BA5" w14:textId="77777777" w:rsidR="0009427E" w:rsidRDefault="0009427E" w:rsidP="0048020B">
      <w:r>
        <w:separator/>
      </w:r>
    </w:p>
  </w:footnote>
  <w:footnote w:type="continuationSeparator" w:id="0">
    <w:p w14:paraId="057BD952" w14:textId="77777777" w:rsidR="0009427E" w:rsidRDefault="0009427E" w:rsidP="0048020B">
      <w:r>
        <w:continuationSeparator/>
      </w:r>
    </w:p>
  </w:footnote>
  <w:footnote w:type="continuationNotice" w:id="1">
    <w:p w14:paraId="4B81DF84" w14:textId="77777777" w:rsidR="0009427E" w:rsidRPr="00546947" w:rsidRDefault="0009427E">
      <w:pPr>
        <w:spacing w:line="14" w:lineRule="exact"/>
        <w:rPr>
          <w:sz w:val="2"/>
        </w:rPr>
      </w:pPr>
    </w:p>
  </w:footnote>
  <w:footnote w:id="2">
    <w:p w14:paraId="6912C4A9" w14:textId="40D4AE9F" w:rsidR="0009427E" w:rsidRDefault="0009427E" w:rsidP="002917DD">
      <w:pPr>
        <w:pStyle w:val="FootnoteText"/>
      </w:pPr>
      <w:r>
        <w:rPr>
          <w:rStyle w:val="FootnoteReference"/>
        </w:rPr>
        <w:footnoteRef/>
      </w:r>
      <w:r>
        <w:t xml:space="preserve"> As stated in the FERC Implementation Guide, native format, or native application format, “</w:t>
      </w:r>
      <w:r w:rsidRPr="0007608B">
        <w:t xml:space="preserve">refers to the software used to create the file. </w:t>
      </w:r>
      <w:r>
        <w:t xml:space="preserve"> </w:t>
      </w:r>
      <w:r w:rsidRPr="0007608B">
        <w:t xml:space="preserve">When a file is submitted in native application format it is submitted in the format of the software used to create the file. </w:t>
      </w:r>
      <w:r>
        <w:t xml:space="preserve"> </w:t>
      </w:r>
      <w:r w:rsidRPr="0007608B">
        <w:t xml:space="preserve">For example, if the file is created in Microsoft Excel 2010, submit the file in an Excel format, generally denoted by an extension of XLSX. </w:t>
      </w:r>
      <w:r>
        <w:t xml:space="preserve"> </w:t>
      </w:r>
      <w:r w:rsidRPr="0007608B">
        <w:t xml:space="preserve">All files submitted in native application format must be saved and filed using one of the Commission’s accepted electronic document file formats. </w:t>
      </w:r>
      <w:r>
        <w:t xml:space="preserve"> </w:t>
      </w:r>
      <w:r w:rsidRPr="0007608B">
        <w:t xml:space="preserve">The list of FERC Acceptable File Formats is available on </w:t>
      </w:r>
      <w:hyperlink r:id="rId1" w:history="1">
        <w:r w:rsidRPr="00DC6B7D">
          <w:rPr>
            <w:rStyle w:val="Hyperlink"/>
          </w:rPr>
          <w:t>www.ferc.gov</w:t>
        </w:r>
      </w:hyperlink>
      <w:r w:rsidRPr="0007608B">
        <w:t>.</w:t>
      </w:r>
      <w:r>
        <w:t xml:space="preserve">”  </w:t>
      </w:r>
      <w:r w:rsidRPr="00E72B7C">
        <w:rPr>
          <w:i/>
          <w:iCs/>
        </w:rPr>
        <w:t xml:space="preserve">FERC Implementation Guide for Electronic Filing of </w:t>
      </w:r>
      <w:r w:rsidR="00BE0AFD">
        <w:rPr>
          <w:i/>
          <w:iCs/>
        </w:rPr>
        <w:t xml:space="preserve">   </w:t>
      </w:r>
      <w:r w:rsidRPr="00E72B7C">
        <w:rPr>
          <w:i/>
          <w:iCs/>
        </w:rPr>
        <w:t>Parts 35, 154, 284, 300 and 341 Tariff Filings</w:t>
      </w:r>
      <w:r w:rsidRPr="00E72B7C">
        <w:t xml:space="preserve"> (2016).</w:t>
      </w:r>
    </w:p>
  </w:footnote>
  <w:footnote w:id="3">
    <w:p w14:paraId="011095B2" w14:textId="18C4BF9D" w:rsidR="0009427E" w:rsidRDefault="0009427E">
      <w:pPr>
        <w:pStyle w:val="FootnoteText"/>
      </w:pPr>
      <w:r>
        <w:rPr>
          <w:rStyle w:val="FootnoteReference"/>
        </w:rPr>
        <w:footnoteRef/>
      </w:r>
      <w:r>
        <w:t xml:space="preserve"> </w:t>
      </w:r>
      <w:r w:rsidRPr="00A72369">
        <w:t>15 U.S.</w:t>
      </w:r>
      <w:r w:rsidR="00524EBA">
        <w:t>C.</w:t>
      </w:r>
      <w:r w:rsidRPr="00A72369">
        <w:t xml:space="preserve"> 717c</w:t>
      </w:r>
      <w:r>
        <w:t>.</w:t>
      </w:r>
    </w:p>
  </w:footnote>
  <w:footnote w:id="4">
    <w:p w14:paraId="413CF369" w14:textId="77777777" w:rsidR="0009427E" w:rsidRDefault="0009427E" w:rsidP="00C024F1">
      <w:pPr>
        <w:pStyle w:val="FootnoteText"/>
      </w:pPr>
      <w:r>
        <w:rPr>
          <w:rStyle w:val="FootnoteReference"/>
        </w:rPr>
        <w:footnoteRef/>
      </w:r>
      <w:r>
        <w:t xml:space="preserve"> </w:t>
      </w:r>
      <w:r w:rsidRPr="00C2559A">
        <w:t>The Brooklyn Union Gas Company d/b/a National Grid NY; KeySpan Gas East Corporation d/b/a National Grid; Boston Gas Company d/b/a National Grid; The Narragansett Electric Company d/b/a National Grid; and Niagara Mohawk Power Corporation d/b/a National Grid, all subsidiaries of National Grid USA, Inc. (collectively</w:t>
      </w:r>
      <w:r>
        <w:t>,</w:t>
      </w:r>
      <w:r w:rsidRPr="00C2559A">
        <w:t xml:space="preserve"> the National Grid Gas Delivery Companies</w:t>
      </w:r>
      <w:r>
        <w:t>).</w:t>
      </w:r>
    </w:p>
  </w:footnote>
  <w:footnote w:id="5">
    <w:p w14:paraId="533A4457" w14:textId="6790ABD6" w:rsidR="0009427E" w:rsidRDefault="0009427E" w:rsidP="00502A83">
      <w:pPr>
        <w:pStyle w:val="FootnoteText"/>
      </w:pPr>
      <w:r w:rsidRPr="00182E31">
        <w:rPr>
          <w:b/>
          <w:vertAlign w:val="superscript"/>
        </w:rPr>
        <w:footnoteRef/>
      </w:r>
      <w:r>
        <w:t xml:space="preserve"> 18 CFR 284.10 (2021).</w:t>
      </w:r>
    </w:p>
  </w:footnote>
  <w:footnote w:id="6">
    <w:p w14:paraId="657B12F4" w14:textId="5C8B5247" w:rsidR="0009427E" w:rsidRDefault="0009427E" w:rsidP="00502A83">
      <w:pPr>
        <w:pStyle w:val="FootnoteText"/>
      </w:pPr>
      <w:r>
        <w:rPr>
          <w:rStyle w:val="FootnoteReference"/>
        </w:rPr>
        <w:footnoteRef/>
      </w:r>
      <w:r>
        <w:t xml:space="preserve"> 18 CFR 154.312 </w:t>
      </w:r>
      <w:r w:rsidR="00E32A5E">
        <w:t>&amp;</w:t>
      </w:r>
      <w:r>
        <w:t xml:space="preserve"> 154.313</w:t>
      </w:r>
      <w:r w:rsidR="00E32A5E">
        <w:t xml:space="preserve"> (2021)</w:t>
      </w:r>
      <w:r>
        <w:t xml:space="preserve">.   </w:t>
      </w:r>
    </w:p>
  </w:footnote>
  <w:footnote w:id="7">
    <w:p w14:paraId="563C974D" w14:textId="5A36E133" w:rsidR="0009427E" w:rsidRDefault="0009427E">
      <w:pPr>
        <w:pStyle w:val="FootnoteText"/>
      </w:pPr>
      <w:r>
        <w:rPr>
          <w:rStyle w:val="FootnoteReference"/>
        </w:rPr>
        <w:footnoteRef/>
      </w:r>
      <w:r>
        <w:t xml:space="preserve"> </w:t>
      </w:r>
      <w:r w:rsidRPr="000B0377">
        <w:t>15 U</w:t>
      </w:r>
      <w:r>
        <w:t>.</w:t>
      </w:r>
      <w:r w:rsidRPr="000B0377">
        <w:t>S</w:t>
      </w:r>
      <w:r>
        <w:t>.</w:t>
      </w:r>
      <w:r w:rsidRPr="000B0377">
        <w:t>C. 717c(d).</w:t>
      </w:r>
    </w:p>
  </w:footnote>
  <w:footnote w:id="8">
    <w:p w14:paraId="41F652A2" w14:textId="042090B7" w:rsidR="0009427E" w:rsidRDefault="0009427E" w:rsidP="007C269E">
      <w:pPr>
        <w:pStyle w:val="FootnoteText"/>
      </w:pPr>
      <w:r>
        <w:rPr>
          <w:rStyle w:val="FootnoteReference"/>
        </w:rPr>
        <w:footnoteRef/>
      </w:r>
      <w:r>
        <w:t xml:space="preserve"> 18 CFR 154.312.  </w:t>
      </w:r>
    </w:p>
  </w:footnote>
  <w:footnote w:id="9">
    <w:p w14:paraId="4ADED64B" w14:textId="466EB35F" w:rsidR="0009427E" w:rsidRPr="006975CA" w:rsidRDefault="0009427E" w:rsidP="007C269E">
      <w:pPr>
        <w:pStyle w:val="FootnoteText"/>
      </w:pPr>
      <w:r>
        <w:rPr>
          <w:rStyle w:val="FootnoteReference"/>
        </w:rPr>
        <w:footnoteRef/>
      </w:r>
      <w:r>
        <w:t xml:space="preserve"> </w:t>
      </w:r>
      <w:r w:rsidRPr="006975CA">
        <w:rPr>
          <w:i/>
          <w:iCs/>
        </w:rPr>
        <w:t>Filing and Reporting Requirements for Interstate Nat</w:t>
      </w:r>
      <w:r w:rsidR="00E32A5E">
        <w:rPr>
          <w:i/>
          <w:iCs/>
        </w:rPr>
        <w:t>.</w:t>
      </w:r>
      <w:r w:rsidRPr="006975CA">
        <w:rPr>
          <w:i/>
          <w:iCs/>
        </w:rPr>
        <w:t xml:space="preserve"> Gas Co</w:t>
      </w:r>
      <w:r w:rsidR="00E32A5E">
        <w:rPr>
          <w:i/>
          <w:iCs/>
        </w:rPr>
        <w:t>.</w:t>
      </w:r>
      <w:r w:rsidRPr="006975CA">
        <w:rPr>
          <w:i/>
          <w:iCs/>
        </w:rPr>
        <w:t xml:space="preserve"> Rate Schedules</w:t>
      </w:r>
      <w:r w:rsidR="00E32A5E">
        <w:rPr>
          <w:i/>
          <w:iCs/>
        </w:rPr>
        <w:t xml:space="preserve"> &amp;</w:t>
      </w:r>
      <w:r w:rsidRPr="006975CA">
        <w:rPr>
          <w:i/>
          <w:iCs/>
        </w:rPr>
        <w:t xml:space="preserve"> Tariffs</w:t>
      </w:r>
      <w:r>
        <w:t xml:space="preserve">, Order No. 582, </w:t>
      </w:r>
      <w:r w:rsidRPr="005E508E">
        <w:t xml:space="preserve">60 </w:t>
      </w:r>
      <w:r w:rsidR="001307EF">
        <w:t>FR</w:t>
      </w:r>
      <w:r w:rsidRPr="005E508E">
        <w:t xml:space="preserve"> 52,960, </w:t>
      </w:r>
      <w:r w:rsidR="00E32A5E">
        <w:t xml:space="preserve">52,994 (Oct. 11, 1995), </w:t>
      </w:r>
      <w:r w:rsidRPr="00D37787">
        <w:t>FERC Stats.</w:t>
      </w:r>
      <w:r w:rsidR="00E32A5E">
        <w:t xml:space="preserve"> &amp;</w:t>
      </w:r>
      <w:r w:rsidRPr="00D37787">
        <w:t xml:space="preserve"> Regs. </w:t>
      </w:r>
      <w:r w:rsidR="00E32A5E">
        <w:t xml:space="preserve">         </w:t>
      </w:r>
      <w:r w:rsidRPr="00D37787">
        <w:t>¶ 31,025</w:t>
      </w:r>
      <w:r>
        <w:t xml:space="preserve"> </w:t>
      </w:r>
      <w:r w:rsidRPr="005E508E">
        <w:t xml:space="preserve">(1995), </w:t>
      </w:r>
      <w:r w:rsidRPr="00217DFB">
        <w:rPr>
          <w:i/>
          <w:iCs/>
        </w:rPr>
        <w:t>order on clarification</w:t>
      </w:r>
      <w:r w:rsidRPr="005E508E">
        <w:t>, 76 FERC ¶ 61,077 (1996)</w:t>
      </w:r>
      <w:r w:rsidR="00E32A5E">
        <w:t xml:space="preserve"> (Order on Clarification)</w:t>
      </w:r>
      <w:r w:rsidRPr="005E508E">
        <w:t>.</w:t>
      </w:r>
    </w:p>
  </w:footnote>
  <w:footnote w:id="10">
    <w:p w14:paraId="61CFE8CA" w14:textId="4CB21BAE" w:rsidR="0009427E" w:rsidRDefault="0009427E" w:rsidP="007C269E">
      <w:pPr>
        <w:pStyle w:val="FootnoteText"/>
      </w:pPr>
      <w:r>
        <w:rPr>
          <w:rStyle w:val="FootnoteReference"/>
        </w:rPr>
        <w:footnoteRef/>
      </w:r>
      <w:r>
        <w:t xml:space="preserve"> In Order No. 703, the Commission confirmed this requirement that pipelines submit </w:t>
      </w:r>
      <w:r w:rsidRPr="00A304C5">
        <w:t>spreadsheets in native format for Statements I, J and a portion of H, including intact formulas.</w:t>
      </w:r>
      <w:r w:rsidRPr="00A304C5">
        <w:rPr>
          <w:i/>
          <w:iCs/>
        </w:rPr>
        <w:t xml:space="preserve"> </w:t>
      </w:r>
      <w:r>
        <w:rPr>
          <w:i/>
          <w:iCs/>
        </w:rPr>
        <w:t xml:space="preserve"> </w:t>
      </w:r>
      <w:r w:rsidRPr="009C467A">
        <w:rPr>
          <w:i/>
          <w:iCs/>
        </w:rPr>
        <w:t>Filing Via the Internet</w:t>
      </w:r>
      <w:r>
        <w:t xml:space="preserve">, Order No. 703, </w:t>
      </w:r>
      <w:r w:rsidR="00E32A5E">
        <w:t xml:space="preserve">72 FR 65659 (Nov. 23, 2007), </w:t>
      </w:r>
      <w:r w:rsidRPr="009C467A">
        <w:t>121 FERC ¶ 61,171</w:t>
      </w:r>
      <w:r>
        <w:t xml:space="preserve"> at P 26</w:t>
      </w:r>
      <w:r w:rsidR="00E32A5E">
        <w:t xml:space="preserve"> (2007</w:t>
      </w:r>
      <w:r>
        <w:t>).</w:t>
      </w:r>
    </w:p>
  </w:footnote>
  <w:footnote w:id="11">
    <w:p w14:paraId="71B93218" w14:textId="21DCD96B" w:rsidR="00941AF3" w:rsidRDefault="00941AF3">
      <w:pPr>
        <w:pStyle w:val="FootnoteText"/>
      </w:pPr>
      <w:r>
        <w:rPr>
          <w:rStyle w:val="FootnoteReference"/>
        </w:rPr>
        <w:footnoteRef/>
      </w:r>
      <w:r>
        <w:t xml:space="preserve"> </w:t>
      </w:r>
      <w:r w:rsidRPr="00E72B7C">
        <w:rPr>
          <w:i/>
          <w:iCs/>
        </w:rPr>
        <w:t>FERC Implementation Guide for Electronic Filing of Parts 35, 154, 284, 300 and 341 Tariff Filings</w:t>
      </w:r>
      <w:r w:rsidRPr="00E72B7C">
        <w:t xml:space="preserve"> (2016).</w:t>
      </w:r>
    </w:p>
  </w:footnote>
  <w:footnote w:id="12">
    <w:p w14:paraId="00227CA8" w14:textId="0492F088" w:rsidR="0009427E" w:rsidRDefault="0009427E" w:rsidP="007C269E">
      <w:pPr>
        <w:pStyle w:val="FootnoteText"/>
      </w:pPr>
      <w:r>
        <w:rPr>
          <w:rStyle w:val="FootnoteReference"/>
        </w:rPr>
        <w:footnoteRef/>
      </w:r>
      <w:r>
        <w:t xml:space="preserve"> </w:t>
      </w:r>
      <w:r w:rsidR="00941AF3" w:rsidRPr="00BA17F9">
        <w:rPr>
          <w:i/>
          <w:iCs/>
        </w:rPr>
        <w:t>Id.</w:t>
      </w:r>
    </w:p>
  </w:footnote>
  <w:footnote w:id="13">
    <w:p w14:paraId="3F2DFFE0" w14:textId="6F2ED5EB" w:rsidR="0009427E" w:rsidRDefault="0009427E" w:rsidP="00B35FF5">
      <w:pPr>
        <w:pStyle w:val="FootnoteText"/>
      </w:pPr>
      <w:r>
        <w:rPr>
          <w:rStyle w:val="FootnoteReference"/>
        </w:rPr>
        <w:footnoteRef/>
      </w:r>
      <w:r>
        <w:t xml:space="preserve"> “Formulas and links intact” includes formulas and links within individual spreadsheets and between spreadsheets.  For example, the proposal will require that formulas and links within Schedule I-2 be intact within Schedule I-2, and intact for any progressive calculations that flow data from Schedule I-2.</w:t>
      </w:r>
    </w:p>
  </w:footnote>
  <w:footnote w:id="14">
    <w:p w14:paraId="2782B28F" w14:textId="48249D7E" w:rsidR="0009427E" w:rsidRDefault="0009427E" w:rsidP="00BE0AFD">
      <w:pPr>
        <w:pStyle w:val="FootnoteText"/>
        <w:widowControl/>
      </w:pPr>
      <w:r>
        <w:rPr>
          <w:rStyle w:val="FootnoteReference"/>
        </w:rPr>
        <w:footnoteRef/>
      </w:r>
      <w:r>
        <w:t xml:space="preserve"> O</w:t>
      </w:r>
      <w:r w:rsidR="00E32A5E">
        <w:t>rder</w:t>
      </w:r>
      <w:r w:rsidRPr="00655690">
        <w:rPr>
          <w:i/>
          <w:iCs/>
        </w:rPr>
        <w:t xml:space="preserve"> </w:t>
      </w:r>
      <w:r w:rsidRPr="00E32A5E">
        <w:t>on</w:t>
      </w:r>
      <w:r w:rsidRPr="00655690">
        <w:rPr>
          <w:i/>
          <w:iCs/>
        </w:rPr>
        <w:t xml:space="preserve"> </w:t>
      </w:r>
      <w:r w:rsidR="00E32A5E">
        <w:t>C</w:t>
      </w:r>
      <w:r w:rsidRPr="00E32A5E">
        <w:t>larification</w:t>
      </w:r>
      <w:r>
        <w:t xml:space="preserve">, </w:t>
      </w:r>
      <w:r w:rsidRPr="005E508E">
        <w:t xml:space="preserve">76 FERC </w:t>
      </w:r>
      <w:r w:rsidRPr="00655690">
        <w:t>at 61,455.</w:t>
      </w:r>
    </w:p>
  </w:footnote>
  <w:footnote w:id="15">
    <w:p w14:paraId="1B5C966E" w14:textId="77777777" w:rsidR="0009427E" w:rsidRDefault="0009427E" w:rsidP="00865AEB">
      <w:pPr>
        <w:pStyle w:val="FootnoteText"/>
      </w:pPr>
      <w:r>
        <w:rPr>
          <w:rStyle w:val="FootnoteReference"/>
        </w:rPr>
        <w:footnoteRef/>
      </w:r>
      <w:r>
        <w:t xml:space="preserve"> 44 U.S.C. 3507(d).</w:t>
      </w:r>
    </w:p>
  </w:footnote>
  <w:footnote w:id="16">
    <w:p w14:paraId="4A03CC75" w14:textId="7F876C56" w:rsidR="0009427E" w:rsidRDefault="0009427E" w:rsidP="00865AEB">
      <w:pPr>
        <w:pStyle w:val="FootnoteText"/>
      </w:pPr>
      <w:r>
        <w:rPr>
          <w:rStyle w:val="FootnoteReference"/>
        </w:rPr>
        <w:footnoteRef/>
      </w:r>
      <w:r>
        <w:t xml:space="preserve"> 5 CFR 1320.11</w:t>
      </w:r>
      <w:r w:rsidR="00E32A5E">
        <w:t xml:space="preserve"> (2021)</w:t>
      </w:r>
      <w:r>
        <w:t>.</w:t>
      </w:r>
    </w:p>
  </w:footnote>
  <w:footnote w:id="17">
    <w:p w14:paraId="300A1692" w14:textId="10A77A3A" w:rsidR="0009427E" w:rsidRDefault="0009427E" w:rsidP="00865AEB">
      <w:pPr>
        <w:pStyle w:val="FootnoteText"/>
      </w:pPr>
      <w:r>
        <w:rPr>
          <w:rStyle w:val="FootnoteReference"/>
        </w:rPr>
        <w:footnoteRef/>
      </w:r>
      <w:r>
        <w:t xml:space="preserve"> “Burden” is the total time, effort, or financial resources expended by persons to generate, maintain, retain, disclose or provide information to or for a Federal agency.</w:t>
      </w:r>
      <w:r w:rsidR="00BE0AFD">
        <w:t xml:space="preserve">  </w:t>
      </w:r>
      <w:r>
        <w:t xml:space="preserve">For further explanation of what is included in the information collection burden, refer to </w:t>
      </w:r>
      <w:r w:rsidR="00BE0AFD">
        <w:t xml:space="preserve">       </w:t>
      </w:r>
      <w:r>
        <w:t>5 CFR 1320.3.</w:t>
      </w:r>
    </w:p>
  </w:footnote>
  <w:footnote w:id="18">
    <w:p w14:paraId="0E10AC72" w14:textId="3144A1D1" w:rsidR="0009427E" w:rsidRDefault="0009427E" w:rsidP="00BE0AFD">
      <w:pPr>
        <w:pStyle w:val="FootnoteText"/>
        <w:widowControl/>
        <w:spacing w:after="0"/>
      </w:pPr>
      <w:r>
        <w:rPr>
          <w:rStyle w:val="FootnoteReference"/>
        </w:rPr>
        <w:footnoteRef/>
      </w:r>
      <w:r>
        <w:t xml:space="preserve"> </w:t>
      </w:r>
      <w:r w:rsidRPr="002161A4">
        <w:t xml:space="preserve">The estimated hourly cost (salary plus benefits) provided in this section is based on the salary figures for May 2021 posted by the Bureau of Labor Statistics for the Utilities sector (available at </w:t>
      </w:r>
      <w:hyperlink r:id="rId2" w:history="1">
        <w:r w:rsidRPr="002161A4">
          <w:rPr>
            <w:rStyle w:val="Hyperlink"/>
          </w:rPr>
          <w:t>https://www.bls.gov/oes/current/naics3_221000.htm</w:t>
        </w:r>
      </w:hyperlink>
      <w:r w:rsidRPr="002161A4">
        <w:t xml:space="preserve">) and scaled to reflect benefits using the relative importance of employer costs for employee compensation from June 2021 (available at </w:t>
      </w:r>
      <w:hyperlink r:id="rId3" w:history="1">
        <w:r w:rsidRPr="002161A4">
          <w:rPr>
            <w:rStyle w:val="Hyperlink"/>
          </w:rPr>
          <w:t>https://www.bls.gov/news.release/ecec.nr0.htm</w:t>
        </w:r>
      </w:hyperlink>
      <w:r w:rsidRPr="002161A4">
        <w:t xml:space="preserve">).  The hourly estimates for salary plus benefits are: </w:t>
      </w:r>
      <w:r w:rsidR="00BE0AFD">
        <w:t xml:space="preserve"> </w:t>
      </w:r>
      <w:r w:rsidRPr="002161A4">
        <w:t>Computer and Information Systems Manager (Occupation Code:</w:t>
      </w:r>
      <w:r w:rsidR="00BE0AFD">
        <w:t xml:space="preserve">  </w:t>
      </w:r>
      <w:r w:rsidRPr="002161A4">
        <w:t>11-3021), $103.61</w:t>
      </w:r>
      <w:r w:rsidR="001307EF">
        <w:t xml:space="preserve">; </w:t>
      </w:r>
      <w:r w:rsidRPr="002161A4">
        <w:t>Computer and Information Analysts (Occupation Code:</w:t>
      </w:r>
      <w:r w:rsidR="00BE0AFD">
        <w:t xml:space="preserve">  </w:t>
      </w:r>
      <w:r w:rsidRPr="002161A4">
        <w:t>15-1120(1221), $67.99</w:t>
      </w:r>
      <w:r w:rsidR="001307EF">
        <w:t xml:space="preserve">; </w:t>
      </w:r>
      <w:r w:rsidRPr="002161A4">
        <w:t>Electrical Engineer (Occupation Code:</w:t>
      </w:r>
      <w:r w:rsidR="00BE0AFD">
        <w:t xml:space="preserve">  </w:t>
      </w:r>
      <w:r w:rsidRPr="002161A4">
        <w:t>7-2071), $72.15</w:t>
      </w:r>
      <w:r w:rsidR="001307EF">
        <w:t xml:space="preserve">; </w:t>
      </w:r>
      <w:r w:rsidRPr="002161A4">
        <w:t>Legal (Occupation Code:</w:t>
      </w:r>
      <w:r w:rsidR="00BE0AFD">
        <w:t xml:space="preserve">  </w:t>
      </w:r>
      <w:r w:rsidRPr="002161A4">
        <w:t>23-0000), $142.25</w:t>
      </w:r>
      <w:r w:rsidR="001307EF">
        <w:t xml:space="preserve">.  </w:t>
      </w:r>
      <w:r w:rsidRPr="002161A4">
        <w:t>The average hourly cost (salary plus benefits)</w:t>
      </w:r>
      <w:r>
        <w:t xml:space="preserve"> </w:t>
      </w:r>
      <w:r w:rsidRPr="002161A4">
        <w:t>weighting all of t</w:t>
      </w:r>
      <w:r>
        <w:t xml:space="preserve">he above </w:t>
      </w:r>
      <w:r w:rsidRPr="002161A4">
        <w:t>skill sets evenly, is $96.50.</w:t>
      </w:r>
      <w:r w:rsidR="00BE0AFD">
        <w:t xml:space="preserve">  </w:t>
      </w:r>
      <w:r w:rsidRPr="002161A4">
        <w:t>We round it to $97/hour.</w:t>
      </w:r>
      <w:r>
        <w:t xml:space="preserve"> </w:t>
      </w:r>
    </w:p>
  </w:footnote>
  <w:footnote w:id="19">
    <w:p w14:paraId="15ED4D87" w14:textId="4CA9BB34" w:rsidR="0009427E" w:rsidRDefault="0009427E" w:rsidP="00AF4249">
      <w:pPr>
        <w:pStyle w:val="FootnoteText"/>
      </w:pPr>
      <w:r w:rsidRPr="00AF4249">
        <w:rPr>
          <w:rStyle w:val="FootnoteReference"/>
        </w:rPr>
        <w:footnoteRef/>
      </w:r>
      <w:r>
        <w:t xml:space="preserve"> </w:t>
      </w:r>
      <w:r>
        <w:rPr>
          <w:i/>
          <w:iCs/>
        </w:rPr>
        <w:t>Regul</w:t>
      </w:r>
      <w:r w:rsidRPr="00E950E7">
        <w:rPr>
          <w:i/>
          <w:iCs/>
        </w:rPr>
        <w:t>s</w:t>
      </w:r>
      <w:r>
        <w:rPr>
          <w:i/>
          <w:iCs/>
        </w:rPr>
        <w:t>.</w:t>
      </w:r>
      <w:r w:rsidRPr="00E950E7">
        <w:rPr>
          <w:i/>
          <w:iCs/>
        </w:rPr>
        <w:t xml:space="preserve"> Implementing the </w:t>
      </w:r>
      <w:r>
        <w:rPr>
          <w:i/>
          <w:iCs/>
        </w:rPr>
        <w:t>Nat’l</w:t>
      </w:r>
      <w:r w:rsidRPr="00E950E7">
        <w:rPr>
          <w:i/>
          <w:iCs/>
        </w:rPr>
        <w:t xml:space="preserve"> </w:t>
      </w:r>
      <w:r>
        <w:rPr>
          <w:i/>
          <w:iCs/>
        </w:rPr>
        <w:t>Envt’l</w:t>
      </w:r>
      <w:r w:rsidRPr="00E950E7">
        <w:rPr>
          <w:i/>
          <w:iCs/>
        </w:rPr>
        <w:t xml:space="preserve"> </w:t>
      </w:r>
      <w:r>
        <w:rPr>
          <w:i/>
          <w:iCs/>
        </w:rPr>
        <w:t>Pol’y</w:t>
      </w:r>
      <w:r w:rsidRPr="00E950E7">
        <w:rPr>
          <w:i/>
          <w:iCs/>
        </w:rPr>
        <w:t xml:space="preserve"> Act</w:t>
      </w:r>
      <w:r>
        <w:t xml:space="preserve">, </w:t>
      </w:r>
      <w:r w:rsidRPr="00346257">
        <w:t>Ord</w:t>
      </w:r>
      <w:r>
        <w:t>er</w:t>
      </w:r>
      <w:r w:rsidRPr="00346257">
        <w:t xml:space="preserve"> No. 486</w:t>
      </w:r>
      <w:r>
        <w:t>, 52 FR 47897 (Dec. 17, 1987), FERC Stats. &amp; Regs. ¶ 30,783 (1987)</w:t>
      </w:r>
      <w:r w:rsidR="00E32A5E">
        <w:t xml:space="preserve"> </w:t>
      </w:r>
      <w:r>
        <w:t>(</w:t>
      </w:r>
      <w:r w:rsidRPr="00E950E7">
        <w:t xml:space="preserve">cross-referenced at 41 FERC </w:t>
      </w:r>
      <w:r w:rsidR="00E32A5E">
        <w:t xml:space="preserve">       </w:t>
      </w:r>
      <w:r w:rsidRPr="00E950E7">
        <w:t>¶ 61,284).</w:t>
      </w:r>
    </w:p>
  </w:footnote>
  <w:footnote w:id="20">
    <w:p w14:paraId="665591C7" w14:textId="18328275" w:rsidR="0009427E" w:rsidRPr="00597AE0" w:rsidRDefault="0009427E" w:rsidP="00C52046">
      <w:pPr>
        <w:pStyle w:val="FootnoteText"/>
      </w:pPr>
      <w:r w:rsidRPr="00597AE0">
        <w:rPr>
          <w:b/>
          <w:vertAlign w:val="superscript"/>
        </w:rPr>
        <w:footnoteRef/>
      </w:r>
      <w:r w:rsidRPr="00597AE0">
        <w:t xml:space="preserve"> </w:t>
      </w:r>
      <w:r w:rsidRPr="00597AE0">
        <w:rPr>
          <w:i/>
        </w:rPr>
        <w:t>See</w:t>
      </w:r>
      <w:r w:rsidRPr="00597AE0">
        <w:t xml:space="preserve"> 18 CFR 380.4(a)(2)(ii), 380.4(a)(5) </w:t>
      </w:r>
      <w:r w:rsidR="00E32A5E">
        <w:t>&amp;</w:t>
      </w:r>
      <w:r w:rsidRPr="00597AE0">
        <w:t xml:space="preserve"> 380.4(a)(27)</w:t>
      </w:r>
      <w:r>
        <w:t xml:space="preserve"> (2021)</w:t>
      </w:r>
      <w:r w:rsidRPr="00597AE0">
        <w:t>.</w:t>
      </w:r>
    </w:p>
  </w:footnote>
  <w:footnote w:id="21">
    <w:p w14:paraId="4BC3E366" w14:textId="77777777" w:rsidR="0009427E" w:rsidRPr="00060537" w:rsidRDefault="0009427E" w:rsidP="00AF4249">
      <w:pPr>
        <w:pStyle w:val="FootnoteText"/>
      </w:pPr>
      <w:r w:rsidRPr="00AF4249">
        <w:rPr>
          <w:rStyle w:val="FootnoteReference"/>
        </w:rPr>
        <w:footnoteRef/>
      </w:r>
      <w:r>
        <w:t xml:space="preserve"> 5 U.S.C. 601-612.</w:t>
      </w:r>
    </w:p>
  </w:footnote>
  <w:footnote w:id="22">
    <w:p w14:paraId="5A9E4F49" w14:textId="70648A5E" w:rsidR="0009427E" w:rsidRDefault="0009427E">
      <w:pPr>
        <w:pStyle w:val="FootnoteText"/>
      </w:pPr>
      <w:r>
        <w:rPr>
          <w:rStyle w:val="FootnoteReference"/>
        </w:rPr>
        <w:footnoteRef/>
      </w:r>
      <w:r>
        <w:t xml:space="preserve"> Small Business Administration NAICS Category 486210, “Pipeline Transportation of Natural Gas” under 13 CFR Chapter 1 Part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36A3" w14:textId="77777777" w:rsidR="0009427E" w:rsidRDefault="0009427E" w:rsidP="006B42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241E62E" w14:textId="77777777" w:rsidR="0009427E" w:rsidRDefault="0009427E" w:rsidP="006B424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EF3B" w14:textId="622E587D" w:rsidR="0009427E" w:rsidRDefault="0009427E" w:rsidP="00AF4249">
    <w:pPr>
      <w:pStyle w:val="Header"/>
      <w:tabs>
        <w:tab w:val="clear" w:pos="4680"/>
      </w:tabs>
      <w:spacing w:after="240"/>
    </w:pPr>
    <w:r>
      <w:t>Docket No. RM21-18-000</w:t>
    </w:r>
    <w:r>
      <w:tab/>
    </w:r>
    <w:r>
      <w:fldChar w:fldCharType="begin"/>
    </w:r>
    <w:r>
      <w:instrText xml:space="preserve"> PAGE  \* MERGEFORMAT </w:instrText>
    </w:r>
    <w:r>
      <w:fldChar w:fldCharType="separate"/>
    </w:r>
    <w:r>
      <w:rPr>
        <w:noProof/>
      </w:rPr>
      <w:t>ii</w:t>
    </w:r>
    <w: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7B9AD" w14:textId="77777777" w:rsidR="0009427E" w:rsidRDefault="0009427E" w:rsidP="006B4244">
    <w:pPr>
      <w:pStyle w:val="Header"/>
      <w:tabs>
        <w:tab w:val="clear" w:pos="4680"/>
        <w:tab w:val="clear" w:pos="9360"/>
        <w:tab w:val="left"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DD2A1" w14:textId="77777777" w:rsidR="0009427E" w:rsidRDefault="0009427E"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60A63869" w14:textId="77777777" w:rsidR="0009427E" w:rsidRDefault="0009427E" w:rsidP="00407EE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7237" w14:textId="1D45C942" w:rsidR="0009427E" w:rsidRDefault="0009427E" w:rsidP="00AF4249">
    <w:pPr>
      <w:pStyle w:val="Header"/>
      <w:tabs>
        <w:tab w:val="clear" w:pos="4680"/>
      </w:tabs>
      <w:spacing w:after="240"/>
    </w:pPr>
    <w:r>
      <w:t>Docket No. RM21-18-</w:t>
    </w:r>
    <w:proofErr w:type="gramStart"/>
    <w:r>
      <w:t xml:space="preserve">000  </w:t>
    </w:r>
    <w:r>
      <w:tab/>
    </w:r>
    <w:proofErr w:type="gramEnd"/>
    <w:r>
      <w:fldChar w:fldCharType="begin"/>
    </w:r>
    <w:r>
      <w:instrText xml:space="preserve"> PAGE  \* MERGEFORMAT </w:instrText>
    </w:r>
    <w:r>
      <w:fldChar w:fldCharType="separate"/>
    </w:r>
    <w:r>
      <w:rPr>
        <w:noProof/>
      </w:rPr>
      <w:t>- 2 -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1F9B" w14:textId="77777777" w:rsidR="0009427E" w:rsidRDefault="0009427E"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771FE"/>
    <w:multiLevelType w:val="hybridMultilevel"/>
    <w:tmpl w:val="F5B2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6"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33A0B"/>
    <w:multiLevelType w:val="hybridMultilevel"/>
    <w:tmpl w:val="D88E7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502FF"/>
    <w:multiLevelType w:val="multilevel"/>
    <w:tmpl w:val="E11C81E2"/>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1"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4"/>
  </w:num>
  <w:num w:numId="14">
    <w:abstractNumId w:val="20"/>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5"/>
  </w:num>
  <w:num w:numId="20">
    <w:abstractNumId w:val="12"/>
  </w:num>
  <w:num w:numId="21">
    <w:abstractNumId w:val="22"/>
  </w:num>
  <w:num w:numId="22">
    <w:abstractNumId w:val="16"/>
  </w:num>
  <w:num w:numId="23">
    <w:abstractNumId w:val="17"/>
  </w:num>
  <w:num w:numId="24">
    <w:abstractNumId w:val="21"/>
    <w:lvlOverride w:ilvl="0">
      <w:startOverride w:val="1"/>
    </w:lvlOverride>
  </w:num>
  <w:num w:numId="25">
    <w:abstractNumId w:val="21"/>
    <w:lvlOverride w:ilvl="0">
      <w:startOverride w:val="1"/>
    </w:lvlOverride>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13"/>
  </w:num>
  <w:num w:numId="35">
    <w:abstractNumId w:val="18"/>
  </w:num>
  <w:num w:numId="36">
    <w:abstractNumId w:val="18"/>
  </w:num>
  <w:num w:numId="37">
    <w:abstractNumId w:val="2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49"/>
    <w:rsid w:val="00000E6D"/>
    <w:rsid w:val="00001854"/>
    <w:rsid w:val="00003340"/>
    <w:rsid w:val="0000350B"/>
    <w:rsid w:val="000071C2"/>
    <w:rsid w:val="0000731D"/>
    <w:rsid w:val="00010066"/>
    <w:rsid w:val="00010FA6"/>
    <w:rsid w:val="000118C8"/>
    <w:rsid w:val="00013B41"/>
    <w:rsid w:val="000143AA"/>
    <w:rsid w:val="0002042F"/>
    <w:rsid w:val="00022A33"/>
    <w:rsid w:val="0002355F"/>
    <w:rsid w:val="00023E4B"/>
    <w:rsid w:val="0002488F"/>
    <w:rsid w:val="00026815"/>
    <w:rsid w:val="00027A93"/>
    <w:rsid w:val="0003382F"/>
    <w:rsid w:val="00036EF2"/>
    <w:rsid w:val="00040D89"/>
    <w:rsid w:val="000428C4"/>
    <w:rsid w:val="000444E1"/>
    <w:rsid w:val="00045784"/>
    <w:rsid w:val="000460EC"/>
    <w:rsid w:val="0004624A"/>
    <w:rsid w:val="00047EFC"/>
    <w:rsid w:val="0005135D"/>
    <w:rsid w:val="00053B44"/>
    <w:rsid w:val="000550DC"/>
    <w:rsid w:val="00055CB4"/>
    <w:rsid w:val="00055F5F"/>
    <w:rsid w:val="00056D75"/>
    <w:rsid w:val="00057DF8"/>
    <w:rsid w:val="0006117F"/>
    <w:rsid w:val="00062732"/>
    <w:rsid w:val="00063DEA"/>
    <w:rsid w:val="00066C0F"/>
    <w:rsid w:val="00070857"/>
    <w:rsid w:val="0007377C"/>
    <w:rsid w:val="0007636C"/>
    <w:rsid w:val="0008478C"/>
    <w:rsid w:val="00084850"/>
    <w:rsid w:val="00084A31"/>
    <w:rsid w:val="00086D98"/>
    <w:rsid w:val="0008778D"/>
    <w:rsid w:val="00087924"/>
    <w:rsid w:val="000919B8"/>
    <w:rsid w:val="00092634"/>
    <w:rsid w:val="00092D38"/>
    <w:rsid w:val="0009427E"/>
    <w:rsid w:val="00097C05"/>
    <w:rsid w:val="000A0A38"/>
    <w:rsid w:val="000A3D2F"/>
    <w:rsid w:val="000A6835"/>
    <w:rsid w:val="000A6C08"/>
    <w:rsid w:val="000A6CE8"/>
    <w:rsid w:val="000B0377"/>
    <w:rsid w:val="000B063F"/>
    <w:rsid w:val="000B4124"/>
    <w:rsid w:val="000B45B9"/>
    <w:rsid w:val="000B75E9"/>
    <w:rsid w:val="000B7E62"/>
    <w:rsid w:val="000C0253"/>
    <w:rsid w:val="000C1FCA"/>
    <w:rsid w:val="000C2191"/>
    <w:rsid w:val="000C488B"/>
    <w:rsid w:val="000C4A0B"/>
    <w:rsid w:val="000C6869"/>
    <w:rsid w:val="000D0EE6"/>
    <w:rsid w:val="000D1D4B"/>
    <w:rsid w:val="000D1FB6"/>
    <w:rsid w:val="000D3634"/>
    <w:rsid w:val="000D739B"/>
    <w:rsid w:val="000D7DD4"/>
    <w:rsid w:val="000D7E96"/>
    <w:rsid w:val="000E065C"/>
    <w:rsid w:val="000E0857"/>
    <w:rsid w:val="000E0FB3"/>
    <w:rsid w:val="000E2BFA"/>
    <w:rsid w:val="000F2DC1"/>
    <w:rsid w:val="000F372C"/>
    <w:rsid w:val="000F41F3"/>
    <w:rsid w:val="000F603B"/>
    <w:rsid w:val="000F6403"/>
    <w:rsid w:val="000F6C7F"/>
    <w:rsid w:val="00100E1B"/>
    <w:rsid w:val="00100F76"/>
    <w:rsid w:val="00101107"/>
    <w:rsid w:val="00101216"/>
    <w:rsid w:val="00101F65"/>
    <w:rsid w:val="00102736"/>
    <w:rsid w:val="0010290F"/>
    <w:rsid w:val="00104F76"/>
    <w:rsid w:val="00110A16"/>
    <w:rsid w:val="00112368"/>
    <w:rsid w:val="00115DCA"/>
    <w:rsid w:val="00120603"/>
    <w:rsid w:val="001208A2"/>
    <w:rsid w:val="001209EF"/>
    <w:rsid w:val="001236E4"/>
    <w:rsid w:val="00124C66"/>
    <w:rsid w:val="00124E14"/>
    <w:rsid w:val="0012713F"/>
    <w:rsid w:val="00127478"/>
    <w:rsid w:val="001279B9"/>
    <w:rsid w:val="001307EF"/>
    <w:rsid w:val="00130CCE"/>
    <w:rsid w:val="00132D57"/>
    <w:rsid w:val="00135454"/>
    <w:rsid w:val="00137987"/>
    <w:rsid w:val="00137AEE"/>
    <w:rsid w:val="001421AA"/>
    <w:rsid w:val="0014309D"/>
    <w:rsid w:val="001430AA"/>
    <w:rsid w:val="00143F26"/>
    <w:rsid w:val="00146074"/>
    <w:rsid w:val="00146A50"/>
    <w:rsid w:val="00146B2E"/>
    <w:rsid w:val="001514F6"/>
    <w:rsid w:val="001520D4"/>
    <w:rsid w:val="001549DE"/>
    <w:rsid w:val="00154C7A"/>
    <w:rsid w:val="00156992"/>
    <w:rsid w:val="00160853"/>
    <w:rsid w:val="00160BA0"/>
    <w:rsid w:val="00161049"/>
    <w:rsid w:val="00161CBC"/>
    <w:rsid w:val="00164942"/>
    <w:rsid w:val="0016531B"/>
    <w:rsid w:val="0016637C"/>
    <w:rsid w:val="00171A74"/>
    <w:rsid w:val="00174617"/>
    <w:rsid w:val="0017467B"/>
    <w:rsid w:val="0017696A"/>
    <w:rsid w:val="0017701D"/>
    <w:rsid w:val="0018758C"/>
    <w:rsid w:val="001909BC"/>
    <w:rsid w:val="00190CE1"/>
    <w:rsid w:val="00191617"/>
    <w:rsid w:val="0019292E"/>
    <w:rsid w:val="0019343E"/>
    <w:rsid w:val="001960DD"/>
    <w:rsid w:val="001A0474"/>
    <w:rsid w:val="001A2AF1"/>
    <w:rsid w:val="001A33D6"/>
    <w:rsid w:val="001A3D88"/>
    <w:rsid w:val="001A48EF"/>
    <w:rsid w:val="001A563A"/>
    <w:rsid w:val="001A7FA9"/>
    <w:rsid w:val="001B042B"/>
    <w:rsid w:val="001B0789"/>
    <w:rsid w:val="001B1FE9"/>
    <w:rsid w:val="001B2C6D"/>
    <w:rsid w:val="001B2DF9"/>
    <w:rsid w:val="001B362D"/>
    <w:rsid w:val="001B4FB2"/>
    <w:rsid w:val="001C1A0E"/>
    <w:rsid w:val="001C2FBB"/>
    <w:rsid w:val="001C77EC"/>
    <w:rsid w:val="001D1696"/>
    <w:rsid w:val="001D264B"/>
    <w:rsid w:val="001D3B0D"/>
    <w:rsid w:val="001D492F"/>
    <w:rsid w:val="001D4B52"/>
    <w:rsid w:val="001D7927"/>
    <w:rsid w:val="001E262F"/>
    <w:rsid w:val="001E30A8"/>
    <w:rsid w:val="001E59F9"/>
    <w:rsid w:val="001E7A8F"/>
    <w:rsid w:val="001F0B03"/>
    <w:rsid w:val="001F0C54"/>
    <w:rsid w:val="001F41D4"/>
    <w:rsid w:val="001F4713"/>
    <w:rsid w:val="001F51A0"/>
    <w:rsid w:val="001F55B5"/>
    <w:rsid w:val="001F5CC6"/>
    <w:rsid w:val="002022F1"/>
    <w:rsid w:val="00202BC3"/>
    <w:rsid w:val="00203911"/>
    <w:rsid w:val="0020430C"/>
    <w:rsid w:val="00205D9F"/>
    <w:rsid w:val="0020666E"/>
    <w:rsid w:val="002072CF"/>
    <w:rsid w:val="002112AD"/>
    <w:rsid w:val="00211765"/>
    <w:rsid w:val="002121BB"/>
    <w:rsid w:val="002136E7"/>
    <w:rsid w:val="0021568B"/>
    <w:rsid w:val="002161A4"/>
    <w:rsid w:val="002206DB"/>
    <w:rsid w:val="00220A67"/>
    <w:rsid w:val="0022182D"/>
    <w:rsid w:val="00221BAE"/>
    <w:rsid w:val="00224859"/>
    <w:rsid w:val="002248CD"/>
    <w:rsid w:val="002258EE"/>
    <w:rsid w:val="00225A12"/>
    <w:rsid w:val="002261B3"/>
    <w:rsid w:val="00227E00"/>
    <w:rsid w:val="002318B6"/>
    <w:rsid w:val="00232A0E"/>
    <w:rsid w:val="00233763"/>
    <w:rsid w:val="00233CEF"/>
    <w:rsid w:val="00233FD0"/>
    <w:rsid w:val="00234AA1"/>
    <w:rsid w:val="002352B0"/>
    <w:rsid w:val="002354E4"/>
    <w:rsid w:val="00240444"/>
    <w:rsid w:val="00240493"/>
    <w:rsid w:val="00241D84"/>
    <w:rsid w:val="002464E8"/>
    <w:rsid w:val="0024710C"/>
    <w:rsid w:val="00253776"/>
    <w:rsid w:val="00255417"/>
    <w:rsid w:val="00257989"/>
    <w:rsid w:val="00260517"/>
    <w:rsid w:val="00261948"/>
    <w:rsid w:val="0026251D"/>
    <w:rsid w:val="00262FED"/>
    <w:rsid w:val="00267328"/>
    <w:rsid w:val="002719B0"/>
    <w:rsid w:val="00274963"/>
    <w:rsid w:val="00281065"/>
    <w:rsid w:val="002817CE"/>
    <w:rsid w:val="002824C8"/>
    <w:rsid w:val="00282DC3"/>
    <w:rsid w:val="00283AA6"/>
    <w:rsid w:val="0028432C"/>
    <w:rsid w:val="00284E46"/>
    <w:rsid w:val="002857E2"/>
    <w:rsid w:val="002859B6"/>
    <w:rsid w:val="002870A9"/>
    <w:rsid w:val="00290ABD"/>
    <w:rsid w:val="002917DD"/>
    <w:rsid w:val="00293E05"/>
    <w:rsid w:val="00296DE6"/>
    <w:rsid w:val="002A0B4A"/>
    <w:rsid w:val="002A34C1"/>
    <w:rsid w:val="002A5C43"/>
    <w:rsid w:val="002A729E"/>
    <w:rsid w:val="002A7FB5"/>
    <w:rsid w:val="002B262D"/>
    <w:rsid w:val="002B35F2"/>
    <w:rsid w:val="002B3CB8"/>
    <w:rsid w:val="002B500B"/>
    <w:rsid w:val="002B6125"/>
    <w:rsid w:val="002C57E5"/>
    <w:rsid w:val="002C7704"/>
    <w:rsid w:val="002C7F13"/>
    <w:rsid w:val="002D1528"/>
    <w:rsid w:val="002D206A"/>
    <w:rsid w:val="002D358E"/>
    <w:rsid w:val="002D65B3"/>
    <w:rsid w:val="002D770E"/>
    <w:rsid w:val="002D7D6B"/>
    <w:rsid w:val="002E2247"/>
    <w:rsid w:val="002E4022"/>
    <w:rsid w:val="002E4E8A"/>
    <w:rsid w:val="002E6406"/>
    <w:rsid w:val="002F52A9"/>
    <w:rsid w:val="00300B5C"/>
    <w:rsid w:val="00301D68"/>
    <w:rsid w:val="003031DA"/>
    <w:rsid w:val="003124A9"/>
    <w:rsid w:val="00312651"/>
    <w:rsid w:val="00313634"/>
    <w:rsid w:val="00313E90"/>
    <w:rsid w:val="00315718"/>
    <w:rsid w:val="0031602D"/>
    <w:rsid w:val="0032049B"/>
    <w:rsid w:val="003224B5"/>
    <w:rsid w:val="00322F05"/>
    <w:rsid w:val="00324F79"/>
    <w:rsid w:val="00327401"/>
    <w:rsid w:val="003346EB"/>
    <w:rsid w:val="003358DB"/>
    <w:rsid w:val="00335933"/>
    <w:rsid w:val="00336C03"/>
    <w:rsid w:val="003370A2"/>
    <w:rsid w:val="003370E4"/>
    <w:rsid w:val="003437BD"/>
    <w:rsid w:val="00343D67"/>
    <w:rsid w:val="003478CF"/>
    <w:rsid w:val="00350A21"/>
    <w:rsid w:val="00350E98"/>
    <w:rsid w:val="00350FC8"/>
    <w:rsid w:val="003520AD"/>
    <w:rsid w:val="00356733"/>
    <w:rsid w:val="00356A63"/>
    <w:rsid w:val="003608E7"/>
    <w:rsid w:val="00360AA1"/>
    <w:rsid w:val="00362BC4"/>
    <w:rsid w:val="00364E6F"/>
    <w:rsid w:val="0036500A"/>
    <w:rsid w:val="00365D75"/>
    <w:rsid w:val="00372BA8"/>
    <w:rsid w:val="00374532"/>
    <w:rsid w:val="00374868"/>
    <w:rsid w:val="00375DF4"/>
    <w:rsid w:val="00376313"/>
    <w:rsid w:val="00381E11"/>
    <w:rsid w:val="00383004"/>
    <w:rsid w:val="003830CE"/>
    <w:rsid w:val="003843C5"/>
    <w:rsid w:val="00384A28"/>
    <w:rsid w:val="00385E2D"/>
    <w:rsid w:val="003868CA"/>
    <w:rsid w:val="0039262E"/>
    <w:rsid w:val="003937F3"/>
    <w:rsid w:val="003A15D6"/>
    <w:rsid w:val="003A5145"/>
    <w:rsid w:val="003B2445"/>
    <w:rsid w:val="003B3B71"/>
    <w:rsid w:val="003B6A5F"/>
    <w:rsid w:val="003B7C85"/>
    <w:rsid w:val="003B7E9A"/>
    <w:rsid w:val="003B7F05"/>
    <w:rsid w:val="003C0302"/>
    <w:rsid w:val="003C2ECD"/>
    <w:rsid w:val="003C3A1E"/>
    <w:rsid w:val="003C41CC"/>
    <w:rsid w:val="003C505B"/>
    <w:rsid w:val="003C54A4"/>
    <w:rsid w:val="003C683A"/>
    <w:rsid w:val="003C6F0F"/>
    <w:rsid w:val="003C71CF"/>
    <w:rsid w:val="003C789D"/>
    <w:rsid w:val="003D4A56"/>
    <w:rsid w:val="003D5827"/>
    <w:rsid w:val="003D6552"/>
    <w:rsid w:val="003D7B2C"/>
    <w:rsid w:val="003E1917"/>
    <w:rsid w:val="003E259A"/>
    <w:rsid w:val="003E3180"/>
    <w:rsid w:val="003E5211"/>
    <w:rsid w:val="003F05B0"/>
    <w:rsid w:val="003F31D2"/>
    <w:rsid w:val="003F3716"/>
    <w:rsid w:val="003F3DC0"/>
    <w:rsid w:val="003F4845"/>
    <w:rsid w:val="003F489F"/>
    <w:rsid w:val="003F4DBE"/>
    <w:rsid w:val="003F557E"/>
    <w:rsid w:val="003F5DFB"/>
    <w:rsid w:val="003F76BE"/>
    <w:rsid w:val="003F7CC5"/>
    <w:rsid w:val="00400D68"/>
    <w:rsid w:val="00401A63"/>
    <w:rsid w:val="004067AD"/>
    <w:rsid w:val="0040790C"/>
    <w:rsid w:val="00407EE0"/>
    <w:rsid w:val="00414806"/>
    <w:rsid w:val="00422A19"/>
    <w:rsid w:val="0042310E"/>
    <w:rsid w:val="00423392"/>
    <w:rsid w:val="00424B78"/>
    <w:rsid w:val="004335E8"/>
    <w:rsid w:val="00434998"/>
    <w:rsid w:val="00436A3E"/>
    <w:rsid w:val="00440D78"/>
    <w:rsid w:val="00441A2A"/>
    <w:rsid w:val="004420F6"/>
    <w:rsid w:val="0044359A"/>
    <w:rsid w:val="00444F65"/>
    <w:rsid w:val="004476C6"/>
    <w:rsid w:val="0045078B"/>
    <w:rsid w:val="0045130C"/>
    <w:rsid w:val="00452FA3"/>
    <w:rsid w:val="00453578"/>
    <w:rsid w:val="004541C1"/>
    <w:rsid w:val="00454A58"/>
    <w:rsid w:val="00455214"/>
    <w:rsid w:val="0045562E"/>
    <w:rsid w:val="00456136"/>
    <w:rsid w:val="00456D5A"/>
    <w:rsid w:val="0046133D"/>
    <w:rsid w:val="00464328"/>
    <w:rsid w:val="00467A74"/>
    <w:rsid w:val="00472C9B"/>
    <w:rsid w:val="00472EBF"/>
    <w:rsid w:val="00473A5E"/>
    <w:rsid w:val="004758A9"/>
    <w:rsid w:val="00476273"/>
    <w:rsid w:val="00477399"/>
    <w:rsid w:val="0048020B"/>
    <w:rsid w:val="004864DA"/>
    <w:rsid w:val="004872BC"/>
    <w:rsid w:val="004874A4"/>
    <w:rsid w:val="00493367"/>
    <w:rsid w:val="00494355"/>
    <w:rsid w:val="00494945"/>
    <w:rsid w:val="00495E07"/>
    <w:rsid w:val="00496DBF"/>
    <w:rsid w:val="00497F70"/>
    <w:rsid w:val="004A03E5"/>
    <w:rsid w:val="004A503D"/>
    <w:rsid w:val="004B141F"/>
    <w:rsid w:val="004B3AE9"/>
    <w:rsid w:val="004B4A8D"/>
    <w:rsid w:val="004B6B0A"/>
    <w:rsid w:val="004C0E28"/>
    <w:rsid w:val="004C190E"/>
    <w:rsid w:val="004C456B"/>
    <w:rsid w:val="004C4D5F"/>
    <w:rsid w:val="004C4E0C"/>
    <w:rsid w:val="004D12F0"/>
    <w:rsid w:val="004D2A40"/>
    <w:rsid w:val="004D3112"/>
    <w:rsid w:val="004D35E8"/>
    <w:rsid w:val="004D4F33"/>
    <w:rsid w:val="004D614C"/>
    <w:rsid w:val="004E1DAE"/>
    <w:rsid w:val="004E25A6"/>
    <w:rsid w:val="004E7E45"/>
    <w:rsid w:val="004F5759"/>
    <w:rsid w:val="004F6475"/>
    <w:rsid w:val="0050001C"/>
    <w:rsid w:val="00502A83"/>
    <w:rsid w:val="005047DF"/>
    <w:rsid w:val="0051082E"/>
    <w:rsid w:val="00513E14"/>
    <w:rsid w:val="005154C1"/>
    <w:rsid w:val="00515745"/>
    <w:rsid w:val="005162AB"/>
    <w:rsid w:val="00517721"/>
    <w:rsid w:val="00521122"/>
    <w:rsid w:val="00522F5A"/>
    <w:rsid w:val="0052351B"/>
    <w:rsid w:val="00524EBA"/>
    <w:rsid w:val="00527397"/>
    <w:rsid w:val="005362AB"/>
    <w:rsid w:val="00541146"/>
    <w:rsid w:val="00542814"/>
    <w:rsid w:val="00544DD9"/>
    <w:rsid w:val="00545BBF"/>
    <w:rsid w:val="00545CC2"/>
    <w:rsid w:val="00546238"/>
    <w:rsid w:val="00546947"/>
    <w:rsid w:val="00547D3F"/>
    <w:rsid w:val="00552271"/>
    <w:rsid w:val="00552A11"/>
    <w:rsid w:val="0055646D"/>
    <w:rsid w:val="005577D9"/>
    <w:rsid w:val="00561DA8"/>
    <w:rsid w:val="00562CB2"/>
    <w:rsid w:val="00565CFB"/>
    <w:rsid w:val="00565E55"/>
    <w:rsid w:val="00571D6D"/>
    <w:rsid w:val="005728B9"/>
    <w:rsid w:val="00572F46"/>
    <w:rsid w:val="00573BD9"/>
    <w:rsid w:val="00574A02"/>
    <w:rsid w:val="00576A54"/>
    <w:rsid w:val="00577DC6"/>
    <w:rsid w:val="005816F4"/>
    <w:rsid w:val="00581BDF"/>
    <w:rsid w:val="00583257"/>
    <w:rsid w:val="00584461"/>
    <w:rsid w:val="00585174"/>
    <w:rsid w:val="00586ACB"/>
    <w:rsid w:val="0059038C"/>
    <w:rsid w:val="005921E2"/>
    <w:rsid w:val="00592E28"/>
    <w:rsid w:val="00594DA0"/>
    <w:rsid w:val="00594DBB"/>
    <w:rsid w:val="00594E87"/>
    <w:rsid w:val="005950E5"/>
    <w:rsid w:val="00597309"/>
    <w:rsid w:val="005A1772"/>
    <w:rsid w:val="005A4CD3"/>
    <w:rsid w:val="005A6F7C"/>
    <w:rsid w:val="005B132F"/>
    <w:rsid w:val="005B15EB"/>
    <w:rsid w:val="005B18B2"/>
    <w:rsid w:val="005B2B12"/>
    <w:rsid w:val="005B38E7"/>
    <w:rsid w:val="005B40A6"/>
    <w:rsid w:val="005B47C5"/>
    <w:rsid w:val="005C0180"/>
    <w:rsid w:val="005C01B7"/>
    <w:rsid w:val="005C2BA7"/>
    <w:rsid w:val="005C31DD"/>
    <w:rsid w:val="005D2A79"/>
    <w:rsid w:val="005D2BA6"/>
    <w:rsid w:val="005D3004"/>
    <w:rsid w:val="005D36DA"/>
    <w:rsid w:val="005D3C08"/>
    <w:rsid w:val="005D3D39"/>
    <w:rsid w:val="005D787E"/>
    <w:rsid w:val="005D7C39"/>
    <w:rsid w:val="005E13DF"/>
    <w:rsid w:val="005E2840"/>
    <w:rsid w:val="005E387D"/>
    <w:rsid w:val="005E3B75"/>
    <w:rsid w:val="005E3D15"/>
    <w:rsid w:val="005E406B"/>
    <w:rsid w:val="005E449E"/>
    <w:rsid w:val="005E4C65"/>
    <w:rsid w:val="005F0D62"/>
    <w:rsid w:val="005F1C69"/>
    <w:rsid w:val="005F2946"/>
    <w:rsid w:val="005F34C6"/>
    <w:rsid w:val="005F4318"/>
    <w:rsid w:val="005F4F8E"/>
    <w:rsid w:val="005F54A4"/>
    <w:rsid w:val="005F71D1"/>
    <w:rsid w:val="0060035F"/>
    <w:rsid w:val="00602664"/>
    <w:rsid w:val="00603B1D"/>
    <w:rsid w:val="00607205"/>
    <w:rsid w:val="006074E4"/>
    <w:rsid w:val="006109F2"/>
    <w:rsid w:val="00610D65"/>
    <w:rsid w:val="006112D1"/>
    <w:rsid w:val="006112FA"/>
    <w:rsid w:val="0061682A"/>
    <w:rsid w:val="006177F8"/>
    <w:rsid w:val="00617AD6"/>
    <w:rsid w:val="00620205"/>
    <w:rsid w:val="00622D42"/>
    <w:rsid w:val="00622F63"/>
    <w:rsid w:val="00623402"/>
    <w:rsid w:val="00624B34"/>
    <w:rsid w:val="00625B93"/>
    <w:rsid w:val="00626AD6"/>
    <w:rsid w:val="006308E9"/>
    <w:rsid w:val="006312AA"/>
    <w:rsid w:val="00633563"/>
    <w:rsid w:val="00634113"/>
    <w:rsid w:val="006342FD"/>
    <w:rsid w:val="006357C0"/>
    <w:rsid w:val="00635D08"/>
    <w:rsid w:val="00636271"/>
    <w:rsid w:val="00643C5A"/>
    <w:rsid w:val="006502FA"/>
    <w:rsid w:val="006522B7"/>
    <w:rsid w:val="00653D8D"/>
    <w:rsid w:val="00655690"/>
    <w:rsid w:val="006558B7"/>
    <w:rsid w:val="00655A79"/>
    <w:rsid w:val="00662BC9"/>
    <w:rsid w:val="0066550D"/>
    <w:rsid w:val="00667B22"/>
    <w:rsid w:val="006710C1"/>
    <w:rsid w:val="006729E6"/>
    <w:rsid w:val="0067304E"/>
    <w:rsid w:val="006745E5"/>
    <w:rsid w:val="00677931"/>
    <w:rsid w:val="00677A0E"/>
    <w:rsid w:val="00681181"/>
    <w:rsid w:val="00682099"/>
    <w:rsid w:val="00684740"/>
    <w:rsid w:val="006849ED"/>
    <w:rsid w:val="00685A22"/>
    <w:rsid w:val="00686648"/>
    <w:rsid w:val="00687E78"/>
    <w:rsid w:val="00694F3D"/>
    <w:rsid w:val="00695A45"/>
    <w:rsid w:val="006A18B6"/>
    <w:rsid w:val="006A1EDC"/>
    <w:rsid w:val="006A2128"/>
    <w:rsid w:val="006A4342"/>
    <w:rsid w:val="006A4579"/>
    <w:rsid w:val="006A5B0F"/>
    <w:rsid w:val="006A5ED6"/>
    <w:rsid w:val="006A5FF3"/>
    <w:rsid w:val="006A6CE7"/>
    <w:rsid w:val="006B17A6"/>
    <w:rsid w:val="006B20EE"/>
    <w:rsid w:val="006B29BB"/>
    <w:rsid w:val="006B4244"/>
    <w:rsid w:val="006B4826"/>
    <w:rsid w:val="006B5B8D"/>
    <w:rsid w:val="006C1614"/>
    <w:rsid w:val="006C1D8C"/>
    <w:rsid w:val="006C51D5"/>
    <w:rsid w:val="006D186B"/>
    <w:rsid w:val="006D1E49"/>
    <w:rsid w:val="006D2553"/>
    <w:rsid w:val="006D432E"/>
    <w:rsid w:val="006D5B0E"/>
    <w:rsid w:val="006D716B"/>
    <w:rsid w:val="006D7664"/>
    <w:rsid w:val="006E1CF4"/>
    <w:rsid w:val="006E4894"/>
    <w:rsid w:val="006E6044"/>
    <w:rsid w:val="006F0AFA"/>
    <w:rsid w:val="006F1B52"/>
    <w:rsid w:val="006F27A6"/>
    <w:rsid w:val="006F39A4"/>
    <w:rsid w:val="006F42DE"/>
    <w:rsid w:val="006F7D05"/>
    <w:rsid w:val="00704FE4"/>
    <w:rsid w:val="00705B33"/>
    <w:rsid w:val="0070615E"/>
    <w:rsid w:val="00706C4B"/>
    <w:rsid w:val="00710A58"/>
    <w:rsid w:val="007116AC"/>
    <w:rsid w:val="00711B10"/>
    <w:rsid w:val="007124A2"/>
    <w:rsid w:val="007133ED"/>
    <w:rsid w:val="00713C22"/>
    <w:rsid w:val="0072292E"/>
    <w:rsid w:val="007230D6"/>
    <w:rsid w:val="00723CEF"/>
    <w:rsid w:val="00723E4B"/>
    <w:rsid w:val="00724553"/>
    <w:rsid w:val="0072563F"/>
    <w:rsid w:val="007261A9"/>
    <w:rsid w:val="00732CFA"/>
    <w:rsid w:val="00732E2C"/>
    <w:rsid w:val="00733398"/>
    <w:rsid w:val="00734468"/>
    <w:rsid w:val="00735ECF"/>
    <w:rsid w:val="007368A2"/>
    <w:rsid w:val="00736DE9"/>
    <w:rsid w:val="007411E8"/>
    <w:rsid w:val="00742439"/>
    <w:rsid w:val="00743A10"/>
    <w:rsid w:val="007450C8"/>
    <w:rsid w:val="007465A9"/>
    <w:rsid w:val="00753B99"/>
    <w:rsid w:val="00754A0D"/>
    <w:rsid w:val="007552C1"/>
    <w:rsid w:val="00756149"/>
    <w:rsid w:val="007562E2"/>
    <w:rsid w:val="007577C2"/>
    <w:rsid w:val="00760EBC"/>
    <w:rsid w:val="00762F2B"/>
    <w:rsid w:val="0076328E"/>
    <w:rsid w:val="0076561E"/>
    <w:rsid w:val="007661B0"/>
    <w:rsid w:val="00766C35"/>
    <w:rsid w:val="00773353"/>
    <w:rsid w:val="00776118"/>
    <w:rsid w:val="00777FA9"/>
    <w:rsid w:val="00780A45"/>
    <w:rsid w:val="00783842"/>
    <w:rsid w:val="007876E3"/>
    <w:rsid w:val="007928AD"/>
    <w:rsid w:val="00794724"/>
    <w:rsid w:val="007A0174"/>
    <w:rsid w:val="007A0BB2"/>
    <w:rsid w:val="007A0DAD"/>
    <w:rsid w:val="007A5131"/>
    <w:rsid w:val="007B30C5"/>
    <w:rsid w:val="007B4019"/>
    <w:rsid w:val="007B5D41"/>
    <w:rsid w:val="007B5FEC"/>
    <w:rsid w:val="007B66A0"/>
    <w:rsid w:val="007B6E4E"/>
    <w:rsid w:val="007B71E9"/>
    <w:rsid w:val="007C1702"/>
    <w:rsid w:val="007C269E"/>
    <w:rsid w:val="007C2A4F"/>
    <w:rsid w:val="007C3D56"/>
    <w:rsid w:val="007C41D1"/>
    <w:rsid w:val="007C48C7"/>
    <w:rsid w:val="007C69D6"/>
    <w:rsid w:val="007D2CEB"/>
    <w:rsid w:val="007D3591"/>
    <w:rsid w:val="007D47AA"/>
    <w:rsid w:val="007D6683"/>
    <w:rsid w:val="007E0481"/>
    <w:rsid w:val="007E3EEE"/>
    <w:rsid w:val="007E6167"/>
    <w:rsid w:val="007E74C5"/>
    <w:rsid w:val="007F0E34"/>
    <w:rsid w:val="007F32C6"/>
    <w:rsid w:val="007F3520"/>
    <w:rsid w:val="007F4269"/>
    <w:rsid w:val="007F6368"/>
    <w:rsid w:val="007F714B"/>
    <w:rsid w:val="007F7B7F"/>
    <w:rsid w:val="0080065F"/>
    <w:rsid w:val="008016F4"/>
    <w:rsid w:val="00802B2B"/>
    <w:rsid w:val="008043DE"/>
    <w:rsid w:val="0080498D"/>
    <w:rsid w:val="0080606A"/>
    <w:rsid w:val="008065F0"/>
    <w:rsid w:val="00807C2F"/>
    <w:rsid w:val="00810B67"/>
    <w:rsid w:val="00812459"/>
    <w:rsid w:val="008129C6"/>
    <w:rsid w:val="00812E0A"/>
    <w:rsid w:val="0081352B"/>
    <w:rsid w:val="008140C1"/>
    <w:rsid w:val="00814514"/>
    <w:rsid w:val="008158AA"/>
    <w:rsid w:val="00820C87"/>
    <w:rsid w:val="008237E2"/>
    <w:rsid w:val="008255E4"/>
    <w:rsid w:val="00826BED"/>
    <w:rsid w:val="008279DA"/>
    <w:rsid w:val="00827BAD"/>
    <w:rsid w:val="00830639"/>
    <w:rsid w:val="008309C9"/>
    <w:rsid w:val="00830BC7"/>
    <w:rsid w:val="008316B7"/>
    <w:rsid w:val="008335E3"/>
    <w:rsid w:val="00834DCB"/>
    <w:rsid w:val="0083526D"/>
    <w:rsid w:val="00836673"/>
    <w:rsid w:val="00840C01"/>
    <w:rsid w:val="00840C42"/>
    <w:rsid w:val="0084167C"/>
    <w:rsid w:val="00844F10"/>
    <w:rsid w:val="00845186"/>
    <w:rsid w:val="00845BBC"/>
    <w:rsid w:val="00845C09"/>
    <w:rsid w:val="00846104"/>
    <w:rsid w:val="008473BA"/>
    <w:rsid w:val="00847F2B"/>
    <w:rsid w:val="00850048"/>
    <w:rsid w:val="008513D8"/>
    <w:rsid w:val="00852C25"/>
    <w:rsid w:val="00855D43"/>
    <w:rsid w:val="008561D7"/>
    <w:rsid w:val="0086064D"/>
    <w:rsid w:val="008607B4"/>
    <w:rsid w:val="00860B22"/>
    <w:rsid w:val="00860C44"/>
    <w:rsid w:val="00861074"/>
    <w:rsid w:val="008636FC"/>
    <w:rsid w:val="00863DB6"/>
    <w:rsid w:val="00865AEB"/>
    <w:rsid w:val="00865B86"/>
    <w:rsid w:val="00867216"/>
    <w:rsid w:val="00870368"/>
    <w:rsid w:val="00870F3F"/>
    <w:rsid w:val="00871164"/>
    <w:rsid w:val="00872FC7"/>
    <w:rsid w:val="00873BC6"/>
    <w:rsid w:val="00874FB1"/>
    <w:rsid w:val="008771F4"/>
    <w:rsid w:val="00880902"/>
    <w:rsid w:val="00881E3C"/>
    <w:rsid w:val="0088740E"/>
    <w:rsid w:val="008878ED"/>
    <w:rsid w:val="00892A4E"/>
    <w:rsid w:val="00892D13"/>
    <w:rsid w:val="008930AB"/>
    <w:rsid w:val="00894A27"/>
    <w:rsid w:val="00895E2B"/>
    <w:rsid w:val="00896A4C"/>
    <w:rsid w:val="00896EBA"/>
    <w:rsid w:val="0089797F"/>
    <w:rsid w:val="008A23C9"/>
    <w:rsid w:val="008A39F8"/>
    <w:rsid w:val="008B0B3A"/>
    <w:rsid w:val="008B32A9"/>
    <w:rsid w:val="008B3F75"/>
    <w:rsid w:val="008B4865"/>
    <w:rsid w:val="008B4957"/>
    <w:rsid w:val="008B7BC5"/>
    <w:rsid w:val="008C0083"/>
    <w:rsid w:val="008C2EDB"/>
    <w:rsid w:val="008C468E"/>
    <w:rsid w:val="008C5F6C"/>
    <w:rsid w:val="008C6C9A"/>
    <w:rsid w:val="008C701E"/>
    <w:rsid w:val="008D1B64"/>
    <w:rsid w:val="008D4162"/>
    <w:rsid w:val="008D4E54"/>
    <w:rsid w:val="008D770B"/>
    <w:rsid w:val="008E1A71"/>
    <w:rsid w:val="008E4C89"/>
    <w:rsid w:val="008E4CBB"/>
    <w:rsid w:val="008E51AF"/>
    <w:rsid w:val="008E548A"/>
    <w:rsid w:val="008E74A2"/>
    <w:rsid w:val="008F2E35"/>
    <w:rsid w:val="008F4B82"/>
    <w:rsid w:val="008F6FEF"/>
    <w:rsid w:val="008F7B72"/>
    <w:rsid w:val="009006A6"/>
    <w:rsid w:val="009016D7"/>
    <w:rsid w:val="00902E63"/>
    <w:rsid w:val="00903AC3"/>
    <w:rsid w:val="0090412E"/>
    <w:rsid w:val="00904536"/>
    <w:rsid w:val="0090478A"/>
    <w:rsid w:val="009102A7"/>
    <w:rsid w:val="00911D86"/>
    <w:rsid w:val="0091358F"/>
    <w:rsid w:val="00913959"/>
    <w:rsid w:val="00913A27"/>
    <w:rsid w:val="009144B5"/>
    <w:rsid w:val="009146F6"/>
    <w:rsid w:val="00915863"/>
    <w:rsid w:val="00915D5A"/>
    <w:rsid w:val="00916ED7"/>
    <w:rsid w:val="009201D7"/>
    <w:rsid w:val="00922E70"/>
    <w:rsid w:val="009254AA"/>
    <w:rsid w:val="00926E69"/>
    <w:rsid w:val="00930EF7"/>
    <w:rsid w:val="0093125C"/>
    <w:rsid w:val="009317B8"/>
    <w:rsid w:val="009360D6"/>
    <w:rsid w:val="00936282"/>
    <w:rsid w:val="00936510"/>
    <w:rsid w:val="00941336"/>
    <w:rsid w:val="00941AF3"/>
    <w:rsid w:val="00945E92"/>
    <w:rsid w:val="009466EE"/>
    <w:rsid w:val="0094698E"/>
    <w:rsid w:val="009539A8"/>
    <w:rsid w:val="0095456A"/>
    <w:rsid w:val="009575E1"/>
    <w:rsid w:val="00960BC7"/>
    <w:rsid w:val="00962129"/>
    <w:rsid w:val="009621E6"/>
    <w:rsid w:val="00962876"/>
    <w:rsid w:val="009632C9"/>
    <w:rsid w:val="00964625"/>
    <w:rsid w:val="00964A1F"/>
    <w:rsid w:val="009657A5"/>
    <w:rsid w:val="009667EE"/>
    <w:rsid w:val="009720B6"/>
    <w:rsid w:val="0097316B"/>
    <w:rsid w:val="0097354A"/>
    <w:rsid w:val="00974FAA"/>
    <w:rsid w:val="009759C6"/>
    <w:rsid w:val="00977184"/>
    <w:rsid w:val="0097718F"/>
    <w:rsid w:val="009802C9"/>
    <w:rsid w:val="00980730"/>
    <w:rsid w:val="00985ABF"/>
    <w:rsid w:val="009866F2"/>
    <w:rsid w:val="00987A8B"/>
    <w:rsid w:val="00991685"/>
    <w:rsid w:val="009927FA"/>
    <w:rsid w:val="009939E3"/>
    <w:rsid w:val="00995D92"/>
    <w:rsid w:val="009967F2"/>
    <w:rsid w:val="00996955"/>
    <w:rsid w:val="00997790"/>
    <w:rsid w:val="009A2169"/>
    <w:rsid w:val="009A293E"/>
    <w:rsid w:val="009A3BA3"/>
    <w:rsid w:val="009A3C9A"/>
    <w:rsid w:val="009A66D0"/>
    <w:rsid w:val="009B01FC"/>
    <w:rsid w:val="009B1BFE"/>
    <w:rsid w:val="009B1C83"/>
    <w:rsid w:val="009B3012"/>
    <w:rsid w:val="009B3788"/>
    <w:rsid w:val="009B7367"/>
    <w:rsid w:val="009C08B3"/>
    <w:rsid w:val="009C15E0"/>
    <w:rsid w:val="009D3F76"/>
    <w:rsid w:val="009D47E1"/>
    <w:rsid w:val="009E0EA2"/>
    <w:rsid w:val="009E11C7"/>
    <w:rsid w:val="009E214D"/>
    <w:rsid w:val="009E28EC"/>
    <w:rsid w:val="009E315A"/>
    <w:rsid w:val="009E4420"/>
    <w:rsid w:val="009E4841"/>
    <w:rsid w:val="009E78E7"/>
    <w:rsid w:val="009E7983"/>
    <w:rsid w:val="009E7D5C"/>
    <w:rsid w:val="009F2E31"/>
    <w:rsid w:val="009F3F1F"/>
    <w:rsid w:val="009F4FB3"/>
    <w:rsid w:val="009F71D1"/>
    <w:rsid w:val="00A001EC"/>
    <w:rsid w:val="00A00DD6"/>
    <w:rsid w:val="00A017BA"/>
    <w:rsid w:val="00A01948"/>
    <w:rsid w:val="00A01EFD"/>
    <w:rsid w:val="00A026DF"/>
    <w:rsid w:val="00A03A5F"/>
    <w:rsid w:val="00A04100"/>
    <w:rsid w:val="00A05D29"/>
    <w:rsid w:val="00A066DE"/>
    <w:rsid w:val="00A075C8"/>
    <w:rsid w:val="00A10B65"/>
    <w:rsid w:val="00A13F7C"/>
    <w:rsid w:val="00A141E5"/>
    <w:rsid w:val="00A15581"/>
    <w:rsid w:val="00A1593F"/>
    <w:rsid w:val="00A15B57"/>
    <w:rsid w:val="00A17B80"/>
    <w:rsid w:val="00A21F92"/>
    <w:rsid w:val="00A2536F"/>
    <w:rsid w:val="00A263F4"/>
    <w:rsid w:val="00A26AF6"/>
    <w:rsid w:val="00A27715"/>
    <w:rsid w:val="00A30AF9"/>
    <w:rsid w:val="00A30DB3"/>
    <w:rsid w:val="00A3347F"/>
    <w:rsid w:val="00A33B4F"/>
    <w:rsid w:val="00A344A6"/>
    <w:rsid w:val="00A403E9"/>
    <w:rsid w:val="00A406DC"/>
    <w:rsid w:val="00A41119"/>
    <w:rsid w:val="00A4347E"/>
    <w:rsid w:val="00A4381E"/>
    <w:rsid w:val="00A45EFB"/>
    <w:rsid w:val="00A4630E"/>
    <w:rsid w:val="00A466AC"/>
    <w:rsid w:val="00A47C56"/>
    <w:rsid w:val="00A47DE3"/>
    <w:rsid w:val="00A5227A"/>
    <w:rsid w:val="00A55A52"/>
    <w:rsid w:val="00A55DE0"/>
    <w:rsid w:val="00A55FB3"/>
    <w:rsid w:val="00A57574"/>
    <w:rsid w:val="00A57D42"/>
    <w:rsid w:val="00A60BBB"/>
    <w:rsid w:val="00A60C83"/>
    <w:rsid w:val="00A61D7C"/>
    <w:rsid w:val="00A63A99"/>
    <w:rsid w:val="00A65F1E"/>
    <w:rsid w:val="00A71878"/>
    <w:rsid w:val="00A72369"/>
    <w:rsid w:val="00A739AD"/>
    <w:rsid w:val="00A73E8D"/>
    <w:rsid w:val="00A80964"/>
    <w:rsid w:val="00A82927"/>
    <w:rsid w:val="00A83111"/>
    <w:rsid w:val="00A84047"/>
    <w:rsid w:val="00A84CFF"/>
    <w:rsid w:val="00A855AA"/>
    <w:rsid w:val="00A85982"/>
    <w:rsid w:val="00A90123"/>
    <w:rsid w:val="00A90B2D"/>
    <w:rsid w:val="00A934C1"/>
    <w:rsid w:val="00A9474B"/>
    <w:rsid w:val="00A972FF"/>
    <w:rsid w:val="00AA22FC"/>
    <w:rsid w:val="00AA3A81"/>
    <w:rsid w:val="00AB0683"/>
    <w:rsid w:val="00AB179B"/>
    <w:rsid w:val="00AB197C"/>
    <w:rsid w:val="00AB199E"/>
    <w:rsid w:val="00AB24A0"/>
    <w:rsid w:val="00AB2C6D"/>
    <w:rsid w:val="00AB2DA9"/>
    <w:rsid w:val="00AB5052"/>
    <w:rsid w:val="00AB5560"/>
    <w:rsid w:val="00AB5E87"/>
    <w:rsid w:val="00AB6B28"/>
    <w:rsid w:val="00AC3869"/>
    <w:rsid w:val="00AC58FC"/>
    <w:rsid w:val="00AD191C"/>
    <w:rsid w:val="00AD34F9"/>
    <w:rsid w:val="00AD48BE"/>
    <w:rsid w:val="00AD4BD7"/>
    <w:rsid w:val="00AD5E69"/>
    <w:rsid w:val="00AD7AA1"/>
    <w:rsid w:val="00AE16EC"/>
    <w:rsid w:val="00AE1B0D"/>
    <w:rsid w:val="00AE3F6F"/>
    <w:rsid w:val="00AE436D"/>
    <w:rsid w:val="00AE5A4C"/>
    <w:rsid w:val="00AE79AE"/>
    <w:rsid w:val="00AE7B86"/>
    <w:rsid w:val="00AF0198"/>
    <w:rsid w:val="00AF19BC"/>
    <w:rsid w:val="00AF2305"/>
    <w:rsid w:val="00AF2A93"/>
    <w:rsid w:val="00AF4249"/>
    <w:rsid w:val="00AF46AA"/>
    <w:rsid w:val="00AF559D"/>
    <w:rsid w:val="00AF5D98"/>
    <w:rsid w:val="00AF7307"/>
    <w:rsid w:val="00B00EDC"/>
    <w:rsid w:val="00B03A57"/>
    <w:rsid w:val="00B044C6"/>
    <w:rsid w:val="00B04755"/>
    <w:rsid w:val="00B05898"/>
    <w:rsid w:val="00B07189"/>
    <w:rsid w:val="00B110A5"/>
    <w:rsid w:val="00B11FF2"/>
    <w:rsid w:val="00B1395D"/>
    <w:rsid w:val="00B2222C"/>
    <w:rsid w:val="00B26221"/>
    <w:rsid w:val="00B27A34"/>
    <w:rsid w:val="00B33F24"/>
    <w:rsid w:val="00B3421F"/>
    <w:rsid w:val="00B34F63"/>
    <w:rsid w:val="00B35670"/>
    <w:rsid w:val="00B35FF5"/>
    <w:rsid w:val="00B368CA"/>
    <w:rsid w:val="00B375B0"/>
    <w:rsid w:val="00B4012B"/>
    <w:rsid w:val="00B40EDB"/>
    <w:rsid w:val="00B43126"/>
    <w:rsid w:val="00B447CB"/>
    <w:rsid w:val="00B447CD"/>
    <w:rsid w:val="00B5275C"/>
    <w:rsid w:val="00B53A21"/>
    <w:rsid w:val="00B53B49"/>
    <w:rsid w:val="00B548FA"/>
    <w:rsid w:val="00B54A0A"/>
    <w:rsid w:val="00B5595E"/>
    <w:rsid w:val="00B56FF3"/>
    <w:rsid w:val="00B57AFD"/>
    <w:rsid w:val="00B57EA9"/>
    <w:rsid w:val="00B603FA"/>
    <w:rsid w:val="00B616FC"/>
    <w:rsid w:val="00B641F8"/>
    <w:rsid w:val="00B64399"/>
    <w:rsid w:val="00B71880"/>
    <w:rsid w:val="00B7228A"/>
    <w:rsid w:val="00B75CDF"/>
    <w:rsid w:val="00B7662E"/>
    <w:rsid w:val="00B77C8D"/>
    <w:rsid w:val="00B80270"/>
    <w:rsid w:val="00B8189A"/>
    <w:rsid w:val="00B82086"/>
    <w:rsid w:val="00B90925"/>
    <w:rsid w:val="00B91263"/>
    <w:rsid w:val="00B927E5"/>
    <w:rsid w:val="00B975F3"/>
    <w:rsid w:val="00BA17F9"/>
    <w:rsid w:val="00BA1E11"/>
    <w:rsid w:val="00BA6757"/>
    <w:rsid w:val="00BB3B42"/>
    <w:rsid w:val="00BB564F"/>
    <w:rsid w:val="00BB69A5"/>
    <w:rsid w:val="00BC0EFB"/>
    <w:rsid w:val="00BC21EE"/>
    <w:rsid w:val="00BC33BC"/>
    <w:rsid w:val="00BC34AE"/>
    <w:rsid w:val="00BC369B"/>
    <w:rsid w:val="00BC502B"/>
    <w:rsid w:val="00BC65D8"/>
    <w:rsid w:val="00BD1415"/>
    <w:rsid w:val="00BD316B"/>
    <w:rsid w:val="00BD3C88"/>
    <w:rsid w:val="00BD4653"/>
    <w:rsid w:val="00BD496F"/>
    <w:rsid w:val="00BD560B"/>
    <w:rsid w:val="00BD6475"/>
    <w:rsid w:val="00BD7779"/>
    <w:rsid w:val="00BE0A4D"/>
    <w:rsid w:val="00BE0AFD"/>
    <w:rsid w:val="00BE2499"/>
    <w:rsid w:val="00BE2EBF"/>
    <w:rsid w:val="00BE6721"/>
    <w:rsid w:val="00BF0271"/>
    <w:rsid w:val="00BF06DD"/>
    <w:rsid w:val="00BF12C4"/>
    <w:rsid w:val="00BF2C0E"/>
    <w:rsid w:val="00BF5E81"/>
    <w:rsid w:val="00BF65CA"/>
    <w:rsid w:val="00C01123"/>
    <w:rsid w:val="00C024F1"/>
    <w:rsid w:val="00C03A44"/>
    <w:rsid w:val="00C045B1"/>
    <w:rsid w:val="00C07B4B"/>
    <w:rsid w:val="00C1110D"/>
    <w:rsid w:val="00C1116A"/>
    <w:rsid w:val="00C11A50"/>
    <w:rsid w:val="00C127B1"/>
    <w:rsid w:val="00C134B7"/>
    <w:rsid w:val="00C15E87"/>
    <w:rsid w:val="00C175D0"/>
    <w:rsid w:val="00C2096B"/>
    <w:rsid w:val="00C20FB5"/>
    <w:rsid w:val="00C21A8D"/>
    <w:rsid w:val="00C21E2C"/>
    <w:rsid w:val="00C22D8B"/>
    <w:rsid w:val="00C24DB0"/>
    <w:rsid w:val="00C26B1C"/>
    <w:rsid w:val="00C274AA"/>
    <w:rsid w:val="00C30259"/>
    <w:rsid w:val="00C31E15"/>
    <w:rsid w:val="00C32965"/>
    <w:rsid w:val="00C3426D"/>
    <w:rsid w:val="00C41045"/>
    <w:rsid w:val="00C44ADA"/>
    <w:rsid w:val="00C46060"/>
    <w:rsid w:val="00C460C1"/>
    <w:rsid w:val="00C50711"/>
    <w:rsid w:val="00C50E19"/>
    <w:rsid w:val="00C52046"/>
    <w:rsid w:val="00C523C6"/>
    <w:rsid w:val="00C525BA"/>
    <w:rsid w:val="00C53065"/>
    <w:rsid w:val="00C5369B"/>
    <w:rsid w:val="00C541F7"/>
    <w:rsid w:val="00C54204"/>
    <w:rsid w:val="00C555F7"/>
    <w:rsid w:val="00C55E89"/>
    <w:rsid w:val="00C55EF8"/>
    <w:rsid w:val="00C56446"/>
    <w:rsid w:val="00C60863"/>
    <w:rsid w:val="00C6285D"/>
    <w:rsid w:val="00C639E3"/>
    <w:rsid w:val="00C640E3"/>
    <w:rsid w:val="00C655B5"/>
    <w:rsid w:val="00C70515"/>
    <w:rsid w:val="00C70563"/>
    <w:rsid w:val="00C71292"/>
    <w:rsid w:val="00C71484"/>
    <w:rsid w:val="00C716CA"/>
    <w:rsid w:val="00C72305"/>
    <w:rsid w:val="00C7342E"/>
    <w:rsid w:val="00C735A7"/>
    <w:rsid w:val="00C76FAC"/>
    <w:rsid w:val="00C812D5"/>
    <w:rsid w:val="00C81F45"/>
    <w:rsid w:val="00C8566F"/>
    <w:rsid w:val="00C859AE"/>
    <w:rsid w:val="00C87C43"/>
    <w:rsid w:val="00C91D98"/>
    <w:rsid w:val="00C92367"/>
    <w:rsid w:val="00C937BB"/>
    <w:rsid w:val="00C979D0"/>
    <w:rsid w:val="00CA410E"/>
    <w:rsid w:val="00CA447E"/>
    <w:rsid w:val="00CA61F8"/>
    <w:rsid w:val="00CA7292"/>
    <w:rsid w:val="00CB0CDF"/>
    <w:rsid w:val="00CB0FE7"/>
    <w:rsid w:val="00CB1DDE"/>
    <w:rsid w:val="00CB27FD"/>
    <w:rsid w:val="00CB528D"/>
    <w:rsid w:val="00CB635C"/>
    <w:rsid w:val="00CB7321"/>
    <w:rsid w:val="00CB7E0A"/>
    <w:rsid w:val="00CC058A"/>
    <w:rsid w:val="00CC1E6A"/>
    <w:rsid w:val="00CC3027"/>
    <w:rsid w:val="00CC3934"/>
    <w:rsid w:val="00CC421B"/>
    <w:rsid w:val="00CD1BC6"/>
    <w:rsid w:val="00CD415E"/>
    <w:rsid w:val="00CD5842"/>
    <w:rsid w:val="00CE10BD"/>
    <w:rsid w:val="00CE1F17"/>
    <w:rsid w:val="00CE7F13"/>
    <w:rsid w:val="00CF0B39"/>
    <w:rsid w:val="00CF26BF"/>
    <w:rsid w:val="00CF3FB2"/>
    <w:rsid w:val="00CF66A7"/>
    <w:rsid w:val="00CF6FBB"/>
    <w:rsid w:val="00D004BE"/>
    <w:rsid w:val="00D00DBC"/>
    <w:rsid w:val="00D019C5"/>
    <w:rsid w:val="00D03586"/>
    <w:rsid w:val="00D05726"/>
    <w:rsid w:val="00D05E96"/>
    <w:rsid w:val="00D075C6"/>
    <w:rsid w:val="00D07792"/>
    <w:rsid w:val="00D14FB9"/>
    <w:rsid w:val="00D213E9"/>
    <w:rsid w:val="00D23FF0"/>
    <w:rsid w:val="00D30E72"/>
    <w:rsid w:val="00D31ADB"/>
    <w:rsid w:val="00D33B6C"/>
    <w:rsid w:val="00D3441E"/>
    <w:rsid w:val="00D3454C"/>
    <w:rsid w:val="00D37F45"/>
    <w:rsid w:val="00D4105E"/>
    <w:rsid w:val="00D42E24"/>
    <w:rsid w:val="00D44518"/>
    <w:rsid w:val="00D44833"/>
    <w:rsid w:val="00D46107"/>
    <w:rsid w:val="00D471D3"/>
    <w:rsid w:val="00D50854"/>
    <w:rsid w:val="00D50899"/>
    <w:rsid w:val="00D54158"/>
    <w:rsid w:val="00D5688B"/>
    <w:rsid w:val="00D56CE2"/>
    <w:rsid w:val="00D578D7"/>
    <w:rsid w:val="00D60DAA"/>
    <w:rsid w:val="00D61143"/>
    <w:rsid w:val="00D6284A"/>
    <w:rsid w:val="00D62C1D"/>
    <w:rsid w:val="00D63D53"/>
    <w:rsid w:val="00D66BEE"/>
    <w:rsid w:val="00D72181"/>
    <w:rsid w:val="00D7396F"/>
    <w:rsid w:val="00D7523E"/>
    <w:rsid w:val="00D75E6C"/>
    <w:rsid w:val="00D76A33"/>
    <w:rsid w:val="00D80625"/>
    <w:rsid w:val="00D8104E"/>
    <w:rsid w:val="00D81AF1"/>
    <w:rsid w:val="00D83CBB"/>
    <w:rsid w:val="00D841E9"/>
    <w:rsid w:val="00D843D7"/>
    <w:rsid w:val="00D84E4B"/>
    <w:rsid w:val="00D90345"/>
    <w:rsid w:val="00D906AD"/>
    <w:rsid w:val="00D9110A"/>
    <w:rsid w:val="00D92A4E"/>
    <w:rsid w:val="00D96CBF"/>
    <w:rsid w:val="00D97D5E"/>
    <w:rsid w:val="00DA3595"/>
    <w:rsid w:val="00DA37F3"/>
    <w:rsid w:val="00DA4017"/>
    <w:rsid w:val="00DA5B94"/>
    <w:rsid w:val="00DA72DC"/>
    <w:rsid w:val="00DB16ED"/>
    <w:rsid w:val="00DB56E6"/>
    <w:rsid w:val="00DB5C76"/>
    <w:rsid w:val="00DC0159"/>
    <w:rsid w:val="00DC0500"/>
    <w:rsid w:val="00DC28DD"/>
    <w:rsid w:val="00DC5090"/>
    <w:rsid w:val="00DC58E6"/>
    <w:rsid w:val="00DD1624"/>
    <w:rsid w:val="00DD1675"/>
    <w:rsid w:val="00DD1854"/>
    <w:rsid w:val="00DD2B27"/>
    <w:rsid w:val="00DD2F32"/>
    <w:rsid w:val="00DD46EB"/>
    <w:rsid w:val="00DD4D37"/>
    <w:rsid w:val="00DD69DD"/>
    <w:rsid w:val="00DD6D90"/>
    <w:rsid w:val="00DD6F63"/>
    <w:rsid w:val="00DD776A"/>
    <w:rsid w:val="00DE1D5B"/>
    <w:rsid w:val="00DE261E"/>
    <w:rsid w:val="00DE35DB"/>
    <w:rsid w:val="00DE578C"/>
    <w:rsid w:val="00DE7144"/>
    <w:rsid w:val="00DF10F5"/>
    <w:rsid w:val="00DF1309"/>
    <w:rsid w:val="00DF33D5"/>
    <w:rsid w:val="00DF3569"/>
    <w:rsid w:val="00E00D16"/>
    <w:rsid w:val="00E01A2A"/>
    <w:rsid w:val="00E06409"/>
    <w:rsid w:val="00E1655A"/>
    <w:rsid w:val="00E166D6"/>
    <w:rsid w:val="00E216A6"/>
    <w:rsid w:val="00E26A0F"/>
    <w:rsid w:val="00E27049"/>
    <w:rsid w:val="00E2749E"/>
    <w:rsid w:val="00E30010"/>
    <w:rsid w:val="00E32A5E"/>
    <w:rsid w:val="00E332F7"/>
    <w:rsid w:val="00E33428"/>
    <w:rsid w:val="00E34D30"/>
    <w:rsid w:val="00E35AFD"/>
    <w:rsid w:val="00E35B18"/>
    <w:rsid w:val="00E36F79"/>
    <w:rsid w:val="00E37465"/>
    <w:rsid w:val="00E374E0"/>
    <w:rsid w:val="00E3771F"/>
    <w:rsid w:val="00E41590"/>
    <w:rsid w:val="00E43DB7"/>
    <w:rsid w:val="00E46341"/>
    <w:rsid w:val="00E46CB2"/>
    <w:rsid w:val="00E47430"/>
    <w:rsid w:val="00E4775F"/>
    <w:rsid w:val="00E50484"/>
    <w:rsid w:val="00E523F8"/>
    <w:rsid w:val="00E6233B"/>
    <w:rsid w:val="00E6251F"/>
    <w:rsid w:val="00E6484C"/>
    <w:rsid w:val="00E66C4B"/>
    <w:rsid w:val="00E700FE"/>
    <w:rsid w:val="00E814AC"/>
    <w:rsid w:val="00E81C52"/>
    <w:rsid w:val="00E82A7A"/>
    <w:rsid w:val="00E8407C"/>
    <w:rsid w:val="00E867B4"/>
    <w:rsid w:val="00E87F29"/>
    <w:rsid w:val="00E9049F"/>
    <w:rsid w:val="00E917E1"/>
    <w:rsid w:val="00E91E43"/>
    <w:rsid w:val="00E9253B"/>
    <w:rsid w:val="00E92C22"/>
    <w:rsid w:val="00E92F00"/>
    <w:rsid w:val="00E950E7"/>
    <w:rsid w:val="00E9758C"/>
    <w:rsid w:val="00E97592"/>
    <w:rsid w:val="00E97F4A"/>
    <w:rsid w:val="00EA2A81"/>
    <w:rsid w:val="00EA35D6"/>
    <w:rsid w:val="00EA48AB"/>
    <w:rsid w:val="00EA7477"/>
    <w:rsid w:val="00EA7668"/>
    <w:rsid w:val="00EA77F3"/>
    <w:rsid w:val="00EB4480"/>
    <w:rsid w:val="00EB5D6A"/>
    <w:rsid w:val="00EB60D8"/>
    <w:rsid w:val="00EC26B8"/>
    <w:rsid w:val="00EC3F55"/>
    <w:rsid w:val="00EC5D8C"/>
    <w:rsid w:val="00ED0125"/>
    <w:rsid w:val="00ED44D1"/>
    <w:rsid w:val="00ED4CB7"/>
    <w:rsid w:val="00ED5F8B"/>
    <w:rsid w:val="00EE000F"/>
    <w:rsid w:val="00EE0255"/>
    <w:rsid w:val="00EE72B0"/>
    <w:rsid w:val="00EE79C9"/>
    <w:rsid w:val="00EF2485"/>
    <w:rsid w:val="00EF6E86"/>
    <w:rsid w:val="00EF7A42"/>
    <w:rsid w:val="00EF7E24"/>
    <w:rsid w:val="00F0000F"/>
    <w:rsid w:val="00F001F8"/>
    <w:rsid w:val="00F00AF7"/>
    <w:rsid w:val="00F01066"/>
    <w:rsid w:val="00F0240F"/>
    <w:rsid w:val="00F033E6"/>
    <w:rsid w:val="00F042C3"/>
    <w:rsid w:val="00F05F9A"/>
    <w:rsid w:val="00F06C01"/>
    <w:rsid w:val="00F07694"/>
    <w:rsid w:val="00F07BDD"/>
    <w:rsid w:val="00F10A0F"/>
    <w:rsid w:val="00F1165A"/>
    <w:rsid w:val="00F12D19"/>
    <w:rsid w:val="00F1412A"/>
    <w:rsid w:val="00F15018"/>
    <w:rsid w:val="00F1588F"/>
    <w:rsid w:val="00F158AA"/>
    <w:rsid w:val="00F171EE"/>
    <w:rsid w:val="00F30C26"/>
    <w:rsid w:val="00F32A69"/>
    <w:rsid w:val="00F3385A"/>
    <w:rsid w:val="00F350A5"/>
    <w:rsid w:val="00F351B4"/>
    <w:rsid w:val="00F3533F"/>
    <w:rsid w:val="00F364AC"/>
    <w:rsid w:val="00F36E4A"/>
    <w:rsid w:val="00F42328"/>
    <w:rsid w:val="00F42671"/>
    <w:rsid w:val="00F434F4"/>
    <w:rsid w:val="00F4536C"/>
    <w:rsid w:val="00F50CB0"/>
    <w:rsid w:val="00F544B3"/>
    <w:rsid w:val="00F54657"/>
    <w:rsid w:val="00F55810"/>
    <w:rsid w:val="00F56DC0"/>
    <w:rsid w:val="00F60452"/>
    <w:rsid w:val="00F612C8"/>
    <w:rsid w:val="00F61DE6"/>
    <w:rsid w:val="00F65121"/>
    <w:rsid w:val="00F66FE7"/>
    <w:rsid w:val="00F7000C"/>
    <w:rsid w:val="00F71008"/>
    <w:rsid w:val="00F7351C"/>
    <w:rsid w:val="00F75823"/>
    <w:rsid w:val="00F7599A"/>
    <w:rsid w:val="00F77DC4"/>
    <w:rsid w:val="00F81978"/>
    <w:rsid w:val="00F81C1A"/>
    <w:rsid w:val="00F84105"/>
    <w:rsid w:val="00F84A29"/>
    <w:rsid w:val="00F85A85"/>
    <w:rsid w:val="00F913C1"/>
    <w:rsid w:val="00F91475"/>
    <w:rsid w:val="00F92C17"/>
    <w:rsid w:val="00F94A83"/>
    <w:rsid w:val="00F9575B"/>
    <w:rsid w:val="00F95CC1"/>
    <w:rsid w:val="00F9730D"/>
    <w:rsid w:val="00F973FC"/>
    <w:rsid w:val="00FA07C1"/>
    <w:rsid w:val="00FA2764"/>
    <w:rsid w:val="00FA4939"/>
    <w:rsid w:val="00FA5090"/>
    <w:rsid w:val="00FA52E3"/>
    <w:rsid w:val="00FA5A84"/>
    <w:rsid w:val="00FA72A2"/>
    <w:rsid w:val="00FB0967"/>
    <w:rsid w:val="00FB231D"/>
    <w:rsid w:val="00FB48D4"/>
    <w:rsid w:val="00FB570D"/>
    <w:rsid w:val="00FB65C9"/>
    <w:rsid w:val="00FB6CE6"/>
    <w:rsid w:val="00FC0871"/>
    <w:rsid w:val="00FC0EAE"/>
    <w:rsid w:val="00FC10E5"/>
    <w:rsid w:val="00FC13CF"/>
    <w:rsid w:val="00FC2012"/>
    <w:rsid w:val="00FC27B2"/>
    <w:rsid w:val="00FC351C"/>
    <w:rsid w:val="00FC5373"/>
    <w:rsid w:val="00FC5E87"/>
    <w:rsid w:val="00FD3D3B"/>
    <w:rsid w:val="00FD4046"/>
    <w:rsid w:val="00FE0CF4"/>
    <w:rsid w:val="00FE2A8A"/>
    <w:rsid w:val="00FE519C"/>
    <w:rsid w:val="00FE57C2"/>
    <w:rsid w:val="00FF00BE"/>
    <w:rsid w:val="00FF2981"/>
    <w:rsid w:val="00FF32A1"/>
    <w:rsid w:val="00FF357E"/>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1A791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44"/>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AF4249"/>
    <w:pPr>
      <w:keepNext/>
      <w:keepLines/>
      <w:widowControl/>
      <w:numPr>
        <w:numId w:val="15"/>
      </w:numPr>
      <w:spacing w:line="480" w:lineRule="auto"/>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AF4249"/>
    <w:pPr>
      <w:keepNext/>
      <w:keepLines/>
      <w:widowControl/>
      <w:numPr>
        <w:ilvl w:val="1"/>
        <w:numId w:val="15"/>
      </w:numPr>
      <w:spacing w:line="480" w:lineRule="auto"/>
      <w:outlineLvl w:val="1"/>
    </w:pPr>
    <w:rPr>
      <w:rFonts w:eastAsiaTheme="majorEastAsia"/>
      <w:b/>
      <w:kern w:val="32"/>
      <w:szCs w:val="26"/>
      <w:u w:val="single"/>
    </w:rPr>
  </w:style>
  <w:style w:type="paragraph" w:styleId="Heading3">
    <w:name w:val="heading 3"/>
    <w:basedOn w:val="Normal"/>
    <w:next w:val="FERCparanumber"/>
    <w:uiPriority w:val="9"/>
    <w:unhideWhenUsed/>
    <w:qFormat/>
    <w:rsid w:val="00AF4249"/>
    <w:pPr>
      <w:keepNext/>
      <w:keepLines/>
      <w:widowControl/>
      <w:numPr>
        <w:ilvl w:val="2"/>
        <w:numId w:val="15"/>
      </w:numPr>
      <w:spacing w:line="480" w:lineRule="auto"/>
      <w:outlineLvl w:val="2"/>
    </w:pPr>
    <w:rPr>
      <w:rFonts w:eastAsiaTheme="majorEastAsia"/>
      <w:b/>
      <w:kern w:val="32"/>
      <w:szCs w:val="24"/>
      <w:u w:val="single"/>
    </w:rPr>
  </w:style>
  <w:style w:type="paragraph" w:styleId="Heading4">
    <w:name w:val="heading 4"/>
    <w:basedOn w:val="Normal"/>
    <w:next w:val="FERCparanumber"/>
    <w:uiPriority w:val="9"/>
    <w:unhideWhenUsed/>
    <w:qFormat/>
    <w:rsid w:val="00AF4249"/>
    <w:pPr>
      <w:keepNext/>
      <w:keepLines/>
      <w:widowControl/>
      <w:numPr>
        <w:ilvl w:val="3"/>
        <w:numId w:val="15"/>
      </w:numPr>
      <w:spacing w:line="480" w:lineRule="auto"/>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AF4249"/>
    <w:pPr>
      <w:keepNext/>
      <w:keepLines/>
      <w:widowControl/>
      <w:numPr>
        <w:ilvl w:val="4"/>
        <w:numId w:val="15"/>
      </w:numPr>
      <w:spacing w:line="480" w:lineRule="auto"/>
      <w:outlineLvl w:val="4"/>
    </w:pPr>
    <w:rPr>
      <w:rFonts w:eastAsiaTheme="majorEastAsia"/>
      <w:b/>
      <w:kern w:val="32"/>
      <w:u w:val="single"/>
    </w:rPr>
  </w:style>
  <w:style w:type="paragraph" w:styleId="Heading6">
    <w:name w:val="heading 6"/>
    <w:basedOn w:val="Normal"/>
    <w:next w:val="FERCparanumber"/>
    <w:uiPriority w:val="9"/>
    <w:semiHidden/>
    <w:unhideWhenUsed/>
    <w:qFormat/>
    <w:rsid w:val="00AF4249"/>
    <w:pPr>
      <w:keepNext/>
      <w:keepLines/>
      <w:widowControl/>
      <w:numPr>
        <w:ilvl w:val="5"/>
        <w:numId w:val="15"/>
      </w:numPr>
      <w:spacing w:line="480" w:lineRule="auto"/>
      <w:outlineLvl w:val="5"/>
    </w:pPr>
    <w:rPr>
      <w:rFonts w:eastAsiaTheme="majorEastAsia"/>
      <w:b/>
      <w:kern w:val="32"/>
      <w:u w:val="single"/>
    </w:rPr>
  </w:style>
  <w:style w:type="paragraph" w:styleId="Heading7">
    <w:name w:val="heading 7"/>
    <w:basedOn w:val="Normal"/>
    <w:next w:val="FERCparanumber"/>
    <w:uiPriority w:val="9"/>
    <w:semiHidden/>
    <w:unhideWhenUsed/>
    <w:qFormat/>
    <w:rsid w:val="00AF4249"/>
    <w:pPr>
      <w:keepNext/>
      <w:keepLines/>
      <w:widowControl/>
      <w:numPr>
        <w:ilvl w:val="6"/>
        <w:numId w:val="15"/>
      </w:numPr>
      <w:spacing w:line="480" w:lineRule="auto"/>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AF4249"/>
    <w:pPr>
      <w:keepNext/>
      <w:keepLines/>
      <w:widowControl/>
      <w:numPr>
        <w:ilvl w:val="7"/>
        <w:numId w:val="15"/>
      </w:numPr>
      <w:spacing w:line="480" w:lineRule="auto"/>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AF4249"/>
    <w:pPr>
      <w:keepNext/>
      <w:keepLines/>
      <w:widowControl/>
      <w:numPr>
        <w:ilvl w:val="8"/>
        <w:numId w:val="15"/>
      </w:numPr>
      <w:spacing w:line="480" w:lineRule="auto"/>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tabs>
        <w:tab w:val="clear" w:pos="720"/>
      </w:tabs>
      <w:autoSpaceDE w:val="0"/>
      <w:autoSpaceDN w:val="0"/>
      <w:adjustRightInd w:val="0"/>
      <w:ind w:left="780" w:hanging="36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styleId="FollowedHyperlink">
    <w:name w:val="FollowedHyperlink"/>
    <w:basedOn w:val="DefaultParagraphFont"/>
    <w:uiPriority w:val="99"/>
    <w:semiHidden/>
    <w:unhideWhenUsed/>
    <w:rsid w:val="003124A9"/>
    <w:rPr>
      <w:color w:val="954F72" w:themeColor="followedHyperlink"/>
      <w:u w:val="single"/>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7C269E"/>
    <w:rPr>
      <w:rFonts w:ascii="Times New Roman" w:hAnsi="Times New Roman" w:cs="Times New Roman"/>
      <w:sz w:val="26"/>
      <w:szCs w:val="20"/>
    </w:rPr>
  </w:style>
  <w:style w:type="table" w:customStyle="1" w:styleId="TableGrid1">
    <w:name w:val="Table Grid1"/>
    <w:basedOn w:val="TableNormal"/>
    <w:uiPriority w:val="39"/>
    <w:rsid w:val="00865A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7715"/>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10690">
      <w:bodyDiv w:val="1"/>
      <w:marLeft w:val="0"/>
      <w:marRight w:val="0"/>
      <w:marTop w:val="0"/>
      <w:marBottom w:val="0"/>
      <w:divBdr>
        <w:top w:val="none" w:sz="0" w:space="0" w:color="auto"/>
        <w:left w:val="none" w:sz="0" w:space="0" w:color="auto"/>
        <w:bottom w:val="none" w:sz="0" w:space="0" w:color="auto"/>
        <w:right w:val="none" w:sz="0" w:space="0" w:color="auto"/>
      </w:divBdr>
    </w:div>
    <w:div w:id="651062492">
      <w:bodyDiv w:val="1"/>
      <w:marLeft w:val="0"/>
      <w:marRight w:val="0"/>
      <w:marTop w:val="0"/>
      <w:marBottom w:val="0"/>
      <w:divBdr>
        <w:top w:val="none" w:sz="0" w:space="0" w:color="auto"/>
        <w:left w:val="none" w:sz="0" w:space="0" w:color="auto"/>
        <w:bottom w:val="none" w:sz="0" w:space="0" w:color="auto"/>
        <w:right w:val="none" w:sz="0" w:space="0" w:color="auto"/>
      </w:divBdr>
    </w:div>
    <w:div w:id="746541789">
      <w:bodyDiv w:val="1"/>
      <w:marLeft w:val="0"/>
      <w:marRight w:val="0"/>
      <w:marTop w:val="0"/>
      <w:marBottom w:val="0"/>
      <w:divBdr>
        <w:top w:val="none" w:sz="0" w:space="0" w:color="auto"/>
        <w:left w:val="none" w:sz="0" w:space="0" w:color="auto"/>
        <w:bottom w:val="none" w:sz="0" w:space="0" w:color="auto"/>
        <w:right w:val="none" w:sz="0" w:space="0" w:color="auto"/>
      </w:divBdr>
    </w:div>
    <w:div w:id="916136731">
      <w:bodyDiv w:val="1"/>
      <w:marLeft w:val="0"/>
      <w:marRight w:val="0"/>
      <w:marTop w:val="0"/>
      <w:marBottom w:val="0"/>
      <w:divBdr>
        <w:top w:val="none" w:sz="0" w:space="0" w:color="auto"/>
        <w:left w:val="none" w:sz="0" w:space="0" w:color="auto"/>
        <w:bottom w:val="none" w:sz="0" w:space="0" w:color="auto"/>
        <w:right w:val="none" w:sz="0" w:space="0" w:color="auto"/>
      </w:divBdr>
    </w:div>
    <w:div w:id="976224882">
      <w:bodyDiv w:val="1"/>
      <w:marLeft w:val="0"/>
      <w:marRight w:val="0"/>
      <w:marTop w:val="0"/>
      <w:marBottom w:val="0"/>
      <w:divBdr>
        <w:top w:val="none" w:sz="0" w:space="0" w:color="auto"/>
        <w:left w:val="none" w:sz="0" w:space="0" w:color="auto"/>
        <w:bottom w:val="none" w:sz="0" w:space="0" w:color="auto"/>
        <w:right w:val="none" w:sz="0" w:space="0" w:color="auto"/>
      </w:divBdr>
    </w:div>
    <w:div w:id="979728179">
      <w:bodyDiv w:val="1"/>
      <w:marLeft w:val="0"/>
      <w:marRight w:val="0"/>
      <w:marTop w:val="0"/>
      <w:marBottom w:val="0"/>
      <w:divBdr>
        <w:top w:val="none" w:sz="0" w:space="0" w:color="auto"/>
        <w:left w:val="none" w:sz="0" w:space="0" w:color="auto"/>
        <w:bottom w:val="none" w:sz="0" w:space="0" w:color="auto"/>
        <w:right w:val="none" w:sz="0" w:space="0" w:color="auto"/>
      </w:divBdr>
    </w:div>
    <w:div w:id="1082874264">
      <w:bodyDiv w:val="1"/>
      <w:marLeft w:val="0"/>
      <w:marRight w:val="0"/>
      <w:marTop w:val="0"/>
      <w:marBottom w:val="0"/>
      <w:divBdr>
        <w:top w:val="none" w:sz="0" w:space="0" w:color="auto"/>
        <w:left w:val="none" w:sz="0" w:space="0" w:color="auto"/>
        <w:bottom w:val="none" w:sz="0" w:space="0" w:color="auto"/>
        <w:right w:val="none" w:sz="0" w:space="0" w:color="auto"/>
      </w:divBdr>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586920401">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770613807">
      <w:bodyDiv w:val="1"/>
      <w:marLeft w:val="0"/>
      <w:marRight w:val="0"/>
      <w:marTop w:val="0"/>
      <w:marBottom w:val="0"/>
      <w:divBdr>
        <w:top w:val="none" w:sz="0" w:space="0" w:color="auto"/>
        <w:left w:val="none" w:sz="0" w:space="0" w:color="auto"/>
        <w:bottom w:val="none" w:sz="0" w:space="0" w:color="auto"/>
        <w:right w:val="none" w:sz="0" w:space="0" w:color="auto"/>
      </w:divBdr>
    </w:div>
    <w:div w:id="18857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hseen.rana@ferc.gov" TargetMode="External"/><Relationship Id="rId18" Type="http://schemas.openxmlformats.org/officeDocument/2006/relationships/header" Target="header3.xml"/><Relationship Id="rId26" Type="http://schemas.openxmlformats.org/officeDocument/2006/relationships/hyperlink" Target="mailto:public.referenceroom@ferc.gov" TargetMode="External"/><Relationship Id="rId3" Type="http://schemas.openxmlformats.org/officeDocument/2006/relationships/customXml" Target="../customXml/item3.xml"/><Relationship Id="rId21" Type="http://schemas.openxmlformats.org/officeDocument/2006/relationships/hyperlink" Target="mailto:DataClearance@ferc.gov" TargetMode="Externa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footer" Target="footer2.xml"/><Relationship Id="rId25" Type="http://schemas.openxmlformats.org/officeDocument/2006/relationships/hyperlink" Target="mailto:ferconlinesupport@ferc.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erc.gov"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erc.gov"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ferc.gov"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ferc.gov/" TargetMode="Externa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ecec.nr0.htm" TargetMode="External"/><Relationship Id="rId2" Type="http://schemas.openxmlformats.org/officeDocument/2006/relationships/hyperlink" Target="https://www.bls.gov/oes/current/naics3_221000.htm" TargetMode="External"/><Relationship Id="rId1" Type="http://schemas.openxmlformats.org/officeDocument/2006/relationships/hyperlink" Target="http://www.fe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7793C-2B13-4768-A742-EA628646F162}">
  <ds:schemaRefs>
    <ds:schemaRef ds:uri="Microsoft.SharePoint.Taxonomy.ContentTypeSync"/>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E6030567-656C-4E25-8B1F-DF1A35A4B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3810E-DE27-4B82-85AF-75A5FA383A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F2ABE9A-7FF3-4130-9096-5C350B51287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otalTime>0</ap:TotalTime>
  <ap:Pages>18</ap:Pages>
  <ap:Words>3372</ap:Words>
  <ap:Characters>19291</ap:Characters>
  <ap:Application>Microsoft Office Word</ap:Application>
  <ap:DocSecurity>0</ap:DocSecurity>
  <ap:Lines>296</ap:Lines>
  <ap:Paragraphs>50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22613</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2022-05-17T18:13:00.0000000Z</dcterms:created>
  <dcterms:modified xsi:type="dcterms:W3CDTF">2022-05-17T21:14:00.0000000Z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