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14:paraId="4B6E5CCC" w14:textId="77777777">
          <w:pPr>
            <w:rPr>
              <w:noProof/>
            </w:rPr>
          </w:pPr>
          <w:r>
            <w:rPr>
              <w:noProof/>
            </w:rPr>
            <mc:AlternateContent>
              <mc:Choice Requires="wps">
                <w:drawing>
                  <wp:anchor distT="0" distB="0" distL="114300" distR="114300" simplePos="0" relativeHeight="251660288"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5168" fillcolor="#0c95d3" stroked="f" strokecolor="#f2f2f2" strokeweight="3pt">
                    <v:shadow color="#50191f" opacity="0.5" offset="1pt"/>
                    <w10:wrap type="through"/>
                  </v:rect>
                </w:pict>
              </mc:Fallback>
            </mc:AlternateContent>
          </w:r>
          <w:r w:rsidR="00C00590">
            <w:rPr>
              <w:noProof/>
            </w:rPr>
            <w:drawing>
              <wp:anchor distT="0" distB="0" distL="114300" distR="114300" simplePos="0" relativeHeight="251659264" behindDoc="0" locked="0" layoutInCell="1" allowOverlap="1">
                <wp:simplePos x="0" y="0"/>
                <wp:positionH relativeFrom="column">
                  <wp:posOffset>6350</wp:posOffset>
                </wp:positionH>
                <wp:positionV relativeFrom="paragraph">
                  <wp:posOffset>50800</wp:posOffset>
                </wp:positionV>
                <wp:extent cx="3175000" cy="609600"/>
                <wp:effectExtent l="19050" t="0" r="6350" b="0"/>
                <wp:wrapThrough wrapText="bothSides">
                  <wp:wrapPolygon>
                    <wp:start x="-130" y="0"/>
                    <wp:lineTo x="-130" y="20925"/>
                    <wp:lineTo x="21643" y="20925"/>
                    <wp:lineTo x="21643" y="0"/>
                    <wp:lineTo x="-130" y="0"/>
                  </wp:wrapPolygon>
                </wp:wrapThrough>
                <wp:docPr id="5" name="Picture 5"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a_logo_tagline.png"/>
                        <pic:cNvPicPr/>
                      </pic:nvPicPr>
                      <pic:blipFill>
                        <a:blip xmlns:r="http://schemas.openxmlformats.org/officeDocument/2006/relationships" r:embed="rId9"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3360" strokecolor="#7e8e9a">
                    <w10:wrap type="square"/>
                  </v:shape>
                </w:pict>
              </mc:Fallback>
            </mc:AlternateContent>
          </w:r>
        </w:p>
        <w:p w:rsidR="00041909" w:rsidP="00D928FD" w14:paraId="63EAD267" w14:textId="77777777">
          <w:pPr>
            <w:ind w:left="1080"/>
          </w:pPr>
          <w:r>
            <w:rPr>
              <w:noProof/>
            </w:rPr>
            <w:softHyphen/>
          </w:r>
          <w:r>
            <w:rPr>
              <w:noProof/>
            </w:rPr>
            <w:softHyphen/>
          </w:r>
          <w:r>
            <w:rPr>
              <w:noProof/>
            </w:rPr>
            <w:softHyphen/>
          </w:r>
        </w:p>
      </w:sdtContent>
    </w:sdt>
    <w:p w:rsidR="00D928FD" w:rsidP="00D928FD" w14:paraId="4296A085"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2798E5C2"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Uranium Data Program</w:t>
          </w:r>
        </w:p>
      </w:sdtContent>
    </w:sdt>
    <w:p w:rsidR="0059212D" w:rsidRPr="00EE2CAF" w:rsidP="00EE2CAF" w14:paraId="2FB31C58" w14:textId="77777777">
      <w:pPr>
        <w:pStyle w:val="Heading1"/>
      </w:pPr>
      <w:bookmarkStart w:id="0" w:name="_Toc39588497"/>
      <w:r>
        <w:t>Part A: Justification</w:t>
      </w:r>
      <w:bookmarkEnd w:id="0"/>
    </w:p>
    <w:p w:rsidR="00711414" w:rsidRPr="00711414" w:rsidP="00D928FD" w14:paraId="05531FC8" w14:textId="77777777">
      <w:pPr>
        <w:rPr>
          <w:b/>
          <w:sz w:val="36"/>
          <w:szCs w:val="36"/>
        </w:rPr>
      </w:pPr>
      <w:r>
        <w:rPr>
          <w:noProof/>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181" w:rsidRPr="00A27D01" w:rsidP="00A27D01" w14:paraId="36BBF1EA" w14:textId="77777777">
                            <w:pPr>
                              <w:rPr>
                                <w:i/>
                                <w:sz w:val="28"/>
                                <w:szCs w:val="28"/>
                              </w:rPr>
                            </w:pPr>
                            <w:r w:rsidRPr="00A27D01">
                              <w:rPr>
                                <w:i/>
                                <w:sz w:val="28"/>
                                <w:szCs w:val="28"/>
                              </w:rPr>
                              <w:t>Form EIA-851A Domestic Uranium Production Report (Annual)</w:t>
                            </w:r>
                          </w:p>
                          <w:p w:rsidR="00F46181" w:rsidRPr="00A27D01" w:rsidP="00A27D01" w14:paraId="633C809D" w14:textId="77777777">
                            <w:pPr>
                              <w:rPr>
                                <w:i/>
                                <w:sz w:val="28"/>
                                <w:szCs w:val="28"/>
                              </w:rPr>
                            </w:pPr>
                            <w:r w:rsidRPr="00A27D01">
                              <w:rPr>
                                <w:i/>
                                <w:sz w:val="28"/>
                                <w:szCs w:val="28"/>
                              </w:rPr>
                              <w:t>Form EIA-851Q Domestic Uranium Production Report (Quarterly)</w:t>
                            </w:r>
                          </w:p>
                          <w:p w:rsidR="00F46181" w:rsidRPr="0059212D" w:rsidP="00A27D01" w14:paraId="231EF961" w14:textId="77777777">
                            <w:pPr>
                              <w:rPr>
                                <w:i/>
                                <w:sz w:val="28"/>
                                <w:szCs w:val="28"/>
                              </w:rPr>
                            </w:pPr>
                            <w:r w:rsidRPr="00A27D01">
                              <w:rPr>
                                <w:i/>
                                <w:sz w:val="28"/>
                                <w:szCs w:val="28"/>
                              </w:rPr>
                              <w:t>Form EIA-858 Uranium Marketing Annual Survey</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5648" filled="f" stroked="f">
                <v:textbox inset="0">
                  <w:txbxContent>
                    <w:p w:rsidR="00F46181" w:rsidRPr="00A27D01" w:rsidP="00A27D01" w14:paraId="70D43048" w14:textId="77777777">
                      <w:pPr>
                        <w:rPr>
                          <w:i/>
                          <w:sz w:val="28"/>
                          <w:szCs w:val="28"/>
                        </w:rPr>
                      </w:pPr>
                      <w:r w:rsidRPr="00A27D01">
                        <w:rPr>
                          <w:i/>
                          <w:sz w:val="28"/>
                          <w:szCs w:val="28"/>
                        </w:rPr>
                        <w:t>Form EIA-851A Domestic Uranium Production Report (Annual)</w:t>
                      </w:r>
                    </w:p>
                    <w:p w:rsidR="00F46181" w:rsidRPr="00A27D01" w:rsidP="00A27D01" w14:paraId="174D395A" w14:textId="77777777">
                      <w:pPr>
                        <w:rPr>
                          <w:i/>
                          <w:sz w:val="28"/>
                          <w:szCs w:val="28"/>
                        </w:rPr>
                      </w:pPr>
                      <w:r w:rsidRPr="00A27D01">
                        <w:rPr>
                          <w:i/>
                          <w:sz w:val="28"/>
                          <w:szCs w:val="28"/>
                        </w:rPr>
                        <w:t>Form EIA-851Q Domestic Uranium Production Report (Quarterly)</w:t>
                      </w:r>
                    </w:p>
                    <w:p w:rsidR="00F46181" w:rsidRPr="0059212D" w:rsidP="00A27D01" w14:paraId="495358D6" w14:textId="089DDEE1">
                      <w:pPr>
                        <w:rPr>
                          <w:i/>
                          <w:sz w:val="28"/>
                          <w:szCs w:val="28"/>
                        </w:rPr>
                      </w:pPr>
                      <w:r w:rsidRPr="00A27D01">
                        <w:rPr>
                          <w:i/>
                          <w:sz w:val="28"/>
                          <w:szCs w:val="28"/>
                        </w:rPr>
                        <w:t>Form EIA-858 Uranium Marketing Annual Survey</w:t>
                      </w:r>
                    </w:p>
                  </w:txbxContent>
                </v:textbox>
                <w10:wrap type="square"/>
              </v:shape>
            </w:pict>
          </mc:Fallback>
        </mc:AlternateContent>
      </w:r>
      <w:r w:rsidR="00CF08D8">
        <w:rPr>
          <w:rFonts w:ascii="Times New Roman" w:hAnsi="Times New Roman" w:cs="Times New Roman"/>
          <w:b/>
          <w:sz w:val="36"/>
          <w:szCs w:val="36"/>
        </w:rPr>
        <w:t>OMB No. 1905-0160</w:t>
      </w:r>
    </w:p>
    <w:p w:rsidR="001F3A8F" w:rsidRPr="00711414" w:rsidP="00711414" w14:paraId="60F6FDE4" w14:textId="77777777">
      <w:pPr>
        <w:rPr>
          <w:i/>
          <w:sz w:val="28"/>
          <w:szCs w:val="28"/>
        </w:rPr>
      </w:pPr>
      <w:r>
        <w:rPr>
          <w:noProof/>
        </w:rPr>
        <mc:AlternateContent>
          <mc:Choice Requires="wps">
            <w:drawing>
              <wp:anchor distT="0" distB="0" distL="114300" distR="114300" simplePos="0" relativeHeight="251666432"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22368" w:rsidRPr="009818F9" w14:paraId="3829BEFF" w14:textId="77777777">
                            <w:pPr>
                              <w:rPr>
                                <w:color w:val="A6A6A6" w:themeColor="background1" w:themeShade="A6"/>
                                <w:sz w:val="36"/>
                              </w:rPr>
                            </w:pPr>
                            <w:r>
                              <w:rPr>
                                <w:color w:val="A6A6A6" w:themeColor="background1" w:themeShade="A6"/>
                                <w:sz w:val="36"/>
                              </w:rPr>
                              <w:t xml:space="preserve">May </w:t>
                            </w:r>
                            <w:r w:rsidR="00F46181">
                              <w:rPr>
                                <w:color w:val="A6A6A6" w:themeColor="background1" w:themeShade="A6"/>
                                <w:sz w:val="36"/>
                              </w:rPr>
                              <w:t>202</w:t>
                            </w:r>
                            <w:r>
                              <w:rPr>
                                <w:color w:val="A6A6A6" w:themeColor="background1" w:themeShade="A6"/>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style="mso-fit-shape-to-text:t" inset="0">
                  <w:txbxContent>
                    <w:p w:rsidR="00E22368" w:rsidRPr="009818F9" w14:paraId="7E9A8AEC" w14:textId="09D07274">
                      <w:pPr>
                        <w:rPr>
                          <w:color w:val="A6A6A6" w:themeColor="background1" w:themeShade="A6"/>
                          <w:sz w:val="36"/>
                        </w:rPr>
                      </w:pPr>
                      <w:r>
                        <w:rPr>
                          <w:color w:val="A6A6A6" w:themeColor="background1" w:themeShade="A6"/>
                          <w:sz w:val="36"/>
                        </w:rPr>
                        <w:t xml:space="preserve">May </w:t>
                      </w:r>
                      <w:r w:rsidR="00F46181">
                        <w:rPr>
                          <w:color w:val="A6A6A6" w:themeColor="background1" w:themeShade="A6"/>
                          <w:sz w:val="36"/>
                        </w:rPr>
                        <w:t>202</w:t>
                      </w:r>
                      <w:r>
                        <w:rPr>
                          <w:color w:val="A6A6A6" w:themeColor="background1" w:themeShade="A6"/>
                          <w:sz w:val="36"/>
                        </w:rPr>
                        <w:t>4</w:t>
                      </w:r>
                    </w:p>
                  </w:txbxContent>
                </v:textbox>
                <w10:wrap type="squar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46976"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4384"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181" w:rsidRPr="00AA3D91" w:rsidP="00D001E4" w14:paraId="3C771F3C"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5408" filled="f" stroked="f">
                <v:textbox inset="0">
                  <w:txbxContent>
                    <w:p w:rsidR="00F46181" w:rsidRPr="00AA3D91" w:rsidP="00D001E4" w14:paraId="56E50E8C"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7"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0" cstate="prin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181" w:rsidRPr="008F4CBD" w:rsidP="00D300F4" w14:paraId="3C6E70A1"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F46181" w:rsidRPr="008F4CBD" w:rsidP="002556F3" w14:paraId="73E3A1A2"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0">
                  <w:txbxContent>
                    <w:p w:rsidR="00F46181" w:rsidRPr="008F4CBD" w:rsidP="00D300F4" w14:paraId="56E50E8D"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F46181" w:rsidRPr="008F4CBD" w:rsidP="002556F3" w14:paraId="56E50E8E"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72576"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181" w:rsidRPr="008F4CBD" w:rsidP="002556F3" w14:paraId="291951A9"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46181" w:rsidRPr="008F4CBD" w:rsidP="002556F3" w14:paraId="4B5E978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2"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3600" filled="f" stroked="f">
                <v:textbox inset="0">
                  <w:txbxContent>
                    <w:p w:rsidR="00F46181" w:rsidRPr="008F4CBD" w:rsidP="002556F3" w14:paraId="56E50E8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46181" w:rsidRPr="008F4CBD" w:rsidP="002556F3" w14:paraId="56E50E9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7E77038B" w14:textId="77777777">
      <w:pPr>
        <w:sectPr w:rsidSect="001F3A8F">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36CFE508" w14:textId="77777777">
          <w:pPr>
            <w:pStyle w:val="TOCHeading"/>
          </w:pPr>
          <w:r>
            <w:t>Table of Contents</w:t>
          </w:r>
        </w:p>
        <w:p w:rsidR="001F7E3E" w14:paraId="60922F5B" w14:textId="77777777">
          <w:pPr>
            <w:pStyle w:val="TOC1"/>
            <w:rPr>
              <w:rFonts w:eastAsiaTheme="minorEastAsia"/>
              <w:noProof/>
              <w:color w:val="auto"/>
            </w:rPr>
          </w:pPr>
          <w:r>
            <w:fldChar w:fldCharType="begin"/>
          </w:r>
          <w:r>
            <w:instrText xml:space="preserve"> TOC \o "1-3" \h \z \u </w:instrText>
          </w:r>
          <w:r>
            <w:fldChar w:fldCharType="separate"/>
          </w:r>
          <w:hyperlink w:anchor="_Toc39588497" w:history="1">
            <w:r w:rsidRPr="00C06A6A">
              <w:rPr>
                <w:rStyle w:val="Hyperlink"/>
                <w:noProof/>
              </w:rPr>
              <w:t>Part A: Justification</w:t>
            </w:r>
            <w:r>
              <w:rPr>
                <w:noProof/>
                <w:webHidden/>
              </w:rPr>
              <w:tab/>
            </w:r>
            <w:r>
              <w:rPr>
                <w:noProof/>
                <w:webHidden/>
              </w:rPr>
              <w:fldChar w:fldCharType="begin"/>
            </w:r>
            <w:r>
              <w:rPr>
                <w:noProof/>
                <w:webHidden/>
              </w:rPr>
              <w:instrText xml:space="preserve"> PAGEREF _Toc39588497 \h </w:instrText>
            </w:r>
            <w:r>
              <w:rPr>
                <w:noProof/>
                <w:webHidden/>
              </w:rPr>
              <w:fldChar w:fldCharType="separate"/>
            </w:r>
            <w:r>
              <w:rPr>
                <w:noProof/>
                <w:webHidden/>
              </w:rPr>
              <w:t>i</w:t>
            </w:r>
            <w:r>
              <w:rPr>
                <w:noProof/>
                <w:webHidden/>
              </w:rPr>
              <w:fldChar w:fldCharType="end"/>
            </w:r>
          </w:hyperlink>
        </w:p>
        <w:p w:rsidR="001F7E3E" w14:paraId="632FB2E3" w14:textId="77777777">
          <w:pPr>
            <w:pStyle w:val="TOC2"/>
            <w:rPr>
              <w:rFonts w:eastAsiaTheme="minorEastAsia"/>
              <w:noProof/>
              <w:color w:val="auto"/>
            </w:rPr>
          </w:pPr>
          <w:hyperlink w:anchor="_Toc39588498" w:history="1">
            <w:r w:rsidRPr="00C06A6A" w:rsidR="003A1BDB">
              <w:rPr>
                <w:rStyle w:val="Hyperlink"/>
                <w:rFonts w:eastAsiaTheme="majorEastAsia" w:cs="Arial"/>
                <w:b/>
                <w:noProof/>
              </w:rPr>
              <w:t>Introduction</w:t>
            </w:r>
            <w:r w:rsidR="003A1BDB">
              <w:rPr>
                <w:noProof/>
                <w:webHidden/>
              </w:rPr>
              <w:tab/>
            </w:r>
            <w:r w:rsidR="003A1BDB">
              <w:rPr>
                <w:noProof/>
                <w:webHidden/>
              </w:rPr>
              <w:fldChar w:fldCharType="begin"/>
            </w:r>
            <w:r w:rsidR="003A1BDB">
              <w:rPr>
                <w:noProof/>
                <w:webHidden/>
              </w:rPr>
              <w:instrText xml:space="preserve"> PAGEREF _Toc39588498 \h </w:instrText>
            </w:r>
            <w:r w:rsidR="003A1BDB">
              <w:rPr>
                <w:noProof/>
                <w:webHidden/>
              </w:rPr>
              <w:fldChar w:fldCharType="separate"/>
            </w:r>
            <w:r w:rsidR="003A1BDB">
              <w:rPr>
                <w:noProof/>
                <w:webHidden/>
              </w:rPr>
              <w:t>1</w:t>
            </w:r>
            <w:r w:rsidR="003A1BDB">
              <w:rPr>
                <w:noProof/>
                <w:webHidden/>
              </w:rPr>
              <w:fldChar w:fldCharType="end"/>
            </w:r>
          </w:hyperlink>
        </w:p>
        <w:p w:rsidR="001F7E3E" w14:paraId="37EE9FD5" w14:textId="77777777">
          <w:pPr>
            <w:pStyle w:val="TOC2"/>
            <w:rPr>
              <w:rFonts w:eastAsiaTheme="minorEastAsia"/>
              <w:noProof/>
              <w:color w:val="auto"/>
            </w:rPr>
          </w:pPr>
          <w:hyperlink w:anchor="_Toc39588499" w:history="1">
            <w:r w:rsidRPr="00C06A6A" w:rsidR="003A1BDB">
              <w:rPr>
                <w:rStyle w:val="Hyperlink"/>
                <w:noProof/>
              </w:rPr>
              <w:t>A.1. Legal Justification</w:t>
            </w:r>
            <w:r w:rsidR="003A1BDB">
              <w:rPr>
                <w:noProof/>
                <w:webHidden/>
              </w:rPr>
              <w:tab/>
            </w:r>
            <w:r w:rsidR="003A1BDB">
              <w:rPr>
                <w:noProof/>
                <w:webHidden/>
              </w:rPr>
              <w:fldChar w:fldCharType="begin"/>
            </w:r>
            <w:r w:rsidR="003A1BDB">
              <w:rPr>
                <w:noProof/>
                <w:webHidden/>
              </w:rPr>
              <w:instrText xml:space="preserve"> PAGEREF _Toc39588499 \h </w:instrText>
            </w:r>
            <w:r w:rsidR="003A1BDB">
              <w:rPr>
                <w:noProof/>
                <w:webHidden/>
              </w:rPr>
              <w:fldChar w:fldCharType="separate"/>
            </w:r>
            <w:r w:rsidR="003A1BDB">
              <w:rPr>
                <w:noProof/>
                <w:webHidden/>
              </w:rPr>
              <w:t>1</w:t>
            </w:r>
            <w:r w:rsidR="003A1BDB">
              <w:rPr>
                <w:noProof/>
                <w:webHidden/>
              </w:rPr>
              <w:fldChar w:fldCharType="end"/>
            </w:r>
          </w:hyperlink>
        </w:p>
        <w:p w:rsidR="001F7E3E" w14:paraId="58768166" w14:textId="77777777">
          <w:pPr>
            <w:pStyle w:val="TOC2"/>
            <w:rPr>
              <w:rFonts w:eastAsiaTheme="minorEastAsia"/>
              <w:noProof/>
              <w:color w:val="auto"/>
            </w:rPr>
          </w:pPr>
          <w:hyperlink w:anchor="_Toc39588500" w:history="1">
            <w:r w:rsidRPr="00C06A6A" w:rsidR="003A1BDB">
              <w:rPr>
                <w:rStyle w:val="Hyperlink"/>
                <w:noProof/>
              </w:rPr>
              <w:t>A.2. Needs and Uses of Data</w:t>
            </w:r>
            <w:r w:rsidR="003A1BDB">
              <w:rPr>
                <w:noProof/>
                <w:webHidden/>
              </w:rPr>
              <w:tab/>
            </w:r>
            <w:r w:rsidR="003A1BDB">
              <w:rPr>
                <w:noProof/>
                <w:webHidden/>
              </w:rPr>
              <w:fldChar w:fldCharType="begin"/>
            </w:r>
            <w:r w:rsidR="003A1BDB">
              <w:rPr>
                <w:noProof/>
                <w:webHidden/>
              </w:rPr>
              <w:instrText xml:space="preserve"> PAGEREF _Toc39588500 \h </w:instrText>
            </w:r>
            <w:r w:rsidR="003A1BDB">
              <w:rPr>
                <w:noProof/>
                <w:webHidden/>
              </w:rPr>
              <w:fldChar w:fldCharType="separate"/>
            </w:r>
            <w:r w:rsidR="003A1BDB">
              <w:rPr>
                <w:noProof/>
                <w:webHidden/>
              </w:rPr>
              <w:t>3</w:t>
            </w:r>
            <w:r w:rsidR="003A1BDB">
              <w:rPr>
                <w:noProof/>
                <w:webHidden/>
              </w:rPr>
              <w:fldChar w:fldCharType="end"/>
            </w:r>
          </w:hyperlink>
        </w:p>
        <w:p w:rsidR="001F7E3E" w14:paraId="554F09C9" w14:textId="77777777">
          <w:pPr>
            <w:pStyle w:val="TOC2"/>
            <w:rPr>
              <w:rFonts w:eastAsiaTheme="minorEastAsia"/>
              <w:noProof/>
              <w:color w:val="auto"/>
            </w:rPr>
          </w:pPr>
          <w:hyperlink w:anchor="_Toc39588501" w:history="1">
            <w:r w:rsidRPr="00C06A6A" w:rsidR="003A1BDB">
              <w:rPr>
                <w:rStyle w:val="Hyperlink"/>
                <w:noProof/>
              </w:rPr>
              <w:t>A.3. Use of Technology</w:t>
            </w:r>
            <w:r w:rsidR="003A1BDB">
              <w:rPr>
                <w:noProof/>
                <w:webHidden/>
              </w:rPr>
              <w:tab/>
            </w:r>
            <w:r w:rsidR="003A1BDB">
              <w:rPr>
                <w:noProof/>
                <w:webHidden/>
              </w:rPr>
              <w:fldChar w:fldCharType="begin"/>
            </w:r>
            <w:r w:rsidR="003A1BDB">
              <w:rPr>
                <w:noProof/>
                <w:webHidden/>
              </w:rPr>
              <w:instrText xml:space="preserve"> PAGEREF _Toc39588501 \h </w:instrText>
            </w:r>
            <w:r w:rsidR="003A1BDB">
              <w:rPr>
                <w:noProof/>
                <w:webHidden/>
              </w:rPr>
              <w:fldChar w:fldCharType="separate"/>
            </w:r>
            <w:r w:rsidR="003A1BDB">
              <w:rPr>
                <w:noProof/>
                <w:webHidden/>
              </w:rPr>
              <w:t>5</w:t>
            </w:r>
            <w:r w:rsidR="003A1BDB">
              <w:rPr>
                <w:noProof/>
                <w:webHidden/>
              </w:rPr>
              <w:fldChar w:fldCharType="end"/>
            </w:r>
          </w:hyperlink>
        </w:p>
        <w:p w:rsidR="001F7E3E" w14:paraId="543734CB" w14:textId="77777777">
          <w:pPr>
            <w:pStyle w:val="TOC2"/>
            <w:rPr>
              <w:rFonts w:eastAsiaTheme="minorEastAsia"/>
              <w:noProof/>
              <w:color w:val="auto"/>
            </w:rPr>
          </w:pPr>
          <w:hyperlink w:anchor="_Toc39588502" w:history="1">
            <w:r w:rsidRPr="00C06A6A" w:rsidR="003A1BDB">
              <w:rPr>
                <w:rStyle w:val="Hyperlink"/>
                <w:noProof/>
              </w:rPr>
              <w:t>A.4. Efforts to Identify Duplication</w:t>
            </w:r>
            <w:r w:rsidR="003A1BDB">
              <w:rPr>
                <w:noProof/>
                <w:webHidden/>
              </w:rPr>
              <w:tab/>
            </w:r>
            <w:r w:rsidR="003A1BDB">
              <w:rPr>
                <w:noProof/>
                <w:webHidden/>
              </w:rPr>
              <w:fldChar w:fldCharType="begin"/>
            </w:r>
            <w:r w:rsidR="003A1BDB">
              <w:rPr>
                <w:noProof/>
                <w:webHidden/>
              </w:rPr>
              <w:instrText xml:space="preserve"> PAGEREF _Toc39588502 \h </w:instrText>
            </w:r>
            <w:r w:rsidR="003A1BDB">
              <w:rPr>
                <w:noProof/>
                <w:webHidden/>
              </w:rPr>
              <w:fldChar w:fldCharType="separate"/>
            </w:r>
            <w:r w:rsidR="003A1BDB">
              <w:rPr>
                <w:noProof/>
                <w:webHidden/>
              </w:rPr>
              <w:t>5</w:t>
            </w:r>
            <w:r w:rsidR="003A1BDB">
              <w:rPr>
                <w:noProof/>
                <w:webHidden/>
              </w:rPr>
              <w:fldChar w:fldCharType="end"/>
            </w:r>
          </w:hyperlink>
        </w:p>
        <w:p w:rsidR="001F7E3E" w14:paraId="64F1223D" w14:textId="77777777">
          <w:pPr>
            <w:pStyle w:val="TOC2"/>
            <w:rPr>
              <w:rFonts w:eastAsiaTheme="minorEastAsia"/>
              <w:noProof/>
              <w:color w:val="auto"/>
            </w:rPr>
          </w:pPr>
          <w:hyperlink w:anchor="_Toc39588503" w:history="1">
            <w:r w:rsidRPr="00C06A6A" w:rsidR="003A1BDB">
              <w:rPr>
                <w:rStyle w:val="Hyperlink"/>
                <w:noProof/>
              </w:rPr>
              <w:t>A.5. Provisions for Reducing Burden on Small Businesses</w:t>
            </w:r>
            <w:r w:rsidR="003A1BDB">
              <w:rPr>
                <w:noProof/>
                <w:webHidden/>
              </w:rPr>
              <w:tab/>
            </w:r>
            <w:r w:rsidR="003A1BDB">
              <w:rPr>
                <w:noProof/>
                <w:webHidden/>
              </w:rPr>
              <w:fldChar w:fldCharType="begin"/>
            </w:r>
            <w:r w:rsidR="003A1BDB">
              <w:rPr>
                <w:noProof/>
                <w:webHidden/>
              </w:rPr>
              <w:instrText xml:space="preserve"> PAGEREF _Toc39588503 \h </w:instrText>
            </w:r>
            <w:r w:rsidR="003A1BDB">
              <w:rPr>
                <w:noProof/>
                <w:webHidden/>
              </w:rPr>
              <w:fldChar w:fldCharType="separate"/>
            </w:r>
            <w:r w:rsidR="003A1BDB">
              <w:rPr>
                <w:noProof/>
                <w:webHidden/>
              </w:rPr>
              <w:t>6</w:t>
            </w:r>
            <w:r w:rsidR="003A1BDB">
              <w:rPr>
                <w:noProof/>
                <w:webHidden/>
              </w:rPr>
              <w:fldChar w:fldCharType="end"/>
            </w:r>
          </w:hyperlink>
        </w:p>
        <w:p w:rsidR="001F7E3E" w14:paraId="11BB7DD7" w14:textId="77777777">
          <w:pPr>
            <w:pStyle w:val="TOC2"/>
            <w:rPr>
              <w:rFonts w:eastAsiaTheme="minorEastAsia"/>
              <w:noProof/>
              <w:color w:val="auto"/>
            </w:rPr>
          </w:pPr>
          <w:hyperlink w:anchor="_Toc39588504" w:history="1">
            <w:r w:rsidRPr="00C06A6A" w:rsidR="003A1BDB">
              <w:rPr>
                <w:rStyle w:val="Hyperlink"/>
                <w:noProof/>
              </w:rPr>
              <w:t>A.6. Consequences of Less-Frequent Reporting</w:t>
            </w:r>
            <w:r w:rsidR="003A1BDB">
              <w:rPr>
                <w:noProof/>
                <w:webHidden/>
              </w:rPr>
              <w:tab/>
            </w:r>
            <w:r w:rsidR="003A1BDB">
              <w:rPr>
                <w:noProof/>
                <w:webHidden/>
              </w:rPr>
              <w:fldChar w:fldCharType="begin"/>
            </w:r>
            <w:r w:rsidR="003A1BDB">
              <w:rPr>
                <w:noProof/>
                <w:webHidden/>
              </w:rPr>
              <w:instrText xml:space="preserve"> PAGEREF _Toc39588504 \h </w:instrText>
            </w:r>
            <w:r w:rsidR="003A1BDB">
              <w:rPr>
                <w:noProof/>
                <w:webHidden/>
              </w:rPr>
              <w:fldChar w:fldCharType="separate"/>
            </w:r>
            <w:r w:rsidR="003A1BDB">
              <w:rPr>
                <w:noProof/>
                <w:webHidden/>
              </w:rPr>
              <w:t>6</w:t>
            </w:r>
            <w:r w:rsidR="003A1BDB">
              <w:rPr>
                <w:noProof/>
                <w:webHidden/>
              </w:rPr>
              <w:fldChar w:fldCharType="end"/>
            </w:r>
          </w:hyperlink>
        </w:p>
        <w:p w:rsidR="001F7E3E" w14:paraId="60D7685C" w14:textId="77777777">
          <w:pPr>
            <w:pStyle w:val="TOC2"/>
            <w:rPr>
              <w:rFonts w:eastAsiaTheme="minorEastAsia"/>
              <w:noProof/>
              <w:color w:val="auto"/>
            </w:rPr>
          </w:pPr>
          <w:hyperlink w:anchor="_Toc39588505" w:history="1">
            <w:r w:rsidRPr="00C06A6A" w:rsidR="003A1BDB">
              <w:rPr>
                <w:rStyle w:val="Hyperlink"/>
                <w:noProof/>
              </w:rPr>
              <w:t>A.7. Compliance with 5 CFR 1320.5</w:t>
            </w:r>
            <w:r w:rsidR="003A1BDB">
              <w:rPr>
                <w:noProof/>
                <w:webHidden/>
              </w:rPr>
              <w:tab/>
            </w:r>
            <w:r w:rsidR="003A1BDB">
              <w:rPr>
                <w:noProof/>
                <w:webHidden/>
              </w:rPr>
              <w:fldChar w:fldCharType="begin"/>
            </w:r>
            <w:r w:rsidR="003A1BDB">
              <w:rPr>
                <w:noProof/>
                <w:webHidden/>
              </w:rPr>
              <w:instrText xml:space="preserve"> PAGEREF _Toc39588505 \h </w:instrText>
            </w:r>
            <w:r w:rsidR="003A1BDB">
              <w:rPr>
                <w:noProof/>
                <w:webHidden/>
              </w:rPr>
              <w:fldChar w:fldCharType="separate"/>
            </w:r>
            <w:r w:rsidR="003A1BDB">
              <w:rPr>
                <w:noProof/>
                <w:webHidden/>
              </w:rPr>
              <w:t>7</w:t>
            </w:r>
            <w:r w:rsidR="003A1BDB">
              <w:rPr>
                <w:noProof/>
                <w:webHidden/>
              </w:rPr>
              <w:fldChar w:fldCharType="end"/>
            </w:r>
          </w:hyperlink>
        </w:p>
        <w:p w:rsidR="001F7E3E" w14:paraId="42CB87A9" w14:textId="77777777">
          <w:pPr>
            <w:pStyle w:val="TOC2"/>
            <w:rPr>
              <w:rFonts w:eastAsiaTheme="minorEastAsia"/>
              <w:noProof/>
              <w:color w:val="auto"/>
            </w:rPr>
          </w:pPr>
          <w:hyperlink w:anchor="_Toc39588506" w:history="1">
            <w:r w:rsidRPr="00C06A6A" w:rsidR="003A1BDB">
              <w:rPr>
                <w:rStyle w:val="Hyperlink"/>
                <w:noProof/>
              </w:rPr>
              <w:t>A.8. Summary of Consultations Outside of the Agency</w:t>
            </w:r>
            <w:r w:rsidR="003A1BDB">
              <w:rPr>
                <w:noProof/>
                <w:webHidden/>
              </w:rPr>
              <w:tab/>
            </w:r>
            <w:r w:rsidR="003A1BDB">
              <w:rPr>
                <w:noProof/>
                <w:webHidden/>
              </w:rPr>
              <w:fldChar w:fldCharType="begin"/>
            </w:r>
            <w:r w:rsidR="003A1BDB">
              <w:rPr>
                <w:noProof/>
                <w:webHidden/>
              </w:rPr>
              <w:instrText xml:space="preserve"> PAGEREF _Toc39588506 \h </w:instrText>
            </w:r>
            <w:r w:rsidR="003A1BDB">
              <w:rPr>
                <w:noProof/>
                <w:webHidden/>
              </w:rPr>
              <w:fldChar w:fldCharType="separate"/>
            </w:r>
            <w:r w:rsidR="003A1BDB">
              <w:rPr>
                <w:noProof/>
                <w:webHidden/>
              </w:rPr>
              <w:t>7</w:t>
            </w:r>
            <w:r w:rsidR="003A1BDB">
              <w:rPr>
                <w:noProof/>
                <w:webHidden/>
              </w:rPr>
              <w:fldChar w:fldCharType="end"/>
            </w:r>
          </w:hyperlink>
        </w:p>
        <w:p w:rsidR="001F7E3E" w14:paraId="15202A00" w14:textId="77777777">
          <w:pPr>
            <w:pStyle w:val="TOC2"/>
            <w:rPr>
              <w:rFonts w:eastAsiaTheme="minorEastAsia"/>
              <w:noProof/>
              <w:color w:val="auto"/>
            </w:rPr>
          </w:pPr>
          <w:hyperlink w:anchor="_Toc39588507" w:history="1">
            <w:r w:rsidRPr="00C06A6A" w:rsidR="003A1BDB">
              <w:rPr>
                <w:rStyle w:val="Hyperlink"/>
                <w:noProof/>
              </w:rPr>
              <w:t>A.9. Payments or Gifts to Respondents</w:t>
            </w:r>
            <w:r w:rsidR="003A1BDB">
              <w:rPr>
                <w:noProof/>
                <w:webHidden/>
              </w:rPr>
              <w:tab/>
            </w:r>
            <w:r w:rsidR="003A1BDB">
              <w:rPr>
                <w:noProof/>
                <w:webHidden/>
              </w:rPr>
              <w:fldChar w:fldCharType="begin"/>
            </w:r>
            <w:r w:rsidR="003A1BDB">
              <w:rPr>
                <w:noProof/>
                <w:webHidden/>
              </w:rPr>
              <w:instrText xml:space="preserve"> PAGEREF _Toc39588507 \h </w:instrText>
            </w:r>
            <w:r w:rsidR="003A1BDB">
              <w:rPr>
                <w:noProof/>
                <w:webHidden/>
              </w:rPr>
              <w:fldChar w:fldCharType="separate"/>
            </w:r>
            <w:r w:rsidR="003A1BDB">
              <w:rPr>
                <w:noProof/>
                <w:webHidden/>
              </w:rPr>
              <w:t>7</w:t>
            </w:r>
            <w:r w:rsidR="003A1BDB">
              <w:rPr>
                <w:noProof/>
                <w:webHidden/>
              </w:rPr>
              <w:fldChar w:fldCharType="end"/>
            </w:r>
          </w:hyperlink>
        </w:p>
        <w:p w:rsidR="001F7E3E" w14:paraId="0DF8000B" w14:textId="77777777">
          <w:pPr>
            <w:pStyle w:val="TOC2"/>
            <w:rPr>
              <w:rFonts w:eastAsiaTheme="minorEastAsia"/>
              <w:noProof/>
              <w:color w:val="auto"/>
            </w:rPr>
          </w:pPr>
          <w:hyperlink w:anchor="_Toc39588508" w:history="1">
            <w:r w:rsidRPr="00C06A6A" w:rsidR="003A1BDB">
              <w:rPr>
                <w:rStyle w:val="Hyperlink"/>
                <w:noProof/>
              </w:rPr>
              <w:t>A.10. Provisions for Protection of Information</w:t>
            </w:r>
            <w:r w:rsidR="003A1BDB">
              <w:rPr>
                <w:noProof/>
                <w:webHidden/>
              </w:rPr>
              <w:tab/>
            </w:r>
            <w:r w:rsidR="003A1BDB">
              <w:rPr>
                <w:noProof/>
                <w:webHidden/>
              </w:rPr>
              <w:fldChar w:fldCharType="begin"/>
            </w:r>
            <w:r w:rsidR="003A1BDB">
              <w:rPr>
                <w:noProof/>
                <w:webHidden/>
              </w:rPr>
              <w:instrText xml:space="preserve"> PAGEREF _Toc39588508 \h </w:instrText>
            </w:r>
            <w:r w:rsidR="003A1BDB">
              <w:rPr>
                <w:noProof/>
                <w:webHidden/>
              </w:rPr>
              <w:fldChar w:fldCharType="separate"/>
            </w:r>
            <w:r w:rsidR="003A1BDB">
              <w:rPr>
                <w:noProof/>
                <w:webHidden/>
              </w:rPr>
              <w:t>7</w:t>
            </w:r>
            <w:r w:rsidR="003A1BDB">
              <w:rPr>
                <w:noProof/>
                <w:webHidden/>
              </w:rPr>
              <w:fldChar w:fldCharType="end"/>
            </w:r>
          </w:hyperlink>
        </w:p>
        <w:p w:rsidR="001F7E3E" w:rsidRPr="003853E1" w14:paraId="7E2668C1" w14:textId="77777777">
          <w:pPr>
            <w:pStyle w:val="TOC2"/>
            <w:rPr>
              <w:rFonts w:eastAsiaTheme="minorEastAsia"/>
              <w:noProof/>
              <w:color w:val="auto"/>
            </w:rPr>
          </w:pPr>
          <w:hyperlink w:anchor="_Toc39588509" w:history="1">
            <w:r w:rsidRPr="003853E1" w:rsidR="003A1BDB">
              <w:rPr>
                <w:rStyle w:val="Hyperlink"/>
                <w:noProof/>
              </w:rPr>
              <w:t>A.11. Justification for Sensitive Questions</w:t>
            </w:r>
            <w:r w:rsidRPr="003853E1" w:rsidR="003A1BDB">
              <w:rPr>
                <w:noProof/>
                <w:webHidden/>
              </w:rPr>
              <w:tab/>
            </w:r>
            <w:r w:rsidRPr="003853E1" w:rsidR="003A1BDB">
              <w:rPr>
                <w:noProof/>
                <w:webHidden/>
              </w:rPr>
              <w:fldChar w:fldCharType="begin"/>
            </w:r>
            <w:r w:rsidRPr="003853E1" w:rsidR="003A1BDB">
              <w:rPr>
                <w:noProof/>
                <w:webHidden/>
              </w:rPr>
              <w:instrText xml:space="preserve"> PAGEREF _Toc39588509 \h </w:instrText>
            </w:r>
            <w:r w:rsidRPr="003853E1" w:rsidR="003A1BDB">
              <w:rPr>
                <w:noProof/>
                <w:webHidden/>
              </w:rPr>
              <w:fldChar w:fldCharType="separate"/>
            </w:r>
            <w:r w:rsidRPr="003853E1" w:rsidR="003A1BDB">
              <w:rPr>
                <w:noProof/>
                <w:webHidden/>
              </w:rPr>
              <w:t>8</w:t>
            </w:r>
            <w:r w:rsidRPr="003853E1" w:rsidR="003A1BDB">
              <w:rPr>
                <w:noProof/>
                <w:webHidden/>
              </w:rPr>
              <w:fldChar w:fldCharType="end"/>
            </w:r>
          </w:hyperlink>
        </w:p>
        <w:p w:rsidR="001F7E3E" w:rsidRPr="003853E1" w14:paraId="228DAE40" w14:textId="77777777">
          <w:pPr>
            <w:pStyle w:val="TOC2"/>
            <w:rPr>
              <w:rFonts w:eastAsiaTheme="minorEastAsia"/>
              <w:noProof/>
              <w:color w:val="auto"/>
            </w:rPr>
          </w:pPr>
          <w:hyperlink w:anchor="_Toc39588510" w:history="1">
            <w:r w:rsidRPr="00ED31DE" w:rsidR="003A1BDB">
              <w:rPr>
                <w:rStyle w:val="Hyperlink"/>
                <w:noProof/>
              </w:rPr>
              <w:t>A.12. Estimate of Respondent Burden Hours and Cost</w:t>
            </w:r>
            <w:r w:rsidRPr="003853E1" w:rsidR="003A1BDB">
              <w:rPr>
                <w:rStyle w:val="Hyperlink"/>
                <w:noProof/>
              </w:rPr>
              <w:t xml:space="preserve"> </w:t>
            </w:r>
            <w:r w:rsidRPr="003853E1" w:rsidR="003A1BDB">
              <w:rPr>
                <w:noProof/>
                <w:webHidden/>
              </w:rPr>
              <w:tab/>
            </w:r>
            <w:r w:rsidRPr="003853E1" w:rsidR="003A1BDB">
              <w:rPr>
                <w:noProof/>
                <w:webHidden/>
              </w:rPr>
              <w:fldChar w:fldCharType="begin"/>
            </w:r>
            <w:r w:rsidRPr="003853E1" w:rsidR="003A1BDB">
              <w:rPr>
                <w:noProof/>
                <w:webHidden/>
              </w:rPr>
              <w:instrText xml:space="preserve"> PAGEREF _Toc39588510 \h </w:instrText>
            </w:r>
            <w:r w:rsidRPr="003853E1" w:rsidR="003A1BDB">
              <w:rPr>
                <w:noProof/>
                <w:webHidden/>
              </w:rPr>
              <w:fldChar w:fldCharType="separate"/>
            </w:r>
            <w:r w:rsidRPr="003853E1" w:rsidR="003A1BDB">
              <w:rPr>
                <w:noProof/>
                <w:webHidden/>
              </w:rPr>
              <w:t>8</w:t>
            </w:r>
            <w:r w:rsidRPr="003853E1" w:rsidR="003A1BDB">
              <w:rPr>
                <w:noProof/>
                <w:webHidden/>
              </w:rPr>
              <w:fldChar w:fldCharType="end"/>
            </w:r>
          </w:hyperlink>
        </w:p>
        <w:p w:rsidR="001F7E3E" w:rsidRPr="003853E1" w:rsidP="001F7E3E" w14:paraId="306283B9" w14:textId="77777777">
          <w:pPr>
            <w:pStyle w:val="TOC2"/>
            <w:rPr>
              <w:rFonts w:eastAsiaTheme="minorEastAsia"/>
              <w:noProof/>
              <w:color w:val="auto"/>
            </w:rPr>
          </w:pPr>
          <w:hyperlink w:anchor="_Toc39588511" w:history="1">
            <w:r w:rsidRPr="003853E1" w:rsidR="003A1BDB">
              <w:rPr>
                <w:rStyle w:val="Hyperlink"/>
                <w:noProof/>
              </w:rPr>
              <w:t>A.13. Annual Cost to the Federal Government</w:t>
            </w:r>
            <w:r w:rsidRPr="003853E1" w:rsidR="003A1BDB">
              <w:rPr>
                <w:noProof/>
                <w:webHidden/>
              </w:rPr>
              <w:tab/>
            </w:r>
            <w:r w:rsidRPr="003853E1" w:rsidR="003A1BDB">
              <w:rPr>
                <w:noProof/>
                <w:webHidden/>
              </w:rPr>
              <w:fldChar w:fldCharType="begin"/>
            </w:r>
            <w:r w:rsidRPr="003853E1" w:rsidR="003A1BDB">
              <w:rPr>
                <w:noProof/>
                <w:webHidden/>
              </w:rPr>
              <w:instrText xml:space="preserve"> PAGEREF _Toc39588511 \h </w:instrText>
            </w:r>
            <w:r w:rsidRPr="003853E1" w:rsidR="003A1BDB">
              <w:rPr>
                <w:noProof/>
                <w:webHidden/>
              </w:rPr>
              <w:fldChar w:fldCharType="separate"/>
            </w:r>
            <w:r w:rsidRPr="003853E1" w:rsidR="003A1BDB">
              <w:rPr>
                <w:noProof/>
                <w:webHidden/>
              </w:rPr>
              <w:t>8</w:t>
            </w:r>
            <w:r w:rsidRPr="003853E1" w:rsidR="003A1BDB">
              <w:rPr>
                <w:noProof/>
                <w:webHidden/>
              </w:rPr>
              <w:fldChar w:fldCharType="end"/>
            </w:r>
          </w:hyperlink>
        </w:p>
        <w:p w:rsidR="001F7E3E" w:rsidRPr="003853E1" w14:paraId="4E642C12" w14:textId="77777777">
          <w:pPr>
            <w:pStyle w:val="TOC2"/>
            <w:rPr>
              <w:rFonts w:eastAsiaTheme="minorEastAsia"/>
              <w:noProof/>
              <w:color w:val="auto"/>
            </w:rPr>
          </w:pPr>
          <w:hyperlink w:anchor="_Toc39588513" w:history="1">
            <w:r w:rsidRPr="00ED31DE" w:rsidR="003A1BDB">
              <w:rPr>
                <w:rStyle w:val="Hyperlink"/>
                <w:noProof/>
              </w:rPr>
              <w:t>A.14. Changes in Burden</w:t>
            </w:r>
            <w:r w:rsidRPr="003853E1" w:rsidR="003A1BDB">
              <w:rPr>
                <w:noProof/>
                <w:webHidden/>
              </w:rPr>
              <w:tab/>
            </w:r>
            <w:r w:rsidRPr="003853E1" w:rsidR="003A1BDB">
              <w:rPr>
                <w:noProof/>
                <w:webHidden/>
              </w:rPr>
              <w:fldChar w:fldCharType="begin"/>
            </w:r>
            <w:r w:rsidRPr="003853E1" w:rsidR="003A1BDB">
              <w:rPr>
                <w:noProof/>
                <w:webHidden/>
              </w:rPr>
              <w:instrText xml:space="preserve"> PAGEREF _Toc39588513 \h </w:instrText>
            </w:r>
            <w:r w:rsidRPr="003853E1" w:rsidR="003A1BDB">
              <w:rPr>
                <w:noProof/>
                <w:webHidden/>
              </w:rPr>
              <w:fldChar w:fldCharType="separate"/>
            </w:r>
            <w:r w:rsidRPr="003853E1" w:rsidR="003A1BDB">
              <w:rPr>
                <w:noProof/>
                <w:webHidden/>
              </w:rPr>
              <w:t>10</w:t>
            </w:r>
            <w:r w:rsidRPr="003853E1" w:rsidR="003A1BDB">
              <w:rPr>
                <w:noProof/>
                <w:webHidden/>
              </w:rPr>
              <w:fldChar w:fldCharType="end"/>
            </w:r>
          </w:hyperlink>
        </w:p>
        <w:p w:rsidR="001F7E3E" w14:paraId="73FB7C89" w14:textId="77777777">
          <w:pPr>
            <w:pStyle w:val="TOC2"/>
            <w:rPr>
              <w:rFonts w:eastAsiaTheme="minorEastAsia"/>
              <w:noProof/>
              <w:color w:val="auto"/>
            </w:rPr>
          </w:pPr>
          <w:hyperlink w:anchor="_Toc39588514" w:history="1">
            <w:r w:rsidRPr="00ED31DE" w:rsidR="003A1BDB">
              <w:rPr>
                <w:rStyle w:val="Hyperlink"/>
                <w:noProof/>
              </w:rPr>
              <w:t>A.15. Reasons for Changes in Burden</w:t>
            </w:r>
            <w:r w:rsidRPr="003853E1" w:rsidR="003A1BDB">
              <w:rPr>
                <w:noProof/>
                <w:webHidden/>
              </w:rPr>
              <w:tab/>
            </w:r>
            <w:r w:rsidRPr="003853E1" w:rsidR="003A1BDB">
              <w:rPr>
                <w:noProof/>
                <w:webHidden/>
              </w:rPr>
              <w:fldChar w:fldCharType="begin"/>
            </w:r>
            <w:r w:rsidRPr="003853E1" w:rsidR="003A1BDB">
              <w:rPr>
                <w:noProof/>
                <w:webHidden/>
              </w:rPr>
              <w:instrText xml:space="preserve"> PAGEREF _Toc39588514 \h </w:instrText>
            </w:r>
            <w:r w:rsidRPr="003853E1" w:rsidR="003A1BDB">
              <w:rPr>
                <w:noProof/>
                <w:webHidden/>
              </w:rPr>
              <w:fldChar w:fldCharType="separate"/>
            </w:r>
            <w:r w:rsidRPr="003853E1" w:rsidR="003A1BDB">
              <w:rPr>
                <w:noProof/>
                <w:webHidden/>
              </w:rPr>
              <w:t>11</w:t>
            </w:r>
            <w:r w:rsidRPr="003853E1" w:rsidR="003A1BDB">
              <w:rPr>
                <w:noProof/>
                <w:webHidden/>
              </w:rPr>
              <w:fldChar w:fldCharType="end"/>
            </w:r>
          </w:hyperlink>
        </w:p>
        <w:p w:rsidR="001F7E3E" w14:paraId="11E59759" w14:textId="77777777">
          <w:pPr>
            <w:pStyle w:val="TOC2"/>
            <w:rPr>
              <w:rFonts w:eastAsiaTheme="minorEastAsia"/>
              <w:noProof/>
              <w:color w:val="auto"/>
            </w:rPr>
          </w:pPr>
          <w:hyperlink w:anchor="_Toc39588515" w:history="1">
            <w:r w:rsidRPr="00C06A6A" w:rsidR="003A1BDB">
              <w:rPr>
                <w:rStyle w:val="Hyperlink"/>
                <w:noProof/>
              </w:rPr>
              <w:t>A.16. Collection, Tabulation, and Publication Plans</w:t>
            </w:r>
            <w:r w:rsidR="003A1BDB">
              <w:rPr>
                <w:noProof/>
                <w:webHidden/>
              </w:rPr>
              <w:tab/>
            </w:r>
            <w:r w:rsidR="003A1BDB">
              <w:rPr>
                <w:noProof/>
                <w:webHidden/>
              </w:rPr>
              <w:fldChar w:fldCharType="begin"/>
            </w:r>
            <w:r w:rsidR="003A1BDB">
              <w:rPr>
                <w:noProof/>
                <w:webHidden/>
              </w:rPr>
              <w:instrText xml:space="preserve"> PAGEREF _Toc39588515 \h </w:instrText>
            </w:r>
            <w:r w:rsidR="003A1BDB">
              <w:rPr>
                <w:noProof/>
                <w:webHidden/>
              </w:rPr>
              <w:fldChar w:fldCharType="separate"/>
            </w:r>
            <w:r w:rsidR="003A1BDB">
              <w:rPr>
                <w:noProof/>
                <w:webHidden/>
              </w:rPr>
              <w:t>11</w:t>
            </w:r>
            <w:r w:rsidR="003A1BDB">
              <w:rPr>
                <w:noProof/>
                <w:webHidden/>
              </w:rPr>
              <w:fldChar w:fldCharType="end"/>
            </w:r>
          </w:hyperlink>
        </w:p>
        <w:p w:rsidR="001F7E3E" w14:paraId="2FEBE34F" w14:textId="77777777">
          <w:pPr>
            <w:pStyle w:val="TOC2"/>
            <w:rPr>
              <w:rFonts w:eastAsiaTheme="minorEastAsia"/>
              <w:noProof/>
              <w:color w:val="auto"/>
            </w:rPr>
          </w:pPr>
          <w:hyperlink w:anchor="_Toc39588516" w:history="1">
            <w:r w:rsidRPr="00C06A6A" w:rsidR="003A1BDB">
              <w:rPr>
                <w:rStyle w:val="Hyperlink"/>
                <w:noProof/>
              </w:rPr>
              <w:t>A.17. OMB Number and Expiration Date</w:t>
            </w:r>
            <w:r w:rsidR="003A1BDB">
              <w:rPr>
                <w:noProof/>
                <w:webHidden/>
              </w:rPr>
              <w:tab/>
            </w:r>
            <w:r w:rsidR="003A1BDB">
              <w:rPr>
                <w:noProof/>
                <w:webHidden/>
              </w:rPr>
              <w:fldChar w:fldCharType="begin"/>
            </w:r>
            <w:r w:rsidR="003A1BDB">
              <w:rPr>
                <w:noProof/>
                <w:webHidden/>
              </w:rPr>
              <w:instrText xml:space="preserve"> PAGEREF _Toc39588516 \h </w:instrText>
            </w:r>
            <w:r w:rsidR="003A1BDB">
              <w:rPr>
                <w:noProof/>
                <w:webHidden/>
              </w:rPr>
              <w:fldChar w:fldCharType="separate"/>
            </w:r>
            <w:r w:rsidR="003A1BDB">
              <w:rPr>
                <w:noProof/>
                <w:webHidden/>
              </w:rPr>
              <w:t>12</w:t>
            </w:r>
            <w:r w:rsidR="003A1BDB">
              <w:rPr>
                <w:noProof/>
                <w:webHidden/>
              </w:rPr>
              <w:fldChar w:fldCharType="end"/>
            </w:r>
          </w:hyperlink>
        </w:p>
        <w:p w:rsidR="001F7E3E" w14:paraId="077C2D76" w14:textId="77777777">
          <w:pPr>
            <w:pStyle w:val="TOC2"/>
            <w:rPr>
              <w:rFonts w:eastAsiaTheme="minorEastAsia"/>
              <w:noProof/>
              <w:color w:val="auto"/>
            </w:rPr>
          </w:pPr>
          <w:hyperlink w:anchor="_Toc39588517" w:history="1">
            <w:r w:rsidRPr="00C06A6A" w:rsidR="003A1BDB">
              <w:rPr>
                <w:rStyle w:val="Hyperlink"/>
                <w:noProof/>
              </w:rPr>
              <w:t>A.18. Certification Statement</w:t>
            </w:r>
            <w:r w:rsidR="003A1BDB">
              <w:rPr>
                <w:noProof/>
                <w:webHidden/>
              </w:rPr>
              <w:tab/>
            </w:r>
            <w:r w:rsidR="003A1BDB">
              <w:rPr>
                <w:noProof/>
                <w:webHidden/>
              </w:rPr>
              <w:fldChar w:fldCharType="begin"/>
            </w:r>
            <w:r w:rsidR="003A1BDB">
              <w:rPr>
                <w:noProof/>
                <w:webHidden/>
              </w:rPr>
              <w:instrText xml:space="preserve"> PAGEREF _Toc39588517 \h </w:instrText>
            </w:r>
            <w:r w:rsidR="003A1BDB">
              <w:rPr>
                <w:noProof/>
                <w:webHidden/>
              </w:rPr>
              <w:fldChar w:fldCharType="separate"/>
            </w:r>
            <w:r w:rsidR="003A1BDB">
              <w:rPr>
                <w:noProof/>
                <w:webHidden/>
              </w:rPr>
              <w:t>12</w:t>
            </w:r>
            <w:r w:rsidR="003A1BDB">
              <w:rPr>
                <w:noProof/>
                <w:webHidden/>
              </w:rPr>
              <w:fldChar w:fldCharType="end"/>
            </w:r>
          </w:hyperlink>
        </w:p>
        <w:p w:rsidR="0059212D" w14:paraId="41E8C097" w14:textId="77777777">
          <w:r>
            <w:rPr>
              <w:b/>
              <w:bCs/>
              <w:noProof/>
            </w:rPr>
            <w:fldChar w:fldCharType="end"/>
          </w:r>
        </w:p>
      </w:sdtContent>
    </w:sdt>
    <w:p w:rsidR="001F3A8F" w:rsidP="00D928FD" w14:paraId="19312797" w14:textId="77777777"/>
    <w:p w:rsidR="00D928FD" w:rsidP="00D928FD" w14:paraId="0DC89151"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27B9283" w14:textId="77777777">
      <w:pPr>
        <w:spacing w:line="240" w:lineRule="auto"/>
      </w:pPr>
    </w:p>
    <w:p w:rsidR="00933D5D" w:rsidP="00933D5D" w14:paraId="39B08D5F" w14:textId="77777777">
      <w:pPr>
        <w:tabs>
          <w:tab w:val="left" w:pos="7365"/>
        </w:tabs>
      </w:pPr>
      <w:r>
        <w:tab/>
      </w:r>
    </w:p>
    <w:p w:rsidR="00041909" w:rsidRPr="00933D5D" w:rsidP="00933D5D" w14:paraId="452C50ED"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A27D01" w:rsidRPr="00A27D01" w:rsidP="00A27D01" w14:paraId="50295EA7" w14:textId="77777777">
      <w:pPr>
        <w:keepNext/>
        <w:keepLines/>
        <w:spacing w:before="200" w:after="0" w:line="240" w:lineRule="auto"/>
        <w:outlineLvl w:val="1"/>
        <w:rPr>
          <w:rFonts w:eastAsiaTheme="majorEastAsia" w:cs="Arial"/>
          <w:b/>
          <w:color w:val="1396D8"/>
          <w:sz w:val="28"/>
          <w:szCs w:val="26"/>
        </w:rPr>
      </w:pPr>
      <w:bookmarkStart w:id="1" w:name="_Toc495398092"/>
      <w:bookmarkStart w:id="2" w:name="_Toc39588498"/>
      <w:r w:rsidRPr="00A27D01">
        <w:rPr>
          <w:rFonts w:eastAsiaTheme="majorEastAsia" w:cs="Arial"/>
          <w:b/>
          <w:color w:val="1396D8"/>
          <w:sz w:val="28"/>
          <w:szCs w:val="26"/>
        </w:rPr>
        <w:t>Introduction</w:t>
      </w:r>
      <w:bookmarkEnd w:id="1"/>
      <w:bookmarkEnd w:id="2"/>
    </w:p>
    <w:p w:rsidR="00A27D01" w:rsidRPr="00A27D01" w:rsidP="00A27D01" w14:paraId="5E20FC3E" w14:textId="77777777">
      <w:pPr>
        <w:rPr>
          <w:rFonts w:eastAsiaTheme="minorEastAsia" w:cs="Arial"/>
        </w:rPr>
      </w:pPr>
      <w:r w:rsidRPr="00A27D01">
        <w:rPr>
          <w:rFonts w:eastAsiaTheme="minorEastAsia" w:cs="Arial"/>
        </w:rPr>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00A27D01" w:rsidRPr="00A27D01" w:rsidP="00A27D01" w14:paraId="3279AC9E" w14:textId="77777777">
      <w:pPr>
        <w:rPr>
          <w:rFonts w:cs="Arial"/>
        </w:rPr>
      </w:pPr>
      <w:r w:rsidRPr="23A048AC">
        <w:rPr>
          <w:rFonts w:cs="Arial"/>
        </w:rPr>
        <w:t>EIA is requesting a three-year extension</w:t>
      </w:r>
      <w:r w:rsidRPr="23A048AC" w:rsidR="009453DE">
        <w:rPr>
          <w:rFonts w:cs="Arial"/>
        </w:rPr>
        <w:t xml:space="preserve"> </w:t>
      </w:r>
      <w:r w:rsidRPr="23A048AC">
        <w:rPr>
          <w:rFonts w:cs="Arial"/>
        </w:rPr>
        <w:t>to Forms EIA-851A, EIA-851Q, and EIA-858</w:t>
      </w:r>
      <w:r w:rsidRPr="23A048AC" w:rsidR="009453DE">
        <w:rPr>
          <w:rFonts w:cs="Arial"/>
        </w:rPr>
        <w:t>, wi</w:t>
      </w:r>
      <w:r w:rsidR="00F42593">
        <w:rPr>
          <w:rFonts w:cs="Arial"/>
        </w:rPr>
        <w:t>th</w:t>
      </w:r>
      <w:r w:rsidRPr="23A048AC" w:rsidR="009453DE">
        <w:rPr>
          <w:rFonts w:cs="Arial"/>
        </w:rPr>
        <w:t xml:space="preserve"> change</w:t>
      </w:r>
      <w:r w:rsidRPr="23A048AC">
        <w:rPr>
          <w:rFonts w:cs="Arial"/>
        </w:rPr>
        <w:t>.</w:t>
      </w:r>
    </w:p>
    <w:p w:rsidR="00A27D01" w:rsidRPr="00A27D01" w:rsidP="00A27D01" w14:paraId="00DFF7ED" w14:textId="77777777">
      <w:pPr>
        <w:rPr>
          <w:rFonts w:eastAsiaTheme="minorEastAsia" w:cs="Arial"/>
        </w:rPr>
      </w:pPr>
      <w:r w:rsidRPr="00A27D01">
        <w:rPr>
          <w:rFonts w:eastAsiaTheme="minorEastAsia" w:cs="Arial"/>
        </w:rPr>
        <w:t>Th</w:t>
      </w:r>
      <w:r w:rsidR="00214F79">
        <w:rPr>
          <w:rFonts w:eastAsiaTheme="minorEastAsia" w:cs="Arial"/>
        </w:rPr>
        <w:t>ree</w:t>
      </w:r>
      <w:r w:rsidRPr="00A27D01">
        <w:rPr>
          <w:rFonts w:eastAsiaTheme="minorEastAsia" w:cs="Arial"/>
        </w:rPr>
        <w:t xml:space="preserve"> uranium surveys </w:t>
      </w:r>
      <w:r w:rsidR="00214F79">
        <w:rPr>
          <w:rFonts w:eastAsiaTheme="minorEastAsia" w:cs="Arial"/>
        </w:rPr>
        <w:t>comprise</w:t>
      </w:r>
      <w:r w:rsidRPr="00A27D01">
        <w:rPr>
          <w:rFonts w:eastAsiaTheme="minorEastAsia" w:cs="Arial"/>
        </w:rPr>
        <w:t xml:space="preserve"> EIA’s </w:t>
      </w:r>
      <w:r w:rsidRPr="00A27D01">
        <w:rPr>
          <w:rFonts w:eastAsiaTheme="minorEastAsia" w:cs="Arial"/>
          <w:i/>
        </w:rPr>
        <w:t>Uranium Data Program</w:t>
      </w:r>
      <w:r w:rsidRPr="00A27D01">
        <w:rPr>
          <w:rFonts w:eastAsiaTheme="minorEastAsia" w:cs="Arial"/>
        </w:rPr>
        <w:t xml:space="preserve"> (UDP). The surveys collect statistical data on domestic uranium supply and demand activities including production, exploration and development, trade, purchases, and sales available to the U.S. The UDP surveys </w:t>
      </w:r>
      <w:r w:rsidR="00482E84">
        <w:rPr>
          <w:rFonts w:eastAsiaTheme="minorEastAsia" w:cs="Arial"/>
        </w:rPr>
        <w:t>include</w:t>
      </w:r>
      <w:r w:rsidRPr="00A27D01">
        <w:rPr>
          <w:rFonts w:eastAsiaTheme="minorEastAsia" w:cs="Arial"/>
        </w:rPr>
        <w:t>:</w:t>
      </w:r>
    </w:p>
    <w:p w:rsidR="00A27D01" w:rsidRPr="00A27D01" w:rsidP="00A27D01" w14:paraId="2B37005D" w14:textId="77777777">
      <w:pPr>
        <w:numPr>
          <w:ilvl w:val="0"/>
          <w:numId w:val="8"/>
        </w:numPr>
        <w:contextualSpacing/>
        <w:rPr>
          <w:rFonts w:cs="Arial"/>
          <w:bCs/>
        </w:rPr>
      </w:pPr>
      <w:r w:rsidRPr="00A27D01">
        <w:rPr>
          <w:rFonts w:eastAsiaTheme="minorEastAsia" w:cs="Arial"/>
        </w:rPr>
        <w:t xml:space="preserve">Form EIA-851A </w:t>
      </w:r>
      <w:r w:rsidRPr="00A27D01">
        <w:rPr>
          <w:rFonts w:eastAsiaTheme="minorEastAsia" w:cs="Arial"/>
          <w:i/>
        </w:rPr>
        <w:t>Domestic Uranium Production Report (Annual),</w:t>
      </w:r>
      <w:r w:rsidRPr="00A27D01">
        <w:rPr>
          <w:rFonts w:eastAsiaTheme="minorEastAsia" w:cs="Arial"/>
        </w:rPr>
        <w:t xml:space="preserve"> </w:t>
      </w:r>
      <w:r w:rsidRPr="00A27D01">
        <w:rPr>
          <w:rFonts w:cs="Arial"/>
        </w:rPr>
        <w:t xml:space="preserve">collects annual data from the U.S. uranium industry on uranium milling and processing, uranium feed sources, uranium mining, employment, drilling, expenditures, and uranium reserves. </w:t>
      </w:r>
    </w:p>
    <w:p w:rsidR="00A27D01" w:rsidRPr="00A27D01" w:rsidP="00A27D01" w14:paraId="7815AB47" w14:textId="77777777">
      <w:pPr>
        <w:numPr>
          <w:ilvl w:val="0"/>
          <w:numId w:val="8"/>
        </w:numPr>
        <w:contextualSpacing/>
        <w:rPr>
          <w:rFonts w:cs="Arial"/>
          <w:bCs/>
        </w:rPr>
      </w:pPr>
      <w:r w:rsidRPr="00A27D01">
        <w:rPr>
          <w:rFonts w:eastAsiaTheme="minorEastAsia" w:cs="Arial"/>
        </w:rPr>
        <w:t xml:space="preserve">Form EIA-851Q </w:t>
      </w:r>
      <w:r w:rsidRPr="00A27D01">
        <w:rPr>
          <w:rFonts w:eastAsiaTheme="minorEastAsia" w:cs="Arial"/>
          <w:i/>
        </w:rPr>
        <w:t>Domestic Uranium Production Report (Quarterly),</w:t>
      </w:r>
      <w:r w:rsidRPr="00A27D01">
        <w:rPr>
          <w:rFonts w:eastAsiaTheme="minorEastAsia" w:cs="Arial"/>
        </w:rPr>
        <w:t xml:space="preserve"> </w:t>
      </w:r>
      <w:r w:rsidRPr="00A27D01">
        <w:rPr>
          <w:rFonts w:cs="Arial"/>
        </w:rPr>
        <w:t>collects data from the U.S. uranium industry on uranium production and sources (mines and other</w:t>
      </w:r>
      <w:r w:rsidR="004E3B14">
        <w:rPr>
          <w:rFonts w:cs="Arial"/>
        </w:rPr>
        <w:t>s</w:t>
      </w:r>
      <w:r w:rsidRPr="00A27D01">
        <w:rPr>
          <w:rFonts w:cs="Arial"/>
        </w:rPr>
        <w:t>) on a quarterly basis.</w:t>
      </w:r>
    </w:p>
    <w:p w:rsidR="00A27D01" w:rsidRPr="00FA75EE" w:rsidP="00A27D01" w14:paraId="7258B0AC" w14:textId="77777777">
      <w:pPr>
        <w:numPr>
          <w:ilvl w:val="0"/>
          <w:numId w:val="8"/>
        </w:numPr>
        <w:contextualSpacing/>
        <w:rPr>
          <w:rFonts w:cs="Arial"/>
          <w:b/>
          <w:bCs/>
        </w:rPr>
      </w:pPr>
      <w:r w:rsidRPr="4AAFFBEF">
        <w:rPr>
          <w:rFonts w:eastAsiaTheme="minorEastAsia" w:cs="Arial"/>
        </w:rPr>
        <w:t xml:space="preserve">Form EIA-858 </w:t>
      </w:r>
      <w:r w:rsidRPr="4AAFFBEF">
        <w:rPr>
          <w:rFonts w:eastAsiaTheme="minorEastAsia" w:cs="Arial"/>
          <w:i/>
          <w:iCs/>
        </w:rPr>
        <w:t>Uranium Marketing Annual Survey,</w:t>
      </w:r>
      <w:r w:rsidRPr="4AAFFBEF">
        <w:rPr>
          <w:rFonts w:eastAsiaTheme="minorEastAsia" w:cs="Arial"/>
        </w:rPr>
        <w:t xml:space="preserve"> </w:t>
      </w:r>
      <w:r w:rsidRPr="4AAFFBEF">
        <w:rPr>
          <w:rFonts w:cs="Arial"/>
        </w:rPr>
        <w:t>collects annual data from the U.S. uranium market on uranium contracts and deliveries, inventories, enrichment services purchased, uranium in fuel assemblies, feed deliveries to enrichers, and unfilled market requirements. Uranium deliveries, feed deliveries to enrichers, and unfilled market requirements are reported both for the current reporting year and for the following ten years.</w:t>
      </w:r>
    </w:p>
    <w:p w:rsidR="00F42593" w:rsidRPr="003A3F78" w:rsidP="00FA75EE" w14:paraId="4F7EB20A" w14:textId="77777777">
      <w:pPr>
        <w:ind w:left="720"/>
        <w:contextualSpacing/>
        <w:rPr>
          <w:rFonts w:cs="Arial"/>
          <w:b/>
          <w:bCs/>
        </w:rPr>
      </w:pPr>
    </w:p>
    <w:p w:rsidR="00F42593" w:rsidRPr="00F42593" w:rsidP="00F42593" w14:paraId="4A8117B4" w14:textId="77777777">
      <w:pPr>
        <w:rPr>
          <w:rStyle w:val="normaltextrun"/>
        </w:rPr>
      </w:pPr>
      <w:r w:rsidRPr="00F42593">
        <w:rPr>
          <w:rStyle w:val="normaltextrun"/>
        </w:rPr>
        <w:t>Summary of Changes:</w:t>
      </w:r>
    </w:p>
    <w:p w:rsidR="4AAFFBEF" w:rsidP="00F42593" w14:paraId="557727B6" w14:textId="77777777">
      <w:pPr>
        <w:rPr>
          <w:rStyle w:val="normaltextrun"/>
        </w:rPr>
      </w:pPr>
      <w:r w:rsidRPr="00F42593">
        <w:rPr>
          <w:rStyle w:val="normaltextrun"/>
        </w:rPr>
        <w:t xml:space="preserve">Due to the continued downturn in the uranium landholding/exploration/production sectors, EIA-851A had four fewer respondents which reduced the burden hours to 20. The addition of one trader/broker on the EIA-858 survey will result in 26 additional burden hours. A reduction of 20 burden hours (EIA-851A had four </w:t>
      </w:r>
      <w:r w:rsidR="00125CBF">
        <w:rPr>
          <w:rStyle w:val="normaltextrun"/>
        </w:rPr>
        <w:t>fewer</w:t>
      </w:r>
      <w:r w:rsidRPr="00F42593">
        <w:rPr>
          <w:rStyle w:val="normaltextrun"/>
        </w:rPr>
        <w:t xml:space="preserve"> respondents) plus an increase of 26 burden hours (for one additional respondent in EIA-858) will lead to a 6</w:t>
      </w:r>
      <w:r w:rsidR="00125CBF">
        <w:rPr>
          <w:rStyle w:val="normaltextrun"/>
        </w:rPr>
        <w:t>-</w:t>
      </w:r>
      <w:r w:rsidRPr="00F42593">
        <w:rPr>
          <w:rStyle w:val="normaltextrun"/>
        </w:rPr>
        <w:t>hour increase in the total estimated burden across all three surveys. The number of respondents for Form EIA-851A has decreased from 30 to 26. The number of respondents for the Form EIA-851Q has remained at 11. The number of respondents for the Form EIA-858 has increased from 61 to 62. Total annual burden hours across all uranium surveys will increase slightly from 1,769 hours to 1,775 hours.</w:t>
      </w:r>
    </w:p>
    <w:p w:rsidR="00844524" w:rsidRPr="00A41763" w:rsidP="00844524" w14:paraId="573B4A5B" w14:textId="77777777"/>
    <w:p w:rsidR="008C734C" w:rsidP="00F82FA4" w14:paraId="18A06BB7" w14:textId="77777777">
      <w:pPr>
        <w:pStyle w:val="Heading2"/>
      </w:pPr>
      <w:bookmarkStart w:id="3" w:name="_Toc39588499"/>
      <w:r>
        <w:t>A.1. Legal Justification</w:t>
      </w:r>
      <w:bookmarkEnd w:id="3"/>
    </w:p>
    <w:p w:rsidR="00DE622A" w:rsidRPr="00692436" w:rsidP="00DE622A" w14:paraId="5D50F91C" w14:textId="77777777">
      <w:pPr>
        <w:spacing w:line="240" w:lineRule="auto"/>
        <w:rPr>
          <w:b/>
        </w:rPr>
      </w:pPr>
      <w:r>
        <w:t>The authority for this mandatory data collection is provided by the following provisions:</w:t>
      </w:r>
      <w:r w:rsidRPr="23A048AC">
        <w:rPr>
          <w:b/>
          <w:bCs/>
        </w:rPr>
        <w:t xml:space="preserve"> </w:t>
      </w:r>
    </w:p>
    <w:p w:rsidR="00DE622A" w:rsidRPr="0048787F" w:rsidP="00FA75EE" w14:paraId="067198C4" w14:textId="77777777">
      <w:pPr>
        <w:pStyle w:val="ListParagraph"/>
      </w:pPr>
      <w:r w:rsidRPr="00692436">
        <w:t>Title 15 U.S. Code §772, which established the mandatory requirement of owners and operators of businesses in the U.S. to report energy supply and consumption data to the EIA Administrator.</w:t>
      </w:r>
    </w:p>
    <w:p w:rsidR="0048787F" w:rsidRPr="00692436" w14:paraId="4EFE58C4" w14:textId="77777777">
      <w:pPr>
        <w:pStyle w:val="ListParagraph"/>
        <w:rPr>
          <w:rFonts w:eastAsia="Calibri"/>
        </w:rPr>
      </w:pPr>
      <w:r w:rsidRPr="00692436">
        <w:t xml:space="preserve">Title 15 U.S. Code §764, which established the EIA Administrator’s powers to plan, direct, and conduct mandatory and voluntary energy programs that are designed and implemented in a fair </w:t>
      </w:r>
      <w:r w:rsidRPr="00692436">
        <w:t>and efficient manner.  These powers include duties to collect, evaluate, assemble, and analyze energy information on U.S. reserves, production, demand, and related economic data, while obtaining the cooperation of business, labor, consumer, and other interests.</w:t>
      </w:r>
    </w:p>
    <w:p w:rsidR="0048787F" w:rsidRPr="00FA75EE" w14:paraId="0EA02E93" w14:textId="77777777">
      <w:pPr>
        <w:pStyle w:val="ListParagraph"/>
      </w:pPr>
      <w:r>
        <w:t>Title 15 U.S. Code §790a, which established the National Energy Information System (NEIS) that is the enclave containing the energy data collected by EIA, which allows EIA to describe and analyze energy supply and consumption in the U.S.</w:t>
      </w:r>
      <w:r w:rsidRPr="0048787F">
        <w:rPr>
          <w:i/>
          <w:iCs/>
        </w:rPr>
        <w:t xml:space="preserve">  </w:t>
      </w:r>
      <w:r>
        <w:t>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008C734C" w:rsidP="00F82FA4" w14:paraId="322768F0" w14:textId="77777777">
      <w:pPr>
        <w:pStyle w:val="Heading2"/>
      </w:pPr>
      <w:bookmarkStart w:id="4" w:name="_Toc39588500"/>
      <w:r>
        <w:t>A.2. Needs and Uses of Data</w:t>
      </w:r>
      <w:bookmarkEnd w:id="4"/>
    </w:p>
    <w:p w:rsidR="00A27D01" w:rsidRPr="00A27D01" w:rsidP="00A27D01" w14:paraId="2CF1871F" w14:textId="77777777">
      <w:r>
        <w:t xml:space="preserve">EIA’s </w:t>
      </w:r>
      <w:r w:rsidRPr="23A048AC">
        <w:rPr>
          <w:i/>
          <w:iCs/>
        </w:rPr>
        <w:t>Uranium Data Program</w:t>
      </w:r>
      <w:r>
        <w:t xml:space="preserve"> collects data on domestic uranium supply and demand activities, including production, exploration and development, trade, and purchases and sales available to the U.S. The users for these data include the Congress and Congressional staff, the Congressional Research Service, </w:t>
      </w:r>
      <w:r w:rsidR="00434F1E">
        <w:t xml:space="preserve">the </w:t>
      </w:r>
      <w:r>
        <w:t xml:space="preserve">Nuclear Regulatory Commission, </w:t>
      </w:r>
      <w:r w:rsidR="00434F1E">
        <w:t xml:space="preserve">the </w:t>
      </w:r>
      <w:r>
        <w:t xml:space="preserve">Department of Energy’s Office of Nuclear Energy, the nuclear and uranium industry, and the public. There are Executive Branch agencies </w:t>
      </w:r>
      <w:r w:rsidR="000151E2">
        <w:t xml:space="preserve">that </w:t>
      </w:r>
      <w:r>
        <w:t>collect</w:t>
      </w:r>
      <w:r w:rsidR="004647D4">
        <w:t xml:space="preserve"> </w:t>
      </w:r>
      <w:r>
        <w:t xml:space="preserve">data related to the uranium industry </w:t>
      </w:r>
      <w:r w:rsidR="005C73DC">
        <w:t>which</w:t>
      </w:r>
      <w:r>
        <w:t xml:space="preserve"> rely on UDP (listed on page</w:t>
      </w:r>
      <w:r w:rsidR="00F42593">
        <w:t xml:space="preserve"> </w:t>
      </w:r>
      <w:r w:rsidR="00037CE7">
        <w:t>4</w:t>
      </w:r>
      <w:r>
        <w:t>).</w:t>
      </w:r>
    </w:p>
    <w:p w:rsidR="00A27D01" w:rsidRPr="00A27D01" w:rsidP="00A27D01" w14:paraId="48D97220" w14:textId="77777777">
      <w:r w:rsidRPr="00A27D01">
        <w:t xml:space="preserve">The data collected on Form EIA-851A </w:t>
      </w:r>
      <w:r w:rsidRPr="00A27D01">
        <w:rPr>
          <w:i/>
        </w:rPr>
        <w:t>Domestic Uranium Production Report (Annual),</w:t>
      </w:r>
      <w:r w:rsidRPr="00A27D01">
        <w:t xml:space="preserve"> are used to publish annual </w:t>
      </w:r>
      <w:r w:rsidRPr="00A27D01">
        <w:t>information</w:t>
      </w:r>
      <w:r w:rsidR="00E416C5">
        <w:t xml:space="preserve"> </w:t>
      </w:r>
      <w:r w:rsidRPr="00A27D01">
        <w:t xml:space="preserve"> on</w:t>
      </w:r>
      <w:r w:rsidRPr="00A27D01">
        <w:t>:</w:t>
      </w:r>
    </w:p>
    <w:p w:rsidR="00A27D01" w:rsidRPr="00A27D01" w:rsidP="0048787F" w14:paraId="58FC0280" w14:textId="77777777">
      <w:pPr>
        <w:pStyle w:val="ListParagraph"/>
      </w:pPr>
      <w:r w:rsidRPr="00A27D01">
        <w:t xml:space="preserve">Exploration and development </w:t>
      </w:r>
      <w:r w:rsidR="003A64AD">
        <w:t xml:space="preserve">of </w:t>
      </w:r>
      <w:r w:rsidRPr="00A27D01">
        <w:t xml:space="preserve">drilling activities in the U.S. uranium production industry including data on </w:t>
      </w:r>
      <w:r w:rsidR="003A64AD">
        <w:t xml:space="preserve">the </w:t>
      </w:r>
      <w:r w:rsidRPr="00A27D01">
        <w:t xml:space="preserve">number of holes and drilling </w:t>
      </w:r>
      <w:r w:rsidRPr="00A27D01">
        <w:t>footage;</w:t>
      </w:r>
    </w:p>
    <w:p w:rsidR="00A27D01" w:rsidRPr="00A27D01" w:rsidP="0048787F" w14:paraId="56F8D046" w14:textId="77777777">
      <w:pPr>
        <w:pStyle w:val="ListParagraph"/>
      </w:pPr>
      <w:r w:rsidRPr="00A27D01">
        <w:t xml:space="preserve">U.S. uranium mine production and number of operating </w:t>
      </w:r>
      <w:r w:rsidRPr="00A27D01">
        <w:t>mines;</w:t>
      </w:r>
    </w:p>
    <w:p w:rsidR="00A27D01" w:rsidRPr="00A27D01" w:rsidP="0048787F" w14:paraId="225AFD3A" w14:textId="77777777">
      <w:pPr>
        <w:pStyle w:val="ListParagraph"/>
      </w:pPr>
      <w:r w:rsidRPr="00A27D01">
        <w:t xml:space="preserve">Activities at U.S. uranium mills, heap leach, and in-situ leach plants including uranium concentrate production and </w:t>
      </w:r>
      <w:r w:rsidRPr="00A27D01">
        <w:t>shipments;</w:t>
      </w:r>
    </w:p>
    <w:p w:rsidR="00A27D01" w:rsidRPr="00A27D01" w:rsidP="0048787F" w14:paraId="17B14DD9" w14:textId="77777777">
      <w:pPr>
        <w:pStyle w:val="ListParagraph"/>
      </w:pPr>
      <w:r w:rsidRPr="00A27D01">
        <w:t xml:space="preserve">Owner, location, capacity, and operating status of existing and planned uranium concentrate </w:t>
      </w:r>
      <w:r w:rsidRPr="00A27D01">
        <w:t>facilities;</w:t>
      </w:r>
    </w:p>
    <w:p w:rsidR="00A27D01" w:rsidRPr="00A27D01" w:rsidP="0048787F" w14:paraId="08044505" w14:textId="77777777">
      <w:pPr>
        <w:pStyle w:val="ListParagraph"/>
      </w:pPr>
      <w:r w:rsidRPr="00A27D01">
        <w:t xml:space="preserve">Employment in the U.S. uranium production industry by exploration, mining, milling, processing, and reclamation categories, and by </w:t>
      </w:r>
      <w:r w:rsidRPr="00A27D01">
        <w:t>state;</w:t>
      </w:r>
    </w:p>
    <w:p w:rsidR="00A27D01" w:rsidRPr="00A27D01" w:rsidP="0048787F" w14:paraId="26D8735C" w14:textId="77777777">
      <w:pPr>
        <w:pStyle w:val="ListParagraph"/>
      </w:pPr>
      <w:r w:rsidRPr="00A27D01">
        <w:t xml:space="preserve">Expenditures for land, exploration, drilling, production, and reclamation in the U.S. uranium production </w:t>
      </w:r>
      <w:r w:rsidRPr="00A27D01">
        <w:t>industry;</w:t>
      </w:r>
    </w:p>
    <w:p w:rsidR="00A27D01" w:rsidRPr="00A27D01" w:rsidP="0048787F" w14:paraId="58CE6025" w14:textId="77777777">
      <w:pPr>
        <w:pStyle w:val="ListParagraph"/>
      </w:pPr>
      <w:r w:rsidRPr="00A27D01">
        <w:t>U.S. uranium reserve estimates by mining method, state, and status.</w:t>
      </w:r>
    </w:p>
    <w:p w:rsidR="00A27D01" w:rsidRPr="00A27D01" w:rsidP="0048787F" w14:paraId="004B4F7A" w14:textId="77777777">
      <w:pPr>
        <w:pStyle w:val="ListParagraph"/>
      </w:pPr>
      <w:r>
        <w:t xml:space="preserve">U.S. questionnaire input to the </w:t>
      </w:r>
      <w:r w:rsidRPr="23A048AC">
        <w:rPr>
          <w:i/>
          <w:iCs/>
        </w:rPr>
        <w:t xml:space="preserve">Uranium Resources, Production and Demand </w:t>
      </w:r>
      <w:r>
        <w:t>“Red Book” (OECD/Nuclear Energy Agency and International Atomic Energy Agency</w:t>
      </w:r>
      <w:r w:rsidR="00391137">
        <w:t>);</w:t>
      </w:r>
    </w:p>
    <w:p w:rsidR="00A27D01" w:rsidRPr="00A27D01" w:rsidP="0048787F" w14:paraId="64349B3D" w14:textId="77777777">
      <w:pPr>
        <w:pStyle w:val="ListParagraph"/>
      </w:pPr>
      <w:r w:rsidRPr="00A27D01">
        <w:t xml:space="preserve">U.S. questionnaire input to the </w:t>
      </w:r>
      <w:r w:rsidRPr="00A27D01">
        <w:rPr>
          <w:i/>
        </w:rPr>
        <w:t>Nuclear Energy Data</w:t>
      </w:r>
      <w:r w:rsidRPr="00A27D01">
        <w:t xml:space="preserve"> “Brown Book” (OECD/Nuclear Energy Agency</w:t>
      </w:r>
      <w:r w:rsidRPr="00A27D01">
        <w:t>);</w:t>
      </w:r>
    </w:p>
    <w:p w:rsidR="00A27D01" w:rsidRPr="00A27D01" w:rsidP="0048787F" w14:paraId="51345B89" w14:textId="77777777">
      <w:pPr>
        <w:pStyle w:val="ListParagraph"/>
      </w:pPr>
      <w:r>
        <w:t xml:space="preserve">U.S. input for the </w:t>
      </w:r>
      <w:r w:rsidRPr="23A048AC">
        <w:rPr>
          <w:i/>
          <w:iCs/>
        </w:rPr>
        <w:t>U.S. Country Nuclear Power Profile</w:t>
      </w:r>
      <w:r>
        <w:t xml:space="preserve"> (International Atomic Energy Agency</w:t>
      </w:r>
      <w:r>
        <w:t>);</w:t>
      </w:r>
    </w:p>
    <w:p w:rsidR="00A27D01" w:rsidRPr="00A27D01" w:rsidP="0048787F" w14:paraId="60A87FF8" w14:textId="77777777">
      <w:pPr>
        <w:pStyle w:val="ListParagraph"/>
        <w:rPr>
          <w:b/>
          <w:bCs/>
        </w:rPr>
      </w:pPr>
      <w:r>
        <w:t xml:space="preserve">In March 2012, </w:t>
      </w:r>
      <w:r w:rsidR="00362E8C">
        <w:t>EIA,</w:t>
      </w:r>
      <w:r>
        <w:t xml:space="preserve"> and U.S. Geological Survey (USGS) </w:t>
      </w:r>
      <w:r>
        <w:t>entered into</w:t>
      </w:r>
      <w:r>
        <w:t xml:space="preserve"> a Confidential Information Protection and Statistical Efficiency Act of 2002 (CIPSEA) Information Access Agreement to support USGS studies. This agreement allows individually</w:t>
      </w:r>
      <w:r w:rsidR="003A64AD">
        <w:t xml:space="preserve"> </w:t>
      </w:r>
      <w:r>
        <w:t>identifiable information submitted to EIA to be shared with USGS for statistical purposes only. Form EIA-851A data is used by the USGS to calculate grade/tonnage curves of existing uranium resources including undiscovered uranium resources.</w:t>
      </w:r>
      <w:r w:rsidRPr="23A048AC">
        <w:rPr>
          <w:b/>
          <w:bCs/>
        </w:rPr>
        <w:t xml:space="preserve"> </w:t>
      </w:r>
    </w:p>
    <w:p w:rsidR="00A27D01" w:rsidRPr="00A27D01" w:rsidP="00A27D01" w14:paraId="3B4227D5" w14:textId="77777777">
      <w:r w:rsidRPr="00A27D01">
        <w:t xml:space="preserve">The data collected on Form EIA-851Q </w:t>
      </w:r>
      <w:r w:rsidRPr="00A27D01">
        <w:rPr>
          <w:i/>
        </w:rPr>
        <w:t>Domestic Uranium Production Report (Quarterly),</w:t>
      </w:r>
      <w:r w:rsidRPr="00A27D01">
        <w:t xml:space="preserve"> are used to publish quarterly information on:</w:t>
      </w:r>
    </w:p>
    <w:p w:rsidR="00A27D01" w:rsidRPr="00A27D01" w:rsidP="0048787F" w14:paraId="73FEEEF1" w14:textId="77777777">
      <w:pPr>
        <w:pStyle w:val="ListParagraph"/>
      </w:pPr>
      <w:r w:rsidRPr="00A27D01">
        <w:t xml:space="preserve">U.S. production of uranium concentrate from ore and/or solutions from different methods of mining, including in-situ leaching, open pit, underground, heap leach, and other </w:t>
      </w:r>
      <w:r w:rsidRPr="00A27D01">
        <w:t>sources;</w:t>
      </w:r>
    </w:p>
    <w:p w:rsidR="00A27D01" w:rsidRPr="00A27D01" w:rsidP="0048787F" w14:paraId="16218838" w14:textId="77777777">
      <w:pPr>
        <w:pStyle w:val="ListParagraph"/>
      </w:pPr>
      <w:r w:rsidRPr="00A27D01">
        <w:t xml:space="preserve">Number of U.S. uranium facilities producing uranium </w:t>
      </w:r>
      <w:r w:rsidRPr="00A27D01">
        <w:t>concentrate;</w:t>
      </w:r>
    </w:p>
    <w:p w:rsidR="00A27D01" w:rsidRPr="00A27D01" w:rsidP="0048787F" w14:paraId="1F7378C7" w14:textId="77777777">
      <w:pPr>
        <w:pStyle w:val="ListParagraph"/>
        <w:rPr>
          <w:b/>
        </w:rPr>
      </w:pPr>
      <w:r w:rsidRPr="00A27D01">
        <w:t>Owner, location, capacity, and operating status of existing and planned uranium concentrate processing facilities.</w:t>
      </w:r>
    </w:p>
    <w:p w:rsidR="00A27D01" w:rsidRPr="00A27D01" w:rsidP="00A27D01" w14:paraId="2BED391E" w14:textId="77777777">
      <w:r w:rsidRPr="00A27D01">
        <w:t xml:space="preserve">The data collected on Form EIA-858 </w:t>
      </w:r>
      <w:r w:rsidRPr="00A27D01">
        <w:rPr>
          <w:i/>
        </w:rPr>
        <w:t>Uranium Marketing Annual Survey,</w:t>
      </w:r>
      <w:r w:rsidRPr="00A27D01">
        <w:t xml:space="preserve"> are used to publish annual information on:</w:t>
      </w:r>
    </w:p>
    <w:p w:rsidR="00A27D01" w:rsidRPr="00A27D01" w:rsidP="0048787F" w14:paraId="46B51109" w14:textId="77777777">
      <w:pPr>
        <w:pStyle w:val="ListParagraph"/>
      </w:pPr>
      <w:r w:rsidRPr="00A27D01">
        <w:t xml:space="preserve">Sellers and the origin countries of any uranium and enrichment services purchased or imported into the United States by owners or operators of any U.S. civilian nuclear power </w:t>
      </w:r>
      <w:r w:rsidRPr="00A27D01">
        <w:t>reactors;</w:t>
      </w:r>
    </w:p>
    <w:p w:rsidR="00A27D01" w:rsidRPr="00A27D01" w:rsidP="0048787F" w14:paraId="2B5B57A5" w14:textId="77777777">
      <w:pPr>
        <w:pStyle w:val="ListParagraph"/>
      </w:pPr>
      <w:r w:rsidRPr="00A27D01">
        <w:t xml:space="preserve">Uranium marketing activities in the United States, including quantities, prices and origins of uranium transactions and enrichment services, contract and material types, domestic and foreign purchases and sales, origin and destinations of enrichment feed deliveries, </w:t>
      </w:r>
      <w:r w:rsidR="00DF2617">
        <w:t xml:space="preserve">the </w:t>
      </w:r>
      <w:r w:rsidRPr="00A27D01">
        <w:t xml:space="preserve">quantity of uranium loaded into U.S. civilian nuclear power reactors, and uranium </w:t>
      </w:r>
      <w:r w:rsidRPr="00A27D01">
        <w:t>inventories;</w:t>
      </w:r>
    </w:p>
    <w:p w:rsidR="00A27D01" w:rsidRPr="00A27D01" w:rsidP="0048787F" w14:paraId="6A3E1275" w14:textId="77777777">
      <w:pPr>
        <w:pStyle w:val="ListParagraph"/>
      </w:pPr>
      <w:r w:rsidRPr="00A27D01">
        <w:t xml:space="preserve">Data on U.S. uranium market requirements, including future contracted deliveries (filled requirements), unfilled market requirements, and projected enrichment feed </w:t>
      </w:r>
      <w:r w:rsidRPr="00A27D01">
        <w:t>deliveries;</w:t>
      </w:r>
    </w:p>
    <w:p w:rsidR="00A27D01" w:rsidRPr="00A27D01" w:rsidP="0048787F" w14:paraId="6A56F136" w14:textId="77777777">
      <w:pPr>
        <w:pStyle w:val="ListParagraph"/>
      </w:pPr>
      <w:r w:rsidRPr="00A27D01">
        <w:t xml:space="preserve">U.S. questionnaire input to the </w:t>
      </w:r>
      <w:r w:rsidRPr="00A27D01">
        <w:rPr>
          <w:i/>
        </w:rPr>
        <w:t xml:space="preserve">Uranium Resources, Production and Demand </w:t>
      </w:r>
      <w:r w:rsidRPr="00A27D01">
        <w:t>“Red Book” (OECD/Nuclear Energy Agency and International Atomic Energy Agency</w:t>
      </w:r>
      <w:r w:rsidRPr="00A27D01">
        <w:t>);</w:t>
      </w:r>
    </w:p>
    <w:p w:rsidR="00A27D01" w:rsidRPr="00A27D01" w:rsidP="0048787F" w14:paraId="2470953D" w14:textId="77777777">
      <w:pPr>
        <w:pStyle w:val="ListParagraph"/>
      </w:pPr>
      <w:r w:rsidRPr="00A27D01">
        <w:t xml:space="preserve">U.S. questionnaire input to the </w:t>
      </w:r>
      <w:r w:rsidRPr="00A27D01">
        <w:rPr>
          <w:i/>
        </w:rPr>
        <w:t>Nuclear Energy Data</w:t>
      </w:r>
      <w:r w:rsidRPr="00A27D01">
        <w:t xml:space="preserve"> “Brown Book” (OECD/Nuclear Energy Agency</w:t>
      </w:r>
      <w:r w:rsidRPr="00A27D01">
        <w:t>);</w:t>
      </w:r>
    </w:p>
    <w:p w:rsidR="00A27D01" w:rsidRPr="00A27D01" w:rsidP="0048787F" w14:paraId="0E19F8DD" w14:textId="77777777">
      <w:pPr>
        <w:pStyle w:val="ListParagraph"/>
        <w:rPr>
          <w:b/>
        </w:rPr>
      </w:pPr>
      <w:r w:rsidRPr="00A27D01">
        <w:t xml:space="preserve">U.S. input for the </w:t>
      </w:r>
      <w:r w:rsidRPr="00A27D01">
        <w:rPr>
          <w:i/>
          <w:iCs/>
        </w:rPr>
        <w:t>U.S. Country Nuclear Power Profile</w:t>
      </w:r>
      <w:r w:rsidRPr="00A27D01">
        <w:t xml:space="preserve"> (International Atomic Energy Agency).</w:t>
      </w:r>
    </w:p>
    <w:p w:rsidR="00A27D01" w:rsidRPr="00A27D01" w:rsidP="00A27D01" w14:paraId="156CF680" w14:textId="77777777">
      <w:r w:rsidRPr="00A27D01">
        <w:t>Data from UDP surveys appear in</w:t>
      </w:r>
      <w:r w:rsidR="00EC2D4E">
        <w:t xml:space="preserve"> numerous</w:t>
      </w:r>
      <w:r w:rsidRPr="00A27D01">
        <w:t xml:space="preserve"> EIA reports, including the following:</w:t>
      </w:r>
    </w:p>
    <w:p w:rsidR="00A27D01" w:rsidRPr="00A27D01" w:rsidP="00A27D01" w14:paraId="10395988" w14:textId="77777777">
      <w:pPr>
        <w:numPr>
          <w:ilvl w:val="0"/>
          <w:numId w:val="10"/>
        </w:numPr>
        <w:spacing w:after="0" w:line="240" w:lineRule="auto"/>
        <w:rPr>
          <w:bCs/>
        </w:rPr>
      </w:pPr>
      <w:r w:rsidRPr="00A27D01">
        <w:rPr>
          <w:bCs/>
        </w:rPr>
        <w:t>Domestic Uranium Production Report – Annual</w:t>
      </w:r>
    </w:p>
    <w:p w:rsidR="00A27D01" w:rsidRPr="00A27D01" w:rsidP="00A27D01" w14:paraId="032C5F65" w14:textId="77777777">
      <w:pPr>
        <w:numPr>
          <w:ilvl w:val="1"/>
          <w:numId w:val="10"/>
        </w:numPr>
        <w:spacing w:after="0" w:line="240" w:lineRule="auto"/>
        <w:rPr>
          <w:bCs/>
          <w:u w:val="single"/>
        </w:rPr>
      </w:pPr>
      <w:hyperlink r:id="rId14" w:history="1">
        <w:r w:rsidRPr="00A27D01" w:rsidR="003A1BDB">
          <w:rPr>
            <w:rStyle w:val="Hyperlink"/>
            <w:bCs/>
          </w:rPr>
          <w:t>http://www.eia.gov/uranium/production/annual/</w:t>
        </w:r>
      </w:hyperlink>
    </w:p>
    <w:p w:rsidR="00A27D01" w:rsidRPr="00A27D01" w:rsidP="00A27D01" w14:paraId="585466E1" w14:textId="77777777">
      <w:pPr>
        <w:numPr>
          <w:ilvl w:val="0"/>
          <w:numId w:val="10"/>
        </w:numPr>
        <w:spacing w:after="0" w:line="240" w:lineRule="auto"/>
        <w:rPr>
          <w:bCs/>
        </w:rPr>
      </w:pPr>
      <w:r w:rsidRPr="00A27D01">
        <w:rPr>
          <w:bCs/>
        </w:rPr>
        <w:t>Domestic Uranium Production Report – Quarterly</w:t>
      </w:r>
    </w:p>
    <w:p w:rsidR="00A27D01" w:rsidRPr="00A27D01" w:rsidP="00A27D01" w14:paraId="38FBA0A1" w14:textId="77777777">
      <w:pPr>
        <w:numPr>
          <w:ilvl w:val="1"/>
          <w:numId w:val="10"/>
        </w:numPr>
        <w:spacing w:after="0" w:line="240" w:lineRule="auto"/>
        <w:rPr>
          <w:bCs/>
          <w:u w:val="single"/>
        </w:rPr>
      </w:pPr>
      <w:hyperlink r:id="rId15" w:history="1">
        <w:r w:rsidRPr="00A27D01" w:rsidR="003A1BDB">
          <w:rPr>
            <w:rStyle w:val="Hyperlink"/>
            <w:bCs/>
          </w:rPr>
          <w:t>http://www.eia.gov/uranium/production/quarterly/</w:t>
        </w:r>
      </w:hyperlink>
    </w:p>
    <w:p w:rsidR="00A27D01" w:rsidRPr="00A27D01" w:rsidP="00A27D01" w14:paraId="284E17A2" w14:textId="77777777">
      <w:pPr>
        <w:numPr>
          <w:ilvl w:val="0"/>
          <w:numId w:val="10"/>
        </w:numPr>
        <w:spacing w:after="0" w:line="240" w:lineRule="auto"/>
        <w:rPr>
          <w:bCs/>
        </w:rPr>
      </w:pPr>
      <w:r w:rsidRPr="00A27D01">
        <w:rPr>
          <w:bCs/>
        </w:rPr>
        <w:t>Uranium Marketing Annual Report</w:t>
      </w:r>
    </w:p>
    <w:p w:rsidR="00A27D01" w:rsidRPr="00A27D01" w:rsidP="00A27D01" w14:paraId="56ED5ED8" w14:textId="77777777">
      <w:pPr>
        <w:numPr>
          <w:ilvl w:val="1"/>
          <w:numId w:val="10"/>
        </w:numPr>
        <w:spacing w:after="0" w:line="240" w:lineRule="auto"/>
        <w:rPr>
          <w:bCs/>
          <w:u w:val="single"/>
        </w:rPr>
      </w:pPr>
      <w:r w:rsidRPr="00A27D01">
        <w:rPr>
          <w:bCs/>
          <w:u w:val="single"/>
        </w:rPr>
        <w:t xml:space="preserve"> </w:t>
      </w:r>
      <w:hyperlink r:id="rId16" w:history="1">
        <w:r w:rsidRPr="00A27D01">
          <w:rPr>
            <w:rStyle w:val="Hyperlink"/>
            <w:bCs/>
          </w:rPr>
          <w:t>http://www.eia.gov/uranium/marketing/</w:t>
        </w:r>
      </w:hyperlink>
      <w:r w:rsidRPr="00A27D01">
        <w:rPr>
          <w:bCs/>
          <w:u w:val="single"/>
        </w:rPr>
        <w:t xml:space="preserve"> </w:t>
      </w:r>
    </w:p>
    <w:p w:rsidR="00A27D01" w:rsidRPr="00A41763" w:rsidP="00A41763" w14:paraId="6B5C58C3" w14:textId="77777777"/>
    <w:p w:rsidR="008C734C" w:rsidP="00F82FA4" w14:paraId="50C617F1" w14:textId="77777777">
      <w:pPr>
        <w:pStyle w:val="Heading2"/>
      </w:pPr>
      <w:bookmarkStart w:id="5" w:name="_Toc39588501"/>
      <w:r>
        <w:t>A.</w:t>
      </w:r>
      <w:r w:rsidRPr="00A41763" w:rsidR="00A41763">
        <w:t xml:space="preserve">3. </w:t>
      </w:r>
      <w:r>
        <w:t>Use of Technology</w:t>
      </w:r>
      <w:bookmarkEnd w:id="5"/>
    </w:p>
    <w:p w:rsidR="00F22B43" w:rsidRPr="00F22B43" w:rsidP="00F22B43" w14:paraId="5A914FFE" w14:textId="77777777">
      <w:pPr>
        <w:rPr>
          <w:rFonts w:cs="Arial"/>
        </w:rPr>
      </w:pPr>
      <w:r w:rsidRPr="00F22B43">
        <w:rPr>
          <w:rFonts w:cs="Arial"/>
        </w:rPr>
        <w:t xml:space="preserve">Surveys in the </w:t>
      </w:r>
      <w:r w:rsidRPr="00F22B43">
        <w:rPr>
          <w:rFonts w:cs="Arial"/>
          <w:i/>
        </w:rPr>
        <w:t>Uranium Data Program</w:t>
      </w:r>
      <w:r w:rsidRPr="00F22B43">
        <w:rPr>
          <w:rFonts w:cs="Arial"/>
        </w:rPr>
        <w:t xml:space="preserve"> use Internet-based data collection systems as the primary means of data collection. </w:t>
      </w:r>
      <w:r w:rsidRPr="00F22B43">
        <w:rPr>
          <w:rFonts w:cs="Arial"/>
        </w:rPr>
        <w:t>The majority of</w:t>
      </w:r>
      <w:r w:rsidRPr="00F22B43">
        <w:rPr>
          <w:rFonts w:cs="Arial"/>
        </w:rPr>
        <w:t xml:space="preserve"> </w:t>
      </w:r>
      <w:r w:rsidR="00AA6029">
        <w:rPr>
          <w:rFonts w:cs="Arial"/>
        </w:rPr>
        <w:t xml:space="preserve">routine </w:t>
      </w:r>
      <w:r w:rsidRPr="00F22B43">
        <w:rPr>
          <w:rFonts w:cs="Arial"/>
        </w:rPr>
        <w:t xml:space="preserve">contact with respondents (e.g., notification that a survey has opened for a collection cycle) is </w:t>
      </w:r>
      <w:r w:rsidR="00AA6029">
        <w:rPr>
          <w:rFonts w:cs="Arial"/>
        </w:rPr>
        <w:t>done by</w:t>
      </w:r>
      <w:r w:rsidRPr="00F22B43">
        <w:rPr>
          <w:rFonts w:cs="Arial"/>
        </w:rPr>
        <w:t xml:space="preserve"> email.</w:t>
      </w:r>
    </w:p>
    <w:p w:rsidR="00F22B43" w:rsidRPr="00F22B43" w:rsidP="00F22B43" w14:paraId="13B69C24" w14:textId="77777777">
      <w:pPr>
        <w:spacing w:before="100" w:beforeAutospacing="1"/>
        <w:rPr>
          <w:rFonts w:cs="Arial"/>
        </w:rPr>
      </w:pPr>
      <w:r w:rsidRPr="00F22B43">
        <w:rPr>
          <w:rFonts w:cs="Arial"/>
        </w:rPr>
        <w:t xml:space="preserve">Internet data collection </w:t>
      </w:r>
      <w:r w:rsidR="00AA6029">
        <w:rPr>
          <w:rFonts w:cs="Arial"/>
        </w:rPr>
        <w:t>will continue to be the</w:t>
      </w:r>
      <w:r w:rsidRPr="00F22B43">
        <w:rPr>
          <w:rFonts w:cs="Arial"/>
        </w:rPr>
        <w:t xml:space="preserve"> primary collection mode for UDP surveys. The Internet-based system allow</w:t>
      </w:r>
      <w:r w:rsidR="00AA6029">
        <w:rPr>
          <w:rFonts w:cs="Arial"/>
        </w:rPr>
        <w:t>s</w:t>
      </w:r>
      <w:r w:rsidRPr="00F22B43">
        <w:rPr>
          <w:rFonts w:cs="Arial"/>
        </w:rPr>
        <w:t xml:space="preserve"> respondents to enter their data directly into the EIA databases, which reduces the time needed for data collection and processing. The systems automatically identify data that fail edit specifications prior to submission, allowing respondents to make necessary corrections or explain </w:t>
      </w:r>
      <w:r w:rsidRPr="00F22B43">
        <w:rPr>
          <w:rFonts w:cs="Arial"/>
        </w:rPr>
        <w:t>unusual situations impacting the reported data. This data editing process reduces respondent burden by reducing the number of times a respondent must resubmit forms prior to acceptance by EIA. It also improves the timeliness of reporting the information to the public. The only equipment and software required of the respondents are a connection to the Internet and a standard industry web browser.</w:t>
      </w:r>
    </w:p>
    <w:p w:rsidR="008C734C" w:rsidRPr="00A41763" w:rsidP="00A41763" w14:paraId="5F90D4E3" w14:textId="77777777"/>
    <w:p w:rsidR="008C734C" w:rsidP="00F82FA4" w14:paraId="5243F110" w14:textId="77777777">
      <w:pPr>
        <w:pStyle w:val="Heading2"/>
      </w:pPr>
      <w:bookmarkStart w:id="6" w:name="_Toc39588502"/>
      <w:r>
        <w:t>A.</w:t>
      </w:r>
      <w:r w:rsidRPr="00A41763" w:rsidR="00A41763">
        <w:t xml:space="preserve">4. </w:t>
      </w:r>
      <w:r>
        <w:t>Efforts to Identify Duplication</w:t>
      </w:r>
      <w:bookmarkEnd w:id="6"/>
    </w:p>
    <w:p w:rsidR="00F22B43" w:rsidRPr="00F22B43" w:rsidP="77F4FCCD" w14:paraId="1383E289" w14:textId="77777777">
      <w:pPr>
        <w:rPr>
          <w:rFonts w:cs="Arial"/>
        </w:rPr>
      </w:pPr>
      <w:r w:rsidRPr="7E75C185">
        <w:rPr>
          <w:rFonts w:cs="Arial"/>
        </w:rPr>
        <w:t xml:space="preserve">EIA is the only principal statistical agency that </w:t>
      </w:r>
      <w:r w:rsidRPr="7E75C185" w:rsidR="015F1D31">
        <w:rPr>
          <w:rFonts w:cs="Arial"/>
        </w:rPr>
        <w:t xml:space="preserve">regularly </w:t>
      </w:r>
      <w:r w:rsidRPr="7E75C185">
        <w:rPr>
          <w:rFonts w:cs="Arial"/>
        </w:rPr>
        <w:t>collects</w:t>
      </w:r>
      <w:r w:rsidRPr="7E75C185" w:rsidR="3AFDF192">
        <w:rPr>
          <w:rFonts w:cs="Arial"/>
        </w:rPr>
        <w:t>, maintains</w:t>
      </w:r>
      <w:r w:rsidRPr="7E75C185" w:rsidR="4E1A0CFE">
        <w:rPr>
          <w:rFonts w:cs="Arial"/>
        </w:rPr>
        <w:t>,</w:t>
      </w:r>
      <w:r w:rsidRPr="7E75C185" w:rsidR="3AFDF192">
        <w:rPr>
          <w:rFonts w:cs="Arial"/>
        </w:rPr>
        <w:t xml:space="preserve"> and publishes data </w:t>
      </w:r>
      <w:r w:rsidRPr="7E75C185" w:rsidR="00AB6C0A">
        <w:rPr>
          <w:rFonts w:cs="Arial"/>
        </w:rPr>
        <w:t>regarding</w:t>
      </w:r>
      <w:r w:rsidRPr="7E75C185" w:rsidR="048B4BD6">
        <w:rPr>
          <w:rFonts w:cs="Arial"/>
        </w:rPr>
        <w:t xml:space="preserve"> </w:t>
      </w:r>
      <w:r w:rsidRPr="7E75C185">
        <w:rPr>
          <w:rFonts w:cs="Arial"/>
        </w:rPr>
        <w:t>uranium</w:t>
      </w:r>
      <w:r w:rsidRPr="7E75C185" w:rsidR="41F4B075">
        <w:rPr>
          <w:rFonts w:cs="Arial"/>
        </w:rPr>
        <w:t xml:space="preserve"> mining, </w:t>
      </w:r>
      <w:r w:rsidRPr="00620C64" w:rsidR="41F4B075">
        <w:rPr>
          <w:rFonts w:cs="Arial"/>
        </w:rPr>
        <w:t>milling</w:t>
      </w:r>
      <w:r w:rsidR="00966D0F">
        <w:rPr>
          <w:rFonts w:cs="Arial"/>
        </w:rPr>
        <w:t>,</w:t>
      </w:r>
      <w:r w:rsidRPr="00620C64" w:rsidR="41F4B075">
        <w:rPr>
          <w:rFonts w:cs="Arial"/>
        </w:rPr>
        <w:t xml:space="preserve"> and processing, uranium feed sources, employment, drilling, expenditures</w:t>
      </w:r>
      <w:r w:rsidRPr="00620C64" w:rsidR="7C2DA84F">
        <w:rPr>
          <w:rFonts w:cs="Arial"/>
        </w:rPr>
        <w:t xml:space="preserve">, contracts, deliveries, enrichment services purchased, inventories, </w:t>
      </w:r>
      <w:r w:rsidRPr="00620C64" w:rsidR="00620C64">
        <w:rPr>
          <w:rFonts w:cs="Arial"/>
        </w:rPr>
        <w:t>use</w:t>
      </w:r>
      <w:r w:rsidRPr="00620C64" w:rsidR="7C2DA84F">
        <w:rPr>
          <w:rFonts w:cs="Arial"/>
        </w:rPr>
        <w:t xml:space="preserve"> in fuel assemblies, feed deliveries to enrichers, and unfilled market requirements</w:t>
      </w:r>
      <w:r w:rsidRPr="00620C64" w:rsidR="52212830">
        <w:rPr>
          <w:rFonts w:cs="Arial"/>
        </w:rPr>
        <w:t xml:space="preserve"> </w:t>
      </w:r>
      <w:r w:rsidRPr="7E75C185">
        <w:rPr>
          <w:rFonts w:cs="Arial"/>
        </w:rPr>
        <w:t>in the federal government</w:t>
      </w:r>
      <w:r w:rsidR="00620C64">
        <w:rPr>
          <w:rFonts w:cs="Arial"/>
        </w:rPr>
        <w:t>.</w:t>
      </w:r>
      <w:r w:rsidRPr="7E75C185">
        <w:rPr>
          <w:rFonts w:cs="Arial"/>
        </w:rPr>
        <w:t xml:space="preserve"> The data collected on the UDP surveys are unique</w:t>
      </w:r>
      <w:r w:rsidRPr="7E75C185" w:rsidR="64D0B93A">
        <w:rPr>
          <w:rFonts w:cs="Arial"/>
        </w:rPr>
        <w:t xml:space="preserve"> and are re</w:t>
      </w:r>
      <w:r w:rsidRPr="7E75C185" w:rsidR="7758EEE6">
        <w:rPr>
          <w:rFonts w:cs="Arial"/>
        </w:rPr>
        <w:t xml:space="preserve">gularly </w:t>
      </w:r>
      <w:r w:rsidR="00B567C8">
        <w:rPr>
          <w:rFonts w:cs="Arial"/>
        </w:rPr>
        <w:t>re</w:t>
      </w:r>
      <w:r w:rsidRPr="7E75C185" w:rsidR="64D0B93A">
        <w:rPr>
          <w:rFonts w:cs="Arial"/>
        </w:rPr>
        <w:t>quested by staff at the agencies listed below</w:t>
      </w:r>
      <w:r w:rsidRPr="7E75C185">
        <w:rPr>
          <w:rFonts w:cs="Arial"/>
        </w:rPr>
        <w:t>. Although limited amounts of data may be available from other federal agencies, industry, and private sources, those data collections are not reasonable alternatives for the data sets obtained through the UDP surveys.</w:t>
      </w:r>
    </w:p>
    <w:p w:rsidR="00F22B43" w:rsidRPr="00F22B43" w:rsidP="00F22B43" w14:paraId="45964E94" w14:textId="77777777">
      <w:pPr>
        <w:rPr>
          <w:rFonts w:cs="Arial"/>
          <w:szCs w:val="24"/>
        </w:rPr>
      </w:pPr>
      <w:r w:rsidRPr="00F22B43">
        <w:rPr>
          <w:rFonts w:cs="Arial"/>
          <w:szCs w:val="24"/>
        </w:rPr>
        <w:t xml:space="preserve">Non-statistical agencies that collect and/or maintain uranium data in the U.S. Federal Government include: </w:t>
      </w:r>
    </w:p>
    <w:p w:rsidR="00F22B43" w:rsidRPr="00F22B43" w:rsidP="0048787F" w14:paraId="32514F12" w14:textId="77777777">
      <w:pPr>
        <w:pStyle w:val="ListParagraph"/>
      </w:pPr>
      <w:r>
        <w:t>U.S. Department of Commerce, Bureau of Industry and Security (BIS), U.S. Additional Protocol (AP)</w:t>
      </w:r>
    </w:p>
    <w:p w:rsidR="00F22B43" w:rsidRPr="00F22B43" w:rsidP="0048787F" w14:paraId="74532E11" w14:textId="77777777">
      <w:pPr>
        <w:pStyle w:val="ListParagraph"/>
      </w:pPr>
      <w:r>
        <w:t xml:space="preserve">U.S. </w:t>
      </w:r>
      <w:r w:rsidRPr="00F22B43">
        <w:t>Department of Commerce, International Trade Administration (ITA)</w:t>
      </w:r>
    </w:p>
    <w:p w:rsidR="00F22B43" w:rsidRPr="00F22B43" w:rsidP="0048787F" w14:paraId="361B3BC9" w14:textId="77777777">
      <w:pPr>
        <w:pStyle w:val="ListParagraph"/>
      </w:pPr>
      <w:r>
        <w:t xml:space="preserve">U.S. </w:t>
      </w:r>
      <w:r w:rsidRPr="00F22B43">
        <w:t>Department of Energy, Office of Environmental Management (EM)</w:t>
      </w:r>
    </w:p>
    <w:p w:rsidR="00F22B43" w:rsidRPr="00F22B43" w:rsidP="0048787F" w14:paraId="4DD1605D" w14:textId="77777777">
      <w:pPr>
        <w:pStyle w:val="ListParagraph"/>
      </w:pPr>
      <w:r>
        <w:t xml:space="preserve">U.S. </w:t>
      </w:r>
      <w:r w:rsidRPr="00F22B43">
        <w:t>Department of Energy, Office of Legacy Management (LM)</w:t>
      </w:r>
    </w:p>
    <w:p w:rsidR="00F22B43" w:rsidRPr="00F22B43" w:rsidP="0048787F" w14:paraId="746AC186" w14:textId="77777777">
      <w:pPr>
        <w:pStyle w:val="ListParagraph"/>
      </w:pPr>
      <w:r>
        <w:t xml:space="preserve">U.S. </w:t>
      </w:r>
      <w:r w:rsidRPr="00F22B43">
        <w:t>Department of Energy, Office of Nuclear Energy (NE)</w:t>
      </w:r>
    </w:p>
    <w:p w:rsidR="00F22B43" w:rsidRPr="00F22B43" w:rsidP="0048787F" w14:paraId="3E8F278B" w14:textId="77777777">
      <w:pPr>
        <w:pStyle w:val="ListParagraph"/>
      </w:pPr>
      <w:r>
        <w:t xml:space="preserve">U.S. </w:t>
      </w:r>
      <w:r w:rsidRPr="00F22B43">
        <w:t>Department of Energy, National Nuclear Security Administration (NNSA), Nuclear Materials Management &amp; Safeguard System (NMMSS)</w:t>
      </w:r>
    </w:p>
    <w:p w:rsidR="00F22B43" w:rsidRPr="00F22B43" w:rsidP="0048787F" w14:paraId="14ECCEB3" w14:textId="77777777">
      <w:pPr>
        <w:pStyle w:val="ListParagraph"/>
      </w:pPr>
      <w:r>
        <w:t xml:space="preserve">U.S. </w:t>
      </w:r>
      <w:r w:rsidRPr="00F22B43">
        <w:t>Department of the Interior, Bureau of Land Management (BLM)</w:t>
      </w:r>
    </w:p>
    <w:p w:rsidR="00F22B43" w:rsidRPr="00F22B43" w:rsidP="0048787F" w14:paraId="5BC25C47" w14:textId="77777777">
      <w:pPr>
        <w:pStyle w:val="ListParagraph"/>
      </w:pPr>
      <w:r>
        <w:t xml:space="preserve">U.S. </w:t>
      </w:r>
      <w:r w:rsidRPr="00F22B43">
        <w:t>Environmental Protection Agency (EPA)</w:t>
      </w:r>
    </w:p>
    <w:p w:rsidR="00F22B43" w:rsidRPr="00F22B43" w:rsidP="0048787F" w14:paraId="4A5AF2EC" w14:textId="77777777">
      <w:pPr>
        <w:pStyle w:val="ListParagraph"/>
      </w:pPr>
      <w:r>
        <w:t xml:space="preserve">U.S. </w:t>
      </w:r>
      <w:r w:rsidRPr="00F22B43">
        <w:t>Nuclear Regulatory Commission (NRC)</w:t>
      </w:r>
    </w:p>
    <w:p w:rsidR="00F22B43" w:rsidRPr="00F22B43" w:rsidP="0048787F" w14:paraId="1E262D7D" w14:textId="77777777">
      <w:pPr>
        <w:pStyle w:val="ListParagraph"/>
      </w:pPr>
      <w:r w:rsidRPr="00F22B43">
        <w:t>U.S. Geological Survey (USGS)</w:t>
      </w:r>
    </w:p>
    <w:p w:rsidR="00F22B43" w:rsidRPr="00F22B43" w:rsidP="0048787F" w14:paraId="39ABE183" w14:textId="77777777">
      <w:pPr>
        <w:pStyle w:val="ListParagraph"/>
        <w:rPr>
          <w:b/>
          <w:bCs/>
        </w:rPr>
      </w:pPr>
      <w:r>
        <w:t>U.S. International Trade Commission (US ITC)</w:t>
      </w:r>
    </w:p>
    <w:p w:rsidR="006767FD" w:rsidP="77F4FCCD" w14:paraId="11F734E9" w14:textId="77777777">
      <w:pPr>
        <w:rPr>
          <w:rFonts w:cs="Arial"/>
        </w:rPr>
      </w:pPr>
      <w:r w:rsidRPr="00F22B43">
        <w:rPr>
          <w:rFonts w:cs="Arial"/>
        </w:rPr>
        <w:t xml:space="preserve">EIA evaluated the above sources of publicly available uranium data and found no other source as comprehensive, timely, or detailed as the data collected on Forms EIA-851A, EIA-851Q, and EIA-858. EIA also reviewed </w:t>
      </w:r>
      <w:r w:rsidR="00FC55AC">
        <w:rPr>
          <w:rFonts w:cs="Arial"/>
        </w:rPr>
        <w:t xml:space="preserve">the following </w:t>
      </w:r>
      <w:r w:rsidRPr="00F22B43">
        <w:rPr>
          <w:rFonts w:cs="Arial"/>
        </w:rPr>
        <w:t>three major private</w:t>
      </w:r>
      <w:r w:rsidR="00F77DE7">
        <w:rPr>
          <w:rFonts w:cs="Arial"/>
        </w:rPr>
        <w:t>-</w:t>
      </w:r>
      <w:r w:rsidRPr="00F22B43">
        <w:rPr>
          <w:rFonts w:cs="Arial"/>
        </w:rPr>
        <w:t>sector sources of nuclear information and data</w:t>
      </w:r>
      <w:r>
        <w:rPr>
          <w:rFonts w:cs="Arial"/>
        </w:rPr>
        <w:t>:</w:t>
      </w:r>
    </w:p>
    <w:p w:rsidR="00FC55AC" w:rsidP="0048787F" w14:paraId="53B58BB6" w14:textId="77777777">
      <w:pPr>
        <w:pStyle w:val="ListParagraph"/>
      </w:pPr>
      <w:r w:rsidRPr="00FC55AC">
        <w:t>TradeTech</w:t>
      </w:r>
      <w:r w:rsidRPr="00FC55AC">
        <w:t xml:space="preserve"> </w:t>
      </w:r>
      <w:r w:rsidRPr="00FC55AC" w:rsidR="00CB75E2">
        <w:t>posts</w:t>
      </w:r>
      <w:r w:rsidRPr="00FC55AC">
        <w:t xml:space="preserve"> </w:t>
      </w:r>
      <w:r w:rsidRPr="00FC55AC" w:rsidR="7926BCCA">
        <w:t>weekly U</w:t>
      </w:r>
      <w:r w:rsidRPr="00FC55AC" w:rsidR="7926BCCA">
        <w:rPr>
          <w:vertAlign w:val="subscript"/>
        </w:rPr>
        <w:t>3</w:t>
      </w:r>
      <w:r w:rsidRPr="00FC55AC" w:rsidR="7926BCCA">
        <w:t>O</w:t>
      </w:r>
      <w:r w:rsidRPr="00FC55AC" w:rsidR="7926BCCA">
        <w:rPr>
          <w:vertAlign w:val="subscript"/>
        </w:rPr>
        <w:t xml:space="preserve">8 </w:t>
      </w:r>
      <w:r w:rsidRPr="00FC55AC" w:rsidR="7926BCCA">
        <w:t xml:space="preserve">(uranium concentrate) </w:t>
      </w:r>
      <w:r w:rsidRPr="00FC55AC">
        <w:t>spot price</w:t>
      </w:r>
      <w:r w:rsidRPr="00FC55AC" w:rsidR="09DE1D0C">
        <w:t>s</w:t>
      </w:r>
      <w:r w:rsidRPr="00FC55AC" w:rsidR="00CB75E2">
        <w:t xml:space="preserve"> </w:t>
      </w:r>
      <w:r w:rsidRPr="00FC55AC" w:rsidR="11A4580C">
        <w:t>in a static chart for the previous year</w:t>
      </w:r>
      <w:r w:rsidRPr="00FC55AC" w:rsidR="00620C64">
        <w:t>, a</w:t>
      </w:r>
      <w:r w:rsidRPr="00FC55AC" w:rsidR="646A3411">
        <w:t xml:space="preserve">ll other data is available to </w:t>
      </w:r>
      <w:r w:rsidRPr="00FC55AC" w:rsidR="1A8D0F0D">
        <w:t xml:space="preserve">paid </w:t>
      </w:r>
      <w:r w:rsidRPr="00FC55AC" w:rsidR="646A3411">
        <w:t>subscribers only.</w:t>
      </w:r>
      <w:r w:rsidRPr="00FC55AC">
        <w:t xml:space="preserve"> </w:t>
      </w:r>
    </w:p>
    <w:p w:rsidR="00753382" w:rsidP="0048787F" w14:paraId="76BDA060" w14:textId="77777777">
      <w:pPr>
        <w:pStyle w:val="ListParagraph"/>
      </w:pPr>
      <w:r w:rsidRPr="00FC55AC">
        <w:t>UxC</w:t>
      </w:r>
      <w:r w:rsidRPr="00FC55AC">
        <w:t xml:space="preserve"> makes public spot prices </w:t>
      </w:r>
      <w:r w:rsidRPr="00FC55AC" w:rsidR="708EFCCC">
        <w:t xml:space="preserve">available </w:t>
      </w:r>
      <w:r w:rsidRPr="00FC55AC">
        <w:t>for U</w:t>
      </w:r>
      <w:r w:rsidRPr="00FC55AC">
        <w:rPr>
          <w:vertAlign w:val="subscript"/>
        </w:rPr>
        <w:t>3</w:t>
      </w:r>
      <w:r w:rsidRPr="00FC55AC">
        <w:t>O</w:t>
      </w:r>
      <w:r w:rsidRPr="00FC55AC">
        <w:rPr>
          <w:vertAlign w:val="subscript"/>
        </w:rPr>
        <w:t xml:space="preserve">8 </w:t>
      </w:r>
      <w:r w:rsidRPr="00FC55AC">
        <w:t>(uranium concentrate), UF</w:t>
      </w:r>
      <w:r w:rsidRPr="00FC55AC">
        <w:rPr>
          <w:vertAlign w:val="subscript"/>
        </w:rPr>
        <w:t xml:space="preserve">6 </w:t>
      </w:r>
      <w:r w:rsidRPr="00FC55AC">
        <w:t>(converted uranium) and enrichment services for both North American and European Union markets. UXC updates U</w:t>
      </w:r>
      <w:r w:rsidRPr="00FC55AC">
        <w:rPr>
          <w:vertAlign w:val="subscript"/>
        </w:rPr>
        <w:t>3</w:t>
      </w:r>
      <w:r w:rsidRPr="00FC55AC">
        <w:t>O</w:t>
      </w:r>
      <w:r w:rsidRPr="00FC55AC">
        <w:rPr>
          <w:vertAlign w:val="subscript"/>
        </w:rPr>
        <w:t>8</w:t>
      </w:r>
      <w:r w:rsidRPr="00FC55AC">
        <w:t xml:space="preserve"> prices weekly and updates prices for UF</w:t>
      </w:r>
      <w:r w:rsidRPr="00FC55AC">
        <w:rPr>
          <w:vertAlign w:val="subscript"/>
        </w:rPr>
        <w:t>6</w:t>
      </w:r>
      <w:r w:rsidRPr="00FC55AC">
        <w:t xml:space="preserve"> and enrichment services </w:t>
      </w:r>
      <w:r w:rsidRPr="00FC55AC">
        <w:t>on a monthly basis</w:t>
      </w:r>
      <w:r w:rsidRPr="00FC55AC">
        <w:t>.</w:t>
      </w:r>
      <w:r w:rsidRPr="00FC55AC" w:rsidR="5C56F285">
        <w:t xml:space="preserve"> Only current prices are available </w:t>
      </w:r>
      <w:r w:rsidRPr="00FC55AC" w:rsidR="363C9931">
        <w:t>and</w:t>
      </w:r>
      <w:r w:rsidRPr="00FC55AC">
        <w:t xml:space="preserve"> </w:t>
      </w:r>
      <w:r w:rsidRPr="00FC55AC" w:rsidR="363C9931">
        <w:t>to those who have created an account with UXC.</w:t>
      </w:r>
      <w:r w:rsidRPr="00FC55AC" w:rsidR="6EB773AA">
        <w:t xml:space="preserve"> The prices posted by </w:t>
      </w:r>
      <w:r w:rsidRPr="00FC55AC" w:rsidR="6EB773AA">
        <w:t>TradeTech</w:t>
      </w:r>
      <w:r w:rsidRPr="00FC55AC" w:rsidR="6EB773AA">
        <w:t xml:space="preserve"> and UXC are</w:t>
      </w:r>
      <w:r w:rsidRPr="00FC55AC" w:rsidR="26995ED1">
        <w:t xml:space="preserve"> likely</w:t>
      </w:r>
      <w:r w:rsidRPr="00FC55AC" w:rsidR="6EB773AA">
        <w:t xml:space="preserve"> compiled using a s</w:t>
      </w:r>
      <w:r w:rsidRPr="00FC55AC" w:rsidR="5C9E79C5">
        <w:t>mall s</w:t>
      </w:r>
      <w:r w:rsidRPr="00FC55AC" w:rsidR="6EB773AA">
        <w:t xml:space="preserve">ubset of </w:t>
      </w:r>
      <w:r w:rsidRPr="00FC55AC" w:rsidR="78F251B3">
        <w:t xml:space="preserve">all </w:t>
      </w:r>
      <w:r w:rsidRPr="00FC55AC" w:rsidR="6EB773AA">
        <w:t xml:space="preserve">market deals and do </w:t>
      </w:r>
      <w:r w:rsidRPr="00FC55AC" w:rsidR="6EB773AA">
        <w:t>not represent the</w:t>
      </w:r>
      <w:r w:rsidRPr="00FC55AC" w:rsidR="657AEEE4">
        <w:t xml:space="preserve"> entire universe of contracts that EIA collects and reports</w:t>
      </w:r>
      <w:r w:rsidRPr="00FC55AC" w:rsidR="54B0A420">
        <w:t xml:space="preserve"> as only EIA has the authority to gather this data from every market participant</w:t>
      </w:r>
      <w:r w:rsidRPr="00FC55AC" w:rsidR="657AEEE4">
        <w:t>.</w:t>
      </w:r>
      <w:r w:rsidRPr="00FC55AC" w:rsidR="363C9931">
        <w:t xml:space="preserve"> </w:t>
      </w:r>
    </w:p>
    <w:p w:rsidR="00F22B43" w:rsidRPr="00FC55AC" w:rsidP="00264939" w14:paraId="63BE8C37" w14:textId="77777777">
      <w:pPr>
        <w:pStyle w:val="ListParagraph"/>
      </w:pPr>
      <w:r>
        <w:t>World Nuclear News (</w:t>
      </w:r>
      <w:r w:rsidRPr="00FC55AC">
        <w:t>WNN</w:t>
      </w:r>
      <w:r>
        <w:t>)</w:t>
      </w:r>
      <w:r w:rsidRPr="00FC55AC">
        <w:t xml:space="preserve"> </w:t>
      </w:r>
      <w:r w:rsidRPr="00FC55AC" w:rsidR="00627CB6">
        <w:t xml:space="preserve">does not collect extensive data on uranium as it </w:t>
      </w:r>
      <w:r w:rsidRPr="003D6AA5">
        <w:rPr>
          <w:shd w:val="clear" w:color="auto" w:fill="FFFFFF"/>
        </w:rPr>
        <w:t>is a news provider only. EIA’s uranium reports publish d</w:t>
      </w:r>
      <w:r w:rsidRPr="00FC55AC">
        <w:t>ata on (1) uranium milling and processing, (2) uranium feed sources</w:t>
      </w:r>
      <w:r w:rsidR="003D6AA5">
        <w:t xml:space="preserve">, </w:t>
      </w:r>
      <w:r w:rsidRPr="00FC55AC">
        <w:t>(3) employment, (4) drilling, (5) expenditures (for drilling, production</w:t>
      </w:r>
      <w:r w:rsidRPr="003D6AA5" w:rsidR="00627CB6">
        <w:rPr>
          <w:shd w:val="clear" w:color="auto" w:fill="FFFFFF"/>
        </w:rPr>
        <w:t>,</w:t>
      </w:r>
      <w:r w:rsidRPr="00FC55AC">
        <w:t xml:space="preserve"> and land/other), (6) uranium mining, (7) contracts, (8) deliveries (during the report year and projected for the next ten years), (9) enrichment services purchased, (10) inventories, (11) use in fuel assemblies, (12) feed deliveries to enrichers (during the report year and projected for the next ten years), and (13) unfilled market requirements for the next ten years. This </w:t>
      </w:r>
      <w:r w:rsidRPr="00FC55AC" w:rsidR="004B72F5">
        <w:t xml:space="preserve">comprehensive </w:t>
      </w:r>
      <w:r w:rsidRPr="00FC55AC">
        <w:t xml:space="preserve">data </w:t>
      </w:r>
      <w:r w:rsidRPr="00FC55AC" w:rsidR="004B72F5">
        <w:t xml:space="preserve">cannot be found in other </w:t>
      </w:r>
      <w:r w:rsidRPr="00FC55AC" w:rsidR="00634403">
        <w:t xml:space="preserve">public </w:t>
      </w:r>
      <w:r w:rsidRPr="00FC55AC" w:rsidR="004B72F5">
        <w:t xml:space="preserve">data sources </w:t>
      </w:r>
      <w:r w:rsidRPr="00FC55AC">
        <w:t>and is a direct result of EIA’s mandatory data collection authority.</w:t>
      </w:r>
    </w:p>
    <w:p w:rsidR="008C734C" w:rsidRPr="00A41763" w:rsidP="00A41763" w14:paraId="2016183D" w14:textId="77777777"/>
    <w:p w:rsidR="008C734C" w:rsidP="00F82FA4" w14:paraId="0AAC921D" w14:textId="77777777">
      <w:pPr>
        <w:pStyle w:val="Heading2"/>
      </w:pPr>
      <w:bookmarkStart w:id="7" w:name="_Toc39588503"/>
      <w:r>
        <w:t>A.</w:t>
      </w:r>
      <w:r w:rsidRPr="00A41763" w:rsidR="00A41763">
        <w:t xml:space="preserve">5. </w:t>
      </w:r>
      <w:r w:rsidRPr="008C734C">
        <w:t>Provisions for Reducing Burden on Small Businesses</w:t>
      </w:r>
      <w:bookmarkEnd w:id="7"/>
      <w:r w:rsidRPr="008C734C">
        <w:t xml:space="preserve"> </w:t>
      </w:r>
    </w:p>
    <w:p w:rsidR="00AE2712" w:rsidRPr="00AE2712" w:rsidP="00AE2712" w14:paraId="196E0D9F" w14:textId="77777777">
      <w:pPr>
        <w:spacing w:before="120"/>
        <w:rPr>
          <w:rFonts w:cs="Arial"/>
        </w:rPr>
      </w:pPr>
      <w:r w:rsidRPr="4AAFFBEF">
        <w:rPr>
          <w:rFonts w:cs="Arial"/>
          <w:color w:val="000000" w:themeColor="text1"/>
        </w:rPr>
        <w:t xml:space="preserve">To the extent possible, EIA designs its data surveys so that small operations are not unduly affected. </w:t>
      </w:r>
      <w:r w:rsidRPr="4AAFFBEF">
        <w:rPr>
          <w:rFonts w:cs="Arial"/>
        </w:rPr>
        <w:t>This is especially important to UDP as small business</w:t>
      </w:r>
      <w:r w:rsidRPr="4AAFFBEF" w:rsidR="3245D7CE">
        <w:rPr>
          <w:rFonts w:cs="Arial"/>
        </w:rPr>
        <w:t>es</w:t>
      </w:r>
      <w:r w:rsidRPr="4AAFFBEF">
        <w:rPr>
          <w:rFonts w:cs="Arial"/>
        </w:rPr>
        <w:t xml:space="preserve"> constitute a sizeable portion of the U.S. uranium industry. Small firms participate in a limited or full range of industry activities from land acquisition through exploration, drilling, mining, milling, processing, conversion, and U.S. market broker/traders. To minimize burden, UDP survey forms only request data for items that are normally recorded in the ordinary course of their business operations. Because of this, EIA anticipates that little time will be required of small companies to prepare their responses. </w:t>
      </w:r>
      <w:r w:rsidRPr="4AAFFBEF">
        <w:rPr>
          <w:rFonts w:cs="Arial"/>
          <w:color w:val="000000" w:themeColor="text1"/>
        </w:rPr>
        <w:t xml:space="preserve">The use of electronic data collection </w:t>
      </w:r>
      <w:r w:rsidRPr="4AAFFBEF">
        <w:rPr>
          <w:rFonts w:cs="Arial"/>
        </w:rPr>
        <w:t xml:space="preserve">is </w:t>
      </w:r>
      <w:r w:rsidRPr="4AAFFBEF">
        <w:rPr>
          <w:rFonts w:cs="Arial"/>
          <w:color w:val="000000" w:themeColor="text1"/>
        </w:rPr>
        <w:t>also intended to reduce the response burden on small business</w:t>
      </w:r>
      <w:r w:rsidRPr="4AAFFBEF" w:rsidR="1B63A7F1">
        <w:rPr>
          <w:rFonts w:cs="Arial"/>
          <w:color w:val="000000" w:themeColor="text1"/>
        </w:rPr>
        <w:t>es</w:t>
      </w:r>
      <w:r w:rsidRPr="4AAFFBEF">
        <w:rPr>
          <w:rFonts w:cs="Arial"/>
          <w:color w:val="000000" w:themeColor="text1"/>
        </w:rPr>
        <w:t>.</w:t>
      </w:r>
    </w:p>
    <w:p w:rsidR="008C734C" w:rsidRPr="00A41763" w:rsidP="00A41763" w14:paraId="2E0D513F" w14:textId="77777777"/>
    <w:p w:rsidR="008C734C" w:rsidP="00F82FA4" w14:paraId="4FF2B879" w14:textId="77777777">
      <w:pPr>
        <w:pStyle w:val="Heading2"/>
      </w:pPr>
      <w:bookmarkStart w:id="8" w:name="_Toc39588504"/>
      <w:r>
        <w:t>A.</w:t>
      </w:r>
      <w:r w:rsidRPr="00A41763" w:rsidR="00A41763">
        <w:t xml:space="preserve">6. </w:t>
      </w:r>
      <w:r w:rsidRPr="008C734C">
        <w:t>Consequences of Less-Frequent Reporting</w:t>
      </w:r>
      <w:bookmarkEnd w:id="8"/>
    </w:p>
    <w:p w:rsidR="00AE2712" w:rsidRPr="00AE2712" w:rsidP="00AE2712" w14:paraId="2D9BEAF3" w14:textId="77777777">
      <w:pPr>
        <w:rPr>
          <w:rFonts w:cs="Arial"/>
        </w:rPr>
      </w:pPr>
      <w:r w:rsidRPr="23A048AC">
        <w:rPr>
          <w:rFonts w:cs="Arial"/>
        </w:rPr>
        <w:t xml:space="preserve">Industry relies on this quarterly data as an indicator of current market conditions throughout the year in between the more comprehensive annual reports published in May or June of each year. </w:t>
      </w:r>
    </w:p>
    <w:p w:rsidR="008C734C" w:rsidRPr="00A41763" w:rsidP="00A41763" w14:paraId="519142D2" w14:textId="77777777"/>
    <w:p w:rsidR="008C734C" w:rsidP="00F82FA4" w14:paraId="4CBD4443" w14:textId="77777777">
      <w:pPr>
        <w:pStyle w:val="Heading2"/>
      </w:pPr>
      <w:bookmarkStart w:id="9" w:name="_Toc39588505"/>
      <w:r>
        <w:t>A.</w:t>
      </w:r>
      <w:r w:rsidRPr="00A41763" w:rsidR="00A41763">
        <w:t xml:space="preserve">7. </w:t>
      </w:r>
      <w:r w:rsidRPr="008C734C">
        <w:t>Compliance with 5 CFR 1320.5</w:t>
      </w:r>
      <w:bookmarkEnd w:id="9"/>
    </w:p>
    <w:p w:rsidR="00AE2712" w:rsidRPr="00AE2712" w:rsidP="00AE2712" w14:paraId="13F08D3E" w14:textId="77777777">
      <w:pPr>
        <w:rPr>
          <w:rFonts w:cs="Arial"/>
        </w:rPr>
      </w:pPr>
      <w:r w:rsidRPr="00AE2712">
        <w:rPr>
          <w:rFonts w:cs="Arial"/>
        </w:rPr>
        <w:t xml:space="preserve">The UDP surveys are operated in accordance with 5 CFR §1320.5. </w:t>
      </w:r>
    </w:p>
    <w:p w:rsidR="008C734C" w:rsidP="00A41763" w14:paraId="0E674145" w14:textId="77777777">
      <w:pPr>
        <w:rPr>
          <w:b/>
          <w:bCs/>
        </w:rPr>
      </w:pPr>
    </w:p>
    <w:p w:rsidR="008C734C" w:rsidP="00F82FA4" w14:paraId="2A3F9AF5" w14:textId="77777777">
      <w:pPr>
        <w:pStyle w:val="Heading2"/>
      </w:pPr>
      <w:bookmarkStart w:id="10" w:name="_Toc39588506"/>
      <w:r>
        <w:t>A.</w:t>
      </w:r>
      <w:r w:rsidRPr="00A41763" w:rsidR="00A41763">
        <w:t xml:space="preserve">8. </w:t>
      </w:r>
      <w:r w:rsidRPr="008C734C">
        <w:t>Summary of Consultations Outside of the Agency</w:t>
      </w:r>
      <w:bookmarkEnd w:id="10"/>
    </w:p>
    <w:p w:rsidR="002D5B58" w:rsidRPr="006B78D6" w:rsidP="006B78D6" w14:paraId="652866E5" w14:textId="77777777">
      <w:r>
        <w:t>On October 31, 2023, EIA published a 60-day Federal Register Notice at 88 FN 209, outlining proposed changes to the Uranium Data Program and inviting interested parties to comment. EIA responded to all comments it received. EIA received one comment expressing interest in adding a chart using uranium inventory data to the Uranium Marketing Annual Report. The request would not change the survey forms but be a different way of displaying existing data that is already collected on the Form EIA-858 and thus not a change to the survey form or clearance even if implemented.</w:t>
      </w:r>
    </w:p>
    <w:p w:rsidR="008C734C" w:rsidP="00F82FA4" w14:paraId="5A003A61" w14:textId="77777777">
      <w:pPr>
        <w:pStyle w:val="Heading2"/>
      </w:pPr>
      <w:bookmarkStart w:id="11" w:name="_Toc39588507"/>
      <w:r>
        <w:t>A.</w:t>
      </w:r>
      <w:r w:rsidRPr="00A41763" w:rsidR="00A41763">
        <w:t xml:space="preserve">9. </w:t>
      </w:r>
      <w:r w:rsidRPr="008C734C">
        <w:t>Payments or Gifts to Respondents</w:t>
      </w:r>
      <w:bookmarkEnd w:id="11"/>
      <w:r w:rsidRPr="008C734C">
        <w:t xml:space="preserve"> </w:t>
      </w:r>
    </w:p>
    <w:p w:rsidR="00023375" w:rsidRPr="00023375" w:rsidP="00023375" w14:paraId="55CC7740" w14:textId="77777777">
      <w:pPr>
        <w:rPr>
          <w:rFonts w:cs="Arial"/>
          <w:bCs/>
          <w:u w:val="single"/>
        </w:rPr>
      </w:pPr>
      <w:r w:rsidRPr="00023375">
        <w:rPr>
          <w:rFonts w:cs="Arial"/>
          <w:bCs/>
        </w:rPr>
        <w:t xml:space="preserve">There will not be any payments made or gifts given to respondents as an incentive to complete the </w:t>
      </w:r>
      <w:r w:rsidRPr="00023375">
        <w:rPr>
          <w:rFonts w:cs="Arial"/>
          <w:bCs/>
          <w:i/>
        </w:rPr>
        <w:t>Uranium Data Program</w:t>
      </w:r>
      <w:r w:rsidRPr="00023375">
        <w:rPr>
          <w:rFonts w:cs="Arial"/>
          <w:bCs/>
        </w:rPr>
        <w:t xml:space="preserve"> surveys.</w:t>
      </w:r>
    </w:p>
    <w:p w:rsidR="008C734C" w:rsidP="00A41763" w14:paraId="2007AE30" w14:textId="77777777">
      <w:pPr>
        <w:rPr>
          <w:b/>
          <w:bCs/>
        </w:rPr>
      </w:pPr>
    </w:p>
    <w:p w:rsidR="008C734C" w:rsidP="00F82FA4" w14:paraId="61B23C68" w14:textId="77777777">
      <w:pPr>
        <w:pStyle w:val="Heading2"/>
      </w:pPr>
      <w:bookmarkStart w:id="12" w:name="_Toc39588508"/>
      <w:r>
        <w:t>A.</w:t>
      </w:r>
      <w:r w:rsidRPr="00A41763" w:rsidR="00A41763">
        <w:t xml:space="preserve">10. </w:t>
      </w:r>
      <w:r w:rsidRPr="008C734C">
        <w:t>Provisions for Protection of Information</w:t>
      </w:r>
      <w:bookmarkEnd w:id="12"/>
      <w:r w:rsidRPr="008C734C">
        <w:t xml:space="preserve"> </w:t>
      </w:r>
    </w:p>
    <w:p w:rsidR="00664D5C" w:rsidRPr="00B85AD8" w:rsidP="00664D5C" w14:paraId="0DC43AE0" w14:textId="77777777">
      <w:pPr>
        <w:rPr>
          <w:iCs/>
        </w:rPr>
      </w:pPr>
      <w:bookmarkStart w:id="13" w:name="OLE_LINK7"/>
      <w:bookmarkStart w:id="14" w:name="OLE_LINK8"/>
      <w:r w:rsidRPr="00B85AD8">
        <w:rPr>
          <w:iCs/>
        </w:rPr>
        <w:t>For Form</w:t>
      </w:r>
      <w:r w:rsidRPr="00B85AD8" w:rsidR="00922A15">
        <w:rPr>
          <w:iCs/>
        </w:rPr>
        <w:t>s</w:t>
      </w:r>
      <w:r w:rsidRPr="00B85AD8">
        <w:rPr>
          <w:iCs/>
        </w:rPr>
        <w:t xml:space="preserve"> EIA-85</w:t>
      </w:r>
      <w:r w:rsidRPr="00B85AD8" w:rsidR="00922A15">
        <w:rPr>
          <w:iCs/>
        </w:rPr>
        <w:t>1A and EIA-851Q</w:t>
      </w:r>
      <w:r w:rsidRPr="00B85AD8">
        <w:rPr>
          <w:iCs/>
        </w:rPr>
        <w:t>, the confidentiality pledge under the FOIA exemptions is:</w:t>
      </w:r>
    </w:p>
    <w:p w:rsidR="00922A15" w:rsidRPr="00B85AD8" w:rsidP="30CC5048" w14:paraId="3C1355BA" w14:textId="77777777">
      <w:pPr>
        <w:rPr>
          <w:i/>
          <w:iCs/>
        </w:rPr>
      </w:pPr>
      <w:r w:rsidRPr="00B85AD8">
        <w:rPr>
          <w:i/>
          <w:iCs/>
        </w:rPr>
        <w:t xml:space="preserve">The ‘Respondent Identification’ (Company Name), ‘Item 1: Facility Information’, and </w:t>
      </w:r>
      <w:r w:rsidRPr="00B85AD8" w:rsidR="5DFFC4FC">
        <w:rPr>
          <w:i/>
          <w:iCs/>
        </w:rPr>
        <w:t xml:space="preserve">‘Item 4: Mine Production’ </w:t>
      </w:r>
      <w:r w:rsidRPr="00B85AD8">
        <w:rPr>
          <w:i/>
          <w:iCs/>
        </w:rPr>
        <w:t xml:space="preserve">reported on Form EIA-851A </w:t>
      </w:r>
      <w:r w:rsidRPr="00B85AD8" w:rsidR="64665B60">
        <w:rPr>
          <w:i/>
          <w:iCs/>
        </w:rPr>
        <w:t xml:space="preserve">and ‘Item 2: Production’ on Form EIA-851Q </w:t>
      </w:r>
      <w:r w:rsidRPr="00B85AD8">
        <w:rPr>
          <w:i/>
          <w:iCs/>
        </w:rPr>
        <w:t>are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Department of Energy (DOE) regulations, 10 C.F.R. 1004.11, implementing the FOIA, and the Trade Secrets Act, 18 U.S.C. 1905. 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922A15" w:rsidRPr="00B85AD8" w:rsidP="00922A15" w14:paraId="4CCC9CC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23A048AC">
        <w:rPr>
          <w:rFonts w:cs="Arial"/>
        </w:rPr>
        <w:t xml:space="preserve">For Form EIA-858, </w:t>
      </w:r>
      <w:r w:rsidRPr="23A048AC" w:rsidR="33D6692A">
        <w:rPr>
          <w:rFonts w:cs="Arial"/>
        </w:rPr>
        <w:t>the</w:t>
      </w:r>
      <w:r w:rsidRPr="23A048AC">
        <w:rPr>
          <w:rFonts w:cs="Arial"/>
        </w:rPr>
        <w:t xml:space="preserve"> CIPSEA confidentiality pledge</w:t>
      </w:r>
      <w:r w:rsidRPr="23A048AC" w:rsidR="21AB0A42">
        <w:rPr>
          <w:rFonts w:cs="Arial"/>
        </w:rPr>
        <w:t xml:space="preserve"> </w:t>
      </w:r>
      <w:r w:rsidRPr="23A048AC">
        <w:rPr>
          <w:rFonts w:cs="Arial"/>
        </w:rPr>
        <w:t>is</w:t>
      </w:r>
      <w:r w:rsidRPr="23A048AC" w:rsidR="2A61FAF1">
        <w:rPr>
          <w:rFonts w:cs="Arial"/>
        </w:rPr>
        <w:t xml:space="preserve"> as follows</w:t>
      </w:r>
      <w:r w:rsidRPr="23A048AC">
        <w:rPr>
          <w:rFonts w:cs="Arial"/>
        </w:rPr>
        <w:t>:</w:t>
      </w:r>
    </w:p>
    <w:p w:rsidR="00922A15" w:rsidRPr="00B85AD8" w:rsidP="30CC5048" w14:paraId="60A87BAD" w14:textId="77777777">
      <w:pPr>
        <w:rPr>
          <w:i/>
          <w:iCs/>
        </w:rPr>
      </w:pPr>
      <w:r w:rsidRPr="00B85AD8">
        <w:rPr>
          <w:rFonts w:ascii="Calibri" w:eastAsia="Calibri" w:hAnsi="Calibri" w:cs="Calibri"/>
        </w:rPr>
        <w:t xml:space="preserve"> The items RESPONDENT IDENTIFICATION Company Name and OTHER PARTY NAME (Item 1.A.), and SELLER’S NAME (Item 3.B.) on Form EIA-858 will be considered public information and may be publicly released in company or individually identifiable form.</w:t>
      </w:r>
    </w:p>
    <w:p w:rsidR="00664D5C" w:rsidRPr="00023375" w:rsidP="243AEE3C" w14:paraId="3A9D8AD1" w14:textId="77777777">
      <w:pPr>
        <w:rPr>
          <w:rFonts w:ascii="Calibri" w:eastAsia="Calibri" w:hAnsi="Calibri" w:cs="Calibri"/>
        </w:rPr>
      </w:pPr>
      <w:r w:rsidRPr="00B85AD8">
        <w:rPr>
          <w:i/>
          <w:iCs/>
        </w:rPr>
        <w:t xml:space="preserve">The information you provide on Form EIA-858 will be used for statistical purposes only and is confidential by law. In accordance with the Confidential Information Protection and Statistical Efficiency Act of 2018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w:t>
      </w:r>
      <w:r w:rsidRPr="00B85AD8">
        <w:rPr>
          <w:i/>
          <w:iCs/>
        </w:rPr>
        <w:t>or</w:t>
      </w:r>
      <w:r w:rsidRPr="00B85AD8">
        <w:rPr>
          <w:i/>
          <w:iCs/>
        </w:rPr>
        <w:t xml:space="preserve"> she makes public ANY identifiable information you reported.</w:t>
      </w:r>
    </w:p>
    <w:bookmarkEnd w:id="13"/>
    <w:bookmarkEnd w:id="14"/>
    <w:p w:rsidR="00F056C3" w:rsidP="00A41763" w14:paraId="48E34E24" w14:textId="77777777">
      <w:pPr>
        <w:rPr>
          <w:b/>
          <w:bCs/>
        </w:rPr>
      </w:pPr>
    </w:p>
    <w:p w:rsidR="00F056C3" w:rsidP="00F82FA4" w14:paraId="5339893A" w14:textId="77777777">
      <w:pPr>
        <w:pStyle w:val="Heading2"/>
      </w:pPr>
      <w:bookmarkStart w:id="15" w:name="_Toc39588509"/>
      <w:r>
        <w:t>A.</w:t>
      </w:r>
      <w:r w:rsidRPr="00A41763" w:rsidR="00A41763">
        <w:t xml:space="preserve">11. </w:t>
      </w:r>
      <w:r w:rsidRPr="00F056C3">
        <w:t>Justification for Sensitive Questions</w:t>
      </w:r>
      <w:bookmarkEnd w:id="15"/>
      <w:r w:rsidRPr="00F056C3">
        <w:t xml:space="preserve"> </w:t>
      </w:r>
    </w:p>
    <w:p w:rsidR="00023375" w:rsidRPr="00023375" w:rsidP="00023375" w14:paraId="61526137" w14:textId="77777777">
      <w:pPr>
        <w:rPr>
          <w:rFonts w:cs="Arial"/>
          <w:bCs/>
        </w:rPr>
      </w:pPr>
      <w:r w:rsidRPr="00023375">
        <w:rPr>
          <w:rFonts w:cs="Arial"/>
          <w:bCs/>
        </w:rPr>
        <w:t>There are no questions of a sensitive nature.</w:t>
      </w:r>
    </w:p>
    <w:p w:rsidR="00F056C3" w:rsidP="00A41763" w14:paraId="30687172" w14:textId="77777777">
      <w:pPr>
        <w:rPr>
          <w:b/>
          <w:bCs/>
        </w:rPr>
      </w:pPr>
    </w:p>
    <w:p w:rsidR="00F056C3" w:rsidP="00F82FA4" w14:paraId="31D4DC8F" w14:textId="77777777">
      <w:pPr>
        <w:pStyle w:val="Heading2"/>
      </w:pPr>
      <w:bookmarkStart w:id="16" w:name="_Toc39588510"/>
      <w:r>
        <w:t>A.</w:t>
      </w:r>
      <w:r w:rsidR="3A23A806">
        <w:t xml:space="preserve">12. </w:t>
      </w:r>
      <w:r>
        <w:t xml:space="preserve">Estimate of Respondent Burden Hours and Cost </w:t>
      </w:r>
      <w:bookmarkEnd w:id="16"/>
    </w:p>
    <w:p w:rsidR="00023375" w:rsidRPr="00023375" w:rsidP="53C7B475" w14:paraId="4E1E31FD" w14:textId="77777777">
      <w:pPr>
        <w:rPr>
          <w:rFonts w:cs="Arial"/>
        </w:rPr>
      </w:pPr>
      <w:bookmarkStart w:id="17" w:name="_Toc459210196"/>
      <w:r w:rsidRPr="332F9C4E">
        <w:rPr>
          <w:rFonts w:cs="Arial"/>
        </w:rPr>
        <w:t xml:space="preserve">The total annual burden is estimated to be </w:t>
      </w:r>
      <w:r w:rsidRPr="332F9C4E">
        <w:rPr>
          <w:rFonts w:cs="Arial"/>
          <w:b/>
          <w:bCs/>
        </w:rPr>
        <w:t>1,</w:t>
      </w:r>
      <w:r w:rsidRPr="332F9C4E" w:rsidR="00B2096C">
        <w:rPr>
          <w:rFonts w:cs="Arial"/>
          <w:b/>
          <w:bCs/>
        </w:rPr>
        <w:t>7</w:t>
      </w:r>
      <w:r w:rsidRPr="332F9C4E" w:rsidR="1D22528F">
        <w:rPr>
          <w:rFonts w:cs="Arial"/>
          <w:b/>
          <w:bCs/>
        </w:rPr>
        <w:t>75</w:t>
      </w:r>
      <w:r w:rsidRPr="332F9C4E">
        <w:rPr>
          <w:rFonts w:cs="Arial"/>
          <w:b/>
          <w:bCs/>
        </w:rPr>
        <w:t xml:space="preserve"> hours </w:t>
      </w:r>
      <w:r w:rsidRPr="332F9C4E">
        <w:rPr>
          <w:rFonts w:cs="Arial"/>
        </w:rPr>
        <w:t>(see Table A1, below). Based on the</w:t>
      </w:r>
      <w:r w:rsidRPr="332F9C4E" w:rsidR="4269F19A">
        <w:rPr>
          <w:rFonts w:cs="Arial"/>
        </w:rPr>
        <w:t xml:space="preserve"> estimated rate of $</w:t>
      </w:r>
      <w:r w:rsidR="00391137">
        <w:rPr>
          <w:rFonts w:cs="Arial"/>
        </w:rPr>
        <w:t>91.16</w:t>
      </w:r>
      <w:r w:rsidRPr="332F9C4E">
        <w:rPr>
          <w:rFonts w:cs="Arial"/>
        </w:rPr>
        <w:t xml:space="preserve"> per hour for employees</w:t>
      </w:r>
      <w:r w:rsidRPr="332F9C4E" w:rsidR="00954659">
        <w:rPr>
          <w:rFonts w:cs="Arial"/>
        </w:rPr>
        <w:t xml:space="preserve"> </w:t>
      </w:r>
      <w:r w:rsidRPr="332F9C4E">
        <w:rPr>
          <w:rFonts w:cs="Arial"/>
        </w:rPr>
        <w:t>who would complete these forms, the total annual respondent cost for all forms is estimated to be $</w:t>
      </w:r>
      <w:r w:rsidR="00391137">
        <w:rPr>
          <w:rFonts w:cs="Arial"/>
        </w:rPr>
        <w:t>161,809</w:t>
      </w:r>
      <w:r w:rsidRPr="332F9C4E">
        <w:rPr>
          <w:rFonts w:cs="Arial"/>
        </w:rPr>
        <w:t>.</w:t>
      </w:r>
      <w:bookmarkEnd w:id="17"/>
    </w:p>
    <w:p w:rsidR="00023375" w:rsidRPr="00023375" w:rsidP="00023375" w14:paraId="7770A128" w14:textId="77777777">
      <w:pPr>
        <w:rPr>
          <w:rFonts w:cs="Arial"/>
          <w:bCs/>
        </w:rPr>
      </w:pPr>
      <w:r w:rsidRPr="00023375">
        <w:rPr>
          <w:rFonts w:cs="Arial"/>
          <w:bCs/>
        </w:rPr>
        <w:t>The equation for calculating the burden cost is</w:t>
      </w:r>
      <w:r w:rsidR="00391137">
        <w:rPr>
          <w:rFonts w:cs="Arial"/>
          <w:bCs/>
        </w:rPr>
        <w:t>:</w:t>
      </w:r>
    </w:p>
    <w:p w:rsidR="00023375" w:rsidRPr="00023375" w:rsidP="00023375" w14:paraId="36E36B1A" w14:textId="77777777">
      <w:pPr>
        <w:rPr>
          <w:rFonts w:cs="Arial"/>
          <w:bCs/>
        </w:rPr>
      </w:pPr>
      <w:r w:rsidRPr="00023375">
        <w:rPr>
          <w:rFonts w:cs="Arial"/>
          <w:bCs/>
        </w:rPr>
        <w:t>(hourly rate) x (hours per year) = (annual respondent burden); or</w:t>
      </w:r>
    </w:p>
    <w:p w:rsidR="00023375" w:rsidRPr="00023375" w:rsidP="53C7B475" w14:paraId="4D9089C1" w14:textId="77777777">
      <w:pPr>
        <w:rPr>
          <w:rFonts w:cs="Arial"/>
        </w:rPr>
      </w:pPr>
      <w:r w:rsidRPr="332F9C4E">
        <w:rPr>
          <w:rFonts w:cs="Arial"/>
        </w:rPr>
        <w:t>$</w:t>
      </w:r>
      <w:r w:rsidR="00391137">
        <w:rPr>
          <w:rFonts w:cs="Arial"/>
        </w:rPr>
        <w:t>91.16</w:t>
      </w:r>
      <w:r w:rsidRPr="332F9C4E">
        <w:rPr>
          <w:rFonts w:cs="Arial"/>
        </w:rPr>
        <w:t>/hour x 1</w:t>
      </w:r>
      <w:r w:rsidRPr="332F9C4E" w:rsidR="00326425">
        <w:rPr>
          <w:rFonts w:cs="Arial"/>
        </w:rPr>
        <w:t>,7</w:t>
      </w:r>
      <w:r w:rsidRPr="332F9C4E" w:rsidR="54F22E64">
        <w:rPr>
          <w:rFonts w:cs="Arial"/>
        </w:rPr>
        <w:t>75</w:t>
      </w:r>
      <w:r w:rsidRPr="332F9C4E" w:rsidR="4269F19A">
        <w:rPr>
          <w:rFonts w:cs="Arial"/>
        </w:rPr>
        <w:t xml:space="preserve"> hours/year = $</w:t>
      </w:r>
      <w:r w:rsidR="00391137">
        <w:rPr>
          <w:rFonts w:cs="Arial"/>
        </w:rPr>
        <w:t>161,809</w:t>
      </w:r>
      <w:r w:rsidRPr="332F9C4E">
        <w:rPr>
          <w:rFonts w:cs="Arial"/>
        </w:rPr>
        <w:t>.</w:t>
      </w:r>
    </w:p>
    <w:p w:rsidR="00023375" w:rsidP="53C7B475" w14:paraId="3D018BA1" w14:textId="77777777">
      <w:pPr>
        <w:rPr>
          <w:rFonts w:cs="Arial"/>
        </w:rPr>
      </w:pPr>
      <w:r w:rsidRPr="332F9C4E">
        <w:rPr>
          <w:rFonts w:cs="Arial"/>
        </w:rPr>
        <w:t>An average cost per hour of $</w:t>
      </w:r>
      <w:r w:rsidR="00391137">
        <w:rPr>
          <w:rFonts w:cs="Arial"/>
        </w:rPr>
        <w:t>91.16</w:t>
      </w:r>
      <w:r w:rsidRPr="332F9C4E">
        <w:rPr>
          <w:rFonts w:cs="Arial"/>
        </w:rPr>
        <w:t xml:space="preserve"> is used because that is the average </w:t>
      </w:r>
      <w:r w:rsidRPr="332F9C4E" w:rsidR="00391137">
        <w:rPr>
          <w:rFonts w:cs="Arial"/>
        </w:rPr>
        <w:t>fully burdened</w:t>
      </w:r>
      <w:r w:rsidRPr="332F9C4E" w:rsidR="00954659">
        <w:rPr>
          <w:rFonts w:cs="Arial"/>
        </w:rPr>
        <w:t xml:space="preserve"> wage hour </w:t>
      </w:r>
      <w:r w:rsidRPr="332F9C4E">
        <w:rPr>
          <w:rFonts w:cs="Arial"/>
        </w:rPr>
        <w:t>(salary plus benefits) cost for an EIA employee assigned to data survey work. EIA assumes that the survey respondent workforce completing surveys for EIA is comparable with EIA workforce.</w:t>
      </w:r>
    </w:p>
    <w:tbl>
      <w:tblPr>
        <w:tblW w:w="0" w:type="auto"/>
        <w:tblLayout w:type="fixed"/>
        <w:tblLook w:val="06A0"/>
      </w:tblPr>
      <w:tblGrid>
        <w:gridCol w:w="2580"/>
        <w:gridCol w:w="1155"/>
        <w:gridCol w:w="1275"/>
        <w:gridCol w:w="1275"/>
        <w:gridCol w:w="1275"/>
        <w:gridCol w:w="1275"/>
      </w:tblGrid>
      <w:tr w14:paraId="30268378" w14:textId="77777777" w:rsidTr="00E22368">
        <w:tblPrEx>
          <w:tblW w:w="0" w:type="auto"/>
          <w:tblLayout w:type="fixed"/>
          <w:tblLook w:val="06A0"/>
        </w:tblPrEx>
        <w:trPr>
          <w:trHeight w:val="281"/>
        </w:trPr>
        <w:tc>
          <w:tcPr>
            <w:tcW w:w="8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CA764E" w:rsidRPr="332F9C4E" w:rsidP="00283B75" w14:paraId="7F566325" w14:textId="77777777">
            <w:pPr>
              <w:jc w:val="center"/>
              <w:rPr>
                <w:rFonts w:ascii="Calibri" w:eastAsia="Calibri" w:hAnsi="Calibri" w:cs="Calibri"/>
                <w:b/>
                <w:bCs/>
                <w:color w:val="000000" w:themeColor="text1"/>
              </w:rPr>
            </w:pPr>
            <w:r>
              <w:rPr>
                <w:rFonts w:ascii="Calibri" w:eastAsia="Calibri" w:hAnsi="Calibri" w:cs="Calibri"/>
                <w:b/>
                <w:bCs/>
                <w:color w:val="000000" w:themeColor="text1"/>
              </w:rPr>
              <w:t>Table A1:</w:t>
            </w:r>
            <w:r w:rsidR="00A4161C">
              <w:rPr>
                <w:rFonts w:ascii="Calibri" w:eastAsia="Calibri" w:hAnsi="Calibri" w:cs="Calibri"/>
                <w:b/>
                <w:bCs/>
                <w:color w:val="000000" w:themeColor="text1"/>
              </w:rPr>
              <w:t xml:space="preserve"> Estimated Respondent Burden</w:t>
            </w:r>
          </w:p>
        </w:tc>
      </w:tr>
      <w:tr w14:paraId="5D30BAD6" w14:textId="77777777" w:rsidTr="332F9C4E">
        <w:tblPrEx>
          <w:tblW w:w="0" w:type="auto"/>
          <w:tblLayout w:type="fixed"/>
          <w:tblLook w:val="06A0"/>
        </w:tblPrEx>
        <w:trPr>
          <w:trHeight w:val="870"/>
        </w:trPr>
        <w:tc>
          <w:tcPr>
            <w:tcW w:w="2580"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508E6457" w14:textId="77777777">
            <w:bookmarkStart w:id="18" w:name="_MON_1539789608"/>
            <w:bookmarkEnd w:id="18"/>
            <w:r w:rsidRPr="332F9C4E">
              <w:rPr>
                <w:rFonts w:ascii="Calibri" w:eastAsia="Calibri" w:hAnsi="Calibri" w:cs="Calibri"/>
                <w:b/>
                <w:bCs/>
                <w:color w:val="000000" w:themeColor="text1"/>
              </w:rPr>
              <w:t>EIA Form Number/Title</w:t>
            </w:r>
          </w:p>
        </w:tc>
        <w:tc>
          <w:tcPr>
            <w:tcW w:w="115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01AC3DF8" w14:textId="77777777">
            <w:r w:rsidRPr="332F9C4E">
              <w:rPr>
                <w:rFonts w:ascii="Calibri" w:eastAsia="Calibri" w:hAnsi="Calibri" w:cs="Calibri"/>
                <w:b/>
                <w:bCs/>
                <w:color w:val="000000" w:themeColor="text1"/>
              </w:rPr>
              <w:t>Annual Reporting Frequency</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47D1F6D6" w14:textId="77777777">
            <w:r w:rsidRPr="332F9C4E">
              <w:rPr>
                <w:rFonts w:ascii="Calibri" w:eastAsia="Calibri" w:hAnsi="Calibri" w:cs="Calibri"/>
                <w:b/>
                <w:bCs/>
                <w:color w:val="000000" w:themeColor="text1"/>
              </w:rPr>
              <w:t>Number of Respondents</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5CF73BDF" w14:textId="77777777">
            <w:r w:rsidRPr="332F9C4E">
              <w:rPr>
                <w:rFonts w:ascii="Calibri" w:eastAsia="Calibri" w:hAnsi="Calibri" w:cs="Calibri"/>
                <w:b/>
                <w:bCs/>
                <w:color w:val="000000" w:themeColor="text1"/>
              </w:rPr>
              <w:t>Annual Number of Responses</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13C0B979" w14:textId="77777777">
            <w:r w:rsidRPr="332F9C4E">
              <w:rPr>
                <w:rFonts w:ascii="Calibri" w:eastAsia="Calibri" w:hAnsi="Calibri" w:cs="Calibri"/>
                <w:b/>
                <w:bCs/>
                <w:color w:val="000000" w:themeColor="text1"/>
              </w:rPr>
              <w:t>Burden Hours Per Response</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332F9C4E" w14:paraId="63981A2A" w14:textId="77777777">
            <w:r w:rsidRPr="332F9C4E">
              <w:rPr>
                <w:rFonts w:ascii="Calibri" w:eastAsia="Calibri" w:hAnsi="Calibri" w:cs="Calibri"/>
                <w:b/>
                <w:bCs/>
                <w:color w:val="000000" w:themeColor="text1"/>
              </w:rPr>
              <w:t>Annual Burden Hours</w:t>
            </w:r>
          </w:p>
        </w:tc>
      </w:tr>
      <w:tr w14:paraId="67427DC6" w14:textId="77777777" w:rsidTr="332F9C4E">
        <w:tblPrEx>
          <w:tblW w:w="0" w:type="auto"/>
          <w:tblLayout w:type="fixed"/>
          <w:tblLook w:val="06A0"/>
        </w:tblPrEx>
        <w:trPr>
          <w:trHeight w:val="870"/>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317C8E11" w14:textId="77777777">
            <w:r w:rsidRPr="332F9C4E">
              <w:rPr>
                <w:rFonts w:ascii="Calibri" w:eastAsia="Calibri" w:hAnsi="Calibri" w:cs="Calibri"/>
                <w:color w:val="000000" w:themeColor="text1"/>
              </w:rPr>
              <w:t>Form EIA-851A - Domestic Uranium Production Report (Annual)</w:t>
            </w:r>
          </w:p>
        </w:tc>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1262F25A" w14:textId="77777777">
            <w:r w:rsidRPr="332F9C4E">
              <w:rPr>
                <w:rFonts w:ascii="Calibri" w:eastAsia="Calibri" w:hAnsi="Calibri" w:cs="Calibri"/>
                <w:color w:val="000000" w:themeColor="text1"/>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78F827CE" w14:textId="77777777">
            <w:r w:rsidRPr="332F9C4E">
              <w:rPr>
                <w:rFonts w:ascii="Calibri" w:eastAsia="Calibri" w:hAnsi="Calibri" w:cs="Calibri"/>
                <w:color w:val="000000" w:themeColor="text1"/>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631C041E" w14:textId="77777777">
            <w:r w:rsidRPr="332F9C4E">
              <w:rPr>
                <w:rFonts w:ascii="Calibri" w:eastAsia="Calibri" w:hAnsi="Calibri" w:cs="Calibri"/>
                <w:color w:val="000000" w:themeColor="text1"/>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44D6DD85" w14:textId="77777777">
            <w:r w:rsidRPr="332F9C4E">
              <w:rPr>
                <w:rFonts w:ascii="Calibri" w:eastAsia="Calibri" w:hAnsi="Calibri" w:cs="Calibri"/>
                <w:color w:val="000000" w:themeColor="text1"/>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01FD235E" w14:textId="77777777">
            <w:r w:rsidRPr="332F9C4E">
              <w:rPr>
                <w:rFonts w:ascii="Calibri" w:eastAsia="Calibri" w:hAnsi="Calibri" w:cs="Calibri"/>
                <w:color w:val="000000" w:themeColor="text1"/>
              </w:rPr>
              <w:t>130</w:t>
            </w:r>
          </w:p>
        </w:tc>
      </w:tr>
      <w:tr w14:paraId="03A65A79" w14:textId="77777777" w:rsidTr="332F9C4E">
        <w:tblPrEx>
          <w:tblW w:w="0" w:type="auto"/>
          <w:tblLayout w:type="fixed"/>
          <w:tblLook w:val="06A0"/>
        </w:tblPrEx>
        <w:trPr>
          <w:trHeight w:val="870"/>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7CE010B6" w14:textId="77777777">
            <w:r w:rsidRPr="332F9C4E">
              <w:rPr>
                <w:rFonts w:ascii="Calibri" w:eastAsia="Calibri" w:hAnsi="Calibri" w:cs="Calibri"/>
                <w:color w:val="000000" w:themeColor="text1"/>
              </w:rPr>
              <w:t>Form EIA-851Q - Domestic Uranium Production Report (Quarterly)</w:t>
            </w:r>
          </w:p>
        </w:tc>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3AEE09A8" w14:textId="77777777">
            <w:r w:rsidRPr="332F9C4E">
              <w:rPr>
                <w:rFonts w:ascii="Calibri" w:eastAsia="Calibri" w:hAnsi="Calibri" w:cs="Calibri"/>
                <w:color w:val="000000" w:themeColor="text1"/>
              </w:rPr>
              <w:t>4</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58F54F77" w14:textId="77777777">
            <w:r w:rsidRPr="332F9C4E">
              <w:rPr>
                <w:rFonts w:ascii="Calibri" w:eastAsia="Calibri" w:hAnsi="Calibri" w:cs="Calibri"/>
                <w:color w:val="000000" w:themeColor="text1"/>
              </w:rPr>
              <w:t>11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55F6757A" w14:textId="77777777">
            <w:r w:rsidRPr="332F9C4E">
              <w:rPr>
                <w:rFonts w:ascii="Calibri" w:eastAsia="Calibri" w:hAnsi="Calibri" w:cs="Calibri"/>
                <w:color w:val="000000" w:themeColor="text1"/>
              </w:rPr>
              <w:t>44</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6B059CB7" w14:textId="77777777">
            <w:r w:rsidRPr="332F9C4E">
              <w:rPr>
                <w:rFonts w:ascii="Calibri" w:eastAsia="Calibri" w:hAnsi="Calibri" w:cs="Calibri"/>
                <w:color w:val="000000" w:themeColor="text1"/>
              </w:rPr>
              <w:t>0.75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5159F8B0" w14:textId="77777777">
            <w:r w:rsidRPr="332F9C4E">
              <w:rPr>
                <w:rFonts w:ascii="Calibri" w:eastAsia="Calibri" w:hAnsi="Calibri" w:cs="Calibri"/>
                <w:color w:val="000000" w:themeColor="text1"/>
              </w:rPr>
              <w:t>33</w:t>
            </w:r>
          </w:p>
        </w:tc>
      </w:tr>
      <w:tr w14:paraId="3F6BA6CF" w14:textId="77777777" w:rsidTr="332F9C4E">
        <w:tblPrEx>
          <w:tblW w:w="0" w:type="auto"/>
          <w:tblLayout w:type="fixed"/>
          <w:tblLook w:val="06A0"/>
        </w:tblPrEx>
        <w:trPr>
          <w:trHeight w:val="570"/>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1FE981F7" w14:textId="77777777">
            <w:r w:rsidRPr="332F9C4E">
              <w:rPr>
                <w:rFonts w:ascii="Calibri" w:eastAsia="Calibri" w:hAnsi="Calibri" w:cs="Calibri"/>
                <w:color w:val="000000" w:themeColor="text1"/>
              </w:rPr>
              <w:t>Form EIA-858 - Uranium Marketing Annual Survey</w:t>
            </w:r>
          </w:p>
        </w:tc>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5C2BA86F" w14:textId="77777777">
            <w:r w:rsidRPr="332F9C4E">
              <w:rPr>
                <w:rFonts w:ascii="Calibri" w:eastAsia="Calibri" w:hAnsi="Calibri" w:cs="Calibri"/>
                <w:color w:val="000000" w:themeColor="text1"/>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11E9A403" w14:textId="77777777">
            <w:r w:rsidRPr="332F9C4E">
              <w:rPr>
                <w:rFonts w:ascii="Calibri" w:eastAsia="Calibri" w:hAnsi="Calibri" w:cs="Calibri"/>
                <w:color w:val="000000" w:themeColor="text1"/>
              </w:rPr>
              <w:t>62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4B45B9F7" w14:textId="77777777">
            <w:r w:rsidRPr="332F9C4E">
              <w:rPr>
                <w:rFonts w:ascii="Calibri" w:eastAsia="Calibri" w:hAnsi="Calibri" w:cs="Calibri"/>
                <w:color w:val="000000" w:themeColor="text1"/>
              </w:rPr>
              <w:t>62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4CFC1F62" w14:textId="77777777">
            <w:r w:rsidRPr="332F9C4E">
              <w:rPr>
                <w:rFonts w:ascii="Calibri" w:eastAsia="Calibri" w:hAnsi="Calibri" w:cs="Calibri"/>
                <w:color w:val="000000" w:themeColor="text1"/>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7F4CC698" w14:textId="77777777">
            <w:r w:rsidRPr="332F9C4E">
              <w:rPr>
                <w:rFonts w:ascii="Calibri" w:eastAsia="Calibri" w:hAnsi="Calibri" w:cs="Calibri"/>
                <w:color w:val="000000" w:themeColor="text1"/>
              </w:rPr>
              <w:t>1</w:t>
            </w:r>
            <w:r w:rsidRPr="332F9C4E" w:rsidR="7C64B19A">
              <w:rPr>
                <w:rFonts w:ascii="Calibri" w:eastAsia="Calibri" w:hAnsi="Calibri" w:cs="Calibri"/>
                <w:color w:val="000000" w:themeColor="text1"/>
              </w:rPr>
              <w:t>,</w:t>
            </w:r>
            <w:r w:rsidRPr="332F9C4E">
              <w:rPr>
                <w:rFonts w:ascii="Calibri" w:eastAsia="Calibri" w:hAnsi="Calibri" w:cs="Calibri"/>
                <w:color w:val="000000" w:themeColor="text1"/>
              </w:rPr>
              <w:t>612</w:t>
            </w:r>
          </w:p>
        </w:tc>
      </w:tr>
      <w:tr w14:paraId="1FD1AB43" w14:textId="77777777" w:rsidTr="332F9C4E">
        <w:tblPrEx>
          <w:tblW w:w="0" w:type="auto"/>
          <w:tblLayout w:type="fixed"/>
          <w:tblLook w:val="06A0"/>
        </w:tblPrEx>
        <w:trPr>
          <w:trHeight w:val="285"/>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1FEB3B21" w14:textId="77777777">
            <w:r w:rsidRPr="332F9C4E">
              <w:rPr>
                <w:rFonts w:ascii="Calibri" w:eastAsia="Calibri" w:hAnsi="Calibri" w:cs="Calibri"/>
                <w:b/>
                <w:bCs/>
                <w:color w:val="000000" w:themeColor="text1"/>
              </w:rPr>
              <w:t>TOTAL</w:t>
            </w:r>
          </w:p>
        </w:tc>
        <w:tc>
          <w:tcPr>
            <w:tcW w:w="1155"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bottom"/>
          </w:tcPr>
          <w:p w:rsidR="332F9C4E" w14:paraId="1E4811FE" w14:textId="77777777">
            <w:r w:rsidRPr="332F9C4E">
              <w:rPr>
                <w:rFonts w:ascii="Calibri" w:eastAsia="Calibri" w:hAnsi="Calibri" w:cs="Calibri"/>
                <w:b/>
                <w:bCs/>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4DE70F2B" w14:textId="77777777">
            <w:r w:rsidRPr="332F9C4E">
              <w:rPr>
                <w:rFonts w:ascii="Calibri" w:eastAsia="Calibri" w:hAnsi="Calibri" w:cs="Calibri"/>
                <w:b/>
                <w:bCs/>
                <w:color w:val="000000" w:themeColor="text1"/>
              </w:rPr>
              <w:t>99</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343DD2EB" w14:textId="77777777">
            <w:r w:rsidRPr="332F9C4E">
              <w:rPr>
                <w:rFonts w:ascii="Calibri" w:eastAsia="Calibri" w:hAnsi="Calibri" w:cs="Calibri"/>
                <w:b/>
                <w:bCs/>
                <w:color w:val="000000" w:themeColor="text1"/>
              </w:rPr>
              <w:t>132</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bottom"/>
          </w:tcPr>
          <w:p w:rsidR="332F9C4E" w14:paraId="42D1433C" w14:textId="77777777">
            <w:r w:rsidRPr="332F9C4E">
              <w:rPr>
                <w:rFonts w:ascii="Calibri" w:eastAsia="Calibri" w:hAnsi="Calibri" w:cs="Calibri"/>
                <w:b/>
                <w:bCs/>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F9C4E" w14:paraId="710D21AC" w14:textId="77777777">
            <w:r w:rsidRPr="332F9C4E">
              <w:rPr>
                <w:rFonts w:ascii="Calibri" w:eastAsia="Calibri" w:hAnsi="Calibri" w:cs="Calibri"/>
                <w:b/>
                <w:bCs/>
                <w:color w:val="000000" w:themeColor="text1"/>
              </w:rPr>
              <w:t xml:space="preserve"> 1,775</w:t>
            </w:r>
          </w:p>
        </w:tc>
      </w:tr>
    </w:tbl>
    <w:p w:rsidR="00954659" w:rsidRPr="00A41763" w:rsidP="332F9C4E" w14:paraId="49A3F2D8" w14:textId="77777777"/>
    <w:p w:rsidR="00F056C3" w:rsidP="53C7B475" w14:paraId="31A82994" w14:textId="77777777"/>
    <w:p w:rsidR="00F056C3" w:rsidP="00F82FA4" w14:paraId="1B4FD5D4" w14:textId="77777777">
      <w:pPr>
        <w:pStyle w:val="Heading2"/>
      </w:pPr>
      <w:bookmarkStart w:id="19" w:name="_Toc39588511"/>
      <w:r>
        <w:t>A.</w:t>
      </w:r>
      <w:r w:rsidRPr="00A41763" w:rsidR="00A41763">
        <w:t xml:space="preserve">13. </w:t>
      </w:r>
      <w:r w:rsidRPr="00F056C3">
        <w:t>Annual Cost to the Federal Government</w:t>
      </w:r>
      <w:bookmarkEnd w:id="19"/>
    </w:p>
    <w:p w:rsidR="004D2A09" w:rsidRPr="004D2A09" w:rsidP="004D2A09" w14:paraId="60CAEF4B" w14:textId="77777777">
      <w:pPr>
        <w:rPr>
          <w:rFonts w:cs="Arial"/>
          <w:szCs w:val="24"/>
        </w:rPr>
      </w:pPr>
      <w:r w:rsidRPr="004D2A09">
        <w:rPr>
          <w:rFonts w:cs="Arial"/>
        </w:rPr>
        <w:t>The ongoing annual costs of the UDP data collection to the federal government, including survey frame maintenance, data collection, data processing, report publication and sy</w:t>
      </w:r>
      <w:r w:rsidR="000835F6">
        <w:rPr>
          <w:rFonts w:cs="Arial"/>
        </w:rPr>
        <w:t>stems maintenance totals $</w:t>
      </w:r>
      <w:r w:rsidR="0056462C">
        <w:rPr>
          <w:rFonts w:cs="Arial"/>
        </w:rPr>
        <w:t>113,028</w:t>
      </w:r>
      <w:r w:rsidRPr="004D4796" w:rsidR="004D4796">
        <w:rPr>
          <w:rFonts w:cs="Arial"/>
        </w:rPr>
        <w:t xml:space="preserve">.40 </w:t>
      </w:r>
      <w:r w:rsidRPr="004D2A09">
        <w:rPr>
          <w:rFonts w:cs="Arial"/>
        </w:rPr>
        <w:t>.</w:t>
      </w:r>
    </w:p>
    <w:p w:rsidR="002E4271" w:rsidP="00A41763" w14:paraId="644B02CF" w14:textId="77777777"/>
    <w:p w:rsidR="00391137" w:rsidP="00A41763" w14:paraId="2CB7B4FD" w14:textId="77777777"/>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1260"/>
        <w:gridCol w:w="900"/>
        <w:gridCol w:w="1525"/>
      </w:tblGrid>
      <w:tr w14:paraId="0B0660F2" w14:textId="77777777" w:rsidTr="00B808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4"/>
          </w:tcPr>
          <w:p w:rsidR="00CA764E" w:rsidP="00535F08" w14:paraId="1EA71612" w14:textId="77777777">
            <w:pPr>
              <w:jc w:val="center"/>
            </w:pPr>
            <w:r w:rsidRPr="004D48B5">
              <w:rPr>
                <w:szCs w:val="28"/>
              </w:rPr>
              <w:t>Table A2. Annual Cost to the Federal Government</w:t>
            </w:r>
          </w:p>
        </w:tc>
      </w:tr>
      <w:tr w14:paraId="2A10C58C" w14:textId="77777777" w:rsidTr="00B808B0">
        <w:tblPrEx>
          <w:tblW w:w="0" w:type="auto"/>
          <w:tblLook w:val="04A0"/>
        </w:tblPrEx>
        <w:tc>
          <w:tcPr>
            <w:tcW w:w="5665" w:type="dxa"/>
            <w:tcBorders>
              <w:top w:val="single" w:sz="4" w:space="0" w:color="auto"/>
              <w:left w:val="single" w:sz="4" w:space="0" w:color="auto"/>
              <w:bottom w:val="single" w:sz="4" w:space="0" w:color="auto"/>
              <w:right w:val="single" w:sz="4" w:space="0" w:color="auto"/>
            </w:tcBorders>
          </w:tcPr>
          <w:p w:rsidR="00A86297" w:rsidRPr="00535F08" w:rsidP="003A281B" w14:paraId="0EC1E46E" w14:textId="77777777">
            <w:pPr>
              <w:rPr>
                <w:b/>
                <w:bCs/>
              </w:rPr>
            </w:pPr>
            <w:r w:rsidRPr="00535F08">
              <w:rPr>
                <w:b/>
                <w:bCs/>
              </w:rPr>
              <w:t>Activity</w:t>
            </w:r>
          </w:p>
        </w:tc>
        <w:tc>
          <w:tcPr>
            <w:tcW w:w="1260" w:type="dxa"/>
            <w:tcBorders>
              <w:top w:val="single" w:sz="4" w:space="0" w:color="auto"/>
              <w:left w:val="single" w:sz="4" w:space="0" w:color="auto"/>
              <w:bottom w:val="single" w:sz="4" w:space="0" w:color="auto"/>
              <w:right w:val="single" w:sz="4" w:space="0" w:color="auto"/>
            </w:tcBorders>
          </w:tcPr>
          <w:p w:rsidR="00A86297" w:rsidRPr="00535F08" w:rsidP="00535F08" w14:paraId="3F65127F" w14:textId="77777777">
            <w:pPr>
              <w:jc w:val="left"/>
              <w:rPr>
                <w:b/>
                <w:bCs/>
              </w:rPr>
            </w:pPr>
            <w:r w:rsidRPr="00535F08">
              <w:rPr>
                <w:b/>
                <w:bCs/>
              </w:rPr>
              <w:t>Labor Hours</w:t>
            </w:r>
          </w:p>
        </w:tc>
        <w:tc>
          <w:tcPr>
            <w:tcW w:w="900" w:type="dxa"/>
            <w:tcBorders>
              <w:top w:val="single" w:sz="4" w:space="0" w:color="auto"/>
              <w:left w:val="single" w:sz="4" w:space="0" w:color="auto"/>
              <w:bottom w:val="single" w:sz="4" w:space="0" w:color="auto"/>
              <w:right w:val="single" w:sz="4" w:space="0" w:color="auto"/>
            </w:tcBorders>
          </w:tcPr>
          <w:p w:rsidR="00A86297" w:rsidRPr="00535F08" w:rsidP="00535F08" w14:paraId="2383775E" w14:textId="77777777">
            <w:pPr>
              <w:jc w:val="left"/>
              <w:rPr>
                <w:b/>
                <w:bCs/>
              </w:rPr>
            </w:pPr>
            <w:r w:rsidRPr="00535F08">
              <w:rPr>
                <w:b/>
                <w:bCs/>
              </w:rPr>
              <w:t>x Rate</w:t>
            </w:r>
          </w:p>
        </w:tc>
        <w:tc>
          <w:tcPr>
            <w:tcW w:w="1525" w:type="dxa"/>
            <w:tcBorders>
              <w:top w:val="single" w:sz="4" w:space="0" w:color="auto"/>
              <w:left w:val="single" w:sz="4" w:space="0" w:color="auto"/>
              <w:bottom w:val="single" w:sz="4" w:space="0" w:color="auto"/>
              <w:right w:val="single" w:sz="4" w:space="0" w:color="auto"/>
            </w:tcBorders>
          </w:tcPr>
          <w:p w:rsidR="00A86297" w:rsidRPr="00535F08" w:rsidP="00535F08" w14:paraId="058713D7" w14:textId="77777777">
            <w:pPr>
              <w:jc w:val="left"/>
              <w:rPr>
                <w:b/>
                <w:bCs/>
              </w:rPr>
            </w:pPr>
            <w:r w:rsidRPr="00535F08">
              <w:rPr>
                <w:b/>
                <w:bCs/>
              </w:rPr>
              <w:t>= Cost</w:t>
            </w:r>
          </w:p>
        </w:tc>
      </w:tr>
      <w:tr w14:paraId="6A58DB39" w14:textId="77777777" w:rsidTr="00B808B0">
        <w:tblPrEx>
          <w:tblW w:w="0" w:type="auto"/>
          <w:tblLook w:val="04A0"/>
        </w:tblPrEx>
        <w:tc>
          <w:tcPr>
            <w:tcW w:w="5665" w:type="dxa"/>
            <w:tcBorders>
              <w:top w:val="single" w:sz="4" w:space="0" w:color="auto"/>
              <w:left w:val="single" w:sz="4" w:space="0" w:color="auto"/>
              <w:bottom w:val="dotDash" w:sz="4" w:space="0" w:color="auto"/>
              <w:right w:val="single" w:sz="4" w:space="0" w:color="auto"/>
            </w:tcBorders>
          </w:tcPr>
          <w:p w:rsidR="00A86297" w:rsidP="00A41763" w14:paraId="6077464D" w14:textId="77777777">
            <w:r>
              <w:t xml:space="preserve">Survey frame and maintenance </w:t>
            </w:r>
          </w:p>
        </w:tc>
        <w:tc>
          <w:tcPr>
            <w:tcW w:w="1260" w:type="dxa"/>
            <w:tcBorders>
              <w:top w:val="single" w:sz="4" w:space="0" w:color="auto"/>
              <w:left w:val="single" w:sz="4" w:space="0" w:color="auto"/>
              <w:bottom w:val="dotDash" w:sz="4" w:space="0" w:color="auto"/>
              <w:right w:val="single" w:sz="4" w:space="0" w:color="auto"/>
            </w:tcBorders>
          </w:tcPr>
          <w:p w:rsidR="00A86297" w:rsidP="00535F08" w14:paraId="5AD0EBE3" w14:textId="77777777">
            <w:pPr>
              <w:jc w:val="center"/>
            </w:pPr>
            <w:r>
              <w:t>160</w:t>
            </w:r>
          </w:p>
        </w:tc>
        <w:tc>
          <w:tcPr>
            <w:tcW w:w="900" w:type="dxa"/>
            <w:tcBorders>
              <w:top w:val="single" w:sz="4" w:space="0" w:color="auto"/>
              <w:left w:val="single" w:sz="4" w:space="0" w:color="auto"/>
              <w:bottom w:val="dotDash" w:sz="4" w:space="0" w:color="auto"/>
              <w:right w:val="single" w:sz="4" w:space="0" w:color="auto"/>
            </w:tcBorders>
          </w:tcPr>
          <w:p w:rsidR="00A86297" w:rsidP="00535F08" w14:paraId="1BF63D3B" w14:textId="77777777">
            <w:pPr>
              <w:jc w:val="center"/>
            </w:pPr>
            <w:r>
              <w:t>$</w:t>
            </w:r>
            <w:r w:rsidR="00391137">
              <w:t>91.16</w:t>
            </w:r>
          </w:p>
        </w:tc>
        <w:tc>
          <w:tcPr>
            <w:tcW w:w="1525" w:type="dxa"/>
            <w:tcBorders>
              <w:top w:val="single" w:sz="4" w:space="0" w:color="auto"/>
              <w:left w:val="single" w:sz="4" w:space="0" w:color="auto"/>
              <w:bottom w:val="dotDash" w:sz="4" w:space="0" w:color="auto"/>
              <w:right w:val="single" w:sz="4" w:space="0" w:color="auto"/>
            </w:tcBorders>
          </w:tcPr>
          <w:p w:rsidR="00A86297" w:rsidRPr="004D4796" w:rsidP="00535F08" w14:paraId="5097CB23" w14:textId="77777777">
            <w:pPr>
              <w:spacing w:line="240" w:lineRule="auto"/>
              <w:jc w:val="center"/>
            </w:pPr>
            <w:r w:rsidRPr="00535F08">
              <w:t>$</w:t>
            </w:r>
            <w:r w:rsidR="00391137">
              <w:t>14,585.60</w:t>
            </w:r>
          </w:p>
        </w:tc>
      </w:tr>
      <w:tr w14:paraId="588B6DA9" w14:textId="77777777" w:rsidTr="00B808B0">
        <w:tblPrEx>
          <w:tblW w:w="0" w:type="auto"/>
          <w:tblLook w:val="04A0"/>
        </w:tblPrEx>
        <w:tc>
          <w:tcPr>
            <w:tcW w:w="5665" w:type="dxa"/>
            <w:tcBorders>
              <w:top w:val="dotDash" w:sz="4" w:space="0" w:color="auto"/>
              <w:left w:val="dotDash" w:sz="4" w:space="0" w:color="auto"/>
              <w:bottom w:val="dotDash" w:sz="4" w:space="0" w:color="auto"/>
              <w:right w:val="dotDash" w:sz="4" w:space="0" w:color="auto"/>
            </w:tcBorders>
          </w:tcPr>
          <w:p w:rsidR="00A86297" w:rsidP="00A41763" w14:paraId="6DDF0DEB" w14:textId="77777777">
            <w:r>
              <w:t>Data collection and processing</w:t>
            </w:r>
          </w:p>
        </w:tc>
        <w:tc>
          <w:tcPr>
            <w:tcW w:w="1260" w:type="dxa"/>
            <w:tcBorders>
              <w:top w:val="dotDash" w:sz="4" w:space="0" w:color="auto"/>
              <w:left w:val="dotDash" w:sz="4" w:space="0" w:color="auto"/>
              <w:bottom w:val="dotDash" w:sz="4" w:space="0" w:color="auto"/>
              <w:right w:val="dotDash" w:sz="4" w:space="0" w:color="auto"/>
            </w:tcBorders>
          </w:tcPr>
          <w:p w:rsidR="00A86297" w:rsidP="00535F08" w14:paraId="2125E603" w14:textId="77777777">
            <w:pPr>
              <w:jc w:val="center"/>
            </w:pPr>
            <w:r>
              <w:t>800</w:t>
            </w:r>
          </w:p>
        </w:tc>
        <w:tc>
          <w:tcPr>
            <w:tcW w:w="900" w:type="dxa"/>
            <w:tcBorders>
              <w:top w:val="dotDash" w:sz="4" w:space="0" w:color="auto"/>
              <w:left w:val="dotDash" w:sz="4" w:space="0" w:color="auto"/>
              <w:bottom w:val="dotDash" w:sz="4" w:space="0" w:color="auto"/>
              <w:right w:val="dotDash" w:sz="4" w:space="0" w:color="auto"/>
            </w:tcBorders>
          </w:tcPr>
          <w:p w:rsidR="00A86297" w:rsidP="00535F08" w14:paraId="45F5BB75" w14:textId="77777777">
            <w:pPr>
              <w:jc w:val="center"/>
            </w:pPr>
            <w:r>
              <w:t>$</w:t>
            </w:r>
            <w:r w:rsidR="00391137">
              <w:t>91.16</w:t>
            </w:r>
          </w:p>
        </w:tc>
        <w:tc>
          <w:tcPr>
            <w:tcW w:w="1525" w:type="dxa"/>
            <w:tcBorders>
              <w:top w:val="dotDash" w:sz="4" w:space="0" w:color="auto"/>
              <w:left w:val="dotDash" w:sz="4" w:space="0" w:color="auto"/>
              <w:bottom w:val="dotDash" w:sz="4" w:space="0" w:color="auto"/>
              <w:right w:val="dotDash" w:sz="4" w:space="0" w:color="auto"/>
            </w:tcBorders>
          </w:tcPr>
          <w:p w:rsidR="00A86297" w:rsidRPr="004D4796" w:rsidP="00535F08" w14:paraId="7F256472" w14:textId="77777777">
            <w:pPr>
              <w:spacing w:line="240" w:lineRule="auto"/>
              <w:jc w:val="center"/>
            </w:pPr>
            <w:r w:rsidRPr="00535F08">
              <w:t>$</w:t>
            </w:r>
            <w:r w:rsidR="00391137">
              <w:t>72,928.00</w:t>
            </w:r>
            <w:r w:rsidRPr="00535F08">
              <w:t xml:space="preserve"> </w:t>
            </w:r>
          </w:p>
        </w:tc>
      </w:tr>
      <w:tr w14:paraId="6B969877" w14:textId="77777777" w:rsidTr="00B808B0">
        <w:tblPrEx>
          <w:tblW w:w="0" w:type="auto"/>
          <w:tblLook w:val="04A0"/>
        </w:tblPrEx>
        <w:tc>
          <w:tcPr>
            <w:tcW w:w="5665" w:type="dxa"/>
            <w:tcBorders>
              <w:top w:val="dotDash" w:sz="4" w:space="0" w:color="auto"/>
              <w:left w:val="dotDash" w:sz="4" w:space="0" w:color="auto"/>
              <w:bottom w:val="dotDash" w:sz="4" w:space="0" w:color="auto"/>
              <w:right w:val="dotDash" w:sz="4" w:space="0" w:color="auto"/>
            </w:tcBorders>
          </w:tcPr>
          <w:p w:rsidR="00A86297" w:rsidP="00A41763" w14:paraId="77FADD29" w14:textId="77777777">
            <w:r>
              <w:t>Data Dissemination</w:t>
            </w:r>
          </w:p>
        </w:tc>
        <w:tc>
          <w:tcPr>
            <w:tcW w:w="1260" w:type="dxa"/>
            <w:tcBorders>
              <w:top w:val="dotDash" w:sz="4" w:space="0" w:color="auto"/>
              <w:left w:val="dotDash" w:sz="4" w:space="0" w:color="auto"/>
              <w:bottom w:val="dotDash" w:sz="4" w:space="0" w:color="auto"/>
              <w:right w:val="dotDash" w:sz="4" w:space="0" w:color="auto"/>
            </w:tcBorders>
          </w:tcPr>
          <w:p w:rsidR="00A86297" w:rsidP="00535F08" w14:paraId="6E0355E4" w14:textId="77777777">
            <w:pPr>
              <w:jc w:val="center"/>
            </w:pPr>
            <w:r>
              <w:t>240</w:t>
            </w:r>
          </w:p>
        </w:tc>
        <w:tc>
          <w:tcPr>
            <w:tcW w:w="900" w:type="dxa"/>
            <w:tcBorders>
              <w:top w:val="dotDash" w:sz="4" w:space="0" w:color="auto"/>
              <w:left w:val="dotDash" w:sz="4" w:space="0" w:color="auto"/>
              <w:bottom w:val="dotDash" w:sz="4" w:space="0" w:color="auto"/>
              <w:right w:val="dotDash" w:sz="4" w:space="0" w:color="auto"/>
            </w:tcBorders>
          </w:tcPr>
          <w:p w:rsidR="00A86297" w:rsidP="00535F08" w14:paraId="11031088" w14:textId="77777777">
            <w:pPr>
              <w:jc w:val="center"/>
            </w:pPr>
            <w:r>
              <w:t>$</w:t>
            </w:r>
            <w:r w:rsidR="00391137">
              <w:t>91.16</w:t>
            </w:r>
          </w:p>
        </w:tc>
        <w:tc>
          <w:tcPr>
            <w:tcW w:w="1525" w:type="dxa"/>
            <w:tcBorders>
              <w:top w:val="dotDash" w:sz="4" w:space="0" w:color="auto"/>
              <w:left w:val="dotDash" w:sz="4" w:space="0" w:color="auto"/>
              <w:bottom w:val="dotDash" w:sz="4" w:space="0" w:color="auto"/>
              <w:right w:val="dotDash" w:sz="4" w:space="0" w:color="auto"/>
            </w:tcBorders>
          </w:tcPr>
          <w:p w:rsidR="00A86297" w:rsidRPr="004D4796" w:rsidP="00535F08" w14:paraId="3D9DD8E5" w14:textId="77777777">
            <w:pPr>
              <w:spacing w:line="240" w:lineRule="auto"/>
              <w:jc w:val="center"/>
            </w:pPr>
            <w:r w:rsidRPr="00535F08">
              <w:t>$</w:t>
            </w:r>
            <w:r w:rsidR="00391137">
              <w:t>21,878.40</w:t>
            </w:r>
          </w:p>
        </w:tc>
      </w:tr>
      <w:tr w14:paraId="11F439CF" w14:textId="77777777" w:rsidTr="00B808B0">
        <w:tblPrEx>
          <w:tblW w:w="0" w:type="auto"/>
          <w:tblLook w:val="04A0"/>
        </w:tblPrEx>
        <w:tc>
          <w:tcPr>
            <w:tcW w:w="5665" w:type="dxa"/>
            <w:tcBorders>
              <w:top w:val="dotDash" w:sz="4" w:space="0" w:color="auto"/>
              <w:left w:val="dotDash" w:sz="4" w:space="0" w:color="auto"/>
              <w:bottom w:val="double" w:sz="4" w:space="0" w:color="auto"/>
              <w:right w:val="dotDash" w:sz="4" w:space="0" w:color="auto"/>
            </w:tcBorders>
          </w:tcPr>
          <w:p w:rsidR="00A86297" w:rsidP="00A41763" w14:paraId="0B63EDD1" w14:textId="77777777">
            <w:r>
              <w:t>Data systems main</w:t>
            </w:r>
            <w:r w:rsidR="04F53EF3">
              <w:t>tenance and enhancements</w:t>
            </w:r>
          </w:p>
        </w:tc>
        <w:tc>
          <w:tcPr>
            <w:tcW w:w="1260" w:type="dxa"/>
            <w:tcBorders>
              <w:top w:val="dotDash" w:sz="4" w:space="0" w:color="auto"/>
              <w:left w:val="dotDash" w:sz="4" w:space="0" w:color="auto"/>
              <w:bottom w:val="double" w:sz="4" w:space="0" w:color="auto"/>
              <w:right w:val="dotDash" w:sz="4" w:space="0" w:color="auto"/>
            </w:tcBorders>
          </w:tcPr>
          <w:p w:rsidR="00A86297" w:rsidP="00535F08" w14:paraId="13A723A6" w14:textId="77777777">
            <w:pPr>
              <w:jc w:val="center"/>
            </w:pPr>
            <w:r>
              <w:t>40</w:t>
            </w:r>
          </w:p>
        </w:tc>
        <w:tc>
          <w:tcPr>
            <w:tcW w:w="900" w:type="dxa"/>
            <w:tcBorders>
              <w:top w:val="dotDash" w:sz="4" w:space="0" w:color="auto"/>
              <w:left w:val="dotDash" w:sz="4" w:space="0" w:color="auto"/>
              <w:bottom w:val="double" w:sz="4" w:space="0" w:color="auto"/>
              <w:right w:val="dotDash" w:sz="4" w:space="0" w:color="auto"/>
            </w:tcBorders>
          </w:tcPr>
          <w:p w:rsidR="00A86297" w:rsidP="00535F08" w14:paraId="0E0F5E0A" w14:textId="77777777">
            <w:pPr>
              <w:jc w:val="center"/>
            </w:pPr>
            <w:r>
              <w:t>$</w:t>
            </w:r>
            <w:r w:rsidR="00391137">
              <w:t>91.16</w:t>
            </w:r>
          </w:p>
        </w:tc>
        <w:tc>
          <w:tcPr>
            <w:tcW w:w="1525" w:type="dxa"/>
            <w:tcBorders>
              <w:top w:val="dotDash" w:sz="4" w:space="0" w:color="auto"/>
              <w:left w:val="dotDash" w:sz="4" w:space="0" w:color="auto"/>
              <w:bottom w:val="double" w:sz="4" w:space="0" w:color="auto"/>
              <w:right w:val="dotDash" w:sz="4" w:space="0" w:color="auto"/>
            </w:tcBorders>
          </w:tcPr>
          <w:p w:rsidR="00A86297" w:rsidRPr="004D4796" w:rsidP="00535F08" w14:paraId="7E976B16" w14:textId="77777777">
            <w:pPr>
              <w:spacing w:line="240" w:lineRule="auto"/>
              <w:jc w:val="center"/>
            </w:pPr>
            <w:r w:rsidRPr="00535F08">
              <w:t>$</w:t>
            </w:r>
            <w:r w:rsidR="00391137">
              <w:t>3,636,40</w:t>
            </w:r>
            <w:r w:rsidRPr="00535F08">
              <w:t xml:space="preserve"> </w:t>
            </w:r>
          </w:p>
        </w:tc>
      </w:tr>
      <w:tr w14:paraId="0D434FCB" w14:textId="77777777" w:rsidTr="00B808B0">
        <w:tblPrEx>
          <w:tblW w:w="0" w:type="auto"/>
          <w:tblLook w:val="04A0"/>
        </w:tblPrEx>
        <w:tc>
          <w:tcPr>
            <w:tcW w:w="5665" w:type="dxa"/>
            <w:tcBorders>
              <w:top w:val="double" w:sz="4" w:space="0" w:color="auto"/>
            </w:tcBorders>
          </w:tcPr>
          <w:p w:rsidR="00A86297" w:rsidRPr="00535F08" w:rsidP="00A41763" w14:paraId="615A75C4" w14:textId="77777777">
            <w:pPr>
              <w:rPr>
                <w:b/>
                <w:bCs/>
              </w:rPr>
            </w:pPr>
            <w:r>
              <w:rPr>
                <w:b/>
                <w:bCs/>
              </w:rPr>
              <w:t>Total An</w:t>
            </w:r>
            <w:r w:rsidR="006749F4">
              <w:rPr>
                <w:b/>
                <w:bCs/>
              </w:rPr>
              <w:t>nual Cost</w:t>
            </w:r>
          </w:p>
        </w:tc>
        <w:tc>
          <w:tcPr>
            <w:tcW w:w="1260" w:type="dxa"/>
            <w:tcBorders>
              <w:top w:val="double" w:sz="4" w:space="0" w:color="auto"/>
            </w:tcBorders>
          </w:tcPr>
          <w:p w:rsidR="00A86297" w:rsidP="00535F08" w14:paraId="6664C98D" w14:textId="77777777">
            <w:pPr>
              <w:jc w:val="center"/>
            </w:pPr>
            <w:r>
              <w:t>-</w:t>
            </w:r>
          </w:p>
        </w:tc>
        <w:tc>
          <w:tcPr>
            <w:tcW w:w="900" w:type="dxa"/>
            <w:tcBorders>
              <w:top w:val="double" w:sz="4" w:space="0" w:color="auto"/>
            </w:tcBorders>
          </w:tcPr>
          <w:p w:rsidR="00A86297" w:rsidP="00535F08" w14:paraId="43950EE6" w14:textId="77777777">
            <w:pPr>
              <w:jc w:val="center"/>
            </w:pPr>
            <w:r>
              <w:t>-</w:t>
            </w:r>
          </w:p>
        </w:tc>
        <w:tc>
          <w:tcPr>
            <w:tcW w:w="1525" w:type="dxa"/>
            <w:tcBorders>
              <w:top w:val="double" w:sz="4" w:space="0" w:color="auto"/>
            </w:tcBorders>
          </w:tcPr>
          <w:p w:rsidR="00A86297" w:rsidRPr="004D4796" w:rsidP="00391137" w14:paraId="48695DE1" w14:textId="77777777">
            <w:pPr>
              <w:spacing w:line="240" w:lineRule="auto"/>
              <w:jc w:val="center"/>
            </w:pPr>
            <w:r>
              <w:t>$113,028.40</w:t>
            </w:r>
          </w:p>
        </w:tc>
      </w:tr>
    </w:tbl>
    <w:p w:rsidR="002E4271" w:rsidRPr="00A41763" w:rsidP="00A41763" w14:paraId="6A58C40F" w14:textId="77777777"/>
    <w:p w:rsidR="0091409C" w:rsidP="00F82FA4" w14:paraId="6A665ED2" w14:textId="77777777">
      <w:pPr>
        <w:pStyle w:val="Heading2"/>
        <w:sectPr w:rsidSect="008F4CBD">
          <w:headerReference w:type="even" r:id="rId17"/>
          <w:headerReference w:type="default" r:id="rId18"/>
          <w:footerReference w:type="even" r:id="rId19"/>
          <w:headerReference w:type="first" r:id="rId20"/>
          <w:footerReference w:type="first" r:id="rId21"/>
          <w:pgSz w:w="12240" w:h="15840"/>
          <w:pgMar w:top="1440" w:right="1440" w:bottom="1440" w:left="1440" w:header="720" w:footer="720" w:gutter="0"/>
          <w:pgNumType w:start="1"/>
          <w:cols w:space="720"/>
          <w:docGrid w:linePitch="360"/>
        </w:sectPr>
      </w:pPr>
      <w:bookmarkStart w:id="20" w:name="_Toc39588422"/>
      <w:bookmarkStart w:id="21" w:name="_Toc39588512"/>
      <w:bookmarkStart w:id="22" w:name="_MON_1595325334"/>
      <w:bookmarkEnd w:id="20"/>
      <w:bookmarkEnd w:id="21"/>
      <w:bookmarkEnd w:id="22"/>
    </w:p>
    <w:p w:rsidR="00F056C3" w:rsidP="00F82FA4" w14:paraId="7450834A" w14:textId="77777777">
      <w:pPr>
        <w:pStyle w:val="Heading2"/>
      </w:pPr>
      <w:bookmarkStart w:id="23" w:name="_Toc39588513"/>
      <w:r>
        <w:t>A.</w:t>
      </w:r>
      <w:r w:rsidR="3A23A806">
        <w:t xml:space="preserve">14. </w:t>
      </w:r>
      <w:r>
        <w:t xml:space="preserve">Changes in Burden </w:t>
      </w:r>
      <w:bookmarkEnd w:id="23"/>
    </w:p>
    <w:p w:rsidR="0091409C" w:rsidRPr="00BA3D84" w:rsidP="332F9C4E" w14:paraId="4FC9A864" w14:textId="77777777">
      <w:pPr>
        <w:rPr>
          <w:i/>
          <w:iCs/>
        </w:rPr>
      </w:pPr>
      <w:r>
        <w:t xml:space="preserve">There is </w:t>
      </w:r>
      <w:r w:rsidR="0BE6F6ED">
        <w:t xml:space="preserve">a </w:t>
      </w:r>
      <w:r w:rsidR="00B40A4C">
        <w:t xml:space="preserve">6 hour </w:t>
      </w:r>
      <w:r w:rsidR="03D370A6">
        <w:t>increase</w:t>
      </w:r>
      <w:r w:rsidR="0BE6F6ED">
        <w:t xml:space="preserve"> in </w:t>
      </w:r>
      <w:r w:rsidR="15FFA71F">
        <w:t xml:space="preserve">the total </w:t>
      </w:r>
      <w:r w:rsidR="0BE6F6ED">
        <w:t>estimated burden a</w:t>
      </w:r>
      <w:r w:rsidR="2C176591">
        <w:t>cross all three surveys</w:t>
      </w:r>
      <w:r w:rsidR="004316B7">
        <w:t xml:space="preserve">. Due to the </w:t>
      </w:r>
      <w:r w:rsidR="2C176591">
        <w:t>continued downturn in the</w:t>
      </w:r>
      <w:r w:rsidR="50F6FFF8">
        <w:t xml:space="preserve"> uranium</w:t>
      </w:r>
      <w:r w:rsidR="2C176591">
        <w:t xml:space="preserve"> landholding/exploration/production </w:t>
      </w:r>
      <w:r w:rsidR="308D7340">
        <w:t>sector</w:t>
      </w:r>
      <w:r w:rsidR="007A116B">
        <w:t xml:space="preserve">s, EIA-851A had </w:t>
      </w:r>
      <w:r w:rsidR="0CECB849">
        <w:t xml:space="preserve">four fewer respondents </w:t>
      </w:r>
      <w:r w:rsidR="2C176591">
        <w:t>w</w:t>
      </w:r>
      <w:r w:rsidR="007A116B">
        <w:t xml:space="preserve">hich </w:t>
      </w:r>
      <w:r w:rsidR="006E0A31">
        <w:t xml:space="preserve">reduced the burden hours to </w:t>
      </w:r>
      <w:r w:rsidRPr="006E0A31" w:rsidR="006E0A31">
        <w:t>20</w:t>
      </w:r>
      <w:r w:rsidR="006E0A31">
        <w:t>. The addition</w:t>
      </w:r>
      <w:r w:rsidR="2C176591">
        <w:t xml:space="preserve"> of one trader/broker on the EIA-858 survey</w:t>
      </w:r>
      <w:r w:rsidR="002605EA">
        <w:t xml:space="preserve"> will result in </w:t>
      </w:r>
      <w:r w:rsidR="005D2150">
        <w:t>26 additional burden hour</w:t>
      </w:r>
      <w:r w:rsidR="00F63379">
        <w:t>s</w:t>
      </w:r>
      <w:r w:rsidR="2C176591">
        <w:t>.</w:t>
      </w:r>
      <w:r w:rsidR="0F2A3DD8">
        <w:t xml:space="preserve"> The larger burden </w:t>
      </w:r>
      <w:r w:rsidR="0F2A3DD8">
        <w:t>estimate</w:t>
      </w:r>
      <w:r w:rsidR="0F2A3DD8">
        <w:t xml:space="preserve"> of the EIA-858 survey (26 hours) compared to the EIA-851A survey (5 hours) results in 26 additional EIA-858 </w:t>
      </w:r>
      <w:r w:rsidR="5E3679C8">
        <w:t>hours against a reduction of 20 hours on the EIA-851A survey (4 fewer respondents X 5 hours per response) for a total net b</w:t>
      </w:r>
      <w:r w:rsidR="7AD5D713">
        <w:t>urden gain of six hours</w:t>
      </w:r>
      <w:r w:rsidR="7AAB8C23">
        <w:t xml:space="preserve"> across all three surveys</w:t>
      </w:r>
      <w:r w:rsidR="7AD5D713">
        <w:t xml:space="preserve">. </w:t>
      </w:r>
    </w:p>
    <w:p w:rsidR="0091409C" w:rsidP="332F9C4E" w14:paraId="064DDD92" w14:textId="77777777">
      <w:pPr>
        <w:rPr>
          <w:rFonts w:cs="Arial"/>
        </w:rPr>
      </w:pPr>
      <w:r>
        <w:t>In summary, t</w:t>
      </w:r>
      <w:r w:rsidRPr="332F9C4E" w:rsidR="5AF2E1C1">
        <w:rPr>
          <w:rFonts w:cs="Arial"/>
        </w:rPr>
        <w:t xml:space="preserve">he number of respondents for </w:t>
      </w:r>
      <w:r w:rsidRPr="332F9C4E" w:rsidR="7EEB378D">
        <w:rPr>
          <w:rFonts w:cs="Arial"/>
        </w:rPr>
        <w:t xml:space="preserve">the </w:t>
      </w:r>
      <w:r w:rsidRPr="332F9C4E" w:rsidR="5AF2E1C1">
        <w:rPr>
          <w:rFonts w:cs="Arial"/>
        </w:rPr>
        <w:t>Form EIA-</w:t>
      </w:r>
      <w:r w:rsidRPr="332F9C4E" w:rsidR="0D9C27F2">
        <w:rPr>
          <w:rFonts w:cs="Arial"/>
        </w:rPr>
        <w:t>851A</w:t>
      </w:r>
      <w:r w:rsidRPr="332F9C4E" w:rsidR="5AF2E1C1">
        <w:rPr>
          <w:rFonts w:cs="Arial"/>
        </w:rPr>
        <w:t xml:space="preserve"> has decreased</w:t>
      </w:r>
      <w:r w:rsidRPr="332F9C4E" w:rsidR="56763F9A">
        <w:rPr>
          <w:rFonts w:cs="Arial"/>
        </w:rPr>
        <w:t xml:space="preserve"> from 30</w:t>
      </w:r>
      <w:r w:rsidRPr="332F9C4E" w:rsidR="5B74FB97">
        <w:rPr>
          <w:rFonts w:cs="Arial"/>
        </w:rPr>
        <w:t xml:space="preserve"> to 26</w:t>
      </w:r>
      <w:r w:rsidRPr="332F9C4E" w:rsidR="5AF2E1C1">
        <w:rPr>
          <w:rFonts w:cs="Arial"/>
        </w:rPr>
        <w:t xml:space="preserve">. The number of respondents for </w:t>
      </w:r>
      <w:r w:rsidRPr="332F9C4E" w:rsidR="2A78D11D">
        <w:rPr>
          <w:rFonts w:cs="Arial"/>
        </w:rPr>
        <w:t xml:space="preserve">the </w:t>
      </w:r>
      <w:r w:rsidRPr="332F9C4E" w:rsidR="5AF2E1C1">
        <w:rPr>
          <w:rFonts w:cs="Arial"/>
        </w:rPr>
        <w:t>Form EIA-</w:t>
      </w:r>
      <w:r w:rsidRPr="332F9C4E" w:rsidR="4C2D1C09">
        <w:rPr>
          <w:rFonts w:cs="Arial"/>
        </w:rPr>
        <w:t xml:space="preserve">851Q has </w:t>
      </w:r>
      <w:r w:rsidRPr="332F9C4E" w:rsidR="4B880A2D">
        <w:rPr>
          <w:rFonts w:cs="Arial"/>
        </w:rPr>
        <w:t>remained at 11</w:t>
      </w:r>
      <w:r w:rsidRPr="332F9C4E" w:rsidR="4C2D1C09">
        <w:rPr>
          <w:rFonts w:cs="Arial"/>
        </w:rPr>
        <w:t>.</w:t>
      </w:r>
      <w:r w:rsidRPr="332F9C4E" w:rsidR="5AF2E1C1">
        <w:rPr>
          <w:rFonts w:cs="Arial"/>
        </w:rPr>
        <w:t xml:space="preserve"> </w:t>
      </w:r>
      <w:r w:rsidRPr="332F9C4E" w:rsidR="5A67FE4C">
        <w:rPr>
          <w:rFonts w:cs="Arial"/>
        </w:rPr>
        <w:t xml:space="preserve">The number of respondents for the Form EIA-858 has increased from 61 to 62. </w:t>
      </w:r>
      <w:r w:rsidRPr="332F9C4E" w:rsidR="08EEFED8">
        <w:rPr>
          <w:rFonts w:cs="Arial"/>
        </w:rPr>
        <w:t xml:space="preserve">Total annual burden hours across all uranium surveys will increase slightly from 1,769 hours to 1,775 hours. </w:t>
      </w:r>
    </w:p>
    <w:tbl>
      <w:tblPr>
        <w:tblpPr w:leftFromText="180" w:rightFromText="180" w:vertAnchor="text" w:horzAnchor="margin" w:tblpX="-1180" w:tblpY="-40"/>
        <w:tblW w:w="15115" w:type="dxa"/>
        <w:tblLayout w:type="fixed"/>
        <w:tblLook w:val="04A0"/>
      </w:tblPr>
      <w:tblGrid>
        <w:gridCol w:w="1165"/>
        <w:gridCol w:w="900"/>
        <w:gridCol w:w="990"/>
        <w:gridCol w:w="990"/>
        <w:gridCol w:w="900"/>
        <w:gridCol w:w="990"/>
        <w:gridCol w:w="990"/>
        <w:gridCol w:w="990"/>
        <w:gridCol w:w="900"/>
        <w:gridCol w:w="1080"/>
        <w:gridCol w:w="810"/>
        <w:gridCol w:w="900"/>
        <w:gridCol w:w="900"/>
        <w:gridCol w:w="810"/>
        <w:gridCol w:w="900"/>
        <w:gridCol w:w="900"/>
      </w:tblGrid>
      <w:tr w14:paraId="1A050A8B" w14:textId="77777777" w:rsidTr="00443F2A">
        <w:tblPrEx>
          <w:tblW w:w="15115" w:type="dxa"/>
          <w:tblLayout w:type="fixed"/>
          <w:tblLook w:val="04A0"/>
        </w:tblPrEx>
        <w:trPr>
          <w:trHeight w:val="290"/>
        </w:trPr>
        <w:tc>
          <w:tcPr>
            <w:tcW w:w="1165"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7439EA53"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EIA Form Number/Title</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6CDF6C82"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Reporting Frequency</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5252A8E4"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Number of Respondents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482621CC"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Number of Respondents (Requested)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79EB6952"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Number of Responses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5734634D"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Number of Responses (Requested)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0FD26C33"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Burden Hours Per Response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168D913C"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Burden Hours Per Response (Requested)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500960D2"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Burden Hours (Previously Approved)</w:t>
            </w:r>
          </w:p>
        </w:tc>
        <w:tc>
          <w:tcPr>
            <w:tcW w:w="108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6D209A" w:rsidRPr="00E34212" w:rsidP="00443F2A" w14:paraId="12D430B5"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Burden Hours (Requested)</w:t>
            </w:r>
          </w:p>
        </w:tc>
        <w:tc>
          <w:tcPr>
            <w:tcW w:w="2610" w:type="dxa"/>
            <w:gridSpan w:val="3"/>
            <w:tcBorders>
              <w:top w:val="single" w:sz="4" w:space="0" w:color="auto"/>
              <w:left w:val="nil"/>
              <w:bottom w:val="single" w:sz="4" w:space="0" w:color="auto"/>
              <w:right w:val="single" w:sz="4" w:space="0" w:color="000000"/>
            </w:tcBorders>
            <w:shd w:val="clear" w:color="000000" w:fill="5B9BD5"/>
            <w:noWrap/>
            <w:vAlign w:val="center"/>
            <w:hideMark/>
          </w:tcPr>
          <w:p w:rsidR="006D209A" w:rsidRPr="00E34212" w:rsidP="00443F2A" w14:paraId="715D501D"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Annual Number of Responses</w:t>
            </w:r>
          </w:p>
        </w:tc>
        <w:tc>
          <w:tcPr>
            <w:tcW w:w="2610" w:type="dxa"/>
            <w:gridSpan w:val="3"/>
            <w:tcBorders>
              <w:top w:val="single" w:sz="4" w:space="0" w:color="auto"/>
              <w:left w:val="nil"/>
              <w:bottom w:val="single" w:sz="4" w:space="0" w:color="auto"/>
              <w:right w:val="single" w:sz="4" w:space="0" w:color="000000"/>
            </w:tcBorders>
            <w:shd w:val="clear" w:color="000000" w:fill="5B9BD5"/>
            <w:noWrap/>
            <w:vAlign w:val="center"/>
            <w:hideMark/>
          </w:tcPr>
          <w:p w:rsidR="006D209A" w:rsidRPr="00E34212" w:rsidP="00443F2A" w14:paraId="23D769DD"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Annual Burden Hours</w:t>
            </w:r>
          </w:p>
        </w:tc>
      </w:tr>
      <w:tr w14:paraId="086E50EE" w14:textId="77777777" w:rsidTr="00443F2A">
        <w:tblPrEx>
          <w:tblW w:w="15115" w:type="dxa"/>
          <w:tblLayout w:type="fixed"/>
          <w:tblLook w:val="04A0"/>
        </w:tblPrEx>
        <w:trPr>
          <w:trHeight w:val="1415"/>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4E72465E"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1102761E"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267A1AF1"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35685250"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7E2A9AD4"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4382BA11"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0928EC2E"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01F95790"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55A0E14A" w14:textId="77777777">
            <w:pPr>
              <w:spacing w:after="0" w:line="240" w:lineRule="auto"/>
              <w:jc w:val="center"/>
              <w:rPr>
                <w:rFonts w:eastAsia="Times New Roman" w:cstheme="minorHAnsi"/>
                <w:b/>
                <w:bCs/>
                <w:color w:val="000000"/>
                <w:sz w:val="14"/>
                <w:szCs w:val="14"/>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6D209A" w:rsidRPr="00E34212" w:rsidP="00E34212" w14:paraId="17EFB3A5" w14:textId="77777777">
            <w:pPr>
              <w:spacing w:after="0" w:line="240" w:lineRule="auto"/>
              <w:jc w:val="center"/>
              <w:rPr>
                <w:rFonts w:eastAsia="Times New Roman" w:cstheme="minorHAnsi"/>
                <w:b/>
                <w:bCs/>
                <w:color w:val="000000"/>
                <w:sz w:val="14"/>
                <w:szCs w:val="14"/>
              </w:rPr>
            </w:pPr>
          </w:p>
        </w:tc>
        <w:tc>
          <w:tcPr>
            <w:tcW w:w="810" w:type="dxa"/>
            <w:tcBorders>
              <w:top w:val="nil"/>
              <w:left w:val="nil"/>
              <w:bottom w:val="single" w:sz="4" w:space="0" w:color="auto"/>
              <w:right w:val="single" w:sz="4" w:space="0" w:color="auto"/>
            </w:tcBorders>
            <w:shd w:val="clear" w:color="000000" w:fill="5B9BD5"/>
            <w:vAlign w:val="center"/>
            <w:hideMark/>
          </w:tcPr>
          <w:p w:rsidR="006D209A" w:rsidRPr="00E34212" w:rsidP="00E34212" w14:paraId="61CB90AA"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Agency Discretion</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5979ADC9"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Adjustment in Agency Estimate</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2C0CE4AB"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Adjustment</w:t>
            </w:r>
          </w:p>
        </w:tc>
        <w:tc>
          <w:tcPr>
            <w:tcW w:w="810" w:type="dxa"/>
            <w:tcBorders>
              <w:top w:val="nil"/>
              <w:left w:val="nil"/>
              <w:bottom w:val="single" w:sz="4" w:space="0" w:color="auto"/>
              <w:right w:val="single" w:sz="4" w:space="0" w:color="auto"/>
            </w:tcBorders>
            <w:shd w:val="clear" w:color="000000" w:fill="5B9BD5"/>
            <w:vAlign w:val="center"/>
            <w:hideMark/>
          </w:tcPr>
          <w:p w:rsidR="006D209A" w:rsidRPr="00E34212" w:rsidP="00E34212" w14:paraId="05AD3623"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Agency Discretion</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6102912A"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Adjustment in Agency Estimate</w:t>
            </w:r>
          </w:p>
        </w:tc>
        <w:tc>
          <w:tcPr>
            <w:tcW w:w="900" w:type="dxa"/>
            <w:tcBorders>
              <w:top w:val="nil"/>
              <w:left w:val="nil"/>
              <w:bottom w:val="single" w:sz="4" w:space="0" w:color="auto"/>
              <w:right w:val="single" w:sz="4" w:space="0" w:color="auto"/>
            </w:tcBorders>
            <w:shd w:val="clear" w:color="000000" w:fill="5B9BD5"/>
            <w:vAlign w:val="center"/>
            <w:hideMark/>
          </w:tcPr>
          <w:p w:rsidR="006D209A" w:rsidRPr="00E34212" w:rsidP="00E34212" w14:paraId="3A87D7CB"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Adjustment</w:t>
            </w:r>
          </w:p>
        </w:tc>
      </w:tr>
      <w:tr w14:paraId="197EC3AA" w14:textId="77777777" w:rsidTr="00443F2A">
        <w:tblPrEx>
          <w:tblW w:w="15115" w:type="dxa"/>
          <w:tblLayout w:type="fixed"/>
          <w:tblLook w:val="04A0"/>
        </w:tblPrEx>
        <w:trPr>
          <w:trHeight w:val="870"/>
        </w:trPr>
        <w:tc>
          <w:tcPr>
            <w:tcW w:w="1165" w:type="dxa"/>
            <w:tcBorders>
              <w:top w:val="nil"/>
              <w:left w:val="single" w:sz="4" w:space="0" w:color="auto"/>
              <w:bottom w:val="single" w:sz="4" w:space="0" w:color="auto"/>
              <w:right w:val="single" w:sz="4" w:space="0" w:color="auto"/>
            </w:tcBorders>
            <w:shd w:val="clear" w:color="auto" w:fill="auto"/>
            <w:vAlign w:val="bottom"/>
            <w:hideMark/>
          </w:tcPr>
          <w:p w:rsidR="006D209A" w:rsidRPr="00E34212" w:rsidP="00254379" w14:paraId="0B236732"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Form EIA-851A - Domestic Uranium Production Report (Annual)</w:t>
            </w:r>
          </w:p>
        </w:tc>
        <w:tc>
          <w:tcPr>
            <w:tcW w:w="90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683AAD7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 </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2E1ED427"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30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6FBDAF0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26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5AF0E86D"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30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671176A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26 </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240316A8"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5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2588E0E8"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5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0F28EEC3"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150 </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305C7772"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130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665F2AA0"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6BF330A3"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(4)</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6B9DC85C"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1F1C680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1FCFE96E"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(20)</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063AD15E"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(20)</w:t>
            </w:r>
          </w:p>
        </w:tc>
      </w:tr>
      <w:tr w14:paraId="189A6B11" w14:textId="77777777" w:rsidTr="00443F2A">
        <w:tblPrEx>
          <w:tblW w:w="15115" w:type="dxa"/>
          <w:tblLayout w:type="fixed"/>
          <w:tblLook w:val="04A0"/>
        </w:tblPrEx>
        <w:trPr>
          <w:trHeight w:val="870"/>
        </w:trPr>
        <w:tc>
          <w:tcPr>
            <w:tcW w:w="1165" w:type="dxa"/>
            <w:tcBorders>
              <w:top w:val="nil"/>
              <w:left w:val="single" w:sz="4" w:space="0" w:color="auto"/>
              <w:bottom w:val="single" w:sz="4" w:space="0" w:color="auto"/>
              <w:right w:val="single" w:sz="4" w:space="0" w:color="auto"/>
            </w:tcBorders>
            <w:shd w:val="clear" w:color="auto" w:fill="auto"/>
            <w:vAlign w:val="bottom"/>
            <w:hideMark/>
          </w:tcPr>
          <w:p w:rsidR="006D209A" w:rsidRPr="00E34212" w:rsidP="00254379" w14:paraId="2F25134C"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Form EIA-851Q - Domestic Uranium Production Report (Quarterly)</w:t>
            </w:r>
          </w:p>
        </w:tc>
        <w:tc>
          <w:tcPr>
            <w:tcW w:w="90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3C62097A"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4 </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18125002"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11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11942988"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11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7C0A00D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44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26CF78B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44 </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0058113B"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4D99AFBE"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1BF7E56B"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33 </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1028F01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33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0D909C3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7FC5EAB4"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66C9FDD7"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6E1C0415"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43D597C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742DB58A"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r>
      <w:tr w14:paraId="292920FE" w14:textId="77777777" w:rsidTr="00443F2A">
        <w:tblPrEx>
          <w:tblW w:w="15115" w:type="dxa"/>
          <w:tblLayout w:type="fixed"/>
          <w:tblLook w:val="04A0"/>
        </w:tblPrEx>
        <w:trPr>
          <w:trHeight w:val="580"/>
        </w:trPr>
        <w:tc>
          <w:tcPr>
            <w:tcW w:w="1165" w:type="dxa"/>
            <w:tcBorders>
              <w:top w:val="nil"/>
              <w:left w:val="single" w:sz="4" w:space="0" w:color="auto"/>
              <w:bottom w:val="single" w:sz="4" w:space="0" w:color="auto"/>
              <w:right w:val="single" w:sz="4" w:space="0" w:color="auto"/>
            </w:tcBorders>
            <w:shd w:val="clear" w:color="auto" w:fill="auto"/>
            <w:vAlign w:val="bottom"/>
            <w:hideMark/>
          </w:tcPr>
          <w:p w:rsidR="006D209A" w:rsidRPr="00E34212" w:rsidP="00254379" w14:paraId="770A2F6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Form EIA-858 - Uranium Marketing Annual Survey</w:t>
            </w:r>
          </w:p>
        </w:tc>
        <w:tc>
          <w:tcPr>
            <w:tcW w:w="90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5CCAA15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 </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649D90A7"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61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0BC33A07"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62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5B95CC7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61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1CD22510"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62 </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44E487E4"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26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0E3E0EB2"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26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7DC6867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1,586 </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4421B88F"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1,612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5CB20F4D"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3601F682"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1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045AA48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2466BDF0"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14917370"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26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2B063B99" w14:textId="77777777">
            <w:pPr>
              <w:spacing w:after="0" w:line="240" w:lineRule="auto"/>
              <w:rPr>
                <w:rFonts w:eastAsia="Times New Roman" w:cstheme="minorHAnsi"/>
                <w:color w:val="000000"/>
                <w:sz w:val="14"/>
                <w:szCs w:val="14"/>
              </w:rPr>
            </w:pPr>
            <w:r w:rsidRPr="00E34212">
              <w:rPr>
                <w:rFonts w:eastAsia="Times New Roman" w:cstheme="minorHAnsi"/>
                <w:color w:val="000000"/>
                <w:sz w:val="14"/>
                <w:szCs w:val="14"/>
              </w:rPr>
              <w:t xml:space="preserve">                 26 </w:t>
            </w:r>
          </w:p>
        </w:tc>
      </w:tr>
      <w:tr w14:paraId="69172533" w14:textId="77777777" w:rsidTr="00443F2A">
        <w:tblPrEx>
          <w:tblW w:w="15115" w:type="dxa"/>
          <w:tblLayout w:type="fixed"/>
          <w:tblLook w:val="04A0"/>
        </w:tblPrEx>
        <w:trPr>
          <w:trHeight w:val="290"/>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D209A" w:rsidRPr="00E34212" w:rsidP="00254379" w14:paraId="29E383E5"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TOTAL</w:t>
            </w:r>
          </w:p>
        </w:tc>
        <w:tc>
          <w:tcPr>
            <w:tcW w:w="900" w:type="dxa"/>
            <w:tcBorders>
              <w:top w:val="nil"/>
              <w:left w:val="nil"/>
              <w:bottom w:val="single" w:sz="4" w:space="0" w:color="auto"/>
              <w:right w:val="single" w:sz="4" w:space="0" w:color="auto"/>
            </w:tcBorders>
            <w:shd w:val="clear" w:color="000000" w:fill="000000"/>
            <w:noWrap/>
            <w:vAlign w:val="bottom"/>
            <w:hideMark/>
          </w:tcPr>
          <w:p w:rsidR="006D209A" w:rsidRPr="00E34212" w:rsidP="00254379" w14:paraId="1847B6F2"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w:t>
            </w:r>
          </w:p>
        </w:tc>
        <w:tc>
          <w:tcPr>
            <w:tcW w:w="99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124211B9"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102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0BAE9557"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99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43A3E7BF"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135 </w:t>
            </w:r>
          </w:p>
        </w:tc>
        <w:tc>
          <w:tcPr>
            <w:tcW w:w="99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01FE6C9F"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132 </w:t>
            </w:r>
          </w:p>
        </w:tc>
        <w:tc>
          <w:tcPr>
            <w:tcW w:w="990" w:type="dxa"/>
            <w:tcBorders>
              <w:top w:val="nil"/>
              <w:left w:val="nil"/>
              <w:bottom w:val="single" w:sz="4" w:space="0" w:color="auto"/>
              <w:right w:val="single" w:sz="4" w:space="0" w:color="auto"/>
            </w:tcBorders>
            <w:shd w:val="clear" w:color="000000" w:fill="000000"/>
            <w:noWrap/>
            <w:vAlign w:val="bottom"/>
            <w:hideMark/>
          </w:tcPr>
          <w:p w:rsidR="006D209A" w:rsidRPr="00E34212" w:rsidP="00254379" w14:paraId="1899C843"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w:t>
            </w:r>
          </w:p>
        </w:tc>
        <w:tc>
          <w:tcPr>
            <w:tcW w:w="990" w:type="dxa"/>
            <w:tcBorders>
              <w:top w:val="nil"/>
              <w:left w:val="nil"/>
              <w:bottom w:val="single" w:sz="4" w:space="0" w:color="auto"/>
              <w:right w:val="single" w:sz="4" w:space="0" w:color="auto"/>
            </w:tcBorders>
            <w:shd w:val="clear" w:color="000000" w:fill="000000"/>
            <w:noWrap/>
            <w:vAlign w:val="bottom"/>
            <w:hideMark/>
          </w:tcPr>
          <w:p w:rsidR="006D209A" w:rsidRPr="00E34212" w:rsidP="00254379" w14:paraId="5EA4642B"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w:t>
            </w:r>
          </w:p>
        </w:tc>
        <w:tc>
          <w:tcPr>
            <w:tcW w:w="900" w:type="dxa"/>
            <w:tcBorders>
              <w:top w:val="nil"/>
              <w:left w:val="nil"/>
              <w:bottom w:val="single" w:sz="4" w:space="0" w:color="auto"/>
              <w:right w:val="single" w:sz="4" w:space="0" w:color="auto"/>
            </w:tcBorders>
            <w:shd w:val="clear" w:color="000000" w:fill="E7E6E6"/>
            <w:noWrap/>
            <w:vAlign w:val="bottom"/>
            <w:hideMark/>
          </w:tcPr>
          <w:p w:rsidR="006D209A" w:rsidRPr="00E34212" w:rsidP="00254379" w14:paraId="63A3AE72"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1,769 </w:t>
            </w:r>
          </w:p>
        </w:tc>
        <w:tc>
          <w:tcPr>
            <w:tcW w:w="108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196829AD"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1,775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4C1398A8"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26D43176"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(3)</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357A39D5"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   </w:t>
            </w:r>
          </w:p>
        </w:tc>
        <w:tc>
          <w:tcPr>
            <w:tcW w:w="810" w:type="dxa"/>
            <w:tcBorders>
              <w:top w:val="nil"/>
              <w:left w:val="nil"/>
              <w:bottom w:val="single" w:sz="4" w:space="0" w:color="auto"/>
              <w:right w:val="single" w:sz="4" w:space="0" w:color="auto"/>
            </w:tcBorders>
            <w:shd w:val="clear" w:color="auto" w:fill="auto"/>
            <w:noWrap/>
            <w:vAlign w:val="bottom"/>
            <w:hideMark/>
          </w:tcPr>
          <w:p w:rsidR="006D209A" w:rsidRPr="00E34212" w:rsidP="00254379" w14:paraId="2D098289"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60E199A9"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6 </w:t>
            </w:r>
          </w:p>
        </w:tc>
        <w:tc>
          <w:tcPr>
            <w:tcW w:w="900" w:type="dxa"/>
            <w:tcBorders>
              <w:top w:val="nil"/>
              <w:left w:val="nil"/>
              <w:bottom w:val="single" w:sz="4" w:space="0" w:color="auto"/>
              <w:right w:val="single" w:sz="4" w:space="0" w:color="auto"/>
            </w:tcBorders>
            <w:shd w:val="clear" w:color="000000" w:fill="FCE4D6"/>
            <w:noWrap/>
            <w:vAlign w:val="bottom"/>
            <w:hideMark/>
          </w:tcPr>
          <w:p w:rsidR="006D209A" w:rsidRPr="00E34212" w:rsidP="00254379" w14:paraId="49D0C4B5" w14:textId="77777777">
            <w:pPr>
              <w:spacing w:after="0" w:line="240" w:lineRule="auto"/>
              <w:rPr>
                <w:rFonts w:eastAsia="Times New Roman" w:cstheme="minorHAnsi"/>
                <w:b/>
                <w:bCs/>
                <w:color w:val="000000"/>
                <w:sz w:val="14"/>
                <w:szCs w:val="14"/>
              </w:rPr>
            </w:pPr>
            <w:r w:rsidRPr="00E34212">
              <w:rPr>
                <w:rFonts w:eastAsia="Times New Roman" w:cstheme="minorHAnsi"/>
                <w:b/>
                <w:bCs/>
                <w:color w:val="000000"/>
                <w:sz w:val="14"/>
                <w:szCs w:val="14"/>
              </w:rPr>
              <w:t xml:space="preserve">                    6 </w:t>
            </w:r>
          </w:p>
        </w:tc>
      </w:tr>
    </w:tbl>
    <w:p w:rsidR="00EC1244" w:rsidRPr="00E34212" w:rsidP="332F9C4E" w14:paraId="37FB0060" w14:textId="5ECDF6D6">
      <w:pPr>
        <w:rPr>
          <w:sz w:val="14"/>
          <w:szCs w:val="14"/>
        </w:rPr>
      </w:pPr>
    </w:p>
    <w:p w:rsidR="0091409C" w:rsidRPr="008448C2" w:rsidP="00D97D3B" w14:paraId="334A3D77" w14:textId="54410E49">
      <w:pPr>
        <w:sectPr w:rsidSect="00D65C0F">
          <w:footerReference w:type="default" r:id="rId22"/>
          <w:pgSz w:w="15840" w:h="12240" w:orient="landscape" w:code="1"/>
          <w:pgMar w:top="1440" w:right="1440" w:bottom="1440" w:left="1440" w:header="720" w:footer="720" w:gutter="0"/>
          <w:cols w:space="720"/>
          <w:docGrid w:linePitch="360"/>
        </w:sectPr>
      </w:pPr>
      <w:r>
        <w:tab/>
      </w:r>
      <w:r w:rsidR="00357548">
        <w:tab/>
      </w:r>
    </w:p>
    <w:p w:rsidR="008B1300" w:rsidRPr="00A41763" w:rsidP="00F82FA4" w14:paraId="4224C8DC" w14:textId="77777777">
      <w:pPr>
        <w:pStyle w:val="Heading2"/>
      </w:pPr>
      <w:r>
        <w:t>A.</w:t>
      </w:r>
      <w:r w:rsidR="3A23A806">
        <w:t xml:space="preserve">15. </w:t>
      </w:r>
      <w:r w:rsidR="01CF2641">
        <w:t>Reasons for Changes in Burden</w:t>
      </w:r>
    </w:p>
    <w:p w:rsidR="008B1300" w:rsidRPr="00ED31DE" w:rsidP="332F9C4E" w14:paraId="183A7678" w14:textId="77777777">
      <w:pPr>
        <w:rPr>
          <w:i/>
          <w:iCs/>
        </w:rPr>
      </w:pPr>
      <w:r>
        <w:t xml:space="preserve">The frame for Form EIA-851A declined by </w:t>
      </w:r>
      <w:r w:rsidR="074624B3">
        <w:t xml:space="preserve">four </w:t>
      </w:r>
      <w:r>
        <w:t xml:space="preserve">respondents </w:t>
      </w:r>
      <w:r w:rsidR="356F2DD3">
        <w:t xml:space="preserve">due to </w:t>
      </w:r>
      <w:r w:rsidR="380FD682">
        <w:t>a</w:t>
      </w:r>
      <w:r w:rsidR="356F2DD3">
        <w:t xml:space="preserve"> </w:t>
      </w:r>
      <w:r w:rsidR="526E2CE6">
        <w:t xml:space="preserve">continued </w:t>
      </w:r>
      <w:r w:rsidR="356F2DD3">
        <w:t>decline in the domestic uranium industry</w:t>
      </w:r>
      <w:r w:rsidR="61ED9B74">
        <w:t xml:space="preserve">. </w:t>
      </w:r>
      <w:r w:rsidR="252885DB">
        <w:t xml:space="preserve">In the </w:t>
      </w:r>
      <w:r w:rsidR="61ED9B74">
        <w:t>three years since the last clearance</w:t>
      </w:r>
      <w:r w:rsidR="72D538E4">
        <w:t>,</w:t>
      </w:r>
      <w:r w:rsidR="1ED16930">
        <w:t xml:space="preserve"> </w:t>
      </w:r>
      <w:r w:rsidR="7DDC9F39">
        <w:t>four</w:t>
      </w:r>
      <w:r w:rsidR="00DA3844">
        <w:t xml:space="preserve"> </w:t>
      </w:r>
      <w:r w:rsidR="1ED16930">
        <w:t xml:space="preserve">respondents </w:t>
      </w:r>
      <w:r w:rsidR="32848A9F">
        <w:t>have exited the uranium landholding and exploration business</w:t>
      </w:r>
      <w:r w:rsidR="56A10D09">
        <w:t>.</w:t>
      </w:r>
      <w:r w:rsidR="3A71BA60">
        <w:t xml:space="preserve"> </w:t>
      </w:r>
      <w:r w:rsidR="56A10D09">
        <w:t xml:space="preserve">The frame for Form EIA-851Q </w:t>
      </w:r>
      <w:r w:rsidR="6CE196B1">
        <w:t xml:space="preserve">did not change at 11 respondents. </w:t>
      </w:r>
      <w:r>
        <w:t xml:space="preserve"> </w:t>
      </w:r>
      <w:r w:rsidR="624F14FF">
        <w:t xml:space="preserve">The EIA-851Q only asks for quarterly uranium production. </w:t>
      </w:r>
      <w:r w:rsidR="2C2FC60D">
        <w:t>The</w:t>
      </w:r>
      <w:r w:rsidRPr="332F9C4E" w:rsidR="00F46181">
        <w:rPr>
          <w:rFonts w:eastAsia="Times New Roman"/>
        </w:rPr>
        <w:t xml:space="preserve"> Form EIA-858 </w:t>
      </w:r>
      <w:r w:rsidRPr="332F9C4E" w:rsidR="488395D1">
        <w:rPr>
          <w:rFonts w:eastAsia="Times New Roman"/>
        </w:rPr>
        <w:t xml:space="preserve">frame increased by one respondent as a new uranium trader/broker entered the industry. </w:t>
      </w:r>
      <w:r w:rsidRPr="332F9C4E" w:rsidR="00F46181">
        <w:rPr>
          <w:rFonts w:cs="Arial"/>
        </w:rPr>
        <w:t xml:space="preserve">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B05EACA" w14:textId="77777777" w:rsidTr="332F9C4E">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243AEE3C" w14:paraId="15DF8534" w14:textId="77777777">
            <w:pPr>
              <w:spacing w:after="0" w:line="240" w:lineRule="auto"/>
              <w:jc w:val="center"/>
              <w:rPr>
                <w:rFonts w:ascii="Arial" w:eastAsia="Times New Roman" w:hAnsi="Arial" w:cs="Arial"/>
                <w:b/>
                <w:bCs/>
                <w:color w:val="0070C0"/>
                <w:sz w:val="28"/>
                <w:szCs w:val="28"/>
              </w:rPr>
            </w:pPr>
            <w:r w:rsidRPr="243AEE3C">
              <w:rPr>
                <w:i/>
                <w:iCs/>
              </w:rPr>
              <w:t xml:space="preserve"> </w:t>
            </w:r>
            <w:r>
              <w:br w:type="page"/>
            </w:r>
            <w:r w:rsidRPr="243AEE3C">
              <w:rPr>
                <w:rFonts w:ascii="Arial" w:eastAsia="Times New Roman" w:hAnsi="Arial" w:cs="Arial"/>
                <w:b/>
                <w:bCs/>
                <w:color w:val="0070C0"/>
                <w:sz w:val="28"/>
                <w:szCs w:val="28"/>
              </w:rPr>
              <w:t>Table A3. ICR Summary of Burden</w:t>
            </w:r>
          </w:p>
        </w:tc>
      </w:tr>
      <w:tr w14:paraId="46ADB129" w14:textId="77777777" w:rsidTr="332F9C4E">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12C91" w:rsidP="007C7320" w14:paraId="6D0D2B7C"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2D4A27A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10E062B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0B38355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7C7320" w14:paraId="066408A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FD4DC89" w14:textId="77777777" w:rsidTr="332F9C4E">
        <w:tblPrEx>
          <w:tblW w:w="9360" w:type="dxa"/>
          <w:jc w:val="center"/>
          <w:tblLayout w:type="fixed"/>
          <w:tblCellMar>
            <w:left w:w="115" w:type="dxa"/>
            <w:right w:w="115" w:type="dxa"/>
          </w:tblCellMar>
          <w:tblLook w:val="04A0"/>
        </w:tblPrEx>
        <w:trPr>
          <w:cantSplit/>
          <w:trHeight w:val="260"/>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7C7320" w14:paraId="10724358"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72" w:type="dxa"/>
            <w:tcBorders>
              <w:top w:val="nil"/>
              <w:left w:val="nil"/>
              <w:bottom w:val="single" w:sz="4" w:space="0" w:color="auto"/>
              <w:right w:val="single" w:sz="4" w:space="0" w:color="auto"/>
            </w:tcBorders>
            <w:shd w:val="clear" w:color="auto" w:fill="auto"/>
          </w:tcPr>
          <w:p w:rsidR="008A7E5F" w:rsidRPr="008B1300" w:rsidP="0020550E" w14:paraId="0A8E4B75" w14:textId="77777777">
            <w:pPr>
              <w:spacing w:after="0" w:line="240" w:lineRule="auto"/>
              <w:jc w:val="center"/>
              <w:rPr>
                <w:rFonts w:ascii="Calibri" w:eastAsia="Times New Roman" w:hAnsi="Calibri" w:cs="Calibri"/>
                <w:b/>
                <w:bCs/>
                <w:color w:val="000000"/>
              </w:rPr>
            </w:pPr>
            <w:r w:rsidRPr="332F9C4E">
              <w:rPr>
                <w:rFonts w:ascii="Calibri" w:eastAsia="Times New Roman" w:hAnsi="Calibri" w:cs="Calibri"/>
                <w:b/>
                <w:bCs/>
                <w:color w:val="000000" w:themeColor="text1"/>
              </w:rPr>
              <w:t>1</w:t>
            </w:r>
            <w:r w:rsidRPr="332F9C4E" w:rsidR="01475005">
              <w:rPr>
                <w:rFonts w:ascii="Calibri" w:eastAsia="Times New Roman" w:hAnsi="Calibri" w:cs="Calibri"/>
                <w:b/>
                <w:bCs/>
                <w:color w:val="000000" w:themeColor="text1"/>
              </w:rPr>
              <w:t>3</w:t>
            </w:r>
            <w:r w:rsidRPr="332F9C4E" w:rsidR="3405B06D">
              <w:rPr>
                <w:rFonts w:ascii="Calibri" w:eastAsia="Times New Roman" w:hAnsi="Calibri" w:cs="Calibri"/>
                <w:b/>
                <w:bCs/>
                <w:color w:val="000000" w:themeColor="text1"/>
              </w:rPr>
              <w:t>2</w:t>
            </w:r>
          </w:p>
        </w:tc>
        <w:tc>
          <w:tcPr>
            <w:tcW w:w="1872" w:type="dxa"/>
            <w:tcBorders>
              <w:top w:val="nil"/>
              <w:left w:val="nil"/>
              <w:bottom w:val="single" w:sz="4" w:space="0" w:color="auto"/>
              <w:right w:val="single" w:sz="4" w:space="0" w:color="auto"/>
            </w:tcBorders>
            <w:shd w:val="clear" w:color="auto" w:fill="auto"/>
          </w:tcPr>
          <w:p w:rsidR="008A7E5F" w:rsidRPr="008B1300" w:rsidP="00F13568" w14:paraId="0FF17BBB" w14:textId="77777777">
            <w:pPr>
              <w:spacing w:after="0" w:line="240" w:lineRule="auto"/>
              <w:jc w:val="center"/>
              <w:rPr>
                <w:rFonts w:ascii="Calibri" w:eastAsia="Times New Roman" w:hAnsi="Calibri" w:cs="Calibri"/>
                <w:b/>
                <w:bCs/>
                <w:color w:val="000000"/>
              </w:rPr>
            </w:pPr>
            <w:r w:rsidRPr="008B1300">
              <w:rPr>
                <w:rFonts w:ascii="Calibri" w:eastAsia="Times New Roman" w:hAnsi="Calibri" w:cs="Calibri"/>
                <w:b/>
                <w:bCs/>
                <w:color w:val="000000"/>
              </w:rPr>
              <w:t>0</w:t>
            </w:r>
          </w:p>
        </w:tc>
        <w:tc>
          <w:tcPr>
            <w:tcW w:w="1872" w:type="dxa"/>
            <w:tcBorders>
              <w:top w:val="nil"/>
              <w:left w:val="nil"/>
              <w:bottom w:val="single" w:sz="4" w:space="0" w:color="auto"/>
              <w:right w:val="single" w:sz="4" w:space="0" w:color="auto"/>
            </w:tcBorders>
            <w:shd w:val="clear" w:color="auto" w:fill="auto"/>
          </w:tcPr>
          <w:p w:rsidR="008A7E5F" w:rsidRPr="008B1300" w:rsidP="00F13568" w14:paraId="3E247F90" w14:textId="77777777">
            <w:pPr>
              <w:spacing w:line="240" w:lineRule="auto"/>
              <w:jc w:val="center"/>
              <w:rPr>
                <w:rFonts w:ascii="Calibri" w:eastAsia="Times New Roman" w:hAnsi="Calibri" w:cs="Calibri"/>
                <w:b/>
                <w:bCs/>
                <w:color w:val="000000"/>
              </w:rPr>
            </w:pPr>
            <w:r w:rsidRPr="332F9C4E">
              <w:rPr>
                <w:rFonts w:ascii="Calibri" w:eastAsia="Times New Roman" w:hAnsi="Calibri" w:cs="Calibri"/>
                <w:b/>
                <w:bCs/>
                <w:color w:val="000000" w:themeColor="text1"/>
              </w:rPr>
              <w:t>-3</w:t>
            </w:r>
          </w:p>
        </w:tc>
        <w:tc>
          <w:tcPr>
            <w:tcW w:w="1872" w:type="dxa"/>
            <w:tcBorders>
              <w:top w:val="nil"/>
              <w:left w:val="nil"/>
              <w:bottom w:val="single" w:sz="4" w:space="0" w:color="auto"/>
              <w:right w:val="single" w:sz="4" w:space="0" w:color="auto"/>
            </w:tcBorders>
            <w:shd w:val="clear" w:color="auto" w:fill="auto"/>
          </w:tcPr>
          <w:p w:rsidR="008A7E5F" w:rsidRPr="008B1300" w:rsidP="332F9C4E" w14:paraId="193E8DDB" w14:textId="77777777">
            <w:pPr>
              <w:spacing w:line="240" w:lineRule="auto"/>
              <w:jc w:val="center"/>
            </w:pPr>
            <w:r w:rsidRPr="332F9C4E">
              <w:rPr>
                <w:rFonts w:ascii="Calibri" w:eastAsia="Times New Roman" w:hAnsi="Calibri" w:cs="Calibri"/>
                <w:b/>
                <w:bCs/>
                <w:color w:val="000000" w:themeColor="text1"/>
              </w:rPr>
              <w:t>135</w:t>
            </w:r>
          </w:p>
        </w:tc>
      </w:tr>
      <w:tr w14:paraId="26AB65FE" w14:textId="77777777" w:rsidTr="332F9C4E">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7C7320" w14:paraId="741D1C4E"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w:t>
            </w:r>
            <w:r w:rsidRPr="00812C91">
              <w:rPr>
                <w:rFonts w:ascii="Calibri" w:eastAsia="Times New Roman" w:hAnsi="Calibri" w:cs="Arial"/>
                <w:color w:val="576170"/>
                <w:sz w:val="20"/>
                <w:szCs w:val="20"/>
              </w:rPr>
              <w:t>Hr</w:t>
            </w:r>
            <w:r w:rsidRPr="00812C91">
              <w:rPr>
                <w:rFonts w:ascii="Calibri" w:eastAsia="Times New Roman" w:hAnsi="Calibri" w:cs="Arial"/>
                <w:color w:val="576170"/>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00D30927" w14:paraId="1BD3C071" w14:textId="77777777">
            <w:pPr>
              <w:spacing w:after="0" w:line="240" w:lineRule="auto"/>
              <w:jc w:val="center"/>
              <w:rPr>
                <w:b/>
                <w:bCs/>
              </w:rPr>
            </w:pPr>
            <w:r w:rsidRPr="332F9C4E">
              <w:rPr>
                <w:b/>
                <w:bCs/>
              </w:rPr>
              <w:t>1,</w:t>
            </w:r>
            <w:r w:rsidRPr="332F9C4E" w:rsidR="60187CF3">
              <w:rPr>
                <w:b/>
                <w:bCs/>
              </w:rPr>
              <w:t>7</w:t>
            </w:r>
            <w:r w:rsidRPr="332F9C4E" w:rsidR="11C7D814">
              <w:rPr>
                <w:b/>
                <w:bCs/>
              </w:rPr>
              <w:t>75</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00290928" w14:paraId="258A7C4E" w14:textId="77777777">
            <w:pPr>
              <w:spacing w:after="0" w:line="240" w:lineRule="auto"/>
              <w:jc w:val="center"/>
              <w:rPr>
                <w:rFonts w:ascii="Calibri" w:eastAsia="Times New Roman" w:hAnsi="Calibri" w:cs="Arial"/>
                <w:b/>
                <w:color w:val="576170"/>
              </w:rPr>
            </w:pPr>
            <w:r w:rsidRPr="008B1300">
              <w:rPr>
                <w:rFonts w:ascii="Calibri" w:eastAsia="Times New Roman" w:hAnsi="Calibri" w:cs="Arial"/>
                <w:b/>
                <w:color w:val="576170"/>
              </w:rPr>
              <w:t>0</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00ED31DE" w14:paraId="4CCF7A3A" w14:textId="77777777">
            <w:pPr>
              <w:spacing w:line="240" w:lineRule="auto"/>
              <w:jc w:val="center"/>
              <w:rPr>
                <w:rFonts w:ascii="Calibri" w:eastAsia="Times New Roman" w:hAnsi="Calibri" w:cs="Arial"/>
                <w:b/>
                <w:bCs/>
                <w:color w:val="576170"/>
              </w:rPr>
            </w:pPr>
            <w:r w:rsidRPr="332F9C4E">
              <w:rPr>
                <w:rFonts w:ascii="Calibri" w:eastAsia="Times New Roman" w:hAnsi="Calibri" w:cs="Calibri"/>
                <w:b/>
                <w:bCs/>
                <w:color w:val="000000" w:themeColor="text1"/>
              </w:rPr>
              <w:t>6</w:t>
            </w:r>
          </w:p>
        </w:tc>
        <w:tc>
          <w:tcPr>
            <w:tcW w:w="1872" w:type="dxa"/>
            <w:tcBorders>
              <w:top w:val="nil"/>
              <w:left w:val="nil"/>
              <w:bottom w:val="single" w:sz="4" w:space="0" w:color="auto"/>
              <w:right w:val="single" w:sz="4" w:space="0" w:color="auto"/>
            </w:tcBorders>
            <w:shd w:val="clear" w:color="auto" w:fill="auto"/>
            <w:vAlign w:val="center"/>
          </w:tcPr>
          <w:p w:rsidR="008A7E5F" w:rsidRPr="008B1300" w:rsidP="332F9C4E" w14:paraId="4E90DE42" w14:textId="77777777">
            <w:pPr>
              <w:spacing w:after="0" w:line="240" w:lineRule="auto"/>
              <w:jc w:val="center"/>
              <w:rPr>
                <w:b/>
                <w:bCs/>
              </w:rPr>
            </w:pPr>
            <w:r w:rsidRPr="332F9C4E">
              <w:rPr>
                <w:b/>
                <w:bCs/>
              </w:rPr>
              <w:t>1,</w:t>
            </w:r>
            <w:r w:rsidRPr="332F9C4E" w:rsidR="05D6CCED">
              <w:rPr>
                <w:b/>
                <w:bCs/>
              </w:rPr>
              <w:t>769</w:t>
            </w:r>
          </w:p>
        </w:tc>
      </w:tr>
    </w:tbl>
    <w:p w:rsidR="00D854D8" w:rsidRPr="00A41763" w:rsidP="00A41763" w14:paraId="187476DA" w14:textId="77777777"/>
    <w:p w:rsidR="00F056C3" w:rsidP="00F82FA4" w14:paraId="470037CD" w14:textId="77777777">
      <w:pPr>
        <w:pStyle w:val="Heading2"/>
      </w:pPr>
      <w:bookmarkStart w:id="24" w:name="_Toc39588515"/>
      <w:r>
        <w:t>A.</w:t>
      </w:r>
      <w:r w:rsidRPr="00A41763" w:rsidR="00A41763">
        <w:t xml:space="preserve">16. </w:t>
      </w:r>
      <w:r w:rsidRPr="00F056C3">
        <w:t>Collection, Tabulation, and Publication Plans</w:t>
      </w:r>
      <w:bookmarkEnd w:id="24"/>
      <w:r w:rsidRPr="00F056C3">
        <w:t xml:space="preserve"> </w:t>
      </w:r>
    </w:p>
    <w:p w:rsidR="00444872" w:rsidP="00444872" w14:paraId="6E698C8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00444872">
        <w:rPr>
          <w:rFonts w:cs="Arial"/>
        </w:rPr>
        <w:t>The data collected on the UDP forms will be aggregated in EIA reports and made available on the EIA website. Paper submissions, if any, have the same due dates as online submissions.</w:t>
      </w:r>
    </w:p>
    <w:p w:rsidR="00444872" w:rsidRPr="00444872" w:rsidP="00444872" w14:paraId="62424907" w14:textId="77777777">
      <w:pPr>
        <w:keepNext/>
        <w:spacing w:before="140" w:after="0" w:line="240" w:lineRule="auto"/>
        <w:jc w:val="center"/>
        <w:rPr>
          <w:b/>
          <w:bCs/>
          <w:color w:val="1396D8"/>
          <w:szCs w:val="18"/>
        </w:rPr>
      </w:pPr>
      <w:bookmarkStart w:id="25" w:name="_Toc524420604"/>
      <w:r w:rsidRPr="00444872">
        <w:rPr>
          <w:b/>
          <w:bCs/>
          <w:color w:val="1396D8"/>
          <w:szCs w:val="18"/>
        </w:rPr>
        <w:t>Table A5. UDP collection and publishing schedule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170"/>
        <w:gridCol w:w="1260"/>
        <w:gridCol w:w="1170"/>
        <w:gridCol w:w="4703"/>
        <w:gridCol w:w="1170"/>
      </w:tblGrid>
      <w:tr w14:paraId="4AD729C2" w14:textId="77777777" w:rsidTr="00DA3844">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blHeader/>
        </w:trPr>
        <w:tc>
          <w:tcPr>
            <w:tcW w:w="715" w:type="dxa"/>
            <w:shd w:val="clear" w:color="auto" w:fill="00B0F0"/>
            <w:vAlign w:val="center"/>
          </w:tcPr>
          <w:bookmarkEnd w:id="25"/>
          <w:p w:rsidR="00444872" w:rsidRPr="00444872" w:rsidP="00444872" w14:paraId="23F86DC8" w14:textId="77777777">
            <w:pPr>
              <w:spacing w:before="120" w:after="120"/>
              <w:jc w:val="center"/>
              <w:rPr>
                <w:rFonts w:cs="Arial"/>
                <w:b/>
                <w:bCs/>
              </w:rPr>
            </w:pPr>
            <w:r w:rsidRPr="00444872">
              <w:rPr>
                <w:rFonts w:cs="Arial"/>
                <w:b/>
                <w:bCs/>
              </w:rPr>
              <w:t>Form</w:t>
            </w:r>
          </w:p>
        </w:tc>
        <w:tc>
          <w:tcPr>
            <w:tcW w:w="1170" w:type="dxa"/>
            <w:shd w:val="clear" w:color="auto" w:fill="00B0F0"/>
            <w:vAlign w:val="center"/>
          </w:tcPr>
          <w:p w:rsidR="00444872" w:rsidRPr="00444872" w:rsidP="00444872" w14:paraId="0C985C23" w14:textId="77777777">
            <w:pPr>
              <w:spacing w:before="120" w:after="120"/>
              <w:jc w:val="center"/>
              <w:rPr>
                <w:rFonts w:cs="Arial"/>
                <w:b/>
                <w:bCs/>
              </w:rPr>
            </w:pPr>
            <w:r w:rsidRPr="00444872">
              <w:rPr>
                <w:rFonts w:cs="Arial"/>
                <w:b/>
                <w:bCs/>
              </w:rPr>
              <w:t>Start Date</w:t>
            </w:r>
          </w:p>
        </w:tc>
        <w:tc>
          <w:tcPr>
            <w:tcW w:w="1260" w:type="dxa"/>
            <w:tcBorders>
              <w:bottom w:val="single" w:sz="4" w:space="0" w:color="auto"/>
            </w:tcBorders>
            <w:shd w:val="clear" w:color="auto" w:fill="00B0F0"/>
            <w:vAlign w:val="center"/>
          </w:tcPr>
          <w:p w:rsidR="00444872" w:rsidRPr="00444872" w:rsidP="00444872" w14:paraId="4C137352" w14:textId="77777777">
            <w:pPr>
              <w:spacing w:before="120" w:after="120"/>
              <w:jc w:val="center"/>
              <w:rPr>
                <w:rFonts w:cs="Arial"/>
                <w:b/>
                <w:bCs/>
              </w:rPr>
            </w:pPr>
            <w:r w:rsidRPr="00444872">
              <w:rPr>
                <w:rFonts w:cs="Arial"/>
                <w:b/>
                <w:bCs/>
              </w:rPr>
              <w:t>Due Date</w:t>
            </w:r>
          </w:p>
        </w:tc>
        <w:tc>
          <w:tcPr>
            <w:tcW w:w="1170" w:type="dxa"/>
            <w:shd w:val="clear" w:color="auto" w:fill="00B0F0"/>
            <w:vAlign w:val="center"/>
          </w:tcPr>
          <w:p w:rsidR="00444872" w:rsidRPr="00444872" w:rsidP="00444872" w14:paraId="213BEB01" w14:textId="77777777">
            <w:pPr>
              <w:spacing w:before="120" w:after="120"/>
              <w:jc w:val="center"/>
              <w:rPr>
                <w:rFonts w:cs="Arial"/>
                <w:b/>
                <w:bCs/>
              </w:rPr>
            </w:pPr>
            <w:r w:rsidRPr="00444872">
              <w:rPr>
                <w:rFonts w:cs="Arial"/>
                <w:b/>
                <w:bCs/>
              </w:rPr>
              <w:t>Period</w:t>
            </w:r>
          </w:p>
        </w:tc>
        <w:tc>
          <w:tcPr>
            <w:tcW w:w="4703" w:type="dxa"/>
            <w:shd w:val="clear" w:color="auto" w:fill="00B0F0"/>
            <w:vAlign w:val="center"/>
          </w:tcPr>
          <w:p w:rsidR="00444872" w:rsidRPr="00444872" w:rsidP="00444872" w14:paraId="12B35384" w14:textId="77777777">
            <w:pPr>
              <w:spacing w:before="120" w:after="120" w:line="240" w:lineRule="auto"/>
              <w:jc w:val="center"/>
              <w:rPr>
                <w:rFonts w:eastAsia="Times New Roman" w:cs="Arial"/>
                <w:b/>
                <w:bCs/>
              </w:rPr>
            </w:pPr>
            <w:r w:rsidRPr="00444872">
              <w:rPr>
                <w:rFonts w:eastAsia="Times New Roman" w:cs="Arial"/>
                <w:b/>
                <w:bCs/>
              </w:rPr>
              <w:t>Publications</w:t>
            </w:r>
          </w:p>
        </w:tc>
        <w:tc>
          <w:tcPr>
            <w:tcW w:w="1170" w:type="dxa"/>
            <w:shd w:val="clear" w:color="auto" w:fill="00B0F0"/>
            <w:vAlign w:val="center"/>
          </w:tcPr>
          <w:p w:rsidR="00444872" w:rsidRPr="00444872" w:rsidP="00444872" w14:paraId="0497B3BE" w14:textId="77777777">
            <w:pPr>
              <w:spacing w:before="120" w:after="120"/>
              <w:jc w:val="center"/>
              <w:rPr>
                <w:rFonts w:cs="Arial"/>
                <w:b/>
                <w:bCs/>
              </w:rPr>
            </w:pPr>
            <w:r w:rsidRPr="00444872">
              <w:rPr>
                <w:rFonts w:cs="Arial"/>
                <w:b/>
                <w:bCs/>
              </w:rPr>
              <w:t>On EIA website</w:t>
            </w:r>
          </w:p>
        </w:tc>
      </w:tr>
      <w:tr w14:paraId="088616FB" w14:textId="77777777" w:rsidTr="00DA3844">
        <w:tblPrEx>
          <w:tblW w:w="10188" w:type="dxa"/>
          <w:tblLayout w:type="fixed"/>
          <w:tblLook w:val="0000"/>
        </w:tblPrEx>
        <w:trPr>
          <w:trHeight w:val="259"/>
        </w:trPr>
        <w:tc>
          <w:tcPr>
            <w:tcW w:w="715" w:type="dxa"/>
          </w:tcPr>
          <w:p w:rsidR="00444872" w:rsidRPr="00444872" w:rsidP="00444872" w14:paraId="3B69D7FC" w14:textId="77777777">
            <w:pPr>
              <w:spacing w:before="120" w:after="120"/>
              <w:rPr>
                <w:rFonts w:cs="Arial"/>
              </w:rPr>
            </w:pPr>
            <w:r w:rsidRPr="00444872">
              <w:rPr>
                <w:rFonts w:cs="Arial"/>
              </w:rPr>
              <w:t>EIA-851A</w:t>
            </w:r>
          </w:p>
        </w:tc>
        <w:tc>
          <w:tcPr>
            <w:tcW w:w="1170" w:type="dxa"/>
          </w:tcPr>
          <w:p w:rsidR="00444872" w:rsidRPr="00444872" w:rsidP="00444872" w14:paraId="668FB696" w14:textId="77777777">
            <w:pPr>
              <w:spacing w:before="120" w:after="120"/>
              <w:rPr>
                <w:rFonts w:cs="Arial"/>
              </w:rPr>
            </w:pPr>
            <w:r w:rsidRPr="00444872">
              <w:rPr>
                <w:rFonts w:cs="Arial"/>
              </w:rPr>
              <w:t xml:space="preserve">January 2 </w:t>
            </w:r>
          </w:p>
        </w:tc>
        <w:tc>
          <w:tcPr>
            <w:tcW w:w="1260" w:type="dxa"/>
          </w:tcPr>
          <w:p w:rsidR="00444872" w:rsidRPr="00444872" w:rsidP="00444872" w14:paraId="325C82BE" w14:textId="77777777">
            <w:pPr>
              <w:spacing w:before="120" w:after="120"/>
              <w:rPr>
                <w:rFonts w:cs="Arial"/>
              </w:rPr>
            </w:pPr>
            <w:r w:rsidRPr="00444872">
              <w:rPr>
                <w:rFonts w:cs="Arial"/>
              </w:rPr>
              <w:t>March 1</w:t>
            </w:r>
          </w:p>
        </w:tc>
        <w:tc>
          <w:tcPr>
            <w:tcW w:w="1170" w:type="dxa"/>
          </w:tcPr>
          <w:p w:rsidR="00444872" w:rsidRPr="00444872" w:rsidP="00444872" w14:paraId="22107C3B" w14:textId="77777777">
            <w:pPr>
              <w:spacing w:before="120" w:after="120"/>
              <w:rPr>
                <w:rFonts w:cs="Arial"/>
              </w:rPr>
            </w:pPr>
            <w:r w:rsidRPr="00444872">
              <w:rPr>
                <w:rFonts w:cs="Arial"/>
              </w:rPr>
              <w:t>Annual</w:t>
            </w:r>
          </w:p>
        </w:tc>
        <w:tc>
          <w:tcPr>
            <w:tcW w:w="4703" w:type="dxa"/>
          </w:tcPr>
          <w:p w:rsidR="00444872" w:rsidRPr="00444872" w:rsidP="00444872" w14:paraId="6D7AA8AA" w14:textId="77777777">
            <w:pPr>
              <w:spacing w:before="120" w:after="120"/>
              <w:rPr>
                <w:rFonts w:cs="Arial"/>
                <w:color w:val="FF0000"/>
              </w:rPr>
            </w:pPr>
            <w:r w:rsidRPr="00444872">
              <w:rPr>
                <w:rFonts w:cs="Arial"/>
                <w:i/>
              </w:rPr>
              <w:t xml:space="preserve">Domestic Uranium Production Report – Annual </w:t>
            </w:r>
            <w:hyperlink r:id="rId14" w:history="1">
              <w:r w:rsidRPr="00444872">
                <w:rPr>
                  <w:rFonts w:cs="Arial"/>
                  <w:color w:val="1396D8"/>
                  <w:u w:val="single"/>
                </w:rPr>
                <w:t>http://www.eia.gov/uranium/production/annual/</w:t>
              </w:r>
            </w:hyperlink>
          </w:p>
        </w:tc>
        <w:tc>
          <w:tcPr>
            <w:tcW w:w="1170" w:type="dxa"/>
          </w:tcPr>
          <w:p w:rsidR="00444872" w:rsidRPr="00444872" w:rsidP="00444872" w14:paraId="15A57BAB" w14:textId="77777777">
            <w:pPr>
              <w:spacing w:before="120" w:after="120"/>
              <w:rPr>
                <w:rFonts w:cs="Arial"/>
              </w:rPr>
            </w:pPr>
            <w:r w:rsidRPr="00444872">
              <w:rPr>
                <w:rFonts w:cs="Arial"/>
              </w:rPr>
              <w:t>May</w:t>
            </w:r>
          </w:p>
        </w:tc>
      </w:tr>
      <w:tr w14:paraId="7399FAC5" w14:textId="77777777" w:rsidTr="00DA3844">
        <w:tblPrEx>
          <w:tblW w:w="10188" w:type="dxa"/>
          <w:tblLayout w:type="fixed"/>
          <w:tblLook w:val="0000"/>
        </w:tblPrEx>
        <w:trPr>
          <w:trHeight w:val="259"/>
        </w:trPr>
        <w:tc>
          <w:tcPr>
            <w:tcW w:w="715" w:type="dxa"/>
          </w:tcPr>
          <w:p w:rsidR="00444872" w:rsidRPr="00444872" w:rsidP="00444872" w14:paraId="1B2C5614" w14:textId="77777777">
            <w:pPr>
              <w:spacing w:before="120" w:after="120"/>
              <w:rPr>
                <w:rFonts w:cs="Arial"/>
              </w:rPr>
            </w:pPr>
            <w:r w:rsidRPr="00444872">
              <w:rPr>
                <w:rFonts w:cs="Arial"/>
              </w:rPr>
              <w:t>EIA-851Q</w:t>
            </w:r>
          </w:p>
        </w:tc>
        <w:tc>
          <w:tcPr>
            <w:tcW w:w="1170" w:type="dxa"/>
          </w:tcPr>
          <w:p w:rsidR="00444872" w:rsidRPr="00444872" w:rsidP="00444872" w14:paraId="0EEF0E44" w14:textId="77777777">
            <w:pPr>
              <w:spacing w:before="120" w:after="120"/>
              <w:rPr>
                <w:rFonts w:cs="Arial"/>
              </w:rPr>
            </w:pPr>
            <w:r w:rsidRPr="00444872">
              <w:rPr>
                <w:rFonts w:cs="Arial"/>
              </w:rPr>
              <w:t xml:space="preserve">January </w:t>
            </w:r>
            <w:r w:rsidRPr="00444872">
              <w:rPr>
                <w:rFonts w:cs="Arial"/>
              </w:rPr>
              <w:t>2;</w:t>
            </w:r>
          </w:p>
          <w:p w:rsidR="00444872" w:rsidRPr="00444872" w:rsidP="00444872" w14:paraId="040307BF" w14:textId="77777777">
            <w:pPr>
              <w:spacing w:before="120" w:after="120"/>
              <w:rPr>
                <w:rFonts w:cs="Arial"/>
              </w:rPr>
            </w:pPr>
            <w:r w:rsidRPr="00444872">
              <w:rPr>
                <w:rFonts w:cs="Arial"/>
              </w:rPr>
              <w:t xml:space="preserve">April </w:t>
            </w:r>
            <w:r w:rsidRPr="00444872">
              <w:rPr>
                <w:rFonts w:cs="Arial"/>
              </w:rPr>
              <w:t>1;</w:t>
            </w:r>
          </w:p>
          <w:p w:rsidR="00444872" w:rsidRPr="00444872" w:rsidP="00444872" w14:paraId="034CD0FB" w14:textId="77777777">
            <w:pPr>
              <w:spacing w:before="120" w:after="120"/>
              <w:rPr>
                <w:rFonts w:cs="Arial"/>
              </w:rPr>
            </w:pPr>
            <w:r w:rsidRPr="00444872">
              <w:rPr>
                <w:rFonts w:cs="Arial"/>
              </w:rPr>
              <w:t xml:space="preserve">July </w:t>
            </w:r>
            <w:r w:rsidRPr="00444872">
              <w:rPr>
                <w:rFonts w:cs="Arial"/>
              </w:rPr>
              <w:t>1;</w:t>
            </w:r>
          </w:p>
          <w:p w:rsidR="00444872" w:rsidRPr="00444872" w:rsidP="00444872" w14:paraId="34F9CF34" w14:textId="77777777">
            <w:pPr>
              <w:spacing w:before="120" w:after="120"/>
              <w:rPr>
                <w:rFonts w:cs="Arial"/>
              </w:rPr>
            </w:pPr>
            <w:r w:rsidRPr="00444872">
              <w:rPr>
                <w:rFonts w:cs="Arial"/>
              </w:rPr>
              <w:t>October 1</w:t>
            </w:r>
          </w:p>
        </w:tc>
        <w:tc>
          <w:tcPr>
            <w:tcW w:w="1260" w:type="dxa"/>
          </w:tcPr>
          <w:p w:rsidR="00444872" w:rsidRPr="00444872" w:rsidP="00444872" w14:paraId="6E8EC333" w14:textId="77777777">
            <w:pPr>
              <w:spacing w:before="120" w:after="120"/>
              <w:rPr>
                <w:rFonts w:cs="Arial"/>
              </w:rPr>
            </w:pPr>
            <w:r w:rsidRPr="00444872">
              <w:rPr>
                <w:rFonts w:cs="Arial"/>
              </w:rPr>
              <w:t xml:space="preserve">January </w:t>
            </w:r>
            <w:r w:rsidRPr="00444872">
              <w:rPr>
                <w:rFonts w:cs="Arial"/>
              </w:rPr>
              <w:t>15;</w:t>
            </w:r>
          </w:p>
          <w:p w:rsidR="00444872" w:rsidRPr="00444872" w:rsidP="00444872" w14:paraId="75E36D0A" w14:textId="77777777">
            <w:pPr>
              <w:spacing w:before="120" w:after="120"/>
              <w:rPr>
                <w:rFonts w:cs="Arial"/>
              </w:rPr>
            </w:pPr>
            <w:r w:rsidRPr="00444872">
              <w:rPr>
                <w:rFonts w:cs="Arial"/>
              </w:rPr>
              <w:t xml:space="preserve">April </w:t>
            </w:r>
            <w:r w:rsidRPr="00444872">
              <w:rPr>
                <w:rFonts w:cs="Arial"/>
              </w:rPr>
              <w:t>15;</w:t>
            </w:r>
          </w:p>
          <w:p w:rsidR="00444872" w:rsidRPr="00444872" w:rsidP="00444872" w14:paraId="30DB2008" w14:textId="77777777">
            <w:pPr>
              <w:spacing w:before="120" w:after="120"/>
              <w:rPr>
                <w:rFonts w:cs="Arial"/>
              </w:rPr>
            </w:pPr>
            <w:r w:rsidRPr="00444872">
              <w:rPr>
                <w:rFonts w:cs="Arial"/>
              </w:rPr>
              <w:t xml:space="preserve">July </w:t>
            </w:r>
            <w:r w:rsidRPr="00444872">
              <w:rPr>
                <w:rFonts w:cs="Arial"/>
              </w:rPr>
              <w:t>15;</w:t>
            </w:r>
          </w:p>
          <w:p w:rsidR="00444872" w:rsidRPr="00444872" w:rsidP="00444872" w14:paraId="61688F12" w14:textId="77777777">
            <w:pPr>
              <w:spacing w:before="120" w:after="120"/>
              <w:rPr>
                <w:rFonts w:cs="Arial"/>
              </w:rPr>
            </w:pPr>
            <w:r w:rsidRPr="00444872">
              <w:rPr>
                <w:rFonts w:cs="Arial"/>
              </w:rPr>
              <w:t>October 15</w:t>
            </w:r>
          </w:p>
        </w:tc>
        <w:tc>
          <w:tcPr>
            <w:tcW w:w="1170" w:type="dxa"/>
          </w:tcPr>
          <w:p w:rsidR="00444872" w:rsidRPr="00444872" w:rsidP="00444872" w14:paraId="0345A047" w14:textId="77777777">
            <w:pPr>
              <w:spacing w:before="120" w:after="120"/>
              <w:rPr>
                <w:rFonts w:cs="Arial"/>
              </w:rPr>
            </w:pPr>
            <w:r w:rsidRPr="00444872">
              <w:rPr>
                <w:rFonts w:cs="Arial"/>
              </w:rPr>
              <w:t>Quarterly</w:t>
            </w:r>
          </w:p>
        </w:tc>
        <w:tc>
          <w:tcPr>
            <w:tcW w:w="4703" w:type="dxa"/>
          </w:tcPr>
          <w:p w:rsidR="00444872" w:rsidRPr="00444872" w:rsidP="00444872" w14:paraId="21226523" w14:textId="77777777">
            <w:pPr>
              <w:spacing w:before="120" w:after="120"/>
              <w:rPr>
                <w:rFonts w:cs="Arial"/>
                <w:color w:val="FF0000"/>
              </w:rPr>
            </w:pPr>
            <w:r w:rsidRPr="00444872">
              <w:rPr>
                <w:rFonts w:cs="Arial"/>
                <w:i/>
              </w:rPr>
              <w:t xml:space="preserve">Domestic Uranium Production Report - Quarterly </w:t>
            </w:r>
            <w:hyperlink r:id="rId15" w:history="1">
              <w:r w:rsidRPr="00444872">
                <w:rPr>
                  <w:rFonts w:cs="Arial"/>
                  <w:color w:val="1396D8"/>
                  <w:sz w:val="20"/>
                  <w:u w:val="single"/>
                </w:rPr>
                <w:t>http://www.eia.gov/uranium/production/quarterly/</w:t>
              </w:r>
            </w:hyperlink>
          </w:p>
        </w:tc>
        <w:tc>
          <w:tcPr>
            <w:tcW w:w="1170" w:type="dxa"/>
          </w:tcPr>
          <w:p w:rsidR="00444872" w:rsidRPr="00444872" w:rsidP="00444872" w14:paraId="3F8EC30A" w14:textId="77777777">
            <w:pPr>
              <w:spacing w:before="120" w:after="120"/>
              <w:rPr>
                <w:rFonts w:cs="Arial"/>
              </w:rPr>
            </w:pPr>
            <w:r w:rsidRPr="00444872">
              <w:rPr>
                <w:rFonts w:cs="Arial"/>
              </w:rPr>
              <w:t>February;</w:t>
            </w:r>
          </w:p>
          <w:p w:rsidR="00444872" w:rsidRPr="00444872" w:rsidP="00444872" w14:paraId="62DD2083" w14:textId="77777777">
            <w:pPr>
              <w:spacing w:before="120" w:after="120"/>
              <w:rPr>
                <w:rFonts w:cs="Arial"/>
              </w:rPr>
            </w:pPr>
            <w:r w:rsidRPr="00444872">
              <w:rPr>
                <w:rFonts w:cs="Arial"/>
              </w:rPr>
              <w:t>May;</w:t>
            </w:r>
          </w:p>
          <w:p w:rsidR="00444872" w:rsidRPr="00444872" w:rsidP="00444872" w14:paraId="58351F2D" w14:textId="77777777">
            <w:pPr>
              <w:spacing w:before="120" w:after="120"/>
              <w:rPr>
                <w:rFonts w:cs="Arial"/>
              </w:rPr>
            </w:pPr>
            <w:r w:rsidRPr="00444872">
              <w:rPr>
                <w:rFonts w:cs="Arial"/>
              </w:rPr>
              <w:t>August;</w:t>
            </w:r>
          </w:p>
          <w:p w:rsidR="00444872" w:rsidRPr="00444872" w:rsidP="00444872" w14:paraId="08F9D62C" w14:textId="77777777">
            <w:pPr>
              <w:spacing w:before="120" w:after="120"/>
              <w:rPr>
                <w:rFonts w:cs="Arial"/>
              </w:rPr>
            </w:pPr>
            <w:r w:rsidRPr="00444872">
              <w:rPr>
                <w:rFonts w:cs="Arial"/>
              </w:rPr>
              <w:t>November</w:t>
            </w:r>
          </w:p>
        </w:tc>
      </w:tr>
      <w:tr w14:paraId="455C1A7A" w14:textId="77777777" w:rsidTr="00DA3844">
        <w:tblPrEx>
          <w:tblW w:w="10188" w:type="dxa"/>
          <w:tblLayout w:type="fixed"/>
          <w:tblLook w:val="0000"/>
        </w:tblPrEx>
        <w:trPr>
          <w:trHeight w:val="259"/>
        </w:trPr>
        <w:tc>
          <w:tcPr>
            <w:tcW w:w="715" w:type="dxa"/>
          </w:tcPr>
          <w:p w:rsidR="00444872" w:rsidRPr="00444872" w:rsidP="00444872" w14:paraId="75365EE2" w14:textId="77777777">
            <w:pPr>
              <w:spacing w:before="120" w:after="120"/>
              <w:rPr>
                <w:rFonts w:cs="Arial"/>
              </w:rPr>
            </w:pPr>
            <w:r w:rsidRPr="00444872">
              <w:rPr>
                <w:rFonts w:cs="Arial"/>
              </w:rPr>
              <w:t>EIA-858</w:t>
            </w:r>
          </w:p>
        </w:tc>
        <w:tc>
          <w:tcPr>
            <w:tcW w:w="1170" w:type="dxa"/>
          </w:tcPr>
          <w:p w:rsidR="00444872" w:rsidRPr="00444872" w:rsidP="00444872" w14:paraId="41E3061A" w14:textId="77777777">
            <w:pPr>
              <w:spacing w:before="120" w:after="120"/>
              <w:rPr>
                <w:rFonts w:cs="Arial"/>
              </w:rPr>
            </w:pPr>
            <w:r w:rsidRPr="00444872">
              <w:rPr>
                <w:rFonts w:cs="Arial"/>
              </w:rPr>
              <w:t xml:space="preserve">January 2 </w:t>
            </w:r>
          </w:p>
        </w:tc>
        <w:tc>
          <w:tcPr>
            <w:tcW w:w="1260" w:type="dxa"/>
          </w:tcPr>
          <w:p w:rsidR="00444872" w:rsidRPr="00444872" w:rsidP="00444872" w14:paraId="3D6DF2FB" w14:textId="77777777">
            <w:pPr>
              <w:spacing w:before="120" w:after="120"/>
              <w:rPr>
                <w:rFonts w:cs="Arial"/>
              </w:rPr>
            </w:pPr>
            <w:r w:rsidRPr="00444872">
              <w:rPr>
                <w:rFonts w:cs="Arial"/>
              </w:rPr>
              <w:t>March 1</w:t>
            </w:r>
          </w:p>
        </w:tc>
        <w:tc>
          <w:tcPr>
            <w:tcW w:w="1170" w:type="dxa"/>
          </w:tcPr>
          <w:p w:rsidR="00444872" w:rsidRPr="00444872" w:rsidP="00444872" w14:paraId="3E0F515D" w14:textId="77777777">
            <w:pPr>
              <w:spacing w:before="120" w:after="120"/>
              <w:rPr>
                <w:rFonts w:cs="Arial"/>
              </w:rPr>
            </w:pPr>
            <w:r w:rsidRPr="00444872">
              <w:rPr>
                <w:rFonts w:cs="Arial"/>
              </w:rPr>
              <w:t>Annual</w:t>
            </w:r>
          </w:p>
        </w:tc>
        <w:tc>
          <w:tcPr>
            <w:tcW w:w="4703" w:type="dxa"/>
          </w:tcPr>
          <w:p w:rsidR="00444872" w:rsidRPr="00444872" w:rsidP="00444872" w14:paraId="6CB12FE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1396D8"/>
                <w:u w:val="single"/>
              </w:rPr>
            </w:pPr>
            <w:r w:rsidRPr="00444872">
              <w:rPr>
                <w:rFonts w:cs="Arial"/>
                <w:i/>
              </w:rPr>
              <w:t xml:space="preserve">Uranium Marketing Annual Report </w:t>
            </w:r>
            <w:hyperlink r:id="rId16" w:history="1">
              <w:r w:rsidRPr="00444872">
                <w:rPr>
                  <w:rFonts w:cs="Arial"/>
                  <w:color w:val="1396D8"/>
                  <w:u w:val="single"/>
                </w:rPr>
                <w:t>http://www.eia.gov/uranium/marketing/</w:t>
              </w:r>
            </w:hyperlink>
          </w:p>
          <w:p w:rsidR="00444872" w:rsidRPr="00444872" w:rsidP="00444872" w14:paraId="6486B56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FF0000"/>
              </w:rPr>
            </w:pPr>
            <w:r w:rsidRPr="00444872">
              <w:rPr>
                <w:rFonts w:cs="Arial"/>
                <w:i/>
              </w:rPr>
              <w:t xml:space="preserve">Domestic Uranium Production Report – Annual </w:t>
            </w:r>
            <w:hyperlink r:id="rId14" w:history="1">
              <w:r w:rsidRPr="00444872">
                <w:rPr>
                  <w:rFonts w:cs="Arial"/>
                  <w:color w:val="1396D8"/>
                  <w:u w:val="single"/>
                </w:rPr>
                <w:t>http://www.eia.gov/uranium/production/annual/</w:t>
              </w:r>
            </w:hyperlink>
          </w:p>
        </w:tc>
        <w:tc>
          <w:tcPr>
            <w:tcW w:w="1170" w:type="dxa"/>
          </w:tcPr>
          <w:p w:rsidR="00444872" w:rsidRPr="00444872" w:rsidP="00444872" w14:paraId="1EEB5657" w14:textId="77777777">
            <w:pPr>
              <w:spacing w:before="120" w:after="120"/>
              <w:rPr>
                <w:rFonts w:cs="Arial"/>
              </w:rPr>
            </w:pPr>
            <w:r w:rsidRPr="00444872">
              <w:rPr>
                <w:rFonts w:cs="Arial"/>
              </w:rPr>
              <w:t>May</w:t>
            </w:r>
          </w:p>
        </w:tc>
      </w:tr>
    </w:tbl>
    <w:p w:rsidR="00F056C3" w:rsidP="00F82FA4" w14:paraId="7970901C" w14:textId="77777777">
      <w:pPr>
        <w:pStyle w:val="Heading2"/>
      </w:pPr>
      <w:bookmarkStart w:id="26" w:name="_Toc39588516"/>
      <w:r>
        <w:t>A.</w:t>
      </w:r>
      <w:r w:rsidRPr="00A41763" w:rsidR="00A41763">
        <w:t xml:space="preserve">17. </w:t>
      </w:r>
      <w:r w:rsidRPr="00F056C3">
        <w:t>OMB Number and Expiration Date</w:t>
      </w:r>
      <w:bookmarkEnd w:id="26"/>
      <w:r w:rsidRPr="00F056C3">
        <w:t xml:space="preserve"> </w:t>
      </w:r>
    </w:p>
    <w:p w:rsidR="00444872" w:rsidRPr="00444872" w:rsidP="00444872" w14:paraId="6E55818C" w14:textId="77777777">
      <w:pPr>
        <w:rPr>
          <w:rFonts w:cs="Arial"/>
          <w:bCs/>
        </w:rPr>
      </w:pPr>
      <w:r w:rsidRPr="00444872">
        <w:rPr>
          <w:rFonts w:cs="Arial"/>
          <w:bCs/>
        </w:rPr>
        <w:t>The OMB number 1905-0160 and expiration date will be displayed on the data collection forms and instructions.</w:t>
      </w:r>
    </w:p>
    <w:p w:rsidR="00F056C3" w:rsidP="00A41763" w14:paraId="6157CFF8" w14:textId="77777777">
      <w:pPr>
        <w:rPr>
          <w:b/>
          <w:bCs/>
        </w:rPr>
      </w:pPr>
    </w:p>
    <w:p w:rsidR="00F056C3" w:rsidP="00F82FA4" w14:paraId="00D23D88" w14:textId="77777777">
      <w:pPr>
        <w:pStyle w:val="Heading2"/>
      </w:pPr>
      <w:bookmarkStart w:id="27" w:name="_Toc39588517"/>
      <w:r>
        <w:t>A.</w:t>
      </w:r>
      <w:r w:rsidRPr="00A41763" w:rsidR="00A41763">
        <w:t xml:space="preserve">18. </w:t>
      </w:r>
      <w:r w:rsidRPr="00F056C3">
        <w:t>Certification Statement</w:t>
      </w:r>
      <w:bookmarkEnd w:id="27"/>
      <w:r w:rsidRPr="00F056C3">
        <w:t xml:space="preserve"> </w:t>
      </w:r>
    </w:p>
    <w:p w:rsidR="00444872" w:rsidRPr="00444872" w:rsidP="00444872" w14:paraId="1C8F351E" w14:textId="77777777">
      <w:pPr>
        <w:rPr>
          <w:rFonts w:cs="Arial"/>
        </w:rPr>
      </w:pPr>
      <w:r w:rsidRPr="00444872">
        <w:rPr>
          <w:rFonts w:cs="Arial"/>
        </w:rPr>
        <w:t>There are no exceptions to the certification statement identified in Item 19, "Certification for Paperwork Reduction Act Submissions," of OMB Form 83-I. This information collection request complies with 5 CFR §1320.9.</w:t>
      </w:r>
    </w:p>
    <w:p w:rsidR="00444872" w:rsidRPr="00444872" w:rsidP="00A41763" w14:paraId="3CF587E8" w14:textId="77777777"/>
    <w:sectPr w:rsidSect="00933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RPr="001F3A8F" w:rsidP="00616E46" w14:paraId="1CC39784" w14:textId="77777777">
    <w:pPr>
      <w:pStyle w:val="Footer"/>
      <w:tabs>
        <w:tab w:val="left" w:pos="8655"/>
        <w:tab w:val="clear" w:pos="9720"/>
      </w:tabs>
    </w:pPr>
    <w:r w:rsidRPr="00CB180D">
      <w:t>U.S. Energy Information Administration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Uranium Data Program</w:t>
        </w:r>
      </w:sdtContent>
    </w:sdt>
    <w:r>
      <w:t xml:space="preserve"> </w:t>
    </w:r>
    <w:r>
      <w:tab/>
      <w:t xml:space="preserve"> </w:t>
    </w:r>
    <w:r>
      <w:fldChar w:fldCharType="begin"/>
    </w:r>
    <w:r>
      <w:instrText xml:space="preserve"> PAGE   \* MERGEFORMAT </w:instrText>
    </w:r>
    <w:r>
      <w:fldChar w:fldCharType="separate"/>
    </w:r>
    <w:r w:rsidR="007336AF">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71155F24" w14:textId="77777777">
    <w:pPr>
      <w:pStyle w:val="Footer"/>
    </w:pPr>
    <w:sdt>
      <w:sdtPr>
        <w:id w:val="272451101"/>
        <w:docPartObj>
          <w:docPartGallery w:val="Page Numbers (Bottom of Page)"/>
          <w:docPartUnique/>
        </w:docPartObj>
      </w:sdtPr>
      <w:sdtContent>
        <w:r w:rsidRPr="00CB180D" w:rsidR="003A1BDB">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3A1BDB">
              <w:t>Improving the Quality and Scope of EIA Data</w:t>
            </w:r>
          </w:sdtContent>
        </w:sdt>
        <w:r w:rsidRPr="00CB180D" w:rsidR="003A1BDB">
          <w:tab/>
        </w:r>
      </w:sdtContent>
    </w:sdt>
    <w:r w:rsidRPr="00760677" w:rsidR="003A1BDB">
      <w:t xml:space="preserve"> </w:t>
    </w:r>
    <w:r w:rsidR="003A1BDB">
      <w:fldChar w:fldCharType="begin"/>
    </w:r>
    <w:r w:rsidR="003A1BDB">
      <w:instrText xml:space="preserve"> PAGE   \* MERGEFORMAT </w:instrText>
    </w:r>
    <w:r w:rsidR="003A1BDB">
      <w:fldChar w:fldCharType="separate"/>
    </w:r>
    <w:r w:rsidR="003A1BDB">
      <w:rPr>
        <w:noProof/>
      </w:rPr>
      <w:t>i</w:t>
    </w:r>
    <w:r w:rsidR="003A1BDB">
      <w:rPr>
        <w:noProof/>
      </w:rPr>
      <w:fldChar w:fldCharType="end"/>
    </w:r>
  </w:p>
  <w:p w:rsidR="00F46181" w14:paraId="5BEFE9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1A5D674F" w14:textId="77777777">
    <w:pPr>
      <w:pStyle w:val="Footer"/>
    </w:pPr>
    <w:sdt>
      <w:sdtPr>
        <w:id w:val="-22715443"/>
        <w:docPartObj>
          <w:docPartGallery w:val="Page Numbers (Bottom of Page)"/>
          <w:docPartUnique/>
        </w:docPartObj>
      </w:sdtPr>
      <w:sdtContent>
        <w:r w:rsidRPr="00CB180D" w:rsidR="003A1BDB">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3A1BDB">
              <w:t>Improving the Quality and Scope of EIA Data</w:t>
            </w:r>
          </w:sdtContent>
        </w:sdt>
        <w:r w:rsidRPr="00CB180D" w:rsidR="003A1BDB">
          <w:tab/>
        </w:r>
      </w:sdtContent>
    </w:sdt>
    <w:r w:rsidRPr="00760677" w:rsidR="003A1BDB">
      <w:t xml:space="preserve"> </w:t>
    </w:r>
    <w:r w:rsidR="003A1BDB">
      <w:fldChar w:fldCharType="begin"/>
    </w:r>
    <w:r w:rsidR="003A1BDB">
      <w:instrText xml:space="preserve"> PAGE   \* MERGEFORMAT </w:instrText>
    </w:r>
    <w:r w:rsidR="003A1BDB">
      <w:fldChar w:fldCharType="separate"/>
    </w:r>
    <w:r w:rsidR="003A1BDB">
      <w:rPr>
        <w:noProof/>
      </w:rPr>
      <w:t>ii</w:t>
    </w:r>
    <w:r w:rsidR="003A1BDB">
      <w:rPr>
        <w:noProof/>
      </w:rPr>
      <w:fldChar w:fldCharType="end"/>
    </w:r>
  </w:p>
  <w:p w:rsidR="00F46181" w:rsidP="00760677" w14:paraId="0C51128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5B16C630"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760677" w14:paraId="06E9DBDB" w14:textId="77777777">
    <w:pPr>
      <w:pStyle w:val="Footer"/>
    </w:pPr>
    <w:sdt>
      <w:sdtPr>
        <w:id w:val="-2118122873"/>
        <w:docPartObj>
          <w:docPartGallery w:val="Page Numbers (Bottom of Page)"/>
          <w:docPartUnique/>
        </w:docPartObj>
      </w:sdtPr>
      <w:sdtContent>
        <w:r w:rsidRPr="00CB180D" w:rsidR="003A1BDB">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Content>
            <w:r w:rsidR="003A1BDB">
              <w:t>Improving the Quality and Scope of EIA Data</w:t>
            </w:r>
          </w:sdtContent>
        </w:sdt>
        <w:r w:rsidRPr="00CB180D" w:rsidR="003A1BDB">
          <w:tab/>
        </w:r>
      </w:sdtContent>
    </w:sdt>
    <w:r w:rsidRPr="00760677" w:rsidR="003A1BDB">
      <w:t xml:space="preserve"> </w:t>
    </w:r>
    <w:r w:rsidR="003A1BDB">
      <w:fldChar w:fldCharType="begin"/>
    </w:r>
    <w:r w:rsidR="003A1BDB">
      <w:instrText xml:space="preserve"> PAGE   \* MERGEFORMAT </w:instrText>
    </w:r>
    <w:r w:rsidR="003A1BDB">
      <w:fldChar w:fldCharType="separate"/>
    </w:r>
    <w:r w:rsidR="003A1BDB">
      <w:rPr>
        <w:noProof/>
      </w:rPr>
      <w:t>1</w:t>
    </w:r>
    <w:r w:rsidR="003A1BDB">
      <w:rPr>
        <w:noProof/>
      </w:rPr>
      <w:fldChar w:fldCharType="end"/>
    </w:r>
  </w:p>
  <w:p w:rsidR="00F46181" w:rsidP="00760677" w14:paraId="54A40DF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RPr="001F3A8F" w:rsidP="00616E46" w14:paraId="28E26BCC" w14:textId="77777777">
    <w:pPr>
      <w:pStyle w:val="Footer"/>
      <w:tabs>
        <w:tab w:val="left" w:pos="8655"/>
        <w:tab w:val="clear" w:pos="9720"/>
      </w:tabs>
    </w:pPr>
    <w:r w:rsidRPr="00CB180D">
      <w:t>U.S. Energy Information Administration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Uranium Data Program</w:t>
        </w:r>
      </w:sdtContent>
    </w:sdt>
    <w:r>
      <w:t xml:space="preserve"> </w:t>
    </w:r>
    <w:r>
      <w:tab/>
      <w:t xml:space="preserve"> </w:t>
    </w:r>
    <w:r>
      <w:fldChar w:fldCharType="begin"/>
    </w:r>
    <w:r>
      <w:instrText xml:space="preserve"> PAGE   \* MERGEFORMAT </w:instrText>
    </w:r>
    <w:r>
      <w:fldChar w:fldCharType="separate"/>
    </w:r>
    <w:r w:rsidR="007336AF">
      <w:rPr>
        <w:noProof/>
      </w:rPr>
      <w:t>13</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RPr="00373208" w:rsidP="008F7A66" w14:paraId="6FCC6B58"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RPr="00F8298C" w:rsidP="008F7A66" w14:paraId="5B7B5C15" w14:textId="77777777">
    <w:pPr>
      <w:pStyle w:val="Header"/>
    </w:pPr>
    <w:r>
      <w:t>May</w:t>
    </w:r>
    <w:r w:rsidR="008F7A66">
      <w:t xml:space="preserve"> </w:t>
    </w:r>
    <w: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81" w:rsidP="008F7A66" w14:paraId="79B7CE7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multilevel"/>
    <w:tmpl w:val="F948091A"/>
    <w:lvl w:ilvl="0">
      <w:start w:val="1"/>
      <w:numFmt w:val="bullet"/>
      <w:pStyle w:val="ListBullet3"/>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3"/>
    <w:multiLevelType w:val="multilevel"/>
    <w:tmpl w:val="5268DBE4"/>
    <w:lvl w:ilvl="0">
      <w:start w:val="1"/>
      <w:numFmt w:val="bullet"/>
      <w:pStyle w:val="ListBullet2"/>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88"/>
    <w:multiLevelType w:val="multilevel"/>
    <w:tmpl w:val="8220A528"/>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9"/>
    <w:multiLevelType w:val="multilevel"/>
    <w:tmpl w:val="56A4488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7347894"/>
    <w:multiLevelType w:val="hybridMultilevel"/>
    <w:tmpl w:val="A5761758"/>
    <w:lvl w:ilvl="0">
      <w:start w:val="21"/>
      <w:numFmt w:val="bullet"/>
      <w:pStyle w:val="ListParagraph"/>
      <w:lvlText w:val="-"/>
      <w:lvlJc w:val="left"/>
      <w:pPr>
        <w:ind w:left="720" w:hanging="360"/>
      </w:pPr>
      <w:rPr>
        <w:rFonts w:ascii="Calibri" w:eastAsia="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223D81"/>
    <w:multiLevelType w:val="hybridMultilevel"/>
    <w:tmpl w:val="DDEC2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AC43FB"/>
    <w:multiLevelType w:val="hybridMultilevel"/>
    <w:tmpl w:val="2A545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CC41FC"/>
    <w:multiLevelType w:val="hybridMultilevel"/>
    <w:tmpl w:val="63E2592E"/>
    <w:lvl w:ilvl="0">
      <w:start w:val="1"/>
      <w:numFmt w:val="decimal"/>
      <w:lvlText w:val="%1."/>
      <w:lvlJc w:val="left"/>
      <w:pPr>
        <w:ind w:left="1080" w:hanging="360"/>
      </w:pPr>
      <w:rPr>
        <w:b w:val="0"/>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1820DD2"/>
    <w:multiLevelType w:val="hybridMultilevel"/>
    <w:tmpl w:val="C4CEA3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C736C4"/>
    <w:multiLevelType w:val="hybridMultilevel"/>
    <w:tmpl w:val="D4BA822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2">
    <w:nsid w:val="4BB361BD"/>
    <w:multiLevelType w:val="hybridMultilevel"/>
    <w:tmpl w:val="B5C86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D534EE"/>
    <w:multiLevelType w:val="hybridMultilevel"/>
    <w:tmpl w:val="37A067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A3758D"/>
    <w:multiLevelType w:val="hybridMultilevel"/>
    <w:tmpl w:val="CCC4F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844D7F"/>
    <w:multiLevelType w:val="hybridMultilevel"/>
    <w:tmpl w:val="DDEC2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863061"/>
    <w:multiLevelType w:val="multilevel"/>
    <w:tmpl w:val="98986D1A"/>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009402214">
    <w:abstractNumId w:val="3"/>
  </w:num>
  <w:num w:numId="2" w16cid:durableId="1914972949">
    <w:abstractNumId w:val="5"/>
  </w:num>
  <w:num w:numId="3" w16cid:durableId="111438757">
    <w:abstractNumId w:val="4"/>
  </w:num>
  <w:num w:numId="4" w16cid:durableId="882212290">
    <w:abstractNumId w:val="2"/>
  </w:num>
  <w:num w:numId="5" w16cid:durableId="1982299366">
    <w:abstractNumId w:val="1"/>
  </w:num>
  <w:num w:numId="6" w16cid:durableId="931553455">
    <w:abstractNumId w:val="0"/>
  </w:num>
  <w:num w:numId="7" w16cid:durableId="342321062">
    <w:abstractNumId w:val="16"/>
  </w:num>
  <w:num w:numId="8" w16cid:durableId="354040410">
    <w:abstractNumId w:val="14"/>
  </w:num>
  <w:num w:numId="9" w16cid:durableId="2132048347">
    <w:abstractNumId w:val="7"/>
  </w:num>
  <w:num w:numId="10" w16cid:durableId="1736539413">
    <w:abstractNumId w:val="10"/>
  </w:num>
  <w:num w:numId="11" w16cid:durableId="1239514042">
    <w:abstractNumId w:val="8"/>
  </w:num>
  <w:num w:numId="12" w16cid:durableId="625896461">
    <w:abstractNumId w:val="15"/>
  </w:num>
  <w:num w:numId="13" w16cid:durableId="1336806305">
    <w:abstractNumId w:val="13"/>
  </w:num>
  <w:num w:numId="14" w16cid:durableId="1318846833">
    <w:abstractNumId w:val="12"/>
  </w:num>
  <w:num w:numId="15" w16cid:durableId="1667247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845282">
    <w:abstractNumId w:val="6"/>
  </w:num>
  <w:num w:numId="17" w16cid:durableId="8973966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1B6A"/>
    <w:rsid w:val="0000364C"/>
    <w:rsid w:val="00004135"/>
    <w:rsid w:val="000041A1"/>
    <w:rsid w:val="000053BB"/>
    <w:rsid w:val="00011B3F"/>
    <w:rsid w:val="00013373"/>
    <w:rsid w:val="000142E5"/>
    <w:rsid w:val="00014C88"/>
    <w:rsid w:val="000151E2"/>
    <w:rsid w:val="00015DA7"/>
    <w:rsid w:val="00023375"/>
    <w:rsid w:val="000248CE"/>
    <w:rsid w:val="00024E1E"/>
    <w:rsid w:val="00030CBB"/>
    <w:rsid w:val="00034A4B"/>
    <w:rsid w:val="00037CE7"/>
    <w:rsid w:val="00041909"/>
    <w:rsid w:val="000457E4"/>
    <w:rsid w:val="00046593"/>
    <w:rsid w:val="00047C08"/>
    <w:rsid w:val="0005401F"/>
    <w:rsid w:val="00055769"/>
    <w:rsid w:val="00056EC3"/>
    <w:rsid w:val="00061073"/>
    <w:rsid w:val="0006230E"/>
    <w:rsid w:val="00062CFE"/>
    <w:rsid w:val="0007129A"/>
    <w:rsid w:val="00081E80"/>
    <w:rsid w:val="000826AE"/>
    <w:rsid w:val="000831C4"/>
    <w:rsid w:val="000835F6"/>
    <w:rsid w:val="000844CA"/>
    <w:rsid w:val="000927BE"/>
    <w:rsid w:val="00093CDB"/>
    <w:rsid w:val="000B140B"/>
    <w:rsid w:val="000B3504"/>
    <w:rsid w:val="000B3FBE"/>
    <w:rsid w:val="000C0461"/>
    <w:rsid w:val="000C28E1"/>
    <w:rsid w:val="000C5311"/>
    <w:rsid w:val="000D67CF"/>
    <w:rsid w:val="000E4FE4"/>
    <w:rsid w:val="000F040A"/>
    <w:rsid w:val="000F2637"/>
    <w:rsid w:val="000F4C50"/>
    <w:rsid w:val="000F4FE5"/>
    <w:rsid w:val="001034E8"/>
    <w:rsid w:val="00107B01"/>
    <w:rsid w:val="001113F1"/>
    <w:rsid w:val="0011252E"/>
    <w:rsid w:val="00112A69"/>
    <w:rsid w:val="0011541D"/>
    <w:rsid w:val="00122014"/>
    <w:rsid w:val="00125CBF"/>
    <w:rsid w:val="00132F4A"/>
    <w:rsid w:val="00133F8A"/>
    <w:rsid w:val="001470F9"/>
    <w:rsid w:val="00154192"/>
    <w:rsid w:val="00160BC8"/>
    <w:rsid w:val="0016107E"/>
    <w:rsid w:val="00165004"/>
    <w:rsid w:val="001658FB"/>
    <w:rsid w:val="00167425"/>
    <w:rsid w:val="001807A3"/>
    <w:rsid w:val="00183A70"/>
    <w:rsid w:val="0018579B"/>
    <w:rsid w:val="001872D9"/>
    <w:rsid w:val="00193092"/>
    <w:rsid w:val="001947D5"/>
    <w:rsid w:val="001A6E1E"/>
    <w:rsid w:val="001B0E69"/>
    <w:rsid w:val="001B1151"/>
    <w:rsid w:val="001B6585"/>
    <w:rsid w:val="001C472F"/>
    <w:rsid w:val="001D03A8"/>
    <w:rsid w:val="001D180F"/>
    <w:rsid w:val="001E634D"/>
    <w:rsid w:val="001E6F6E"/>
    <w:rsid w:val="001F3A8F"/>
    <w:rsid w:val="001F7E3E"/>
    <w:rsid w:val="002008B4"/>
    <w:rsid w:val="00201F24"/>
    <w:rsid w:val="0020228D"/>
    <w:rsid w:val="0020550E"/>
    <w:rsid w:val="00206119"/>
    <w:rsid w:val="002127CE"/>
    <w:rsid w:val="00214F79"/>
    <w:rsid w:val="00215842"/>
    <w:rsid w:val="00215847"/>
    <w:rsid w:val="002207DF"/>
    <w:rsid w:val="00221AC2"/>
    <w:rsid w:val="002224E4"/>
    <w:rsid w:val="00223490"/>
    <w:rsid w:val="00227E4B"/>
    <w:rsid w:val="0023015A"/>
    <w:rsid w:val="002308CD"/>
    <w:rsid w:val="0023708A"/>
    <w:rsid w:val="0025022D"/>
    <w:rsid w:val="002530BB"/>
    <w:rsid w:val="00254379"/>
    <w:rsid w:val="002556F3"/>
    <w:rsid w:val="002604B1"/>
    <w:rsid w:val="002605EA"/>
    <w:rsid w:val="00260EDF"/>
    <w:rsid w:val="002615A4"/>
    <w:rsid w:val="00264148"/>
    <w:rsid w:val="00264939"/>
    <w:rsid w:val="002722D9"/>
    <w:rsid w:val="00274179"/>
    <w:rsid w:val="00275050"/>
    <w:rsid w:val="00280E85"/>
    <w:rsid w:val="002838A0"/>
    <w:rsid w:val="00283B75"/>
    <w:rsid w:val="00290928"/>
    <w:rsid w:val="002944B1"/>
    <w:rsid w:val="002B0FD2"/>
    <w:rsid w:val="002C1E41"/>
    <w:rsid w:val="002C378C"/>
    <w:rsid w:val="002C73EA"/>
    <w:rsid w:val="002C784D"/>
    <w:rsid w:val="002D271E"/>
    <w:rsid w:val="002D5B58"/>
    <w:rsid w:val="002E0EAA"/>
    <w:rsid w:val="002E3FD5"/>
    <w:rsid w:val="002E4246"/>
    <w:rsid w:val="002E4271"/>
    <w:rsid w:val="002E7A38"/>
    <w:rsid w:val="00300F3C"/>
    <w:rsid w:val="00306516"/>
    <w:rsid w:val="00307BA6"/>
    <w:rsid w:val="003109CC"/>
    <w:rsid w:val="003140C0"/>
    <w:rsid w:val="00325433"/>
    <w:rsid w:val="00326425"/>
    <w:rsid w:val="00340467"/>
    <w:rsid w:val="003411F7"/>
    <w:rsid w:val="003469CB"/>
    <w:rsid w:val="00350C8B"/>
    <w:rsid w:val="00351313"/>
    <w:rsid w:val="00351A73"/>
    <w:rsid w:val="00357548"/>
    <w:rsid w:val="00362E8C"/>
    <w:rsid w:val="00363331"/>
    <w:rsid w:val="00366580"/>
    <w:rsid w:val="00371E14"/>
    <w:rsid w:val="00373208"/>
    <w:rsid w:val="00383DB3"/>
    <w:rsid w:val="00384234"/>
    <w:rsid w:val="003853E1"/>
    <w:rsid w:val="003854B2"/>
    <w:rsid w:val="00385AE6"/>
    <w:rsid w:val="00387C8D"/>
    <w:rsid w:val="00391137"/>
    <w:rsid w:val="003927C9"/>
    <w:rsid w:val="00392DD0"/>
    <w:rsid w:val="0039484F"/>
    <w:rsid w:val="003963B1"/>
    <w:rsid w:val="00396BCB"/>
    <w:rsid w:val="00397825"/>
    <w:rsid w:val="003A1073"/>
    <w:rsid w:val="003A10F3"/>
    <w:rsid w:val="003A1BDB"/>
    <w:rsid w:val="003A281B"/>
    <w:rsid w:val="003A3810"/>
    <w:rsid w:val="003A3906"/>
    <w:rsid w:val="003A3F78"/>
    <w:rsid w:val="003A64AD"/>
    <w:rsid w:val="003A7978"/>
    <w:rsid w:val="003B03A4"/>
    <w:rsid w:val="003C03EA"/>
    <w:rsid w:val="003C690C"/>
    <w:rsid w:val="003C75B1"/>
    <w:rsid w:val="003D6AA5"/>
    <w:rsid w:val="003E40FA"/>
    <w:rsid w:val="003F24ED"/>
    <w:rsid w:val="003F3F76"/>
    <w:rsid w:val="003F529E"/>
    <w:rsid w:val="00407CCE"/>
    <w:rsid w:val="00410433"/>
    <w:rsid w:val="00413424"/>
    <w:rsid w:val="00415015"/>
    <w:rsid w:val="00423DED"/>
    <w:rsid w:val="00426481"/>
    <w:rsid w:val="004316B7"/>
    <w:rsid w:val="00432966"/>
    <w:rsid w:val="00433CEC"/>
    <w:rsid w:val="00434F1E"/>
    <w:rsid w:val="00443F2A"/>
    <w:rsid w:val="00444872"/>
    <w:rsid w:val="00445344"/>
    <w:rsid w:val="00452E7B"/>
    <w:rsid w:val="00454E23"/>
    <w:rsid w:val="0045608E"/>
    <w:rsid w:val="0045662F"/>
    <w:rsid w:val="00457C3C"/>
    <w:rsid w:val="004647D4"/>
    <w:rsid w:val="00466959"/>
    <w:rsid w:val="00474214"/>
    <w:rsid w:val="004745BD"/>
    <w:rsid w:val="0047784B"/>
    <w:rsid w:val="00482E84"/>
    <w:rsid w:val="0048787F"/>
    <w:rsid w:val="004946F0"/>
    <w:rsid w:val="00495713"/>
    <w:rsid w:val="00497C2A"/>
    <w:rsid w:val="004A17E7"/>
    <w:rsid w:val="004A75A2"/>
    <w:rsid w:val="004B1075"/>
    <w:rsid w:val="004B72F5"/>
    <w:rsid w:val="004C1506"/>
    <w:rsid w:val="004C277B"/>
    <w:rsid w:val="004C27B2"/>
    <w:rsid w:val="004C4594"/>
    <w:rsid w:val="004D05FB"/>
    <w:rsid w:val="004D29C7"/>
    <w:rsid w:val="004D2A09"/>
    <w:rsid w:val="004D4796"/>
    <w:rsid w:val="004D48B5"/>
    <w:rsid w:val="004E10AB"/>
    <w:rsid w:val="004E3B14"/>
    <w:rsid w:val="004E768E"/>
    <w:rsid w:val="004F520B"/>
    <w:rsid w:val="00504119"/>
    <w:rsid w:val="0050412E"/>
    <w:rsid w:val="005065CF"/>
    <w:rsid w:val="00506BB4"/>
    <w:rsid w:val="0050705F"/>
    <w:rsid w:val="0051172A"/>
    <w:rsid w:val="005170D3"/>
    <w:rsid w:val="0052493A"/>
    <w:rsid w:val="0052783E"/>
    <w:rsid w:val="0053564E"/>
    <w:rsid w:val="00535CAF"/>
    <w:rsid w:val="00535F08"/>
    <w:rsid w:val="00536054"/>
    <w:rsid w:val="0053654B"/>
    <w:rsid w:val="00536CE1"/>
    <w:rsid w:val="0054180D"/>
    <w:rsid w:val="005453EE"/>
    <w:rsid w:val="00545C0F"/>
    <w:rsid w:val="00547B53"/>
    <w:rsid w:val="005515CD"/>
    <w:rsid w:val="0056462C"/>
    <w:rsid w:val="00571D8F"/>
    <w:rsid w:val="0057367D"/>
    <w:rsid w:val="0058351B"/>
    <w:rsid w:val="00585BE3"/>
    <w:rsid w:val="0059212D"/>
    <w:rsid w:val="005A0DBB"/>
    <w:rsid w:val="005B1AA0"/>
    <w:rsid w:val="005B2B58"/>
    <w:rsid w:val="005B46D5"/>
    <w:rsid w:val="005B4AAB"/>
    <w:rsid w:val="005B5E9A"/>
    <w:rsid w:val="005C00FA"/>
    <w:rsid w:val="005C0338"/>
    <w:rsid w:val="005C2D89"/>
    <w:rsid w:val="005C485B"/>
    <w:rsid w:val="005C73DC"/>
    <w:rsid w:val="005D2150"/>
    <w:rsid w:val="005D39D7"/>
    <w:rsid w:val="005D5956"/>
    <w:rsid w:val="005D6F63"/>
    <w:rsid w:val="005D720C"/>
    <w:rsid w:val="005E13E3"/>
    <w:rsid w:val="005E1CBC"/>
    <w:rsid w:val="005F0831"/>
    <w:rsid w:val="005F4848"/>
    <w:rsid w:val="00612C13"/>
    <w:rsid w:val="00616E46"/>
    <w:rsid w:val="0062008C"/>
    <w:rsid w:val="00620797"/>
    <w:rsid w:val="00620C64"/>
    <w:rsid w:val="00626494"/>
    <w:rsid w:val="00627CB6"/>
    <w:rsid w:val="006325CB"/>
    <w:rsid w:val="00634403"/>
    <w:rsid w:val="00635C7E"/>
    <w:rsid w:val="00641DE2"/>
    <w:rsid w:val="00643384"/>
    <w:rsid w:val="006519CD"/>
    <w:rsid w:val="0065406F"/>
    <w:rsid w:val="0065467F"/>
    <w:rsid w:val="00663EC4"/>
    <w:rsid w:val="00664D5C"/>
    <w:rsid w:val="00672EB1"/>
    <w:rsid w:val="006749F4"/>
    <w:rsid w:val="00675461"/>
    <w:rsid w:val="00676561"/>
    <w:rsid w:val="006767FD"/>
    <w:rsid w:val="0067776A"/>
    <w:rsid w:val="00677C5F"/>
    <w:rsid w:val="0068323F"/>
    <w:rsid w:val="00692436"/>
    <w:rsid w:val="00695AB8"/>
    <w:rsid w:val="006A0BC7"/>
    <w:rsid w:val="006A1AA6"/>
    <w:rsid w:val="006A552F"/>
    <w:rsid w:val="006B1A71"/>
    <w:rsid w:val="006B4D98"/>
    <w:rsid w:val="006B78D6"/>
    <w:rsid w:val="006C0062"/>
    <w:rsid w:val="006C085B"/>
    <w:rsid w:val="006C097E"/>
    <w:rsid w:val="006C2DC3"/>
    <w:rsid w:val="006C3B5F"/>
    <w:rsid w:val="006CF34F"/>
    <w:rsid w:val="006D0439"/>
    <w:rsid w:val="006D1577"/>
    <w:rsid w:val="006D209A"/>
    <w:rsid w:val="006D36AD"/>
    <w:rsid w:val="006D42EC"/>
    <w:rsid w:val="006E0A31"/>
    <w:rsid w:val="006E7DE8"/>
    <w:rsid w:val="00704B7D"/>
    <w:rsid w:val="00711414"/>
    <w:rsid w:val="00711836"/>
    <w:rsid w:val="00725453"/>
    <w:rsid w:val="00730DA0"/>
    <w:rsid w:val="0073212B"/>
    <w:rsid w:val="007336AF"/>
    <w:rsid w:val="007339BA"/>
    <w:rsid w:val="00736A67"/>
    <w:rsid w:val="00737591"/>
    <w:rsid w:val="00742B44"/>
    <w:rsid w:val="007438F2"/>
    <w:rsid w:val="0074519C"/>
    <w:rsid w:val="00752C92"/>
    <w:rsid w:val="00753033"/>
    <w:rsid w:val="00753382"/>
    <w:rsid w:val="00755C3D"/>
    <w:rsid w:val="007576EF"/>
    <w:rsid w:val="00760677"/>
    <w:rsid w:val="00761C12"/>
    <w:rsid w:val="007658BA"/>
    <w:rsid w:val="00776CF4"/>
    <w:rsid w:val="00777E63"/>
    <w:rsid w:val="00784F89"/>
    <w:rsid w:val="00786336"/>
    <w:rsid w:val="007951D6"/>
    <w:rsid w:val="00795AD0"/>
    <w:rsid w:val="007A0E7F"/>
    <w:rsid w:val="007A116B"/>
    <w:rsid w:val="007A4378"/>
    <w:rsid w:val="007B47B7"/>
    <w:rsid w:val="007B4A64"/>
    <w:rsid w:val="007B5FC9"/>
    <w:rsid w:val="007C2799"/>
    <w:rsid w:val="007C5250"/>
    <w:rsid w:val="007C5CE9"/>
    <w:rsid w:val="007C7320"/>
    <w:rsid w:val="007D20B2"/>
    <w:rsid w:val="007D39CC"/>
    <w:rsid w:val="007D6AAF"/>
    <w:rsid w:val="007E29F8"/>
    <w:rsid w:val="007E5A11"/>
    <w:rsid w:val="007E73E6"/>
    <w:rsid w:val="007F1954"/>
    <w:rsid w:val="007F21D7"/>
    <w:rsid w:val="007F646B"/>
    <w:rsid w:val="008057F8"/>
    <w:rsid w:val="00806CBD"/>
    <w:rsid w:val="00811910"/>
    <w:rsid w:val="00812C91"/>
    <w:rsid w:val="0081B947"/>
    <w:rsid w:val="008213F9"/>
    <w:rsid w:val="00823417"/>
    <w:rsid w:val="008307E1"/>
    <w:rsid w:val="00836D62"/>
    <w:rsid w:val="008415FD"/>
    <w:rsid w:val="008439E2"/>
    <w:rsid w:val="00844524"/>
    <w:rsid w:val="008448C2"/>
    <w:rsid w:val="00850F8F"/>
    <w:rsid w:val="008520F8"/>
    <w:rsid w:val="00863BAF"/>
    <w:rsid w:val="008663A3"/>
    <w:rsid w:val="00867160"/>
    <w:rsid w:val="00867344"/>
    <w:rsid w:val="0087205B"/>
    <w:rsid w:val="00873244"/>
    <w:rsid w:val="00874FB8"/>
    <w:rsid w:val="008758CE"/>
    <w:rsid w:val="008862EB"/>
    <w:rsid w:val="00893129"/>
    <w:rsid w:val="00895669"/>
    <w:rsid w:val="00897946"/>
    <w:rsid w:val="008A3276"/>
    <w:rsid w:val="008A3447"/>
    <w:rsid w:val="008A4450"/>
    <w:rsid w:val="008A7E5F"/>
    <w:rsid w:val="008B1300"/>
    <w:rsid w:val="008B2F98"/>
    <w:rsid w:val="008B5A48"/>
    <w:rsid w:val="008C734C"/>
    <w:rsid w:val="008E4BF2"/>
    <w:rsid w:val="008E5D1A"/>
    <w:rsid w:val="008F4CBD"/>
    <w:rsid w:val="008F7A66"/>
    <w:rsid w:val="009017AD"/>
    <w:rsid w:val="00901BED"/>
    <w:rsid w:val="00905735"/>
    <w:rsid w:val="00907716"/>
    <w:rsid w:val="00910670"/>
    <w:rsid w:val="00910E29"/>
    <w:rsid w:val="009131B9"/>
    <w:rsid w:val="0091409C"/>
    <w:rsid w:val="00922A15"/>
    <w:rsid w:val="0092442E"/>
    <w:rsid w:val="00933D5D"/>
    <w:rsid w:val="00935805"/>
    <w:rsid w:val="009368F3"/>
    <w:rsid w:val="009453DE"/>
    <w:rsid w:val="009459F2"/>
    <w:rsid w:val="00946936"/>
    <w:rsid w:val="00947C42"/>
    <w:rsid w:val="00950489"/>
    <w:rsid w:val="00954659"/>
    <w:rsid w:val="00957DE9"/>
    <w:rsid w:val="009616F7"/>
    <w:rsid w:val="00965A44"/>
    <w:rsid w:val="00966D0F"/>
    <w:rsid w:val="009672F3"/>
    <w:rsid w:val="00967D7C"/>
    <w:rsid w:val="0097548D"/>
    <w:rsid w:val="009757AD"/>
    <w:rsid w:val="00980B6A"/>
    <w:rsid w:val="009818F9"/>
    <w:rsid w:val="0098618F"/>
    <w:rsid w:val="00987C32"/>
    <w:rsid w:val="00991646"/>
    <w:rsid w:val="00992B7D"/>
    <w:rsid w:val="0099448B"/>
    <w:rsid w:val="00997347"/>
    <w:rsid w:val="009A07A1"/>
    <w:rsid w:val="009A28E9"/>
    <w:rsid w:val="009A31C1"/>
    <w:rsid w:val="009B19CE"/>
    <w:rsid w:val="009C1427"/>
    <w:rsid w:val="009C202F"/>
    <w:rsid w:val="009C413D"/>
    <w:rsid w:val="009C52E3"/>
    <w:rsid w:val="009C77F7"/>
    <w:rsid w:val="009E1AF6"/>
    <w:rsid w:val="009E48F1"/>
    <w:rsid w:val="009E5ABC"/>
    <w:rsid w:val="009E5B9C"/>
    <w:rsid w:val="009E6542"/>
    <w:rsid w:val="009E75B6"/>
    <w:rsid w:val="009F4ED1"/>
    <w:rsid w:val="009F657C"/>
    <w:rsid w:val="00A00D71"/>
    <w:rsid w:val="00A00EDF"/>
    <w:rsid w:val="00A13968"/>
    <w:rsid w:val="00A228E7"/>
    <w:rsid w:val="00A257DB"/>
    <w:rsid w:val="00A26A17"/>
    <w:rsid w:val="00A27D01"/>
    <w:rsid w:val="00A30169"/>
    <w:rsid w:val="00A301AB"/>
    <w:rsid w:val="00A312A3"/>
    <w:rsid w:val="00A33D9F"/>
    <w:rsid w:val="00A34F8F"/>
    <w:rsid w:val="00A36779"/>
    <w:rsid w:val="00A37229"/>
    <w:rsid w:val="00A4161C"/>
    <w:rsid w:val="00A41763"/>
    <w:rsid w:val="00A418C9"/>
    <w:rsid w:val="00A51714"/>
    <w:rsid w:val="00A63895"/>
    <w:rsid w:val="00A66D61"/>
    <w:rsid w:val="00A7085E"/>
    <w:rsid w:val="00A71255"/>
    <w:rsid w:val="00A72AA8"/>
    <w:rsid w:val="00A74903"/>
    <w:rsid w:val="00A74C9B"/>
    <w:rsid w:val="00A770CA"/>
    <w:rsid w:val="00A86297"/>
    <w:rsid w:val="00A874E4"/>
    <w:rsid w:val="00A93478"/>
    <w:rsid w:val="00A97FE7"/>
    <w:rsid w:val="00AA3D91"/>
    <w:rsid w:val="00AA3FD0"/>
    <w:rsid w:val="00AA46CA"/>
    <w:rsid w:val="00AA539A"/>
    <w:rsid w:val="00AA6029"/>
    <w:rsid w:val="00AA7EFA"/>
    <w:rsid w:val="00AB45F3"/>
    <w:rsid w:val="00AB46D2"/>
    <w:rsid w:val="00AB617B"/>
    <w:rsid w:val="00AB61B3"/>
    <w:rsid w:val="00AB6C0A"/>
    <w:rsid w:val="00AB6DA0"/>
    <w:rsid w:val="00AC1D23"/>
    <w:rsid w:val="00AC323A"/>
    <w:rsid w:val="00AD6357"/>
    <w:rsid w:val="00AD7F81"/>
    <w:rsid w:val="00AE2712"/>
    <w:rsid w:val="00AE4CA9"/>
    <w:rsid w:val="00AF367D"/>
    <w:rsid w:val="00AF45FD"/>
    <w:rsid w:val="00AF73A5"/>
    <w:rsid w:val="00B2096C"/>
    <w:rsid w:val="00B2386E"/>
    <w:rsid w:val="00B32DA8"/>
    <w:rsid w:val="00B35E2A"/>
    <w:rsid w:val="00B40A4C"/>
    <w:rsid w:val="00B4263D"/>
    <w:rsid w:val="00B53488"/>
    <w:rsid w:val="00B567C8"/>
    <w:rsid w:val="00B56F49"/>
    <w:rsid w:val="00B7442A"/>
    <w:rsid w:val="00B808B0"/>
    <w:rsid w:val="00B85AD8"/>
    <w:rsid w:val="00B9451B"/>
    <w:rsid w:val="00B97002"/>
    <w:rsid w:val="00BA3D84"/>
    <w:rsid w:val="00BB2694"/>
    <w:rsid w:val="00BB2959"/>
    <w:rsid w:val="00BB2F70"/>
    <w:rsid w:val="00BB36DB"/>
    <w:rsid w:val="00BB6CF4"/>
    <w:rsid w:val="00BC14C3"/>
    <w:rsid w:val="00BC1ABE"/>
    <w:rsid w:val="00BD2F20"/>
    <w:rsid w:val="00BD4F62"/>
    <w:rsid w:val="00BE4AFD"/>
    <w:rsid w:val="00BF1EEF"/>
    <w:rsid w:val="00C00590"/>
    <w:rsid w:val="00C0175A"/>
    <w:rsid w:val="00C04647"/>
    <w:rsid w:val="00C058CF"/>
    <w:rsid w:val="00C06A6A"/>
    <w:rsid w:val="00C074D5"/>
    <w:rsid w:val="00C122CE"/>
    <w:rsid w:val="00C12551"/>
    <w:rsid w:val="00C16ECE"/>
    <w:rsid w:val="00C211CD"/>
    <w:rsid w:val="00C25328"/>
    <w:rsid w:val="00C3744D"/>
    <w:rsid w:val="00C43A84"/>
    <w:rsid w:val="00C44AC0"/>
    <w:rsid w:val="00C45893"/>
    <w:rsid w:val="00C46941"/>
    <w:rsid w:val="00C62DC8"/>
    <w:rsid w:val="00C64137"/>
    <w:rsid w:val="00C6472F"/>
    <w:rsid w:val="00C658E4"/>
    <w:rsid w:val="00C65A45"/>
    <w:rsid w:val="00C711A2"/>
    <w:rsid w:val="00C7266E"/>
    <w:rsid w:val="00C76C66"/>
    <w:rsid w:val="00C82DF9"/>
    <w:rsid w:val="00C87190"/>
    <w:rsid w:val="00C94418"/>
    <w:rsid w:val="00C94808"/>
    <w:rsid w:val="00CA1564"/>
    <w:rsid w:val="00CA764E"/>
    <w:rsid w:val="00CA7C8A"/>
    <w:rsid w:val="00CB180D"/>
    <w:rsid w:val="00CB44E8"/>
    <w:rsid w:val="00CB75E2"/>
    <w:rsid w:val="00CB7978"/>
    <w:rsid w:val="00CC1D12"/>
    <w:rsid w:val="00CD3490"/>
    <w:rsid w:val="00CD645C"/>
    <w:rsid w:val="00CE42E9"/>
    <w:rsid w:val="00CE4971"/>
    <w:rsid w:val="00CF08D8"/>
    <w:rsid w:val="00CF6A77"/>
    <w:rsid w:val="00D001E4"/>
    <w:rsid w:val="00D00AA8"/>
    <w:rsid w:val="00D01B45"/>
    <w:rsid w:val="00D02778"/>
    <w:rsid w:val="00D13E84"/>
    <w:rsid w:val="00D17918"/>
    <w:rsid w:val="00D300F4"/>
    <w:rsid w:val="00D30927"/>
    <w:rsid w:val="00D3344B"/>
    <w:rsid w:val="00D40175"/>
    <w:rsid w:val="00D4068B"/>
    <w:rsid w:val="00D446F0"/>
    <w:rsid w:val="00D55243"/>
    <w:rsid w:val="00D62F90"/>
    <w:rsid w:val="00D63E74"/>
    <w:rsid w:val="00D65C0F"/>
    <w:rsid w:val="00D65D74"/>
    <w:rsid w:val="00D715C4"/>
    <w:rsid w:val="00D854D8"/>
    <w:rsid w:val="00D928FD"/>
    <w:rsid w:val="00D97D3B"/>
    <w:rsid w:val="00DA0688"/>
    <w:rsid w:val="00DA3844"/>
    <w:rsid w:val="00DC1BC8"/>
    <w:rsid w:val="00DC67B7"/>
    <w:rsid w:val="00DC79E3"/>
    <w:rsid w:val="00DD146E"/>
    <w:rsid w:val="00DD51E1"/>
    <w:rsid w:val="00DE2D54"/>
    <w:rsid w:val="00DE622A"/>
    <w:rsid w:val="00DF2617"/>
    <w:rsid w:val="00DF76C6"/>
    <w:rsid w:val="00E0143C"/>
    <w:rsid w:val="00E02BB0"/>
    <w:rsid w:val="00E03CE6"/>
    <w:rsid w:val="00E04028"/>
    <w:rsid w:val="00E108C3"/>
    <w:rsid w:val="00E13716"/>
    <w:rsid w:val="00E21544"/>
    <w:rsid w:val="00E22368"/>
    <w:rsid w:val="00E266FF"/>
    <w:rsid w:val="00E27661"/>
    <w:rsid w:val="00E31D16"/>
    <w:rsid w:val="00E34212"/>
    <w:rsid w:val="00E416C5"/>
    <w:rsid w:val="00E47DB3"/>
    <w:rsid w:val="00E509A9"/>
    <w:rsid w:val="00E51F8B"/>
    <w:rsid w:val="00E5242A"/>
    <w:rsid w:val="00E53398"/>
    <w:rsid w:val="00E549B0"/>
    <w:rsid w:val="00E55CCD"/>
    <w:rsid w:val="00E63F44"/>
    <w:rsid w:val="00E66AE2"/>
    <w:rsid w:val="00E732EA"/>
    <w:rsid w:val="00E74DA4"/>
    <w:rsid w:val="00E75895"/>
    <w:rsid w:val="00E760BF"/>
    <w:rsid w:val="00E81B89"/>
    <w:rsid w:val="00E85355"/>
    <w:rsid w:val="00E91432"/>
    <w:rsid w:val="00E91B5A"/>
    <w:rsid w:val="00EA2FF5"/>
    <w:rsid w:val="00EA4C8B"/>
    <w:rsid w:val="00EB02FF"/>
    <w:rsid w:val="00EB707C"/>
    <w:rsid w:val="00EC1244"/>
    <w:rsid w:val="00EC2D4E"/>
    <w:rsid w:val="00EC3BEB"/>
    <w:rsid w:val="00EC618F"/>
    <w:rsid w:val="00ED21C8"/>
    <w:rsid w:val="00ED31DE"/>
    <w:rsid w:val="00ED6E45"/>
    <w:rsid w:val="00EE15FA"/>
    <w:rsid w:val="00EE2CAF"/>
    <w:rsid w:val="00EE43E4"/>
    <w:rsid w:val="00EE4C40"/>
    <w:rsid w:val="00EE65EE"/>
    <w:rsid w:val="00EF3421"/>
    <w:rsid w:val="00EF440E"/>
    <w:rsid w:val="00EF737E"/>
    <w:rsid w:val="00F001EA"/>
    <w:rsid w:val="00F016E7"/>
    <w:rsid w:val="00F02E82"/>
    <w:rsid w:val="00F056C3"/>
    <w:rsid w:val="00F13568"/>
    <w:rsid w:val="00F1683F"/>
    <w:rsid w:val="00F16B90"/>
    <w:rsid w:val="00F20DA2"/>
    <w:rsid w:val="00F21E54"/>
    <w:rsid w:val="00F222CC"/>
    <w:rsid w:val="00F22B43"/>
    <w:rsid w:val="00F27ABD"/>
    <w:rsid w:val="00F34F19"/>
    <w:rsid w:val="00F42593"/>
    <w:rsid w:val="00F44A21"/>
    <w:rsid w:val="00F46181"/>
    <w:rsid w:val="00F47604"/>
    <w:rsid w:val="00F575F0"/>
    <w:rsid w:val="00F63379"/>
    <w:rsid w:val="00F6664C"/>
    <w:rsid w:val="00F73B6D"/>
    <w:rsid w:val="00F74364"/>
    <w:rsid w:val="00F74C42"/>
    <w:rsid w:val="00F750E7"/>
    <w:rsid w:val="00F77DE7"/>
    <w:rsid w:val="00F80AF1"/>
    <w:rsid w:val="00F8298C"/>
    <w:rsid w:val="00F82FA4"/>
    <w:rsid w:val="00F901EF"/>
    <w:rsid w:val="00F90245"/>
    <w:rsid w:val="00F920D9"/>
    <w:rsid w:val="00F94781"/>
    <w:rsid w:val="00FA0064"/>
    <w:rsid w:val="00FA5388"/>
    <w:rsid w:val="00FA75EE"/>
    <w:rsid w:val="00FB08E3"/>
    <w:rsid w:val="00FB6BF3"/>
    <w:rsid w:val="00FC55AC"/>
    <w:rsid w:val="00FD397B"/>
    <w:rsid w:val="00FD4B01"/>
    <w:rsid w:val="00FD52F2"/>
    <w:rsid w:val="00FD7CDC"/>
    <w:rsid w:val="00FD7F33"/>
    <w:rsid w:val="00FE58E0"/>
    <w:rsid w:val="00FE74D0"/>
    <w:rsid w:val="00FF5F2C"/>
    <w:rsid w:val="00FF62B5"/>
    <w:rsid w:val="00FF6853"/>
    <w:rsid w:val="01475005"/>
    <w:rsid w:val="015F1D31"/>
    <w:rsid w:val="01CF2641"/>
    <w:rsid w:val="02B4FD86"/>
    <w:rsid w:val="0399F3A0"/>
    <w:rsid w:val="03D370A6"/>
    <w:rsid w:val="048B4BD6"/>
    <w:rsid w:val="04E31A9C"/>
    <w:rsid w:val="04F53EF3"/>
    <w:rsid w:val="04FB0213"/>
    <w:rsid w:val="05B54F44"/>
    <w:rsid w:val="05D6CCED"/>
    <w:rsid w:val="0658DF43"/>
    <w:rsid w:val="06E5E8CF"/>
    <w:rsid w:val="074624B3"/>
    <w:rsid w:val="08EE0D5B"/>
    <w:rsid w:val="08EEFED8"/>
    <w:rsid w:val="090A34AD"/>
    <w:rsid w:val="092A4D76"/>
    <w:rsid w:val="0937DB42"/>
    <w:rsid w:val="096096BC"/>
    <w:rsid w:val="09DE1D0C"/>
    <w:rsid w:val="0AC1A683"/>
    <w:rsid w:val="0AE9CD0D"/>
    <w:rsid w:val="0B8E707A"/>
    <w:rsid w:val="0B9DD983"/>
    <w:rsid w:val="0BE6F6ED"/>
    <w:rsid w:val="0C6A72DE"/>
    <w:rsid w:val="0CECB849"/>
    <w:rsid w:val="0D4F71DD"/>
    <w:rsid w:val="0D509915"/>
    <w:rsid w:val="0D6A610F"/>
    <w:rsid w:val="0D9C27F2"/>
    <w:rsid w:val="0DE8BA84"/>
    <w:rsid w:val="0EEEA52F"/>
    <w:rsid w:val="0F15732A"/>
    <w:rsid w:val="0F2A3DD8"/>
    <w:rsid w:val="0FBD97CC"/>
    <w:rsid w:val="1052F3A2"/>
    <w:rsid w:val="11347FF5"/>
    <w:rsid w:val="11A4580C"/>
    <w:rsid w:val="11C7D814"/>
    <w:rsid w:val="11F494A6"/>
    <w:rsid w:val="12C5FB4A"/>
    <w:rsid w:val="13E3123F"/>
    <w:rsid w:val="1403DEB3"/>
    <w:rsid w:val="148E5D8C"/>
    <w:rsid w:val="15696A74"/>
    <w:rsid w:val="15FFA71F"/>
    <w:rsid w:val="16C36DC3"/>
    <w:rsid w:val="173118D7"/>
    <w:rsid w:val="17900AF0"/>
    <w:rsid w:val="17B21D11"/>
    <w:rsid w:val="17BE8601"/>
    <w:rsid w:val="17F0AF4E"/>
    <w:rsid w:val="1A8D0F0D"/>
    <w:rsid w:val="1B0E30FF"/>
    <w:rsid w:val="1B3B853C"/>
    <w:rsid w:val="1B63A7F1"/>
    <w:rsid w:val="1C4AEEFB"/>
    <w:rsid w:val="1C9F36C3"/>
    <w:rsid w:val="1D22528F"/>
    <w:rsid w:val="1D28A544"/>
    <w:rsid w:val="1D4D57C1"/>
    <w:rsid w:val="1E289771"/>
    <w:rsid w:val="1ED16930"/>
    <w:rsid w:val="1F000D98"/>
    <w:rsid w:val="2008D168"/>
    <w:rsid w:val="203CC44D"/>
    <w:rsid w:val="211A2F85"/>
    <w:rsid w:val="21AB0A42"/>
    <w:rsid w:val="22C17941"/>
    <w:rsid w:val="23A048AC"/>
    <w:rsid w:val="243AEE3C"/>
    <w:rsid w:val="252885DB"/>
    <w:rsid w:val="255BF3CE"/>
    <w:rsid w:val="25BCB843"/>
    <w:rsid w:val="265784CE"/>
    <w:rsid w:val="26995ED1"/>
    <w:rsid w:val="26BAE1A6"/>
    <w:rsid w:val="27269135"/>
    <w:rsid w:val="28338214"/>
    <w:rsid w:val="29EBB064"/>
    <w:rsid w:val="2A61FAF1"/>
    <w:rsid w:val="2A78D11D"/>
    <w:rsid w:val="2A914D62"/>
    <w:rsid w:val="2AB42D12"/>
    <w:rsid w:val="2C176591"/>
    <w:rsid w:val="2C2FC60D"/>
    <w:rsid w:val="2D3999A2"/>
    <w:rsid w:val="2F18E4BF"/>
    <w:rsid w:val="308845E1"/>
    <w:rsid w:val="308D7340"/>
    <w:rsid w:val="30CC5048"/>
    <w:rsid w:val="3181D3E3"/>
    <w:rsid w:val="321C5B8D"/>
    <w:rsid w:val="3245D7CE"/>
    <w:rsid w:val="3263833D"/>
    <w:rsid w:val="32848A9F"/>
    <w:rsid w:val="331EF2FA"/>
    <w:rsid w:val="332F9C4E"/>
    <w:rsid w:val="334D2561"/>
    <w:rsid w:val="33D6692A"/>
    <w:rsid w:val="3404D18C"/>
    <w:rsid w:val="3405B06D"/>
    <w:rsid w:val="34604886"/>
    <w:rsid w:val="351BF85F"/>
    <w:rsid w:val="356F2DD3"/>
    <w:rsid w:val="35E3447A"/>
    <w:rsid w:val="35E66377"/>
    <w:rsid w:val="3630BF6C"/>
    <w:rsid w:val="363C9931"/>
    <w:rsid w:val="366ECE30"/>
    <w:rsid w:val="37198241"/>
    <w:rsid w:val="371C94D9"/>
    <w:rsid w:val="380FD682"/>
    <w:rsid w:val="387A2F69"/>
    <w:rsid w:val="3895C633"/>
    <w:rsid w:val="39437CDC"/>
    <w:rsid w:val="398903CF"/>
    <w:rsid w:val="39C01175"/>
    <w:rsid w:val="3A23A806"/>
    <w:rsid w:val="3A71BA60"/>
    <w:rsid w:val="3AE49090"/>
    <w:rsid w:val="3AFDF192"/>
    <w:rsid w:val="3C0DC627"/>
    <w:rsid w:val="3D439992"/>
    <w:rsid w:val="3D5919E7"/>
    <w:rsid w:val="3DFD9B80"/>
    <w:rsid w:val="3EDF4CDA"/>
    <w:rsid w:val="4073B89F"/>
    <w:rsid w:val="407FAF20"/>
    <w:rsid w:val="40863AD9"/>
    <w:rsid w:val="4096177E"/>
    <w:rsid w:val="40C98445"/>
    <w:rsid w:val="40D8A25E"/>
    <w:rsid w:val="41F4B075"/>
    <w:rsid w:val="42470B3F"/>
    <w:rsid w:val="4269F19A"/>
    <w:rsid w:val="43847223"/>
    <w:rsid w:val="44B083CD"/>
    <w:rsid w:val="44CE2AC4"/>
    <w:rsid w:val="450C5AB3"/>
    <w:rsid w:val="46E64F59"/>
    <w:rsid w:val="471B062A"/>
    <w:rsid w:val="475449D5"/>
    <w:rsid w:val="488395D1"/>
    <w:rsid w:val="4915CC43"/>
    <w:rsid w:val="4A697A5E"/>
    <w:rsid w:val="4AAFFBEF"/>
    <w:rsid w:val="4B880A2D"/>
    <w:rsid w:val="4BFB7AB4"/>
    <w:rsid w:val="4C2D1C09"/>
    <w:rsid w:val="4C7572A4"/>
    <w:rsid w:val="4CF2556B"/>
    <w:rsid w:val="4DB3909F"/>
    <w:rsid w:val="4E1A0CFE"/>
    <w:rsid w:val="4EC0D681"/>
    <w:rsid w:val="4F58D161"/>
    <w:rsid w:val="50F6FFF8"/>
    <w:rsid w:val="51706D80"/>
    <w:rsid w:val="52212830"/>
    <w:rsid w:val="526E2CE6"/>
    <w:rsid w:val="52840DE8"/>
    <w:rsid w:val="52EC414E"/>
    <w:rsid w:val="5319B853"/>
    <w:rsid w:val="533122BC"/>
    <w:rsid w:val="53C78FB5"/>
    <w:rsid w:val="53C7B475"/>
    <w:rsid w:val="540C3514"/>
    <w:rsid w:val="541B70F7"/>
    <w:rsid w:val="5455998D"/>
    <w:rsid w:val="54B0A420"/>
    <w:rsid w:val="54F22E64"/>
    <w:rsid w:val="5500C3D9"/>
    <w:rsid w:val="5549F5D0"/>
    <w:rsid w:val="555D9B64"/>
    <w:rsid w:val="56763F9A"/>
    <w:rsid w:val="56A10D09"/>
    <w:rsid w:val="5868B559"/>
    <w:rsid w:val="59ED60A8"/>
    <w:rsid w:val="5A67FE4C"/>
    <w:rsid w:val="5AF2E1C1"/>
    <w:rsid w:val="5B74FB97"/>
    <w:rsid w:val="5C350EE8"/>
    <w:rsid w:val="5C56F285"/>
    <w:rsid w:val="5C5F1970"/>
    <w:rsid w:val="5C9E79C5"/>
    <w:rsid w:val="5D6C17D5"/>
    <w:rsid w:val="5DB3D8B4"/>
    <w:rsid w:val="5DFFC4FC"/>
    <w:rsid w:val="5E3679C8"/>
    <w:rsid w:val="5E4DDBE0"/>
    <w:rsid w:val="5ED7F591"/>
    <w:rsid w:val="5FBEE85C"/>
    <w:rsid w:val="60187CF3"/>
    <w:rsid w:val="6084FCAF"/>
    <w:rsid w:val="6165C128"/>
    <w:rsid w:val="61C91F95"/>
    <w:rsid w:val="61ED9B74"/>
    <w:rsid w:val="624F14FF"/>
    <w:rsid w:val="63B6C982"/>
    <w:rsid w:val="64665B60"/>
    <w:rsid w:val="646A3411"/>
    <w:rsid w:val="64D0B93A"/>
    <w:rsid w:val="65232DAE"/>
    <w:rsid w:val="657AEEE4"/>
    <w:rsid w:val="65C30088"/>
    <w:rsid w:val="65DA657A"/>
    <w:rsid w:val="65FCA2D2"/>
    <w:rsid w:val="6746F858"/>
    <w:rsid w:val="6753578E"/>
    <w:rsid w:val="675E18E7"/>
    <w:rsid w:val="67C46473"/>
    <w:rsid w:val="6931F46E"/>
    <w:rsid w:val="6A1DFCAC"/>
    <w:rsid w:val="6C247F16"/>
    <w:rsid w:val="6CE196B1"/>
    <w:rsid w:val="6E970574"/>
    <w:rsid w:val="6E9E60AF"/>
    <w:rsid w:val="6EB773AA"/>
    <w:rsid w:val="6F293425"/>
    <w:rsid w:val="6FED9962"/>
    <w:rsid w:val="704FCD23"/>
    <w:rsid w:val="705EFD28"/>
    <w:rsid w:val="70812DCF"/>
    <w:rsid w:val="708EFCCC"/>
    <w:rsid w:val="713B1E16"/>
    <w:rsid w:val="716437D5"/>
    <w:rsid w:val="71DEB617"/>
    <w:rsid w:val="72344375"/>
    <w:rsid w:val="72D538E4"/>
    <w:rsid w:val="7373D2EB"/>
    <w:rsid w:val="739AA358"/>
    <w:rsid w:val="7420B895"/>
    <w:rsid w:val="7758EEE6"/>
    <w:rsid w:val="77AFA137"/>
    <w:rsid w:val="77F4FCCD"/>
    <w:rsid w:val="78D10753"/>
    <w:rsid w:val="78F251B3"/>
    <w:rsid w:val="7926BCCA"/>
    <w:rsid w:val="79441DE8"/>
    <w:rsid w:val="794A72F1"/>
    <w:rsid w:val="794BD159"/>
    <w:rsid w:val="7AA909A0"/>
    <w:rsid w:val="7AAB8C23"/>
    <w:rsid w:val="7AD5D713"/>
    <w:rsid w:val="7C2DA84F"/>
    <w:rsid w:val="7C64B19A"/>
    <w:rsid w:val="7C7818E9"/>
    <w:rsid w:val="7CDE7C64"/>
    <w:rsid w:val="7DBAF5D1"/>
    <w:rsid w:val="7DDC9F39"/>
    <w:rsid w:val="7E75C185"/>
    <w:rsid w:val="7EEB37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801466"/>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664D5C"/>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2FA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2FA4"/>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8F7A66"/>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8F7A66"/>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8787F"/>
    <w:pPr>
      <w:numPr>
        <w:numId w:val="16"/>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A27D01"/>
    <w:rPr>
      <w:sz w:val="16"/>
      <w:szCs w:val="16"/>
    </w:rPr>
  </w:style>
  <w:style w:type="paragraph" w:styleId="CommentText">
    <w:name w:val="annotation text"/>
    <w:basedOn w:val="Normal"/>
    <w:link w:val="CommentTextChar"/>
    <w:uiPriority w:val="99"/>
    <w:unhideWhenUsed/>
    <w:locked/>
    <w:rsid w:val="00A27D01"/>
    <w:pPr>
      <w:spacing w:line="240" w:lineRule="auto"/>
    </w:pPr>
    <w:rPr>
      <w:sz w:val="20"/>
      <w:szCs w:val="20"/>
    </w:rPr>
  </w:style>
  <w:style w:type="character" w:customStyle="1" w:styleId="CommentTextChar">
    <w:name w:val="Comment Text Char"/>
    <w:basedOn w:val="DefaultParagraphFont"/>
    <w:link w:val="CommentText"/>
    <w:uiPriority w:val="99"/>
    <w:rsid w:val="00A27D01"/>
    <w:rPr>
      <w:sz w:val="20"/>
      <w:szCs w:val="20"/>
    </w:rPr>
  </w:style>
  <w:style w:type="paragraph" w:styleId="CommentSubject">
    <w:name w:val="annotation subject"/>
    <w:basedOn w:val="CommentText"/>
    <w:next w:val="CommentText"/>
    <w:link w:val="CommentSubjectChar"/>
    <w:uiPriority w:val="99"/>
    <w:semiHidden/>
    <w:unhideWhenUsed/>
    <w:locked/>
    <w:rsid w:val="00A27D01"/>
    <w:rPr>
      <w:b/>
      <w:bCs/>
    </w:rPr>
  </w:style>
  <w:style w:type="character" w:customStyle="1" w:styleId="CommentSubjectChar">
    <w:name w:val="Comment Subject Char"/>
    <w:basedOn w:val="CommentTextChar"/>
    <w:link w:val="CommentSubject"/>
    <w:uiPriority w:val="99"/>
    <w:semiHidden/>
    <w:rsid w:val="00A27D01"/>
    <w:rPr>
      <w:b/>
      <w:bCs/>
      <w:sz w:val="20"/>
      <w:szCs w:val="20"/>
    </w:rPr>
  </w:style>
  <w:style w:type="character" w:styleId="FollowedHyperlink">
    <w:name w:val="FollowedHyperlink"/>
    <w:basedOn w:val="DefaultParagraphFont"/>
    <w:uiPriority w:val="99"/>
    <w:semiHidden/>
    <w:unhideWhenUsed/>
    <w:locked/>
    <w:rsid w:val="00E21544"/>
    <w:rPr>
      <w:color w:val="5D9732" w:themeColor="followedHyperlink"/>
      <w:u w:val="single"/>
    </w:rPr>
  </w:style>
  <w:style w:type="character" w:customStyle="1" w:styleId="normaltextrun">
    <w:name w:val="normaltextrun"/>
    <w:basedOn w:val="DefaultParagraphFont"/>
    <w:rsid w:val="00165004"/>
  </w:style>
  <w:style w:type="character" w:customStyle="1" w:styleId="eop">
    <w:name w:val="eop"/>
    <w:basedOn w:val="DefaultParagraphFont"/>
    <w:rsid w:val="00165004"/>
  </w:style>
  <w:style w:type="paragraph" w:styleId="Revision">
    <w:name w:val="Revision"/>
    <w:hidden/>
    <w:uiPriority w:val="99"/>
    <w:semiHidden/>
    <w:rsid w:val="003853E1"/>
    <w:pPr>
      <w:spacing w:after="0"/>
    </w:pPr>
  </w:style>
  <w:style w:type="character" w:styleId="Mention">
    <w:name w:val="Mention"/>
    <w:basedOn w:val="DefaultParagraphFont"/>
    <w:uiPriority w:val="99"/>
    <w:unhideWhenUsed/>
    <w:rsid w:val="004745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eia.gov/uranium/production/annual/" TargetMode="External" /><Relationship Id="rId15" Type="http://schemas.openxmlformats.org/officeDocument/2006/relationships/hyperlink" Target="http://www.eia.gov/uranium/production/quarterly/" TargetMode="External" /><Relationship Id="rId16" Type="http://schemas.openxmlformats.org/officeDocument/2006/relationships/hyperlink" Target="http://www.eia.gov/uranium/marketing/"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77ADA"/>
    <w:rsid w:val="002925F3"/>
    <w:rsid w:val="002B0400"/>
    <w:rsid w:val="00322156"/>
    <w:rsid w:val="00394A84"/>
    <w:rsid w:val="004F2E9B"/>
    <w:rsid w:val="00596CCE"/>
    <w:rsid w:val="0076740D"/>
    <w:rsid w:val="008E7155"/>
    <w:rsid w:val="0097548D"/>
    <w:rsid w:val="009E75B6"/>
    <w:rsid w:val="00B30F8B"/>
    <w:rsid w:val="00B512EA"/>
    <w:rsid w:val="00BD2155"/>
    <w:rsid w:val="00C03106"/>
    <w:rsid w:val="00D179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36BD9D-B783-463D-AF80-B8B049ED2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4C41E-37B8-4BB0-AF76-1DEB1FA089D9}">
  <ds:schemaRefs>
    <ds:schemaRef ds:uri="http://schemas.openxmlformats.org/package/2006/metadata/core-properties"/>
    <ds:schemaRef ds:uri="http://purl.org/dc/elements/1.1/"/>
    <ds:schemaRef ds:uri="f600328b-9bc1-49f4-ac38-a13ae9074617"/>
    <ds:schemaRef ds:uri="http://schemas.microsoft.com/office/2006/metadata/properties"/>
    <ds:schemaRef ds:uri="http://www.w3.org/XML/1998/namespace"/>
    <ds:schemaRef ds:uri="http://purl.org/dc/terms/"/>
    <ds:schemaRef ds:uri="0ecc70da-eab6-411d-8058-deb5dffcc27c"/>
    <ds:schemaRef ds:uri="http://schemas.microsoft.com/office/2006/documentManagement/types"/>
    <ds:schemaRef ds:uri="http://schemas.microsoft.com/office/infopath/2007/PartnerControls"/>
    <ds:schemaRef ds:uri="http://purl.org/dc/dcmitype/"/>
    <ds:schemaRef ds:uri="d588c4e7-d2ae-4a4b-9907-42eca676916f"/>
  </ds:schemaRefs>
</ds:datastoreItem>
</file>

<file path=customXml/itemProps4.xml><?xml version="1.0" encoding="utf-8"?>
<ds:datastoreItem xmlns:ds="http://schemas.openxmlformats.org/officeDocument/2006/customXml" ds:itemID="{451DC3AA-57B9-4B62-BCEB-B46ABF9C46A5}">
  <ds:schemaRefs>
    <ds:schemaRef ds:uri="http://schemas.microsoft.com/sharepoint/v3/contenttype/forms"/>
  </ds:schemaRefs>
</ds:datastoreItem>
</file>

<file path=customXml/itemProps5.xml><?xml version="1.0" encoding="utf-8"?>
<ds:datastoreItem xmlns:ds="http://schemas.openxmlformats.org/officeDocument/2006/customXml" ds:itemID="{DA752F2A-5EA6-4224-BC0F-8B2AA838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2</TotalTime>
  <Pages>13</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Uranium Data Program</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Uranium Data Program</dc:title>
  <dc:subject>Improving the Quality and Scope of EIA Data</dc:subject>
  <dc:creator>Stroud, Lawrence</dc:creator>
  <cp:lastModifiedBy>Morales, Gerson</cp:lastModifiedBy>
  <cp:revision>4</cp:revision>
  <cp:lastPrinted>2011-12-12T20:42:00Z</cp:lastPrinted>
  <dcterms:created xsi:type="dcterms:W3CDTF">2024-05-06T19:34:00Z</dcterms:created>
  <dcterms:modified xsi:type="dcterms:W3CDTF">2024-05-06T19:40:00Z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