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0F83" w:rsidRPr="006C5C48" w:rsidP="00BE0F83" w14:paraId="64B011F2" w14:textId="77777777">
      <w:pPr>
        <w:tabs>
          <w:tab w:val="center" w:pos="4680"/>
        </w:tabs>
        <w:jc w:val="center"/>
        <w:rPr>
          <w:b/>
          <w:bCs/>
          <w:i/>
        </w:rPr>
      </w:pPr>
    </w:p>
    <w:p w:rsidR="00BE0F83" w:rsidRPr="006C5C48" w:rsidP="00BE0F83" w14:paraId="51AD6893" w14:textId="77777777">
      <w:pPr>
        <w:tabs>
          <w:tab w:val="center" w:pos="4680"/>
        </w:tabs>
        <w:jc w:val="center"/>
        <w:rPr>
          <w:b/>
          <w:bCs/>
          <w:i/>
        </w:rPr>
      </w:pPr>
    </w:p>
    <w:p w:rsidR="00BE0F83" w:rsidRPr="006C5C48" w:rsidP="00BE0F83" w14:paraId="0491AC51" w14:textId="77777777">
      <w:pPr>
        <w:tabs>
          <w:tab w:val="center" w:pos="4680"/>
        </w:tabs>
        <w:jc w:val="center"/>
        <w:rPr>
          <w:b/>
          <w:bCs/>
          <w:i/>
        </w:rPr>
      </w:pPr>
    </w:p>
    <w:p w:rsidR="00BE0F83" w:rsidRPr="006C5C48" w:rsidP="00BE0F83" w14:paraId="638C5BE4" w14:textId="77777777">
      <w:pPr>
        <w:tabs>
          <w:tab w:val="center" w:pos="4680"/>
        </w:tabs>
        <w:jc w:val="center"/>
        <w:rPr>
          <w:b/>
          <w:bCs/>
          <w:i/>
        </w:rPr>
      </w:pPr>
    </w:p>
    <w:p w:rsidR="00BE0F83" w:rsidRPr="006C5C48" w:rsidP="003A3B69" w14:paraId="2690D220" w14:textId="77777777">
      <w:pPr>
        <w:tabs>
          <w:tab w:val="center" w:pos="4680"/>
        </w:tabs>
        <w:ind w:firstLine="0"/>
        <w:rPr>
          <w:b/>
          <w:bCs/>
          <w:i/>
        </w:rPr>
      </w:pPr>
    </w:p>
    <w:p w:rsidR="00BE0F83" w:rsidRPr="006C5C48" w:rsidP="00BE0F83" w14:paraId="1CD9EA72" w14:textId="77777777">
      <w:pPr>
        <w:tabs>
          <w:tab w:val="center" w:pos="4680"/>
        </w:tabs>
        <w:jc w:val="center"/>
        <w:rPr>
          <w:b/>
          <w:bCs/>
          <w:i/>
        </w:rPr>
      </w:pPr>
    </w:p>
    <w:p w:rsidR="00BE0F83" w:rsidRPr="006C5C48" w:rsidP="00BE0F83" w14:paraId="6F03E291" w14:textId="6C385DDE">
      <w:pPr>
        <w:tabs>
          <w:tab w:val="center" w:pos="4680"/>
        </w:tabs>
        <w:jc w:val="center"/>
        <w:rPr>
          <w:b/>
          <w:bCs/>
          <w:i/>
        </w:rPr>
      </w:pPr>
      <w:r w:rsidRPr="006C5C48">
        <w:rPr>
          <w:b/>
          <w:bCs/>
          <w:i/>
        </w:rPr>
        <w:t xml:space="preserve"> SUPPORTING STATEMENT FOR </w:t>
      </w:r>
      <w:r w:rsidRPr="006C5C48" w:rsidR="00076759">
        <w:rPr>
          <w:b/>
          <w:bCs/>
          <w:i/>
        </w:rPr>
        <w:t xml:space="preserve">THE </w:t>
      </w:r>
      <w:r w:rsidRPr="006C5C48">
        <w:rPr>
          <w:b/>
          <w:bCs/>
          <w:i/>
        </w:rPr>
        <w:t>EPA’s</w:t>
      </w:r>
    </w:p>
    <w:p w:rsidR="00BE0F83" w:rsidRPr="006C5C48" w:rsidP="00BE0F83" w14:paraId="0317B5A3" w14:textId="77777777">
      <w:pPr>
        <w:tabs>
          <w:tab w:val="center" w:pos="4680"/>
        </w:tabs>
        <w:jc w:val="center"/>
        <w:rPr>
          <w:b/>
          <w:bCs/>
          <w:i/>
        </w:rPr>
      </w:pPr>
      <w:r w:rsidRPr="006C5C48">
        <w:rPr>
          <w:b/>
          <w:bCs/>
          <w:i/>
        </w:rPr>
        <w:t xml:space="preserve">INFORMATION COLLECTION REQUEST (ICR) </w:t>
      </w:r>
    </w:p>
    <w:p w:rsidR="00BE0F83" w:rsidRPr="006C5C48" w:rsidP="00BE0F83" w14:paraId="3F9FE37D" w14:textId="01961DB3">
      <w:pPr>
        <w:tabs>
          <w:tab w:val="center" w:pos="4680"/>
        </w:tabs>
        <w:jc w:val="center"/>
        <w:rPr>
          <w:b/>
          <w:bCs/>
          <w:i/>
        </w:rPr>
      </w:pPr>
      <w:r w:rsidRPr="006C5C48">
        <w:rPr>
          <w:b/>
          <w:bCs/>
          <w:i/>
        </w:rPr>
        <w:t>PFAS NATIONAL PRIMARY DRINKING WATER REGULATION UNDER THE SAFE DRINKING WATER ACT</w:t>
      </w:r>
    </w:p>
    <w:p w:rsidR="00BE0F83" w:rsidRPr="006C5C48" w:rsidP="00BE0F83" w14:paraId="02A5723B" w14:textId="77777777">
      <w:pPr>
        <w:jc w:val="center"/>
      </w:pPr>
    </w:p>
    <w:p w:rsidR="00BE0F83" w:rsidRPr="006C5C48" w:rsidP="00BE0F83" w14:paraId="201BE939" w14:textId="77777777">
      <w:pPr>
        <w:jc w:val="center"/>
      </w:pPr>
    </w:p>
    <w:p w:rsidR="00BE0F83" w:rsidRPr="006C5C48" w:rsidP="00BE0F83" w14:paraId="69CEF47E" w14:textId="77777777">
      <w:pPr>
        <w:jc w:val="center"/>
      </w:pPr>
    </w:p>
    <w:p w:rsidR="00BE0F83" w:rsidRPr="006C5C48" w:rsidP="00BE0F83" w14:paraId="43866CE0" w14:textId="77777777">
      <w:pPr>
        <w:jc w:val="center"/>
      </w:pPr>
    </w:p>
    <w:p w:rsidR="00BE0F83" w:rsidRPr="006C5C48" w:rsidP="00BE0F83" w14:paraId="170BA4D2" w14:textId="2F8A0A40">
      <w:pPr>
        <w:jc w:val="center"/>
        <w:rPr>
          <w:b/>
          <w:bCs/>
        </w:rPr>
      </w:pPr>
      <w:r w:rsidRPr="006C5C48">
        <w:rPr>
          <w:b/>
          <w:bCs/>
        </w:rPr>
        <w:t xml:space="preserve"> </w:t>
      </w:r>
      <w:r w:rsidRPr="006C5C48">
        <w:rPr>
          <w:b/>
          <w:bCs/>
        </w:rPr>
        <w:t>Prepared by</w:t>
      </w:r>
    </w:p>
    <w:p w:rsidR="00BE0F83" w:rsidRPr="006C5C48" w:rsidP="00BE0F83" w14:paraId="34BEBECB" w14:textId="77777777">
      <w:pPr>
        <w:jc w:val="center"/>
        <w:rPr>
          <w:b/>
          <w:bCs/>
        </w:rPr>
      </w:pPr>
    </w:p>
    <w:p w:rsidR="00BE0F83" w:rsidRPr="006C5C48" w:rsidP="00BE0F83" w14:paraId="14AA358F" w14:textId="77777777">
      <w:pPr>
        <w:jc w:val="center"/>
        <w:rPr>
          <w:b/>
          <w:bCs/>
        </w:rPr>
      </w:pPr>
      <w:r w:rsidRPr="006C5C48">
        <w:rPr>
          <w:b/>
          <w:bCs/>
        </w:rPr>
        <w:t>Environmental Protection Agency</w:t>
      </w:r>
    </w:p>
    <w:p w:rsidR="00BE0F83" w:rsidRPr="006C5C48" w:rsidP="00BE0F83" w14:paraId="60D5712F" w14:textId="0D775AE2">
      <w:pPr>
        <w:jc w:val="center"/>
        <w:rPr>
          <w:b/>
          <w:bCs/>
        </w:rPr>
      </w:pPr>
      <w:r w:rsidRPr="006C5C48">
        <w:rPr>
          <w:b/>
          <w:bCs/>
        </w:rPr>
        <w:t>Office of Groundwater and Drinking Water</w:t>
      </w:r>
    </w:p>
    <w:p w:rsidR="00BE0F83" w:rsidRPr="006C5C48" w:rsidP="00BE0F83" w14:paraId="776407CA" w14:textId="77777777">
      <w:pPr>
        <w:jc w:val="center"/>
      </w:pPr>
      <w:r w:rsidRPr="006C5C48">
        <w:rPr>
          <w:b/>
          <w:bCs/>
        </w:rPr>
        <w:t>Washington, D.C.</w:t>
      </w:r>
    </w:p>
    <w:p w:rsidR="00BE0F83" w:rsidRPr="006C5C48" w:rsidP="00BE0F83" w14:paraId="538BC9EA" w14:textId="77777777">
      <w:pPr>
        <w:jc w:val="center"/>
      </w:pPr>
    </w:p>
    <w:p w:rsidR="00BE0F83" w:rsidRPr="006C5C48" w:rsidP="00BE0F83" w14:paraId="34CE07D3" w14:textId="77777777">
      <w:pPr>
        <w:jc w:val="center"/>
      </w:pPr>
    </w:p>
    <w:p w:rsidR="00BE0F83" w:rsidRPr="006C5C48" w:rsidP="00BE0F83" w14:paraId="5F0F001E" w14:textId="77777777">
      <w:pPr>
        <w:jc w:val="center"/>
      </w:pPr>
    </w:p>
    <w:p w:rsidR="00BE0F83" w:rsidRPr="006C5C48" w:rsidP="00BE0F83" w14:paraId="5D847043" w14:textId="77777777">
      <w:pPr>
        <w:jc w:val="center"/>
        <w:rPr>
          <w:b/>
          <w:bCs/>
        </w:rPr>
      </w:pPr>
      <w:r w:rsidRPr="006C5C48">
        <w:rPr>
          <w:b/>
          <w:bCs/>
        </w:rPr>
        <w:t xml:space="preserve"> </w:t>
      </w:r>
    </w:p>
    <w:p w:rsidR="00433EBE" w:rsidRPr="006C5C48" w:rsidP="003A3B69" w14:paraId="32617F3A" w14:textId="480DAA52">
      <w:pPr>
        <w:jc w:val="center"/>
        <w:rPr>
          <w:b/>
          <w:bCs/>
        </w:rPr>
      </w:pPr>
      <w:r w:rsidRPr="006C5C48">
        <w:rPr>
          <w:b/>
          <w:bCs/>
        </w:rPr>
        <w:t>Draft for Final Rule</w:t>
      </w:r>
    </w:p>
    <w:p w:rsidR="00BE0F83" w:rsidRPr="006C5C48" w:rsidP="003A3B69" w14:paraId="3CD3B3B9" w14:textId="139CBF2C">
      <w:pPr>
        <w:jc w:val="center"/>
      </w:pPr>
      <w:r>
        <w:rPr>
          <w:b/>
          <w:bCs/>
        </w:rPr>
        <w:t>December</w:t>
      </w:r>
      <w:r w:rsidRPr="006C5C48" w:rsidR="006761DA">
        <w:rPr>
          <w:b/>
          <w:bCs/>
        </w:rPr>
        <w:t xml:space="preserve"> </w:t>
      </w:r>
      <w:r w:rsidRPr="006C5C48" w:rsidR="00433EBE">
        <w:rPr>
          <w:b/>
          <w:bCs/>
        </w:rPr>
        <w:t>2023</w:t>
      </w:r>
    </w:p>
    <w:p w:rsidR="00BE0F83" w:rsidRPr="006C5C48" w:rsidP="00BE0F83" w14:paraId="20A2A3F0" w14:textId="77777777">
      <w:pPr>
        <w:jc w:val="center"/>
      </w:pPr>
    </w:p>
    <w:p w:rsidR="00BE0F83" w:rsidRPr="006C5C48" w:rsidP="00BE0F83" w14:paraId="1A77FEF6" w14:textId="77777777">
      <w:pPr>
        <w:jc w:val="center"/>
      </w:pPr>
    </w:p>
    <w:p w:rsidR="00BE0F83" w:rsidRPr="006C5C48" w:rsidP="00BE0F83" w14:paraId="087CF5DE" w14:textId="77777777">
      <w:pPr>
        <w:jc w:val="center"/>
      </w:pPr>
    </w:p>
    <w:p w:rsidR="00BE0F83" w:rsidRPr="006C5C48" w:rsidP="00BE0F83" w14:paraId="3CF0F89A" w14:textId="77777777">
      <w:pPr>
        <w:jc w:val="center"/>
      </w:pPr>
    </w:p>
    <w:p w:rsidR="00BE0F83" w:rsidRPr="006C5C48" w:rsidP="00BE0F83" w14:paraId="037DF335" w14:textId="77777777">
      <w:pPr>
        <w:jc w:val="center"/>
      </w:pPr>
    </w:p>
    <w:p w:rsidR="00BE0F83" w:rsidRPr="006C5C48" w:rsidP="00BE0F83" w14:paraId="11E7E1C4" w14:textId="77777777">
      <w:pPr>
        <w:jc w:val="center"/>
      </w:pPr>
    </w:p>
    <w:p w:rsidR="00BE0F83" w:rsidRPr="006C5C48" w:rsidP="00BE0F83" w14:paraId="07CCE7CF" w14:textId="77777777">
      <w:pPr>
        <w:jc w:val="center"/>
      </w:pPr>
    </w:p>
    <w:p w:rsidR="00BE0F83" w:rsidRPr="006C5C48" w:rsidP="00BE0F83" w14:paraId="5AE5AE3D" w14:textId="77777777"/>
    <w:p w:rsidR="00BE0F83" w:rsidRPr="006C5C48" w:rsidP="00BE0F83" w14:paraId="385A4349" w14:textId="77777777"/>
    <w:p w:rsidR="00BE0F83" w:rsidRPr="006C5C48" w:rsidP="00BE0F83" w14:paraId="79D41B49" w14:textId="77777777"/>
    <w:p w:rsidR="00BE0F83" w:rsidRPr="006C5C48" w:rsidP="00BE0F83" w14:paraId="5927C291" w14:textId="77777777"/>
    <w:p w:rsidR="00BE0F83" w:rsidRPr="006C5C48" w:rsidP="00BE0F83" w14:paraId="6560290A" w14:textId="77777777"/>
    <w:p w:rsidR="00BE0F83" w:rsidRPr="006C5C48" w:rsidP="00BE0F83" w14:paraId="351341D8" w14:textId="77777777"/>
    <w:p w:rsidR="00BE0F83" w:rsidRPr="006C5C48" w:rsidP="00BE0F83" w14:paraId="3ED1D3CF" w14:textId="77777777"/>
    <w:p w:rsidR="00BE0F83" w:rsidRPr="006C5C48" w:rsidP="00BE0F83" w14:paraId="12B78BF6" w14:textId="77777777"/>
    <w:p w:rsidR="00BE0F83" w:rsidRPr="006C5C48" w:rsidP="00BE0F83" w14:paraId="26811517" w14:textId="77777777"/>
    <w:p w:rsidR="00BE0F83" w:rsidRPr="006C5C48" w:rsidP="00BE0F83" w14:paraId="4112DA17" w14:textId="77777777">
      <w:pPr>
        <w:tabs>
          <w:tab w:val="left" w:pos="5340"/>
        </w:tabs>
      </w:pPr>
      <w:r w:rsidRPr="006C5C48">
        <w:tab/>
      </w:r>
    </w:p>
    <w:p w:rsidR="00BE0F83" w:rsidRPr="006C5C48" w:rsidP="00433EBE" w14:paraId="0B4569D1" w14:textId="7E5834E9">
      <w:pPr>
        <w:tabs>
          <w:tab w:val="left" w:pos="5340"/>
        </w:tabs>
        <w:ind w:firstLine="0"/>
        <w:sectPr>
          <w:pgSz w:w="12240" w:h="15840"/>
          <w:pgMar w:top="1440" w:right="1440" w:bottom="1440" w:left="1440" w:header="1440" w:footer="1440" w:gutter="0"/>
          <w:cols w:space="720"/>
          <w:noEndnote/>
        </w:sectPr>
      </w:pPr>
    </w:p>
    <w:p w:rsidR="00BE0F83" w:rsidRPr="006C5C48" w:rsidP="00BE0F83" w14:paraId="00F93904" w14:textId="77777777">
      <w:pPr>
        <w:tabs>
          <w:tab w:val="left" w:pos="-1440"/>
          <w:tab w:val="left" w:pos="-720"/>
          <w:tab w:val="left" w:pos="0"/>
          <w:tab w:val="left" w:pos="720"/>
          <w:tab w:val="left" w:pos="1008"/>
          <w:tab w:val="left" w:pos="1440"/>
          <w:tab w:val="left" w:pos="2160"/>
          <w:tab w:val="left" w:pos="2880"/>
        </w:tabs>
        <w:jc w:val="center"/>
        <w:rPr>
          <w:b/>
          <w:bCs/>
        </w:rPr>
      </w:pPr>
      <w:r w:rsidRPr="006C5C48">
        <w:rPr>
          <w:b/>
          <w:bCs/>
        </w:rPr>
        <w:t>SUPPORTING STATEMENT FOR THE COLLECTION OF INFORMATION</w:t>
      </w:r>
    </w:p>
    <w:p w:rsidR="00BE0F83" w:rsidRPr="006C5C48" w:rsidP="00BE0F83" w14:paraId="33408B6D" w14:textId="6FE20A05">
      <w:pPr>
        <w:tabs>
          <w:tab w:val="left" w:pos="-1440"/>
          <w:tab w:val="left" w:pos="-720"/>
          <w:tab w:val="left" w:pos="0"/>
          <w:tab w:val="left" w:pos="720"/>
          <w:tab w:val="left" w:pos="1008"/>
          <w:tab w:val="left" w:pos="1440"/>
          <w:tab w:val="left" w:pos="2160"/>
          <w:tab w:val="left" w:pos="2880"/>
        </w:tabs>
        <w:jc w:val="center"/>
      </w:pPr>
      <w:r w:rsidRPr="006C5C48">
        <w:rPr>
          <w:b/>
          <w:bCs/>
        </w:rPr>
        <w:t xml:space="preserve">FOR EPA’s PFAS NATIONAL PRIMARY DRINKING WATER REGULATION </w:t>
      </w:r>
    </w:p>
    <w:p w:rsidR="00BE0F83" w:rsidRPr="006C5C48" w:rsidP="00BE0F83" w14:paraId="4E31AAB1" w14:textId="77777777">
      <w:pPr>
        <w:tabs>
          <w:tab w:val="center" w:pos="4680"/>
        </w:tabs>
        <w:rPr>
          <w:b/>
          <w:bCs/>
        </w:rPr>
      </w:pPr>
    </w:p>
    <w:p w:rsidR="00BE0F83" w:rsidRPr="006C5C48" w:rsidP="00433EBE" w14:paraId="626E16D3" w14:textId="1EBCAEFA">
      <w:pPr>
        <w:tabs>
          <w:tab w:val="center" w:pos="4680"/>
        </w:tabs>
        <w:ind w:firstLine="0"/>
        <w:rPr>
          <w:b/>
          <w:bCs/>
        </w:rPr>
      </w:pPr>
      <w:r w:rsidRPr="006C5C48">
        <w:rPr>
          <w:b/>
          <w:bCs/>
        </w:rPr>
        <w:t xml:space="preserve">EPA ICR No. </w:t>
      </w:r>
      <w:r w:rsidRPr="006C5C48" w:rsidR="00433EBE">
        <w:rPr>
          <w:b/>
          <w:bCs/>
        </w:rPr>
        <w:t>2732.01</w:t>
      </w:r>
      <w:r w:rsidRPr="006C5C48">
        <w:rPr>
          <w:b/>
          <w:bCs/>
        </w:rPr>
        <w:tab/>
      </w:r>
    </w:p>
    <w:p w:rsidR="00BE0F83" w:rsidRPr="006C5C48" w:rsidP="00433EBE" w14:paraId="346E8447" w14:textId="0BAF2DC9">
      <w:pPr>
        <w:tabs>
          <w:tab w:val="left" w:pos="-1440"/>
          <w:tab w:val="left" w:pos="-720"/>
          <w:tab w:val="left" w:pos="0"/>
          <w:tab w:val="left" w:pos="720"/>
          <w:tab w:val="left" w:pos="1008"/>
          <w:tab w:val="left" w:pos="1440"/>
          <w:tab w:val="left" w:pos="2160"/>
          <w:tab w:val="left" w:pos="2880"/>
        </w:tabs>
        <w:ind w:firstLine="0"/>
        <w:rPr>
          <w:b/>
          <w:bCs/>
        </w:rPr>
      </w:pPr>
      <w:r w:rsidRPr="006C5C48">
        <w:rPr>
          <w:b/>
          <w:bCs/>
        </w:rPr>
        <w:t>ICR OMB Control No. 2040-</w:t>
      </w:r>
      <w:r w:rsidRPr="006C5C48" w:rsidR="00C24904">
        <w:rPr>
          <w:b/>
          <w:bCs/>
        </w:rPr>
        <w:t>0307</w:t>
      </w:r>
    </w:p>
    <w:p w:rsidR="00BE0F83" w:rsidRPr="006C5C48" w:rsidP="00433EBE" w14:paraId="0ED579A7" w14:textId="720AEC9E">
      <w:pPr>
        <w:tabs>
          <w:tab w:val="left" w:pos="-1440"/>
          <w:tab w:val="left" w:pos="-720"/>
          <w:tab w:val="left" w:pos="0"/>
          <w:tab w:val="left" w:pos="720"/>
          <w:tab w:val="left" w:pos="1008"/>
          <w:tab w:val="left" w:pos="1440"/>
          <w:tab w:val="left" w:pos="2160"/>
          <w:tab w:val="left" w:pos="2880"/>
        </w:tabs>
        <w:ind w:firstLine="0"/>
        <w:rPr>
          <w:b/>
          <w:bCs/>
        </w:rPr>
      </w:pPr>
      <w:r w:rsidRPr="006C5C48">
        <w:rPr>
          <w:b/>
          <w:bCs/>
        </w:rPr>
        <w:t xml:space="preserve">ICR Title: Implementation of </w:t>
      </w:r>
      <w:r w:rsidRPr="006C5C48" w:rsidR="00076759">
        <w:rPr>
          <w:b/>
          <w:bCs/>
        </w:rPr>
        <w:t xml:space="preserve">the </w:t>
      </w:r>
      <w:r w:rsidRPr="006C5C48" w:rsidR="00433EBE">
        <w:rPr>
          <w:b/>
          <w:bCs/>
        </w:rPr>
        <w:t>EPA’s PFAS National Primary Drinking Water Regulation</w:t>
      </w:r>
    </w:p>
    <w:p w:rsidR="00BE0F83" w:rsidRPr="006C5C48" w:rsidP="00BE0F83" w14:paraId="2EA8B7B0" w14:textId="77777777">
      <w:pPr>
        <w:rPr>
          <w:u w:val="single"/>
        </w:rPr>
      </w:pPr>
    </w:p>
    <w:p w:rsidR="00BE0F83" w:rsidRPr="006C5C48" w:rsidP="00433EBE" w14:paraId="199BA15F" w14:textId="77777777">
      <w:pPr>
        <w:ind w:firstLine="0"/>
        <w:rPr>
          <w:u w:val="single"/>
        </w:rPr>
      </w:pPr>
      <w:bookmarkStart w:id="0" w:name="_Toc426637721"/>
      <w:bookmarkStart w:id="1" w:name="_Toc436842719"/>
      <w:r w:rsidRPr="006C5C48">
        <w:rPr>
          <w:u w:val="single"/>
        </w:rPr>
        <w:t>Introduction</w:t>
      </w:r>
      <w:bookmarkEnd w:id="0"/>
      <w:bookmarkEnd w:id="1"/>
    </w:p>
    <w:p w:rsidR="00BE0F83" w:rsidRPr="006C5C48" w:rsidP="007938C3" w14:paraId="17C84671" w14:textId="15377BB4">
      <w:pPr>
        <w:tabs>
          <w:tab w:val="left" w:pos="-1440"/>
          <w:tab w:val="left" w:pos="-720"/>
          <w:tab w:val="left" w:pos="0"/>
          <w:tab w:val="left" w:pos="720"/>
          <w:tab w:val="left" w:pos="1008"/>
          <w:tab w:val="left" w:pos="1440"/>
          <w:tab w:val="left" w:pos="2160"/>
          <w:tab w:val="left" w:pos="2880"/>
        </w:tabs>
      </w:pPr>
      <w:r w:rsidRPr="006C5C48">
        <w:t xml:space="preserve">This document supports </w:t>
      </w:r>
      <w:r w:rsidRPr="006C5C48" w:rsidR="000E1E1B">
        <w:t xml:space="preserve">the </w:t>
      </w:r>
      <w:r w:rsidRPr="006C5C48">
        <w:t>EPA’s compliance with requirements of the Paperwork Reduction Act for the</w:t>
      </w:r>
      <w:r w:rsidRPr="006C5C48" w:rsidR="00433EBE">
        <w:t xml:space="preserve"> implementation of </w:t>
      </w:r>
      <w:r w:rsidRPr="006C5C48" w:rsidR="00076759">
        <w:t xml:space="preserve">the </w:t>
      </w:r>
      <w:r w:rsidRPr="006C5C48" w:rsidR="00433EBE">
        <w:t>EPA’s PFAS National Primary Drinking Water Regulation (NPDWR)</w:t>
      </w:r>
      <w:r w:rsidRPr="006C5C48">
        <w:t>. The purposes of the Paperwork Reduction Act of 1980 (PRA) (P. L. 96-511) and implementing regulations (44 U.S.C. Chapter 35) are to: 1) minimize the federal paperwork burden for small businesses, state and local governments, and other individuals; 2) minimize the Federal government</w:t>
      </w:r>
      <w:r w:rsidRPr="006C5C48" w:rsidR="00ED4159">
        <w:t>’</w:t>
      </w:r>
      <w:r w:rsidRPr="006C5C48">
        <w:t xml:space="preserve">s cost of collecting, maintaining, using, and disseminating information; and 3) maximize the usefulness of information collected by federal agencies. </w:t>
      </w:r>
    </w:p>
    <w:p w:rsidR="00BE0F83" w:rsidRPr="006C5C48" w:rsidP="007938C3" w14:paraId="1DD52899" w14:textId="46E3F143">
      <w:pPr>
        <w:tabs>
          <w:tab w:val="left" w:pos="-1440"/>
          <w:tab w:val="left" w:pos="-720"/>
          <w:tab w:val="left" w:pos="0"/>
          <w:tab w:val="left" w:pos="720"/>
          <w:tab w:val="left" w:pos="1008"/>
          <w:tab w:val="left" w:pos="1440"/>
          <w:tab w:val="left" w:pos="2160"/>
          <w:tab w:val="left" w:pos="2880"/>
        </w:tabs>
      </w:pPr>
      <w:r w:rsidRPr="006C5C48">
        <w:t>This Information Collection Request (ICR), “</w:t>
      </w:r>
      <w:r w:rsidRPr="006C5C48" w:rsidR="00433EBE">
        <w:t>PFAS National Primary Drinking Water Regulation</w:t>
      </w:r>
      <w:r w:rsidRPr="006C5C48">
        <w:t xml:space="preserve">,” is made by </w:t>
      </w:r>
      <w:r w:rsidRPr="006C5C48" w:rsidR="00ED4159">
        <w:t xml:space="preserve">the </w:t>
      </w:r>
      <w:r w:rsidRPr="006C5C48" w:rsidR="00433EBE">
        <w:t>EPA’s</w:t>
      </w:r>
      <w:r w:rsidRPr="006C5C48">
        <w:t xml:space="preserve"> </w:t>
      </w:r>
      <w:r w:rsidRPr="006C5C48" w:rsidR="00433EBE">
        <w:t>Office of Groundwater and Drinking Water</w:t>
      </w:r>
      <w:r w:rsidRPr="006C5C48">
        <w:t xml:space="preserve"> in the Office of Water, EPA Headquarters. The information collection activities are accomplished by the least burdensome and least costly means and are not duplicated by other sources.</w:t>
      </w:r>
    </w:p>
    <w:p w:rsidR="00BE0F83" w:rsidRPr="006C5C48" w:rsidP="00BE0F83" w14:paraId="15833CD7" w14:textId="57CA7B7F">
      <w:pPr>
        <w:tabs>
          <w:tab w:val="left" w:pos="-1440"/>
          <w:tab w:val="left" w:pos="-720"/>
          <w:tab w:val="left" w:pos="0"/>
          <w:tab w:val="left" w:pos="720"/>
          <w:tab w:val="left" w:pos="1008"/>
          <w:tab w:val="left" w:pos="1440"/>
          <w:tab w:val="left" w:pos="2160"/>
          <w:tab w:val="left" w:pos="2880"/>
        </w:tabs>
        <w:rPr>
          <w:rFonts w:cs="Times New Roman"/>
          <w:szCs w:val="24"/>
        </w:rPr>
      </w:pPr>
      <w:r w:rsidRPr="006C5C48">
        <w:rPr>
          <w:rFonts w:cs="Times New Roman"/>
          <w:szCs w:val="24"/>
        </w:rPr>
        <w:t xml:space="preserve">The </w:t>
      </w:r>
      <w:r w:rsidRPr="006C5C48">
        <w:rPr>
          <w:rFonts w:cs="Times New Roman"/>
          <w:szCs w:val="24"/>
        </w:rPr>
        <w:t xml:space="preserve">EPA administers the </w:t>
      </w:r>
      <w:r w:rsidRPr="006C5C48" w:rsidR="00433EBE">
        <w:rPr>
          <w:rFonts w:cs="Times New Roman"/>
          <w:szCs w:val="24"/>
        </w:rPr>
        <w:t>Safe Drinking Water Act (SDWA)</w:t>
      </w:r>
      <w:r w:rsidRPr="006C5C48">
        <w:rPr>
          <w:rFonts w:cs="Times New Roman"/>
          <w:szCs w:val="24"/>
        </w:rPr>
        <w:t xml:space="preserve">, as amended. </w:t>
      </w:r>
      <w:r w:rsidRPr="006C5C48" w:rsidR="00433EBE">
        <w:rPr>
          <w:rFonts w:cs="Times New Roman"/>
          <w:szCs w:val="24"/>
        </w:rPr>
        <w:t xml:space="preserve">SDWA </w:t>
      </w:r>
      <w:r w:rsidRPr="006C5C48" w:rsidR="00433EBE">
        <w:rPr>
          <w:rFonts w:cs="Times New Roman"/>
          <w:szCs w:val="24"/>
          <w:shd w:val="clear" w:color="auto" w:fill="FFFFFF"/>
        </w:rPr>
        <w:t xml:space="preserve">was originally passed by Congress in 1974 to protect public health by regulating the nation’s public drinking water supply. The law was amended in 1986 and 1996 and requires many actions to </w:t>
      </w:r>
      <w:r w:rsidRPr="006C5C48" w:rsidR="00433EBE">
        <w:rPr>
          <w:rFonts w:cs="Times New Roman"/>
          <w:szCs w:val="24"/>
          <w:shd w:val="clear" w:color="auto" w:fill="FFFFFF"/>
        </w:rPr>
        <w:t>protect drinking water and its sources—rivers, lakes, reservoirs, springs, and ground water wells. (SDWA does not regulate private wells which serve fewer than 25 individuals.) SDWA authorizes the United States Environmental Protection Agency (US EPA) to set national standards to protect against both naturally</w:t>
      </w:r>
      <w:r w:rsidR="006356EE">
        <w:rPr>
          <w:rFonts w:cs="Times New Roman"/>
          <w:szCs w:val="24"/>
          <w:shd w:val="clear" w:color="auto" w:fill="FFFFFF"/>
        </w:rPr>
        <w:t xml:space="preserve"> </w:t>
      </w:r>
      <w:r w:rsidRPr="006C5C48" w:rsidR="00433EBE">
        <w:rPr>
          <w:rFonts w:cs="Times New Roman"/>
          <w:szCs w:val="24"/>
          <w:shd w:val="clear" w:color="auto" w:fill="FFFFFF"/>
        </w:rPr>
        <w:t xml:space="preserve">occurring and man-made contaminants that may be found in drinking water. </w:t>
      </w:r>
      <w:r w:rsidRPr="006C5C48" w:rsidR="009B0399">
        <w:rPr>
          <w:rFonts w:cs="Times New Roman"/>
          <w:szCs w:val="24"/>
          <w:shd w:val="clear" w:color="auto" w:fill="FFFFFF"/>
        </w:rPr>
        <w:t xml:space="preserve">The </w:t>
      </w:r>
      <w:r w:rsidRPr="006C5C48" w:rsidR="00433EBE">
        <w:rPr>
          <w:rFonts w:cs="Times New Roman"/>
          <w:szCs w:val="24"/>
          <w:shd w:val="clear" w:color="auto" w:fill="FFFFFF"/>
        </w:rPr>
        <w:t>US EPA, states, and water systems then work together to make sure that these standards are met</w:t>
      </w:r>
      <w:r w:rsidRPr="006C5C48">
        <w:rPr>
          <w:rFonts w:cs="Times New Roman"/>
          <w:szCs w:val="24"/>
        </w:rPr>
        <w:t xml:space="preserve">. The collection of information described in this document derive from </w:t>
      </w:r>
      <w:r w:rsidRPr="006C5C48" w:rsidR="00FB6858">
        <w:rPr>
          <w:rFonts w:cs="Times New Roman"/>
          <w:szCs w:val="24"/>
        </w:rPr>
        <w:t xml:space="preserve">the </w:t>
      </w:r>
      <w:r w:rsidRPr="006C5C48">
        <w:rPr>
          <w:rFonts w:cs="Times New Roman"/>
          <w:szCs w:val="24"/>
        </w:rPr>
        <w:t>EPAs</w:t>
      </w:r>
      <w:r w:rsidRPr="006C5C48" w:rsidR="00FB6858">
        <w:rPr>
          <w:rFonts w:cs="Times New Roman"/>
          <w:szCs w:val="24"/>
        </w:rPr>
        <w:t>’</w:t>
      </w:r>
      <w:r w:rsidRPr="006C5C48">
        <w:rPr>
          <w:rFonts w:cs="Times New Roman"/>
          <w:szCs w:val="24"/>
        </w:rPr>
        <w:t xml:space="preserve"> authorities under and responsibilities in implementing </w:t>
      </w:r>
      <w:r w:rsidRPr="006C5C48" w:rsidR="007938C3">
        <w:rPr>
          <w:rFonts w:cs="Times New Roman"/>
          <w:szCs w:val="24"/>
        </w:rPr>
        <w:t>SDWA</w:t>
      </w:r>
      <w:r w:rsidRPr="006C5C48">
        <w:rPr>
          <w:rFonts w:cs="Times New Roman"/>
          <w:szCs w:val="24"/>
        </w:rPr>
        <w:t>.</w:t>
      </w:r>
    </w:p>
    <w:p w:rsidR="007938C3" w:rsidRPr="006C5C48" w:rsidP="00E0793E" w14:paraId="174549B9" w14:textId="44CA99CE">
      <w:pPr>
        <w:tabs>
          <w:tab w:val="left" w:pos="-1440"/>
          <w:tab w:val="left" w:pos="-720"/>
          <w:tab w:val="left" w:pos="0"/>
          <w:tab w:val="left" w:pos="720"/>
          <w:tab w:val="left" w:pos="1008"/>
          <w:tab w:val="left" w:pos="1440"/>
          <w:tab w:val="left" w:pos="2160"/>
          <w:tab w:val="left" w:pos="2880"/>
        </w:tabs>
        <w:rPr>
          <w:rFonts w:cs="Times New Roman"/>
          <w:szCs w:val="24"/>
        </w:rPr>
      </w:pPr>
      <w:r w:rsidRPr="006C5C48">
        <w:rPr>
          <w:rFonts w:cs="Times New Roman"/>
          <w:szCs w:val="24"/>
        </w:rPr>
        <w:t xml:space="preserve">The monitoring information collected </w:t>
      </w:r>
      <w:r w:rsidRPr="006C5C48">
        <w:rPr>
          <w:rFonts w:cs="Times New Roman"/>
          <w:szCs w:val="24"/>
        </w:rPr>
        <w:t>as a result of</w:t>
      </w:r>
      <w:r w:rsidRPr="006C5C48">
        <w:rPr>
          <w:rFonts w:cs="Times New Roman"/>
          <w:szCs w:val="24"/>
        </w:rPr>
        <w:t xml:space="preserve"> the </w:t>
      </w:r>
      <w:r w:rsidRPr="006C5C48" w:rsidR="00132CA4">
        <w:rPr>
          <w:rFonts w:cs="Times New Roman"/>
          <w:szCs w:val="24"/>
        </w:rPr>
        <w:t>final</w:t>
      </w:r>
      <w:r w:rsidRPr="006C5C48" w:rsidR="00D22BB1">
        <w:rPr>
          <w:rFonts w:cs="Times New Roman"/>
          <w:szCs w:val="24"/>
        </w:rPr>
        <w:t xml:space="preserve"> </w:t>
      </w:r>
      <w:r w:rsidRPr="006C5C48">
        <w:rPr>
          <w:rFonts w:cs="Times New Roman"/>
          <w:szCs w:val="24"/>
        </w:rPr>
        <w:t xml:space="preserve">rule should allow primacy agencies and </w:t>
      </w:r>
      <w:r w:rsidRPr="006C5C48" w:rsidR="00046CBB">
        <w:rPr>
          <w:rFonts w:cs="Times New Roman"/>
          <w:szCs w:val="24"/>
        </w:rPr>
        <w:t xml:space="preserve">the </w:t>
      </w:r>
      <w:r w:rsidRPr="006C5C48">
        <w:rPr>
          <w:rFonts w:cs="Times New Roman"/>
          <w:szCs w:val="24"/>
        </w:rPr>
        <w:t xml:space="preserve">EPA to determine appropriate requirements for specific systems and evaluate compliance with the rule. For the first three-year period following rule promulgation, the major information requirements concern primacy agency activities to implement the rule </w:t>
      </w:r>
      <w:r w:rsidRPr="006C5C48" w:rsidR="00132CA4">
        <w:rPr>
          <w:rFonts w:cs="Times New Roman"/>
          <w:szCs w:val="24"/>
        </w:rPr>
        <w:t xml:space="preserve">which include </w:t>
      </w:r>
      <w:r w:rsidRPr="006C5C48">
        <w:rPr>
          <w:rFonts w:cs="Times New Roman"/>
          <w:szCs w:val="24"/>
        </w:rPr>
        <w:t xml:space="preserve">adopting the NPDWR into state regulations, providing training to state and PWS employees, updating their monitoring data systems, and reviewing system monitoring data and other requests. </w:t>
      </w:r>
      <w:r w:rsidRPr="006C5C48" w:rsidR="00132CA4">
        <w:rPr>
          <w:rFonts w:cs="Times New Roman"/>
          <w:szCs w:val="24"/>
        </w:rPr>
        <w:t>Certain c</w:t>
      </w:r>
      <w:r w:rsidRPr="006C5C48">
        <w:rPr>
          <w:rFonts w:cs="Times New Roman"/>
          <w:szCs w:val="24"/>
        </w:rPr>
        <w:t>ompliance actions for drinking water systems</w:t>
      </w:r>
      <w:r w:rsidRPr="006C5C48" w:rsidR="00132CA4">
        <w:rPr>
          <w:rFonts w:cs="Times New Roman"/>
          <w:szCs w:val="24"/>
        </w:rPr>
        <w:t>, specifically initial monitoring, would be completed during the three years following rule promulgation. Other compliance actions for drinking water systems</w:t>
      </w:r>
      <w:r w:rsidRPr="006C5C48">
        <w:rPr>
          <w:rFonts w:cs="Times New Roman"/>
          <w:szCs w:val="24"/>
        </w:rPr>
        <w:t xml:space="preserve"> (including </w:t>
      </w:r>
      <w:r w:rsidRPr="006C5C48" w:rsidR="00132CA4">
        <w:rPr>
          <w:rFonts w:cs="Times New Roman"/>
          <w:szCs w:val="24"/>
        </w:rPr>
        <w:t xml:space="preserve">ongoing compliance </w:t>
      </w:r>
      <w:r w:rsidRPr="006C5C48">
        <w:rPr>
          <w:rFonts w:cs="Times New Roman"/>
          <w:szCs w:val="24"/>
        </w:rPr>
        <w:t>monitoring, administration, and treatment costs) would not begin until after</w:t>
      </w:r>
      <w:r w:rsidRPr="006C5C48" w:rsidR="00132CA4">
        <w:rPr>
          <w:rFonts w:cs="Times New Roman"/>
          <w:szCs w:val="24"/>
        </w:rPr>
        <w:t xml:space="preserve"> </w:t>
      </w:r>
      <w:r w:rsidRPr="006C5C48" w:rsidR="00FF5ABE">
        <w:rPr>
          <w:rFonts w:cs="Times New Roman"/>
          <w:szCs w:val="24"/>
        </w:rPr>
        <w:t xml:space="preserve">three to five </w:t>
      </w:r>
      <w:r w:rsidRPr="006C5C48">
        <w:rPr>
          <w:rFonts w:cs="Times New Roman"/>
          <w:szCs w:val="24"/>
        </w:rPr>
        <w:t xml:space="preserve">years due to the </w:t>
      </w:r>
      <w:r w:rsidRPr="006C5C48" w:rsidR="00FF5ABE">
        <w:rPr>
          <w:rFonts w:cs="Times New Roman"/>
          <w:szCs w:val="24"/>
        </w:rPr>
        <w:t xml:space="preserve">compliance </w:t>
      </w:r>
      <w:r w:rsidRPr="006C5C48">
        <w:rPr>
          <w:rFonts w:cs="Times New Roman"/>
          <w:szCs w:val="24"/>
        </w:rPr>
        <w:t xml:space="preserve">date of this rule. </w:t>
      </w:r>
    </w:p>
    <w:p w:rsidR="00BE0F83" w:rsidRPr="006C5C48" w:rsidP="007938C3" w14:paraId="66A78109" w14:textId="77777777">
      <w:pPr>
        <w:ind w:firstLine="0"/>
        <w:rPr>
          <w:u w:val="single"/>
        </w:rPr>
      </w:pPr>
      <w:bookmarkStart w:id="2" w:name="_Toc436842720"/>
      <w:bookmarkStart w:id="3" w:name="_Hlk522117663"/>
      <w:r w:rsidRPr="006C5C48">
        <w:rPr>
          <w:u w:val="single"/>
        </w:rPr>
        <w:t>Organization of Information Collection Request Statement</w:t>
      </w:r>
      <w:bookmarkEnd w:id="2"/>
    </w:p>
    <w:p w:rsidR="00BE0F83" w:rsidRPr="006C5C48" w:rsidP="00E0793E" w14:paraId="4C2517CE" w14:textId="236AEC7E">
      <w:pPr>
        <w:pStyle w:val="Level1"/>
        <w:tabs>
          <w:tab w:val="left" w:pos="720"/>
        </w:tabs>
        <w:spacing w:line="480" w:lineRule="auto"/>
        <w:ind w:left="0"/>
        <w:contextualSpacing/>
        <w:rPr>
          <w:b/>
          <w:bCs/>
        </w:rPr>
      </w:pPr>
      <w:r w:rsidRPr="006C5C48">
        <w:tab/>
      </w:r>
      <w:r w:rsidRPr="006C5C48">
        <w:t xml:space="preserve">This document follows the format for ICR outlined in the Information Collection Review Handbook (Office of Management and Budget, 1989) and the Instructions for Standard Form 83 (revised version dated September 1983). No exceptions to this format are taken. </w:t>
      </w:r>
      <w:r w:rsidRPr="006C5C48" w:rsidR="00E40936">
        <w:t xml:space="preserve">The </w:t>
      </w:r>
      <w:r w:rsidRPr="006C5C48">
        <w:t xml:space="preserve">EPA's Information Resources Management Policy Manual (July 1987), Regulation Development in </w:t>
      </w:r>
      <w:r w:rsidRPr="006C5C48">
        <w:t xml:space="preserve">EPA (September 1992), and EPA's Instructions for Preparing Information Collection Requests (June 1992) also guided the development of this document. </w:t>
      </w:r>
      <w:bookmarkEnd w:id="3"/>
    </w:p>
    <w:p w:rsidR="00E0793E" w:rsidRPr="006C5C48" w:rsidP="008E3728" w14:paraId="55A4861F" w14:textId="77777777">
      <w:pPr>
        <w:pStyle w:val="Level1"/>
        <w:tabs>
          <w:tab w:val="left" w:pos="720"/>
        </w:tabs>
        <w:ind w:left="0"/>
        <w:rPr>
          <w:b/>
          <w:bCs/>
          <w:u w:val="single"/>
        </w:rPr>
      </w:pPr>
    </w:p>
    <w:p w:rsidR="008E3728" w:rsidRPr="006C5C48" w:rsidP="008E3728" w14:paraId="152AFA72" w14:textId="1EC0630C">
      <w:pPr>
        <w:pStyle w:val="Level1"/>
        <w:tabs>
          <w:tab w:val="left" w:pos="720"/>
        </w:tabs>
        <w:ind w:left="0"/>
        <w:rPr>
          <w:b/>
          <w:bCs/>
          <w:u w:val="single"/>
        </w:rPr>
      </w:pPr>
      <w:r w:rsidRPr="006C5C48">
        <w:rPr>
          <w:b/>
          <w:bCs/>
          <w:u w:val="single"/>
        </w:rPr>
        <w:t>Supporting Statement</w:t>
      </w:r>
    </w:p>
    <w:p w:rsidR="00C4774B" w:rsidRPr="006C5C48" w:rsidP="003E51FA" w14:paraId="54ED0F19" w14:textId="60B5FCC5">
      <w:pPr>
        <w:pStyle w:val="Level1"/>
        <w:tabs>
          <w:tab w:val="left" w:pos="720"/>
        </w:tabs>
        <w:ind w:left="0"/>
      </w:pPr>
      <w:r w:rsidRPr="006C5C48">
        <w:rPr>
          <w:b/>
          <w:bCs/>
        </w:rPr>
        <w:t xml:space="preserve">  Part A</w:t>
      </w:r>
      <w:r w:rsidRPr="006C5C48">
        <w:t>.  Part A of the supporting statement provides a detailed discussion of the need, use, costs, and methodology of the information collection.  Part A is organized into the following subsections:</w:t>
      </w:r>
    </w:p>
    <w:sdt>
      <w:sdtPr>
        <w:rPr>
          <w:rFonts w:eastAsiaTheme="minorHAnsi" w:cstheme="minorBidi"/>
          <w:bCs w:val="0"/>
          <w:sz w:val="24"/>
          <w:szCs w:val="22"/>
        </w:rPr>
        <w:id w:val="-89397638"/>
        <w:docPartObj>
          <w:docPartGallery w:val="Table of Contents"/>
          <w:docPartUnique/>
        </w:docPartObj>
      </w:sdtPr>
      <w:sdtEndPr>
        <w:rPr>
          <w:b/>
          <w:noProof/>
        </w:rPr>
      </w:sdtEndPr>
      <w:sdtContent>
        <w:p w:rsidR="000A5E3B" w:rsidRPr="006C5C48" w14:paraId="1BFCD4DA" w14:textId="32EE5C43">
          <w:pPr>
            <w:pStyle w:val="TOCHeading"/>
          </w:pPr>
          <w:r w:rsidRPr="006C5C48">
            <w:t>Table of Contents</w:t>
          </w:r>
        </w:p>
        <w:p w:rsidR="006C5C48" w:rsidRPr="006C5C48" w14:paraId="4C1791C8" w14:textId="761743F4">
          <w:pPr>
            <w:pStyle w:val="TOC1"/>
            <w:rPr>
              <w:rFonts w:asciiTheme="minorHAnsi" w:eastAsiaTheme="minorEastAsia" w:hAnsiTheme="minorHAnsi" w:cstheme="minorBidi"/>
              <w:b w:val="0"/>
              <w:bCs w:val="0"/>
              <w:sz w:val="22"/>
            </w:rPr>
          </w:pPr>
          <w:r w:rsidRPr="006C5C48">
            <w:fldChar w:fldCharType="begin"/>
          </w:r>
          <w:r w:rsidRPr="006C5C48">
            <w:instrText xml:space="preserve"> TOC \o "1-2" \h \z \u </w:instrText>
          </w:r>
          <w:r w:rsidRPr="006C5C48">
            <w:fldChar w:fldCharType="separate"/>
          </w:r>
          <w:hyperlink w:anchor="_Toc149779107" w:history="1">
            <w:r w:rsidRPr="006C5C48">
              <w:rPr>
                <w:rStyle w:val="Hyperlink"/>
                <w:color w:val="auto"/>
              </w:rPr>
              <w:t>I.</w:t>
            </w:r>
            <w:r w:rsidRPr="006C5C48">
              <w:rPr>
                <w:rFonts w:asciiTheme="minorHAnsi" w:eastAsiaTheme="minorEastAsia" w:hAnsiTheme="minorHAnsi" w:cstheme="minorBidi"/>
                <w:b w:val="0"/>
                <w:bCs w:val="0"/>
                <w:sz w:val="22"/>
              </w:rPr>
              <w:tab/>
            </w:r>
            <w:r w:rsidRPr="006C5C48">
              <w:rPr>
                <w:rStyle w:val="Hyperlink"/>
                <w:color w:val="auto"/>
              </w:rPr>
              <w:t>Identification of the Information Collection</w:t>
            </w:r>
            <w:r w:rsidRPr="006C5C48">
              <w:rPr>
                <w:webHidden/>
              </w:rPr>
              <w:tab/>
            </w:r>
            <w:r w:rsidRPr="006C5C48">
              <w:rPr>
                <w:webHidden/>
              </w:rPr>
              <w:fldChar w:fldCharType="begin"/>
            </w:r>
            <w:r w:rsidRPr="006C5C48">
              <w:rPr>
                <w:webHidden/>
              </w:rPr>
              <w:instrText xml:space="preserve"> PAGEREF _Toc149779107 \h </w:instrText>
            </w:r>
            <w:r w:rsidRPr="006C5C48">
              <w:rPr>
                <w:webHidden/>
              </w:rPr>
              <w:fldChar w:fldCharType="separate"/>
            </w:r>
            <w:r w:rsidRPr="006C5C48">
              <w:rPr>
                <w:webHidden/>
              </w:rPr>
              <w:t>7</w:t>
            </w:r>
            <w:r w:rsidRPr="006C5C48">
              <w:rPr>
                <w:webHidden/>
              </w:rPr>
              <w:fldChar w:fldCharType="end"/>
            </w:r>
          </w:hyperlink>
        </w:p>
        <w:p w:rsidR="006C5C48" w:rsidRPr="006C5C48" w14:paraId="3F4085CA" w14:textId="2192F863">
          <w:pPr>
            <w:pStyle w:val="TOC2"/>
            <w:tabs>
              <w:tab w:val="left" w:pos="1540"/>
            </w:tabs>
            <w:rPr>
              <w:rFonts w:asciiTheme="minorHAnsi" w:eastAsiaTheme="minorEastAsia" w:hAnsiTheme="minorHAnsi" w:cstheme="minorBidi"/>
              <w:i w:val="0"/>
              <w:iCs w:val="0"/>
              <w:sz w:val="22"/>
            </w:rPr>
          </w:pPr>
          <w:hyperlink w:anchor="_Toc149779108" w:history="1">
            <w:r w:rsidRPr="006C5C48">
              <w:rPr>
                <w:rStyle w:val="Hyperlink"/>
                <w:color w:val="auto"/>
              </w:rPr>
              <w:t>A.</w:t>
            </w:r>
            <w:r w:rsidRPr="006C5C48">
              <w:rPr>
                <w:rFonts w:asciiTheme="minorHAnsi" w:eastAsiaTheme="minorEastAsia" w:hAnsiTheme="minorHAnsi" w:cstheme="minorBidi"/>
                <w:i w:val="0"/>
                <w:iCs w:val="0"/>
                <w:sz w:val="22"/>
              </w:rPr>
              <w:tab/>
            </w:r>
            <w:r w:rsidRPr="006C5C48">
              <w:rPr>
                <w:rStyle w:val="Hyperlink"/>
                <w:color w:val="auto"/>
              </w:rPr>
              <w:t>Title of the Information Collection</w:t>
            </w:r>
            <w:r w:rsidRPr="006C5C48">
              <w:rPr>
                <w:webHidden/>
              </w:rPr>
              <w:tab/>
            </w:r>
            <w:r w:rsidRPr="006C5C48">
              <w:rPr>
                <w:webHidden/>
              </w:rPr>
              <w:fldChar w:fldCharType="begin"/>
            </w:r>
            <w:r w:rsidRPr="006C5C48">
              <w:rPr>
                <w:webHidden/>
              </w:rPr>
              <w:instrText xml:space="preserve"> PAGEREF _Toc149779108 \h </w:instrText>
            </w:r>
            <w:r w:rsidRPr="006C5C48">
              <w:rPr>
                <w:webHidden/>
              </w:rPr>
              <w:fldChar w:fldCharType="separate"/>
            </w:r>
            <w:r w:rsidRPr="006C5C48">
              <w:rPr>
                <w:webHidden/>
              </w:rPr>
              <w:t>7</w:t>
            </w:r>
            <w:r w:rsidRPr="006C5C48">
              <w:rPr>
                <w:webHidden/>
              </w:rPr>
              <w:fldChar w:fldCharType="end"/>
            </w:r>
          </w:hyperlink>
        </w:p>
        <w:p w:rsidR="006C5C48" w:rsidRPr="006C5C48" w14:paraId="29597D69" w14:textId="7498C5F8">
          <w:pPr>
            <w:pStyle w:val="TOC2"/>
            <w:tabs>
              <w:tab w:val="left" w:pos="1540"/>
            </w:tabs>
            <w:rPr>
              <w:rFonts w:asciiTheme="minorHAnsi" w:eastAsiaTheme="minorEastAsia" w:hAnsiTheme="minorHAnsi" w:cstheme="minorBidi"/>
              <w:i w:val="0"/>
              <w:iCs w:val="0"/>
              <w:sz w:val="22"/>
            </w:rPr>
          </w:pPr>
          <w:hyperlink w:anchor="_Toc149779109" w:history="1">
            <w:r w:rsidRPr="006C5C48">
              <w:rPr>
                <w:rStyle w:val="Hyperlink"/>
                <w:color w:val="auto"/>
              </w:rPr>
              <w:t>B.</w:t>
            </w:r>
            <w:r w:rsidRPr="006C5C48">
              <w:rPr>
                <w:rFonts w:asciiTheme="minorHAnsi" w:eastAsiaTheme="minorEastAsia" w:hAnsiTheme="minorHAnsi" w:cstheme="minorBidi"/>
                <w:i w:val="0"/>
                <w:iCs w:val="0"/>
                <w:sz w:val="22"/>
              </w:rPr>
              <w:tab/>
            </w:r>
            <w:r w:rsidRPr="006C5C48">
              <w:rPr>
                <w:rStyle w:val="Hyperlink"/>
                <w:color w:val="auto"/>
              </w:rPr>
              <w:t>Short Characterization/Abstract</w:t>
            </w:r>
            <w:r w:rsidRPr="006C5C48">
              <w:rPr>
                <w:webHidden/>
              </w:rPr>
              <w:tab/>
            </w:r>
            <w:r w:rsidRPr="006C5C48">
              <w:rPr>
                <w:webHidden/>
              </w:rPr>
              <w:fldChar w:fldCharType="begin"/>
            </w:r>
            <w:r w:rsidRPr="006C5C48">
              <w:rPr>
                <w:webHidden/>
              </w:rPr>
              <w:instrText xml:space="preserve"> PAGEREF _Toc149779109 \h </w:instrText>
            </w:r>
            <w:r w:rsidRPr="006C5C48">
              <w:rPr>
                <w:webHidden/>
              </w:rPr>
              <w:fldChar w:fldCharType="separate"/>
            </w:r>
            <w:r w:rsidRPr="006C5C48">
              <w:rPr>
                <w:webHidden/>
              </w:rPr>
              <w:t>7</w:t>
            </w:r>
            <w:r w:rsidRPr="006C5C48">
              <w:rPr>
                <w:webHidden/>
              </w:rPr>
              <w:fldChar w:fldCharType="end"/>
            </w:r>
          </w:hyperlink>
        </w:p>
        <w:p w:rsidR="006C5C48" w:rsidRPr="006C5C48" w14:paraId="692CF59E" w14:textId="2AD68E29">
          <w:pPr>
            <w:pStyle w:val="TOC1"/>
            <w:tabs>
              <w:tab w:val="left" w:pos="1320"/>
            </w:tabs>
            <w:rPr>
              <w:rFonts w:asciiTheme="minorHAnsi" w:eastAsiaTheme="minorEastAsia" w:hAnsiTheme="minorHAnsi" w:cstheme="minorBidi"/>
              <w:b w:val="0"/>
              <w:bCs w:val="0"/>
              <w:sz w:val="22"/>
            </w:rPr>
          </w:pPr>
          <w:hyperlink w:anchor="_Toc149779110" w:history="1">
            <w:r w:rsidRPr="006C5C48">
              <w:rPr>
                <w:rStyle w:val="Hyperlink"/>
                <w:color w:val="auto"/>
              </w:rPr>
              <w:t>II.</w:t>
            </w:r>
            <w:r w:rsidRPr="006C5C48">
              <w:rPr>
                <w:rFonts w:asciiTheme="minorHAnsi" w:eastAsiaTheme="minorEastAsia" w:hAnsiTheme="minorHAnsi" w:cstheme="minorBidi"/>
                <w:b w:val="0"/>
                <w:bCs w:val="0"/>
                <w:sz w:val="22"/>
              </w:rPr>
              <w:tab/>
            </w:r>
            <w:r w:rsidRPr="006C5C48">
              <w:rPr>
                <w:rStyle w:val="Hyperlink"/>
                <w:color w:val="auto"/>
              </w:rPr>
              <w:t>Need for and use of the Collection</w:t>
            </w:r>
            <w:r w:rsidRPr="006C5C48">
              <w:rPr>
                <w:webHidden/>
              </w:rPr>
              <w:tab/>
            </w:r>
            <w:r w:rsidRPr="006C5C48">
              <w:rPr>
                <w:webHidden/>
              </w:rPr>
              <w:fldChar w:fldCharType="begin"/>
            </w:r>
            <w:r w:rsidRPr="006C5C48">
              <w:rPr>
                <w:webHidden/>
              </w:rPr>
              <w:instrText xml:space="preserve"> PAGEREF _Toc149779110 \h </w:instrText>
            </w:r>
            <w:r w:rsidRPr="006C5C48">
              <w:rPr>
                <w:webHidden/>
              </w:rPr>
              <w:fldChar w:fldCharType="separate"/>
            </w:r>
            <w:r w:rsidRPr="006C5C48">
              <w:rPr>
                <w:webHidden/>
              </w:rPr>
              <w:t>9</w:t>
            </w:r>
            <w:r w:rsidRPr="006C5C48">
              <w:rPr>
                <w:webHidden/>
              </w:rPr>
              <w:fldChar w:fldCharType="end"/>
            </w:r>
          </w:hyperlink>
        </w:p>
        <w:p w:rsidR="006C5C48" w:rsidRPr="006C5C48" w14:paraId="7CD78B62" w14:textId="7D0AA531">
          <w:pPr>
            <w:pStyle w:val="TOC2"/>
            <w:tabs>
              <w:tab w:val="left" w:pos="1540"/>
            </w:tabs>
            <w:rPr>
              <w:rFonts w:asciiTheme="minorHAnsi" w:eastAsiaTheme="minorEastAsia" w:hAnsiTheme="minorHAnsi" w:cstheme="minorBidi"/>
              <w:i w:val="0"/>
              <w:iCs w:val="0"/>
              <w:sz w:val="22"/>
            </w:rPr>
          </w:pPr>
          <w:hyperlink w:anchor="_Toc149779111" w:history="1">
            <w:r w:rsidRPr="006C5C48">
              <w:rPr>
                <w:rStyle w:val="Hyperlink"/>
                <w:color w:val="auto"/>
              </w:rPr>
              <w:t>A.</w:t>
            </w:r>
            <w:r w:rsidRPr="006C5C48">
              <w:rPr>
                <w:rFonts w:asciiTheme="minorHAnsi" w:eastAsiaTheme="minorEastAsia" w:hAnsiTheme="minorHAnsi" w:cstheme="minorBidi"/>
                <w:i w:val="0"/>
                <w:iCs w:val="0"/>
                <w:sz w:val="22"/>
              </w:rPr>
              <w:tab/>
            </w:r>
            <w:r w:rsidRPr="006C5C48">
              <w:rPr>
                <w:rStyle w:val="Hyperlink"/>
                <w:color w:val="auto"/>
              </w:rPr>
              <w:t>Need/Authority for the Collection</w:t>
            </w:r>
            <w:r w:rsidRPr="006C5C48">
              <w:rPr>
                <w:webHidden/>
              </w:rPr>
              <w:tab/>
            </w:r>
            <w:r w:rsidRPr="006C5C48">
              <w:rPr>
                <w:webHidden/>
              </w:rPr>
              <w:fldChar w:fldCharType="begin"/>
            </w:r>
            <w:r w:rsidRPr="006C5C48">
              <w:rPr>
                <w:webHidden/>
              </w:rPr>
              <w:instrText xml:space="preserve"> PAGEREF _Toc149779111 \h </w:instrText>
            </w:r>
            <w:r w:rsidRPr="006C5C48">
              <w:rPr>
                <w:webHidden/>
              </w:rPr>
              <w:fldChar w:fldCharType="separate"/>
            </w:r>
            <w:r w:rsidRPr="006C5C48">
              <w:rPr>
                <w:webHidden/>
              </w:rPr>
              <w:t>9</w:t>
            </w:r>
            <w:r w:rsidRPr="006C5C48">
              <w:rPr>
                <w:webHidden/>
              </w:rPr>
              <w:fldChar w:fldCharType="end"/>
            </w:r>
          </w:hyperlink>
        </w:p>
        <w:p w:rsidR="006C5C48" w:rsidRPr="006C5C48" w14:paraId="740B1866" w14:textId="1EDE65F1">
          <w:pPr>
            <w:pStyle w:val="TOC2"/>
            <w:tabs>
              <w:tab w:val="left" w:pos="1540"/>
            </w:tabs>
            <w:rPr>
              <w:rFonts w:asciiTheme="minorHAnsi" w:eastAsiaTheme="minorEastAsia" w:hAnsiTheme="minorHAnsi" w:cstheme="minorBidi"/>
              <w:i w:val="0"/>
              <w:iCs w:val="0"/>
              <w:sz w:val="22"/>
            </w:rPr>
          </w:pPr>
          <w:hyperlink w:anchor="_Toc149779112" w:history="1">
            <w:r w:rsidRPr="006C5C48">
              <w:rPr>
                <w:rStyle w:val="Hyperlink"/>
                <w:color w:val="auto"/>
              </w:rPr>
              <w:t>B.</w:t>
            </w:r>
            <w:r w:rsidRPr="006C5C48">
              <w:rPr>
                <w:rFonts w:asciiTheme="minorHAnsi" w:eastAsiaTheme="minorEastAsia" w:hAnsiTheme="minorHAnsi" w:cstheme="minorBidi"/>
                <w:i w:val="0"/>
                <w:iCs w:val="0"/>
                <w:sz w:val="22"/>
              </w:rPr>
              <w:tab/>
            </w:r>
            <w:r w:rsidRPr="006C5C48">
              <w:rPr>
                <w:rStyle w:val="Hyperlink"/>
                <w:color w:val="auto"/>
              </w:rPr>
              <w:t>Practical Utility/Users of the Data</w:t>
            </w:r>
            <w:r w:rsidRPr="006C5C48">
              <w:rPr>
                <w:webHidden/>
              </w:rPr>
              <w:tab/>
            </w:r>
            <w:r w:rsidRPr="006C5C48">
              <w:rPr>
                <w:webHidden/>
              </w:rPr>
              <w:fldChar w:fldCharType="begin"/>
            </w:r>
            <w:r w:rsidRPr="006C5C48">
              <w:rPr>
                <w:webHidden/>
              </w:rPr>
              <w:instrText xml:space="preserve"> PAGEREF _Toc149779112 \h </w:instrText>
            </w:r>
            <w:r w:rsidRPr="006C5C48">
              <w:rPr>
                <w:webHidden/>
              </w:rPr>
              <w:fldChar w:fldCharType="separate"/>
            </w:r>
            <w:r w:rsidRPr="006C5C48">
              <w:rPr>
                <w:webHidden/>
              </w:rPr>
              <w:t>10</w:t>
            </w:r>
            <w:r w:rsidRPr="006C5C48">
              <w:rPr>
                <w:webHidden/>
              </w:rPr>
              <w:fldChar w:fldCharType="end"/>
            </w:r>
          </w:hyperlink>
        </w:p>
        <w:p w:rsidR="006C5C48" w:rsidRPr="006C5C48" w14:paraId="68B3ED2D" w14:textId="4399BF16">
          <w:pPr>
            <w:pStyle w:val="TOC1"/>
            <w:tabs>
              <w:tab w:val="left" w:pos="1320"/>
            </w:tabs>
            <w:rPr>
              <w:rFonts w:asciiTheme="minorHAnsi" w:eastAsiaTheme="minorEastAsia" w:hAnsiTheme="minorHAnsi" w:cstheme="minorBidi"/>
              <w:b w:val="0"/>
              <w:bCs w:val="0"/>
              <w:sz w:val="22"/>
            </w:rPr>
          </w:pPr>
          <w:hyperlink w:anchor="_Toc149779113" w:history="1">
            <w:r w:rsidRPr="006C5C48">
              <w:rPr>
                <w:rStyle w:val="Hyperlink"/>
                <w:color w:val="auto"/>
              </w:rPr>
              <w:t>III.</w:t>
            </w:r>
            <w:r w:rsidRPr="006C5C48">
              <w:rPr>
                <w:rFonts w:asciiTheme="minorHAnsi" w:eastAsiaTheme="minorEastAsia" w:hAnsiTheme="minorHAnsi" w:cstheme="minorBidi"/>
                <w:b w:val="0"/>
                <w:bCs w:val="0"/>
                <w:sz w:val="22"/>
              </w:rPr>
              <w:tab/>
            </w:r>
            <w:r w:rsidRPr="006C5C48">
              <w:rPr>
                <w:rStyle w:val="Hyperlink"/>
                <w:color w:val="auto"/>
              </w:rPr>
              <w:t>Non duplication, Consultations, and Other Collection Criteria</w:t>
            </w:r>
            <w:r w:rsidRPr="006C5C48">
              <w:rPr>
                <w:webHidden/>
              </w:rPr>
              <w:tab/>
            </w:r>
            <w:r w:rsidRPr="006C5C48">
              <w:rPr>
                <w:webHidden/>
              </w:rPr>
              <w:fldChar w:fldCharType="begin"/>
            </w:r>
            <w:r w:rsidRPr="006C5C48">
              <w:rPr>
                <w:webHidden/>
              </w:rPr>
              <w:instrText xml:space="preserve"> PAGEREF _Toc149779113 \h </w:instrText>
            </w:r>
            <w:r w:rsidRPr="006C5C48">
              <w:rPr>
                <w:webHidden/>
              </w:rPr>
              <w:fldChar w:fldCharType="separate"/>
            </w:r>
            <w:r w:rsidRPr="006C5C48">
              <w:rPr>
                <w:webHidden/>
              </w:rPr>
              <w:t>11</w:t>
            </w:r>
            <w:r w:rsidRPr="006C5C48">
              <w:rPr>
                <w:webHidden/>
              </w:rPr>
              <w:fldChar w:fldCharType="end"/>
            </w:r>
          </w:hyperlink>
        </w:p>
        <w:p w:rsidR="006C5C48" w:rsidRPr="006C5C48" w14:paraId="599EB562" w14:textId="51760EF6">
          <w:pPr>
            <w:pStyle w:val="TOC2"/>
            <w:tabs>
              <w:tab w:val="left" w:pos="1540"/>
            </w:tabs>
            <w:rPr>
              <w:rFonts w:asciiTheme="minorHAnsi" w:eastAsiaTheme="minorEastAsia" w:hAnsiTheme="minorHAnsi" w:cstheme="minorBidi"/>
              <w:i w:val="0"/>
              <w:iCs w:val="0"/>
              <w:sz w:val="22"/>
            </w:rPr>
          </w:pPr>
          <w:hyperlink w:anchor="_Toc149779114" w:history="1">
            <w:r w:rsidRPr="006C5C48">
              <w:rPr>
                <w:rStyle w:val="Hyperlink"/>
                <w:color w:val="auto"/>
              </w:rPr>
              <w:t>A.</w:t>
            </w:r>
            <w:r w:rsidRPr="006C5C48">
              <w:rPr>
                <w:rFonts w:asciiTheme="minorHAnsi" w:eastAsiaTheme="minorEastAsia" w:hAnsiTheme="minorHAnsi" w:cstheme="minorBidi"/>
                <w:i w:val="0"/>
                <w:iCs w:val="0"/>
                <w:sz w:val="22"/>
              </w:rPr>
              <w:tab/>
            </w:r>
            <w:r w:rsidRPr="006C5C48">
              <w:rPr>
                <w:rStyle w:val="Hyperlink"/>
                <w:color w:val="auto"/>
              </w:rPr>
              <w:t>Non duplication</w:t>
            </w:r>
            <w:r w:rsidRPr="006C5C48">
              <w:rPr>
                <w:webHidden/>
              </w:rPr>
              <w:tab/>
            </w:r>
            <w:r w:rsidRPr="006C5C48">
              <w:rPr>
                <w:webHidden/>
              </w:rPr>
              <w:fldChar w:fldCharType="begin"/>
            </w:r>
            <w:r w:rsidRPr="006C5C48">
              <w:rPr>
                <w:webHidden/>
              </w:rPr>
              <w:instrText xml:space="preserve"> PAGEREF _Toc149779114 \h </w:instrText>
            </w:r>
            <w:r w:rsidRPr="006C5C48">
              <w:rPr>
                <w:webHidden/>
              </w:rPr>
              <w:fldChar w:fldCharType="separate"/>
            </w:r>
            <w:r w:rsidRPr="006C5C48">
              <w:rPr>
                <w:webHidden/>
              </w:rPr>
              <w:t>11</w:t>
            </w:r>
            <w:r w:rsidRPr="006C5C48">
              <w:rPr>
                <w:webHidden/>
              </w:rPr>
              <w:fldChar w:fldCharType="end"/>
            </w:r>
          </w:hyperlink>
        </w:p>
        <w:p w:rsidR="006C5C48" w:rsidRPr="006C5C48" w14:paraId="38A148DE" w14:textId="16EC9DE0">
          <w:pPr>
            <w:pStyle w:val="TOC2"/>
            <w:tabs>
              <w:tab w:val="left" w:pos="1540"/>
            </w:tabs>
            <w:rPr>
              <w:rFonts w:asciiTheme="minorHAnsi" w:eastAsiaTheme="minorEastAsia" w:hAnsiTheme="minorHAnsi" w:cstheme="minorBidi"/>
              <w:i w:val="0"/>
              <w:iCs w:val="0"/>
              <w:sz w:val="22"/>
            </w:rPr>
          </w:pPr>
          <w:hyperlink w:anchor="_Toc149779115" w:history="1">
            <w:r w:rsidRPr="006C5C48">
              <w:rPr>
                <w:rStyle w:val="Hyperlink"/>
                <w:color w:val="auto"/>
              </w:rPr>
              <w:t>B.</w:t>
            </w:r>
            <w:r w:rsidRPr="006C5C48">
              <w:rPr>
                <w:rFonts w:asciiTheme="minorHAnsi" w:eastAsiaTheme="minorEastAsia" w:hAnsiTheme="minorHAnsi" w:cstheme="minorBidi"/>
                <w:i w:val="0"/>
                <w:iCs w:val="0"/>
                <w:sz w:val="22"/>
              </w:rPr>
              <w:tab/>
            </w:r>
            <w:r w:rsidRPr="006C5C48">
              <w:rPr>
                <w:rStyle w:val="Hyperlink"/>
                <w:color w:val="auto"/>
              </w:rPr>
              <w:t>Public Notice Required Prior to ICR submission to OMB</w:t>
            </w:r>
            <w:r w:rsidRPr="006C5C48">
              <w:rPr>
                <w:webHidden/>
              </w:rPr>
              <w:tab/>
            </w:r>
            <w:r w:rsidRPr="006C5C48">
              <w:rPr>
                <w:webHidden/>
              </w:rPr>
              <w:fldChar w:fldCharType="begin"/>
            </w:r>
            <w:r w:rsidRPr="006C5C48">
              <w:rPr>
                <w:webHidden/>
              </w:rPr>
              <w:instrText xml:space="preserve"> PAGEREF _Toc149779115 \h </w:instrText>
            </w:r>
            <w:r w:rsidRPr="006C5C48">
              <w:rPr>
                <w:webHidden/>
              </w:rPr>
              <w:fldChar w:fldCharType="separate"/>
            </w:r>
            <w:r w:rsidRPr="006C5C48">
              <w:rPr>
                <w:webHidden/>
              </w:rPr>
              <w:t>11</w:t>
            </w:r>
            <w:r w:rsidRPr="006C5C48">
              <w:rPr>
                <w:webHidden/>
              </w:rPr>
              <w:fldChar w:fldCharType="end"/>
            </w:r>
          </w:hyperlink>
        </w:p>
        <w:p w:rsidR="006C5C48" w:rsidRPr="006C5C48" w14:paraId="1E754571" w14:textId="4BFA72C4">
          <w:pPr>
            <w:pStyle w:val="TOC2"/>
            <w:tabs>
              <w:tab w:val="left" w:pos="1540"/>
            </w:tabs>
            <w:rPr>
              <w:rFonts w:asciiTheme="minorHAnsi" w:eastAsiaTheme="minorEastAsia" w:hAnsiTheme="minorHAnsi" w:cstheme="minorBidi"/>
              <w:i w:val="0"/>
              <w:iCs w:val="0"/>
              <w:sz w:val="22"/>
            </w:rPr>
          </w:pPr>
          <w:hyperlink w:anchor="_Toc149779116" w:history="1">
            <w:r w:rsidRPr="006C5C48">
              <w:rPr>
                <w:rStyle w:val="Hyperlink"/>
                <w:color w:val="auto"/>
              </w:rPr>
              <w:t>C.</w:t>
            </w:r>
            <w:r w:rsidRPr="006C5C48">
              <w:rPr>
                <w:rFonts w:asciiTheme="minorHAnsi" w:eastAsiaTheme="minorEastAsia" w:hAnsiTheme="minorHAnsi" w:cstheme="minorBidi"/>
                <w:i w:val="0"/>
                <w:iCs w:val="0"/>
                <w:sz w:val="22"/>
              </w:rPr>
              <w:tab/>
            </w:r>
            <w:r w:rsidRPr="006C5C48">
              <w:rPr>
                <w:rStyle w:val="Hyperlink"/>
                <w:color w:val="auto"/>
              </w:rPr>
              <w:t>Consultations</w:t>
            </w:r>
            <w:r w:rsidRPr="006C5C48">
              <w:rPr>
                <w:webHidden/>
              </w:rPr>
              <w:tab/>
            </w:r>
            <w:r w:rsidRPr="006C5C48">
              <w:rPr>
                <w:webHidden/>
              </w:rPr>
              <w:fldChar w:fldCharType="begin"/>
            </w:r>
            <w:r w:rsidRPr="006C5C48">
              <w:rPr>
                <w:webHidden/>
              </w:rPr>
              <w:instrText xml:space="preserve"> PAGEREF _Toc149779116 \h </w:instrText>
            </w:r>
            <w:r w:rsidRPr="006C5C48">
              <w:rPr>
                <w:webHidden/>
              </w:rPr>
              <w:fldChar w:fldCharType="separate"/>
            </w:r>
            <w:r w:rsidRPr="006C5C48">
              <w:rPr>
                <w:webHidden/>
              </w:rPr>
              <w:t>12</w:t>
            </w:r>
            <w:r w:rsidRPr="006C5C48">
              <w:rPr>
                <w:webHidden/>
              </w:rPr>
              <w:fldChar w:fldCharType="end"/>
            </w:r>
          </w:hyperlink>
        </w:p>
        <w:p w:rsidR="006C5C48" w:rsidRPr="006C5C48" w14:paraId="13F5BCE5" w14:textId="7E47250D">
          <w:pPr>
            <w:pStyle w:val="TOC2"/>
            <w:tabs>
              <w:tab w:val="left" w:pos="1540"/>
            </w:tabs>
            <w:rPr>
              <w:rFonts w:asciiTheme="minorHAnsi" w:eastAsiaTheme="minorEastAsia" w:hAnsiTheme="minorHAnsi" w:cstheme="minorBidi"/>
              <w:i w:val="0"/>
              <w:iCs w:val="0"/>
              <w:sz w:val="22"/>
            </w:rPr>
          </w:pPr>
          <w:hyperlink w:anchor="_Toc149779117" w:history="1">
            <w:r w:rsidRPr="006C5C48">
              <w:rPr>
                <w:rStyle w:val="Hyperlink"/>
                <w:color w:val="auto"/>
              </w:rPr>
              <w:t>D.</w:t>
            </w:r>
            <w:r w:rsidRPr="006C5C48">
              <w:rPr>
                <w:rFonts w:asciiTheme="minorHAnsi" w:eastAsiaTheme="minorEastAsia" w:hAnsiTheme="minorHAnsi" w:cstheme="minorBidi"/>
                <w:i w:val="0"/>
                <w:iCs w:val="0"/>
                <w:sz w:val="22"/>
              </w:rPr>
              <w:tab/>
            </w:r>
            <w:r w:rsidRPr="006C5C48">
              <w:rPr>
                <w:rStyle w:val="Hyperlink"/>
                <w:color w:val="auto"/>
              </w:rPr>
              <w:t>Effects of Less Frequent Collection</w:t>
            </w:r>
            <w:r w:rsidRPr="006C5C48">
              <w:rPr>
                <w:webHidden/>
              </w:rPr>
              <w:tab/>
            </w:r>
            <w:r w:rsidRPr="006C5C48">
              <w:rPr>
                <w:webHidden/>
              </w:rPr>
              <w:fldChar w:fldCharType="begin"/>
            </w:r>
            <w:r w:rsidRPr="006C5C48">
              <w:rPr>
                <w:webHidden/>
              </w:rPr>
              <w:instrText xml:space="preserve"> PAGEREF _Toc149779117 \h </w:instrText>
            </w:r>
            <w:r w:rsidRPr="006C5C48">
              <w:rPr>
                <w:webHidden/>
              </w:rPr>
              <w:fldChar w:fldCharType="separate"/>
            </w:r>
            <w:r w:rsidRPr="006C5C48">
              <w:rPr>
                <w:webHidden/>
              </w:rPr>
              <w:t>20</w:t>
            </w:r>
            <w:r w:rsidRPr="006C5C48">
              <w:rPr>
                <w:webHidden/>
              </w:rPr>
              <w:fldChar w:fldCharType="end"/>
            </w:r>
          </w:hyperlink>
        </w:p>
        <w:p w:rsidR="006C5C48" w:rsidRPr="006C5C48" w14:paraId="555C638C" w14:textId="3458D184">
          <w:pPr>
            <w:pStyle w:val="TOC2"/>
            <w:tabs>
              <w:tab w:val="left" w:pos="1540"/>
            </w:tabs>
            <w:rPr>
              <w:rFonts w:asciiTheme="minorHAnsi" w:eastAsiaTheme="minorEastAsia" w:hAnsiTheme="minorHAnsi" w:cstheme="minorBidi"/>
              <w:i w:val="0"/>
              <w:iCs w:val="0"/>
              <w:sz w:val="22"/>
            </w:rPr>
          </w:pPr>
          <w:hyperlink w:anchor="_Toc149779118" w:history="1">
            <w:r w:rsidRPr="006C5C48">
              <w:rPr>
                <w:rStyle w:val="Hyperlink"/>
                <w:color w:val="auto"/>
              </w:rPr>
              <w:t>E.</w:t>
            </w:r>
            <w:r w:rsidRPr="006C5C48">
              <w:rPr>
                <w:rFonts w:asciiTheme="minorHAnsi" w:eastAsiaTheme="minorEastAsia" w:hAnsiTheme="minorHAnsi" w:cstheme="minorBidi"/>
                <w:i w:val="0"/>
                <w:iCs w:val="0"/>
                <w:sz w:val="22"/>
              </w:rPr>
              <w:tab/>
            </w:r>
            <w:r w:rsidRPr="006C5C48">
              <w:rPr>
                <w:rStyle w:val="Hyperlink"/>
                <w:color w:val="auto"/>
              </w:rPr>
              <w:t>General Guidelines</w:t>
            </w:r>
            <w:r w:rsidRPr="006C5C48">
              <w:rPr>
                <w:webHidden/>
              </w:rPr>
              <w:tab/>
            </w:r>
            <w:r w:rsidRPr="006C5C48">
              <w:rPr>
                <w:webHidden/>
              </w:rPr>
              <w:fldChar w:fldCharType="begin"/>
            </w:r>
            <w:r w:rsidRPr="006C5C48">
              <w:rPr>
                <w:webHidden/>
              </w:rPr>
              <w:instrText xml:space="preserve"> PAGEREF _Toc149779118 \h </w:instrText>
            </w:r>
            <w:r w:rsidRPr="006C5C48">
              <w:rPr>
                <w:webHidden/>
              </w:rPr>
              <w:fldChar w:fldCharType="separate"/>
            </w:r>
            <w:r w:rsidRPr="006C5C48">
              <w:rPr>
                <w:webHidden/>
              </w:rPr>
              <w:t>21</w:t>
            </w:r>
            <w:r w:rsidRPr="006C5C48">
              <w:rPr>
                <w:webHidden/>
              </w:rPr>
              <w:fldChar w:fldCharType="end"/>
            </w:r>
          </w:hyperlink>
        </w:p>
        <w:p w:rsidR="006C5C48" w:rsidRPr="006C5C48" w14:paraId="5463E134" w14:textId="52AA5171">
          <w:pPr>
            <w:pStyle w:val="TOC2"/>
            <w:tabs>
              <w:tab w:val="left" w:pos="1540"/>
            </w:tabs>
            <w:rPr>
              <w:rFonts w:asciiTheme="minorHAnsi" w:eastAsiaTheme="minorEastAsia" w:hAnsiTheme="minorHAnsi" w:cstheme="minorBidi"/>
              <w:i w:val="0"/>
              <w:iCs w:val="0"/>
              <w:sz w:val="22"/>
            </w:rPr>
          </w:pPr>
          <w:hyperlink w:anchor="_Toc149779119" w:history="1">
            <w:r w:rsidRPr="006C5C48">
              <w:rPr>
                <w:rStyle w:val="Hyperlink"/>
                <w:color w:val="auto"/>
              </w:rPr>
              <w:t>F.</w:t>
            </w:r>
            <w:r w:rsidRPr="006C5C48">
              <w:rPr>
                <w:rFonts w:asciiTheme="minorHAnsi" w:eastAsiaTheme="minorEastAsia" w:hAnsiTheme="minorHAnsi" w:cstheme="minorBidi"/>
                <w:i w:val="0"/>
                <w:iCs w:val="0"/>
                <w:sz w:val="22"/>
              </w:rPr>
              <w:tab/>
            </w:r>
            <w:r w:rsidRPr="006C5C48">
              <w:rPr>
                <w:rStyle w:val="Hyperlink"/>
                <w:color w:val="auto"/>
              </w:rPr>
              <w:t>Confidentiality</w:t>
            </w:r>
            <w:r w:rsidRPr="006C5C48">
              <w:rPr>
                <w:webHidden/>
              </w:rPr>
              <w:tab/>
            </w:r>
            <w:r w:rsidRPr="006C5C48">
              <w:rPr>
                <w:webHidden/>
              </w:rPr>
              <w:fldChar w:fldCharType="begin"/>
            </w:r>
            <w:r w:rsidRPr="006C5C48">
              <w:rPr>
                <w:webHidden/>
              </w:rPr>
              <w:instrText xml:space="preserve"> PAGEREF _Toc149779119 \h </w:instrText>
            </w:r>
            <w:r w:rsidRPr="006C5C48">
              <w:rPr>
                <w:webHidden/>
              </w:rPr>
              <w:fldChar w:fldCharType="separate"/>
            </w:r>
            <w:r w:rsidRPr="006C5C48">
              <w:rPr>
                <w:webHidden/>
              </w:rPr>
              <w:t>22</w:t>
            </w:r>
            <w:r w:rsidRPr="006C5C48">
              <w:rPr>
                <w:webHidden/>
              </w:rPr>
              <w:fldChar w:fldCharType="end"/>
            </w:r>
          </w:hyperlink>
        </w:p>
        <w:p w:rsidR="006C5C48" w:rsidRPr="006C5C48" w14:paraId="16C35E96" w14:textId="74BA8CDB">
          <w:pPr>
            <w:pStyle w:val="TOC2"/>
            <w:tabs>
              <w:tab w:val="left" w:pos="1540"/>
            </w:tabs>
            <w:rPr>
              <w:rFonts w:asciiTheme="minorHAnsi" w:eastAsiaTheme="minorEastAsia" w:hAnsiTheme="minorHAnsi" w:cstheme="minorBidi"/>
              <w:i w:val="0"/>
              <w:iCs w:val="0"/>
              <w:sz w:val="22"/>
            </w:rPr>
          </w:pPr>
          <w:hyperlink w:anchor="_Toc149779120" w:history="1">
            <w:r w:rsidRPr="006C5C48">
              <w:rPr>
                <w:rStyle w:val="Hyperlink"/>
                <w:color w:val="auto"/>
              </w:rPr>
              <w:t>G.</w:t>
            </w:r>
            <w:r w:rsidRPr="006C5C48">
              <w:rPr>
                <w:rFonts w:asciiTheme="minorHAnsi" w:eastAsiaTheme="minorEastAsia" w:hAnsiTheme="minorHAnsi" w:cstheme="minorBidi"/>
                <w:i w:val="0"/>
                <w:iCs w:val="0"/>
                <w:sz w:val="22"/>
              </w:rPr>
              <w:tab/>
            </w:r>
            <w:r w:rsidRPr="006C5C48">
              <w:rPr>
                <w:rStyle w:val="Hyperlink"/>
                <w:color w:val="auto"/>
              </w:rPr>
              <w:t>Sensitive Questions</w:t>
            </w:r>
            <w:r w:rsidRPr="006C5C48">
              <w:rPr>
                <w:webHidden/>
              </w:rPr>
              <w:tab/>
            </w:r>
            <w:r w:rsidRPr="006C5C48">
              <w:rPr>
                <w:webHidden/>
              </w:rPr>
              <w:fldChar w:fldCharType="begin"/>
            </w:r>
            <w:r w:rsidRPr="006C5C48">
              <w:rPr>
                <w:webHidden/>
              </w:rPr>
              <w:instrText xml:space="preserve"> PAGEREF _Toc149779120 \h </w:instrText>
            </w:r>
            <w:r w:rsidRPr="006C5C48">
              <w:rPr>
                <w:webHidden/>
              </w:rPr>
              <w:fldChar w:fldCharType="separate"/>
            </w:r>
            <w:r w:rsidRPr="006C5C48">
              <w:rPr>
                <w:webHidden/>
              </w:rPr>
              <w:t>22</w:t>
            </w:r>
            <w:r w:rsidRPr="006C5C48">
              <w:rPr>
                <w:webHidden/>
              </w:rPr>
              <w:fldChar w:fldCharType="end"/>
            </w:r>
          </w:hyperlink>
        </w:p>
        <w:p w:rsidR="006C5C48" w:rsidRPr="006C5C48" w14:paraId="60105A09" w14:textId="3CFD99FA">
          <w:pPr>
            <w:pStyle w:val="TOC1"/>
            <w:tabs>
              <w:tab w:val="left" w:pos="1320"/>
            </w:tabs>
            <w:rPr>
              <w:rFonts w:asciiTheme="minorHAnsi" w:eastAsiaTheme="minorEastAsia" w:hAnsiTheme="minorHAnsi" w:cstheme="minorBidi"/>
              <w:b w:val="0"/>
              <w:bCs w:val="0"/>
              <w:sz w:val="22"/>
            </w:rPr>
          </w:pPr>
          <w:hyperlink w:anchor="_Toc149779121" w:history="1">
            <w:r w:rsidRPr="006C5C48">
              <w:rPr>
                <w:rStyle w:val="Hyperlink"/>
                <w:color w:val="auto"/>
              </w:rPr>
              <w:t>IV.</w:t>
            </w:r>
            <w:r w:rsidRPr="006C5C48">
              <w:rPr>
                <w:rFonts w:asciiTheme="minorHAnsi" w:eastAsiaTheme="minorEastAsia" w:hAnsiTheme="minorHAnsi" w:cstheme="minorBidi"/>
                <w:b w:val="0"/>
                <w:bCs w:val="0"/>
                <w:sz w:val="22"/>
              </w:rPr>
              <w:tab/>
            </w:r>
            <w:r w:rsidRPr="006C5C48">
              <w:rPr>
                <w:rStyle w:val="Hyperlink"/>
                <w:color w:val="auto"/>
              </w:rPr>
              <w:t>The Respondents and the Information Requested</w:t>
            </w:r>
            <w:r w:rsidRPr="006C5C48">
              <w:rPr>
                <w:webHidden/>
              </w:rPr>
              <w:tab/>
            </w:r>
            <w:r w:rsidRPr="006C5C48">
              <w:rPr>
                <w:webHidden/>
              </w:rPr>
              <w:fldChar w:fldCharType="begin"/>
            </w:r>
            <w:r w:rsidRPr="006C5C48">
              <w:rPr>
                <w:webHidden/>
              </w:rPr>
              <w:instrText xml:space="preserve"> PAGEREF _Toc149779121 \h </w:instrText>
            </w:r>
            <w:r w:rsidRPr="006C5C48">
              <w:rPr>
                <w:webHidden/>
              </w:rPr>
              <w:fldChar w:fldCharType="separate"/>
            </w:r>
            <w:r w:rsidRPr="006C5C48">
              <w:rPr>
                <w:webHidden/>
              </w:rPr>
              <w:t>23</w:t>
            </w:r>
            <w:r w:rsidRPr="006C5C48">
              <w:rPr>
                <w:webHidden/>
              </w:rPr>
              <w:fldChar w:fldCharType="end"/>
            </w:r>
          </w:hyperlink>
        </w:p>
        <w:p w:rsidR="006C5C48" w:rsidRPr="006C5C48" w14:paraId="6E5AF84A" w14:textId="59B7AF2A">
          <w:pPr>
            <w:pStyle w:val="TOC2"/>
            <w:tabs>
              <w:tab w:val="left" w:pos="1540"/>
            </w:tabs>
            <w:rPr>
              <w:rFonts w:asciiTheme="minorHAnsi" w:eastAsiaTheme="minorEastAsia" w:hAnsiTheme="minorHAnsi" w:cstheme="minorBidi"/>
              <w:i w:val="0"/>
              <w:iCs w:val="0"/>
              <w:sz w:val="22"/>
            </w:rPr>
          </w:pPr>
          <w:hyperlink w:anchor="_Toc149779122" w:history="1">
            <w:r w:rsidRPr="006C5C48">
              <w:rPr>
                <w:rStyle w:val="Hyperlink"/>
                <w:color w:val="auto"/>
              </w:rPr>
              <w:t>A.</w:t>
            </w:r>
            <w:r w:rsidRPr="006C5C48">
              <w:rPr>
                <w:rFonts w:asciiTheme="minorHAnsi" w:eastAsiaTheme="minorEastAsia" w:hAnsiTheme="minorHAnsi" w:cstheme="minorBidi"/>
                <w:i w:val="0"/>
                <w:iCs w:val="0"/>
                <w:sz w:val="22"/>
              </w:rPr>
              <w:tab/>
            </w:r>
            <w:r w:rsidRPr="006C5C48">
              <w:rPr>
                <w:rStyle w:val="Hyperlink"/>
                <w:color w:val="auto"/>
              </w:rPr>
              <w:t>Respondents/SIC Codes</w:t>
            </w:r>
            <w:r w:rsidRPr="006C5C48">
              <w:rPr>
                <w:webHidden/>
              </w:rPr>
              <w:tab/>
            </w:r>
            <w:r w:rsidRPr="006C5C48">
              <w:rPr>
                <w:webHidden/>
              </w:rPr>
              <w:fldChar w:fldCharType="begin"/>
            </w:r>
            <w:r w:rsidRPr="006C5C48">
              <w:rPr>
                <w:webHidden/>
              </w:rPr>
              <w:instrText xml:space="preserve"> PAGEREF _Toc149779122 \h </w:instrText>
            </w:r>
            <w:r w:rsidRPr="006C5C48">
              <w:rPr>
                <w:webHidden/>
              </w:rPr>
              <w:fldChar w:fldCharType="separate"/>
            </w:r>
            <w:r w:rsidRPr="006C5C48">
              <w:rPr>
                <w:webHidden/>
              </w:rPr>
              <w:t>23</w:t>
            </w:r>
            <w:r w:rsidRPr="006C5C48">
              <w:rPr>
                <w:webHidden/>
              </w:rPr>
              <w:fldChar w:fldCharType="end"/>
            </w:r>
          </w:hyperlink>
        </w:p>
        <w:p w:rsidR="006C5C48" w:rsidRPr="006C5C48" w14:paraId="32F413BD" w14:textId="2409E281">
          <w:pPr>
            <w:pStyle w:val="TOC2"/>
            <w:tabs>
              <w:tab w:val="left" w:pos="1540"/>
            </w:tabs>
            <w:rPr>
              <w:rFonts w:asciiTheme="minorHAnsi" w:eastAsiaTheme="minorEastAsia" w:hAnsiTheme="minorHAnsi" w:cstheme="minorBidi"/>
              <w:i w:val="0"/>
              <w:iCs w:val="0"/>
              <w:sz w:val="22"/>
            </w:rPr>
          </w:pPr>
          <w:hyperlink w:anchor="_Toc149779123" w:history="1">
            <w:r w:rsidRPr="006C5C48">
              <w:rPr>
                <w:rStyle w:val="Hyperlink"/>
                <w:color w:val="auto"/>
              </w:rPr>
              <w:t>B.</w:t>
            </w:r>
            <w:r w:rsidRPr="006C5C48">
              <w:rPr>
                <w:rFonts w:asciiTheme="minorHAnsi" w:eastAsiaTheme="minorEastAsia" w:hAnsiTheme="minorHAnsi" w:cstheme="minorBidi"/>
                <w:i w:val="0"/>
                <w:iCs w:val="0"/>
                <w:sz w:val="22"/>
              </w:rPr>
              <w:tab/>
            </w:r>
            <w:r w:rsidRPr="006C5C48">
              <w:rPr>
                <w:rStyle w:val="Hyperlink"/>
                <w:color w:val="auto"/>
              </w:rPr>
              <w:t>Information Requested</w:t>
            </w:r>
            <w:r w:rsidRPr="006C5C48">
              <w:rPr>
                <w:webHidden/>
              </w:rPr>
              <w:tab/>
            </w:r>
            <w:r w:rsidRPr="006C5C48">
              <w:rPr>
                <w:webHidden/>
              </w:rPr>
              <w:fldChar w:fldCharType="begin"/>
            </w:r>
            <w:r w:rsidRPr="006C5C48">
              <w:rPr>
                <w:webHidden/>
              </w:rPr>
              <w:instrText xml:space="preserve"> PAGEREF _Toc149779123 \h </w:instrText>
            </w:r>
            <w:r w:rsidRPr="006C5C48">
              <w:rPr>
                <w:webHidden/>
              </w:rPr>
              <w:fldChar w:fldCharType="separate"/>
            </w:r>
            <w:r w:rsidRPr="006C5C48">
              <w:rPr>
                <w:webHidden/>
              </w:rPr>
              <w:t>23</w:t>
            </w:r>
            <w:r w:rsidRPr="006C5C48">
              <w:rPr>
                <w:webHidden/>
              </w:rPr>
              <w:fldChar w:fldCharType="end"/>
            </w:r>
          </w:hyperlink>
        </w:p>
        <w:p w:rsidR="006C5C48" w:rsidRPr="006C5C48" w14:paraId="58A60004" w14:textId="75E5C195">
          <w:pPr>
            <w:pStyle w:val="TOC1"/>
            <w:tabs>
              <w:tab w:val="left" w:pos="1320"/>
            </w:tabs>
            <w:rPr>
              <w:rFonts w:asciiTheme="minorHAnsi" w:eastAsiaTheme="minorEastAsia" w:hAnsiTheme="minorHAnsi" w:cstheme="minorBidi"/>
              <w:b w:val="0"/>
              <w:bCs w:val="0"/>
              <w:sz w:val="22"/>
            </w:rPr>
          </w:pPr>
          <w:hyperlink w:anchor="_Toc149779124" w:history="1">
            <w:r w:rsidRPr="006C5C48">
              <w:rPr>
                <w:rStyle w:val="Hyperlink"/>
                <w:color w:val="auto"/>
              </w:rPr>
              <w:t>V.</w:t>
            </w:r>
            <w:r w:rsidRPr="006C5C48">
              <w:rPr>
                <w:rFonts w:asciiTheme="minorHAnsi" w:eastAsiaTheme="minorEastAsia" w:hAnsiTheme="minorHAnsi" w:cstheme="minorBidi"/>
                <w:b w:val="0"/>
                <w:bCs w:val="0"/>
                <w:sz w:val="22"/>
              </w:rPr>
              <w:tab/>
            </w:r>
            <w:r w:rsidRPr="006C5C48">
              <w:rPr>
                <w:rStyle w:val="Hyperlink"/>
                <w:color w:val="auto"/>
              </w:rPr>
              <w:t>The Information Collected–Agency Activities, Collection Methodology, and Information Management</w:t>
            </w:r>
            <w:r w:rsidRPr="006C5C48">
              <w:rPr>
                <w:webHidden/>
              </w:rPr>
              <w:tab/>
            </w:r>
            <w:r w:rsidRPr="006C5C48">
              <w:rPr>
                <w:webHidden/>
              </w:rPr>
              <w:fldChar w:fldCharType="begin"/>
            </w:r>
            <w:r w:rsidRPr="006C5C48">
              <w:rPr>
                <w:webHidden/>
              </w:rPr>
              <w:instrText xml:space="preserve"> PAGEREF _Toc149779124 \h </w:instrText>
            </w:r>
            <w:r w:rsidRPr="006C5C48">
              <w:rPr>
                <w:webHidden/>
              </w:rPr>
              <w:fldChar w:fldCharType="separate"/>
            </w:r>
            <w:r w:rsidRPr="006C5C48">
              <w:rPr>
                <w:webHidden/>
              </w:rPr>
              <w:t>25</w:t>
            </w:r>
            <w:r w:rsidRPr="006C5C48">
              <w:rPr>
                <w:webHidden/>
              </w:rPr>
              <w:fldChar w:fldCharType="end"/>
            </w:r>
          </w:hyperlink>
        </w:p>
        <w:p w:rsidR="006C5C48" w:rsidRPr="006C5C48" w14:paraId="735B88CB" w14:textId="6A6E992C">
          <w:pPr>
            <w:pStyle w:val="TOC2"/>
            <w:tabs>
              <w:tab w:val="left" w:pos="1540"/>
            </w:tabs>
            <w:rPr>
              <w:rFonts w:asciiTheme="minorHAnsi" w:eastAsiaTheme="minorEastAsia" w:hAnsiTheme="minorHAnsi" w:cstheme="minorBidi"/>
              <w:i w:val="0"/>
              <w:iCs w:val="0"/>
              <w:sz w:val="22"/>
            </w:rPr>
          </w:pPr>
          <w:hyperlink w:anchor="_Toc149779125" w:history="1">
            <w:r w:rsidRPr="006C5C48">
              <w:rPr>
                <w:rStyle w:val="Hyperlink"/>
                <w:color w:val="auto"/>
              </w:rPr>
              <w:t>A.</w:t>
            </w:r>
            <w:r w:rsidRPr="006C5C48">
              <w:rPr>
                <w:rFonts w:asciiTheme="minorHAnsi" w:eastAsiaTheme="minorEastAsia" w:hAnsiTheme="minorHAnsi" w:cstheme="minorBidi"/>
                <w:i w:val="0"/>
                <w:iCs w:val="0"/>
                <w:sz w:val="22"/>
              </w:rPr>
              <w:tab/>
            </w:r>
            <w:r w:rsidRPr="006C5C48">
              <w:rPr>
                <w:rStyle w:val="Hyperlink"/>
                <w:color w:val="auto"/>
              </w:rPr>
              <w:t>Agency Activities</w:t>
            </w:r>
            <w:r w:rsidRPr="006C5C48">
              <w:rPr>
                <w:webHidden/>
              </w:rPr>
              <w:tab/>
            </w:r>
            <w:r w:rsidRPr="006C5C48">
              <w:rPr>
                <w:webHidden/>
              </w:rPr>
              <w:fldChar w:fldCharType="begin"/>
            </w:r>
            <w:r w:rsidRPr="006C5C48">
              <w:rPr>
                <w:webHidden/>
              </w:rPr>
              <w:instrText xml:space="preserve"> PAGEREF _Toc149779125 \h </w:instrText>
            </w:r>
            <w:r w:rsidRPr="006C5C48">
              <w:rPr>
                <w:webHidden/>
              </w:rPr>
              <w:fldChar w:fldCharType="separate"/>
            </w:r>
            <w:r w:rsidRPr="006C5C48">
              <w:rPr>
                <w:webHidden/>
              </w:rPr>
              <w:t>25</w:t>
            </w:r>
            <w:r w:rsidRPr="006C5C48">
              <w:rPr>
                <w:webHidden/>
              </w:rPr>
              <w:fldChar w:fldCharType="end"/>
            </w:r>
          </w:hyperlink>
        </w:p>
        <w:p w:rsidR="006C5C48" w:rsidRPr="006C5C48" w14:paraId="199BD0CE" w14:textId="500200F4">
          <w:pPr>
            <w:pStyle w:val="TOC2"/>
            <w:tabs>
              <w:tab w:val="left" w:pos="1540"/>
            </w:tabs>
            <w:rPr>
              <w:rFonts w:asciiTheme="minorHAnsi" w:eastAsiaTheme="minorEastAsia" w:hAnsiTheme="minorHAnsi" w:cstheme="minorBidi"/>
              <w:i w:val="0"/>
              <w:iCs w:val="0"/>
              <w:sz w:val="22"/>
            </w:rPr>
          </w:pPr>
          <w:hyperlink w:anchor="_Toc149779126" w:history="1">
            <w:r w:rsidRPr="006C5C48">
              <w:rPr>
                <w:rStyle w:val="Hyperlink"/>
                <w:color w:val="auto"/>
              </w:rPr>
              <w:t>B.</w:t>
            </w:r>
            <w:r w:rsidRPr="006C5C48">
              <w:rPr>
                <w:rFonts w:asciiTheme="minorHAnsi" w:eastAsiaTheme="minorEastAsia" w:hAnsiTheme="minorHAnsi" w:cstheme="minorBidi"/>
                <w:i w:val="0"/>
                <w:iCs w:val="0"/>
                <w:sz w:val="22"/>
              </w:rPr>
              <w:tab/>
            </w:r>
            <w:r w:rsidRPr="006C5C48">
              <w:rPr>
                <w:rStyle w:val="Hyperlink"/>
                <w:color w:val="auto"/>
              </w:rPr>
              <w:t>Collection Methodology and Management</w:t>
            </w:r>
            <w:r w:rsidRPr="006C5C48">
              <w:rPr>
                <w:webHidden/>
              </w:rPr>
              <w:tab/>
            </w:r>
            <w:r w:rsidRPr="006C5C48">
              <w:rPr>
                <w:webHidden/>
              </w:rPr>
              <w:fldChar w:fldCharType="begin"/>
            </w:r>
            <w:r w:rsidRPr="006C5C48">
              <w:rPr>
                <w:webHidden/>
              </w:rPr>
              <w:instrText xml:space="preserve"> PAGEREF _Toc149779126 \h </w:instrText>
            </w:r>
            <w:r w:rsidRPr="006C5C48">
              <w:rPr>
                <w:webHidden/>
              </w:rPr>
              <w:fldChar w:fldCharType="separate"/>
            </w:r>
            <w:r w:rsidRPr="006C5C48">
              <w:rPr>
                <w:webHidden/>
              </w:rPr>
              <w:t>26</w:t>
            </w:r>
            <w:r w:rsidRPr="006C5C48">
              <w:rPr>
                <w:webHidden/>
              </w:rPr>
              <w:fldChar w:fldCharType="end"/>
            </w:r>
          </w:hyperlink>
        </w:p>
        <w:p w:rsidR="006C5C48" w:rsidRPr="006C5C48" w14:paraId="09A62876" w14:textId="7862A883">
          <w:pPr>
            <w:pStyle w:val="TOC2"/>
            <w:tabs>
              <w:tab w:val="left" w:pos="1540"/>
            </w:tabs>
            <w:rPr>
              <w:rFonts w:asciiTheme="minorHAnsi" w:eastAsiaTheme="minorEastAsia" w:hAnsiTheme="minorHAnsi" w:cstheme="minorBidi"/>
              <w:i w:val="0"/>
              <w:iCs w:val="0"/>
              <w:sz w:val="22"/>
            </w:rPr>
          </w:pPr>
          <w:hyperlink w:anchor="_Toc149779127" w:history="1">
            <w:r w:rsidRPr="006C5C48">
              <w:rPr>
                <w:rStyle w:val="Hyperlink"/>
                <w:color w:val="auto"/>
              </w:rPr>
              <w:t>C.</w:t>
            </w:r>
            <w:r w:rsidRPr="006C5C48">
              <w:rPr>
                <w:rFonts w:asciiTheme="minorHAnsi" w:eastAsiaTheme="minorEastAsia" w:hAnsiTheme="minorHAnsi" w:cstheme="minorBidi"/>
                <w:i w:val="0"/>
                <w:iCs w:val="0"/>
                <w:sz w:val="22"/>
              </w:rPr>
              <w:tab/>
            </w:r>
            <w:r w:rsidRPr="006C5C48">
              <w:rPr>
                <w:rStyle w:val="Hyperlink"/>
                <w:color w:val="auto"/>
              </w:rPr>
              <w:t>Small Entity Flexibility</w:t>
            </w:r>
            <w:r w:rsidRPr="006C5C48">
              <w:rPr>
                <w:webHidden/>
              </w:rPr>
              <w:tab/>
            </w:r>
            <w:r w:rsidRPr="006C5C48">
              <w:rPr>
                <w:webHidden/>
              </w:rPr>
              <w:fldChar w:fldCharType="begin"/>
            </w:r>
            <w:r w:rsidRPr="006C5C48">
              <w:rPr>
                <w:webHidden/>
              </w:rPr>
              <w:instrText xml:space="preserve"> PAGEREF _Toc149779127 \h </w:instrText>
            </w:r>
            <w:r w:rsidRPr="006C5C48">
              <w:rPr>
                <w:webHidden/>
              </w:rPr>
              <w:fldChar w:fldCharType="separate"/>
            </w:r>
            <w:r w:rsidRPr="006C5C48">
              <w:rPr>
                <w:webHidden/>
              </w:rPr>
              <w:t>26</w:t>
            </w:r>
            <w:r w:rsidRPr="006C5C48">
              <w:rPr>
                <w:webHidden/>
              </w:rPr>
              <w:fldChar w:fldCharType="end"/>
            </w:r>
          </w:hyperlink>
        </w:p>
        <w:p w:rsidR="006C5C48" w:rsidRPr="006C5C48" w14:paraId="466ADE21" w14:textId="23800109">
          <w:pPr>
            <w:pStyle w:val="TOC2"/>
            <w:tabs>
              <w:tab w:val="left" w:pos="1540"/>
            </w:tabs>
            <w:rPr>
              <w:rFonts w:asciiTheme="minorHAnsi" w:eastAsiaTheme="minorEastAsia" w:hAnsiTheme="minorHAnsi" w:cstheme="minorBidi"/>
              <w:i w:val="0"/>
              <w:iCs w:val="0"/>
              <w:sz w:val="22"/>
            </w:rPr>
          </w:pPr>
          <w:hyperlink w:anchor="_Toc149779128" w:history="1">
            <w:r w:rsidRPr="006C5C48">
              <w:rPr>
                <w:rStyle w:val="Hyperlink"/>
                <w:color w:val="auto"/>
              </w:rPr>
              <w:t>D.</w:t>
            </w:r>
            <w:r w:rsidRPr="006C5C48">
              <w:rPr>
                <w:rFonts w:asciiTheme="minorHAnsi" w:eastAsiaTheme="minorEastAsia" w:hAnsiTheme="minorHAnsi" w:cstheme="minorBidi"/>
                <w:i w:val="0"/>
                <w:iCs w:val="0"/>
                <w:sz w:val="22"/>
              </w:rPr>
              <w:tab/>
            </w:r>
            <w:r w:rsidRPr="006C5C48">
              <w:rPr>
                <w:rStyle w:val="Hyperlink"/>
                <w:color w:val="auto"/>
              </w:rPr>
              <w:t>Collection Schedule</w:t>
            </w:r>
            <w:r w:rsidRPr="006C5C48">
              <w:rPr>
                <w:webHidden/>
              </w:rPr>
              <w:tab/>
            </w:r>
            <w:r w:rsidRPr="006C5C48">
              <w:rPr>
                <w:webHidden/>
              </w:rPr>
              <w:fldChar w:fldCharType="begin"/>
            </w:r>
            <w:r w:rsidRPr="006C5C48">
              <w:rPr>
                <w:webHidden/>
              </w:rPr>
              <w:instrText xml:space="preserve"> PAGEREF _Toc149779128 \h </w:instrText>
            </w:r>
            <w:r w:rsidRPr="006C5C48">
              <w:rPr>
                <w:webHidden/>
              </w:rPr>
              <w:fldChar w:fldCharType="separate"/>
            </w:r>
            <w:r w:rsidRPr="006C5C48">
              <w:rPr>
                <w:webHidden/>
              </w:rPr>
              <w:t>27</w:t>
            </w:r>
            <w:r w:rsidRPr="006C5C48">
              <w:rPr>
                <w:webHidden/>
              </w:rPr>
              <w:fldChar w:fldCharType="end"/>
            </w:r>
          </w:hyperlink>
        </w:p>
        <w:p w:rsidR="006C5C48" w:rsidRPr="006C5C48" w14:paraId="0CD878B9" w14:textId="3BC34308">
          <w:pPr>
            <w:pStyle w:val="TOC1"/>
            <w:tabs>
              <w:tab w:val="left" w:pos="1320"/>
            </w:tabs>
            <w:rPr>
              <w:rFonts w:asciiTheme="minorHAnsi" w:eastAsiaTheme="minorEastAsia" w:hAnsiTheme="minorHAnsi" w:cstheme="minorBidi"/>
              <w:b w:val="0"/>
              <w:bCs w:val="0"/>
              <w:sz w:val="22"/>
            </w:rPr>
          </w:pPr>
          <w:hyperlink w:anchor="_Toc149779129" w:history="1">
            <w:r w:rsidRPr="006C5C48">
              <w:rPr>
                <w:rStyle w:val="Hyperlink"/>
                <w:i/>
                <w:iCs/>
                <w:color w:val="auto"/>
              </w:rPr>
              <w:t>VI.</w:t>
            </w:r>
            <w:r w:rsidRPr="006C5C48">
              <w:rPr>
                <w:rFonts w:asciiTheme="minorHAnsi" w:eastAsiaTheme="minorEastAsia" w:hAnsiTheme="minorHAnsi" w:cstheme="minorBidi"/>
                <w:b w:val="0"/>
                <w:bCs w:val="0"/>
                <w:sz w:val="22"/>
              </w:rPr>
              <w:tab/>
            </w:r>
            <w:r w:rsidRPr="006C5C48">
              <w:rPr>
                <w:rStyle w:val="Hyperlink"/>
                <w:i/>
                <w:iCs/>
                <w:color w:val="auto"/>
              </w:rPr>
              <w:t>Estimating the Burden and Cost of the Collection</w:t>
            </w:r>
            <w:r w:rsidRPr="006C5C48">
              <w:rPr>
                <w:webHidden/>
              </w:rPr>
              <w:tab/>
            </w:r>
            <w:r w:rsidRPr="006C5C48">
              <w:rPr>
                <w:webHidden/>
              </w:rPr>
              <w:fldChar w:fldCharType="begin"/>
            </w:r>
            <w:r w:rsidRPr="006C5C48">
              <w:rPr>
                <w:webHidden/>
              </w:rPr>
              <w:instrText xml:space="preserve"> PAGEREF _Toc149779129 \h </w:instrText>
            </w:r>
            <w:r w:rsidRPr="006C5C48">
              <w:rPr>
                <w:webHidden/>
              </w:rPr>
              <w:fldChar w:fldCharType="separate"/>
            </w:r>
            <w:r w:rsidRPr="006C5C48">
              <w:rPr>
                <w:webHidden/>
              </w:rPr>
              <w:t>29</w:t>
            </w:r>
            <w:r w:rsidRPr="006C5C48">
              <w:rPr>
                <w:webHidden/>
              </w:rPr>
              <w:fldChar w:fldCharType="end"/>
            </w:r>
          </w:hyperlink>
        </w:p>
        <w:p w:rsidR="006C5C48" w:rsidRPr="006C5C48" w14:paraId="679C17CA" w14:textId="0B376702">
          <w:pPr>
            <w:pStyle w:val="TOC2"/>
            <w:tabs>
              <w:tab w:val="left" w:pos="1540"/>
            </w:tabs>
            <w:rPr>
              <w:rFonts w:asciiTheme="minorHAnsi" w:eastAsiaTheme="minorEastAsia" w:hAnsiTheme="minorHAnsi" w:cstheme="minorBidi"/>
              <w:i w:val="0"/>
              <w:iCs w:val="0"/>
              <w:sz w:val="22"/>
            </w:rPr>
          </w:pPr>
          <w:hyperlink w:anchor="_Toc149779130" w:history="1">
            <w:r w:rsidRPr="006C5C48">
              <w:rPr>
                <w:rStyle w:val="Hyperlink"/>
                <w:color w:val="auto"/>
              </w:rPr>
              <w:t>A.</w:t>
            </w:r>
            <w:r w:rsidRPr="006C5C48">
              <w:rPr>
                <w:rFonts w:asciiTheme="minorHAnsi" w:eastAsiaTheme="minorEastAsia" w:hAnsiTheme="minorHAnsi" w:cstheme="minorBidi"/>
                <w:i w:val="0"/>
                <w:iCs w:val="0"/>
                <w:sz w:val="22"/>
              </w:rPr>
              <w:tab/>
            </w:r>
            <w:r w:rsidRPr="006C5C48">
              <w:rPr>
                <w:rStyle w:val="Hyperlink"/>
                <w:color w:val="auto"/>
              </w:rPr>
              <w:t>Estimating Respondent Burden</w:t>
            </w:r>
            <w:r w:rsidRPr="006C5C48">
              <w:rPr>
                <w:webHidden/>
              </w:rPr>
              <w:tab/>
            </w:r>
            <w:r w:rsidRPr="006C5C48">
              <w:rPr>
                <w:webHidden/>
              </w:rPr>
              <w:fldChar w:fldCharType="begin"/>
            </w:r>
            <w:r w:rsidRPr="006C5C48">
              <w:rPr>
                <w:webHidden/>
              </w:rPr>
              <w:instrText xml:space="preserve"> PAGEREF _Toc149779130 \h </w:instrText>
            </w:r>
            <w:r w:rsidRPr="006C5C48">
              <w:rPr>
                <w:webHidden/>
              </w:rPr>
              <w:fldChar w:fldCharType="separate"/>
            </w:r>
            <w:r w:rsidRPr="006C5C48">
              <w:rPr>
                <w:webHidden/>
              </w:rPr>
              <w:t>30</w:t>
            </w:r>
            <w:r w:rsidRPr="006C5C48">
              <w:rPr>
                <w:webHidden/>
              </w:rPr>
              <w:fldChar w:fldCharType="end"/>
            </w:r>
          </w:hyperlink>
        </w:p>
        <w:p w:rsidR="006C5C48" w:rsidRPr="006C5C48" w14:paraId="6A497E44" w14:textId="2A53122B">
          <w:pPr>
            <w:pStyle w:val="TOC2"/>
            <w:tabs>
              <w:tab w:val="left" w:pos="1540"/>
            </w:tabs>
            <w:rPr>
              <w:rFonts w:asciiTheme="minorHAnsi" w:eastAsiaTheme="minorEastAsia" w:hAnsiTheme="minorHAnsi" w:cstheme="minorBidi"/>
              <w:i w:val="0"/>
              <w:iCs w:val="0"/>
              <w:sz w:val="22"/>
            </w:rPr>
          </w:pPr>
          <w:hyperlink w:anchor="_Toc149779131" w:history="1">
            <w:r w:rsidRPr="006C5C48">
              <w:rPr>
                <w:rStyle w:val="Hyperlink"/>
                <w:color w:val="auto"/>
              </w:rPr>
              <w:t>B.</w:t>
            </w:r>
            <w:r w:rsidRPr="006C5C48">
              <w:rPr>
                <w:rFonts w:asciiTheme="minorHAnsi" w:eastAsiaTheme="minorEastAsia" w:hAnsiTheme="minorHAnsi" w:cstheme="minorBidi"/>
                <w:i w:val="0"/>
                <w:iCs w:val="0"/>
                <w:sz w:val="22"/>
              </w:rPr>
              <w:tab/>
            </w:r>
            <w:r w:rsidRPr="006C5C48">
              <w:rPr>
                <w:rStyle w:val="Hyperlink"/>
                <w:color w:val="auto"/>
              </w:rPr>
              <w:t>Estimating Agency Burden and Cost</w:t>
            </w:r>
            <w:r w:rsidRPr="006C5C48">
              <w:rPr>
                <w:webHidden/>
              </w:rPr>
              <w:tab/>
            </w:r>
            <w:r w:rsidRPr="006C5C48">
              <w:rPr>
                <w:webHidden/>
              </w:rPr>
              <w:fldChar w:fldCharType="begin"/>
            </w:r>
            <w:r w:rsidRPr="006C5C48">
              <w:rPr>
                <w:webHidden/>
              </w:rPr>
              <w:instrText xml:space="preserve"> PAGEREF _Toc149779131 \h </w:instrText>
            </w:r>
            <w:r w:rsidRPr="006C5C48">
              <w:rPr>
                <w:webHidden/>
              </w:rPr>
              <w:fldChar w:fldCharType="separate"/>
            </w:r>
            <w:r w:rsidRPr="006C5C48">
              <w:rPr>
                <w:webHidden/>
              </w:rPr>
              <w:t>37</w:t>
            </w:r>
            <w:r w:rsidRPr="006C5C48">
              <w:rPr>
                <w:webHidden/>
              </w:rPr>
              <w:fldChar w:fldCharType="end"/>
            </w:r>
          </w:hyperlink>
        </w:p>
        <w:p w:rsidR="006C5C48" w:rsidRPr="006C5C48" w14:paraId="207DE766" w14:textId="17CB6E83">
          <w:pPr>
            <w:pStyle w:val="TOC2"/>
            <w:tabs>
              <w:tab w:val="left" w:pos="1540"/>
            </w:tabs>
            <w:rPr>
              <w:rFonts w:asciiTheme="minorHAnsi" w:eastAsiaTheme="minorEastAsia" w:hAnsiTheme="minorHAnsi" w:cstheme="minorBidi"/>
              <w:i w:val="0"/>
              <w:iCs w:val="0"/>
              <w:sz w:val="22"/>
            </w:rPr>
          </w:pPr>
          <w:hyperlink w:anchor="_Toc149779132" w:history="1">
            <w:r w:rsidRPr="006C5C48">
              <w:rPr>
                <w:rStyle w:val="Hyperlink"/>
                <w:color w:val="auto"/>
              </w:rPr>
              <w:t>C.</w:t>
            </w:r>
            <w:r w:rsidRPr="006C5C48">
              <w:rPr>
                <w:rFonts w:asciiTheme="minorHAnsi" w:eastAsiaTheme="minorEastAsia" w:hAnsiTheme="minorHAnsi" w:cstheme="minorBidi"/>
                <w:i w:val="0"/>
                <w:iCs w:val="0"/>
                <w:sz w:val="22"/>
              </w:rPr>
              <w:tab/>
            </w:r>
            <w:r w:rsidRPr="006C5C48">
              <w:rPr>
                <w:rStyle w:val="Hyperlink"/>
                <w:color w:val="auto"/>
              </w:rPr>
              <w:t>Estimating the Total Respondent Universe and Total Burden and Costs</w:t>
            </w:r>
            <w:r w:rsidRPr="006C5C48">
              <w:rPr>
                <w:webHidden/>
              </w:rPr>
              <w:tab/>
            </w:r>
            <w:r w:rsidRPr="006C5C48">
              <w:rPr>
                <w:webHidden/>
              </w:rPr>
              <w:fldChar w:fldCharType="begin"/>
            </w:r>
            <w:r w:rsidRPr="006C5C48">
              <w:rPr>
                <w:webHidden/>
              </w:rPr>
              <w:instrText xml:space="preserve"> PAGEREF _Toc149779132 \h </w:instrText>
            </w:r>
            <w:r w:rsidRPr="006C5C48">
              <w:rPr>
                <w:webHidden/>
              </w:rPr>
              <w:fldChar w:fldCharType="separate"/>
            </w:r>
            <w:r w:rsidRPr="006C5C48">
              <w:rPr>
                <w:webHidden/>
              </w:rPr>
              <w:t>38</w:t>
            </w:r>
            <w:r w:rsidRPr="006C5C48">
              <w:rPr>
                <w:webHidden/>
              </w:rPr>
              <w:fldChar w:fldCharType="end"/>
            </w:r>
          </w:hyperlink>
        </w:p>
        <w:p w:rsidR="006C5C48" w:rsidRPr="006C5C48" w14:paraId="1922EEBA" w14:textId="3B2FDF40">
          <w:pPr>
            <w:pStyle w:val="TOC2"/>
            <w:tabs>
              <w:tab w:val="left" w:pos="1540"/>
            </w:tabs>
            <w:rPr>
              <w:rFonts w:asciiTheme="minorHAnsi" w:eastAsiaTheme="minorEastAsia" w:hAnsiTheme="minorHAnsi" w:cstheme="minorBidi"/>
              <w:i w:val="0"/>
              <w:iCs w:val="0"/>
              <w:sz w:val="22"/>
            </w:rPr>
          </w:pPr>
          <w:hyperlink w:anchor="_Toc149779133" w:history="1">
            <w:r w:rsidRPr="006C5C48">
              <w:rPr>
                <w:rStyle w:val="Hyperlink"/>
                <w:color w:val="auto"/>
              </w:rPr>
              <w:t>D.</w:t>
            </w:r>
            <w:r w:rsidRPr="006C5C48">
              <w:rPr>
                <w:rFonts w:asciiTheme="minorHAnsi" w:eastAsiaTheme="minorEastAsia" w:hAnsiTheme="minorHAnsi" w:cstheme="minorBidi"/>
                <w:i w:val="0"/>
                <w:iCs w:val="0"/>
                <w:sz w:val="22"/>
              </w:rPr>
              <w:tab/>
            </w:r>
            <w:r w:rsidRPr="006C5C48">
              <w:rPr>
                <w:rStyle w:val="Hyperlink"/>
                <w:color w:val="auto"/>
              </w:rPr>
              <w:t>Bottom Line Burden Hours and Cost Tables</w:t>
            </w:r>
            <w:r w:rsidRPr="006C5C48">
              <w:rPr>
                <w:webHidden/>
              </w:rPr>
              <w:tab/>
            </w:r>
            <w:r w:rsidRPr="006C5C48">
              <w:rPr>
                <w:webHidden/>
              </w:rPr>
              <w:fldChar w:fldCharType="begin"/>
            </w:r>
            <w:r w:rsidRPr="006C5C48">
              <w:rPr>
                <w:webHidden/>
              </w:rPr>
              <w:instrText xml:space="preserve"> PAGEREF _Toc149779133 \h </w:instrText>
            </w:r>
            <w:r w:rsidRPr="006C5C48">
              <w:rPr>
                <w:webHidden/>
              </w:rPr>
              <w:fldChar w:fldCharType="separate"/>
            </w:r>
            <w:r w:rsidRPr="006C5C48">
              <w:rPr>
                <w:webHidden/>
              </w:rPr>
              <w:t>38</w:t>
            </w:r>
            <w:r w:rsidRPr="006C5C48">
              <w:rPr>
                <w:webHidden/>
              </w:rPr>
              <w:fldChar w:fldCharType="end"/>
            </w:r>
          </w:hyperlink>
        </w:p>
        <w:p w:rsidR="006C5C48" w:rsidRPr="006C5C48" w14:paraId="6C2D11A9" w14:textId="7E123178">
          <w:pPr>
            <w:pStyle w:val="TOC2"/>
            <w:tabs>
              <w:tab w:val="left" w:pos="1540"/>
            </w:tabs>
            <w:rPr>
              <w:rFonts w:asciiTheme="minorHAnsi" w:eastAsiaTheme="minorEastAsia" w:hAnsiTheme="minorHAnsi" w:cstheme="minorBidi"/>
              <w:i w:val="0"/>
              <w:iCs w:val="0"/>
              <w:sz w:val="22"/>
            </w:rPr>
          </w:pPr>
          <w:hyperlink w:anchor="_Toc149779134" w:history="1">
            <w:r w:rsidRPr="006C5C48">
              <w:rPr>
                <w:rStyle w:val="Hyperlink"/>
                <w:color w:val="auto"/>
              </w:rPr>
              <w:t>E.</w:t>
            </w:r>
            <w:r w:rsidRPr="006C5C48">
              <w:rPr>
                <w:rFonts w:asciiTheme="minorHAnsi" w:eastAsiaTheme="minorEastAsia" w:hAnsiTheme="minorHAnsi" w:cstheme="minorBidi"/>
                <w:i w:val="0"/>
                <w:iCs w:val="0"/>
                <w:sz w:val="22"/>
              </w:rPr>
              <w:tab/>
            </w:r>
            <w:r w:rsidRPr="006C5C48">
              <w:rPr>
                <w:rStyle w:val="Hyperlink"/>
                <w:color w:val="auto"/>
              </w:rPr>
              <w:t>Reasons for Change in Burden</w:t>
            </w:r>
            <w:r w:rsidRPr="006C5C48">
              <w:rPr>
                <w:webHidden/>
              </w:rPr>
              <w:tab/>
            </w:r>
            <w:r w:rsidRPr="006C5C48">
              <w:rPr>
                <w:webHidden/>
              </w:rPr>
              <w:fldChar w:fldCharType="begin"/>
            </w:r>
            <w:r w:rsidRPr="006C5C48">
              <w:rPr>
                <w:webHidden/>
              </w:rPr>
              <w:instrText xml:space="preserve"> PAGEREF _Toc149779134 \h </w:instrText>
            </w:r>
            <w:r w:rsidRPr="006C5C48">
              <w:rPr>
                <w:webHidden/>
              </w:rPr>
              <w:fldChar w:fldCharType="separate"/>
            </w:r>
            <w:r w:rsidRPr="006C5C48">
              <w:rPr>
                <w:webHidden/>
              </w:rPr>
              <w:t>40</w:t>
            </w:r>
            <w:r w:rsidRPr="006C5C48">
              <w:rPr>
                <w:webHidden/>
              </w:rPr>
              <w:fldChar w:fldCharType="end"/>
            </w:r>
          </w:hyperlink>
        </w:p>
        <w:p w:rsidR="006C5C48" w:rsidRPr="006C5C48" w14:paraId="180B7429" w14:textId="71FFB599">
          <w:pPr>
            <w:pStyle w:val="TOC2"/>
            <w:tabs>
              <w:tab w:val="left" w:pos="1540"/>
            </w:tabs>
            <w:rPr>
              <w:rFonts w:asciiTheme="minorHAnsi" w:eastAsiaTheme="minorEastAsia" w:hAnsiTheme="minorHAnsi" w:cstheme="minorBidi"/>
              <w:i w:val="0"/>
              <w:iCs w:val="0"/>
              <w:sz w:val="22"/>
            </w:rPr>
          </w:pPr>
          <w:hyperlink w:anchor="_Toc149779135" w:history="1">
            <w:r w:rsidRPr="006C5C48">
              <w:rPr>
                <w:rStyle w:val="Hyperlink"/>
                <w:color w:val="auto"/>
              </w:rPr>
              <w:t>F.</w:t>
            </w:r>
            <w:r w:rsidRPr="006C5C48">
              <w:rPr>
                <w:rFonts w:asciiTheme="minorHAnsi" w:eastAsiaTheme="minorEastAsia" w:hAnsiTheme="minorHAnsi" w:cstheme="minorBidi"/>
                <w:i w:val="0"/>
                <w:iCs w:val="0"/>
                <w:sz w:val="22"/>
              </w:rPr>
              <w:tab/>
            </w:r>
            <w:r w:rsidRPr="006C5C48">
              <w:rPr>
                <w:rStyle w:val="Hyperlink"/>
                <w:color w:val="auto"/>
              </w:rPr>
              <w:t>Burden Statement</w:t>
            </w:r>
            <w:r w:rsidRPr="006C5C48">
              <w:rPr>
                <w:webHidden/>
              </w:rPr>
              <w:tab/>
            </w:r>
            <w:r w:rsidRPr="006C5C48">
              <w:rPr>
                <w:webHidden/>
              </w:rPr>
              <w:fldChar w:fldCharType="begin"/>
            </w:r>
            <w:r w:rsidRPr="006C5C48">
              <w:rPr>
                <w:webHidden/>
              </w:rPr>
              <w:instrText xml:space="preserve"> PAGEREF _Toc149779135 \h </w:instrText>
            </w:r>
            <w:r w:rsidRPr="006C5C48">
              <w:rPr>
                <w:webHidden/>
              </w:rPr>
              <w:fldChar w:fldCharType="separate"/>
            </w:r>
            <w:r w:rsidRPr="006C5C48">
              <w:rPr>
                <w:webHidden/>
              </w:rPr>
              <w:t>40</w:t>
            </w:r>
            <w:r w:rsidRPr="006C5C48">
              <w:rPr>
                <w:webHidden/>
              </w:rPr>
              <w:fldChar w:fldCharType="end"/>
            </w:r>
          </w:hyperlink>
        </w:p>
        <w:p w:rsidR="006C5C48" w:rsidRPr="006C5C48" w14:paraId="0A7414CD" w14:textId="6F811007">
          <w:pPr>
            <w:pStyle w:val="TOC1"/>
            <w:rPr>
              <w:rFonts w:asciiTheme="minorHAnsi" w:eastAsiaTheme="minorEastAsia" w:hAnsiTheme="minorHAnsi" w:cstheme="minorBidi"/>
              <w:b w:val="0"/>
              <w:bCs w:val="0"/>
              <w:sz w:val="22"/>
            </w:rPr>
          </w:pPr>
          <w:hyperlink w:anchor="_Toc149779136" w:history="1">
            <w:r w:rsidRPr="006C5C48">
              <w:rPr>
                <w:rStyle w:val="Hyperlink"/>
                <w:color w:val="auto"/>
              </w:rPr>
              <w:t>APPENDIX</w:t>
            </w:r>
            <w:r w:rsidRPr="006C5C48">
              <w:rPr>
                <w:rStyle w:val="Hyperlink"/>
                <w:color w:val="auto"/>
                <w:spacing w:val="-2"/>
              </w:rPr>
              <w:t xml:space="preserve"> </w:t>
            </w:r>
            <w:r w:rsidRPr="006C5C48">
              <w:rPr>
                <w:rStyle w:val="Hyperlink"/>
                <w:color w:val="auto"/>
              </w:rPr>
              <w:t>A:</w:t>
            </w:r>
            <w:r w:rsidRPr="006C5C48">
              <w:rPr>
                <w:rStyle w:val="Hyperlink"/>
                <w:color w:val="auto"/>
                <w:spacing w:val="-1"/>
              </w:rPr>
              <w:t xml:space="preserve"> </w:t>
            </w:r>
            <w:r w:rsidRPr="006C5C48">
              <w:rPr>
                <w:rStyle w:val="Hyperlink"/>
                <w:color w:val="auto"/>
              </w:rPr>
              <w:t>SDWA</w:t>
            </w:r>
            <w:r w:rsidRPr="006C5C48">
              <w:rPr>
                <w:rStyle w:val="Hyperlink"/>
                <w:color w:val="auto"/>
                <w:spacing w:val="-1"/>
              </w:rPr>
              <w:t xml:space="preserve"> </w:t>
            </w:r>
            <w:r w:rsidRPr="006C5C48">
              <w:rPr>
                <w:rStyle w:val="Hyperlink"/>
                <w:color w:val="auto"/>
              </w:rPr>
              <w:t>Sections that</w:t>
            </w:r>
            <w:r w:rsidRPr="006C5C48">
              <w:rPr>
                <w:rStyle w:val="Hyperlink"/>
                <w:color w:val="auto"/>
                <w:spacing w:val="-1"/>
              </w:rPr>
              <w:t xml:space="preserve"> </w:t>
            </w:r>
            <w:r w:rsidRPr="006C5C48">
              <w:rPr>
                <w:rStyle w:val="Hyperlink"/>
                <w:color w:val="auto"/>
              </w:rPr>
              <w:t>Provide</w:t>
            </w:r>
            <w:r w:rsidRPr="006C5C48">
              <w:rPr>
                <w:rStyle w:val="Hyperlink"/>
                <w:color w:val="auto"/>
                <w:spacing w:val="-1"/>
              </w:rPr>
              <w:t xml:space="preserve"> </w:t>
            </w:r>
            <w:r w:rsidRPr="006C5C48">
              <w:rPr>
                <w:rStyle w:val="Hyperlink"/>
                <w:color w:val="auto"/>
              </w:rPr>
              <w:t>Authority</w:t>
            </w:r>
            <w:r w:rsidRPr="006C5C48">
              <w:rPr>
                <w:rStyle w:val="Hyperlink"/>
                <w:color w:val="auto"/>
                <w:spacing w:val="-1"/>
              </w:rPr>
              <w:t xml:space="preserve"> </w:t>
            </w:r>
            <w:r w:rsidRPr="006C5C48">
              <w:rPr>
                <w:rStyle w:val="Hyperlink"/>
                <w:color w:val="auto"/>
              </w:rPr>
              <w:t>for the</w:t>
            </w:r>
            <w:r w:rsidRPr="006C5C48">
              <w:rPr>
                <w:rStyle w:val="Hyperlink"/>
                <w:color w:val="auto"/>
                <w:spacing w:val="-1"/>
              </w:rPr>
              <w:t xml:space="preserve"> </w:t>
            </w:r>
            <w:r w:rsidRPr="006C5C48">
              <w:rPr>
                <w:rStyle w:val="Hyperlink"/>
                <w:color w:val="auto"/>
              </w:rPr>
              <w:t>Collection</w:t>
            </w:r>
            <w:r w:rsidRPr="006C5C48">
              <w:rPr>
                <w:webHidden/>
              </w:rPr>
              <w:tab/>
            </w:r>
            <w:r w:rsidRPr="006C5C48">
              <w:rPr>
                <w:webHidden/>
              </w:rPr>
              <w:fldChar w:fldCharType="begin"/>
            </w:r>
            <w:r w:rsidRPr="006C5C48">
              <w:rPr>
                <w:webHidden/>
              </w:rPr>
              <w:instrText xml:space="preserve"> PAGEREF _Toc149779136 \h </w:instrText>
            </w:r>
            <w:r w:rsidRPr="006C5C48">
              <w:rPr>
                <w:webHidden/>
              </w:rPr>
              <w:fldChar w:fldCharType="separate"/>
            </w:r>
            <w:r w:rsidRPr="006C5C48">
              <w:rPr>
                <w:webHidden/>
              </w:rPr>
              <w:t>43</w:t>
            </w:r>
            <w:r w:rsidRPr="006C5C48">
              <w:rPr>
                <w:webHidden/>
              </w:rPr>
              <w:fldChar w:fldCharType="end"/>
            </w:r>
          </w:hyperlink>
        </w:p>
        <w:p w:rsidR="000A5E3B" w:rsidRPr="006C5C48" w14:paraId="4D7E81B1" w14:textId="224EB007">
          <w:r w:rsidRPr="006C5C48">
            <w:fldChar w:fldCharType="end"/>
          </w:r>
        </w:p>
      </w:sdtContent>
    </w:sdt>
    <w:p w:rsidR="00E13A61" w:rsidRPr="006C5C48" w:rsidP="006B3119" w14:paraId="33AD6D25" w14:textId="77777777">
      <w:pPr>
        <w:ind w:firstLine="0"/>
        <w:rPr>
          <w:b/>
          <w:bCs/>
          <w:szCs w:val="24"/>
          <w:u w:val="single"/>
        </w:rPr>
        <w:sectPr w:rsidSect="00D3731A">
          <w:headerReference w:type="default" r:id="rId10"/>
          <w:footerReference w:type="default" r:id="rId11"/>
          <w:pgSz w:w="12240" w:h="15840"/>
          <w:pgMar w:top="1740" w:right="1440" w:bottom="1440" w:left="1440" w:header="0" w:footer="980" w:gutter="0"/>
          <w:cols w:space="720"/>
          <w:docGrid w:linePitch="326"/>
        </w:sectPr>
      </w:pPr>
    </w:p>
    <w:p w:rsidR="008E3728" w:rsidRPr="006C5C48" w:rsidP="003A3B69" w14:paraId="258280D7" w14:textId="7FF6A361">
      <w:pPr>
        <w:pStyle w:val="Heading1"/>
        <w:ind w:firstLine="0"/>
      </w:pPr>
      <w:bookmarkStart w:id="4" w:name="_Toc114671092"/>
      <w:bookmarkStart w:id="5" w:name="_Toc114671277"/>
      <w:bookmarkStart w:id="6" w:name="_Toc114777024"/>
      <w:bookmarkStart w:id="7" w:name="_Toc149779107"/>
      <w:bookmarkEnd w:id="4"/>
      <w:bookmarkEnd w:id="5"/>
      <w:bookmarkEnd w:id="6"/>
      <w:r w:rsidRPr="006C5C48">
        <w:t>Identification of the Information Collection</w:t>
      </w:r>
      <w:bookmarkEnd w:id="7"/>
    </w:p>
    <w:p w:rsidR="008E3728" w:rsidRPr="006C5C48" w:rsidP="003A3B69" w14:paraId="1A9572A1" w14:textId="3C1F757A">
      <w:pPr>
        <w:pStyle w:val="Heading2"/>
      </w:pPr>
      <w:bookmarkStart w:id="8" w:name="_Toc149779108"/>
      <w:r w:rsidRPr="006C5C48">
        <w:t>Title of the Information Collection</w:t>
      </w:r>
      <w:bookmarkEnd w:id="8"/>
    </w:p>
    <w:p w:rsidR="00421583" w:rsidRPr="006C5C48" w:rsidP="00707B3F" w14:paraId="643A5CA0" w14:textId="00A3440E">
      <w:pPr>
        <w:pStyle w:val="BodyText"/>
      </w:pPr>
      <w:r w:rsidRPr="006C5C48">
        <w:t>TITLE:</w:t>
      </w:r>
      <w:r w:rsidRPr="006C5C48">
        <w:rPr>
          <w:spacing w:val="-1"/>
        </w:rPr>
        <w:t xml:space="preserve"> </w:t>
      </w:r>
      <w:r w:rsidRPr="006C5C48">
        <w:t>Information Collection</w:t>
      </w:r>
      <w:r w:rsidRPr="006C5C48">
        <w:rPr>
          <w:spacing w:val="-1"/>
        </w:rPr>
        <w:t xml:space="preserve"> </w:t>
      </w:r>
      <w:r w:rsidRPr="006C5C48">
        <w:t>Request</w:t>
      </w:r>
      <w:r w:rsidRPr="006C5C48">
        <w:rPr>
          <w:spacing w:val="1"/>
        </w:rPr>
        <w:t xml:space="preserve"> </w:t>
      </w:r>
      <w:r w:rsidRPr="006C5C48">
        <w:t>for</w:t>
      </w:r>
      <w:r w:rsidRPr="006C5C48">
        <w:rPr>
          <w:spacing w:val="-2"/>
        </w:rPr>
        <w:t xml:space="preserve"> </w:t>
      </w:r>
      <w:r w:rsidRPr="006C5C48">
        <w:t>the</w:t>
      </w:r>
      <w:r w:rsidRPr="006C5C48">
        <w:rPr>
          <w:spacing w:val="-1"/>
        </w:rPr>
        <w:t xml:space="preserve"> </w:t>
      </w:r>
      <w:r w:rsidRPr="006C5C48" w:rsidR="00F52CCB">
        <w:t>Final</w:t>
      </w:r>
      <w:r w:rsidRPr="006C5C48" w:rsidR="00F52CCB">
        <w:rPr>
          <w:spacing w:val="-1"/>
        </w:rPr>
        <w:t xml:space="preserve"> </w:t>
      </w:r>
      <w:r w:rsidRPr="006C5C48">
        <w:t>PFAS National Primary Drinking Water Regulation</w:t>
      </w:r>
    </w:p>
    <w:p w:rsidR="00421583" w:rsidRPr="006C5C48" w:rsidP="00421583" w14:paraId="5E79CC2C" w14:textId="2E6BE2FE">
      <w:r w:rsidRPr="006C5C48">
        <w:rPr>
          <w:b/>
        </w:rPr>
        <w:t>EPA</w:t>
      </w:r>
      <w:r w:rsidRPr="006C5C48">
        <w:rPr>
          <w:b/>
          <w:spacing w:val="-3"/>
        </w:rPr>
        <w:t xml:space="preserve"> </w:t>
      </w:r>
      <w:r w:rsidRPr="006C5C48">
        <w:rPr>
          <w:b/>
        </w:rPr>
        <w:t>ICR Number:</w:t>
      </w:r>
      <w:r w:rsidRPr="006C5C48">
        <w:rPr>
          <w:b/>
          <w:spacing w:val="1"/>
        </w:rPr>
        <w:t xml:space="preserve"> </w:t>
      </w:r>
      <w:r w:rsidRPr="006C5C48" w:rsidR="00031EB6">
        <w:t>2732.01</w:t>
      </w:r>
    </w:p>
    <w:p w:rsidR="00421583" w:rsidRPr="006C5C48" w:rsidP="00421583" w14:paraId="22AF98C6" w14:textId="14B4BC83">
      <w:r w:rsidRPr="006C5C48">
        <w:rPr>
          <w:b/>
        </w:rPr>
        <w:t>OMB</w:t>
      </w:r>
      <w:r w:rsidRPr="006C5C48">
        <w:rPr>
          <w:b/>
          <w:spacing w:val="-1"/>
        </w:rPr>
        <w:t xml:space="preserve"> </w:t>
      </w:r>
      <w:r w:rsidRPr="006C5C48">
        <w:rPr>
          <w:b/>
        </w:rPr>
        <w:t xml:space="preserve">Control Number: </w:t>
      </w:r>
      <w:r w:rsidRPr="006C5C48" w:rsidR="00031EB6">
        <w:t>2040-</w:t>
      </w:r>
      <w:r w:rsidRPr="006C5C48" w:rsidR="003664A2">
        <w:t>0307</w:t>
      </w:r>
    </w:p>
    <w:p w:rsidR="008E3728" w:rsidRPr="006C5C48" w:rsidP="003A3B69" w14:paraId="725B38A4" w14:textId="6213302A">
      <w:pPr>
        <w:pStyle w:val="Heading2"/>
      </w:pPr>
      <w:bookmarkStart w:id="9" w:name="_Toc114671095"/>
      <w:bookmarkStart w:id="10" w:name="_Toc114671280"/>
      <w:bookmarkStart w:id="11" w:name="_Toc114777027"/>
      <w:bookmarkStart w:id="12" w:name="_Toc149779109"/>
      <w:bookmarkEnd w:id="9"/>
      <w:bookmarkEnd w:id="10"/>
      <w:bookmarkEnd w:id="11"/>
      <w:r w:rsidRPr="006C5C48">
        <w:t>Short Characterization/Abstract</w:t>
      </w:r>
      <w:bookmarkEnd w:id="12"/>
    </w:p>
    <w:p w:rsidR="006C5C48" w:rsidRPr="006C5C48" w:rsidP="006C5C48" w14:paraId="312B2319" w14:textId="77777777">
      <w:pPr>
        <w:rPr>
          <w:szCs w:val="24"/>
        </w:rPr>
      </w:pPr>
      <w:r w:rsidRPr="006C5C48">
        <w:rPr>
          <w:szCs w:val="24"/>
        </w:rPr>
        <w:t xml:space="preserve">The </w:t>
      </w:r>
      <w:r w:rsidRPr="006C5C48" w:rsidR="00AA5E4B">
        <w:rPr>
          <w:szCs w:val="24"/>
        </w:rPr>
        <w:t xml:space="preserve">EPA is </w:t>
      </w:r>
      <w:r w:rsidRPr="006C5C48" w:rsidR="002F3943">
        <w:rPr>
          <w:szCs w:val="24"/>
        </w:rPr>
        <w:t>promulgating</w:t>
      </w:r>
      <w:r w:rsidRPr="006C5C48" w:rsidR="00AA5E4B">
        <w:rPr>
          <w:szCs w:val="24"/>
        </w:rPr>
        <w:t xml:space="preserve"> Maximum Contaminant Level Goals (MCLGs) for perfluorooctanesulfonic acid (PFOS) and perfluorooctanoic acid (PFOA) at zero and the enforceable Maximum Contaminant Level (MCL) at 0.0000040 mg/L or 4.0 </w:t>
      </w:r>
      <w:r w:rsidRPr="006C5C48" w:rsidR="00BA42C6">
        <w:rPr>
          <w:szCs w:val="24"/>
        </w:rPr>
        <w:t>parts per trillion (</w:t>
      </w:r>
      <w:r w:rsidRPr="006C5C48" w:rsidR="00AA5E4B">
        <w:rPr>
          <w:szCs w:val="24"/>
        </w:rPr>
        <w:t>ppt</w:t>
      </w:r>
      <w:r w:rsidRPr="006C5C48" w:rsidR="00BA42C6">
        <w:rPr>
          <w:szCs w:val="24"/>
        </w:rPr>
        <w:t>)</w:t>
      </w:r>
      <w:r w:rsidRPr="006C5C48" w:rsidR="00AA5E4B">
        <w:rPr>
          <w:szCs w:val="24"/>
        </w:rPr>
        <w:t xml:space="preserve"> for each of these contaminants. </w:t>
      </w:r>
      <w:r w:rsidRPr="006C5C48" w:rsidR="00132CA4">
        <w:rPr>
          <w:szCs w:val="24"/>
        </w:rPr>
        <w:t>Additionally,</w:t>
      </w:r>
      <w:r w:rsidRPr="006C5C48" w:rsidR="00AA5E4B">
        <w:rPr>
          <w:szCs w:val="24"/>
        </w:rPr>
        <w:t xml:space="preserve"> </w:t>
      </w:r>
      <w:r w:rsidRPr="006C5C48" w:rsidR="0065679F">
        <w:rPr>
          <w:szCs w:val="24"/>
        </w:rPr>
        <w:t xml:space="preserve">the </w:t>
      </w:r>
      <w:r w:rsidRPr="006C5C48" w:rsidR="00132CA4">
        <w:rPr>
          <w:szCs w:val="24"/>
        </w:rPr>
        <w:t>EPA is finalizing individual regulatory determinations to regulate PFHxS, HFPO-DA (also known as and referred to as “GenX Chemicals” in this notice), and PFNA, and is promulgating individual MCLG and MCLs for PFHxS, HFPO-DA and PFNA</w:t>
      </w:r>
      <w:r w:rsidRPr="006C5C48" w:rsidR="003D6A02">
        <w:rPr>
          <w:szCs w:val="24"/>
        </w:rPr>
        <w:t xml:space="preserve"> </w:t>
      </w:r>
      <w:bookmarkStart w:id="13" w:name="_Hlk146707623"/>
      <w:r w:rsidRPr="006C5C48" w:rsidR="003D6A02">
        <w:rPr>
          <w:szCs w:val="24"/>
        </w:rPr>
        <w:t xml:space="preserve">at 0.00001 mg/L or 10 </w:t>
      </w:r>
      <w:r w:rsidRPr="006C5C48" w:rsidR="00D31AA2">
        <w:rPr>
          <w:szCs w:val="24"/>
        </w:rPr>
        <w:t>ppt</w:t>
      </w:r>
      <w:r w:rsidRPr="006C5C48" w:rsidR="003D6A02">
        <w:rPr>
          <w:szCs w:val="24"/>
        </w:rPr>
        <w:t xml:space="preserve"> each</w:t>
      </w:r>
      <w:bookmarkEnd w:id="13"/>
      <w:r w:rsidRPr="006C5C48" w:rsidR="00132CA4">
        <w:rPr>
          <w:szCs w:val="24"/>
        </w:rPr>
        <w:t xml:space="preserve">. Finally, </w:t>
      </w:r>
      <w:r w:rsidRPr="006C5C48" w:rsidR="00A71895">
        <w:rPr>
          <w:szCs w:val="24"/>
        </w:rPr>
        <w:t xml:space="preserve">the </w:t>
      </w:r>
      <w:r w:rsidRPr="006C5C48" w:rsidR="00132CA4">
        <w:rPr>
          <w:szCs w:val="24"/>
        </w:rPr>
        <w:t xml:space="preserve">EPA is finalizing a regulatory determination for mixtures of PFHxS, HFPO-DA, PFNA and PFBS due to their co-occurrence and potential for dose additive health concerns when present </w:t>
      </w:r>
      <w:r w:rsidRPr="006C5C48" w:rsidR="00DD5868">
        <w:rPr>
          <w:szCs w:val="24"/>
        </w:rPr>
        <w:t xml:space="preserve">as </w:t>
      </w:r>
      <w:r w:rsidRPr="006C5C48" w:rsidR="00132CA4">
        <w:rPr>
          <w:szCs w:val="24"/>
        </w:rPr>
        <w:t xml:space="preserve">a mixture in drinking water. As such and concurrent with this final determination, </w:t>
      </w:r>
      <w:r w:rsidRPr="006C5C48" w:rsidR="00AC5B86">
        <w:rPr>
          <w:szCs w:val="24"/>
        </w:rPr>
        <w:t xml:space="preserve">the </w:t>
      </w:r>
      <w:r w:rsidRPr="006C5C48" w:rsidR="00132CA4">
        <w:rPr>
          <w:szCs w:val="24"/>
        </w:rPr>
        <w:t xml:space="preserve">EPA is finalizing a Hazard Index (HI) of 1 as the MCLG and enforceable MCL to address </w:t>
      </w:r>
      <w:r w:rsidRPr="006C5C48" w:rsidR="00D31AA2">
        <w:rPr>
          <w:szCs w:val="24"/>
        </w:rPr>
        <w:t xml:space="preserve">any mixture containing two or more </w:t>
      </w:r>
      <w:r w:rsidRPr="006C5C48" w:rsidR="00132CA4">
        <w:rPr>
          <w:szCs w:val="24"/>
        </w:rPr>
        <w:t>of PFHxS, HFPO-DA, PFNA and PFBS where they co-occur in drinking water.</w:t>
      </w:r>
    </w:p>
    <w:p w:rsidR="006C5C48" w:rsidRPr="006C5C48" w:rsidP="006C5C48" w14:paraId="4CC66A40" w14:textId="77777777">
      <w:r w:rsidRPr="006C5C48">
        <w:t>Water systems</w:t>
      </w:r>
      <w:r>
        <w:rPr>
          <w:rStyle w:val="FootnoteReference"/>
        </w:rPr>
        <w:footnoteReference w:id="3"/>
      </w:r>
      <w:r w:rsidRPr="006C5C48">
        <w:t xml:space="preserve"> include federal, state, tribal, and local governmental entities as well as private entities. States (and tribes) that have been granted primary enforcement authority (i.e., primacy) for the enforcement of </w:t>
      </w:r>
      <w:r w:rsidRPr="006C5C48" w:rsidR="00154759">
        <w:t>National Primary Drinking Water Regulations (</w:t>
      </w:r>
      <w:r w:rsidRPr="006C5C48">
        <w:t>NPDWRs</w:t>
      </w:r>
      <w:r w:rsidRPr="006C5C48" w:rsidR="00154759">
        <w:t>)</w:t>
      </w:r>
      <w:r w:rsidRPr="006C5C48">
        <w:t xml:space="preserve"> are responsible for overseeing rule implementation by systems within their jurisdiction. In instances where a state or tribe does not have primacy, </w:t>
      </w:r>
      <w:r w:rsidRPr="006C5C48" w:rsidR="00E548A5">
        <w:t>EPA</w:t>
      </w:r>
      <w:r w:rsidRPr="006C5C48">
        <w:t xml:space="preserve"> Region is the primacy agency</w:t>
      </w:r>
      <w:r>
        <w:rPr>
          <w:rStyle w:val="FootnoteReference"/>
        </w:rPr>
        <w:footnoteReference w:id="4"/>
      </w:r>
      <w:r w:rsidRPr="006C5C48">
        <w:t>. Systems demonstrate compliance through reporting the analytical results of</w:t>
      </w:r>
      <w:r w:rsidRPr="006C5C48">
        <w:rPr>
          <w:spacing w:val="1"/>
        </w:rPr>
        <w:t xml:space="preserve"> </w:t>
      </w:r>
      <w:r w:rsidRPr="006C5C48">
        <w:t>collected samples and other information to the state. Systems use these data to demonstrate</w:t>
      </w:r>
      <w:r w:rsidRPr="006C5C48">
        <w:rPr>
          <w:spacing w:val="1"/>
        </w:rPr>
        <w:t xml:space="preserve"> </w:t>
      </w:r>
      <w:r w:rsidRPr="006C5C48">
        <w:t>compliance,</w:t>
      </w:r>
      <w:r w:rsidRPr="006C5C48">
        <w:rPr>
          <w:spacing w:val="-2"/>
        </w:rPr>
        <w:t xml:space="preserve"> </w:t>
      </w:r>
      <w:r w:rsidRPr="006C5C48">
        <w:t>assess</w:t>
      </w:r>
      <w:r w:rsidRPr="006C5C48">
        <w:rPr>
          <w:spacing w:val="-3"/>
        </w:rPr>
        <w:t xml:space="preserve"> </w:t>
      </w:r>
      <w:r w:rsidRPr="006C5C48">
        <w:t>treatment</w:t>
      </w:r>
      <w:r w:rsidRPr="006C5C48">
        <w:rPr>
          <w:spacing w:val="-1"/>
        </w:rPr>
        <w:t xml:space="preserve"> </w:t>
      </w:r>
      <w:r w:rsidRPr="006C5C48">
        <w:t xml:space="preserve">options, </w:t>
      </w:r>
      <w:r w:rsidRPr="006C5C48">
        <w:t>operate</w:t>
      </w:r>
      <w:r w:rsidRPr="006C5C48">
        <w:rPr>
          <w:spacing w:val="-2"/>
        </w:rPr>
        <w:t xml:space="preserve"> </w:t>
      </w:r>
      <w:r w:rsidRPr="006C5C48">
        <w:t>and</w:t>
      </w:r>
      <w:r w:rsidRPr="006C5C48">
        <w:rPr>
          <w:spacing w:val="-2"/>
        </w:rPr>
        <w:t xml:space="preserve"> </w:t>
      </w:r>
      <w:r w:rsidRPr="006C5C48">
        <w:t>maintain</w:t>
      </w:r>
      <w:r w:rsidRPr="006C5C48">
        <w:rPr>
          <w:spacing w:val="-1"/>
        </w:rPr>
        <w:t xml:space="preserve"> </w:t>
      </w:r>
      <w:r w:rsidRPr="006C5C48">
        <w:t>installed</w:t>
      </w:r>
      <w:r w:rsidRPr="006C5C48">
        <w:rPr>
          <w:spacing w:val="-2"/>
        </w:rPr>
        <w:t xml:space="preserve"> </w:t>
      </w:r>
      <w:r w:rsidRPr="006C5C48">
        <w:t>treatment,</w:t>
      </w:r>
      <w:r w:rsidRPr="006C5C48">
        <w:rPr>
          <w:spacing w:val="-2"/>
        </w:rPr>
        <w:t xml:space="preserve"> </w:t>
      </w:r>
      <w:r w:rsidRPr="006C5C48">
        <w:t>and</w:t>
      </w:r>
      <w:r w:rsidRPr="006C5C48">
        <w:rPr>
          <w:spacing w:val="-1"/>
        </w:rPr>
        <w:t xml:space="preserve"> </w:t>
      </w:r>
      <w:r w:rsidRPr="006C5C48">
        <w:t>communicate water quality information</w:t>
      </w:r>
      <w:r w:rsidRPr="006C5C48">
        <w:rPr>
          <w:spacing w:val="2"/>
        </w:rPr>
        <w:t xml:space="preserve"> </w:t>
      </w:r>
      <w:r w:rsidRPr="006C5C48">
        <w:t>to</w:t>
      </w:r>
      <w:r w:rsidRPr="006C5C48">
        <w:rPr>
          <w:spacing w:val="1"/>
        </w:rPr>
        <w:t xml:space="preserve"> </w:t>
      </w:r>
      <w:r w:rsidRPr="006C5C48">
        <w:t>consumers</w:t>
      </w:r>
      <w:r w:rsidRPr="006C5C48">
        <w:rPr>
          <w:spacing w:val="2"/>
        </w:rPr>
        <w:t xml:space="preserve"> </w:t>
      </w:r>
      <w:r w:rsidRPr="006C5C48">
        <w:t>served</w:t>
      </w:r>
      <w:r w:rsidRPr="006C5C48">
        <w:rPr>
          <w:spacing w:val="1"/>
        </w:rPr>
        <w:t xml:space="preserve"> </w:t>
      </w:r>
      <w:r w:rsidRPr="006C5C48">
        <w:t>by</w:t>
      </w:r>
      <w:r w:rsidRPr="006C5C48">
        <w:rPr>
          <w:spacing w:val="2"/>
        </w:rPr>
        <w:t xml:space="preserve"> </w:t>
      </w:r>
      <w:r w:rsidRPr="006C5C48">
        <w:t>the</w:t>
      </w:r>
      <w:r w:rsidRPr="006C5C48">
        <w:rPr>
          <w:spacing w:val="1"/>
        </w:rPr>
        <w:t xml:space="preserve"> </w:t>
      </w:r>
      <w:r w:rsidRPr="006C5C48">
        <w:t>system.</w:t>
      </w:r>
      <w:r w:rsidRPr="006C5C48">
        <w:rPr>
          <w:spacing w:val="3"/>
        </w:rPr>
        <w:t xml:space="preserve"> </w:t>
      </w:r>
      <w:r w:rsidRPr="006C5C48">
        <w:t>Primacy</w:t>
      </w:r>
      <w:r w:rsidRPr="006C5C48">
        <w:rPr>
          <w:spacing w:val="2"/>
        </w:rPr>
        <w:t xml:space="preserve"> </w:t>
      </w:r>
      <w:r w:rsidRPr="006C5C48">
        <w:t>agencies</w:t>
      </w:r>
      <w:r w:rsidRPr="006C5C48">
        <w:rPr>
          <w:spacing w:val="1"/>
        </w:rPr>
        <w:t xml:space="preserve"> </w:t>
      </w:r>
      <w:r w:rsidRPr="006C5C48">
        <w:t>utilize</w:t>
      </w:r>
      <w:r w:rsidRPr="006C5C48">
        <w:rPr>
          <w:spacing w:val="2"/>
        </w:rPr>
        <w:t xml:space="preserve"> </w:t>
      </w:r>
      <w:r w:rsidRPr="006C5C48">
        <w:t>the</w:t>
      </w:r>
      <w:r w:rsidRPr="006C5C48">
        <w:rPr>
          <w:spacing w:val="1"/>
        </w:rPr>
        <w:t xml:space="preserve"> </w:t>
      </w:r>
      <w:r w:rsidRPr="006C5C48">
        <w:t>data</w:t>
      </w:r>
      <w:r w:rsidRPr="006C5C48">
        <w:rPr>
          <w:spacing w:val="1"/>
        </w:rPr>
        <w:t xml:space="preserve"> </w:t>
      </w:r>
      <w:r w:rsidRPr="006C5C48">
        <w:t>to determine compliance and designate treatment to be installed and enforceable operating</w:t>
      </w:r>
      <w:r w:rsidRPr="006C5C48">
        <w:rPr>
          <w:spacing w:val="1"/>
        </w:rPr>
        <w:t xml:space="preserve"> </w:t>
      </w:r>
      <w:r w:rsidRPr="006C5C48">
        <w:t xml:space="preserve">parameters. </w:t>
      </w:r>
    </w:p>
    <w:p w:rsidR="00AA5E4B" w:rsidRPr="006C5C48" w:rsidP="006C5C48" w14:paraId="19135F37" w14:textId="2BED619C">
      <w:r w:rsidRPr="006C5C48">
        <w:t xml:space="preserve">Under the Safe Drinking Water Act (SDWA), new regulations generally become effective three years after promulgation. </w:t>
      </w:r>
      <w:r w:rsidRPr="006C5C48">
        <w:t xml:space="preserve">The burden and cost estimates represent those activities that </w:t>
      </w:r>
      <w:r w:rsidRPr="006C5C48" w:rsidR="00210598">
        <w:t xml:space="preserve">the </w:t>
      </w:r>
      <w:r w:rsidRPr="006C5C48" w:rsidR="00E548A5">
        <w:t>EPA</w:t>
      </w:r>
      <w:r w:rsidRPr="006C5C48">
        <w:t xml:space="preserve"> expects would</w:t>
      </w:r>
      <w:r w:rsidRPr="006C5C48">
        <w:rPr>
          <w:spacing w:val="1"/>
        </w:rPr>
        <w:t xml:space="preserve"> </w:t>
      </w:r>
      <w:r w:rsidRPr="006C5C48">
        <w:t xml:space="preserve">occur in </w:t>
      </w:r>
      <w:r w:rsidRPr="006C5C48" w:rsidR="00787654">
        <w:t xml:space="preserve">this </w:t>
      </w:r>
      <w:r w:rsidRPr="006C5C48">
        <w:t>initial three-year period. During this period, systems and primacy agencies would</w:t>
      </w:r>
      <w:r w:rsidRPr="006C5C48">
        <w:rPr>
          <w:spacing w:val="1"/>
        </w:rPr>
        <w:t xml:space="preserve"> </w:t>
      </w:r>
      <w:r w:rsidRPr="006C5C48">
        <w:t>perform the initial, one-time activities related to rule review and primacy requirements and</w:t>
      </w:r>
      <w:r w:rsidRPr="006C5C48">
        <w:rPr>
          <w:spacing w:val="1"/>
        </w:rPr>
        <w:t xml:space="preserve"> </w:t>
      </w:r>
      <w:r w:rsidRPr="006C5C48">
        <w:t xml:space="preserve">conduct initial compliance activities related to </w:t>
      </w:r>
      <w:r w:rsidRPr="006C5C48" w:rsidR="00ED7508">
        <w:t xml:space="preserve">the </w:t>
      </w:r>
      <w:r w:rsidRPr="006C5C48" w:rsidR="00150A56">
        <w:t xml:space="preserve">final </w:t>
      </w:r>
      <w:r w:rsidRPr="006C5C48" w:rsidR="00ED7508">
        <w:t>PFAS NPDWR</w:t>
      </w:r>
      <w:r w:rsidRPr="006C5C48" w:rsidR="003D6A02">
        <w:t xml:space="preserve"> as described above</w:t>
      </w:r>
      <w:r w:rsidRPr="006C5C48">
        <w:t>. Because several</w:t>
      </w:r>
      <w:r w:rsidRPr="006C5C48">
        <w:rPr>
          <w:spacing w:val="1"/>
        </w:rPr>
        <w:t xml:space="preserve"> </w:t>
      </w:r>
      <w:r w:rsidRPr="006C5C48">
        <w:t xml:space="preserve">implementation activities do not begin during the initial three-year period, this </w:t>
      </w:r>
      <w:r w:rsidRPr="006C5C48" w:rsidR="007652A1">
        <w:t xml:space="preserve">Information Collection Request (ICR) </w:t>
      </w:r>
      <w:r w:rsidRPr="006C5C48">
        <w:t>does not</w:t>
      </w:r>
      <w:r w:rsidRPr="006C5C48">
        <w:rPr>
          <w:spacing w:val="1"/>
        </w:rPr>
        <w:t xml:space="preserve"> </w:t>
      </w:r>
      <w:r w:rsidRPr="006C5C48">
        <w:t>include</w:t>
      </w:r>
      <w:r w:rsidRPr="006C5C48">
        <w:rPr>
          <w:spacing w:val="-1"/>
        </w:rPr>
        <w:t xml:space="preserve"> </w:t>
      </w:r>
      <w:r w:rsidRPr="006C5C48">
        <w:t>burden</w:t>
      </w:r>
      <w:r w:rsidRPr="006C5C48">
        <w:rPr>
          <w:spacing w:val="-1"/>
        </w:rPr>
        <w:t xml:space="preserve"> </w:t>
      </w:r>
      <w:r w:rsidRPr="006C5C48">
        <w:t>and</w:t>
      </w:r>
      <w:r w:rsidRPr="006C5C48">
        <w:rPr>
          <w:spacing w:val="-1"/>
        </w:rPr>
        <w:t xml:space="preserve"> </w:t>
      </w:r>
      <w:r w:rsidRPr="006C5C48">
        <w:t>costs</w:t>
      </w:r>
      <w:r w:rsidRPr="006C5C48">
        <w:rPr>
          <w:spacing w:val="-2"/>
        </w:rPr>
        <w:t xml:space="preserve"> </w:t>
      </w:r>
      <w:r w:rsidRPr="006C5C48">
        <w:t>for</w:t>
      </w:r>
      <w:r w:rsidRPr="006C5C48">
        <w:rPr>
          <w:spacing w:val="-1"/>
        </w:rPr>
        <w:t xml:space="preserve"> </w:t>
      </w:r>
      <w:r w:rsidRPr="006C5C48">
        <w:t>activities that</w:t>
      </w:r>
      <w:r w:rsidRPr="006C5C48">
        <w:rPr>
          <w:spacing w:val="-2"/>
        </w:rPr>
        <w:t xml:space="preserve"> </w:t>
      </w:r>
      <w:r w:rsidRPr="006C5C48">
        <w:t>are</w:t>
      </w:r>
      <w:r w:rsidRPr="006C5C48">
        <w:rPr>
          <w:spacing w:val="-2"/>
        </w:rPr>
        <w:t xml:space="preserve"> </w:t>
      </w:r>
      <w:r w:rsidRPr="006C5C48">
        <w:t>required</w:t>
      </w:r>
      <w:r w:rsidRPr="006C5C48">
        <w:rPr>
          <w:spacing w:val="-1"/>
        </w:rPr>
        <w:t xml:space="preserve"> </w:t>
      </w:r>
      <w:r w:rsidRPr="006C5C48">
        <w:t>during</w:t>
      </w:r>
      <w:r w:rsidRPr="006C5C48">
        <w:rPr>
          <w:spacing w:val="-1"/>
        </w:rPr>
        <w:t xml:space="preserve"> </w:t>
      </w:r>
      <w:r w:rsidRPr="006C5C48">
        <w:t>full</w:t>
      </w:r>
      <w:r w:rsidRPr="006C5C48">
        <w:rPr>
          <w:spacing w:val="-1"/>
        </w:rPr>
        <w:t xml:space="preserve"> </w:t>
      </w:r>
      <w:r w:rsidRPr="006C5C48">
        <w:t>rule implementation</w:t>
      </w:r>
      <w:r w:rsidRPr="006C5C48" w:rsidR="003D6A02">
        <w:t>, such as</w:t>
      </w:r>
      <w:r w:rsidRPr="006C5C48" w:rsidR="003D6A02">
        <w:rPr>
          <w:rFonts w:cs="Times New Roman"/>
        </w:rPr>
        <w:t xml:space="preserve"> including ongoing compliance monitoring, administration, and treatment costs</w:t>
      </w:r>
      <w:r w:rsidRPr="006C5C48">
        <w:t>.</w:t>
      </w:r>
      <w:r w:rsidRPr="006C5C48">
        <w:rPr>
          <w:spacing w:val="2"/>
        </w:rPr>
        <w:t xml:space="preserve"> </w:t>
      </w:r>
    </w:p>
    <w:p w:rsidR="003C3B99" w:rsidRPr="006C5C48" w:rsidP="008E3728" w14:paraId="135F2225" w14:textId="77777777">
      <w:pPr>
        <w:numPr>
          <w:ilvl w:val="12"/>
          <w:numId w:val="0"/>
        </w:numPr>
        <w:rPr>
          <w:szCs w:val="24"/>
        </w:rPr>
        <w:sectPr w:rsidSect="00D3731A">
          <w:pgSz w:w="12240" w:h="15840"/>
          <w:pgMar w:top="1440" w:right="1440" w:bottom="1440" w:left="1440" w:header="0" w:footer="980" w:gutter="0"/>
          <w:cols w:space="720"/>
          <w:docGrid w:linePitch="326"/>
        </w:sectPr>
      </w:pPr>
    </w:p>
    <w:p w:rsidR="008E3728" w:rsidRPr="006C5C48" w:rsidP="003A3B69" w14:paraId="74F930A4" w14:textId="28F82544">
      <w:pPr>
        <w:pStyle w:val="Heading1"/>
        <w:ind w:firstLine="0"/>
      </w:pPr>
      <w:bookmarkStart w:id="14" w:name="_Toc114777029"/>
      <w:bookmarkStart w:id="15" w:name="_Toc149779110"/>
      <w:bookmarkEnd w:id="14"/>
      <w:r w:rsidRPr="006C5C48">
        <w:t xml:space="preserve">Need for and use of the </w:t>
      </w:r>
      <w:r w:rsidRPr="006C5C48">
        <w:t>Collection</w:t>
      </w:r>
      <w:bookmarkEnd w:id="15"/>
    </w:p>
    <w:p w:rsidR="008E3728" w:rsidRPr="006C5C48" w:rsidP="003A3B69" w14:paraId="16CC0AE7" w14:textId="1A55A23F">
      <w:pPr>
        <w:pStyle w:val="Heading2"/>
        <w:numPr>
          <w:ilvl w:val="0"/>
          <w:numId w:val="44"/>
        </w:numPr>
      </w:pPr>
      <w:bookmarkStart w:id="16" w:name="_Toc149779111"/>
      <w:r w:rsidRPr="006C5C48">
        <w:t>Need/Authority for the Collection</w:t>
      </w:r>
      <w:bookmarkEnd w:id="16"/>
    </w:p>
    <w:p w:rsidR="002E1D39" w:rsidRPr="006C5C48" w:rsidP="003E51FA" w14:paraId="3EBC1CB1" w14:textId="67820FA5">
      <w:r w:rsidRPr="006C5C48">
        <w:t xml:space="preserve">Section 1412(b)(1)(A) of </w:t>
      </w:r>
      <w:r w:rsidRPr="006C5C48" w:rsidR="00154759">
        <w:t>the Safe Drinking Water Act (</w:t>
      </w:r>
      <w:r w:rsidRPr="006C5C48">
        <w:t>SDWA</w:t>
      </w:r>
      <w:r w:rsidRPr="006C5C48" w:rsidR="00154759">
        <w:t>)</w:t>
      </w:r>
      <w:r w:rsidRPr="006C5C48">
        <w:t xml:space="preserve"> requires </w:t>
      </w:r>
      <w:r w:rsidRPr="006C5C48" w:rsidR="00210598">
        <w:t xml:space="preserve">the </w:t>
      </w:r>
      <w:r w:rsidRPr="006C5C48">
        <w:t xml:space="preserve">EPA to establish NPDWRs for a contaminant where the Administrator determines that the contaminant: (1) may have an adverse effect on the health of persons; (2) is known to occur or there is a substantial likelihood that the contaminant will occur in </w:t>
      </w:r>
      <w:r w:rsidRPr="006C5C48" w:rsidR="000C41C7">
        <w:rPr>
          <w:szCs w:val="24"/>
        </w:rPr>
        <w:t xml:space="preserve">public water systems (PWSs) </w:t>
      </w:r>
      <w:r w:rsidRPr="006C5C48">
        <w:t xml:space="preserve">with a frequency and at levels of public health concern; and (3) where in the sole judgment of the Administrator, regulation of such contaminant presents a meaningful opportunity for health risk reduction for persons served by PWSs. </w:t>
      </w:r>
    </w:p>
    <w:p w:rsidR="00EC4B1A" w:rsidRPr="006C5C48" w:rsidP="003E51FA" w14:paraId="79F98D42" w14:textId="65603DB2">
      <w:r w:rsidRPr="006C5C48">
        <w:t xml:space="preserve">The </w:t>
      </w:r>
      <w:r w:rsidRPr="006C5C48">
        <w:t xml:space="preserve">EPA needs comprehensive and current information on PFAS occurrence to </w:t>
      </w:r>
      <w:r w:rsidRPr="006C5C48" w:rsidR="00504624">
        <w:t xml:space="preserve">ensure any promulgated PFAS regulation </w:t>
      </w:r>
      <w:r w:rsidRPr="006C5C48">
        <w:t xml:space="preserve">mitigates risk of harmful exposure to PFAS in drinking water. Data collected in this ICR </w:t>
      </w:r>
      <w:r w:rsidRPr="006C5C48" w:rsidR="00504624">
        <w:t xml:space="preserve">may </w:t>
      </w:r>
      <w:r w:rsidRPr="006C5C48">
        <w:t>also help to inform potential future updates and changes to this PFAS NPDWR, if appropriate.</w:t>
      </w:r>
    </w:p>
    <w:p w:rsidR="00EC4B1A" w:rsidRPr="006C5C48" w:rsidP="003E51FA" w14:paraId="09686BF3" w14:textId="422E000D">
      <w:r w:rsidRPr="006C5C48">
        <w:t xml:space="preserve">For such regulations, Section 1401(1)(D) of </w:t>
      </w:r>
      <w:r w:rsidRPr="006C5C48" w:rsidR="00E548A5">
        <w:t>SDWA</w:t>
      </w:r>
      <w:r w:rsidRPr="006C5C48">
        <w:t xml:space="preserve"> requires that “criteria and procedures to assure a supply of drinking water which dependably complies with such maximum contaminant levels [or treatment techniques promulgated in lieu of a maximum contaminant level]; including accepted methods for quality control and testing procedures to </w:t>
      </w:r>
      <w:r w:rsidRPr="006C5C48" w:rsidR="00CC3B13">
        <w:t>ensure</w:t>
      </w:r>
      <w:r w:rsidRPr="006C5C48">
        <w:t xml:space="preserve"> compliance with such levels and to insure proper operation and maintenance of the system...” Furthermore, Section 1445(a)(1)(A) of </w:t>
      </w:r>
      <w:r w:rsidRPr="006C5C48" w:rsidR="00E548A5">
        <w:t>SDWA</w:t>
      </w:r>
      <w:r w:rsidRPr="006C5C48">
        <w:t xml:space="preserve"> requires that “[e]very person who is subject to any requirement of this subchapter or who is a grantee, shall establish and maintain such records, make such reports, conduct such monitoring, and provide such information as the Administrator may reasonably require by regulation to assist the Administrator in establishing regulations under this subchapter, in determining whether such person has acted or is acting in compliance with </w:t>
      </w:r>
      <w:r w:rsidRPr="006C5C48">
        <w:t xml:space="preserve">this subchapter...” In addition, Section 1413(a)(3) of </w:t>
      </w:r>
      <w:r w:rsidRPr="006C5C48" w:rsidR="00E548A5">
        <w:t>SDWA</w:t>
      </w:r>
      <w:r w:rsidRPr="006C5C48">
        <w:t xml:space="preserve"> requires primacy agencies to “keep such records and make such reports...as the Administrator may require by regulation.”</w:t>
      </w:r>
    </w:p>
    <w:p w:rsidR="00AA5E4B" w:rsidRPr="006C5C48" w:rsidP="003E51FA" w14:paraId="120B986D" w14:textId="60A59183">
      <w:r w:rsidRPr="006C5C48">
        <w:t xml:space="preserve">The sections from </w:t>
      </w:r>
      <w:r w:rsidRPr="006C5C48" w:rsidR="00E548A5">
        <w:t>SDWA</w:t>
      </w:r>
      <w:r w:rsidRPr="006C5C48">
        <w:t xml:space="preserve"> 1996 Amendments, discussed above, are included as Appendix A to this document.</w:t>
      </w:r>
    </w:p>
    <w:p w:rsidR="008E3728" w:rsidRPr="006C5C48" w:rsidP="003A3B69" w14:paraId="2CCAF532" w14:textId="72E5BECE">
      <w:pPr>
        <w:pStyle w:val="Heading2"/>
      </w:pPr>
      <w:bookmarkStart w:id="17" w:name="_Toc114671100"/>
      <w:bookmarkStart w:id="18" w:name="_Toc114671285"/>
      <w:bookmarkStart w:id="19" w:name="_Toc114777033"/>
      <w:bookmarkStart w:id="20" w:name="_Toc114671101"/>
      <w:bookmarkStart w:id="21" w:name="_Toc114671286"/>
      <w:bookmarkStart w:id="22" w:name="_Toc114777034"/>
      <w:bookmarkStart w:id="23" w:name="_Toc149779112"/>
      <w:bookmarkEnd w:id="17"/>
      <w:bookmarkEnd w:id="18"/>
      <w:bookmarkEnd w:id="19"/>
      <w:bookmarkEnd w:id="20"/>
      <w:bookmarkEnd w:id="21"/>
      <w:bookmarkEnd w:id="22"/>
      <w:r w:rsidRPr="006C5C48">
        <w:t>Practical Utility/Users of the Data</w:t>
      </w:r>
      <w:bookmarkEnd w:id="23"/>
    </w:p>
    <w:p w:rsidR="00AA5E4B" w:rsidRPr="006C5C48" w:rsidP="00707B3F" w14:paraId="22A547B7" w14:textId="1E44FE71">
      <w:pPr>
        <w:pStyle w:val="BodyText"/>
      </w:pPr>
      <w:r w:rsidRPr="006C5C48">
        <w:t xml:space="preserve">Primary users of the data collected under this ICR are water systems and their </w:t>
      </w:r>
      <w:r w:rsidRPr="006C5C48" w:rsidR="003A3B69">
        <w:t>customers,</w:t>
      </w:r>
      <w:r w:rsidR="003A3B69">
        <w:t xml:space="preserve"> </w:t>
      </w:r>
      <w:r w:rsidRPr="003A3B69" w:rsidR="003A3B69">
        <w:t>primacy</w:t>
      </w:r>
      <w:r w:rsidRPr="006C5C48">
        <w:t xml:space="preserve"> agencies, and </w:t>
      </w:r>
      <w:r w:rsidRPr="006C5C48" w:rsidR="00B40DBD">
        <w:t xml:space="preserve">the </w:t>
      </w:r>
      <w:r w:rsidRPr="006C5C48">
        <w:t xml:space="preserve">EPA. The information collected by </w:t>
      </w:r>
      <w:r w:rsidRPr="006C5C48" w:rsidR="00B40DBD">
        <w:t xml:space="preserve">the </w:t>
      </w:r>
      <w:r w:rsidRPr="006C5C48">
        <w:t xml:space="preserve">EPA is available to the </w:t>
      </w:r>
      <w:r w:rsidRPr="006C5C48" w:rsidR="003A3B69">
        <w:t xml:space="preserve">public, </w:t>
      </w:r>
      <w:r w:rsidRPr="006C5C48">
        <w:t>via</w:t>
      </w:r>
      <w:r w:rsidRPr="006C5C48" w:rsidR="0025393B">
        <w:t xml:space="preserve"> the</w:t>
      </w:r>
      <w:r w:rsidRPr="006C5C48">
        <w:t xml:space="preserve"> </w:t>
      </w:r>
      <w:r w:rsidRPr="006C5C48" w:rsidR="00E548A5">
        <w:t>EPA</w:t>
      </w:r>
      <w:r w:rsidRPr="006C5C48">
        <w:t>’s website (</w:t>
      </w:r>
      <w:r w:rsidRPr="006C5C48" w:rsidR="00595ECB">
        <w:t>https://www.epa.gov/ground-water-and-drinking-water/safe-drinking-water-information-system-sdwis-federal-reporting</w:t>
      </w:r>
      <w:r w:rsidRPr="006C5C48">
        <w:t>) or by requesting</w:t>
      </w:r>
      <w:r w:rsidRPr="006C5C48">
        <w:rPr>
          <w:spacing w:val="1"/>
        </w:rPr>
        <w:t xml:space="preserve"> </w:t>
      </w:r>
      <w:r w:rsidRPr="006C5C48">
        <w:t>the data under the Freedom of Information Act (FOIA; 40 CFR, Chapter 1, Part 2). Other</w:t>
      </w:r>
      <w:r w:rsidRPr="006C5C48">
        <w:rPr>
          <w:spacing w:val="1"/>
        </w:rPr>
        <w:t xml:space="preserve"> </w:t>
      </w:r>
      <w:r w:rsidRPr="006C5C48">
        <w:t>organizations</w:t>
      </w:r>
      <w:r w:rsidRPr="006C5C48">
        <w:rPr>
          <w:spacing w:val="-1"/>
        </w:rPr>
        <w:t xml:space="preserve"> </w:t>
      </w:r>
      <w:r w:rsidRPr="006C5C48">
        <w:t>and individuals</w:t>
      </w:r>
      <w:r w:rsidRPr="006C5C48">
        <w:rPr>
          <w:spacing w:val="1"/>
        </w:rPr>
        <w:t xml:space="preserve"> </w:t>
      </w:r>
      <w:r w:rsidRPr="006C5C48">
        <w:t>that may utilize</w:t>
      </w:r>
      <w:r w:rsidRPr="006C5C48">
        <w:rPr>
          <w:spacing w:val="-2"/>
        </w:rPr>
        <w:t xml:space="preserve"> </w:t>
      </w:r>
      <w:r w:rsidRPr="006C5C48">
        <w:t>the data</w:t>
      </w:r>
      <w:r w:rsidRPr="006C5C48">
        <w:rPr>
          <w:spacing w:val="-1"/>
        </w:rPr>
        <w:t xml:space="preserve"> </w:t>
      </w:r>
      <w:r w:rsidRPr="006C5C48">
        <w:t>include the following:</w:t>
      </w:r>
    </w:p>
    <w:p w:rsidR="00AA5E4B" w:rsidRPr="006C5C48" w:rsidP="003A3B69" w14:paraId="20BC5D19" w14:textId="77777777">
      <w:pPr>
        <w:pStyle w:val="ListParagraph"/>
        <w:numPr>
          <w:ilvl w:val="0"/>
          <w:numId w:val="1"/>
        </w:numPr>
      </w:pPr>
      <w:r w:rsidRPr="006C5C48">
        <w:t>Individual consumers, realtors, potential homebuyers, homeowners, households, and other members of the public</w:t>
      </w:r>
    </w:p>
    <w:p w:rsidR="00AA5E4B" w:rsidRPr="006C5C48" w:rsidP="003A3B69" w14:paraId="754C56C1" w14:textId="77777777">
      <w:pPr>
        <w:pStyle w:val="ListParagraph"/>
        <w:numPr>
          <w:ilvl w:val="0"/>
          <w:numId w:val="1"/>
        </w:numPr>
      </w:pPr>
      <w:r w:rsidRPr="006C5C48">
        <w:t>News</w:t>
      </w:r>
      <w:r w:rsidRPr="006C5C48">
        <w:rPr>
          <w:spacing w:val="-1"/>
        </w:rPr>
        <w:t xml:space="preserve"> </w:t>
      </w:r>
      <w:r w:rsidRPr="006C5C48">
        <w:t>organizations</w:t>
      </w:r>
    </w:p>
    <w:p w:rsidR="00AA5E4B" w:rsidRPr="006C5C48" w:rsidP="003A3B69" w14:paraId="0CA91FAE" w14:textId="524EED28">
      <w:pPr>
        <w:pStyle w:val="ListParagraph"/>
        <w:numPr>
          <w:ilvl w:val="0"/>
          <w:numId w:val="1"/>
        </w:numPr>
      </w:pPr>
      <w:r w:rsidRPr="006C5C48">
        <w:t>Staff</w:t>
      </w:r>
      <w:r w:rsidRPr="006C5C48">
        <w:rPr>
          <w:spacing w:val="-2"/>
        </w:rPr>
        <w:t xml:space="preserve"> </w:t>
      </w:r>
      <w:r w:rsidRPr="006C5C48">
        <w:t>from</w:t>
      </w:r>
      <w:r w:rsidRPr="006C5C48">
        <w:rPr>
          <w:spacing w:val="-1"/>
        </w:rPr>
        <w:t xml:space="preserve"> </w:t>
      </w:r>
      <w:r w:rsidRPr="006C5C48">
        <w:t>other</w:t>
      </w:r>
      <w:r w:rsidRPr="006C5C48">
        <w:rPr>
          <w:spacing w:val="-1"/>
        </w:rPr>
        <w:t xml:space="preserve"> </w:t>
      </w:r>
      <w:r w:rsidRPr="006C5C48">
        <w:t>EPA</w:t>
      </w:r>
      <w:r w:rsidRPr="006C5C48">
        <w:rPr>
          <w:spacing w:val="-1"/>
        </w:rPr>
        <w:t xml:space="preserve"> </w:t>
      </w:r>
      <w:r w:rsidRPr="006C5C48">
        <w:t>programs</w:t>
      </w:r>
      <w:r w:rsidRPr="006C5C48">
        <w:rPr>
          <w:spacing w:val="-1"/>
        </w:rPr>
        <w:t xml:space="preserve"> </w:t>
      </w:r>
      <w:r w:rsidRPr="006C5C48">
        <w:t>(such as</w:t>
      </w:r>
      <w:r w:rsidRPr="006C5C48">
        <w:rPr>
          <w:spacing w:val="-1"/>
        </w:rPr>
        <w:t xml:space="preserve"> </w:t>
      </w:r>
      <w:r w:rsidRPr="006C5C48">
        <w:t>Superfund,</w:t>
      </w:r>
      <w:r w:rsidRPr="006C5C48">
        <w:rPr>
          <w:spacing w:val="-1"/>
        </w:rPr>
        <w:t xml:space="preserve"> </w:t>
      </w:r>
      <w:r w:rsidRPr="006C5C48">
        <w:t>the</w:t>
      </w:r>
      <w:r w:rsidRPr="006C5C48">
        <w:rPr>
          <w:spacing w:val="-1"/>
        </w:rPr>
        <w:t xml:space="preserve"> </w:t>
      </w:r>
      <w:r w:rsidRPr="006C5C48">
        <w:t>Resource Conservation</w:t>
      </w:r>
      <w:r w:rsidRPr="006C5C48">
        <w:rPr>
          <w:spacing w:val="-1"/>
        </w:rPr>
        <w:t xml:space="preserve"> </w:t>
      </w:r>
      <w:r w:rsidRPr="006C5C48">
        <w:t>and</w:t>
      </w:r>
      <w:r w:rsidRPr="006C5C48">
        <w:rPr>
          <w:spacing w:val="-57"/>
        </w:rPr>
        <w:t xml:space="preserve"> </w:t>
      </w:r>
      <w:r w:rsidRPr="006C5C48">
        <w:t>Recovery</w:t>
      </w:r>
      <w:r w:rsidRPr="006C5C48">
        <w:rPr>
          <w:spacing w:val="-1"/>
        </w:rPr>
        <w:t xml:space="preserve"> </w:t>
      </w:r>
      <w:r w:rsidRPr="006C5C48">
        <w:t>Act</w:t>
      </w:r>
      <w:r w:rsidRPr="006C5C48" w:rsidR="006F39DD">
        <w:t xml:space="preserve"> (RCRA)</w:t>
      </w:r>
      <w:r w:rsidRPr="006C5C48">
        <w:t>, and</w:t>
      </w:r>
      <w:r w:rsidRPr="006C5C48">
        <w:rPr>
          <w:spacing w:val="-1"/>
        </w:rPr>
        <w:t xml:space="preserve"> </w:t>
      </w:r>
      <w:r w:rsidRPr="006C5C48">
        <w:t>the Office of</w:t>
      </w:r>
      <w:r w:rsidRPr="006C5C48">
        <w:rPr>
          <w:spacing w:val="-2"/>
        </w:rPr>
        <w:t xml:space="preserve"> </w:t>
      </w:r>
      <w:r w:rsidRPr="006C5C48">
        <w:t>Enforcement and Compliance</w:t>
      </w:r>
      <w:r w:rsidRPr="006C5C48">
        <w:rPr>
          <w:spacing w:val="-1"/>
        </w:rPr>
        <w:t xml:space="preserve"> </w:t>
      </w:r>
      <w:r w:rsidRPr="006C5C48">
        <w:t>Assurance</w:t>
      </w:r>
      <w:r w:rsidRPr="006C5C48" w:rsidR="00A85DF1">
        <w:t xml:space="preserve"> (OECA)</w:t>
      </w:r>
      <w:r w:rsidRPr="006C5C48">
        <w:t>)</w:t>
      </w:r>
    </w:p>
    <w:p w:rsidR="00AA5E4B" w:rsidRPr="006C5C48" w:rsidP="003A3B69" w14:paraId="4F310989" w14:textId="3F421A38">
      <w:pPr>
        <w:pStyle w:val="ListParagraph"/>
        <w:numPr>
          <w:ilvl w:val="0"/>
          <w:numId w:val="1"/>
        </w:numPr>
      </w:pPr>
      <w:r w:rsidRPr="006C5C48">
        <w:t>The</w:t>
      </w:r>
      <w:r w:rsidRPr="006C5C48">
        <w:rPr>
          <w:spacing w:val="-1"/>
        </w:rPr>
        <w:t xml:space="preserve"> </w:t>
      </w:r>
      <w:r w:rsidRPr="006C5C48">
        <w:t>Federal</w:t>
      </w:r>
      <w:r w:rsidRPr="006C5C48">
        <w:rPr>
          <w:spacing w:val="-2"/>
        </w:rPr>
        <w:t xml:space="preserve"> </w:t>
      </w:r>
      <w:r w:rsidRPr="006C5C48">
        <w:t>Emergency</w:t>
      </w:r>
      <w:r w:rsidRPr="006C5C48">
        <w:rPr>
          <w:spacing w:val="-1"/>
        </w:rPr>
        <w:t xml:space="preserve"> </w:t>
      </w:r>
      <w:r w:rsidRPr="006C5C48">
        <w:t>Management</w:t>
      </w:r>
      <w:r w:rsidRPr="006C5C48">
        <w:rPr>
          <w:spacing w:val="-1"/>
        </w:rPr>
        <w:t xml:space="preserve"> </w:t>
      </w:r>
      <w:r w:rsidRPr="006C5C48">
        <w:t>Administration</w:t>
      </w:r>
      <w:r w:rsidRPr="006C5C48" w:rsidR="001C4910">
        <w:t xml:space="preserve"> (FEMA)</w:t>
      </w:r>
    </w:p>
    <w:p w:rsidR="00AA5E4B" w:rsidRPr="006C5C48" w:rsidP="003A3B69" w14:paraId="2747B6DF" w14:textId="14D08D5F">
      <w:pPr>
        <w:pStyle w:val="ListParagraph"/>
        <w:numPr>
          <w:ilvl w:val="0"/>
          <w:numId w:val="1"/>
        </w:numPr>
      </w:pPr>
      <w:r w:rsidRPr="006C5C48">
        <w:t>Centers</w:t>
      </w:r>
      <w:r w:rsidRPr="006C5C48">
        <w:rPr>
          <w:spacing w:val="-1"/>
        </w:rPr>
        <w:t xml:space="preserve"> </w:t>
      </w:r>
      <w:r w:rsidRPr="006C5C48">
        <w:t>for</w:t>
      </w:r>
      <w:r w:rsidRPr="006C5C48">
        <w:rPr>
          <w:spacing w:val="-1"/>
        </w:rPr>
        <w:t xml:space="preserve"> </w:t>
      </w:r>
      <w:r w:rsidRPr="006C5C48">
        <w:t>Disease Control</w:t>
      </w:r>
      <w:r w:rsidRPr="006C5C48">
        <w:rPr>
          <w:spacing w:val="-1"/>
        </w:rPr>
        <w:t xml:space="preserve"> </w:t>
      </w:r>
      <w:r w:rsidRPr="006C5C48">
        <w:t>and</w:t>
      </w:r>
      <w:r w:rsidRPr="006C5C48">
        <w:rPr>
          <w:spacing w:val="-1"/>
        </w:rPr>
        <w:t xml:space="preserve"> </w:t>
      </w:r>
      <w:r w:rsidRPr="006C5C48">
        <w:t>Prevention</w:t>
      </w:r>
      <w:r w:rsidRPr="006C5C48" w:rsidR="001C4910">
        <w:t xml:space="preserve"> (CDC)</w:t>
      </w:r>
    </w:p>
    <w:p w:rsidR="00AA5E4B" w:rsidRPr="006C5C48" w:rsidP="003A3B69" w14:paraId="053F4449" w14:textId="77777777">
      <w:pPr>
        <w:pStyle w:val="ListParagraph"/>
        <w:numPr>
          <w:ilvl w:val="0"/>
          <w:numId w:val="1"/>
        </w:numPr>
      </w:pPr>
      <w:r w:rsidRPr="006C5C48">
        <w:t>Military</w:t>
      </w:r>
      <w:r w:rsidRPr="006C5C48">
        <w:rPr>
          <w:spacing w:val="-1"/>
        </w:rPr>
        <w:t xml:space="preserve"> </w:t>
      </w:r>
      <w:r w:rsidRPr="006C5C48">
        <w:t>bases</w:t>
      </w:r>
    </w:p>
    <w:p w:rsidR="00AA5E4B" w:rsidRPr="006C5C48" w:rsidP="003A3B69" w14:paraId="672B4BA1" w14:textId="7F1A1194">
      <w:pPr>
        <w:pStyle w:val="ListParagraph"/>
        <w:numPr>
          <w:ilvl w:val="0"/>
          <w:numId w:val="1"/>
        </w:numPr>
      </w:pPr>
      <w:r w:rsidRPr="006C5C48">
        <w:t>Farmers</w:t>
      </w:r>
      <w:r w:rsidRPr="006C5C48">
        <w:rPr>
          <w:spacing w:val="-2"/>
        </w:rPr>
        <w:t xml:space="preserve"> </w:t>
      </w:r>
      <w:r w:rsidRPr="006C5C48">
        <w:t>Home Administration</w:t>
      </w:r>
      <w:r w:rsidRPr="006C5C48" w:rsidR="00AC23F1">
        <w:t xml:space="preserve"> (</w:t>
      </w:r>
      <w:r w:rsidRPr="006C5C48" w:rsidR="00AC23F1">
        <w:t>FmHA</w:t>
      </w:r>
      <w:r w:rsidRPr="006C5C48" w:rsidR="00AC23F1">
        <w:t>)</w:t>
      </w:r>
    </w:p>
    <w:p w:rsidR="00AA5E4B" w:rsidRPr="006C5C48" w:rsidP="003A3B69" w14:paraId="030158A7" w14:textId="77777777">
      <w:pPr>
        <w:pStyle w:val="ListParagraph"/>
        <w:numPr>
          <w:ilvl w:val="0"/>
          <w:numId w:val="1"/>
        </w:numPr>
      </w:pPr>
      <w:r w:rsidRPr="006C5C48">
        <w:t>Department</w:t>
      </w:r>
      <w:r w:rsidRPr="006C5C48">
        <w:rPr>
          <w:spacing w:val="-1"/>
        </w:rPr>
        <w:t xml:space="preserve"> </w:t>
      </w:r>
      <w:r w:rsidRPr="006C5C48">
        <w:t>of</w:t>
      </w:r>
      <w:r w:rsidRPr="006C5C48">
        <w:rPr>
          <w:spacing w:val="-1"/>
        </w:rPr>
        <w:t xml:space="preserve"> </w:t>
      </w:r>
      <w:r w:rsidRPr="006C5C48">
        <w:t>Interior</w:t>
      </w:r>
    </w:p>
    <w:p w:rsidR="00AA5E4B" w:rsidRPr="006C5C48" w:rsidP="003A3B69" w14:paraId="65B2A721" w14:textId="4DA1AE02">
      <w:pPr>
        <w:pStyle w:val="ListParagraph"/>
        <w:numPr>
          <w:ilvl w:val="0"/>
          <w:numId w:val="1"/>
        </w:numPr>
      </w:pPr>
      <w:r w:rsidRPr="006C5C48">
        <w:t>Department</w:t>
      </w:r>
      <w:r w:rsidRPr="006C5C48">
        <w:rPr>
          <w:spacing w:val="-1"/>
        </w:rPr>
        <w:t xml:space="preserve"> </w:t>
      </w:r>
      <w:r w:rsidRPr="006C5C48">
        <w:t>of Housing and</w:t>
      </w:r>
      <w:r w:rsidRPr="006C5C48">
        <w:rPr>
          <w:spacing w:val="-1"/>
        </w:rPr>
        <w:t xml:space="preserve"> </w:t>
      </w:r>
      <w:r w:rsidRPr="006C5C48">
        <w:t>Urban Development</w:t>
      </w:r>
      <w:r w:rsidRPr="006C5C48" w:rsidR="00AC23F1">
        <w:t xml:space="preserve"> (HUD)</w:t>
      </w:r>
    </w:p>
    <w:p w:rsidR="00AA5E4B" w:rsidRPr="006C5C48" w:rsidP="003A3B69" w14:paraId="11C27A21" w14:textId="77777777">
      <w:pPr>
        <w:pStyle w:val="ListParagraph"/>
        <w:numPr>
          <w:ilvl w:val="0"/>
          <w:numId w:val="1"/>
        </w:numPr>
      </w:pPr>
      <w:r w:rsidRPr="006C5C48">
        <w:t>U.S.</w:t>
      </w:r>
      <w:r w:rsidRPr="006C5C48">
        <w:rPr>
          <w:spacing w:val="-1"/>
        </w:rPr>
        <w:t xml:space="preserve"> </w:t>
      </w:r>
      <w:r w:rsidRPr="006C5C48">
        <w:t>Army Corps</w:t>
      </w:r>
      <w:r w:rsidRPr="006C5C48">
        <w:rPr>
          <w:spacing w:val="-1"/>
        </w:rPr>
        <w:t xml:space="preserve"> </w:t>
      </w:r>
      <w:r w:rsidRPr="006C5C48">
        <w:t>of Engineers</w:t>
      </w:r>
    </w:p>
    <w:p w:rsidR="00AA5E4B" w:rsidRPr="006C5C48" w:rsidP="003A3B69" w14:paraId="6CD405FF" w14:textId="77777777">
      <w:pPr>
        <w:pStyle w:val="ListParagraph"/>
        <w:numPr>
          <w:ilvl w:val="0"/>
          <w:numId w:val="1"/>
        </w:numPr>
      </w:pPr>
      <w:r w:rsidRPr="006C5C48">
        <w:t>White</w:t>
      </w:r>
      <w:r w:rsidRPr="006C5C48">
        <w:rPr>
          <w:spacing w:val="-1"/>
        </w:rPr>
        <w:t xml:space="preserve"> </w:t>
      </w:r>
      <w:r w:rsidRPr="006C5C48">
        <w:t>House Task Forces</w:t>
      </w:r>
    </w:p>
    <w:p w:rsidR="00AA5E4B" w:rsidRPr="006C5C48" w:rsidP="003A3B69" w14:paraId="1CF708D1" w14:textId="046AF9FE">
      <w:pPr>
        <w:pStyle w:val="ListParagraph"/>
        <w:numPr>
          <w:ilvl w:val="0"/>
          <w:numId w:val="1"/>
        </w:numPr>
      </w:pPr>
      <w:r w:rsidRPr="006C5C48">
        <w:t>American</w:t>
      </w:r>
      <w:r w:rsidRPr="006C5C48">
        <w:rPr>
          <w:spacing w:val="-2"/>
        </w:rPr>
        <w:t xml:space="preserve"> </w:t>
      </w:r>
      <w:r w:rsidRPr="006C5C48">
        <w:t>Water</w:t>
      </w:r>
      <w:r w:rsidRPr="006C5C48">
        <w:rPr>
          <w:spacing w:val="-1"/>
        </w:rPr>
        <w:t xml:space="preserve"> </w:t>
      </w:r>
      <w:r w:rsidRPr="006C5C48">
        <w:t>Works</w:t>
      </w:r>
      <w:r w:rsidRPr="006C5C48">
        <w:rPr>
          <w:spacing w:val="-1"/>
        </w:rPr>
        <w:t xml:space="preserve"> </w:t>
      </w:r>
      <w:r w:rsidRPr="006C5C48">
        <w:t>Association</w:t>
      </w:r>
      <w:r w:rsidRPr="006C5C48" w:rsidR="001C4910">
        <w:t xml:space="preserve"> (AWWA)</w:t>
      </w:r>
    </w:p>
    <w:p w:rsidR="00AA5E4B" w:rsidRPr="006C5C48" w:rsidP="003A3B69" w14:paraId="4C19F318" w14:textId="197B0F7B">
      <w:pPr>
        <w:pStyle w:val="ListParagraph"/>
        <w:numPr>
          <w:ilvl w:val="0"/>
          <w:numId w:val="1"/>
        </w:numPr>
      </w:pPr>
      <w:r w:rsidRPr="006C5C48">
        <w:t>Association</w:t>
      </w:r>
      <w:r w:rsidRPr="006C5C48">
        <w:rPr>
          <w:spacing w:val="-3"/>
        </w:rPr>
        <w:t xml:space="preserve"> </w:t>
      </w:r>
      <w:r w:rsidRPr="006C5C48">
        <w:t>of</w:t>
      </w:r>
      <w:r w:rsidRPr="006C5C48">
        <w:rPr>
          <w:spacing w:val="-1"/>
        </w:rPr>
        <w:t xml:space="preserve"> </w:t>
      </w:r>
      <w:r w:rsidRPr="006C5C48">
        <w:t>Metropolitan Water</w:t>
      </w:r>
      <w:r w:rsidRPr="006C5C48">
        <w:rPr>
          <w:spacing w:val="-1"/>
        </w:rPr>
        <w:t xml:space="preserve"> </w:t>
      </w:r>
      <w:r w:rsidRPr="006C5C48">
        <w:t>Agencies</w:t>
      </w:r>
      <w:r w:rsidRPr="006C5C48" w:rsidR="001C4910">
        <w:t xml:space="preserve"> (AMWA)</w:t>
      </w:r>
    </w:p>
    <w:p w:rsidR="00AA5E4B" w:rsidRPr="006C5C48" w:rsidP="003A3B69" w14:paraId="1A8FD043" w14:textId="1A8EE8C9">
      <w:pPr>
        <w:pStyle w:val="ListParagraph"/>
        <w:numPr>
          <w:ilvl w:val="0"/>
          <w:numId w:val="1"/>
        </w:numPr>
      </w:pPr>
      <w:r w:rsidRPr="006C5C48">
        <w:t>National</w:t>
      </w:r>
      <w:r w:rsidRPr="006C5C48">
        <w:rPr>
          <w:spacing w:val="-1"/>
        </w:rPr>
        <w:t xml:space="preserve"> </w:t>
      </w:r>
      <w:r w:rsidRPr="006C5C48">
        <w:t>Rural</w:t>
      </w:r>
      <w:r w:rsidRPr="006C5C48">
        <w:rPr>
          <w:spacing w:val="-1"/>
        </w:rPr>
        <w:t xml:space="preserve"> </w:t>
      </w:r>
      <w:r w:rsidRPr="006C5C48">
        <w:t>Water</w:t>
      </w:r>
      <w:r w:rsidRPr="006C5C48">
        <w:rPr>
          <w:spacing w:val="-1"/>
        </w:rPr>
        <w:t xml:space="preserve"> </w:t>
      </w:r>
      <w:r w:rsidRPr="006C5C48">
        <w:t>Association</w:t>
      </w:r>
      <w:r w:rsidRPr="006C5C48" w:rsidR="001C4910">
        <w:t xml:space="preserve"> (NRWA)</w:t>
      </w:r>
    </w:p>
    <w:p w:rsidR="00AA5E4B" w:rsidRPr="006C5C48" w:rsidP="003A3B69" w14:paraId="1A356D70" w14:textId="2F1959B9">
      <w:pPr>
        <w:pStyle w:val="ListParagraph"/>
        <w:numPr>
          <w:ilvl w:val="0"/>
          <w:numId w:val="1"/>
        </w:numPr>
      </w:pPr>
      <w:r w:rsidRPr="006C5C48">
        <w:t>National</w:t>
      </w:r>
      <w:r w:rsidRPr="006C5C48">
        <w:rPr>
          <w:spacing w:val="-1"/>
        </w:rPr>
        <w:t xml:space="preserve"> </w:t>
      </w:r>
      <w:r w:rsidRPr="006C5C48">
        <w:t>Association</w:t>
      </w:r>
      <w:r w:rsidRPr="006C5C48">
        <w:rPr>
          <w:spacing w:val="-1"/>
        </w:rPr>
        <w:t xml:space="preserve"> </w:t>
      </w:r>
      <w:r w:rsidRPr="006C5C48">
        <w:t>of</w:t>
      </w:r>
      <w:r w:rsidRPr="006C5C48">
        <w:rPr>
          <w:spacing w:val="-1"/>
        </w:rPr>
        <w:t xml:space="preserve"> </w:t>
      </w:r>
      <w:r w:rsidRPr="006C5C48">
        <w:t>Water</w:t>
      </w:r>
      <w:r w:rsidRPr="006C5C48">
        <w:rPr>
          <w:spacing w:val="-1"/>
        </w:rPr>
        <w:t xml:space="preserve"> </w:t>
      </w:r>
      <w:r w:rsidRPr="006C5C48">
        <w:t>Companies</w:t>
      </w:r>
      <w:r w:rsidRPr="006C5C48" w:rsidR="002E18E7">
        <w:t xml:space="preserve"> (NAWC)</w:t>
      </w:r>
    </w:p>
    <w:p w:rsidR="00AA5E4B" w:rsidRPr="006C5C48" w:rsidP="003A3B69" w14:paraId="0EB42607" w14:textId="51796EB2">
      <w:pPr>
        <w:pStyle w:val="ListParagraph"/>
        <w:numPr>
          <w:ilvl w:val="0"/>
          <w:numId w:val="1"/>
        </w:numPr>
      </w:pPr>
      <w:r w:rsidRPr="006C5C48">
        <w:t>Association</w:t>
      </w:r>
      <w:r w:rsidRPr="006C5C48">
        <w:rPr>
          <w:spacing w:val="-3"/>
        </w:rPr>
        <w:t xml:space="preserve"> </w:t>
      </w:r>
      <w:r w:rsidRPr="006C5C48">
        <w:t>of</w:t>
      </w:r>
      <w:r w:rsidRPr="006C5C48">
        <w:rPr>
          <w:spacing w:val="-1"/>
        </w:rPr>
        <w:t xml:space="preserve"> </w:t>
      </w:r>
      <w:r w:rsidRPr="006C5C48">
        <w:t>State</w:t>
      </w:r>
      <w:r w:rsidRPr="006C5C48">
        <w:rPr>
          <w:spacing w:val="-1"/>
        </w:rPr>
        <w:t xml:space="preserve"> </w:t>
      </w:r>
      <w:r w:rsidRPr="006C5C48">
        <w:t>Drinking</w:t>
      </w:r>
      <w:r w:rsidRPr="006C5C48">
        <w:rPr>
          <w:spacing w:val="-1"/>
        </w:rPr>
        <w:t xml:space="preserve"> </w:t>
      </w:r>
      <w:r w:rsidRPr="006C5C48">
        <w:t>Water</w:t>
      </w:r>
      <w:r w:rsidRPr="006C5C48">
        <w:rPr>
          <w:spacing w:val="-1"/>
        </w:rPr>
        <w:t xml:space="preserve"> </w:t>
      </w:r>
      <w:r w:rsidRPr="006C5C48">
        <w:t>Administrators</w:t>
      </w:r>
      <w:r w:rsidRPr="006C5C48" w:rsidR="002E18E7">
        <w:t xml:space="preserve"> (ASDWA)</w:t>
      </w:r>
    </w:p>
    <w:p w:rsidR="00AA5E4B" w:rsidRPr="006C5C48" w:rsidP="003A3B69" w14:paraId="302380D5" w14:textId="67F22DA1">
      <w:pPr>
        <w:pStyle w:val="ListParagraph"/>
        <w:numPr>
          <w:ilvl w:val="0"/>
          <w:numId w:val="1"/>
        </w:numPr>
      </w:pPr>
      <w:r w:rsidRPr="006C5C48">
        <w:t>Environmental</w:t>
      </w:r>
      <w:r w:rsidRPr="006C5C48">
        <w:rPr>
          <w:spacing w:val="-1"/>
        </w:rPr>
        <w:t xml:space="preserve"> </w:t>
      </w:r>
      <w:r w:rsidRPr="006C5C48">
        <w:t>Council</w:t>
      </w:r>
      <w:r w:rsidRPr="006C5C48">
        <w:rPr>
          <w:spacing w:val="-1"/>
        </w:rPr>
        <w:t xml:space="preserve"> </w:t>
      </w:r>
      <w:r w:rsidRPr="006C5C48">
        <w:t>of the</w:t>
      </w:r>
      <w:r w:rsidRPr="006C5C48">
        <w:rPr>
          <w:spacing w:val="-1"/>
        </w:rPr>
        <w:t xml:space="preserve"> </w:t>
      </w:r>
      <w:r w:rsidRPr="006C5C48">
        <w:t>States</w:t>
      </w:r>
      <w:r w:rsidRPr="006C5C48" w:rsidR="00F510CD">
        <w:t xml:space="preserve"> (ECOS)</w:t>
      </w:r>
    </w:p>
    <w:p w:rsidR="00AA5E4B" w:rsidRPr="006C5C48" w:rsidP="003A3B69" w14:paraId="5D123E40" w14:textId="4A75D2B1">
      <w:pPr>
        <w:pStyle w:val="ListParagraph"/>
        <w:numPr>
          <w:ilvl w:val="0"/>
          <w:numId w:val="1"/>
        </w:numPr>
      </w:pPr>
      <w:r w:rsidRPr="006C5C48">
        <w:t>Natural</w:t>
      </w:r>
      <w:r w:rsidRPr="006C5C48">
        <w:rPr>
          <w:spacing w:val="-1"/>
        </w:rPr>
        <w:t xml:space="preserve"> </w:t>
      </w:r>
      <w:r w:rsidRPr="006C5C48">
        <w:t>Resources Defense Council</w:t>
      </w:r>
      <w:r w:rsidRPr="006C5C48" w:rsidR="002E18E7">
        <w:t xml:space="preserve"> (NRDC)</w:t>
      </w:r>
    </w:p>
    <w:p w:rsidR="00C17BAF" w:rsidRPr="006C5C48" w:rsidP="003A3B69" w14:paraId="7AE0B464" w14:textId="5B4F8103">
      <w:pPr>
        <w:pStyle w:val="ListParagraph"/>
        <w:numPr>
          <w:ilvl w:val="0"/>
          <w:numId w:val="1"/>
        </w:numPr>
      </w:pPr>
      <w:r w:rsidRPr="006C5C48">
        <w:t>Rural Community Assistance Partnership</w:t>
      </w:r>
      <w:r w:rsidRPr="006C5C48" w:rsidR="00F510CD">
        <w:t xml:space="preserve"> (RCAP)</w:t>
      </w:r>
    </w:p>
    <w:p w:rsidR="00AA5E4B" w:rsidRPr="006C5C48" w:rsidP="003A3B69" w14:paraId="1FEAF30C" w14:textId="758220E8">
      <w:pPr>
        <w:pStyle w:val="ListParagraph"/>
        <w:numPr>
          <w:ilvl w:val="0"/>
          <w:numId w:val="1"/>
        </w:numPr>
      </w:pPr>
      <w:r w:rsidRPr="006C5C48">
        <w:t>Consumers</w:t>
      </w:r>
      <w:r w:rsidRPr="006C5C48">
        <w:rPr>
          <w:spacing w:val="-1"/>
        </w:rPr>
        <w:t xml:space="preserve"> </w:t>
      </w:r>
      <w:r w:rsidRPr="006C5C48">
        <w:t>Federation</w:t>
      </w:r>
      <w:r w:rsidRPr="006C5C48">
        <w:rPr>
          <w:spacing w:val="-1"/>
        </w:rPr>
        <w:t xml:space="preserve"> </w:t>
      </w:r>
      <w:r w:rsidRPr="006C5C48">
        <w:t>of</w:t>
      </w:r>
      <w:r w:rsidRPr="006C5C48">
        <w:rPr>
          <w:spacing w:val="-1"/>
        </w:rPr>
        <w:t xml:space="preserve"> </w:t>
      </w:r>
      <w:r w:rsidRPr="006C5C48">
        <w:t>America</w:t>
      </w:r>
      <w:r w:rsidRPr="006C5C48" w:rsidR="00F510CD">
        <w:t xml:space="preserve"> (CFA)</w:t>
      </w:r>
      <w:r w:rsidRPr="006C5C48">
        <w:t>.</w:t>
      </w:r>
    </w:p>
    <w:p w:rsidR="006061FE" w:rsidRPr="006C5C48" w:rsidP="008E3728" w14:paraId="14CD11B2" w14:textId="40F9A042">
      <w:pPr>
        <w:numPr>
          <w:ilvl w:val="12"/>
          <w:numId w:val="0"/>
        </w:numPr>
        <w:rPr>
          <w:b/>
          <w:bCs/>
          <w:szCs w:val="24"/>
        </w:rPr>
        <w:sectPr w:rsidSect="00D3731A">
          <w:type w:val="continuous"/>
          <w:pgSz w:w="12240" w:h="15840"/>
          <w:pgMar w:top="1440" w:right="1440" w:bottom="1440" w:left="1440" w:header="0" w:footer="980" w:gutter="0"/>
          <w:cols w:space="720"/>
          <w:docGrid w:linePitch="326"/>
        </w:sectPr>
      </w:pPr>
    </w:p>
    <w:p w:rsidR="008E3728" w:rsidRPr="006C5C48" w:rsidP="003A3B69" w14:paraId="3ED4258D" w14:textId="5022A89E">
      <w:pPr>
        <w:pStyle w:val="Heading1"/>
        <w:ind w:firstLine="0"/>
      </w:pPr>
      <w:bookmarkStart w:id="24" w:name="_Toc114671103"/>
      <w:bookmarkStart w:id="25" w:name="_Toc114671288"/>
      <w:bookmarkStart w:id="26" w:name="_Toc114777036"/>
      <w:bookmarkStart w:id="27" w:name="_Toc149779113"/>
      <w:bookmarkEnd w:id="24"/>
      <w:bookmarkEnd w:id="25"/>
      <w:bookmarkEnd w:id="26"/>
      <w:r w:rsidRPr="006C5C48">
        <w:t>Non duplication, Consultations, and Other Collection Criteria</w:t>
      </w:r>
      <w:bookmarkEnd w:id="27"/>
    </w:p>
    <w:p w:rsidR="008E3728" w:rsidRPr="006C5C48" w:rsidP="003A3B69" w14:paraId="6BB16970" w14:textId="628CC910">
      <w:pPr>
        <w:pStyle w:val="Heading2"/>
        <w:numPr>
          <w:ilvl w:val="0"/>
          <w:numId w:val="45"/>
        </w:numPr>
      </w:pPr>
      <w:bookmarkStart w:id="28" w:name="_Toc149779114"/>
      <w:r w:rsidRPr="006C5C48">
        <w:t>Non duplication</w:t>
      </w:r>
      <w:bookmarkEnd w:id="28"/>
    </w:p>
    <w:p w:rsidR="00703E06" w:rsidRPr="006C5C48" w:rsidP="00707B3F" w14:paraId="22D56AB4" w14:textId="27F03E99">
      <w:pPr>
        <w:pStyle w:val="BodyText"/>
      </w:pPr>
      <w:r w:rsidRPr="006C5C48">
        <w:t xml:space="preserve">The </w:t>
      </w:r>
      <w:r w:rsidRPr="006C5C48">
        <w:t xml:space="preserve">EPA has consulted with other federal agencies, state agencies, </w:t>
      </w:r>
      <w:r w:rsidRPr="006C5C48" w:rsidR="002E1D39">
        <w:t xml:space="preserve">small business entities (i.e., operators of small </w:t>
      </w:r>
      <w:r w:rsidRPr="006C5C48" w:rsidR="00154759">
        <w:t>PWSs</w:t>
      </w:r>
      <w:r w:rsidRPr="006C5C48" w:rsidR="002E1D39">
        <w:t>)</w:t>
      </w:r>
      <w:r w:rsidRPr="006C5C48">
        <w:t xml:space="preserve">, </w:t>
      </w:r>
      <w:r w:rsidRPr="006C5C48" w:rsidR="00154759">
        <w:t>PWSs</w:t>
      </w:r>
      <w:r w:rsidRPr="006C5C48">
        <w:t>, and tribal organizations to ensure non-duplication of this</w:t>
      </w:r>
      <w:r w:rsidRPr="006C5C48">
        <w:rPr>
          <w:spacing w:val="1"/>
        </w:rPr>
        <w:t xml:space="preserve"> </w:t>
      </w:r>
      <w:r w:rsidRPr="006C5C48">
        <w:t xml:space="preserve">information collection. To the best of the Agency's knowledge, data required </w:t>
      </w:r>
      <w:r w:rsidRPr="006C5C48">
        <w:rPr>
          <w:spacing w:val="-1"/>
        </w:rPr>
        <w:t>under this ICR for th</w:t>
      </w:r>
      <w:r w:rsidRPr="006C5C48" w:rsidR="00C813DE">
        <w:rPr>
          <w:spacing w:val="-1"/>
        </w:rPr>
        <w:t xml:space="preserve">is </w:t>
      </w:r>
      <w:r w:rsidRPr="006C5C48" w:rsidR="00594906">
        <w:rPr>
          <w:spacing w:val="-1"/>
        </w:rPr>
        <w:t xml:space="preserve">final </w:t>
      </w:r>
      <w:r w:rsidRPr="006C5C48">
        <w:rPr>
          <w:spacing w:val="-1"/>
        </w:rPr>
        <w:t xml:space="preserve">PFAS </w:t>
      </w:r>
      <w:r w:rsidRPr="006C5C48" w:rsidR="00C4774B">
        <w:rPr>
          <w:spacing w:val="-1"/>
        </w:rPr>
        <w:t>NPDWR</w:t>
      </w:r>
      <w:r w:rsidRPr="006C5C48">
        <w:rPr>
          <w:spacing w:val="-1"/>
        </w:rPr>
        <w:t xml:space="preserve"> </w:t>
      </w:r>
      <w:r w:rsidRPr="006C5C48">
        <w:t>are not available from</w:t>
      </w:r>
      <w:r w:rsidRPr="006C5C48">
        <w:rPr>
          <w:spacing w:val="-2"/>
        </w:rPr>
        <w:t xml:space="preserve"> </w:t>
      </w:r>
      <w:r w:rsidRPr="006C5C48">
        <w:t>any other source.</w:t>
      </w:r>
    </w:p>
    <w:p w:rsidR="008E3728" w:rsidRPr="006C5C48" w:rsidP="003A3B69" w14:paraId="1026E37A" w14:textId="566470C9">
      <w:pPr>
        <w:pStyle w:val="Heading2"/>
      </w:pPr>
      <w:bookmarkStart w:id="29" w:name="_Toc114671106"/>
      <w:bookmarkStart w:id="30" w:name="_Toc114671291"/>
      <w:bookmarkStart w:id="31" w:name="_Toc114777039"/>
      <w:bookmarkStart w:id="32" w:name="_Toc149779115"/>
      <w:bookmarkEnd w:id="29"/>
      <w:bookmarkEnd w:id="30"/>
      <w:bookmarkEnd w:id="31"/>
      <w:r w:rsidRPr="006C5C48">
        <w:t xml:space="preserve">Public Notice Required Prior to ICR submission to </w:t>
      </w:r>
      <w:r w:rsidRPr="006C5C48">
        <w:t>OMB</w:t>
      </w:r>
      <w:bookmarkEnd w:id="32"/>
    </w:p>
    <w:p w:rsidR="00703E06" w:rsidRPr="006C5C48" w:rsidP="00707B3F" w14:paraId="5D8217DD" w14:textId="2C9A20AE">
      <w:pPr>
        <w:pStyle w:val="BodyText"/>
      </w:pPr>
      <w:r w:rsidRPr="006C5C48">
        <w:t>To comply with the 1995 Amendments to the Paperwork Reduction Act</w:t>
      </w:r>
      <w:r w:rsidRPr="006C5C48" w:rsidR="00154759">
        <w:t xml:space="preserve"> (PRA)</w:t>
      </w:r>
      <w:r w:rsidRPr="006C5C48">
        <w:t>, the Agency will</w:t>
      </w:r>
      <w:r w:rsidRPr="006C5C48" w:rsidR="004A7452">
        <w:t xml:space="preserve"> </w:t>
      </w:r>
      <w:r w:rsidRPr="006C5C48">
        <w:rPr>
          <w:spacing w:val="-57"/>
        </w:rPr>
        <w:t xml:space="preserve"> </w:t>
      </w:r>
      <w:r w:rsidRPr="006C5C48" w:rsidR="00C4774B">
        <w:rPr>
          <w:spacing w:val="-57"/>
        </w:rPr>
        <w:t xml:space="preserve">   </w:t>
      </w:r>
      <w:r w:rsidRPr="006C5C48">
        <w:t xml:space="preserve">solicit public comment on this </w:t>
      </w:r>
      <w:r w:rsidRPr="006C5C48" w:rsidR="003D6A02">
        <w:t xml:space="preserve">final </w:t>
      </w:r>
      <w:r w:rsidRPr="006C5C48">
        <w:t xml:space="preserve">ICR during a 30-day public </w:t>
      </w:r>
      <w:r w:rsidRPr="006C5C48">
        <w:t xml:space="preserve">comment period coinciding </w:t>
      </w:r>
      <w:r w:rsidRPr="006C5C48" w:rsidR="00C4774B">
        <w:t>with the</w:t>
      </w:r>
      <w:r w:rsidRPr="006C5C48" w:rsidR="00C813DE">
        <w:t xml:space="preserve"> </w:t>
      </w:r>
      <w:r w:rsidRPr="006C5C48">
        <w:t xml:space="preserve">comment period for the proposed rule. In the </w:t>
      </w:r>
      <w:r w:rsidRPr="006C5C48">
        <w:rPr>
          <w:i/>
        </w:rPr>
        <w:t xml:space="preserve">Federal Register </w:t>
      </w:r>
      <w:r w:rsidRPr="006C5C48">
        <w:t>notice for the proposed rule,</w:t>
      </w:r>
      <w:r w:rsidRPr="006C5C48">
        <w:rPr>
          <w:spacing w:val="1"/>
        </w:rPr>
        <w:t xml:space="preserve"> </w:t>
      </w:r>
      <w:r w:rsidRPr="006C5C48" w:rsidR="00C72CC0">
        <w:rPr>
          <w:spacing w:val="1"/>
        </w:rPr>
        <w:t xml:space="preserve">the </w:t>
      </w:r>
      <w:r w:rsidRPr="006C5C48" w:rsidR="00E548A5">
        <w:t>EPA</w:t>
      </w:r>
      <w:r w:rsidRPr="006C5C48">
        <w:t xml:space="preserve"> </w:t>
      </w:r>
      <w:r w:rsidRPr="006C5C48" w:rsidR="00C5715E">
        <w:t>requested</w:t>
      </w:r>
      <w:r w:rsidRPr="006C5C48">
        <w:t xml:space="preserve"> comment on the estimated respondent burden and other aspects of this</w:t>
      </w:r>
      <w:r w:rsidRPr="006C5C48">
        <w:rPr>
          <w:spacing w:val="1"/>
        </w:rPr>
        <w:t xml:space="preserve"> </w:t>
      </w:r>
      <w:r w:rsidRPr="006C5C48">
        <w:t xml:space="preserve">information collection. Comments received </w:t>
      </w:r>
      <w:r w:rsidRPr="006C5C48" w:rsidR="00993894">
        <w:t>were</w:t>
      </w:r>
      <w:r w:rsidRPr="006C5C48">
        <w:t xml:space="preserve"> considered by the Agency and used to adjust</w:t>
      </w:r>
      <w:r w:rsidRPr="006C5C48">
        <w:rPr>
          <w:spacing w:val="1"/>
        </w:rPr>
        <w:t xml:space="preserve"> </w:t>
      </w:r>
      <w:r w:rsidRPr="006C5C48">
        <w:t>the</w:t>
      </w:r>
      <w:r w:rsidRPr="006C5C48">
        <w:rPr>
          <w:spacing w:val="-1"/>
        </w:rPr>
        <w:t xml:space="preserve"> </w:t>
      </w:r>
      <w:r w:rsidRPr="006C5C48">
        <w:t>burden</w:t>
      </w:r>
      <w:r w:rsidRPr="006C5C48">
        <w:rPr>
          <w:spacing w:val="-1"/>
        </w:rPr>
        <w:t xml:space="preserve"> </w:t>
      </w:r>
      <w:r w:rsidRPr="006C5C48">
        <w:t>and</w:t>
      </w:r>
      <w:r w:rsidRPr="006C5C48">
        <w:rPr>
          <w:spacing w:val="-1"/>
        </w:rPr>
        <w:t xml:space="preserve"> </w:t>
      </w:r>
      <w:r w:rsidRPr="006C5C48">
        <w:t>costs estimates</w:t>
      </w:r>
      <w:r w:rsidRPr="006C5C48">
        <w:rPr>
          <w:spacing w:val="-1"/>
        </w:rPr>
        <w:t xml:space="preserve"> </w:t>
      </w:r>
      <w:r w:rsidRPr="006C5C48">
        <w:t>presented in</w:t>
      </w:r>
      <w:r w:rsidRPr="006C5C48">
        <w:rPr>
          <w:spacing w:val="-1"/>
        </w:rPr>
        <w:t xml:space="preserve"> </w:t>
      </w:r>
      <w:r w:rsidRPr="006C5C48">
        <w:t>the</w:t>
      </w:r>
      <w:r w:rsidRPr="006C5C48">
        <w:rPr>
          <w:spacing w:val="-1"/>
        </w:rPr>
        <w:t xml:space="preserve"> </w:t>
      </w:r>
      <w:r w:rsidRPr="006C5C48">
        <w:t>final</w:t>
      </w:r>
      <w:r w:rsidRPr="006C5C48">
        <w:rPr>
          <w:spacing w:val="1"/>
        </w:rPr>
        <w:t xml:space="preserve"> </w:t>
      </w:r>
      <w:r w:rsidRPr="006C5C48">
        <w:t>ICR</w:t>
      </w:r>
      <w:r w:rsidRPr="006C5C48">
        <w:rPr>
          <w:spacing w:val="-2"/>
        </w:rPr>
        <w:t xml:space="preserve"> </w:t>
      </w:r>
      <w:r w:rsidRPr="006C5C48">
        <w:t>prior to</w:t>
      </w:r>
      <w:r w:rsidRPr="006C5C48">
        <w:rPr>
          <w:spacing w:val="-1"/>
        </w:rPr>
        <w:t xml:space="preserve"> </w:t>
      </w:r>
      <w:r w:rsidRPr="006C5C48">
        <w:t xml:space="preserve">submission to the </w:t>
      </w:r>
      <w:r w:rsidRPr="006C5C48" w:rsidR="008E0C8E">
        <w:t>Office of Management and Budget (</w:t>
      </w:r>
      <w:r w:rsidRPr="006C5C48">
        <w:t>OMB</w:t>
      </w:r>
      <w:r w:rsidRPr="006C5C48" w:rsidR="008E0C8E">
        <w:t>)</w:t>
      </w:r>
      <w:r w:rsidRPr="006C5C48">
        <w:t>.</w:t>
      </w:r>
    </w:p>
    <w:p w:rsidR="008E3728" w:rsidRPr="006C5C48" w:rsidP="003A3B69" w14:paraId="3EF1877A" w14:textId="567CFC8D">
      <w:pPr>
        <w:pStyle w:val="Heading2"/>
      </w:pPr>
      <w:bookmarkStart w:id="33" w:name="_Toc114671108"/>
      <w:bookmarkStart w:id="34" w:name="_Toc114671293"/>
      <w:bookmarkStart w:id="35" w:name="_Toc114777041"/>
      <w:bookmarkStart w:id="36" w:name="_Toc149779116"/>
      <w:bookmarkEnd w:id="33"/>
      <w:bookmarkEnd w:id="34"/>
      <w:bookmarkEnd w:id="35"/>
      <w:r w:rsidRPr="006C5C48">
        <w:t>Consultations</w:t>
      </w:r>
      <w:bookmarkEnd w:id="36"/>
    </w:p>
    <w:p w:rsidR="004A7452" w:rsidRPr="006C5C48" w:rsidP="00707B3F" w14:paraId="4DD805FF" w14:textId="29E01DEA">
      <w:pPr>
        <w:pStyle w:val="BodyText"/>
        <w:rPr>
          <w:u w:val="single" w:color="0000FF"/>
        </w:rPr>
      </w:pPr>
      <w:r w:rsidRPr="006C5C48">
        <w:t xml:space="preserve">To help shape the </w:t>
      </w:r>
      <w:r w:rsidRPr="006C5C48">
        <w:t xml:space="preserve">development of the </w:t>
      </w:r>
      <w:r w:rsidRPr="006C5C48" w:rsidR="00763B84">
        <w:t xml:space="preserve">proposed and final </w:t>
      </w:r>
      <w:r w:rsidRPr="006C5C48">
        <w:t xml:space="preserve">PFAS </w:t>
      </w:r>
      <w:r w:rsidRPr="006C5C48">
        <w:t>NPDWR</w:t>
      </w:r>
      <w:r w:rsidRPr="006C5C48">
        <w:t xml:space="preserve">, </w:t>
      </w:r>
      <w:r w:rsidRPr="006C5C48" w:rsidR="00C72CC0">
        <w:t xml:space="preserve">the </w:t>
      </w:r>
      <w:r w:rsidRPr="006C5C48" w:rsidR="00E548A5">
        <w:t>EPA</w:t>
      </w:r>
      <w:r w:rsidRPr="006C5C48">
        <w:t xml:space="preserve"> engaged with multiple stakeholders representing a</w:t>
      </w:r>
      <w:r w:rsidRPr="006C5C48">
        <w:rPr>
          <w:spacing w:val="3"/>
        </w:rPr>
        <w:t xml:space="preserve"> </w:t>
      </w:r>
      <w:r w:rsidRPr="006C5C48">
        <w:t>wide</w:t>
      </w:r>
      <w:r w:rsidRPr="006C5C48">
        <w:rPr>
          <w:spacing w:val="3"/>
        </w:rPr>
        <w:t xml:space="preserve"> </w:t>
      </w:r>
      <w:r w:rsidRPr="006C5C48">
        <w:t>range</w:t>
      </w:r>
      <w:r w:rsidRPr="006C5C48">
        <w:rPr>
          <w:spacing w:val="2"/>
        </w:rPr>
        <w:t xml:space="preserve"> </w:t>
      </w:r>
      <w:r w:rsidRPr="006C5C48">
        <w:t>of</w:t>
      </w:r>
      <w:r w:rsidRPr="006C5C48">
        <w:rPr>
          <w:spacing w:val="3"/>
        </w:rPr>
        <w:t xml:space="preserve"> </w:t>
      </w:r>
      <w:r w:rsidRPr="006C5C48">
        <w:t>expertise</w:t>
      </w:r>
      <w:r w:rsidR="002E0209">
        <w:t xml:space="preserve"> and</w:t>
      </w:r>
      <w:r w:rsidR="0010639A">
        <w:t xml:space="preserve"> conducted </w:t>
      </w:r>
      <w:r w:rsidR="002E0209">
        <w:t xml:space="preserve">a total of </w:t>
      </w:r>
      <w:r w:rsidR="002C0C7C">
        <w:t>6</w:t>
      </w:r>
      <w:r w:rsidR="0010639A">
        <w:t xml:space="preserve"> consultations.</w:t>
      </w:r>
      <w:r w:rsidRPr="006C5C48">
        <w:rPr>
          <w:spacing w:val="3"/>
        </w:rPr>
        <w:t xml:space="preserve"> </w:t>
      </w:r>
      <w:r w:rsidRPr="006C5C48">
        <w:t>The</w:t>
      </w:r>
      <w:r w:rsidRPr="006C5C48">
        <w:rPr>
          <w:spacing w:val="3"/>
        </w:rPr>
        <w:t xml:space="preserve"> </w:t>
      </w:r>
      <w:r w:rsidRPr="006C5C48">
        <w:t>sections</w:t>
      </w:r>
      <w:r w:rsidRPr="006C5C48">
        <w:rPr>
          <w:spacing w:val="4"/>
        </w:rPr>
        <w:t xml:space="preserve"> </w:t>
      </w:r>
      <w:r w:rsidRPr="006C5C48">
        <w:t>below</w:t>
      </w:r>
      <w:r w:rsidRPr="006C5C48">
        <w:rPr>
          <w:spacing w:val="3"/>
        </w:rPr>
        <w:t xml:space="preserve"> </w:t>
      </w:r>
      <w:r w:rsidRPr="006C5C48">
        <w:t>describe</w:t>
      </w:r>
      <w:r w:rsidRPr="006C5C48">
        <w:rPr>
          <w:spacing w:val="3"/>
        </w:rPr>
        <w:t xml:space="preserve"> </w:t>
      </w:r>
      <w:r w:rsidRPr="006C5C48">
        <w:t>these</w:t>
      </w:r>
      <w:r w:rsidRPr="006C5C48">
        <w:rPr>
          <w:spacing w:val="2"/>
        </w:rPr>
        <w:t xml:space="preserve"> </w:t>
      </w:r>
      <w:r w:rsidRPr="006C5C48">
        <w:rPr>
          <w:spacing w:val="2"/>
        </w:rPr>
        <w:t xml:space="preserve">stakeholder engagement </w:t>
      </w:r>
      <w:r w:rsidRPr="006C5C48">
        <w:t>activities</w:t>
      </w:r>
      <w:r w:rsidRPr="006C5C48" w:rsidR="002A1710">
        <w:t xml:space="preserve"> for the proposed</w:t>
      </w:r>
      <w:r w:rsidRPr="006C5C48" w:rsidR="00763B84">
        <w:t xml:space="preserve"> and final</w:t>
      </w:r>
      <w:r w:rsidRPr="006C5C48" w:rsidR="002A1710">
        <w:t xml:space="preserve"> NPDWR</w:t>
      </w:r>
      <w:r w:rsidRPr="006C5C48">
        <w:t>.</w:t>
      </w:r>
      <w:r w:rsidRPr="006C5C48">
        <w:rPr>
          <w:spacing w:val="3"/>
        </w:rPr>
        <w:t xml:space="preserve"> </w:t>
      </w:r>
      <w:r w:rsidRPr="006C5C48">
        <w:t>Summaries</w:t>
      </w:r>
      <w:r w:rsidRPr="006C5C48">
        <w:rPr>
          <w:spacing w:val="4"/>
        </w:rPr>
        <w:t xml:space="preserve"> </w:t>
      </w:r>
      <w:r w:rsidRPr="006C5C48">
        <w:t>from</w:t>
      </w:r>
      <w:r w:rsidRPr="006C5C48">
        <w:rPr>
          <w:spacing w:val="1"/>
        </w:rPr>
        <w:t xml:space="preserve"> </w:t>
      </w:r>
      <w:r w:rsidRPr="006C5C48">
        <w:t xml:space="preserve">these stakeholder </w:t>
      </w:r>
      <w:r w:rsidRPr="006C5C48" w:rsidR="00E2533D">
        <w:t>engagements and</w:t>
      </w:r>
      <w:r w:rsidRPr="006C5C48">
        <w:t xml:space="preserve"> consultations are available in the docket for the proposed rule under </w:t>
      </w:r>
      <w:r w:rsidRPr="006C5C48">
        <w:t>EPA-HQ-OW-2022-0114</w:t>
      </w:r>
      <w:r w:rsidRPr="006C5C48" w:rsidR="00E96FFC">
        <w:t xml:space="preserve"> </w:t>
      </w:r>
      <w:r w:rsidRPr="006C5C48">
        <w:t xml:space="preserve">at </w:t>
      </w:r>
      <w:hyperlink r:id="rId12">
        <w:r w:rsidRPr="006C5C48">
          <w:rPr>
            <w:u w:val="single" w:color="0000FF"/>
          </w:rPr>
          <w:t>https://www.regulations.gov</w:t>
        </w:r>
        <w:r w:rsidRPr="006C5C48">
          <w:t>.</w:t>
        </w:r>
      </w:hyperlink>
      <w:r w:rsidRPr="006C5C48" w:rsidR="002A1710">
        <w:t xml:space="preserve"> </w:t>
      </w:r>
      <w:r w:rsidRPr="006C5C48" w:rsidR="002A1710">
        <w:rPr>
          <w:u w:color="0000FF"/>
        </w:rPr>
        <w:t>These consultations and engagements include:</w:t>
      </w:r>
    </w:p>
    <w:p w:rsidR="004A7452" w:rsidRPr="006C5C48" w:rsidP="006C5C48" w14:paraId="159D3BB8" w14:textId="20328AD8">
      <w:pPr>
        <w:ind w:firstLine="0"/>
        <w:rPr>
          <w:szCs w:val="24"/>
          <w:u w:val="single"/>
        </w:rPr>
      </w:pPr>
      <w:bookmarkStart w:id="37" w:name="_Toc113306248"/>
      <w:r w:rsidRPr="006C5C48">
        <w:rPr>
          <w:szCs w:val="24"/>
          <w:u w:val="single"/>
        </w:rPr>
        <w:t>Executive Order 12898: Federal Actions to Address Environmental Justice in Minority Populations and Low-Income Populations</w:t>
      </w:r>
      <w:bookmarkEnd w:id="37"/>
      <w:r w:rsidRPr="006C5C48">
        <w:rPr>
          <w:szCs w:val="24"/>
          <w:u w:val="single"/>
        </w:rPr>
        <w:t xml:space="preserve"> </w:t>
      </w:r>
    </w:p>
    <w:p w:rsidR="005C04C8" w:rsidRPr="006C5C48" w:rsidP="006C5C48" w14:paraId="45306A35" w14:textId="01752922">
      <w:pPr>
        <w:widowControl w:val="0"/>
        <w:rPr>
          <w:rFonts w:cs="Times New Roman"/>
          <w:szCs w:val="24"/>
        </w:rPr>
      </w:pPr>
      <w:r w:rsidRPr="006C5C48">
        <w:rPr>
          <w:rFonts w:cs="Times New Roman"/>
          <w:szCs w:val="24"/>
        </w:rPr>
        <w:t>Executive Order 12898 (59 FR 7629, February 16, 1994) directs federal agencies, to the greatest extent practicable and permitted by law, to make environmental justice</w:t>
      </w:r>
      <w:r w:rsidRPr="006C5C48" w:rsidR="001F2560">
        <w:rPr>
          <w:rFonts w:cs="Times New Roman"/>
          <w:szCs w:val="24"/>
        </w:rPr>
        <w:t xml:space="preserve"> (EJ)</w:t>
      </w:r>
      <w:r w:rsidRPr="006C5C48">
        <w:rPr>
          <w:rFonts w:cs="Times New Roman"/>
          <w:szCs w:val="24"/>
        </w:rPr>
        <w:t xml:space="preserve"> part of their mission by identifying and addressing, as appropriate, disproportionately </w:t>
      </w:r>
      <w:r w:rsidRPr="006C5C48">
        <w:rPr>
          <w:rFonts w:cs="Times New Roman"/>
          <w:szCs w:val="24"/>
        </w:rPr>
        <w:t>high</w:t>
      </w:r>
      <w:r w:rsidRPr="006C5C48">
        <w:rPr>
          <w:rFonts w:cs="Times New Roman"/>
          <w:szCs w:val="24"/>
        </w:rPr>
        <w:t xml:space="preserve"> and adverse human health or environmental effects of their programs, policies, and activities on minority populations (people of color and/or Indigenous peoples) and low-income populations.</w:t>
      </w:r>
    </w:p>
    <w:p w:rsidR="00097278" w:rsidRPr="006C5C48" w:rsidP="00097278" w14:paraId="03C62827" w14:textId="469E390A">
      <w:pPr>
        <w:pStyle w:val="CommentText"/>
      </w:pPr>
      <w:r w:rsidRPr="006C5C48">
        <w:t>Consistent</w:t>
      </w:r>
      <w:r w:rsidRPr="006C5C48" w:rsidR="004A7452">
        <w:t xml:space="preserve"> with the Agency’s </w:t>
      </w:r>
      <w:r w:rsidRPr="006C5C48" w:rsidR="004A7452">
        <w:rPr>
          <w:i/>
        </w:rPr>
        <w:t xml:space="preserve">Technical Guidance for Assessing Environmental Justice in Regulatory Analysis </w:t>
      </w:r>
      <w:r w:rsidRPr="006C5C48" w:rsidR="004A7452">
        <w:t>(</w:t>
      </w:r>
      <w:r w:rsidRPr="006C5C48" w:rsidR="00E87B90">
        <w:t xml:space="preserve"> https://www.epa.gov/environmentaljustice/technical-guidance-assessing-</w:t>
      </w:r>
      <w:r w:rsidRPr="006C5C48" w:rsidR="00E87B90">
        <w:t>environmental-justice-regulatory-analysis</w:t>
      </w:r>
      <w:r w:rsidRPr="006C5C48" w:rsidR="004F76D9">
        <w:t>)</w:t>
      </w:r>
      <w:r w:rsidRPr="006C5C48" w:rsidR="004A7452">
        <w:t xml:space="preserve">, </w:t>
      </w:r>
      <w:r w:rsidRPr="006C5C48" w:rsidR="00162DC1">
        <w:t xml:space="preserve">the </w:t>
      </w:r>
      <w:r w:rsidRPr="006C5C48" w:rsidR="004A7452">
        <w:t xml:space="preserve">EPA conducted an </w:t>
      </w:r>
      <w:r w:rsidRPr="006C5C48" w:rsidR="001F2560">
        <w:t xml:space="preserve">EJ </w:t>
      </w:r>
      <w:r w:rsidRPr="006C5C48" w:rsidR="004A7452">
        <w:t xml:space="preserve">analysis to assess the demographic distribution of baseline PFAS drinking water exposure and impacts anticipated to result from the </w:t>
      </w:r>
      <w:r w:rsidRPr="006C5C48" w:rsidR="005C04C8">
        <w:t xml:space="preserve">final </w:t>
      </w:r>
      <w:r w:rsidRPr="006C5C48" w:rsidR="004A7452">
        <w:t xml:space="preserve">PFAS NPDWR. </w:t>
      </w:r>
      <w:r w:rsidRPr="006C5C48" w:rsidR="00162DC1">
        <w:t>The</w:t>
      </w:r>
      <w:r w:rsidRPr="006C5C48" w:rsidR="004A7452">
        <w:t xml:space="preserve"> </w:t>
      </w:r>
      <w:r w:rsidRPr="006C5C48" w:rsidR="005C04C8">
        <w:rPr>
          <w:rFonts w:cs="Times New Roman"/>
        </w:rPr>
        <w:t xml:space="preserve">EPA believes that the human health or environmental conditions that exist prior to this action result in or have the potential to result in disproportionate and adverse human health or environmental effects on people of color, low-income populations and/or Indigenous peoples. </w:t>
      </w:r>
      <w:r w:rsidRPr="006C5C48">
        <w:rPr>
          <w:rFonts w:cs="Times New Roman"/>
        </w:rPr>
        <w:t xml:space="preserve">Additionally, </w:t>
      </w:r>
      <w:r w:rsidRPr="006C5C48" w:rsidR="00162DC1">
        <w:rPr>
          <w:rFonts w:cs="Times New Roman"/>
        </w:rPr>
        <w:t>the</w:t>
      </w:r>
      <w:r w:rsidRPr="006C5C48">
        <w:rPr>
          <w:rFonts w:cs="Times New Roman"/>
        </w:rPr>
        <w:t xml:space="preserve"> </w:t>
      </w:r>
      <w:r w:rsidRPr="006C5C48" w:rsidR="005C04C8">
        <w:rPr>
          <w:rFonts w:cs="Times New Roman"/>
        </w:rPr>
        <w:t xml:space="preserve">EPA believes that this action is likely to reduce existing disproportionate and adverse effects on people of color, low-income populations and/or Indigenous peoples. </w:t>
      </w:r>
      <w:r w:rsidRPr="006C5C48">
        <w:rPr>
          <w:rFonts w:cs="Times New Roman"/>
        </w:rPr>
        <w:t xml:space="preserve">The information supporting this Executive Order review is contained in Chapter 8 of USEPA (2023j) and Appendix M of USEPA (2023i) and is available in the public docket for this action. This documentation includes additional detail on the methodology, results, and conclusions of </w:t>
      </w:r>
      <w:r w:rsidRPr="006C5C48" w:rsidR="000C37F7">
        <w:rPr>
          <w:rFonts w:cs="Times New Roman"/>
        </w:rPr>
        <w:t>the</w:t>
      </w:r>
      <w:r w:rsidRPr="006C5C48">
        <w:rPr>
          <w:rFonts w:cs="Times New Roman"/>
        </w:rPr>
        <w:t xml:space="preserve"> EPA’s EJ analysis.</w:t>
      </w:r>
    </w:p>
    <w:p w:rsidR="00E548A5" w:rsidRPr="006C5C48" w:rsidP="003E51FA" w14:paraId="4B77D9E6" w14:textId="671FAF2D">
      <w:r w:rsidRPr="006C5C48">
        <w:t>Additionally, on</w:t>
      </w:r>
      <w:r w:rsidRPr="006C5C48">
        <w:t xml:space="preserve"> </w:t>
      </w:r>
      <w:r w:rsidRPr="006C5C48">
        <w:t>March 2, 2022, and April 5, 2022,</w:t>
      </w:r>
      <w:r w:rsidRPr="006C5C48" w:rsidR="00920B7D">
        <w:t xml:space="preserve"> the</w:t>
      </w:r>
      <w:r w:rsidRPr="006C5C48">
        <w:t xml:space="preserve"> EPA held public stakeholder meetings related to EJ and the development</w:t>
      </w:r>
      <w:r w:rsidRPr="006C5C48">
        <w:rPr>
          <w:rStyle w:val="Strong"/>
          <w:b w:val="0"/>
          <w:bCs w:val="0"/>
          <w:szCs w:val="24"/>
          <w:shd w:val="clear" w:color="auto" w:fill="FFFFFF"/>
        </w:rPr>
        <w:t xml:space="preserve"> of the proposed NPDWR. The meetings provided an opportunity for </w:t>
      </w:r>
      <w:r w:rsidRPr="006C5C48" w:rsidR="008E484B">
        <w:rPr>
          <w:rStyle w:val="Strong"/>
          <w:b w:val="0"/>
          <w:bCs w:val="0"/>
          <w:szCs w:val="24"/>
          <w:shd w:val="clear" w:color="auto" w:fill="FFFFFF"/>
        </w:rPr>
        <w:t xml:space="preserve">the </w:t>
      </w:r>
      <w:r w:rsidRPr="006C5C48">
        <w:rPr>
          <w:rStyle w:val="Strong"/>
          <w:b w:val="0"/>
          <w:bCs w:val="0"/>
          <w:szCs w:val="24"/>
          <w:shd w:val="clear" w:color="auto" w:fill="FFFFFF"/>
        </w:rPr>
        <w:t xml:space="preserve">EPA to share information and for communities to offer input on EJ considerations related to </w:t>
      </w:r>
      <w:r w:rsidRPr="006C5C48">
        <w:t>the development of the proposed rule. During the meeting and in subsequent written comments</w:t>
      </w:r>
      <w:r w:rsidRPr="006C5C48" w:rsidR="008E484B">
        <w:t xml:space="preserve"> the</w:t>
      </w:r>
      <w:r w:rsidRPr="006C5C48">
        <w:t xml:space="preserve"> EPA received public comment on topics including establishing an MCL for PFAS, affordability of PFAS abatement options, limiting industrial discharge of PFAS, and </w:t>
      </w:r>
      <w:r w:rsidRPr="006C5C48" w:rsidR="00897627">
        <w:t xml:space="preserve">the </w:t>
      </w:r>
      <w:r w:rsidRPr="006C5C48">
        <w:t xml:space="preserve">EPA’s relationship with community groups. For more information on the EJ stakeholder meetings, please refer to the </w:t>
      </w:r>
      <w:r w:rsidRPr="006C5C48">
        <w:rPr>
          <w:i/>
        </w:rPr>
        <w:t xml:space="preserve">Environmental Justice Considerations for the Development of the Proposed PFAS Drinking Water Regulation Public Meeting Summary </w:t>
      </w:r>
      <w:r w:rsidRPr="006C5C48">
        <w:t xml:space="preserve">for each of the meeting dates in the public docket at </w:t>
      </w:r>
      <w:hyperlink r:id="rId13" w:history="1">
        <w:r w:rsidRPr="006C5C48">
          <w:rPr>
            <w:rStyle w:val="Hyperlink"/>
            <w:color w:val="auto"/>
            <w:szCs w:val="24"/>
            <w:u w:val="none"/>
          </w:rPr>
          <w:t>https://www.regulations.gov/docket/EPA-HQ-OW-2022-0114</w:t>
        </w:r>
      </w:hyperlink>
      <w:r w:rsidRPr="006C5C48">
        <w:t>. Additionally, the written public comments are included within the public docket.</w:t>
      </w:r>
    </w:p>
    <w:p w:rsidR="004A7452" w:rsidRPr="006C5C48" w:rsidP="004A7452" w14:paraId="15E29031" w14:textId="1139A0EB">
      <w:pPr>
        <w:rPr>
          <w:szCs w:val="24"/>
          <w:u w:val="single"/>
        </w:rPr>
      </w:pPr>
      <w:bookmarkStart w:id="38" w:name="_Toc113440677"/>
      <w:bookmarkStart w:id="39" w:name="_Toc113306251"/>
      <w:r w:rsidRPr="006C5C48">
        <w:rPr>
          <w:szCs w:val="24"/>
          <w:u w:val="single"/>
        </w:rPr>
        <w:t>Regulatory Flexibility Act</w:t>
      </w:r>
      <w:bookmarkEnd w:id="38"/>
      <w:bookmarkEnd w:id="39"/>
    </w:p>
    <w:p w:rsidR="004A7452" w:rsidRPr="006C5C48" w:rsidP="004A7452" w14:paraId="5E3A53C7" w14:textId="1E3C9948">
      <w:pPr>
        <w:rPr>
          <w:rFonts w:eastAsia="Calibri"/>
          <w:szCs w:val="24"/>
        </w:rPr>
      </w:pPr>
      <w:r w:rsidRPr="006C5C48">
        <w:rPr>
          <w:rFonts w:eastAsia="Calibri"/>
          <w:szCs w:val="24"/>
        </w:rPr>
        <w:t>Under</w:t>
      </w:r>
      <w:r w:rsidRPr="006C5C48" w:rsidR="0000115B">
        <w:rPr>
          <w:rFonts w:eastAsia="Calibri"/>
          <w:szCs w:val="24"/>
        </w:rPr>
        <w:t xml:space="preserve"> </w:t>
      </w:r>
      <w:r w:rsidRPr="006C5C48">
        <w:rPr>
          <w:rFonts w:eastAsia="Calibri"/>
          <w:szCs w:val="24"/>
        </w:rPr>
        <w:t>section</w:t>
      </w:r>
      <w:r w:rsidRPr="006C5C48" w:rsidR="00186048">
        <w:rPr>
          <w:rFonts w:eastAsia="Calibri"/>
          <w:szCs w:val="24"/>
        </w:rPr>
        <w:t xml:space="preserve"> 603 and</w:t>
      </w:r>
      <w:r w:rsidRPr="006C5C48">
        <w:rPr>
          <w:rFonts w:eastAsia="Calibri"/>
          <w:szCs w:val="24"/>
        </w:rPr>
        <w:t xml:space="preserve"> 609(b) of the </w:t>
      </w:r>
      <w:r w:rsidRPr="006C5C48" w:rsidR="00154759">
        <w:rPr>
          <w:rFonts w:eastAsia="Calibri"/>
          <w:szCs w:val="24"/>
        </w:rPr>
        <w:t>Regulatory Flexibility Act (</w:t>
      </w:r>
      <w:r w:rsidRPr="006C5C48">
        <w:rPr>
          <w:rFonts w:eastAsia="Calibri"/>
          <w:szCs w:val="24"/>
        </w:rPr>
        <w:t>RFA</w:t>
      </w:r>
      <w:r w:rsidRPr="006C5C48" w:rsidR="00154759">
        <w:rPr>
          <w:rFonts w:eastAsia="Calibri"/>
          <w:szCs w:val="24"/>
        </w:rPr>
        <w:t>)</w:t>
      </w:r>
      <w:r w:rsidRPr="006C5C48">
        <w:rPr>
          <w:rFonts w:eastAsia="Calibri"/>
          <w:szCs w:val="24"/>
        </w:rPr>
        <w:t xml:space="preserve">, as amended by the Small Business Regulatory Enforcement Fairness Act (SBREFA), </w:t>
      </w:r>
      <w:r w:rsidRPr="006C5C48" w:rsidR="002F717F">
        <w:rPr>
          <w:rFonts w:eastAsia="Calibri"/>
          <w:szCs w:val="24"/>
        </w:rPr>
        <w:t xml:space="preserve">the </w:t>
      </w:r>
      <w:r w:rsidRPr="006C5C48">
        <w:rPr>
          <w:rFonts w:eastAsia="Calibri"/>
          <w:szCs w:val="24"/>
        </w:rPr>
        <w:t xml:space="preserve">EPA convened a Small Business Advocacy Review (SBAR) Panel to obtain advice and recommendations from small entity representatives (SERs) that potentially would be subject to the rule’s requirements. On May 24, 2022, </w:t>
      </w:r>
      <w:r w:rsidRPr="006C5C48" w:rsidR="002F717F">
        <w:rPr>
          <w:rFonts w:eastAsia="Calibri"/>
          <w:szCs w:val="24"/>
        </w:rPr>
        <w:t xml:space="preserve">the </w:t>
      </w:r>
      <w:r w:rsidRPr="006C5C48">
        <w:rPr>
          <w:rFonts w:eastAsia="Calibri"/>
          <w:szCs w:val="24"/>
        </w:rPr>
        <w:t>EPA’s Small Business Advocacy Chairperson convened the Panel, which consisted of the Chairperson, the Director of the Standards and Risk Management Division within</w:t>
      </w:r>
      <w:r w:rsidRPr="006C5C48" w:rsidR="002F717F">
        <w:rPr>
          <w:rFonts w:eastAsia="Calibri"/>
          <w:szCs w:val="24"/>
        </w:rPr>
        <w:t xml:space="preserve"> the</w:t>
      </w:r>
      <w:r w:rsidRPr="006C5C48">
        <w:rPr>
          <w:rFonts w:eastAsia="Calibri"/>
          <w:szCs w:val="24"/>
        </w:rPr>
        <w:t xml:space="preserve"> EPA’s Office of Ground Water and Drinking Water, the Administrator of the Office of Information and Regulatory Affairs within OMB, and the Chief Counsel for Advocacy of the Small Business Administration (SBA). Prior to convening the Panel,</w:t>
      </w:r>
      <w:r w:rsidRPr="006C5C48" w:rsidR="002F717F">
        <w:rPr>
          <w:rFonts w:eastAsia="Calibri"/>
          <w:szCs w:val="24"/>
        </w:rPr>
        <w:t xml:space="preserve"> the</w:t>
      </w:r>
      <w:r w:rsidRPr="006C5C48">
        <w:rPr>
          <w:rFonts w:eastAsia="Calibri"/>
          <w:szCs w:val="24"/>
        </w:rPr>
        <w:t xml:space="preserve"> EPA conducted outreach with SERs that will potentially be affected by this regulation and solicited comments from them. Additionally, after the Panel was convened, the Panel provided additional information to the SERs and requested their input. </w:t>
      </w:r>
      <w:r w:rsidRPr="006C5C48">
        <w:rPr>
          <w:rFonts w:eastAsia="Calibri"/>
          <w:szCs w:val="24"/>
        </w:rPr>
        <w:t>In light of</w:t>
      </w:r>
      <w:r w:rsidRPr="006C5C48">
        <w:rPr>
          <w:rFonts w:eastAsia="Calibri"/>
          <w:szCs w:val="24"/>
        </w:rPr>
        <w:t xml:space="preserve"> the SERs’ comments, the Panel considered the regulatory flexibility issues and elements of the</w:t>
      </w:r>
      <w:r w:rsidRPr="006C5C48" w:rsidR="00154759">
        <w:t xml:space="preserve"> </w:t>
      </w:r>
      <w:r w:rsidRPr="006C5C48" w:rsidR="00C97692">
        <w:rPr>
          <w:rFonts w:eastAsia="Calibri"/>
          <w:szCs w:val="24"/>
        </w:rPr>
        <w:t>initial regulatory flexibility analysis (</w:t>
      </w:r>
      <w:r w:rsidRPr="006C5C48">
        <w:rPr>
          <w:rFonts w:eastAsia="Calibri"/>
          <w:szCs w:val="24"/>
        </w:rPr>
        <w:t>IRFA</w:t>
      </w:r>
      <w:r w:rsidRPr="006C5C48" w:rsidR="00C97692">
        <w:rPr>
          <w:rFonts w:eastAsia="Calibri"/>
          <w:szCs w:val="24"/>
        </w:rPr>
        <w:t>)</w:t>
      </w:r>
      <w:r w:rsidRPr="006C5C48">
        <w:rPr>
          <w:rFonts w:eastAsia="Calibri"/>
          <w:szCs w:val="24"/>
        </w:rPr>
        <w:t xml:space="preserve"> specified by RFA/SBREFA and developed the findings and discussion summarized in the SBAR report. The report was finalized on August 1, </w:t>
      </w:r>
      <w:r w:rsidRPr="006C5C48" w:rsidR="006C5C48">
        <w:rPr>
          <w:rFonts w:eastAsia="Calibri"/>
          <w:szCs w:val="24"/>
        </w:rPr>
        <w:t>2022,</w:t>
      </w:r>
      <w:r w:rsidRPr="006C5C48">
        <w:rPr>
          <w:rFonts w:eastAsia="Calibri"/>
          <w:szCs w:val="24"/>
        </w:rPr>
        <w:t xml:space="preserve"> and transmitted to </w:t>
      </w:r>
      <w:r w:rsidRPr="006C5C48" w:rsidR="00092A39">
        <w:rPr>
          <w:rFonts w:eastAsia="Calibri"/>
          <w:szCs w:val="24"/>
        </w:rPr>
        <w:t xml:space="preserve">the </w:t>
      </w:r>
      <w:r w:rsidRPr="006C5C48">
        <w:rPr>
          <w:rFonts w:eastAsia="Calibri"/>
          <w:szCs w:val="24"/>
        </w:rPr>
        <w:t xml:space="preserve">EPA Administrator for consideration. </w:t>
      </w:r>
      <w:r w:rsidRPr="006C5C48" w:rsidR="00186048">
        <w:rPr>
          <w:rFonts w:eastAsia="Times New Roman"/>
          <w:szCs w:val="24"/>
        </w:rPr>
        <w:t xml:space="preserve">As required by section 604 of the RFA, </w:t>
      </w:r>
      <w:r w:rsidRPr="006C5C48" w:rsidR="00186048">
        <w:rPr>
          <w:rFonts w:eastAsiaTheme="minorEastAsia"/>
          <w:iCs/>
          <w:szCs w:val="24"/>
        </w:rPr>
        <w:t xml:space="preserve">the </w:t>
      </w:r>
      <w:r w:rsidRPr="006C5C48" w:rsidR="00186048">
        <w:rPr>
          <w:rFonts w:eastAsia="Times New Roman"/>
          <w:szCs w:val="24"/>
        </w:rPr>
        <w:t xml:space="preserve">EPA prepared a final regulatory flexibility analysis (FRFA) for this action. The FRFA addresses the issues raised by public comments on the IRFA for the proposed rule. The complete FRFA is available for review in Section 9.3 of the </w:t>
      </w:r>
      <w:r w:rsidRPr="006C5C48" w:rsidR="00321ACC">
        <w:rPr>
          <w:rFonts w:eastAsia="Times New Roman"/>
          <w:szCs w:val="24"/>
        </w:rPr>
        <w:t xml:space="preserve">Economic </w:t>
      </w:r>
      <w:r w:rsidRPr="006C5C48" w:rsidR="00186048">
        <w:rPr>
          <w:rFonts w:eastAsia="Times New Roman"/>
          <w:szCs w:val="24"/>
        </w:rPr>
        <w:t>A</w:t>
      </w:r>
      <w:r w:rsidRPr="006C5C48" w:rsidR="00321ACC">
        <w:rPr>
          <w:rFonts w:eastAsia="Times New Roman"/>
          <w:szCs w:val="24"/>
        </w:rPr>
        <w:t>nalysis</w:t>
      </w:r>
      <w:r w:rsidRPr="006C5C48" w:rsidR="00186048">
        <w:rPr>
          <w:rFonts w:eastAsia="Times New Roman"/>
          <w:szCs w:val="24"/>
        </w:rPr>
        <w:t xml:space="preserve"> in the docket</w:t>
      </w:r>
      <w:r w:rsidRPr="006C5C48" w:rsidR="00AD7E46">
        <w:rPr>
          <w:rFonts w:eastAsia="Times New Roman"/>
          <w:szCs w:val="24"/>
        </w:rPr>
        <w:t>.</w:t>
      </w:r>
    </w:p>
    <w:p w:rsidR="004A7452" w:rsidRPr="006C5C48" w:rsidP="00784CF6" w14:paraId="7EACEEDA" w14:textId="1DC3104E">
      <w:pPr>
        <w:rPr>
          <w:szCs w:val="24"/>
          <w:u w:val="single"/>
        </w:rPr>
      </w:pPr>
      <w:bookmarkStart w:id="40" w:name="_Toc113440678"/>
      <w:bookmarkStart w:id="41" w:name="_Toc113306252"/>
      <w:r w:rsidRPr="006C5C48">
        <w:rPr>
          <w:szCs w:val="24"/>
          <w:u w:val="single"/>
        </w:rPr>
        <w:t>Unfunded Mandates Reform Act</w:t>
      </w:r>
      <w:bookmarkEnd w:id="40"/>
      <w:bookmarkEnd w:id="41"/>
    </w:p>
    <w:p w:rsidR="00AB35C4" w:rsidRPr="006C5C48" w:rsidP="00AB35C4" w14:paraId="54562D9E" w14:textId="77777777">
      <w:pPr>
        <w:rPr>
          <w:rFonts w:eastAsia="Times New Roman"/>
          <w:szCs w:val="24"/>
        </w:rPr>
      </w:pPr>
      <w:r w:rsidRPr="006C5C48">
        <w:rPr>
          <w:rFonts w:eastAsia="Times New Roman"/>
          <w:szCs w:val="24"/>
        </w:rPr>
        <w:t xml:space="preserve">This action contains a Federal mandate under UMRA, 2 U.S.C. 1531-1538 that may result in expenditures of $100 million or more for state, local, and tribal governments, in the </w:t>
      </w:r>
      <w:r w:rsidRPr="006C5C48">
        <w:rPr>
          <w:rFonts w:eastAsia="Times New Roman"/>
          <w:szCs w:val="24"/>
        </w:rPr>
        <w:t xml:space="preserve">aggregate, or the private sector in any one year. Accordingly, </w:t>
      </w:r>
      <w:r w:rsidRPr="006C5C48">
        <w:rPr>
          <w:rFonts w:eastAsiaTheme="minorEastAsia"/>
          <w:iCs/>
          <w:szCs w:val="24"/>
        </w:rPr>
        <w:t xml:space="preserve">the </w:t>
      </w:r>
      <w:r w:rsidRPr="006C5C48">
        <w:rPr>
          <w:rFonts w:eastAsia="Times New Roman"/>
          <w:szCs w:val="24"/>
        </w:rPr>
        <w:t>EPA has prepared a written statement required under section 202 of UMRA that is included in the docket for this action (see Chapter 9 of the EA for the Final PFAS NPDWR) and briefly summarized here.</w:t>
      </w:r>
    </w:p>
    <w:p w:rsidR="00AB35C4" w:rsidRPr="006C5C48" w:rsidP="00AB35C4" w14:paraId="0920FC44" w14:textId="77777777">
      <w:pPr>
        <w:rPr>
          <w:rFonts w:eastAsia="Times New Roman"/>
        </w:rPr>
      </w:pPr>
      <w:r w:rsidRPr="006C5C48">
        <w:rPr>
          <w:rFonts w:eastAsia="Times New Roman"/>
        </w:rPr>
        <w:t xml:space="preserve">Consistent with UMRA section 205, </w:t>
      </w:r>
      <w:r w:rsidRPr="006C5C48">
        <w:rPr>
          <w:rFonts w:eastAsiaTheme="minorEastAsia"/>
        </w:rPr>
        <w:t xml:space="preserve">the </w:t>
      </w:r>
      <w:r w:rsidRPr="006C5C48">
        <w:rPr>
          <w:rFonts w:eastAsia="Times New Roman"/>
        </w:rPr>
        <w:t xml:space="preserve">EPA identified and analyzed a reasonable number of regulatory alternatives to determine the MCL requirement in the final rule. See section XII of this preamble and Chapter 9 of the EA for the Final PFAS NPDWR (USEPA, </w:t>
      </w:r>
      <w:r w:rsidRPr="006C5C48">
        <w:rPr>
          <w:rFonts w:eastAsiaTheme="minorEastAsia"/>
        </w:rPr>
        <w:t>2024j</w:t>
      </w:r>
      <w:r w:rsidRPr="006C5C48">
        <w:rPr>
          <w:rFonts w:eastAsia="Times New Roman"/>
        </w:rPr>
        <w:t>) for alternative options that were considered.</w:t>
      </w:r>
    </w:p>
    <w:p w:rsidR="00AB35C4" w:rsidRPr="006C5C48" w:rsidP="00AB35C4" w14:paraId="517A6577" w14:textId="0515A182">
      <w:pPr>
        <w:rPr>
          <w:rFonts w:eastAsia="Times New Roman"/>
        </w:rPr>
      </w:pPr>
      <w:r w:rsidRPr="006C5C48">
        <w:rPr>
          <w:rFonts w:eastAsia="Times New Roman"/>
        </w:rPr>
        <w:t xml:space="preserve">Consistent with the intergovernmental consultation provisions of UMRA section 204, </w:t>
      </w:r>
      <w:r w:rsidRPr="006C5C48">
        <w:rPr>
          <w:rFonts w:eastAsiaTheme="minorEastAsia"/>
        </w:rPr>
        <w:t xml:space="preserve">the </w:t>
      </w:r>
      <w:r w:rsidRPr="006C5C48">
        <w:rPr>
          <w:rFonts w:eastAsia="Times New Roman"/>
        </w:rPr>
        <w:t xml:space="preserve">EPA consulted with governmental entities affected by this rule. </w:t>
      </w:r>
      <w:r w:rsidRPr="006C5C48">
        <w:t xml:space="preserve">The </w:t>
      </w:r>
      <w:r w:rsidRPr="006C5C48">
        <w:rPr>
          <w:rFonts w:eastAsia="Times New Roman"/>
        </w:rPr>
        <w:t xml:space="preserve">EPA describes the government-to-government dialogue and comments from state, local, and tribal governments in section XIII.E. EO 13132: Federalism and section XIII.F. EO 13175: Consultation and Coordination with Indian Tribal Governments of </w:t>
      </w:r>
      <w:r w:rsidRPr="006C5C48" w:rsidR="006B7220">
        <w:rPr>
          <w:rFonts w:eastAsia="Times New Roman"/>
        </w:rPr>
        <w:t>the final NPDWR</w:t>
      </w:r>
      <w:r w:rsidRPr="006C5C48">
        <w:rPr>
          <w:rFonts w:eastAsia="Times New Roman"/>
        </w:rPr>
        <w:t>.</w:t>
      </w:r>
    </w:p>
    <w:p w:rsidR="006C5C48" w:rsidP="00915EF4" w14:paraId="39763586" w14:textId="083C0E2B">
      <w:pPr>
        <w:rPr>
          <w:rFonts w:eastAsia="Times New Roman"/>
        </w:rPr>
      </w:pPr>
      <w:r w:rsidRPr="006C5C48">
        <w:rPr>
          <w:rFonts w:eastAsia="Times New Roman"/>
        </w:rPr>
        <w:t xml:space="preserve">This action may significantly or uniquely affect small governments. </w:t>
      </w:r>
      <w:r w:rsidRPr="006C5C48">
        <w:t xml:space="preserve">The </w:t>
      </w:r>
      <w:r w:rsidRPr="006C5C48">
        <w:rPr>
          <w:rFonts w:eastAsia="Times New Roman"/>
        </w:rPr>
        <w:t>EPA consulted with small governments concerning the regulatory requirements that might significantly or uniquely affect them.</w:t>
      </w:r>
      <w:r w:rsidRPr="006C5C48" w:rsidR="00264C8E">
        <w:rPr>
          <w:rFonts w:eastAsia="Times New Roman"/>
        </w:rPr>
        <w:t xml:space="preserve"> </w:t>
      </w:r>
      <w:bookmarkStart w:id="42" w:name="_Toc113440679"/>
      <w:bookmarkStart w:id="43" w:name="_Toc113306253"/>
    </w:p>
    <w:p w:rsidR="004A7452" w:rsidRPr="006C5C48" w:rsidP="00915EF4" w14:paraId="5556D69B" w14:textId="2027FF34">
      <w:pPr>
        <w:rPr>
          <w:szCs w:val="24"/>
          <w:u w:val="single"/>
        </w:rPr>
      </w:pPr>
      <w:r w:rsidRPr="006C5C48">
        <w:rPr>
          <w:szCs w:val="24"/>
          <w:u w:val="single"/>
        </w:rPr>
        <w:t>Executive Order 13132: Federalism</w:t>
      </w:r>
      <w:bookmarkEnd w:id="42"/>
      <w:bookmarkEnd w:id="43"/>
    </w:p>
    <w:p w:rsidR="004A7452" w:rsidRPr="006C5C48" w:rsidP="00915EF4" w14:paraId="7F73D37E" w14:textId="68A4B348">
      <w:pPr>
        <w:rPr>
          <w:rFonts w:eastAsia="Calibri"/>
          <w:szCs w:val="24"/>
        </w:rPr>
      </w:pPr>
      <w:r w:rsidRPr="006C5C48">
        <w:rPr>
          <w:rFonts w:eastAsia="Times New Roman"/>
          <w:szCs w:val="24"/>
        </w:rPr>
        <w:t xml:space="preserve">The EPA has concluded that this action has federalism implications because it imposes substantial direct compliance costs on state or local governments, and the Federal government will not provide the funds necessary to pay those costs. However, </w:t>
      </w:r>
      <w:r w:rsidRPr="006C5C48">
        <w:rPr>
          <w:rFonts w:eastAsiaTheme="minorEastAsia"/>
          <w:iCs/>
          <w:szCs w:val="24"/>
        </w:rPr>
        <w:t xml:space="preserve">the </w:t>
      </w:r>
      <w:r w:rsidRPr="006C5C48">
        <w:rPr>
          <w:rFonts w:eastAsia="Times New Roman"/>
          <w:szCs w:val="24"/>
        </w:rPr>
        <w:t xml:space="preserve">EPA notes that the Federal government will provide a potential source of funds necessary to offset some of those direct compliance costs through the BIL. </w:t>
      </w:r>
      <w:r w:rsidRPr="006C5C48">
        <w:rPr>
          <w:szCs w:val="24"/>
        </w:rPr>
        <w:t xml:space="preserve">The </w:t>
      </w:r>
      <w:r w:rsidRPr="006C5C48">
        <w:rPr>
          <w:rFonts w:eastAsia="Times New Roman"/>
          <w:szCs w:val="24"/>
        </w:rPr>
        <w:t>EPA estimates that the net change in primacy agency related cost for state, local, and tribal governments in the aggregate to be $</w:t>
      </w:r>
      <w:r w:rsidR="000C2B8B">
        <w:rPr>
          <w:rFonts w:eastAsia="Times New Roman"/>
          <w:szCs w:val="24"/>
        </w:rPr>
        <w:t>5</w:t>
      </w:r>
      <w:r w:rsidRPr="006C5C48">
        <w:rPr>
          <w:rFonts w:eastAsia="Times New Roman"/>
          <w:szCs w:val="24"/>
        </w:rPr>
        <w:t xml:space="preserve"> million (3 percent discount rate) or $</w:t>
      </w:r>
      <w:r w:rsidR="000C2B8B">
        <w:rPr>
          <w:rFonts w:eastAsia="Times New Roman"/>
          <w:szCs w:val="24"/>
        </w:rPr>
        <w:t>7</w:t>
      </w:r>
      <w:r w:rsidRPr="006C5C48">
        <w:rPr>
          <w:rFonts w:eastAsia="Times New Roman"/>
          <w:szCs w:val="24"/>
        </w:rPr>
        <w:t xml:space="preserve"> million (7 percent discount rate). </w:t>
      </w:r>
      <w:r w:rsidRPr="006C5C48" w:rsidR="00A225A9">
        <w:rPr>
          <w:rFonts w:eastAsia="Calibri"/>
          <w:szCs w:val="24"/>
        </w:rPr>
        <w:t xml:space="preserve">The </w:t>
      </w:r>
      <w:r w:rsidRPr="006C5C48">
        <w:rPr>
          <w:rFonts w:eastAsia="Calibri"/>
          <w:szCs w:val="24"/>
        </w:rPr>
        <w:t xml:space="preserve">EPA consulted with </w:t>
      </w:r>
      <w:r w:rsidRPr="006C5C48" w:rsidR="00652ECB">
        <w:rPr>
          <w:rFonts w:eastAsia="Calibri"/>
          <w:szCs w:val="24"/>
        </w:rPr>
        <w:t>s</w:t>
      </w:r>
      <w:r w:rsidRPr="006C5C48">
        <w:rPr>
          <w:rFonts w:eastAsia="Calibri"/>
          <w:szCs w:val="24"/>
        </w:rPr>
        <w:t xml:space="preserve">tate and local </w:t>
      </w:r>
      <w:r w:rsidRPr="006C5C48">
        <w:rPr>
          <w:rFonts w:eastAsia="Calibri"/>
          <w:szCs w:val="24"/>
        </w:rPr>
        <w:t xml:space="preserve">governments early in the process of developing the proposed action to allow them to provide meaningful and timely input into its development. </w:t>
      </w:r>
      <w:r w:rsidRPr="006C5C48" w:rsidR="00A225A9">
        <w:rPr>
          <w:rFonts w:eastAsia="Calibri"/>
          <w:szCs w:val="24"/>
        </w:rPr>
        <w:t xml:space="preserve">The </w:t>
      </w:r>
      <w:r w:rsidRPr="006C5C48">
        <w:rPr>
          <w:rFonts w:eastAsia="Calibri"/>
          <w:szCs w:val="24"/>
        </w:rPr>
        <w:t xml:space="preserve">EPA held a Federalism consultation on February 24, 2022. </w:t>
      </w:r>
      <w:r w:rsidRPr="006C5C48" w:rsidR="00A225A9">
        <w:rPr>
          <w:rFonts w:eastAsia="Calibri"/>
          <w:szCs w:val="24"/>
        </w:rPr>
        <w:t xml:space="preserve">The </w:t>
      </w:r>
      <w:r w:rsidRPr="006C5C48">
        <w:rPr>
          <w:rFonts w:eastAsia="Calibri"/>
          <w:szCs w:val="24"/>
        </w:rPr>
        <w:t xml:space="preserve">EPA invited the following national organizations representing State and local elected officials to a virtual meeting on February 24, 2022: The National Governors’ Association, the National Conference of State Legislatures, the Council of State Governments, the National League of Cities, the U.S. Conference of Mayors, the National Association of Counties, the International City/County Management Association, the National Association of Towns and Townships, the County Executives of America, and the Environmental Council of States. Additionally, </w:t>
      </w:r>
      <w:r w:rsidRPr="006C5C48" w:rsidR="00B86F92">
        <w:rPr>
          <w:rFonts w:eastAsia="Calibri"/>
          <w:szCs w:val="24"/>
        </w:rPr>
        <w:t xml:space="preserve">The </w:t>
      </w:r>
      <w:r w:rsidRPr="006C5C48">
        <w:rPr>
          <w:rFonts w:eastAsia="Calibri"/>
          <w:szCs w:val="24"/>
        </w:rPr>
        <w:t xml:space="preserve">EPA invited </w:t>
      </w:r>
      <w:r w:rsidRPr="006C5C48" w:rsidR="00024FC6">
        <w:rPr>
          <w:rFonts w:eastAsia="Calibri"/>
          <w:szCs w:val="24"/>
        </w:rPr>
        <w:t xml:space="preserve">ASDWA, AMWA, NRWA, </w:t>
      </w:r>
      <w:r w:rsidRPr="006C5C48" w:rsidR="006A3D36">
        <w:rPr>
          <w:rFonts w:eastAsia="Calibri"/>
          <w:szCs w:val="24"/>
        </w:rPr>
        <w:t xml:space="preserve">AWWA, </w:t>
      </w:r>
      <w:r w:rsidRPr="006C5C48">
        <w:rPr>
          <w:rFonts w:eastAsia="Calibri"/>
          <w:szCs w:val="24"/>
        </w:rPr>
        <w:t>the American Public Works Association</w:t>
      </w:r>
      <w:r w:rsidRPr="006C5C48" w:rsidR="00C84F8A">
        <w:rPr>
          <w:rFonts w:eastAsia="Calibri"/>
          <w:szCs w:val="24"/>
        </w:rPr>
        <w:t xml:space="preserve"> (APWA)</w:t>
      </w:r>
      <w:r w:rsidRPr="006C5C48">
        <w:rPr>
          <w:rFonts w:eastAsia="Calibri"/>
          <w:szCs w:val="24"/>
        </w:rPr>
        <w:t>, the Western Governors’ Association</w:t>
      </w:r>
      <w:r w:rsidRPr="006C5C48" w:rsidR="00C84F8A">
        <w:rPr>
          <w:rFonts w:eastAsia="Calibri"/>
          <w:szCs w:val="24"/>
        </w:rPr>
        <w:t xml:space="preserve"> (WGA)</w:t>
      </w:r>
      <w:r w:rsidRPr="006C5C48">
        <w:rPr>
          <w:rFonts w:eastAsia="Calibri"/>
          <w:szCs w:val="24"/>
        </w:rPr>
        <w:t xml:space="preserve">, and other organizations to participate in the meeting. In addition to input received during the meeting, </w:t>
      </w:r>
      <w:r w:rsidRPr="006C5C48" w:rsidR="00B86F92">
        <w:rPr>
          <w:rFonts w:eastAsia="Calibri"/>
          <w:szCs w:val="24"/>
        </w:rPr>
        <w:t xml:space="preserve">the </w:t>
      </w:r>
      <w:r w:rsidRPr="006C5C48">
        <w:rPr>
          <w:rFonts w:eastAsia="Calibri"/>
          <w:szCs w:val="24"/>
        </w:rPr>
        <w:t>EPA provided an opportunity to receive written input within 60 days after the initial meeting. A summary report of the views expressed during Federalism consultations is available in the Docket (EPA–HQ–OW–2022–0114).</w:t>
      </w:r>
      <w:r w:rsidRPr="006C5C48" w:rsidR="00F364A7">
        <w:rPr>
          <w:rFonts w:eastAsia="Calibri"/>
          <w:szCs w:val="24"/>
        </w:rPr>
        <w:t xml:space="preserve"> </w:t>
      </w:r>
      <w:r w:rsidRPr="006C5C48" w:rsidR="00F364A7">
        <w:rPr>
          <w:szCs w:val="24"/>
        </w:rPr>
        <w:t xml:space="preserve">The </w:t>
      </w:r>
      <w:r w:rsidRPr="006C5C48" w:rsidR="00F364A7">
        <w:rPr>
          <w:rFonts w:eastAsia="Times New Roman"/>
          <w:szCs w:val="24"/>
        </w:rPr>
        <w:t>EPA also received public comments from some of these organizations during the public comment period following the rule proposal. These individual organization comments are available in the Docket.</w:t>
      </w:r>
    </w:p>
    <w:p w:rsidR="004A7452" w:rsidRPr="006C5C48" w:rsidP="004A7452" w14:paraId="19858B27" w14:textId="78B8F332">
      <w:pPr>
        <w:rPr>
          <w:rFonts w:eastAsia="Calibri"/>
          <w:szCs w:val="24"/>
        </w:rPr>
      </w:pPr>
      <w:r w:rsidRPr="006C5C48">
        <w:rPr>
          <w:rFonts w:eastAsia="Calibri"/>
          <w:szCs w:val="24"/>
        </w:rPr>
        <w:t xml:space="preserve">In addition to the Federalism consultation, regarding state engagement more specifically, </w:t>
      </w:r>
      <w:r w:rsidRPr="006C5C48" w:rsidR="00B86F92">
        <w:rPr>
          <w:rFonts w:eastAsia="Calibri"/>
          <w:szCs w:val="24"/>
        </w:rPr>
        <w:t xml:space="preserve">the </w:t>
      </w:r>
      <w:r w:rsidRPr="006C5C48">
        <w:rPr>
          <w:rFonts w:eastAsia="Calibri"/>
          <w:szCs w:val="24"/>
        </w:rPr>
        <w:t>EPA notes there were multiple meetings held by the Association of State Drinking Water Administrators where</w:t>
      </w:r>
      <w:r w:rsidRPr="006C5C48" w:rsidR="00B86F92">
        <w:rPr>
          <w:rFonts w:eastAsia="Calibri"/>
          <w:szCs w:val="24"/>
        </w:rPr>
        <w:t xml:space="preserve"> the</w:t>
      </w:r>
      <w:r w:rsidRPr="006C5C48">
        <w:rPr>
          <w:rFonts w:eastAsia="Calibri"/>
          <w:szCs w:val="24"/>
        </w:rPr>
        <w:t xml:space="preserve"> EPA gathered input from state officials related to the considerations for the development of the </w:t>
      </w:r>
      <w:r w:rsidRPr="006C5C48" w:rsidR="00CF35F8">
        <w:rPr>
          <w:rFonts w:eastAsia="Calibri"/>
          <w:szCs w:val="24"/>
        </w:rPr>
        <w:t>NPDWR</w:t>
      </w:r>
      <w:r w:rsidRPr="006C5C48">
        <w:rPr>
          <w:rFonts w:eastAsia="Calibri"/>
          <w:szCs w:val="24"/>
        </w:rPr>
        <w:t xml:space="preserve">. </w:t>
      </w:r>
    </w:p>
    <w:p w:rsidR="004A7452" w:rsidRPr="006C5C48" w:rsidP="00915EF4" w14:paraId="33380CBE" w14:textId="7571DD4B">
      <w:pPr>
        <w:rPr>
          <w:szCs w:val="24"/>
          <w:u w:val="single"/>
        </w:rPr>
      </w:pPr>
      <w:bookmarkStart w:id="44" w:name="_Toc113306254"/>
      <w:bookmarkStart w:id="45" w:name="_Toc113440680"/>
      <w:r w:rsidRPr="006C5C48">
        <w:rPr>
          <w:szCs w:val="24"/>
          <w:u w:val="single"/>
        </w:rPr>
        <w:t>Executive Order 13175: Consultation and Coordination with Indian Tribal Governments</w:t>
      </w:r>
      <w:bookmarkEnd w:id="44"/>
      <w:bookmarkEnd w:id="45"/>
    </w:p>
    <w:p w:rsidR="004A7452" w:rsidRPr="006C5C48" w:rsidP="004A7452" w14:paraId="084DA9FF" w14:textId="76546D94">
      <w:pPr>
        <w:rPr>
          <w:rFonts w:eastAsia="Calibri" w:cs="Times New Roman"/>
          <w:szCs w:val="24"/>
        </w:rPr>
      </w:pPr>
      <w:r w:rsidRPr="006C5C48">
        <w:rPr>
          <w:rFonts w:eastAsia="Calibri"/>
          <w:szCs w:val="24"/>
        </w:rPr>
        <w:t xml:space="preserve">The </w:t>
      </w:r>
      <w:r w:rsidRPr="006C5C48">
        <w:rPr>
          <w:rFonts w:eastAsia="Calibri"/>
          <w:szCs w:val="24"/>
        </w:rPr>
        <w:t xml:space="preserve">EPA has concluded that this </w:t>
      </w:r>
      <w:r w:rsidRPr="006C5C48" w:rsidR="00284F63">
        <w:rPr>
          <w:rFonts w:eastAsia="Calibri"/>
          <w:szCs w:val="24"/>
        </w:rPr>
        <w:t>final</w:t>
      </w:r>
      <w:r w:rsidRPr="006C5C48">
        <w:rPr>
          <w:rFonts w:eastAsia="Calibri"/>
          <w:szCs w:val="24"/>
        </w:rPr>
        <w:t xml:space="preserve"> rule has Tribal implications, because it will impose direct compliance costs on Tribal governments, and </w:t>
      </w:r>
      <w:bookmarkStart w:id="46" w:name="_Hlk113365494"/>
      <w:r w:rsidRPr="006C5C48">
        <w:rPr>
          <w:rFonts w:eastAsia="Calibri"/>
          <w:szCs w:val="24"/>
        </w:rPr>
        <w:t xml:space="preserve">the federal government </w:t>
      </w:r>
      <w:bookmarkEnd w:id="46"/>
      <w:r w:rsidRPr="006C5C48">
        <w:rPr>
          <w:rFonts w:eastAsia="Calibri"/>
          <w:szCs w:val="24"/>
        </w:rPr>
        <w:t xml:space="preserve">will not provide </w:t>
      </w:r>
      <w:r w:rsidRPr="006C5C48">
        <w:rPr>
          <w:rFonts w:eastAsia="Calibri"/>
          <w:szCs w:val="24"/>
        </w:rPr>
        <w:t xml:space="preserve">funds necessary to pay those direct compliance costs. However, </w:t>
      </w:r>
      <w:r w:rsidRPr="006C5C48">
        <w:rPr>
          <w:rFonts w:eastAsia="Calibri"/>
          <w:szCs w:val="24"/>
        </w:rPr>
        <w:t xml:space="preserve">the </w:t>
      </w:r>
      <w:r w:rsidRPr="006C5C48">
        <w:rPr>
          <w:rFonts w:eastAsia="Calibri"/>
          <w:szCs w:val="24"/>
        </w:rPr>
        <w:t xml:space="preserve">EPA notes that the federal </w:t>
      </w:r>
      <w:r w:rsidRPr="006C5C48">
        <w:rPr>
          <w:rFonts w:eastAsia="Calibri" w:cs="Times New Roman"/>
          <w:szCs w:val="24"/>
        </w:rPr>
        <w:t xml:space="preserve">government will provide a potential source of funds necessary to offset some of those direct compliance costs through the </w:t>
      </w:r>
      <w:r w:rsidRPr="006C5C48" w:rsidR="00157F80">
        <w:rPr>
          <w:rStyle w:val="Emphasis"/>
          <w:rFonts w:cs="Times New Roman"/>
          <w:i w:val="0"/>
          <w:iCs w:val="0"/>
          <w:szCs w:val="24"/>
          <w:shd w:val="clear" w:color="auto" w:fill="FFFFFF"/>
        </w:rPr>
        <w:t xml:space="preserve">Bipartisan Infrastructure </w:t>
      </w:r>
      <w:r w:rsidRPr="006C5C48" w:rsidR="00157F80">
        <w:rPr>
          <w:rFonts w:cs="Times New Roman"/>
          <w:szCs w:val="24"/>
          <w:shd w:val="clear" w:color="auto" w:fill="FFFFFF"/>
        </w:rPr>
        <w:t>Law</w:t>
      </w:r>
      <w:r w:rsidRPr="006C5C48" w:rsidR="00157F80">
        <w:rPr>
          <w:rFonts w:eastAsia="Calibri" w:cs="Times New Roman"/>
          <w:szCs w:val="24"/>
        </w:rPr>
        <w:t xml:space="preserve"> (</w:t>
      </w:r>
      <w:r w:rsidRPr="006C5C48">
        <w:rPr>
          <w:rFonts w:eastAsia="Calibri" w:cs="Times New Roman"/>
          <w:szCs w:val="24"/>
        </w:rPr>
        <w:t>BIL</w:t>
      </w:r>
      <w:r w:rsidRPr="006C5C48" w:rsidR="00157F80">
        <w:rPr>
          <w:rFonts w:eastAsia="Calibri" w:cs="Times New Roman"/>
          <w:szCs w:val="24"/>
        </w:rPr>
        <w:t>)</w:t>
      </w:r>
      <w:r w:rsidRPr="006C5C48">
        <w:rPr>
          <w:rFonts w:eastAsia="Calibri" w:cs="Times New Roman"/>
          <w:szCs w:val="24"/>
        </w:rPr>
        <w:t xml:space="preserve">. </w:t>
      </w:r>
      <w:bookmarkStart w:id="47" w:name="_Hlk113365009"/>
    </w:p>
    <w:p w:rsidR="004A7452" w:rsidRPr="006C5C48" w:rsidP="004A7452" w14:paraId="267F4E5D" w14:textId="065C1EEA">
      <w:pPr>
        <w:rPr>
          <w:rFonts w:eastAsia="Calibri"/>
          <w:szCs w:val="24"/>
        </w:rPr>
      </w:pPr>
      <w:r w:rsidRPr="006C5C48">
        <w:rPr>
          <w:rFonts w:eastAsia="Calibri"/>
          <w:szCs w:val="24"/>
        </w:rPr>
        <w:t xml:space="preserve">The </w:t>
      </w:r>
      <w:r w:rsidRPr="006C5C48">
        <w:rPr>
          <w:rFonts w:eastAsia="Calibri"/>
          <w:szCs w:val="24"/>
        </w:rPr>
        <w:t xml:space="preserve">EPA has identified </w:t>
      </w:r>
      <w:r w:rsidRPr="006C5C48" w:rsidR="007134D4">
        <w:rPr>
          <w:rFonts w:eastAsia="Calibri"/>
          <w:szCs w:val="24"/>
        </w:rPr>
        <w:t xml:space="preserve">998 </w:t>
      </w:r>
      <w:r w:rsidRPr="006C5C48" w:rsidR="00154759">
        <w:rPr>
          <w:rFonts w:eastAsia="Calibri"/>
          <w:szCs w:val="24"/>
        </w:rPr>
        <w:t>PWS</w:t>
      </w:r>
      <w:r w:rsidRPr="006C5C48">
        <w:rPr>
          <w:rFonts w:eastAsia="Calibri"/>
          <w:szCs w:val="24"/>
        </w:rPr>
        <w:t xml:space="preserve">s serving tribal communities, </w:t>
      </w:r>
      <w:r w:rsidRPr="006C5C48" w:rsidR="007134D4">
        <w:rPr>
          <w:rFonts w:eastAsia="Calibri"/>
          <w:szCs w:val="24"/>
        </w:rPr>
        <w:t xml:space="preserve">84 </w:t>
      </w:r>
      <w:r w:rsidRPr="006C5C48">
        <w:rPr>
          <w:rFonts w:eastAsia="Calibri"/>
          <w:szCs w:val="24"/>
        </w:rPr>
        <w:t>of which are federally owned.</w:t>
      </w:r>
      <w:bookmarkEnd w:id="47"/>
      <w:r w:rsidRPr="006C5C48">
        <w:rPr>
          <w:rFonts w:eastAsia="Calibri"/>
          <w:szCs w:val="24"/>
        </w:rPr>
        <w:t xml:space="preserve"> </w:t>
      </w:r>
      <w:r w:rsidRPr="006C5C48">
        <w:rPr>
          <w:rFonts w:eastAsia="Calibri"/>
          <w:szCs w:val="24"/>
        </w:rPr>
        <w:t xml:space="preserve">The </w:t>
      </w:r>
      <w:r w:rsidRPr="006C5C48">
        <w:rPr>
          <w:rFonts w:eastAsia="Calibri"/>
          <w:szCs w:val="24"/>
        </w:rPr>
        <w:t xml:space="preserve">EPA estimates that tribal governments will incur </w:t>
      </w:r>
      <w:r w:rsidRPr="006C5C48" w:rsidR="00642887">
        <w:rPr>
          <w:rFonts w:eastAsia="Calibri"/>
          <w:szCs w:val="24"/>
        </w:rPr>
        <w:t xml:space="preserve">public water system </w:t>
      </w:r>
      <w:r w:rsidRPr="006C5C48">
        <w:rPr>
          <w:rFonts w:eastAsia="Calibri"/>
          <w:szCs w:val="24"/>
        </w:rPr>
        <w:t>compliance costs of $</w:t>
      </w:r>
      <w:r w:rsidRPr="006C5C48" w:rsidR="00212788">
        <w:rPr>
          <w:rFonts w:eastAsia="Calibri"/>
          <w:szCs w:val="24"/>
        </w:rPr>
        <w:t xml:space="preserve">6.8 </w:t>
      </w:r>
      <w:r w:rsidRPr="006C5C48">
        <w:rPr>
          <w:rFonts w:eastAsia="Calibri"/>
          <w:szCs w:val="24"/>
        </w:rPr>
        <w:t xml:space="preserve">million per year attributable to monitoring, treatment or non-treatment actions to reduce PFAS in drinking water, and administrative costs, and that these estimated impacts will not fall evenly across all tribal systems. </w:t>
      </w:r>
      <w:bookmarkStart w:id="48" w:name="_Hlk113365132"/>
      <w:r w:rsidRPr="006C5C48">
        <w:rPr>
          <w:rFonts w:eastAsia="Calibri"/>
          <w:szCs w:val="24"/>
        </w:rPr>
        <w:t xml:space="preserve">The </w:t>
      </w:r>
      <w:r w:rsidRPr="006C5C48" w:rsidR="00275415">
        <w:rPr>
          <w:rFonts w:eastAsia="Calibri"/>
          <w:szCs w:val="24"/>
        </w:rPr>
        <w:t>final</w:t>
      </w:r>
      <w:r w:rsidRPr="006C5C48">
        <w:rPr>
          <w:rFonts w:eastAsia="Calibri"/>
          <w:szCs w:val="24"/>
        </w:rPr>
        <w:t xml:space="preserve"> PFAS NPDWR does offer regulatory relief by providing flexibilities for all water systems to potentially utilize pre-existing monitoring data in lieu of initial monitoring requirements and for groundwater CWSs and NTNCWSs serving 10,000 or fewer to reduce initial monitoring from quarterly monitoring during a consecutive 12-month period to only monitoring twice during a consecutive 12-month period. These flexibilities may result in implementation cost savings for many tribal systems since </w:t>
      </w:r>
      <w:r w:rsidRPr="006C5C48" w:rsidR="007134D4">
        <w:rPr>
          <w:rFonts w:eastAsia="Calibri"/>
          <w:szCs w:val="24"/>
        </w:rPr>
        <w:t xml:space="preserve">98 </w:t>
      </w:r>
      <w:r w:rsidRPr="006C5C48">
        <w:rPr>
          <w:rFonts w:eastAsia="Calibri"/>
          <w:szCs w:val="24"/>
        </w:rPr>
        <w:t xml:space="preserve">percent of tribal CWSs and </w:t>
      </w:r>
      <w:r w:rsidRPr="006C5C48" w:rsidR="007134D4">
        <w:rPr>
          <w:rFonts w:eastAsia="Calibri"/>
          <w:szCs w:val="24"/>
        </w:rPr>
        <w:t xml:space="preserve">94 </w:t>
      </w:r>
      <w:r w:rsidRPr="006C5C48">
        <w:rPr>
          <w:rFonts w:eastAsia="Calibri"/>
          <w:szCs w:val="24"/>
        </w:rPr>
        <w:t>percent of NTNCWs serve 10,000 or fewer people.</w:t>
      </w:r>
      <w:bookmarkEnd w:id="48"/>
    </w:p>
    <w:p w:rsidR="004A7452" w:rsidRPr="006C5C48" w:rsidP="006C5C48" w14:paraId="7CEE1E7F" w14:textId="1F3798FC">
      <w:pPr>
        <w:rPr>
          <w:rFonts w:eastAsia="Times New Roman"/>
          <w:szCs w:val="24"/>
        </w:rPr>
      </w:pPr>
      <w:r w:rsidRPr="006C5C48">
        <w:rPr>
          <w:rFonts w:eastAsia="Calibri"/>
          <w:szCs w:val="24"/>
        </w:rPr>
        <w:t xml:space="preserve">Accordingly, </w:t>
      </w:r>
      <w:r w:rsidRPr="006C5C48" w:rsidR="001F1595">
        <w:rPr>
          <w:rFonts w:eastAsia="Calibri"/>
          <w:szCs w:val="24"/>
        </w:rPr>
        <w:t xml:space="preserve">the </w:t>
      </w:r>
      <w:r w:rsidRPr="006C5C48">
        <w:rPr>
          <w:rFonts w:eastAsia="Calibri"/>
          <w:szCs w:val="24"/>
        </w:rPr>
        <w:t xml:space="preserve">EPA provides the following Tribal summary impact statement as required by section 5(b) of </w:t>
      </w:r>
      <w:r w:rsidRPr="006C5C48" w:rsidR="00DE1F83">
        <w:rPr>
          <w:rFonts w:eastAsia="Calibri"/>
          <w:szCs w:val="24"/>
        </w:rPr>
        <w:t>EO</w:t>
      </w:r>
      <w:r w:rsidRPr="006C5C48">
        <w:rPr>
          <w:rFonts w:eastAsia="Calibri"/>
          <w:szCs w:val="24"/>
        </w:rPr>
        <w:t xml:space="preserve"> 13175. Consistent with </w:t>
      </w:r>
      <w:r w:rsidRPr="006C5C48" w:rsidR="001160E0">
        <w:rPr>
          <w:rFonts w:eastAsia="Calibri"/>
          <w:szCs w:val="24"/>
        </w:rPr>
        <w:t xml:space="preserve">the </w:t>
      </w:r>
      <w:r w:rsidRPr="006C5C48">
        <w:rPr>
          <w:rFonts w:eastAsia="Calibri"/>
          <w:szCs w:val="24"/>
        </w:rPr>
        <w:t xml:space="preserve">EPA Policy on Consultation and Coordination with Indian Tribes (May 4, 2011), </w:t>
      </w:r>
      <w:r w:rsidRPr="006C5C48" w:rsidR="003F19C7">
        <w:rPr>
          <w:rFonts w:eastAsia="Calibri"/>
          <w:szCs w:val="24"/>
        </w:rPr>
        <w:t xml:space="preserve">the </w:t>
      </w:r>
      <w:r w:rsidRPr="006C5C48">
        <w:rPr>
          <w:rFonts w:eastAsia="Calibri"/>
          <w:szCs w:val="24"/>
        </w:rPr>
        <w:t xml:space="preserve">EPA consulted with Tribal officials and their representatives early in the process of developing this proposed regulation to permit them to have meaningful and timely input into its development. </w:t>
      </w:r>
      <w:r w:rsidRPr="006C5C48" w:rsidR="001160E0">
        <w:rPr>
          <w:rFonts w:eastAsia="Calibri"/>
          <w:szCs w:val="24"/>
        </w:rPr>
        <w:t xml:space="preserve">The </w:t>
      </w:r>
      <w:r w:rsidRPr="006C5C48">
        <w:rPr>
          <w:rFonts w:eastAsia="Calibri"/>
          <w:szCs w:val="24"/>
        </w:rPr>
        <w:t>EPA conducted consultation with Indian Tribes beginning on February 7, 2022</w:t>
      </w:r>
      <w:r w:rsidRPr="006C5C48" w:rsidR="009D2F33">
        <w:rPr>
          <w:rFonts w:eastAsia="Calibri"/>
          <w:szCs w:val="24"/>
        </w:rPr>
        <w:t>,</w:t>
      </w:r>
      <w:r w:rsidRPr="006C5C48">
        <w:rPr>
          <w:rFonts w:eastAsia="Calibri"/>
          <w:szCs w:val="24"/>
        </w:rPr>
        <w:t xml:space="preserve"> and ending on April 16, 2022. The consultation included two national webinars with interested tribes on February 23, 2022, and March 8, 2022, where </w:t>
      </w:r>
      <w:r w:rsidRPr="006C5C48" w:rsidR="007E3EA6">
        <w:rPr>
          <w:rFonts w:eastAsia="Calibri"/>
          <w:szCs w:val="24"/>
        </w:rPr>
        <w:t xml:space="preserve">the </w:t>
      </w:r>
      <w:r w:rsidRPr="006C5C48">
        <w:rPr>
          <w:rFonts w:eastAsia="Calibri"/>
          <w:szCs w:val="24"/>
        </w:rPr>
        <w:t xml:space="preserve">EPA provided proposed rulemaking information and requested input. A total of approximately 35 tribal representatives participated in the two webinars. Updates on the consultation process </w:t>
      </w:r>
      <w:r w:rsidRPr="006C5C48">
        <w:rPr>
          <w:rFonts w:eastAsia="Calibri"/>
          <w:szCs w:val="24"/>
        </w:rPr>
        <w:t xml:space="preserve">were provided to the National Tribal Water Council and </w:t>
      </w:r>
      <w:r w:rsidRPr="006C5C48" w:rsidR="00545F75">
        <w:rPr>
          <w:rFonts w:eastAsia="Calibri"/>
          <w:szCs w:val="24"/>
        </w:rPr>
        <w:t xml:space="preserve">the </w:t>
      </w:r>
      <w:r w:rsidRPr="006C5C48">
        <w:rPr>
          <w:rFonts w:eastAsia="Calibri"/>
          <w:szCs w:val="24"/>
        </w:rPr>
        <w:t xml:space="preserve">EPA Region 6’s Regional Tribal Operations Committee upon request at regularly scheduled monthly meetings during the consultation process. Additionally, </w:t>
      </w:r>
      <w:r w:rsidRPr="006C5C48" w:rsidR="001F1595">
        <w:rPr>
          <w:rFonts w:eastAsia="Calibri"/>
          <w:szCs w:val="24"/>
        </w:rPr>
        <w:t xml:space="preserve">the </w:t>
      </w:r>
      <w:r w:rsidRPr="006C5C48">
        <w:rPr>
          <w:rFonts w:eastAsia="Calibri"/>
          <w:szCs w:val="24"/>
        </w:rPr>
        <w:t>EPA received written comments from the following Tribes and Tribal organizations: Little Traverse Bay Bands of Odawa Indians, Sault Ste. Marie Tribe of Chippewa Indians, and National Tribal Water Council. A summary report of the webinars and views expressed during the consultation is available in the Docket (EPA-HQ-OW-2022-0114).</w:t>
      </w:r>
      <w:r w:rsidRPr="006C5C48" w:rsidR="00F36299">
        <w:rPr>
          <w:rFonts w:eastAsia="Calibri"/>
          <w:szCs w:val="24"/>
        </w:rPr>
        <w:t xml:space="preserve"> </w:t>
      </w:r>
      <w:r w:rsidRPr="006C5C48" w:rsidR="00F36299">
        <w:rPr>
          <w:rFonts w:eastAsia="Times New Roman"/>
          <w:szCs w:val="24"/>
        </w:rPr>
        <w:t xml:space="preserve">As required by section 7(a) of the EO, </w:t>
      </w:r>
      <w:r w:rsidRPr="006C5C48" w:rsidR="00F36299">
        <w:rPr>
          <w:rFonts w:eastAsiaTheme="minorEastAsia"/>
          <w:iCs/>
          <w:szCs w:val="24"/>
        </w:rPr>
        <w:t xml:space="preserve">the </w:t>
      </w:r>
      <w:r w:rsidRPr="006C5C48" w:rsidR="00F36299">
        <w:rPr>
          <w:rFonts w:eastAsia="Times New Roman"/>
          <w:szCs w:val="24"/>
        </w:rPr>
        <w:t>EPA's Tribal Official has certified that the requirements of the EO have been met in a meaningful and timely manner. A copy of the certification is included in the docket for this action.</w:t>
      </w:r>
    </w:p>
    <w:p w:rsidR="00915EF4" w:rsidRPr="006C5C48" w:rsidP="003E51FA" w14:paraId="52CCB7B2" w14:textId="246DE2AF">
      <w:bookmarkStart w:id="49" w:name="_Toc113440684"/>
      <w:bookmarkStart w:id="50" w:name="_Toc113306258"/>
      <w:r w:rsidRPr="006C5C48">
        <w:rPr>
          <w:szCs w:val="24"/>
          <w:u w:val="single"/>
        </w:rPr>
        <w:t>Consultations with the Science Advisory Board, National Drinking Water Advisory Council, and the Secretary of Health and Human Services</w:t>
      </w:r>
      <w:bookmarkEnd w:id="49"/>
      <w:bookmarkEnd w:id="50"/>
    </w:p>
    <w:p w:rsidR="004A7452" w:rsidRPr="006C5C48" w:rsidP="003E51FA" w14:paraId="0705FD7C" w14:textId="1FF493FC">
      <w:r w:rsidRPr="006C5C48">
        <w:t xml:space="preserve">In accordance with sections 1412(d) and 1412(e) of </w:t>
      </w:r>
      <w:r w:rsidRPr="006C5C48" w:rsidR="00E548A5">
        <w:t>SDWA</w:t>
      </w:r>
      <w:r w:rsidRPr="006C5C48">
        <w:t xml:space="preserve">, the Agency consulted with the </w:t>
      </w:r>
      <w:r w:rsidRPr="006C5C48" w:rsidR="00154759">
        <w:t>National Drinking Water Advisory Council (</w:t>
      </w:r>
      <w:r w:rsidRPr="006C5C48">
        <w:t xml:space="preserve">NDWAC or the Council); the Secretary of Health and Human Services; and with </w:t>
      </w:r>
      <w:r w:rsidRPr="006C5C48" w:rsidR="0019534E">
        <w:t xml:space="preserve">the </w:t>
      </w:r>
      <w:r w:rsidRPr="006C5C48" w:rsidR="00E548A5">
        <w:t>EPA</w:t>
      </w:r>
      <w:r w:rsidRPr="006C5C48">
        <w:t xml:space="preserve"> </w:t>
      </w:r>
      <w:r w:rsidRPr="006C5C48" w:rsidR="00154759">
        <w:t>Science Advisory Board (</w:t>
      </w:r>
      <w:r w:rsidRPr="006C5C48">
        <w:t>SAB</w:t>
      </w:r>
      <w:r w:rsidRPr="006C5C48" w:rsidR="00154759">
        <w:t>)</w:t>
      </w:r>
      <w:r w:rsidRPr="006C5C48">
        <w:t xml:space="preserve">. </w:t>
      </w:r>
    </w:p>
    <w:p w:rsidR="004A7452" w:rsidRPr="006C5C48" w:rsidP="003E51FA" w14:paraId="4CCA51EE" w14:textId="23DDE249">
      <w:pPr>
        <w:rPr>
          <w:i/>
          <w:iCs/>
        </w:rPr>
      </w:pPr>
      <w:r w:rsidRPr="006C5C48">
        <w:t>The SAB PFAS Review Panel met virtually via a video meeting platform on December 16, 2021, and then at three (3) subsequent meetings on January 4, 6 and 7, 2022 to deliberate on the Agency’s charge questions. Another virtual meeting was held on May 3, 2022, to discuss their draft report. Oral and written public comments were considered throughout the advisory process.</w:t>
      </w:r>
      <w:r w:rsidRPr="006C5C48" w:rsidR="001F1595">
        <w:t xml:space="preserve"> The</w:t>
      </w:r>
      <w:r w:rsidRPr="006C5C48">
        <w:t xml:space="preserve"> EPA sought guidance from </w:t>
      </w:r>
      <w:r w:rsidRPr="006C5C48" w:rsidR="00C73ED2">
        <w:t xml:space="preserve">the </w:t>
      </w:r>
      <w:r w:rsidRPr="006C5C48" w:rsidR="00E548A5">
        <w:t>EPA</w:t>
      </w:r>
      <w:r w:rsidRPr="006C5C48">
        <w:t xml:space="preserve"> SAB on how best to consider and interpret life stage information, epidemiological and biomonitoring data, the Agency's </w:t>
      </w:r>
      <w:r w:rsidRPr="006C5C48">
        <w:t>physiologically-based</w:t>
      </w:r>
      <w:r w:rsidRPr="006C5C48">
        <w:t xml:space="preserve"> pharmacokinetic</w:t>
      </w:r>
      <w:r w:rsidRPr="006C5C48" w:rsidR="005F60FD">
        <w:rPr>
          <w:szCs w:val="24"/>
        </w:rPr>
        <w:t xml:space="preserve"> (PBPK)</w:t>
      </w:r>
      <w:r w:rsidRPr="006C5C48" w:rsidR="00D33A3F">
        <w:rPr>
          <w:szCs w:val="24"/>
        </w:rPr>
        <w:t xml:space="preserve"> analyses</w:t>
      </w:r>
      <w:r w:rsidRPr="006C5C48">
        <w:t xml:space="preserve">, and the totality of PFAS health information to derive a MCLG for PFOA and PFOS, combined toxicity framework, and cardiovascular disease. The documents sent to SAB were </w:t>
      </w:r>
      <w:r w:rsidRPr="006C5C48">
        <w:rPr>
          <w:i/>
          <w:iCs/>
        </w:rPr>
        <w:t xml:space="preserve">EPA’s Proposed Approaches to the Derivation of a Draft </w:t>
      </w:r>
      <w:r w:rsidRPr="006C5C48">
        <w:rPr>
          <w:i/>
          <w:iCs/>
        </w:rPr>
        <w:t xml:space="preserve">Maximum Contaminant Level Goal for Perfluorooctanoic Acid (PFOA) (CASRN 335-67-1) in Drinking Water; EPA’s Proposed Approaches to the Derivation of a Draft Maximum Contaminant Level Goal for Perfluorooctane Sulfonic Acid (PFOS) (CASRN 1763-23-1) in Drinking Water; EPA’s Draft Framework for Estimating Noncancer Health Risks Associated with Mixtures of Per- and Polyfluoroalkyl Substances (PFAS); and EPA’s Analysis of Cardiovascular Disease Risk Reduction as a Result of Reduced PFOA and PFOS Exposure in Drinking Water. </w:t>
      </w:r>
      <w:r w:rsidRPr="006C5C48">
        <w:t xml:space="preserve">On May 3 and July 20, 2022, </w:t>
      </w:r>
      <w:r w:rsidRPr="006C5C48" w:rsidR="00185EB6">
        <w:t xml:space="preserve">the </w:t>
      </w:r>
      <w:r w:rsidRPr="006C5C48">
        <w:t xml:space="preserve">EPA received input from SAB, summarized in the report, </w:t>
      </w:r>
      <w:r w:rsidRPr="006C5C48">
        <w:rPr>
          <w:i/>
        </w:rPr>
        <w:t>SAB Advice on Approaches to Derive a Maximum Contaminant Level Goals for Perfluorooctanoic acid (PFOA), Perfluorooctanesulfonic acid (PFOS), Combined Toxicity Framework, and Cardiovascular Disease Risk Reduction</w:t>
      </w:r>
      <w:r w:rsidRPr="006C5C48">
        <w:t xml:space="preserve"> (SAB, 2022i).</w:t>
      </w:r>
      <w:r w:rsidRPr="006C5C48" w:rsidR="00DD55E5">
        <w:t xml:space="preserve"> </w:t>
      </w:r>
      <w:r w:rsidRPr="006C5C48" w:rsidR="000965A8">
        <w:t xml:space="preserve">The final SAB consensus report was transmitted to </w:t>
      </w:r>
      <w:r w:rsidRPr="006C5C48" w:rsidR="00185EB6">
        <w:t xml:space="preserve">the </w:t>
      </w:r>
      <w:r w:rsidRPr="006C5C48" w:rsidR="000965A8">
        <w:t>EPA on August 22</w:t>
      </w:r>
      <w:r w:rsidRPr="006C5C48" w:rsidR="000965A8">
        <w:rPr>
          <w:vertAlign w:val="superscript"/>
        </w:rPr>
        <w:t>nd</w:t>
      </w:r>
      <w:r w:rsidRPr="006C5C48" w:rsidR="000965A8">
        <w:t xml:space="preserve">, 2022. </w:t>
      </w:r>
    </w:p>
    <w:p w:rsidR="004A7452" w:rsidRPr="006C5C48" w:rsidP="003E51FA" w14:paraId="2F03DA0B" w14:textId="1F8337C3">
      <w:r w:rsidRPr="006C5C48">
        <w:t xml:space="preserve">The Agency consulted with NDWAC during the Council's April 19, 2022, virtual meeting. A summary of the NDWAC recommendations is available in the National Drinking Water Advisory Council, Fall 2022 Meeting Summary Report (NDWAC, 2022 </w:t>
      </w:r>
      <w:hyperlink r:id="rId14" w:history="1">
        <w:r w:rsidRPr="006C5C48">
          <w:rPr>
            <w:rStyle w:val="Hyperlink"/>
            <w:color w:val="auto"/>
          </w:rPr>
          <w:t>https://www.federalregister.gov/documents/2022/03/29/2022-06576/meeting-of-the-national-drinking-water-advisory-council</w:t>
        </w:r>
      </w:hyperlink>
      <w:r w:rsidRPr="006C5C48">
        <w:t>) and the docket for th</w:t>
      </w:r>
      <w:r w:rsidRPr="006C5C48" w:rsidR="00284F63">
        <w:t>e</w:t>
      </w:r>
      <w:r w:rsidRPr="006C5C48">
        <w:t xml:space="preserve"> proposed rule. </w:t>
      </w:r>
      <w:r w:rsidRPr="006C5C48" w:rsidR="0072609E">
        <w:t xml:space="preserve">A consultation with the NDWAC was additionally held on August 8, </w:t>
      </w:r>
      <w:r w:rsidRPr="006C5C48" w:rsidR="006C5C48">
        <w:t>2023,</w:t>
      </w:r>
      <w:r w:rsidRPr="006C5C48" w:rsidR="0072609E">
        <w:t xml:space="preserve"> on the final PFAS NPDWR.</w:t>
      </w:r>
      <w:r w:rsidRPr="006C5C48" w:rsidR="00185EB6">
        <w:t xml:space="preserve"> The</w:t>
      </w:r>
      <w:r w:rsidRPr="006C5C48" w:rsidR="0072609E">
        <w:t xml:space="preserve"> </w:t>
      </w:r>
      <w:r w:rsidRPr="006C5C48">
        <w:t xml:space="preserve">EPA carefully considered NDWAC recommendations during the development of a </w:t>
      </w:r>
      <w:r w:rsidRPr="006C5C48" w:rsidR="00284F63">
        <w:t xml:space="preserve">final </w:t>
      </w:r>
      <w:r w:rsidRPr="006C5C48">
        <w:t>drinking water rule for PFAS, including PFOA and PFOS.</w:t>
      </w:r>
      <w:r w:rsidRPr="006C5C48" w:rsidR="00284F63">
        <w:t xml:space="preserve"> </w:t>
      </w:r>
    </w:p>
    <w:p w:rsidR="004A7452" w:rsidRPr="006C5C48" w:rsidP="003E51FA" w14:paraId="41D09630" w14:textId="4F17B39B">
      <w:r w:rsidRPr="006C5C48">
        <w:t xml:space="preserve">On </w:t>
      </w:r>
      <w:r w:rsidRPr="006C5C48" w:rsidR="00232CF1">
        <w:t>September 28</w:t>
      </w:r>
      <w:r w:rsidRPr="006C5C48" w:rsidR="00A32289">
        <w:rPr>
          <w:vertAlign w:val="superscript"/>
        </w:rPr>
        <w:t>th</w:t>
      </w:r>
      <w:r w:rsidRPr="006C5C48" w:rsidR="00A32289">
        <w:t>, 2022</w:t>
      </w:r>
      <w:r w:rsidRPr="006C5C48">
        <w:t xml:space="preserve">, </w:t>
      </w:r>
      <w:r w:rsidRPr="006C5C48" w:rsidR="00185EB6">
        <w:t xml:space="preserve">the </w:t>
      </w:r>
      <w:r w:rsidRPr="006C5C48">
        <w:t xml:space="preserve">EPA consulted with the Department of Health and Human Services (HHS). </w:t>
      </w:r>
      <w:r w:rsidRPr="006C5C48" w:rsidR="00185EB6">
        <w:t xml:space="preserve">The </w:t>
      </w:r>
      <w:r w:rsidRPr="006C5C48">
        <w:t>EPA provided information to HHS officials on the draft proposed NPDWR and considered HHS input as part of the interagency review.</w:t>
      </w:r>
      <w:r w:rsidRPr="006C5C48" w:rsidR="0072609E">
        <w:t xml:space="preserve"> </w:t>
      </w:r>
      <w:r w:rsidRPr="006C5C48" w:rsidR="00966FCB">
        <w:rPr>
          <w:rFonts w:eastAsia="Times New Roman"/>
          <w:szCs w:val="24"/>
        </w:rPr>
        <w:t xml:space="preserve">On November 2, 2023, </w:t>
      </w:r>
      <w:r w:rsidRPr="006C5C48" w:rsidR="00966FCB">
        <w:rPr>
          <w:rFonts w:eastAsiaTheme="minorEastAsia"/>
          <w:iCs/>
          <w:szCs w:val="24"/>
        </w:rPr>
        <w:t xml:space="preserve">the </w:t>
      </w:r>
      <w:r w:rsidRPr="006C5C48" w:rsidR="00966FCB">
        <w:rPr>
          <w:rFonts w:eastAsia="Times New Roman"/>
          <w:szCs w:val="24"/>
        </w:rPr>
        <w:t xml:space="preserve">EPA consulted with HHS on the final rule. </w:t>
      </w:r>
      <w:r w:rsidRPr="006C5C48" w:rsidR="00966FCB">
        <w:rPr>
          <w:szCs w:val="24"/>
        </w:rPr>
        <w:t xml:space="preserve">The </w:t>
      </w:r>
      <w:r w:rsidRPr="006C5C48" w:rsidR="00966FCB">
        <w:rPr>
          <w:rFonts w:eastAsia="Times New Roman"/>
          <w:szCs w:val="24"/>
        </w:rPr>
        <w:t xml:space="preserve">EPA received and considered comments from the </w:t>
      </w:r>
      <w:r w:rsidRPr="006C5C48" w:rsidR="00966FCB">
        <w:rPr>
          <w:rFonts w:eastAsia="Times New Roman"/>
          <w:szCs w:val="24"/>
        </w:rPr>
        <w:t>HHS for both the proposed and final rules through the interagency review process described in section XIII.A</w:t>
      </w:r>
      <w:r w:rsidRPr="006C5C48" w:rsidR="00A86AE6">
        <w:rPr>
          <w:rFonts w:eastAsia="Times New Roman"/>
          <w:szCs w:val="24"/>
        </w:rPr>
        <w:t xml:space="preserve"> of the final NPDWR</w:t>
      </w:r>
      <w:r w:rsidRPr="006C5C48" w:rsidR="00966FCB">
        <w:rPr>
          <w:rFonts w:eastAsia="Times New Roman"/>
          <w:szCs w:val="24"/>
        </w:rPr>
        <w:t>.</w:t>
      </w:r>
    </w:p>
    <w:p w:rsidR="008E3728" w:rsidRPr="006C5C48" w:rsidP="003A3B69" w14:paraId="52E72A16" w14:textId="7A2E7D68">
      <w:pPr>
        <w:pStyle w:val="Heading2"/>
      </w:pPr>
      <w:bookmarkStart w:id="51" w:name="_Toc114671110"/>
      <w:bookmarkStart w:id="52" w:name="_Toc114671295"/>
      <w:bookmarkStart w:id="53" w:name="_Toc114777043"/>
      <w:bookmarkStart w:id="54" w:name="_Toc149779117"/>
      <w:bookmarkEnd w:id="51"/>
      <w:bookmarkEnd w:id="52"/>
      <w:bookmarkEnd w:id="53"/>
      <w:r w:rsidRPr="006C5C48">
        <w:t>Effects of Less Frequent Collection</w:t>
      </w:r>
      <w:bookmarkEnd w:id="54"/>
    </w:p>
    <w:p w:rsidR="00703E06" w:rsidRPr="006C5C48" w:rsidP="003E51FA" w14:paraId="2758561C" w14:textId="3625B57A">
      <w:r w:rsidRPr="006C5C48">
        <w:t xml:space="preserve">The </w:t>
      </w:r>
      <w:r w:rsidRPr="006C5C48">
        <w:t xml:space="preserve">EPA considered a wide range of alternatives for frequency of collection that could still allow the </w:t>
      </w:r>
      <w:r w:rsidRPr="006C5C48" w:rsidR="00256B3B">
        <w:t xml:space="preserve">Agency </w:t>
      </w:r>
      <w:r w:rsidRPr="006C5C48">
        <w:t>to meet its statutory requirements and overall objectives.</w:t>
      </w:r>
      <w:r w:rsidRPr="006C5C48" w:rsidR="00134284">
        <w:t xml:space="preserve"> </w:t>
      </w:r>
      <w:r w:rsidRPr="006C5C48">
        <w:t xml:space="preserve">The </w:t>
      </w:r>
      <w:r w:rsidRPr="006C5C48" w:rsidR="00134284">
        <w:t xml:space="preserve">EPA </w:t>
      </w:r>
      <w:r w:rsidRPr="006C5C48" w:rsidR="00F16D5A">
        <w:t xml:space="preserve">took </w:t>
      </w:r>
      <w:r w:rsidRPr="006C5C48" w:rsidR="00134284">
        <w:t>comment on the initial and compliance monitoring schedules that would protect public health without imposing excessive burdens of systems and primacy agencies. The collection schedule is believed to meet this balance</w:t>
      </w:r>
      <w:r w:rsidRPr="006C5C48" w:rsidR="00E579D1">
        <w:t xml:space="preserve"> and</w:t>
      </w:r>
      <w:r w:rsidRPr="006C5C48" w:rsidR="006128B4">
        <w:t>, informed by monitoring results,</w:t>
      </w:r>
      <w:r w:rsidRPr="006C5C48" w:rsidR="00E579D1">
        <w:t xml:space="preserve"> offers different monitoring frequencies based on</w:t>
      </w:r>
      <w:r w:rsidRPr="006C5C48" w:rsidR="00475166">
        <w:t xml:space="preserve"> </w:t>
      </w:r>
      <w:r w:rsidRPr="006C5C48" w:rsidR="00564F70">
        <w:t xml:space="preserve">regulated PFAS </w:t>
      </w:r>
      <w:r w:rsidRPr="006C5C48" w:rsidR="006128B4">
        <w:t>contamination risk</w:t>
      </w:r>
      <w:r w:rsidRPr="006C5C48" w:rsidR="00134284">
        <w:t>.</w:t>
      </w:r>
      <w:r w:rsidRPr="006C5C48">
        <w:t xml:space="preserve"> Less frequent data collection</w:t>
      </w:r>
      <w:r w:rsidRPr="006C5C48" w:rsidR="00134284">
        <w:t xml:space="preserve"> may not be sufficient to ensure that system</w:t>
      </w:r>
      <w:r w:rsidRPr="006C5C48" w:rsidR="007F08AC">
        <w:t xml:space="preserve"> concentrations of regulated PFAS </w:t>
      </w:r>
      <w:r w:rsidRPr="006C5C48" w:rsidR="007F08AC">
        <w:t>are</w:t>
      </w:r>
      <w:r w:rsidRPr="006C5C48" w:rsidR="00134284">
        <w:t xml:space="preserve"> in compliance with</w:t>
      </w:r>
      <w:r w:rsidRPr="006C5C48" w:rsidR="00134284">
        <w:t xml:space="preserve"> th</w:t>
      </w:r>
      <w:r w:rsidRPr="006C5C48" w:rsidR="00CC7096">
        <w:t>e</w:t>
      </w:r>
      <w:r w:rsidRPr="006C5C48" w:rsidR="00134284">
        <w:t xml:space="preserve"> </w:t>
      </w:r>
      <w:r w:rsidRPr="006C5C48" w:rsidR="00E0207A">
        <w:t xml:space="preserve">final </w:t>
      </w:r>
      <w:r w:rsidRPr="006C5C48" w:rsidR="00A7552A">
        <w:t>MCLs</w:t>
      </w:r>
      <w:r w:rsidRPr="006C5C48">
        <w:t xml:space="preserve">. </w:t>
      </w:r>
    </w:p>
    <w:p w:rsidR="00703E06" w:rsidRPr="006C5C48" w:rsidP="003E51FA" w14:paraId="5F7B8C86" w14:textId="4082AAF9">
      <w:pPr>
        <w:rPr>
          <w:szCs w:val="24"/>
        </w:rPr>
      </w:pPr>
      <w:r w:rsidRPr="006C5C48">
        <w:rPr>
          <w:szCs w:val="24"/>
        </w:rPr>
        <w:t xml:space="preserve">The collection frequencies in this rule are discussed further in </w:t>
      </w:r>
      <w:r w:rsidRPr="006C5C48" w:rsidR="0000355A">
        <w:rPr>
          <w:szCs w:val="24"/>
        </w:rPr>
        <w:t>Section V.</w:t>
      </w:r>
      <w:r w:rsidRPr="006C5C48" w:rsidR="00C178C3">
        <w:rPr>
          <w:szCs w:val="24"/>
        </w:rPr>
        <w:fldChar w:fldCharType="begin"/>
      </w:r>
      <w:r w:rsidRPr="006C5C48" w:rsidR="00C178C3">
        <w:rPr>
          <w:szCs w:val="24"/>
        </w:rPr>
        <w:instrText xml:space="preserve"> REF _Ref114992082 \r \h </w:instrText>
      </w:r>
      <w:r w:rsidRPr="006C5C48" w:rsidR="006C5C48">
        <w:rPr>
          <w:szCs w:val="24"/>
        </w:rPr>
        <w:instrText xml:space="preserve"> \* MERGEFORMAT </w:instrText>
      </w:r>
      <w:r w:rsidRPr="006C5C48" w:rsidR="00C178C3">
        <w:rPr>
          <w:szCs w:val="24"/>
        </w:rPr>
        <w:fldChar w:fldCharType="separate"/>
      </w:r>
      <w:r w:rsidRPr="006C5C48" w:rsidR="00C178C3">
        <w:rPr>
          <w:szCs w:val="24"/>
        </w:rPr>
        <w:t>D</w:t>
      </w:r>
      <w:r w:rsidRPr="006C5C48" w:rsidR="00C178C3">
        <w:rPr>
          <w:szCs w:val="24"/>
        </w:rPr>
        <w:fldChar w:fldCharType="end"/>
      </w:r>
      <w:r w:rsidRPr="006C5C48">
        <w:rPr>
          <w:szCs w:val="24"/>
        </w:rPr>
        <w:t xml:space="preserve"> of this ICR </w:t>
      </w:r>
      <w:r w:rsidRPr="006C5C48" w:rsidR="00064662">
        <w:rPr>
          <w:szCs w:val="24"/>
        </w:rPr>
        <w:t>supporting statement</w:t>
      </w:r>
      <w:r w:rsidRPr="006C5C48">
        <w:rPr>
          <w:szCs w:val="24"/>
        </w:rPr>
        <w:t xml:space="preserve">. Monitoring frequencies have been carefully devised based on the following factors: </w:t>
      </w:r>
    </w:p>
    <w:p w:rsidR="00703E06" w:rsidRPr="006C5C48" w:rsidP="003A3B69" w14:paraId="21CAEC63" w14:textId="34915144">
      <w:pPr>
        <w:pStyle w:val="ListParagraph"/>
      </w:pPr>
      <w:r w:rsidRPr="006C5C48">
        <w:t xml:space="preserve">Data quality needed for a representative </w:t>
      </w:r>
      <w:r w:rsidRPr="006C5C48">
        <w:t>sample;</w:t>
      </w:r>
      <w:r w:rsidRPr="006C5C48">
        <w:t xml:space="preserve"> </w:t>
      </w:r>
    </w:p>
    <w:p w:rsidR="00703E06" w:rsidRPr="006C5C48" w:rsidP="003A3B69" w14:paraId="00DB678A" w14:textId="7234C1E8">
      <w:pPr>
        <w:pStyle w:val="ListParagraph"/>
      </w:pPr>
      <w:r w:rsidRPr="006C5C48">
        <w:t xml:space="preserve">Precision and accuracy needed from the representative </w:t>
      </w:r>
      <w:r w:rsidRPr="006C5C48">
        <w:t>sample;</w:t>
      </w:r>
      <w:r w:rsidRPr="006C5C48">
        <w:t xml:space="preserve"> </w:t>
      </w:r>
    </w:p>
    <w:p w:rsidR="00703E06" w:rsidRPr="006C5C48" w:rsidP="003A3B69" w14:paraId="7C1FB6E0" w14:textId="6CFFD99D">
      <w:pPr>
        <w:pStyle w:val="ListParagraph"/>
      </w:pPr>
      <w:r w:rsidRPr="006C5C48">
        <w:t xml:space="preserve">Number of people served by the </w:t>
      </w:r>
      <w:r w:rsidRPr="006C5C48">
        <w:t>PWS;</w:t>
      </w:r>
      <w:r w:rsidRPr="006C5C48">
        <w:t xml:space="preserve"> </w:t>
      </w:r>
    </w:p>
    <w:p w:rsidR="00703E06" w:rsidRPr="006C5C48" w:rsidP="003A3B69" w14:paraId="67B7B3D9" w14:textId="2E4C5173">
      <w:pPr>
        <w:pStyle w:val="ListParagraph"/>
      </w:pPr>
      <w:r w:rsidRPr="006C5C48">
        <w:t>Source of the supply (e.g., surface water or ground water</w:t>
      </w:r>
      <w:r w:rsidRPr="006C5C48">
        <w:t>);</w:t>
      </w:r>
      <w:r w:rsidRPr="006C5C48">
        <w:t xml:space="preserve"> </w:t>
      </w:r>
    </w:p>
    <w:p w:rsidR="00703E06" w:rsidRPr="006C5C48" w:rsidP="003A3B69" w14:paraId="0D7B769C" w14:textId="40DD7488">
      <w:pPr>
        <w:pStyle w:val="ListParagraph"/>
      </w:pPr>
      <w:r w:rsidRPr="006C5C48">
        <w:t xml:space="preserve">Likelihood of finding contaminants; and </w:t>
      </w:r>
    </w:p>
    <w:p w:rsidR="00154759" w:rsidRPr="006C5C48" w:rsidP="003A3B69" w14:paraId="472C6CE9" w14:textId="26E32D3F">
      <w:pPr>
        <w:pStyle w:val="ListParagraph"/>
      </w:pPr>
      <w:r w:rsidRPr="006C5C48">
        <w:t xml:space="preserve">Temporal variability in occurrence. </w:t>
      </w:r>
    </w:p>
    <w:p w:rsidR="00C813DE" w:rsidRPr="006C5C48" w:rsidP="61CD737E" w14:paraId="7C58535C" w14:textId="56D5E403">
      <w:pPr>
        <w:rPr>
          <w:szCs w:val="24"/>
        </w:rPr>
      </w:pPr>
      <w:r w:rsidRPr="006C5C48">
        <w:rPr>
          <w:szCs w:val="24"/>
        </w:rPr>
        <w:t xml:space="preserve">This </w:t>
      </w:r>
      <w:r w:rsidRPr="006C5C48" w:rsidR="00F945CC">
        <w:rPr>
          <w:szCs w:val="24"/>
        </w:rPr>
        <w:t xml:space="preserve">final </w:t>
      </w:r>
      <w:r w:rsidRPr="006C5C48">
        <w:rPr>
          <w:szCs w:val="24"/>
        </w:rPr>
        <w:t>PFAS NPDWR puts in place a framework that sets individual MCLs for PFOA</w:t>
      </w:r>
      <w:r w:rsidRPr="006C5C48" w:rsidR="003D6A02">
        <w:rPr>
          <w:szCs w:val="24"/>
        </w:rPr>
        <w:t>,</w:t>
      </w:r>
      <w:r w:rsidRPr="006C5C48">
        <w:rPr>
          <w:szCs w:val="24"/>
        </w:rPr>
        <w:t xml:space="preserve"> PFOS</w:t>
      </w:r>
      <w:r w:rsidRPr="006C5C48" w:rsidR="003D6A02">
        <w:rPr>
          <w:szCs w:val="24"/>
        </w:rPr>
        <w:t>, PFHxS, PFNA and HFPO-DA</w:t>
      </w:r>
      <w:r w:rsidRPr="006C5C48">
        <w:rPr>
          <w:szCs w:val="24"/>
        </w:rPr>
        <w:t xml:space="preserve">. It also sets an MCL according to a </w:t>
      </w:r>
      <w:r w:rsidRPr="006C5C48" w:rsidR="00B145AC">
        <w:rPr>
          <w:szCs w:val="24"/>
        </w:rPr>
        <w:t>H</w:t>
      </w:r>
      <w:r w:rsidRPr="006C5C48" w:rsidR="005F32B8">
        <w:rPr>
          <w:szCs w:val="24"/>
        </w:rPr>
        <w:t xml:space="preserve">azard </w:t>
      </w:r>
      <w:r w:rsidRPr="006C5C48" w:rsidR="00B145AC">
        <w:rPr>
          <w:szCs w:val="24"/>
        </w:rPr>
        <w:t>I</w:t>
      </w:r>
      <w:r w:rsidRPr="006C5C48" w:rsidR="005F32B8">
        <w:rPr>
          <w:szCs w:val="24"/>
        </w:rPr>
        <w:t>ndex</w:t>
      </w:r>
      <w:r w:rsidRPr="006C5C48">
        <w:rPr>
          <w:szCs w:val="24"/>
        </w:rPr>
        <w:t xml:space="preserve"> approach for </w:t>
      </w:r>
      <w:r w:rsidRPr="006C5C48" w:rsidR="003D6A02">
        <w:rPr>
          <w:szCs w:val="24"/>
        </w:rPr>
        <w:t xml:space="preserve">mixtures of </w:t>
      </w:r>
      <w:r w:rsidRPr="006C5C48">
        <w:rPr>
          <w:szCs w:val="24"/>
        </w:rPr>
        <w:t xml:space="preserve">PFNA, PFHxS, PFBS, and GenX </w:t>
      </w:r>
      <w:r w:rsidRPr="006C5C48" w:rsidR="009F0A2F">
        <w:rPr>
          <w:szCs w:val="24"/>
        </w:rPr>
        <w:t>Chemicals</w:t>
      </w:r>
      <w:r w:rsidRPr="006C5C48">
        <w:rPr>
          <w:szCs w:val="24"/>
        </w:rPr>
        <w:t>.</w:t>
      </w:r>
    </w:p>
    <w:p w:rsidR="00C813DE" w:rsidRPr="006C5C48" w:rsidP="61CD737E" w14:paraId="1D3ECE22" w14:textId="66993B3A">
      <w:pPr>
        <w:rPr>
          <w:szCs w:val="24"/>
        </w:rPr>
      </w:pPr>
      <w:r w:rsidRPr="006C5C48">
        <w:rPr>
          <w:szCs w:val="24"/>
        </w:rPr>
        <w:t xml:space="preserve">This </w:t>
      </w:r>
      <w:r w:rsidRPr="006C5C48" w:rsidR="000A17E6">
        <w:rPr>
          <w:szCs w:val="24"/>
        </w:rPr>
        <w:t xml:space="preserve">final </w:t>
      </w:r>
      <w:r w:rsidRPr="006C5C48">
        <w:rPr>
          <w:szCs w:val="24"/>
        </w:rPr>
        <w:t>rule designates an initial monitoring period in which systems will submit quarterly monitoring data</w:t>
      </w:r>
      <w:r w:rsidRPr="006C5C48" w:rsidR="00DD6F9A">
        <w:rPr>
          <w:szCs w:val="24"/>
        </w:rPr>
        <w:t>. G</w:t>
      </w:r>
      <w:r w:rsidRPr="006C5C48">
        <w:rPr>
          <w:szCs w:val="24"/>
        </w:rPr>
        <w:t xml:space="preserve">roundwater systems serving a population of 10,000 or fewer, </w:t>
      </w:r>
      <w:r w:rsidRPr="006C5C48" w:rsidR="00DD6F9A">
        <w:rPr>
          <w:szCs w:val="24"/>
        </w:rPr>
        <w:t xml:space="preserve">are only </w:t>
      </w:r>
      <w:r w:rsidRPr="006C5C48" w:rsidR="00104C6A">
        <w:rPr>
          <w:szCs w:val="24"/>
        </w:rPr>
        <w:t xml:space="preserve">required to submit </w:t>
      </w:r>
      <w:r w:rsidRPr="006C5C48" w:rsidR="00BB67F8">
        <w:rPr>
          <w:szCs w:val="24"/>
        </w:rPr>
        <w:t xml:space="preserve">two </w:t>
      </w:r>
      <w:r w:rsidRPr="006C5C48" w:rsidR="00104C6A">
        <w:rPr>
          <w:szCs w:val="24"/>
        </w:rPr>
        <w:t>quarterly samples for initial monitoring</w:t>
      </w:r>
      <w:r w:rsidRPr="006C5C48" w:rsidR="00F40F30">
        <w:rPr>
          <w:szCs w:val="24"/>
        </w:rPr>
        <w:t xml:space="preserve"> at each EPTDS</w:t>
      </w:r>
      <w:r w:rsidRPr="006C5C48" w:rsidR="00104C6A">
        <w:rPr>
          <w:szCs w:val="24"/>
        </w:rPr>
        <w:t>.</w:t>
      </w:r>
      <w:r w:rsidRPr="006C5C48" w:rsidR="00325F54">
        <w:rPr>
          <w:szCs w:val="24"/>
        </w:rPr>
        <w:t xml:space="preserve"> All surface water systems and groundwater systems serving greater than 10,000 are </w:t>
      </w:r>
      <w:r w:rsidRPr="006C5C48" w:rsidR="00A66C01">
        <w:rPr>
          <w:szCs w:val="24"/>
        </w:rPr>
        <w:t>required to submit four quarterly samples for initial monitoring</w:t>
      </w:r>
      <w:r w:rsidRPr="006C5C48" w:rsidR="00F40F30">
        <w:rPr>
          <w:szCs w:val="24"/>
        </w:rPr>
        <w:t xml:space="preserve"> at each EPTDS</w:t>
      </w:r>
      <w:r w:rsidRPr="006C5C48" w:rsidR="00A66C01">
        <w:rPr>
          <w:szCs w:val="24"/>
        </w:rPr>
        <w:t>.</w:t>
      </w:r>
      <w:r w:rsidRPr="006C5C48" w:rsidR="00104C6A">
        <w:rPr>
          <w:szCs w:val="24"/>
        </w:rPr>
        <w:t xml:space="preserve"> Previously acquired data may be accepted to meet the initial monitoring requirements.</w:t>
      </w:r>
    </w:p>
    <w:p w:rsidR="00104C6A" w:rsidRPr="006C5C48" w:rsidP="003E51FA" w14:paraId="3FD28B64" w14:textId="5356132A">
      <w:r w:rsidRPr="006C5C48">
        <w:rPr>
          <w:szCs w:val="24"/>
        </w:rPr>
        <w:t xml:space="preserve">Monitoring schedules under the final rule are determined at each individual EPTDS; therefore, a system may have different EPTDS on different long-term monitoring schedules. </w:t>
      </w:r>
      <w:r w:rsidRPr="006C5C48">
        <w:t xml:space="preserve">After the initial monitoring period, </w:t>
      </w:r>
      <w:r w:rsidRPr="006C5C48" w:rsidR="006533F7">
        <w:t>the final NPDWR</w:t>
      </w:r>
      <w:r w:rsidRPr="006C5C48">
        <w:t xml:space="preserve"> establishes trigger level</w:t>
      </w:r>
      <w:r w:rsidRPr="006C5C48" w:rsidR="00A66C01">
        <w:t>s</w:t>
      </w:r>
      <w:r w:rsidRPr="006C5C48" w:rsidR="007B5358">
        <w:t xml:space="preserve"> for the determination of long-term compliance monitoring frequency</w:t>
      </w:r>
      <w:r w:rsidRPr="006C5C48">
        <w:t xml:space="preserve">. </w:t>
      </w:r>
    </w:p>
    <w:p w:rsidR="00703E06" w:rsidRPr="006C5C48" w:rsidP="003E51FA" w14:paraId="41EB77D4" w14:textId="2CF87EEA">
      <w:r w:rsidRPr="006C5C48">
        <w:t xml:space="preserve">More </w:t>
      </w:r>
      <w:r w:rsidRPr="006C5C48">
        <w:t xml:space="preserve">detailed information on monitoring schedules can be found in </w:t>
      </w:r>
      <w:r w:rsidRPr="006C5C48" w:rsidR="009B0BAC">
        <w:t xml:space="preserve">Section </w:t>
      </w:r>
      <w:r w:rsidRPr="006C5C48" w:rsidR="00E3547C">
        <w:t>V.</w:t>
      </w:r>
      <w:r w:rsidRPr="006C5C48" w:rsidR="00E3547C">
        <w:fldChar w:fldCharType="begin"/>
      </w:r>
      <w:r w:rsidRPr="006C5C48" w:rsidR="00E3547C">
        <w:instrText xml:space="preserve"> REF _Ref114992394 \r \h </w:instrText>
      </w:r>
      <w:r w:rsidRPr="006C5C48" w:rsidR="008A5913">
        <w:instrText xml:space="preserve"> \* MERGEFORMAT </w:instrText>
      </w:r>
      <w:r w:rsidRPr="006C5C48" w:rsidR="00E3547C">
        <w:fldChar w:fldCharType="separate"/>
      </w:r>
      <w:r w:rsidRPr="006C5C48" w:rsidR="00E3547C">
        <w:t>D</w:t>
      </w:r>
      <w:r w:rsidRPr="006C5C48" w:rsidR="00E3547C">
        <w:fldChar w:fldCharType="end"/>
      </w:r>
      <w:r w:rsidRPr="006C5C48">
        <w:t xml:space="preserve"> of this ICR </w:t>
      </w:r>
      <w:r w:rsidRPr="006C5C48" w:rsidR="00764318">
        <w:t>supporting statement</w:t>
      </w:r>
      <w:r w:rsidRPr="006C5C48">
        <w:t>.</w:t>
      </w:r>
    </w:p>
    <w:p w:rsidR="008E3728" w:rsidRPr="006C5C48" w:rsidP="003A3B69" w14:paraId="094674DF" w14:textId="4524F41A">
      <w:pPr>
        <w:pStyle w:val="Heading2"/>
      </w:pPr>
      <w:bookmarkStart w:id="55" w:name="_Toc114671112"/>
      <w:bookmarkStart w:id="56" w:name="_Toc114671297"/>
      <w:bookmarkStart w:id="57" w:name="_Toc114777045"/>
      <w:bookmarkStart w:id="58" w:name="_Toc114671113"/>
      <w:bookmarkStart w:id="59" w:name="_Toc114671298"/>
      <w:bookmarkStart w:id="60" w:name="_Toc114777046"/>
      <w:bookmarkStart w:id="61" w:name="_Toc149779118"/>
      <w:bookmarkEnd w:id="55"/>
      <w:bookmarkEnd w:id="56"/>
      <w:bookmarkEnd w:id="57"/>
      <w:bookmarkEnd w:id="58"/>
      <w:bookmarkEnd w:id="59"/>
      <w:bookmarkEnd w:id="60"/>
      <w:r w:rsidRPr="006C5C48">
        <w:t>General Guidelines</w:t>
      </w:r>
      <w:bookmarkEnd w:id="61"/>
    </w:p>
    <w:p w:rsidR="00DB2A29" w:rsidRPr="006C5C48" w:rsidP="003E51FA" w14:paraId="1A2AA5E4" w14:textId="1877B591">
      <w:r w:rsidRPr="006C5C48">
        <w:t xml:space="preserve">This ICR was completed in accordance with the October 2009 version of “EPA's Guide to Writing Information Collection Requests Under the Paperwork Reduction Act of 1995” (hereafter, the “ICR Handbook”). The ICR Handbook was prepared by </w:t>
      </w:r>
      <w:r w:rsidRPr="006C5C48" w:rsidR="00D8783E">
        <w:t xml:space="preserve">the </w:t>
      </w:r>
      <w:r w:rsidRPr="006C5C48" w:rsidR="00E548A5">
        <w:t>EPA</w:t>
      </w:r>
      <w:r w:rsidRPr="006C5C48">
        <w:t xml:space="preserve">'s Office of Environmental Information, Collection Strategies Division. The ICR Handbook provides the most current instructions for ICR preparation to ensure compliance with the 1995 </w:t>
      </w:r>
      <w:r w:rsidRPr="006C5C48" w:rsidR="00154759">
        <w:t>PRA</w:t>
      </w:r>
      <w:r w:rsidRPr="006C5C48">
        <w:t xml:space="preserve"> Amendments and OMB's implementing guidelines.</w:t>
      </w:r>
    </w:p>
    <w:p w:rsidR="00286024" w:rsidRPr="006C5C48" w:rsidP="003E51FA" w14:paraId="49C03E9F" w14:textId="77777777">
      <w:r w:rsidRPr="006C5C48">
        <w:t>This collection complies with all OMB guidelines for information collection activities. Specifically, the respondents are not required to:</w:t>
      </w:r>
    </w:p>
    <w:p w:rsidR="00286024" w:rsidRPr="006C5C48" w:rsidP="003A3B69" w14:paraId="6F2F2FB4" w14:textId="10357E69">
      <w:pPr>
        <w:pStyle w:val="ListParagraph"/>
      </w:pPr>
      <w:r w:rsidRPr="006C5C48">
        <w:t>Prepare a written response to a collection of information in fewer than 30 days after receipt of a request.</w:t>
      </w:r>
    </w:p>
    <w:p w:rsidR="00286024" w:rsidRPr="006C5C48" w:rsidP="003A3B69" w14:paraId="0045F359" w14:textId="1787CF1C">
      <w:pPr>
        <w:pStyle w:val="ListParagraph"/>
      </w:pPr>
      <w:r w:rsidRPr="006C5C48">
        <w:t>Submit more than an original and two copies of any document.</w:t>
      </w:r>
    </w:p>
    <w:p w:rsidR="00286024" w:rsidRPr="006C5C48" w:rsidP="003A3B69" w14:paraId="13ED1B35" w14:textId="6DAAF434">
      <w:pPr>
        <w:pStyle w:val="ListParagraph"/>
      </w:pPr>
      <w:r w:rsidRPr="006C5C48">
        <w:t>Retain records, other than health, medical, government contract, grant-in-aid. or tax records, for more than three years.</w:t>
      </w:r>
    </w:p>
    <w:p w:rsidR="00286024" w:rsidRPr="006C5C48" w:rsidP="003A3B69" w14:paraId="3DA69B26" w14:textId="6689C03E">
      <w:pPr>
        <w:pStyle w:val="ListParagraph"/>
      </w:pPr>
      <w:r w:rsidRPr="006C5C48">
        <w:t xml:space="preserve">Participate in a statistical survey that is not designed to produce data that can be generalized to the universe of the study. </w:t>
      </w:r>
    </w:p>
    <w:p w:rsidR="00286024" w:rsidRPr="006C5C48" w:rsidP="003A3B69" w14:paraId="3B9AD89F" w14:textId="4DA10900">
      <w:pPr>
        <w:pStyle w:val="ListParagraph"/>
      </w:pPr>
      <w:r w:rsidRPr="006C5C48">
        <w:t xml:space="preserve">Use a statistical data classification that has not been reviewed and approved by OMB. </w:t>
      </w:r>
    </w:p>
    <w:p w:rsidR="00286024" w:rsidRPr="006C5C48" w:rsidP="003A3B69" w14:paraId="3E75211B" w14:textId="35E33638">
      <w:pPr>
        <w:pStyle w:val="ListParagraph"/>
      </w:pPr>
      <w:r w:rsidRPr="006C5C48">
        <w:t xml:space="preserve">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286024" w:rsidRPr="006C5C48" w:rsidP="003A3B69" w14:paraId="17C18863" w14:textId="5EE6954E">
      <w:pPr>
        <w:pStyle w:val="ListParagraph"/>
      </w:pPr>
      <w:r w:rsidRPr="006C5C48">
        <w:t xml:space="preserve">Submit proprietary, trade secret, or other confidential information unless </w:t>
      </w:r>
      <w:r w:rsidRPr="006C5C48" w:rsidR="00D8783E">
        <w:t xml:space="preserve">the </w:t>
      </w:r>
      <w:r w:rsidRPr="006C5C48">
        <w:t>EPA can demonstrate that it has instituted procedures to protect the information's confidentiality to the extent permitted by law.</w:t>
      </w:r>
    </w:p>
    <w:p w:rsidR="008E3728" w:rsidRPr="006C5C48" w:rsidP="003A3B69" w14:paraId="6EFE518C" w14:textId="6901D5CE">
      <w:pPr>
        <w:pStyle w:val="Heading2"/>
      </w:pPr>
      <w:bookmarkStart w:id="62" w:name="_Toc114671115"/>
      <w:bookmarkStart w:id="63" w:name="_Toc114671300"/>
      <w:bookmarkStart w:id="64" w:name="_Toc114777048"/>
      <w:bookmarkStart w:id="65" w:name="_Toc149779119"/>
      <w:bookmarkEnd w:id="62"/>
      <w:bookmarkEnd w:id="63"/>
      <w:bookmarkEnd w:id="64"/>
      <w:r w:rsidRPr="006C5C48">
        <w:t>Confidentiality</w:t>
      </w:r>
      <w:bookmarkEnd w:id="65"/>
    </w:p>
    <w:p w:rsidR="00286024" w:rsidRPr="006C5C48" w:rsidP="008E3728" w14:paraId="07234672" w14:textId="66C6F47A">
      <w:pPr>
        <w:numPr>
          <w:ilvl w:val="12"/>
          <w:numId w:val="0"/>
        </w:numPr>
        <w:rPr>
          <w:szCs w:val="24"/>
        </w:rPr>
      </w:pPr>
      <w:r w:rsidRPr="006C5C48">
        <w:rPr>
          <w:szCs w:val="24"/>
        </w:rPr>
        <w:t>This information collection does not require respondents to disclose confidential information.</w:t>
      </w:r>
    </w:p>
    <w:p w:rsidR="008E3728" w:rsidRPr="006C5C48" w:rsidP="003A3B69" w14:paraId="2D8B4D17" w14:textId="09310697">
      <w:pPr>
        <w:pStyle w:val="Heading2"/>
      </w:pPr>
      <w:bookmarkStart w:id="66" w:name="_Toc114671117"/>
      <w:bookmarkStart w:id="67" w:name="_Toc114671302"/>
      <w:bookmarkStart w:id="68" w:name="_Toc114777050"/>
      <w:bookmarkStart w:id="69" w:name="_Toc149779120"/>
      <w:bookmarkEnd w:id="66"/>
      <w:bookmarkEnd w:id="67"/>
      <w:bookmarkEnd w:id="68"/>
      <w:r w:rsidRPr="006C5C48">
        <w:t>Sensitive Questions</w:t>
      </w:r>
      <w:bookmarkEnd w:id="69"/>
    </w:p>
    <w:p w:rsidR="00286024" w:rsidRPr="006C5C48" w:rsidP="008E3728" w14:paraId="234EF205" w14:textId="2441083F">
      <w:pPr>
        <w:numPr>
          <w:ilvl w:val="12"/>
          <w:numId w:val="0"/>
        </w:numPr>
        <w:rPr>
          <w:szCs w:val="24"/>
        </w:rPr>
      </w:pPr>
      <w:r w:rsidRPr="006C5C48">
        <w:rPr>
          <w:szCs w:val="24"/>
        </w:rPr>
        <w:t>No questions of a sensitive nature are included in any of the information collection requirements outlined in this ICR.</w:t>
      </w:r>
    </w:p>
    <w:p w:rsidR="006061FE" w:rsidRPr="006C5C48" w:rsidP="008E3728" w14:paraId="1A2C9203" w14:textId="77777777">
      <w:pPr>
        <w:numPr>
          <w:ilvl w:val="12"/>
          <w:numId w:val="0"/>
        </w:numPr>
        <w:rPr>
          <w:b/>
          <w:bCs/>
          <w:szCs w:val="24"/>
        </w:rPr>
        <w:sectPr w:rsidSect="00D3731A">
          <w:type w:val="continuous"/>
          <w:pgSz w:w="12240" w:h="15840"/>
          <w:pgMar w:top="1440" w:right="1440" w:bottom="1440" w:left="1440" w:header="0" w:footer="980" w:gutter="0"/>
          <w:cols w:space="720"/>
          <w:docGrid w:linePitch="326"/>
        </w:sectPr>
      </w:pPr>
    </w:p>
    <w:p w:rsidR="008E3728" w:rsidRPr="006C5C48" w:rsidP="003A3B69" w14:paraId="650B08AB" w14:textId="56887537">
      <w:pPr>
        <w:pStyle w:val="Heading1"/>
        <w:ind w:firstLine="0"/>
      </w:pPr>
      <w:bookmarkStart w:id="70" w:name="_Toc114671119"/>
      <w:bookmarkStart w:id="71" w:name="_Toc114671304"/>
      <w:bookmarkStart w:id="72" w:name="_Toc114777052"/>
      <w:bookmarkStart w:id="73" w:name="_Toc149779121"/>
      <w:bookmarkEnd w:id="70"/>
      <w:bookmarkEnd w:id="71"/>
      <w:bookmarkEnd w:id="72"/>
      <w:r w:rsidRPr="006C5C48">
        <w:t>The Respondents and the Information Requested</w:t>
      </w:r>
      <w:bookmarkEnd w:id="73"/>
    </w:p>
    <w:p w:rsidR="008E3728" w:rsidRPr="006C5C48" w:rsidP="003A3B69" w14:paraId="735864CE" w14:textId="263B2797">
      <w:pPr>
        <w:pStyle w:val="Heading2"/>
        <w:numPr>
          <w:ilvl w:val="0"/>
          <w:numId w:val="46"/>
        </w:numPr>
      </w:pPr>
      <w:bookmarkStart w:id="74" w:name="_Toc149779122"/>
      <w:r w:rsidRPr="006C5C48">
        <w:t>Respondents/SIC Codes</w:t>
      </w:r>
      <w:bookmarkEnd w:id="74"/>
    </w:p>
    <w:p w:rsidR="00286024" w:rsidRPr="006C5C48" w:rsidP="00707B3F" w14:paraId="36B3CA38" w14:textId="0AB32D8C">
      <w:pPr>
        <w:pStyle w:val="BodyText"/>
      </w:pPr>
      <w:r w:rsidRPr="006C5C48">
        <w:t xml:space="preserve">Data associated with this ICR are collected and maintained at the PWS, state, and </w:t>
      </w:r>
      <w:r w:rsidRPr="006C5C48" w:rsidR="002E0CE8">
        <w:t>Federal levels.</w:t>
      </w:r>
      <w:r w:rsidRPr="006C5C48">
        <w:rPr>
          <w:spacing w:val="-1"/>
        </w:rPr>
        <w:t xml:space="preserve"> </w:t>
      </w:r>
      <w:r w:rsidRPr="006C5C48">
        <w:t>Respondents include:</w:t>
      </w:r>
    </w:p>
    <w:p w:rsidR="00286024" w:rsidRPr="006C5C48" w:rsidP="003A3B69" w14:paraId="7C7391F4" w14:textId="77777777">
      <w:pPr>
        <w:pStyle w:val="ListParagraph"/>
      </w:pPr>
      <w:r w:rsidRPr="006C5C48">
        <w:t>Owners/operators</w:t>
      </w:r>
      <w:r w:rsidRPr="006C5C48">
        <w:rPr>
          <w:spacing w:val="-1"/>
        </w:rPr>
        <w:t xml:space="preserve"> </w:t>
      </w:r>
      <w:r w:rsidRPr="006C5C48">
        <w:t>of</w:t>
      </w:r>
      <w:r w:rsidRPr="006C5C48">
        <w:rPr>
          <w:spacing w:val="-2"/>
        </w:rPr>
        <w:t xml:space="preserve"> </w:t>
      </w:r>
      <w:r w:rsidRPr="006C5C48">
        <w:t>PWSs,</w:t>
      </w:r>
      <w:r w:rsidRPr="006C5C48">
        <w:rPr>
          <w:spacing w:val="-1"/>
        </w:rPr>
        <w:t xml:space="preserve"> </w:t>
      </w:r>
      <w:r w:rsidRPr="006C5C48">
        <w:t>who must</w:t>
      </w:r>
      <w:r w:rsidRPr="006C5C48">
        <w:rPr>
          <w:spacing w:val="-1"/>
        </w:rPr>
        <w:t xml:space="preserve"> </w:t>
      </w:r>
      <w:r w:rsidRPr="006C5C48">
        <w:t>report to</w:t>
      </w:r>
      <w:r w:rsidRPr="006C5C48">
        <w:rPr>
          <w:spacing w:val="-2"/>
        </w:rPr>
        <w:t xml:space="preserve"> </w:t>
      </w:r>
      <w:r w:rsidRPr="006C5C48">
        <w:t>their primacy</w:t>
      </w:r>
      <w:r w:rsidRPr="006C5C48">
        <w:rPr>
          <w:spacing w:val="-1"/>
        </w:rPr>
        <w:t xml:space="preserve"> </w:t>
      </w:r>
      <w:r w:rsidRPr="006C5C48">
        <w:t>agency.</w:t>
      </w:r>
    </w:p>
    <w:p w:rsidR="00286024" w:rsidRPr="006C5C48" w:rsidP="003A3B69" w14:paraId="78B32EB4" w14:textId="01B37D65">
      <w:pPr>
        <w:pStyle w:val="ListParagraph"/>
      </w:pPr>
      <w:r w:rsidRPr="006C5C48">
        <w:t>Primacy agencies, and</w:t>
      </w:r>
      <w:r w:rsidRPr="006C5C48" w:rsidR="00D8783E">
        <w:t xml:space="preserve"> the</w:t>
      </w:r>
      <w:r w:rsidRPr="006C5C48">
        <w:t xml:space="preserve"> </w:t>
      </w:r>
      <w:r w:rsidRPr="006C5C48" w:rsidR="00E548A5">
        <w:t>EPA</w:t>
      </w:r>
      <w:r w:rsidRPr="006C5C48">
        <w:t xml:space="preserve"> Regions that act as primacy agencies for states,</w:t>
      </w:r>
      <w:r w:rsidRPr="006C5C48">
        <w:rPr>
          <w:spacing w:val="-58"/>
        </w:rPr>
        <w:t xml:space="preserve"> </w:t>
      </w:r>
      <w:r w:rsidRPr="006C5C48">
        <w:t>territories,</w:t>
      </w:r>
      <w:r w:rsidRPr="006C5C48">
        <w:rPr>
          <w:spacing w:val="-1"/>
        </w:rPr>
        <w:t xml:space="preserve"> </w:t>
      </w:r>
      <w:r w:rsidRPr="006C5C48">
        <w:t>and tribal lands that do not have primacy.</w:t>
      </w:r>
    </w:p>
    <w:p w:rsidR="00286024" w:rsidRPr="006C5C48" w:rsidP="003A3B69" w14:paraId="47D3E580" w14:textId="33AE6DE1">
      <w:pPr>
        <w:pStyle w:val="ListParagraph"/>
      </w:pPr>
      <w:r w:rsidRPr="006C5C48">
        <w:t>The North American Industry Classification System (NAICS) code for privately owned</w:t>
      </w:r>
      <w:r w:rsidRPr="006C5C48">
        <w:rPr>
          <w:spacing w:val="1"/>
        </w:rPr>
        <w:t xml:space="preserve"> </w:t>
      </w:r>
      <w:r w:rsidRPr="006C5C48">
        <w:t>PWSs is 22131. The NAICS codes for state agencies that include drinking water programs are</w:t>
      </w:r>
      <w:r w:rsidRPr="006C5C48">
        <w:rPr>
          <w:spacing w:val="1"/>
        </w:rPr>
        <w:t xml:space="preserve"> </w:t>
      </w:r>
      <w:r w:rsidRPr="006C5C48">
        <w:t>92411 (Administration of Air and Water Resources and Solid Waste Management Programs) or</w:t>
      </w:r>
      <w:r w:rsidRPr="006C5C48">
        <w:rPr>
          <w:spacing w:val="1"/>
        </w:rPr>
        <w:t xml:space="preserve"> </w:t>
      </w:r>
      <w:r w:rsidRPr="006C5C48">
        <w:t>92312 (Administration of Public Health Programs). Ancillary systems (systems where providing water is ancillary to a primary business, e.g., mobile home parks) cannot be categorized in a</w:t>
      </w:r>
      <w:r w:rsidRPr="006C5C48">
        <w:rPr>
          <w:spacing w:val="1"/>
        </w:rPr>
        <w:t xml:space="preserve"> </w:t>
      </w:r>
      <w:r w:rsidRPr="006C5C48">
        <w:t>single NAICS code. For ancillary systems, the NAICS code is that of the primary establishment</w:t>
      </w:r>
      <w:r w:rsidRPr="006C5C48">
        <w:rPr>
          <w:spacing w:val="1"/>
        </w:rPr>
        <w:t xml:space="preserve"> </w:t>
      </w:r>
      <w:r w:rsidRPr="006C5C48">
        <w:t>or industry.</w:t>
      </w:r>
    </w:p>
    <w:p w:rsidR="008E3728" w:rsidRPr="006C5C48" w:rsidP="003A3B69" w14:paraId="21202720" w14:textId="5E057490">
      <w:pPr>
        <w:pStyle w:val="Heading2"/>
      </w:pPr>
      <w:bookmarkStart w:id="75" w:name="_Toc114671122"/>
      <w:bookmarkStart w:id="76" w:name="_Toc114671307"/>
      <w:bookmarkStart w:id="77" w:name="_Toc114777055"/>
      <w:bookmarkStart w:id="78" w:name="_Toc149779123"/>
      <w:bookmarkEnd w:id="75"/>
      <w:bookmarkEnd w:id="76"/>
      <w:bookmarkEnd w:id="77"/>
      <w:r w:rsidRPr="006C5C48">
        <w:t>Information Requested</w:t>
      </w:r>
      <w:bookmarkEnd w:id="78"/>
    </w:p>
    <w:p w:rsidR="004E2C57" w:rsidRPr="006C5C48" w:rsidP="006D6D21" w14:paraId="5C5AC7CC" w14:textId="00D96504">
      <w:pPr>
        <w:pStyle w:val="Heading3"/>
      </w:pPr>
      <w:r w:rsidRPr="006C5C48">
        <w:t xml:space="preserve">Data items, including record keeping </w:t>
      </w:r>
      <w:r w:rsidRPr="006C5C48">
        <w:t>requirements</w:t>
      </w:r>
    </w:p>
    <w:p w:rsidR="003F6EE8" w:rsidRPr="006C5C48" w:rsidP="003F6EE8" w14:paraId="6E83B6E8" w14:textId="4BF3E8CD">
      <w:pPr>
        <w:ind w:left="360"/>
        <w:rPr>
          <w:szCs w:val="24"/>
        </w:rPr>
      </w:pPr>
      <w:r w:rsidRPr="006C5C48">
        <w:rPr>
          <w:szCs w:val="24"/>
        </w:rPr>
        <w:t xml:space="preserve">The PFAS which will be included for regulation in the </w:t>
      </w:r>
      <w:r w:rsidRPr="006C5C48" w:rsidR="000C5638">
        <w:rPr>
          <w:szCs w:val="24"/>
        </w:rPr>
        <w:t xml:space="preserve">final </w:t>
      </w:r>
      <w:r w:rsidRPr="006C5C48">
        <w:rPr>
          <w:szCs w:val="24"/>
        </w:rPr>
        <w:t>rule are:</w:t>
      </w:r>
    </w:p>
    <w:p w:rsidR="003F6EE8" w:rsidRPr="006C5C48" w:rsidP="003A3B69" w14:paraId="23EA7B96" w14:textId="4E76F3DF">
      <w:pPr>
        <w:pStyle w:val="ListParagraph"/>
      </w:pPr>
      <w:r w:rsidRPr="006C5C48">
        <w:t>Perfluorooctanesulfonic acid (PFOS)</w:t>
      </w:r>
    </w:p>
    <w:p w:rsidR="003F6EE8" w:rsidRPr="006C5C48" w:rsidP="003A3B69" w14:paraId="79447C05" w14:textId="6A031FFA">
      <w:pPr>
        <w:pStyle w:val="ListParagraph"/>
      </w:pPr>
      <w:r w:rsidRPr="006C5C48">
        <w:t>Perfluorooctanoic acid (PFOA)</w:t>
      </w:r>
    </w:p>
    <w:p w:rsidR="003F6EE8" w:rsidRPr="006C5C48" w:rsidP="003A3B69" w14:paraId="14EE9C6E" w14:textId="1D7BF2F1">
      <w:pPr>
        <w:pStyle w:val="ListParagraph"/>
      </w:pPr>
      <w:r w:rsidRPr="006C5C48">
        <w:t>Perfluorononanoic acid (PFNA)</w:t>
      </w:r>
    </w:p>
    <w:p w:rsidR="003F6EE8" w:rsidRPr="006C5C48" w:rsidP="003A3B69" w14:paraId="3723CB36" w14:textId="5AF8FA11">
      <w:pPr>
        <w:pStyle w:val="ListParagraph"/>
      </w:pPr>
      <w:r w:rsidRPr="006C5C48">
        <w:t>Perfluorohexanesulfonic acid (PFHxS)</w:t>
      </w:r>
    </w:p>
    <w:p w:rsidR="003F6EE8" w:rsidRPr="006C5C48" w:rsidP="003A3B69" w14:paraId="57377562" w14:textId="344D7430">
      <w:pPr>
        <w:pStyle w:val="ListParagraph"/>
      </w:pPr>
      <w:r w:rsidRPr="006C5C48">
        <w:t>Perfluorobutanesulfonic acid (PFBS)</w:t>
      </w:r>
    </w:p>
    <w:p w:rsidR="003F6EE8" w:rsidRPr="006C5C48" w:rsidP="003A3B69" w14:paraId="1A6F1D5F" w14:textId="5065EB46">
      <w:pPr>
        <w:pStyle w:val="ListParagraph"/>
      </w:pPr>
      <w:r w:rsidRPr="006C5C48">
        <w:t xml:space="preserve">Hexafluoropropylene oxide dimer acid and its ammonium salt, (HFPO-DA, also known as GenX </w:t>
      </w:r>
      <w:r w:rsidRPr="006C5C48" w:rsidR="009F0A2F">
        <w:t>Chemicals</w:t>
      </w:r>
      <w:r w:rsidRPr="006C5C48">
        <w:t xml:space="preserve">) </w:t>
      </w:r>
    </w:p>
    <w:p w:rsidR="00F73E0F" w:rsidRPr="006C5C48" w:rsidP="00F73E0F" w14:paraId="3BD668C9" w14:textId="00DBFFC0">
      <w:pPr>
        <w:rPr>
          <w:szCs w:val="24"/>
        </w:rPr>
      </w:pPr>
      <w:r w:rsidRPr="006C5C48">
        <w:rPr>
          <w:szCs w:val="24"/>
        </w:rPr>
        <w:t>The following table</w:t>
      </w:r>
      <w:r w:rsidRPr="006C5C48" w:rsidR="007F59DE">
        <w:rPr>
          <w:szCs w:val="24"/>
        </w:rPr>
        <w:t xml:space="preserve"> summarizes the information that PWSs must report to </w:t>
      </w:r>
      <w:r w:rsidRPr="006C5C48">
        <w:rPr>
          <w:szCs w:val="24"/>
        </w:rPr>
        <w:t>the primacy agency</w:t>
      </w:r>
      <w:r w:rsidRPr="006C5C48" w:rsidR="007F59DE">
        <w:rPr>
          <w:szCs w:val="24"/>
        </w:rPr>
        <w:t>. All PWSs must electronically report that information with their sample results.</w:t>
      </w:r>
    </w:p>
    <w:p w:rsidR="00F73E0F" w:rsidRPr="006C5C48" w:rsidP="00F73E0F" w14:paraId="154BEF0E" w14:textId="2B7ECB46">
      <w:pPr>
        <w:rPr>
          <w:szCs w:val="24"/>
        </w:rPr>
      </w:pPr>
      <w:r w:rsidRPr="006C5C48">
        <w:rPr>
          <w:szCs w:val="24"/>
        </w:rPr>
        <w:t>Systems required to sample must report to the State according to the timeframes and provisions of §141.31. Systems must report the information specified in the following table:</w:t>
      </w:r>
    </w:p>
    <w:tbl>
      <w:tblPr>
        <w:tblStyle w:val="TableGrid"/>
        <w:tblW w:w="8640" w:type="dxa"/>
        <w:tblInd w:w="720" w:type="dxa"/>
        <w:tblLayout w:type="fixed"/>
        <w:tblLook w:val="04A0"/>
      </w:tblPr>
      <w:tblGrid>
        <w:gridCol w:w="3680"/>
        <w:gridCol w:w="4960"/>
      </w:tblGrid>
      <w:tr w14:paraId="250B216D" w14:textId="77777777" w:rsidTr="00191477">
        <w:tblPrEx>
          <w:tblW w:w="8640" w:type="dxa"/>
          <w:tblInd w:w="720" w:type="dxa"/>
          <w:tblLayout w:type="fixed"/>
          <w:tblLook w:val="04A0"/>
        </w:tblPrEx>
        <w:tc>
          <w:tcPr>
            <w:tcW w:w="3680" w:type="dxa"/>
            <w:tcBorders>
              <w:top w:val="single" w:sz="8" w:space="0" w:color="auto"/>
              <w:left w:val="single" w:sz="8" w:space="0" w:color="auto"/>
              <w:bottom w:val="single" w:sz="8" w:space="0" w:color="auto"/>
              <w:right w:val="single" w:sz="8" w:space="0" w:color="auto"/>
            </w:tcBorders>
          </w:tcPr>
          <w:p w:rsidR="00F73E0F" w:rsidRPr="006C5C48" w:rsidP="000546E6" w14:paraId="1D1EA615" w14:textId="77777777">
            <w:pPr>
              <w:pStyle w:val="TableHeader"/>
            </w:pPr>
            <w:r w:rsidRPr="006C5C48">
              <w:t>If you are a …</w:t>
            </w:r>
          </w:p>
        </w:tc>
        <w:tc>
          <w:tcPr>
            <w:tcW w:w="4960" w:type="dxa"/>
            <w:tcBorders>
              <w:top w:val="single" w:sz="8" w:space="0" w:color="auto"/>
              <w:left w:val="single" w:sz="8" w:space="0" w:color="auto"/>
              <w:bottom w:val="single" w:sz="8" w:space="0" w:color="auto"/>
              <w:right w:val="single" w:sz="8" w:space="0" w:color="auto"/>
            </w:tcBorders>
          </w:tcPr>
          <w:p w:rsidR="00F73E0F" w:rsidRPr="006C5C48" w:rsidP="000546E6" w14:paraId="3BD63DBC" w14:textId="77777777">
            <w:pPr>
              <w:pStyle w:val="TableHeader"/>
            </w:pPr>
            <w:r w:rsidRPr="006C5C48">
              <w:t>You must report…</w:t>
            </w:r>
          </w:p>
        </w:tc>
      </w:tr>
      <w:tr w14:paraId="5BB23B59" w14:textId="77777777" w:rsidTr="00191477">
        <w:tblPrEx>
          <w:tblW w:w="8640" w:type="dxa"/>
          <w:tblInd w:w="720" w:type="dxa"/>
          <w:tblLayout w:type="fixed"/>
          <w:tblLook w:val="04A0"/>
        </w:tblPrEx>
        <w:tc>
          <w:tcPr>
            <w:tcW w:w="3680" w:type="dxa"/>
            <w:tcBorders>
              <w:top w:val="single" w:sz="8" w:space="0" w:color="auto"/>
              <w:left w:val="single" w:sz="8" w:space="0" w:color="auto"/>
              <w:bottom w:val="single" w:sz="8" w:space="0" w:color="auto"/>
              <w:right w:val="single" w:sz="8" w:space="0" w:color="auto"/>
            </w:tcBorders>
          </w:tcPr>
          <w:p w:rsidR="00F73E0F" w:rsidRPr="006C5C48" w:rsidP="000546E6" w14:paraId="370E1B0E" w14:textId="675B7DFD">
            <w:pPr>
              <w:pStyle w:val="TableBody"/>
            </w:pPr>
            <w:r w:rsidRPr="006C5C48">
              <w:rPr>
                <w:rFonts w:cs="Times New Roman"/>
              </w:rPr>
              <w:t>System monitoring for regulated PFAS under the requirements of § 141.902(b)(1) on a quarterly basis</w:t>
            </w:r>
            <w:r w:rsidRPr="006C5C48">
              <w:tab/>
            </w:r>
          </w:p>
        </w:tc>
        <w:tc>
          <w:tcPr>
            <w:tcW w:w="4960" w:type="dxa"/>
            <w:tcBorders>
              <w:top w:val="single" w:sz="8" w:space="0" w:color="auto"/>
              <w:left w:val="single" w:sz="8" w:space="0" w:color="auto"/>
              <w:bottom w:val="single" w:sz="8" w:space="0" w:color="auto"/>
              <w:right w:val="single" w:sz="8" w:space="0" w:color="auto"/>
            </w:tcBorders>
          </w:tcPr>
          <w:p w:rsidR="002632DD" w:rsidRPr="006C5C48" w:rsidP="00707B3F" w14:paraId="68D48DE5" w14:textId="77777777">
            <w:pPr>
              <w:pStyle w:val="BodyText"/>
            </w:pPr>
            <w:r w:rsidRPr="006C5C48">
              <w:t>1. All sample results, including the location, number of samples taken at each location, date, and concentrations reported.</w:t>
            </w:r>
          </w:p>
          <w:p w:rsidR="00F73E0F" w:rsidRPr="006C5C48" w:rsidP="000546E6" w14:paraId="4590B666" w14:textId="5256D6A4">
            <w:pPr>
              <w:pStyle w:val="TableBody"/>
            </w:pPr>
            <w:r w:rsidRPr="006C5C48">
              <w:rPr>
                <w:rFonts w:cs="Times New Roman"/>
              </w:rPr>
              <w:t>2. Whether a trigger level, defined in § 141.902(a)(5), was met or exceeded in any samples.</w:t>
            </w:r>
          </w:p>
        </w:tc>
      </w:tr>
      <w:tr w14:paraId="51992B80" w14:textId="77777777" w:rsidTr="00191477">
        <w:tblPrEx>
          <w:tblW w:w="8640" w:type="dxa"/>
          <w:tblInd w:w="720" w:type="dxa"/>
          <w:tblLayout w:type="fixed"/>
          <w:tblLook w:val="04A0"/>
        </w:tblPrEx>
        <w:tc>
          <w:tcPr>
            <w:tcW w:w="3680" w:type="dxa"/>
            <w:tcBorders>
              <w:top w:val="single" w:sz="8" w:space="0" w:color="auto"/>
              <w:left w:val="single" w:sz="8" w:space="0" w:color="auto"/>
              <w:bottom w:val="single" w:sz="8" w:space="0" w:color="auto"/>
              <w:right w:val="single" w:sz="8" w:space="0" w:color="auto"/>
            </w:tcBorders>
          </w:tcPr>
          <w:p w:rsidR="00F73E0F" w:rsidRPr="006C5C48" w:rsidP="000546E6" w14:paraId="5F9BAC6F" w14:textId="5361D6DE">
            <w:pPr>
              <w:pStyle w:val="TableBody"/>
            </w:pPr>
            <w:r w:rsidRPr="006C5C48">
              <w:rPr>
                <w:rFonts w:cs="Times New Roman"/>
              </w:rPr>
              <w:t>System monitoring for regulated PFAS under the requirements of § 141.902(b)(1) less frequently than quarterly</w:t>
            </w:r>
            <w:r w:rsidRPr="006C5C48">
              <w:tab/>
            </w:r>
          </w:p>
        </w:tc>
        <w:tc>
          <w:tcPr>
            <w:tcW w:w="4960" w:type="dxa"/>
            <w:tcBorders>
              <w:top w:val="single" w:sz="8" w:space="0" w:color="auto"/>
              <w:left w:val="single" w:sz="8" w:space="0" w:color="auto"/>
              <w:bottom w:val="single" w:sz="8" w:space="0" w:color="auto"/>
              <w:right w:val="single" w:sz="8" w:space="0" w:color="auto"/>
            </w:tcBorders>
          </w:tcPr>
          <w:p w:rsidR="0014163C" w:rsidRPr="006C5C48" w:rsidP="00707B3F" w14:paraId="05419093" w14:textId="77777777">
            <w:pPr>
              <w:pStyle w:val="BodyText"/>
            </w:pPr>
            <w:r w:rsidRPr="006C5C48">
              <w:t xml:space="preserve">1. All sample results, including the location, number of samples taken at each location, date, and concentrations reported. </w:t>
            </w:r>
          </w:p>
          <w:p w:rsidR="0014163C" w:rsidRPr="006C5C48" w:rsidP="00707B3F" w14:paraId="3F541A50" w14:textId="77777777">
            <w:pPr>
              <w:pStyle w:val="BodyText"/>
            </w:pPr>
            <w:r w:rsidRPr="006C5C48">
              <w:t>2. Whether a trigger level, defined in § 141.902(a)(5), was met or exceeded in any samples.</w:t>
            </w:r>
          </w:p>
          <w:p w:rsidR="00F73E0F" w:rsidRPr="006C5C48" w:rsidP="000546E6" w14:paraId="280B3912" w14:textId="633C02C5">
            <w:pPr>
              <w:pStyle w:val="TableBody"/>
            </w:pPr>
          </w:p>
        </w:tc>
      </w:tr>
    </w:tbl>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9569"/>
      </w:tblGrid>
      <w:tr w14:paraId="401E38B4" w14:textId="77777777">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134"/>
        </w:trPr>
        <w:tc>
          <w:tcPr>
            <w:tcW w:w="9569" w:type="dxa"/>
            <w:tcBorders>
              <w:top w:val="none" w:sz="6" w:space="0" w:color="auto"/>
              <w:bottom w:val="none" w:sz="6" w:space="0" w:color="auto"/>
            </w:tcBorders>
          </w:tcPr>
          <w:p w:rsidR="007F59DE" w:rsidRPr="006C5C48" w:rsidP="007F59DE" w14:paraId="7CC58221" w14:textId="0D5293EC">
            <w:r w:rsidRPr="006C5C48">
              <w:t xml:space="preserve"> </w:t>
            </w:r>
          </w:p>
        </w:tc>
      </w:tr>
    </w:tbl>
    <w:p w:rsidR="007F59DE" w:rsidRPr="006C5C48" w:rsidP="006D6D21" w14:paraId="613E62D5" w14:textId="0609C3AE">
      <w:pPr>
        <w:pStyle w:val="Heading3"/>
      </w:pPr>
      <w:bookmarkStart w:id="79" w:name="_Toc114671125"/>
      <w:bookmarkStart w:id="80" w:name="_Toc114671126"/>
      <w:bookmarkStart w:id="81" w:name="_Toc114671127"/>
      <w:bookmarkEnd w:id="79"/>
      <w:bookmarkEnd w:id="80"/>
      <w:bookmarkEnd w:id="81"/>
      <w:r w:rsidRPr="006C5C48">
        <w:t>Respondent Activities</w:t>
      </w:r>
    </w:p>
    <w:p w:rsidR="008466C4" w:rsidRPr="006C5C48" w:rsidP="007F59DE" w14:paraId="6B88ED0C" w14:textId="04E38DC1">
      <w:pPr>
        <w:tabs>
          <w:tab w:val="left" w:pos="720"/>
          <w:tab w:val="left" w:pos="1440"/>
          <w:tab w:val="left" w:pos="2160"/>
          <w:tab w:val="left" w:pos="2880"/>
          <w:tab w:val="left" w:pos="3600"/>
          <w:tab w:val="center" w:pos="4680"/>
        </w:tabs>
        <w:rPr>
          <w:szCs w:val="24"/>
        </w:rPr>
      </w:pPr>
      <w:r w:rsidRPr="006C5C48">
        <w:rPr>
          <w:szCs w:val="24"/>
        </w:rPr>
        <w:t>Respondents include both PWSs and States. State</w:t>
      </w:r>
      <w:r w:rsidRPr="006C5C48" w:rsidR="002E0CE8">
        <w:rPr>
          <w:szCs w:val="24"/>
        </w:rPr>
        <w:t xml:space="preserve"> and PWS</w:t>
      </w:r>
      <w:r w:rsidRPr="006C5C48">
        <w:rPr>
          <w:szCs w:val="24"/>
        </w:rPr>
        <w:t xml:space="preserve"> activities are discussed in sections</w:t>
      </w:r>
      <w:r w:rsidRPr="006C5C48" w:rsidR="002E0CE8">
        <w:rPr>
          <w:szCs w:val="24"/>
        </w:rPr>
        <w:t xml:space="preserve"> </w:t>
      </w:r>
      <w:r w:rsidRPr="006C5C48" w:rsidR="00611D92">
        <w:rPr>
          <w:szCs w:val="24"/>
        </w:rPr>
        <w:t>V</w:t>
      </w:r>
      <w:r w:rsidRPr="006C5C48" w:rsidR="008B4368">
        <w:rPr>
          <w:szCs w:val="24"/>
        </w:rPr>
        <w:t>I</w:t>
      </w:r>
      <w:r w:rsidRPr="006C5C48" w:rsidR="00611D92">
        <w:rPr>
          <w:szCs w:val="24"/>
        </w:rPr>
        <w:t>.A(1)</w:t>
      </w:r>
      <w:r w:rsidRPr="006C5C48" w:rsidR="002B4CCE">
        <w:rPr>
          <w:szCs w:val="24"/>
        </w:rPr>
        <w:t xml:space="preserve"> </w:t>
      </w:r>
      <w:r w:rsidRPr="006C5C48" w:rsidR="002E0CE8">
        <w:rPr>
          <w:szCs w:val="24"/>
        </w:rPr>
        <w:t xml:space="preserve">and </w:t>
      </w:r>
      <w:r w:rsidRPr="006C5C48" w:rsidR="00611D92">
        <w:rPr>
          <w:szCs w:val="24"/>
        </w:rPr>
        <w:t>V</w:t>
      </w:r>
      <w:r w:rsidRPr="006C5C48" w:rsidR="008B4368">
        <w:rPr>
          <w:szCs w:val="24"/>
        </w:rPr>
        <w:t>I</w:t>
      </w:r>
      <w:r w:rsidRPr="006C5C48" w:rsidR="00611D92">
        <w:rPr>
          <w:szCs w:val="24"/>
        </w:rPr>
        <w:t>.A(2)</w:t>
      </w:r>
      <w:r w:rsidRPr="006C5C48" w:rsidR="002E0CE8">
        <w:rPr>
          <w:szCs w:val="24"/>
        </w:rPr>
        <w:t>, respectively.</w:t>
      </w:r>
    </w:p>
    <w:p w:rsidR="008466C4" w:rsidRPr="006C5C48" w:rsidP="001E40CF" w14:paraId="22875CE6" w14:textId="3E03BAB2">
      <w:pPr>
        <w:pStyle w:val="Heading4"/>
      </w:pPr>
      <w:r w:rsidRPr="006C5C48">
        <w:t>Primacy Agency Activities</w:t>
      </w:r>
    </w:p>
    <w:p w:rsidR="008466C4" w:rsidRPr="006C5C48" w:rsidP="008466C4" w14:paraId="3AFEEF1D" w14:textId="65979C78">
      <w:pPr>
        <w:pStyle w:val="NormalWeb"/>
      </w:pPr>
      <w:r w:rsidRPr="006C5C48">
        <w:t xml:space="preserve">The </w:t>
      </w:r>
      <w:r w:rsidRPr="006C5C48">
        <w:t>EPA anticipates Primacy Agencies will be involved in the following activities for the first three years after publication of the final rule:</w:t>
      </w:r>
    </w:p>
    <w:p w:rsidR="008466C4" w:rsidRPr="006C5C48" w:rsidP="003A3B69" w14:paraId="3F5B7A46" w14:textId="665D21C9">
      <w:pPr>
        <w:pStyle w:val="ListParagraph"/>
      </w:pPr>
      <w:r w:rsidRPr="006C5C48">
        <w:t>Startup activities – read and understand the rule, adopt regulatory change, and provide internal and system staff with training and technical assistance;</w:t>
      </w:r>
      <w:r w:rsidR="00210985">
        <w:t xml:space="preserve"> and</w:t>
      </w:r>
    </w:p>
    <w:p w:rsidR="008466C4" w:rsidRPr="006C5C48" w:rsidP="003A3B69" w14:paraId="1A9B9BC7" w14:textId="2D027EFA">
      <w:pPr>
        <w:pStyle w:val="ListParagraph"/>
      </w:pPr>
      <w:r w:rsidRPr="006C5C48">
        <w:t>Review the initial monitoring event results, including confirmation sample results for MCL exceedances</w:t>
      </w:r>
      <w:r w:rsidR="00E9162F">
        <w:t>.</w:t>
      </w:r>
    </w:p>
    <w:p w:rsidR="008E3728" w:rsidRPr="006C5C48" w:rsidP="001E40CF" w14:paraId="66853D1C" w14:textId="63D43932">
      <w:pPr>
        <w:pStyle w:val="Heading4"/>
        <w:rPr>
          <w:szCs w:val="24"/>
        </w:rPr>
      </w:pPr>
      <w:r w:rsidRPr="006C5C48">
        <w:t>Public Water System Activities</w:t>
      </w:r>
      <w:r w:rsidRPr="006C5C48" w:rsidR="007F59DE">
        <w:rPr>
          <w:szCs w:val="24"/>
        </w:rPr>
        <w:tab/>
      </w:r>
    </w:p>
    <w:p w:rsidR="008466C4" w:rsidRPr="006C5C48" w:rsidP="008466C4" w14:paraId="7F1BF154" w14:textId="729429FF">
      <w:pPr>
        <w:pStyle w:val="NormalWeb"/>
      </w:pPr>
      <w:r w:rsidRPr="006C5C48">
        <w:t xml:space="preserve">The </w:t>
      </w:r>
      <w:r w:rsidRPr="006C5C48">
        <w:t>EPA anticipates systems will be involved in the following activities for the first three years after publication of the final rule:</w:t>
      </w:r>
    </w:p>
    <w:p w:rsidR="008466C4" w:rsidRPr="006C5C48" w:rsidP="003A3B69" w14:paraId="6E062E0E" w14:textId="4B6A82C0">
      <w:pPr>
        <w:pStyle w:val="ListParagraph"/>
      </w:pPr>
      <w:r w:rsidRPr="006C5C48">
        <w:t>Startup activities – read and understand the rule and attend initial training from the primacy agency;</w:t>
      </w:r>
      <w:r w:rsidR="00210985">
        <w:t xml:space="preserve"> and</w:t>
      </w:r>
    </w:p>
    <w:p w:rsidR="008466C4" w:rsidRPr="006C5C48" w:rsidP="003A3B69" w14:paraId="7E21C9BD" w14:textId="69312928">
      <w:pPr>
        <w:pStyle w:val="ListParagraph"/>
      </w:pPr>
      <w:r w:rsidRPr="006C5C48">
        <w:t>Conduct initial monitoring including confirmation sampling for MCL exceedances</w:t>
      </w:r>
      <w:r w:rsidR="00E9162F">
        <w:t>.</w:t>
      </w:r>
    </w:p>
    <w:p w:rsidR="008E3728" w:rsidRPr="006C5C48" w:rsidP="003A3B69" w14:paraId="58813C31" w14:textId="6B09C9AD">
      <w:pPr>
        <w:pStyle w:val="Heading1"/>
        <w:ind w:firstLine="0"/>
      </w:pPr>
      <w:bookmarkStart w:id="82" w:name="_Toc114671129"/>
      <w:bookmarkStart w:id="83" w:name="_Toc114671309"/>
      <w:bookmarkStart w:id="84" w:name="_Toc114777057"/>
      <w:bookmarkStart w:id="85" w:name="_Toc149779124"/>
      <w:bookmarkEnd w:id="82"/>
      <w:bookmarkEnd w:id="83"/>
      <w:bookmarkEnd w:id="84"/>
      <w:r w:rsidRPr="006C5C48">
        <w:t>The Information Collected–Agency Activities, Collection Methodology, and Information Management</w:t>
      </w:r>
      <w:bookmarkEnd w:id="85"/>
    </w:p>
    <w:p w:rsidR="008E3728" w:rsidRPr="006C5C48" w:rsidP="003A3B69" w14:paraId="70EEFF23" w14:textId="642CE4B0">
      <w:pPr>
        <w:pStyle w:val="Heading2"/>
        <w:numPr>
          <w:ilvl w:val="0"/>
          <w:numId w:val="47"/>
        </w:numPr>
      </w:pPr>
      <w:bookmarkStart w:id="86" w:name="_Toc149779125"/>
      <w:r w:rsidRPr="006C5C48">
        <w:t>Agency Activities</w:t>
      </w:r>
      <w:bookmarkEnd w:id="86"/>
    </w:p>
    <w:p w:rsidR="002E0CE8" w:rsidRPr="006C5C48" w:rsidP="002E0CE8" w14:paraId="46FA1C81" w14:textId="6736E8B2">
      <w:pPr>
        <w:numPr>
          <w:ilvl w:val="12"/>
          <w:numId w:val="0"/>
        </w:numPr>
        <w:rPr>
          <w:szCs w:val="24"/>
        </w:rPr>
      </w:pPr>
      <w:r w:rsidRPr="006C5C48">
        <w:rPr>
          <w:szCs w:val="24"/>
        </w:rPr>
        <w:t xml:space="preserve">The Agency is responsible for promulgating and overseeing the implementation of the </w:t>
      </w:r>
      <w:r w:rsidRPr="006C5C48" w:rsidR="009C3978">
        <w:rPr>
          <w:szCs w:val="24"/>
        </w:rPr>
        <w:t xml:space="preserve">final </w:t>
      </w:r>
      <w:r w:rsidRPr="006C5C48">
        <w:rPr>
          <w:szCs w:val="24"/>
        </w:rPr>
        <w:t>PFAS regulation. The Agency is involved in the following activities that assist primacy agencies in implementing the modifications:</w:t>
      </w:r>
    </w:p>
    <w:p w:rsidR="002E0CE8" w:rsidRPr="006C5C48" w:rsidP="003A3B69" w14:paraId="780A5DB4" w14:textId="19B571A4">
      <w:pPr>
        <w:pStyle w:val="ListParagraph"/>
      </w:pPr>
      <w:r w:rsidRPr="006C5C48">
        <w:t>Develop the regulation.</w:t>
      </w:r>
    </w:p>
    <w:p w:rsidR="002E0CE8" w:rsidRPr="006C5C48" w:rsidP="003A3B69" w14:paraId="2F51A227" w14:textId="49749CF0">
      <w:pPr>
        <w:pStyle w:val="ListParagraph"/>
      </w:pPr>
      <w:r w:rsidRPr="006C5C48">
        <w:t>Respond to questions on the regulations.</w:t>
      </w:r>
    </w:p>
    <w:p w:rsidR="002E0CE8" w:rsidRPr="006C5C48" w:rsidP="003A3B69" w14:paraId="508433CD" w14:textId="69C68CD4">
      <w:pPr>
        <w:pStyle w:val="ListParagraph"/>
      </w:pPr>
      <w:r w:rsidRPr="006C5C48">
        <w:t>The Agency will also conduct primacy activities in states, tribes, and territories that do not have primacy.</w:t>
      </w:r>
    </w:p>
    <w:p w:rsidR="008E3728" w:rsidRPr="006C5C48" w:rsidP="003A3B69" w14:paraId="1BBECBAA" w14:textId="2AD79742">
      <w:pPr>
        <w:pStyle w:val="Heading2"/>
      </w:pPr>
      <w:bookmarkStart w:id="87" w:name="_Toc114671132"/>
      <w:bookmarkStart w:id="88" w:name="_Toc114671312"/>
      <w:bookmarkStart w:id="89" w:name="_Toc114777060"/>
      <w:bookmarkStart w:id="90" w:name="_Toc149779126"/>
      <w:bookmarkEnd w:id="87"/>
      <w:bookmarkEnd w:id="88"/>
      <w:bookmarkEnd w:id="89"/>
      <w:r w:rsidRPr="006C5C48">
        <w:t>Collection Methodology and Management</w:t>
      </w:r>
      <w:bookmarkEnd w:id="90"/>
    </w:p>
    <w:p w:rsidR="002E0CE8" w:rsidRPr="006C5C48" w:rsidP="008E3728" w14:paraId="3AB7B6F2" w14:textId="66DC72E2">
      <w:pPr>
        <w:numPr>
          <w:ilvl w:val="12"/>
          <w:numId w:val="0"/>
        </w:numPr>
        <w:rPr>
          <w:szCs w:val="24"/>
        </w:rPr>
      </w:pPr>
      <w:r w:rsidRPr="006C5C48">
        <w:rPr>
          <w:szCs w:val="24"/>
        </w:rPr>
        <w:t xml:space="preserve">The data generated </w:t>
      </w:r>
      <w:r w:rsidRPr="006C5C48">
        <w:rPr>
          <w:szCs w:val="24"/>
        </w:rPr>
        <w:t>as a result of</w:t>
      </w:r>
      <w:r w:rsidRPr="006C5C48">
        <w:rPr>
          <w:szCs w:val="24"/>
        </w:rPr>
        <w:t xml:space="preserve"> this </w:t>
      </w:r>
      <w:r w:rsidRPr="006C5C48" w:rsidR="00644594">
        <w:rPr>
          <w:szCs w:val="24"/>
        </w:rPr>
        <w:t xml:space="preserve">final </w:t>
      </w:r>
      <w:r w:rsidRPr="006C5C48">
        <w:rPr>
          <w:szCs w:val="24"/>
        </w:rPr>
        <w:t xml:space="preserve">regulation will be integrated in the existing quarterly </w:t>
      </w:r>
      <w:r w:rsidRPr="006C5C48" w:rsidR="00154759">
        <w:rPr>
          <w:szCs w:val="24"/>
        </w:rPr>
        <w:t>Safe Drinking Water Information System (</w:t>
      </w:r>
      <w:r w:rsidRPr="006C5C48">
        <w:rPr>
          <w:szCs w:val="24"/>
        </w:rPr>
        <w:t>SDWIS</w:t>
      </w:r>
      <w:r w:rsidRPr="006C5C48" w:rsidR="00154759">
        <w:rPr>
          <w:szCs w:val="24"/>
        </w:rPr>
        <w:t>)</w:t>
      </w:r>
      <w:r w:rsidRPr="006C5C48">
        <w:rPr>
          <w:szCs w:val="24"/>
        </w:rPr>
        <w:t xml:space="preserve"> reporting process. The collection methodology and management of SDWIS is described in the ICR entitled Public Water System Supervision Program (OMB control number 2040-0090; EPA ID 0270.46).</w:t>
      </w:r>
    </w:p>
    <w:p w:rsidR="008E3728" w:rsidRPr="006C5C48" w:rsidP="003A3B69" w14:paraId="01980C9B" w14:textId="7A2AF8A1">
      <w:pPr>
        <w:pStyle w:val="Heading2"/>
      </w:pPr>
      <w:bookmarkStart w:id="91" w:name="_Toc114671134"/>
      <w:bookmarkStart w:id="92" w:name="_Toc114671314"/>
      <w:bookmarkStart w:id="93" w:name="_Toc114777062"/>
      <w:bookmarkStart w:id="94" w:name="_Ref114991824"/>
      <w:bookmarkStart w:id="95" w:name="_Ref114991856"/>
      <w:bookmarkStart w:id="96" w:name="_Ref114991865"/>
      <w:bookmarkStart w:id="97" w:name="_Toc149779127"/>
      <w:bookmarkEnd w:id="91"/>
      <w:bookmarkEnd w:id="92"/>
      <w:bookmarkEnd w:id="93"/>
      <w:r w:rsidRPr="006C5C48">
        <w:t>Small Entity Flexibility</w:t>
      </w:r>
      <w:bookmarkEnd w:id="94"/>
      <w:bookmarkEnd w:id="95"/>
      <w:bookmarkEnd w:id="96"/>
      <w:bookmarkEnd w:id="97"/>
    </w:p>
    <w:p w:rsidR="0039781B" w:rsidRPr="006C5C48" w14:paraId="77D26810" w14:textId="76350E3A">
      <w:r w:rsidRPr="006C5C48">
        <w:t xml:space="preserve">The RFA of 1980, amended by the SBREFA of 1996, requires regulators to assess the effects of regulations on small entities including businesses, nonprofit organizations, and governments. RFA/SBREFA generally requires an agency to prepare a regulatory flexibility analysis of any rule subject to notice and comment rulemaking requirements under the Administrative Procedure Act or any other statute unless the </w:t>
      </w:r>
      <w:r w:rsidRPr="006C5C48" w:rsidR="009208EC">
        <w:t xml:space="preserve">Agency </w:t>
      </w:r>
      <w:r w:rsidRPr="006C5C48">
        <w:t>certifies that the rule will not have a significant economic impact on a substantial number of small entities (SISNOSE). Small entities include small businesses, small organizations, and small governmental jurisdictions.</w:t>
      </w:r>
      <w:r w:rsidRPr="006C5C48" w:rsidR="00B4769A">
        <w:t xml:space="preserve"> </w:t>
      </w:r>
      <w:r w:rsidRPr="006C5C48">
        <w:t xml:space="preserve">For purposes of assessing the impacts of the rule on small entities, </w:t>
      </w:r>
      <w:r w:rsidRPr="006C5C48" w:rsidR="00D8783E">
        <w:t xml:space="preserve">the </w:t>
      </w:r>
      <w:r w:rsidRPr="006C5C48">
        <w:t xml:space="preserve">EPA considered small entities to be systems serving 10,000 people or fewer. This is the cut-off level specified by Congress in the SDWA 1996 Amendments for small system flexibility provisions. As required by the RFA, </w:t>
      </w:r>
      <w:r w:rsidRPr="006C5C48" w:rsidR="00D8783E">
        <w:t xml:space="preserve">the </w:t>
      </w:r>
      <w:r w:rsidRPr="006C5C48">
        <w:t>EPA proposed using this alternative definition in the Federal Register (FR) (63 FR 7620, February 13, 1998), requested public comment, consulted with the SBA, and finalized the alternative definition in the Agency’s Consumer Confidence Reports regulation (U.S. EPA, 1998b, 63 FR 44524, August 19, 1998). As stated in that Final Rule, the alternative definition would be applied for all future drinking water regulations.</w:t>
      </w:r>
      <w:r w:rsidRPr="006C5C48" w:rsidR="00C04750">
        <w:t xml:space="preserve"> </w:t>
      </w:r>
      <w:r w:rsidRPr="006C5C48">
        <w:t>A</w:t>
      </w:r>
      <w:r w:rsidRPr="006C5C48" w:rsidR="00154759">
        <w:t>n</w:t>
      </w:r>
      <w:r w:rsidRPr="006C5C48">
        <w:t xml:space="preserve"> SBAR Panel </w:t>
      </w:r>
      <w:r w:rsidRPr="006C5C48" w:rsidR="00154759">
        <w:t>(</w:t>
      </w:r>
      <w:r w:rsidRPr="006C5C48">
        <w:t xml:space="preserve">or Panel) was convened to review the planned proposed rulemaking on the Proposed PFAS NPDWR. The panel consulted with and reported on the comments of SERs and made findings on issues related to elements of an IRFA under section 603 of the RFA. Detailed information on the overall panel process can be found in the panel report titled, Final Report of the Small Business Advocacy Review Panel on </w:t>
      </w:r>
      <w:r w:rsidRPr="006C5C48" w:rsidR="00D8783E">
        <w:t xml:space="preserve">the </w:t>
      </w:r>
      <w:r w:rsidRPr="006C5C48">
        <w:t xml:space="preserve">EPA’s Planned Proposed Rule Per- and Polyfluoroalkyl Substances National Primary Drinking Water Regulation and can be found in the rulemaking docket </w:t>
      </w:r>
      <w:r w:rsidRPr="006C5C48" w:rsidR="00652ECB">
        <w:t>EPA-HQ-OW-2022-0114</w:t>
      </w:r>
      <w:r w:rsidRPr="006C5C48">
        <w:t>.</w:t>
      </w:r>
      <w:r w:rsidRPr="006C5C48" w:rsidR="002D090F">
        <w:t xml:space="preserve"> </w:t>
      </w:r>
      <w:r w:rsidRPr="006C5C48">
        <w:t xml:space="preserve">For a detailed description of the regulatory requirements under the </w:t>
      </w:r>
      <w:r w:rsidRPr="006C5C48" w:rsidR="006850FB">
        <w:t xml:space="preserve">final </w:t>
      </w:r>
      <w:r w:rsidRPr="006C5C48">
        <w:t>PFAS regulation</w:t>
      </w:r>
      <w:r w:rsidRPr="006C5C48" w:rsidR="002D090F">
        <w:t>,</w:t>
      </w:r>
      <w:r w:rsidRPr="006C5C48">
        <w:t xml:space="preserve"> see </w:t>
      </w:r>
      <w:r w:rsidRPr="006C5C48" w:rsidR="00F364AA">
        <w:t xml:space="preserve">Subpart Z </w:t>
      </w:r>
      <w:r w:rsidRPr="006C5C48" w:rsidR="000815BE">
        <w:t xml:space="preserve">of the proposed </w:t>
      </w:r>
      <w:r w:rsidRPr="006C5C48" w:rsidR="00154759">
        <w:t>Code of Federal Regulations (</w:t>
      </w:r>
      <w:r w:rsidRPr="006C5C48" w:rsidR="000815BE">
        <w:t>CFR</w:t>
      </w:r>
      <w:r w:rsidRPr="006C5C48" w:rsidR="00154759">
        <w:t>)</w:t>
      </w:r>
      <w:r w:rsidRPr="006C5C48" w:rsidR="000815BE">
        <w:t xml:space="preserve"> amendments</w:t>
      </w:r>
      <w:r w:rsidRPr="006C5C48">
        <w:t xml:space="preserve">. Under the </w:t>
      </w:r>
      <w:r w:rsidRPr="006C5C48" w:rsidR="006B777D">
        <w:t xml:space="preserve">final </w:t>
      </w:r>
      <w:r w:rsidRPr="006C5C48">
        <w:t>rule requirements, PWSs subject to the rule are required to conduct initial monitoring or demonstrate recent, previously collected monitoring data to determine the level</w:t>
      </w:r>
      <w:r w:rsidRPr="006C5C48" w:rsidR="006B777D">
        <w:t>s</w:t>
      </w:r>
      <w:r w:rsidRPr="006C5C48">
        <w:t xml:space="preserve"> of</w:t>
      </w:r>
      <w:r w:rsidRPr="006C5C48" w:rsidR="006B777D">
        <w:t xml:space="preserve"> regulated</w:t>
      </w:r>
      <w:r w:rsidRPr="006C5C48">
        <w:t xml:space="preserve"> PFAS in their water system. The </w:t>
      </w:r>
      <w:r w:rsidRPr="006C5C48" w:rsidR="006B777D">
        <w:t xml:space="preserve">final </w:t>
      </w:r>
      <w:r w:rsidRPr="006C5C48">
        <w:t xml:space="preserve">NPDWR includes a provision, made available to PWSs of all sizes, including CWSs and NTNCWs serving 10,000 or fewer people, to use previously collected monitoring data that meets criteria specified in </w:t>
      </w:r>
      <w:r w:rsidRPr="006C5C48" w:rsidR="00A21ADF">
        <w:t>§ 141.</w:t>
      </w:r>
      <w:r w:rsidRPr="006C5C48" w:rsidR="005F6542">
        <w:t>902</w:t>
      </w:r>
      <w:r w:rsidRPr="006C5C48" w:rsidR="00A21ADF">
        <w:t xml:space="preserve"> </w:t>
      </w:r>
      <w:r w:rsidRPr="006C5C48">
        <w:t>of proposed CFR amendments.</w:t>
      </w:r>
      <w:r w:rsidRPr="006C5C48" w:rsidR="003D4E4A">
        <w:t xml:space="preserve"> </w:t>
      </w:r>
      <w:r w:rsidRPr="006C5C48">
        <w:t xml:space="preserve">Based on initial monitoring results, systems will be required to conduct ongoing monitoring at least every three years (triennially) or as often as four times per year (quarterly). </w:t>
      </w:r>
      <w:r w:rsidRPr="006C5C48" w:rsidR="00952335">
        <w:t xml:space="preserve">Following quarterly monitoring, </w:t>
      </w:r>
      <w:r w:rsidRPr="006C5C48" w:rsidR="00387E46">
        <w:t xml:space="preserve">systems may be able conduct annual monitoring for sampling locations after four consecutive quarterly samples are determined to all be reliably and consistently below the MCLs. </w:t>
      </w:r>
      <w:r w:rsidRPr="006C5C48" w:rsidR="00FB2044">
        <w:t xml:space="preserve">The </w:t>
      </w:r>
      <w:r w:rsidRPr="006C5C48">
        <w:t xml:space="preserve">EPA has included a provision in the </w:t>
      </w:r>
      <w:r w:rsidRPr="006C5C48" w:rsidR="00D31B2D">
        <w:t xml:space="preserve">final </w:t>
      </w:r>
      <w:r w:rsidRPr="006C5C48">
        <w:t xml:space="preserve">NPDWR </w:t>
      </w:r>
      <w:r w:rsidRPr="006C5C48" w:rsidR="4A67BAD3">
        <w:t>in which</w:t>
      </w:r>
      <w:r w:rsidRPr="006C5C48">
        <w:t xml:space="preserve"> groundwater systems serving a population of 10,000 or fewer may collect two quarterly samples over a one-year period for the purpose of initial monitoring, rather than collecting four quarterly samples.</w:t>
      </w:r>
    </w:p>
    <w:p w:rsidR="009B3A05" w:rsidRPr="006C5C48" w:rsidP="003A3B69" w14:paraId="58A2534E" w14:textId="77777777">
      <w:pPr>
        <w:pStyle w:val="Heading2"/>
      </w:pPr>
      <w:bookmarkStart w:id="98" w:name="_Toc114671136"/>
      <w:bookmarkStart w:id="99" w:name="_Toc114671316"/>
      <w:bookmarkStart w:id="100" w:name="_Toc114777064"/>
      <w:bookmarkStart w:id="101" w:name="_Ref114992069"/>
      <w:bookmarkStart w:id="102" w:name="_Ref114992082"/>
      <w:bookmarkStart w:id="103" w:name="_Ref114992394"/>
      <w:bookmarkStart w:id="104" w:name="_Toc149779128"/>
      <w:bookmarkEnd w:id="98"/>
      <w:bookmarkEnd w:id="99"/>
      <w:bookmarkEnd w:id="100"/>
      <w:r w:rsidRPr="006C5C48">
        <w:t>Collection Schedule</w:t>
      </w:r>
      <w:bookmarkEnd w:id="101"/>
      <w:bookmarkEnd w:id="102"/>
      <w:bookmarkEnd w:id="103"/>
      <w:bookmarkEnd w:id="104"/>
    </w:p>
    <w:p w:rsidR="003B17E8" w:rsidRPr="006C5C48" w:rsidP="00C774B7" w14:paraId="3551EB34" w14:textId="257AE911">
      <w:pPr>
        <w:pStyle w:val="paragraph"/>
        <w:spacing w:before="0" w:beforeAutospacing="0" w:after="0" w:afterAutospacing="0"/>
        <w:textAlignment w:val="baseline"/>
        <w:rPr>
          <w:rStyle w:val="normaltextrun"/>
          <w:shd w:val="clear" w:color="auto" w:fill="FFFFFF"/>
        </w:rPr>
      </w:pPr>
      <w:r w:rsidRPr="006C5C48">
        <w:t xml:space="preserve">The </w:t>
      </w:r>
      <w:r w:rsidRPr="006C5C48" w:rsidR="00475A9A">
        <w:t>EPA is requiring CWS and NTNCWSs to monitor for certain PFAS. T</w:t>
      </w:r>
      <w:r w:rsidRPr="006C5C48" w:rsidR="00475A9A">
        <w:rPr>
          <w:rStyle w:val="normaltextrun"/>
          <w:bdr w:val="none" w:sz="0" w:space="0" w:color="auto" w:frame="1"/>
        </w:rPr>
        <w:t xml:space="preserve">he Agency is </w:t>
      </w:r>
      <w:r w:rsidRPr="006C5C48" w:rsidR="00683D36">
        <w:rPr>
          <w:rStyle w:val="normaltextrun"/>
          <w:bdr w:val="none" w:sz="0" w:space="0" w:color="auto" w:frame="1"/>
        </w:rPr>
        <w:t>requiring</w:t>
      </w:r>
      <w:r w:rsidRPr="006C5C48" w:rsidR="00475A9A">
        <w:rPr>
          <w:rStyle w:val="normaltextrun"/>
          <w:bdr w:val="none" w:sz="0" w:space="0" w:color="auto" w:frame="1"/>
        </w:rPr>
        <w:t xml:space="preserve"> that </w:t>
      </w:r>
      <w:r w:rsidRPr="006C5C48" w:rsidR="00715781">
        <w:rPr>
          <w:rStyle w:val="normaltextrun"/>
          <w:bdr w:val="none" w:sz="0" w:space="0" w:color="auto" w:frame="1"/>
        </w:rPr>
        <w:t>the</w:t>
      </w:r>
      <w:r w:rsidRPr="006C5C48" w:rsidR="00475A9A">
        <w:rPr>
          <w:rStyle w:val="normaltextrun"/>
          <w:bdr w:val="none" w:sz="0" w:space="0" w:color="auto" w:frame="1"/>
        </w:rPr>
        <w:t xml:space="preserve"> </w:t>
      </w:r>
      <w:r w:rsidRPr="006C5C48" w:rsidR="00475A9A">
        <w:rPr>
          <w:rStyle w:val="normaltextrun"/>
          <w:shd w:val="clear" w:color="auto" w:fill="FFFFFF"/>
        </w:rPr>
        <w:t xml:space="preserve">monitoring frequency for </w:t>
      </w:r>
      <w:r w:rsidRPr="006C5C48" w:rsidR="00E36F6D">
        <w:rPr>
          <w:rStyle w:val="normaltextrun"/>
          <w:shd w:val="clear" w:color="auto" w:fill="FFFFFF"/>
        </w:rPr>
        <w:t xml:space="preserve">each EPTDS at </w:t>
      </w:r>
      <w:r w:rsidRPr="006C5C48" w:rsidR="00475A9A">
        <w:rPr>
          <w:rStyle w:val="normaltextrun"/>
          <w:shd w:val="clear" w:color="auto" w:fill="FFFFFF"/>
        </w:rPr>
        <w:t xml:space="preserve">a </w:t>
      </w:r>
      <w:r w:rsidRPr="006C5C48" w:rsidR="00154759">
        <w:rPr>
          <w:rStyle w:val="normaltextrun"/>
          <w:shd w:val="clear" w:color="auto" w:fill="FFFFFF"/>
        </w:rPr>
        <w:t>PWS</w:t>
      </w:r>
      <w:r w:rsidRPr="006C5C48" w:rsidR="00475A9A">
        <w:rPr>
          <w:rStyle w:val="normaltextrun"/>
          <w:shd w:val="clear" w:color="auto" w:fill="FFFFFF"/>
        </w:rPr>
        <w:t xml:space="preserve"> is dependent on previous monitoring results, among other things. </w:t>
      </w:r>
      <w:r w:rsidRPr="006C5C48" w:rsidR="008B0482">
        <w:t>Monitoring schedules under the final rule are determined at each individual EPTDS</w:t>
      </w:r>
      <w:r w:rsidRPr="006C5C48" w:rsidR="00FD36CB">
        <w:t xml:space="preserve"> within a system</w:t>
      </w:r>
      <w:r w:rsidRPr="006C5C48" w:rsidR="008B0482">
        <w:t xml:space="preserve">; therefore, a system may have different EPTDS on different long-term monitoring schedules. </w:t>
      </w:r>
      <w:r w:rsidRPr="006C5C48">
        <w:t>The</w:t>
      </w:r>
      <w:r w:rsidRPr="006C5C48" w:rsidR="008B0482">
        <w:t xml:space="preserve"> </w:t>
      </w:r>
      <w:r w:rsidRPr="006C5C48" w:rsidR="00475A9A">
        <w:rPr>
          <w:rStyle w:val="normaltextrun"/>
          <w:shd w:val="clear" w:color="auto" w:fill="FFFFFF"/>
        </w:rPr>
        <w:t xml:space="preserve">EPA is </w:t>
      </w:r>
      <w:r w:rsidRPr="006C5C48" w:rsidR="00CC137E">
        <w:rPr>
          <w:rStyle w:val="normaltextrun"/>
          <w:shd w:val="clear" w:color="auto" w:fill="FFFFFF"/>
        </w:rPr>
        <w:t>requiring</w:t>
      </w:r>
      <w:r w:rsidRPr="006C5C48" w:rsidR="00475A9A">
        <w:rPr>
          <w:rStyle w:val="normaltextrun"/>
          <w:shd w:val="clear" w:color="auto" w:fill="FFFFFF"/>
        </w:rPr>
        <w:t xml:space="preserve"> all surface water systems and groundwater systems serving greater than 10,000 to </w:t>
      </w:r>
      <w:r w:rsidRPr="006C5C48" w:rsidR="00BE503B">
        <w:rPr>
          <w:rStyle w:val="normaltextrun"/>
          <w:shd w:val="clear" w:color="auto" w:fill="FFFFFF"/>
        </w:rPr>
        <w:t xml:space="preserve">initially </w:t>
      </w:r>
      <w:r w:rsidRPr="006C5C48" w:rsidR="00475A9A">
        <w:rPr>
          <w:rStyle w:val="normaltextrun"/>
          <w:shd w:val="clear" w:color="auto" w:fill="FFFFFF"/>
        </w:rPr>
        <w:t xml:space="preserve">monitor quarterly within a 12-month period for </w:t>
      </w:r>
      <w:r w:rsidRPr="006C5C48" w:rsidR="00B25585">
        <w:rPr>
          <w:rStyle w:val="normaltextrun"/>
          <w:shd w:val="clear" w:color="auto" w:fill="FFFFFF"/>
        </w:rPr>
        <w:t xml:space="preserve">regulated </w:t>
      </w:r>
      <w:r w:rsidRPr="006C5C48" w:rsidR="00475A9A">
        <w:rPr>
          <w:rStyle w:val="normaltextrun"/>
          <w:shd w:val="clear" w:color="auto" w:fill="FFFFFF"/>
        </w:rPr>
        <w:t>PFAS</w:t>
      </w:r>
      <w:r w:rsidRPr="006C5C48" w:rsidR="00684969">
        <w:rPr>
          <w:rStyle w:val="normaltextrun"/>
          <w:shd w:val="clear" w:color="auto" w:fill="FFFFFF"/>
        </w:rPr>
        <w:t xml:space="preserve"> at each EPTDS</w:t>
      </w:r>
      <w:r w:rsidRPr="006C5C48" w:rsidR="00475A9A">
        <w:rPr>
          <w:rStyle w:val="normaltextrun"/>
          <w:shd w:val="clear" w:color="auto" w:fill="FFFFFF"/>
        </w:rPr>
        <w:t xml:space="preserve">. To provide additional flexibilities for small groundwater systems, </w:t>
      </w:r>
      <w:r w:rsidRPr="006C5C48">
        <w:rPr>
          <w:rStyle w:val="normaltextrun"/>
          <w:shd w:val="clear" w:color="auto" w:fill="FFFFFF"/>
        </w:rPr>
        <w:t>the</w:t>
      </w:r>
      <w:r w:rsidRPr="006C5C48" w:rsidR="00475A9A">
        <w:rPr>
          <w:rStyle w:val="normaltextrun"/>
          <w:shd w:val="clear" w:color="auto" w:fill="FFFFFF"/>
        </w:rPr>
        <w:t xml:space="preserve"> EPA </w:t>
      </w:r>
      <w:r w:rsidRPr="006C5C48" w:rsidR="00684969">
        <w:rPr>
          <w:rStyle w:val="normaltextrun"/>
          <w:shd w:val="clear" w:color="auto" w:fill="FFFFFF"/>
        </w:rPr>
        <w:t xml:space="preserve">is </w:t>
      </w:r>
      <w:r w:rsidRPr="006C5C48" w:rsidR="00475A9A">
        <w:rPr>
          <w:rStyle w:val="normaltextrun"/>
          <w:shd w:val="clear" w:color="auto" w:fill="FFFFFF"/>
        </w:rPr>
        <w:t xml:space="preserve">also </w:t>
      </w:r>
      <w:r w:rsidRPr="006C5C48" w:rsidR="00B25585">
        <w:rPr>
          <w:rStyle w:val="normaltextrun"/>
          <w:shd w:val="clear" w:color="auto" w:fill="FFFFFF"/>
        </w:rPr>
        <w:t>finalizin</w:t>
      </w:r>
      <w:r w:rsidRPr="006C5C48" w:rsidR="002B0497">
        <w:rPr>
          <w:rStyle w:val="normaltextrun"/>
          <w:shd w:val="clear" w:color="auto" w:fill="FFFFFF"/>
        </w:rPr>
        <w:t>g</w:t>
      </w:r>
      <w:r w:rsidRPr="006C5C48" w:rsidR="00475A9A">
        <w:rPr>
          <w:rStyle w:val="normaltextrun"/>
          <w:shd w:val="clear" w:color="auto" w:fill="FFFFFF"/>
        </w:rPr>
        <w:t xml:space="preserve"> a modification to the</w:t>
      </w:r>
      <w:r w:rsidRPr="006C5C48" w:rsidR="00154759">
        <w:rPr>
          <w:rStyle w:val="normaltextrun"/>
          <w:shd w:val="clear" w:color="auto" w:fill="FFFFFF"/>
        </w:rPr>
        <w:t xml:space="preserve"> Standardized Monitoring</w:t>
      </w:r>
      <w:r w:rsidRPr="006C5C48" w:rsidR="00C43611">
        <w:rPr>
          <w:rStyle w:val="normaltextrun"/>
          <w:shd w:val="clear" w:color="auto" w:fill="FFFFFF"/>
        </w:rPr>
        <w:t xml:space="preserve"> Framework</w:t>
      </w:r>
      <w:r w:rsidRPr="006C5C48" w:rsidR="00475A9A">
        <w:rPr>
          <w:rStyle w:val="normaltextrun"/>
          <w:shd w:val="clear" w:color="auto" w:fill="FFFFFF"/>
        </w:rPr>
        <w:t xml:space="preserve"> </w:t>
      </w:r>
      <w:r w:rsidRPr="006C5C48" w:rsidR="00154759">
        <w:rPr>
          <w:rStyle w:val="normaltextrun"/>
          <w:shd w:val="clear" w:color="auto" w:fill="FFFFFF"/>
        </w:rPr>
        <w:t>(</w:t>
      </w:r>
      <w:r w:rsidRPr="006C5C48" w:rsidR="00475A9A">
        <w:rPr>
          <w:rStyle w:val="normaltextrun"/>
          <w:shd w:val="clear" w:color="auto" w:fill="FFFFFF"/>
        </w:rPr>
        <w:t>SMF</w:t>
      </w:r>
      <w:r w:rsidRPr="006C5C48" w:rsidR="00154759">
        <w:rPr>
          <w:rStyle w:val="normaltextrun"/>
          <w:shd w:val="clear" w:color="auto" w:fill="FFFFFF"/>
        </w:rPr>
        <w:t>)</w:t>
      </w:r>
      <w:r w:rsidRPr="006C5C48" w:rsidR="00475A9A">
        <w:rPr>
          <w:rStyle w:val="normaltextrun"/>
          <w:shd w:val="clear" w:color="auto" w:fill="FFFFFF"/>
        </w:rPr>
        <w:t xml:space="preserve"> for </w:t>
      </w:r>
      <w:r w:rsidRPr="006C5C48" w:rsidR="00154759">
        <w:rPr>
          <w:rStyle w:val="normaltextrun"/>
          <w:shd w:val="clear" w:color="auto" w:fill="FFFFFF"/>
        </w:rPr>
        <w:t>synthetic organic contaminants</w:t>
      </w:r>
      <w:r w:rsidRPr="006C5C48" w:rsidR="00C04750">
        <w:rPr>
          <w:rStyle w:val="normaltextrun"/>
          <w:shd w:val="clear" w:color="auto" w:fill="FFFFFF"/>
        </w:rPr>
        <w:t xml:space="preserve"> (</w:t>
      </w:r>
      <w:r w:rsidRPr="006C5C48" w:rsidR="00475A9A">
        <w:rPr>
          <w:rStyle w:val="normaltextrun"/>
          <w:shd w:val="clear" w:color="auto" w:fill="FFFFFF"/>
        </w:rPr>
        <w:t>SOCs</w:t>
      </w:r>
      <w:r w:rsidRPr="006C5C48" w:rsidR="00C04750">
        <w:rPr>
          <w:rStyle w:val="normaltextrun"/>
          <w:shd w:val="clear" w:color="auto" w:fill="FFFFFF"/>
        </w:rPr>
        <w:t>)</w:t>
      </w:r>
      <w:r w:rsidRPr="006C5C48" w:rsidR="00475A9A">
        <w:rPr>
          <w:rStyle w:val="normaltextrun"/>
          <w:shd w:val="clear" w:color="auto" w:fill="FFFFFF"/>
        </w:rPr>
        <w:t xml:space="preserve"> in that groundwater systems serving 10,000 or fewer are initially required to only monitor twice within a 12-month period for </w:t>
      </w:r>
      <w:r w:rsidRPr="006C5C48" w:rsidR="00926760">
        <w:rPr>
          <w:rStyle w:val="normaltextrun"/>
          <w:shd w:val="clear" w:color="auto" w:fill="FFFFFF"/>
        </w:rPr>
        <w:t xml:space="preserve">regulated </w:t>
      </w:r>
      <w:r w:rsidRPr="006C5C48" w:rsidR="00475A9A">
        <w:rPr>
          <w:rStyle w:val="normaltextrun"/>
          <w:shd w:val="clear" w:color="auto" w:fill="FFFFFF"/>
        </w:rPr>
        <w:t>PFAS</w:t>
      </w:r>
      <w:r w:rsidRPr="006C5C48" w:rsidR="00926760">
        <w:rPr>
          <w:rStyle w:val="normaltextrun"/>
          <w:shd w:val="clear" w:color="auto" w:fill="FFFFFF"/>
        </w:rPr>
        <w:t xml:space="preserve"> at EPTDS</w:t>
      </w:r>
      <w:r w:rsidRPr="006C5C48" w:rsidR="00475A9A">
        <w:rPr>
          <w:rStyle w:val="normaltextrun"/>
          <w:shd w:val="clear" w:color="auto" w:fill="FFFFFF"/>
        </w:rPr>
        <w:t xml:space="preserve">. </w:t>
      </w:r>
      <w:r w:rsidRPr="006C5C48" w:rsidR="00B6612A">
        <w:rPr>
          <w:rStyle w:val="normaltextrun"/>
          <w:shd w:val="clear" w:color="auto" w:fill="FFFFFF"/>
        </w:rPr>
        <w:t>All</w:t>
      </w:r>
      <w:r w:rsidRPr="006C5C48" w:rsidR="00475A9A">
        <w:rPr>
          <w:rStyle w:val="normaltextrun"/>
          <w:shd w:val="clear" w:color="auto" w:fill="FFFFFF"/>
        </w:rPr>
        <w:t xml:space="preserve"> systems would be allowed to use previously acquired monitoring data to satisfy </w:t>
      </w:r>
      <w:r w:rsidRPr="006C5C48" w:rsidR="00926760">
        <w:rPr>
          <w:rStyle w:val="normaltextrun"/>
          <w:shd w:val="clear" w:color="auto" w:fill="FFFFFF"/>
        </w:rPr>
        <w:t xml:space="preserve">some or </w:t>
      </w:r>
      <w:r w:rsidRPr="006C5C48" w:rsidR="00926760">
        <w:rPr>
          <w:rStyle w:val="normaltextrun"/>
          <w:shd w:val="clear" w:color="auto" w:fill="FFFFFF"/>
        </w:rPr>
        <w:t>all of</w:t>
      </w:r>
      <w:r w:rsidRPr="006C5C48" w:rsidR="00926760">
        <w:rPr>
          <w:rStyle w:val="normaltextrun"/>
          <w:shd w:val="clear" w:color="auto" w:fill="FFFFFF"/>
        </w:rPr>
        <w:t xml:space="preserve"> </w:t>
      </w:r>
      <w:r w:rsidRPr="006C5C48" w:rsidR="00475A9A">
        <w:rPr>
          <w:rStyle w:val="normaltextrun"/>
          <w:shd w:val="clear" w:color="auto" w:fill="FFFFFF"/>
        </w:rPr>
        <w:t xml:space="preserve">the initial monitoring requirements. </w:t>
      </w:r>
    </w:p>
    <w:p w:rsidR="002E2752" w:rsidRPr="006C5C48" w:rsidP="00C774B7" w14:paraId="3E569FA9" w14:textId="6C1122AC">
      <w:pPr>
        <w:pStyle w:val="paragraph"/>
        <w:spacing w:before="0" w:beforeAutospacing="0" w:after="0" w:afterAutospacing="0"/>
        <w:textAlignment w:val="baseline"/>
        <w:rPr>
          <w:rStyle w:val="normaltextrun"/>
        </w:rPr>
      </w:pPr>
      <w:r w:rsidRPr="006C5C48">
        <w:rPr>
          <w:rStyle w:val="normaltextrun"/>
          <w:shd w:val="clear" w:color="auto" w:fill="FFFFFF"/>
        </w:rPr>
        <w:t xml:space="preserve">Based </w:t>
      </w:r>
      <w:r w:rsidRPr="006C5C48" w:rsidR="00475A9A">
        <w:rPr>
          <w:rStyle w:val="normaltextrun"/>
          <w:shd w:val="clear" w:color="auto" w:fill="FFFFFF"/>
        </w:rPr>
        <w:t xml:space="preserve">upon the </w:t>
      </w:r>
      <w:r w:rsidRPr="006C5C48" w:rsidR="009F4EB8">
        <w:rPr>
          <w:rStyle w:val="normaltextrun"/>
          <w:shd w:val="clear" w:color="auto" w:fill="FFFFFF"/>
        </w:rPr>
        <w:t xml:space="preserve">initial </w:t>
      </w:r>
      <w:r w:rsidRPr="006C5C48" w:rsidR="00475A9A">
        <w:rPr>
          <w:rStyle w:val="normaltextrun"/>
          <w:shd w:val="clear" w:color="auto" w:fill="FFFFFF"/>
        </w:rPr>
        <w:t xml:space="preserve">monitoring results, States would be able to reduce </w:t>
      </w:r>
      <w:r w:rsidRPr="006C5C48" w:rsidR="009F4EB8">
        <w:rPr>
          <w:rStyle w:val="normaltextrun"/>
          <w:shd w:val="clear" w:color="auto" w:fill="FFFFFF"/>
        </w:rPr>
        <w:t xml:space="preserve">long-term </w:t>
      </w:r>
      <w:r w:rsidRPr="006C5C48" w:rsidR="00475A9A">
        <w:rPr>
          <w:rStyle w:val="normaltextrun"/>
          <w:shd w:val="clear" w:color="auto" w:fill="FFFFFF"/>
        </w:rPr>
        <w:t xml:space="preserve">monitoring frequency for </w:t>
      </w:r>
      <w:r w:rsidRPr="006C5C48" w:rsidR="00050171">
        <w:rPr>
          <w:rStyle w:val="normaltextrun"/>
          <w:shd w:val="clear" w:color="auto" w:fill="FFFFFF"/>
        </w:rPr>
        <w:t xml:space="preserve">EPTDS within </w:t>
      </w:r>
      <w:r w:rsidRPr="006C5C48" w:rsidR="00475A9A">
        <w:rPr>
          <w:rStyle w:val="normaltextrun"/>
          <w:shd w:val="clear" w:color="auto" w:fill="FFFFFF"/>
        </w:rPr>
        <w:t xml:space="preserve">a system to once every three years if the State concludes that the system is </w:t>
      </w:r>
      <w:r w:rsidRPr="006C5C48" w:rsidR="00050171">
        <w:rPr>
          <w:rStyle w:val="normaltextrun"/>
          <w:shd w:val="clear" w:color="auto" w:fill="FFFFFF"/>
        </w:rPr>
        <w:t>below the rule trigger levels</w:t>
      </w:r>
      <w:r w:rsidRPr="006C5C48" w:rsidR="00475A9A">
        <w:rPr>
          <w:rStyle w:val="normaltextrun"/>
          <w:shd w:val="clear" w:color="auto" w:fill="FFFFFF"/>
        </w:rPr>
        <w:t>, defined below.</w:t>
      </w:r>
      <w:r w:rsidRPr="006C5C48" w:rsidR="003D4E4A">
        <w:rPr>
          <w:rStyle w:val="normaltextrun"/>
          <w:shd w:val="clear" w:color="auto" w:fill="FFFFFF"/>
        </w:rPr>
        <w:t xml:space="preserve"> </w:t>
      </w:r>
      <w:r w:rsidRPr="006C5C48" w:rsidR="007E7005">
        <w:rPr>
          <w:rStyle w:val="normaltextrun"/>
        </w:rPr>
        <w:t xml:space="preserve"> All </w:t>
      </w:r>
      <w:r w:rsidRPr="006C5C48" w:rsidR="00751258">
        <w:rPr>
          <w:rStyle w:val="normaltextrun"/>
        </w:rPr>
        <w:t xml:space="preserve">other EPTDS </w:t>
      </w:r>
      <w:r w:rsidRPr="006C5C48" w:rsidR="002D10AD">
        <w:rPr>
          <w:rStyle w:val="normaltextrun"/>
        </w:rPr>
        <w:t xml:space="preserve">with initial monitoring results at or above the rule trigger levels, are required to conduct quarterly </w:t>
      </w:r>
      <w:r w:rsidRPr="006C5C48" w:rsidR="00BF7A44">
        <w:rPr>
          <w:rStyle w:val="normaltextrun"/>
        </w:rPr>
        <w:t>monitoring</w:t>
      </w:r>
      <w:r w:rsidRPr="006C5C48" w:rsidR="005C3905">
        <w:rPr>
          <w:rStyle w:val="normaltextrun"/>
        </w:rPr>
        <w:t xml:space="preserve"> immediately following initial monitoring</w:t>
      </w:r>
      <w:r w:rsidRPr="006C5C48" w:rsidR="00BF7A44">
        <w:rPr>
          <w:rStyle w:val="normaltextrun"/>
        </w:rPr>
        <w:t>.</w:t>
      </w:r>
    </w:p>
    <w:p w:rsidR="00C774B7" w:rsidRPr="006C5C48" w:rsidP="00C774B7" w14:paraId="0B211686" w14:textId="774BFA61">
      <w:pPr>
        <w:pStyle w:val="paragraph"/>
        <w:spacing w:before="0" w:beforeAutospacing="0" w:after="0" w:afterAutospacing="0"/>
        <w:textAlignment w:val="baseline"/>
        <w:rPr>
          <w:rStyle w:val="eop"/>
        </w:rPr>
      </w:pPr>
      <w:r w:rsidRPr="006C5C48">
        <w:rPr>
          <w:rStyle w:val="normaltextrun"/>
        </w:rPr>
        <w:t>Systems</w:t>
      </w:r>
      <w:r w:rsidRPr="006C5C48">
        <w:rPr>
          <w:rStyle w:val="normaltextrun"/>
        </w:rPr>
        <w:t xml:space="preserve"> will</w:t>
      </w:r>
      <w:r w:rsidRPr="006C5C48">
        <w:rPr>
          <w:rStyle w:val="normaltextrun"/>
        </w:rPr>
        <w:t xml:space="preserve"> </w:t>
      </w:r>
      <w:r w:rsidRPr="006C5C48">
        <w:rPr>
          <w:rStyle w:val="normaltextrun"/>
        </w:rPr>
        <w:t xml:space="preserve">conduct </w:t>
      </w:r>
      <w:r w:rsidRPr="006C5C48" w:rsidR="009F4EB8">
        <w:rPr>
          <w:rStyle w:val="normaltextrun"/>
        </w:rPr>
        <w:t>long-term</w:t>
      </w:r>
      <w:r w:rsidRPr="006C5C48" w:rsidR="001C045D">
        <w:rPr>
          <w:rStyle w:val="normaltextrun"/>
        </w:rPr>
        <w:t xml:space="preserve"> </w:t>
      </w:r>
      <w:r w:rsidRPr="006C5C48">
        <w:rPr>
          <w:rStyle w:val="normaltextrun"/>
        </w:rPr>
        <w:t>compliance monitoring to demonstrate that finished drinking water is below the MCLs for regulated PFAS. Under th</w:t>
      </w:r>
      <w:r w:rsidRPr="006C5C48">
        <w:rPr>
          <w:rStyle w:val="normaltextrun"/>
        </w:rPr>
        <w:t>e final rule</w:t>
      </w:r>
      <w:r w:rsidRPr="006C5C48">
        <w:rPr>
          <w:rStyle w:val="normaltextrun"/>
        </w:rPr>
        <w:t xml:space="preserve">, </w:t>
      </w:r>
      <w:r w:rsidRPr="006C5C48" w:rsidR="00154759">
        <w:rPr>
          <w:rStyle w:val="normaltextrun"/>
        </w:rPr>
        <w:t>PWS</w:t>
      </w:r>
      <w:r w:rsidRPr="006C5C48">
        <w:rPr>
          <w:rStyle w:val="normaltextrun"/>
        </w:rPr>
        <w:t xml:space="preserve">s must show the state that the contaminant is not present in the drinking water supply or, if present, is </w:t>
      </w:r>
      <w:r w:rsidRPr="006C5C48" w:rsidR="00E56884">
        <w:rPr>
          <w:rStyle w:val="normaltextrun"/>
        </w:rPr>
        <w:t xml:space="preserve">below the rule trigger levels and/or </w:t>
      </w:r>
      <w:r w:rsidRPr="006C5C48">
        <w:rPr>
          <w:rStyle w:val="normaltextrun"/>
        </w:rPr>
        <w:t xml:space="preserve">reliably and consistently below the MCLs for </w:t>
      </w:r>
      <w:r w:rsidRPr="006C5C48" w:rsidR="00466E02">
        <w:rPr>
          <w:rStyle w:val="normaltextrun"/>
        </w:rPr>
        <w:t xml:space="preserve">regulated </w:t>
      </w:r>
      <w:r w:rsidRPr="006C5C48">
        <w:rPr>
          <w:rStyle w:val="normaltextrun"/>
        </w:rPr>
        <w:t xml:space="preserve">PFAS. For compliance monitoring purposes described above, </w:t>
      </w:r>
      <w:r w:rsidRPr="006C5C48" w:rsidR="00FB2044">
        <w:rPr>
          <w:rStyle w:val="normaltextrun"/>
        </w:rPr>
        <w:t xml:space="preserve">the </w:t>
      </w:r>
      <w:r w:rsidRPr="006C5C48">
        <w:rPr>
          <w:rStyle w:val="normaltextrun"/>
        </w:rPr>
        <w:t xml:space="preserve">EPA is </w:t>
      </w:r>
      <w:r w:rsidRPr="006C5C48">
        <w:rPr>
          <w:rStyle w:val="normaltextrun"/>
        </w:rPr>
        <w:t xml:space="preserve">setting </w:t>
      </w:r>
      <w:r w:rsidRPr="006C5C48">
        <w:rPr>
          <w:rStyle w:val="normaltextrun"/>
        </w:rPr>
        <w:t>a rule trigger level of one-</w:t>
      </w:r>
      <w:r w:rsidRPr="006C5C48" w:rsidR="00E56884">
        <w:rPr>
          <w:rStyle w:val="normaltextrun"/>
        </w:rPr>
        <w:t xml:space="preserve">half </w:t>
      </w:r>
      <w:r w:rsidRPr="006C5C48">
        <w:rPr>
          <w:rStyle w:val="normaltextrun"/>
        </w:rPr>
        <w:t>the MCL</w:t>
      </w:r>
      <w:r w:rsidRPr="006C5C48" w:rsidR="00936C15">
        <w:rPr>
          <w:rStyle w:val="normaltextrun"/>
        </w:rPr>
        <w:t>s</w:t>
      </w:r>
      <w:r w:rsidRPr="006C5C48">
        <w:rPr>
          <w:rStyle w:val="normaltextrun"/>
        </w:rPr>
        <w:t xml:space="preserve"> (0.00000</w:t>
      </w:r>
      <w:r w:rsidRPr="006C5C48" w:rsidR="0049719E">
        <w:rPr>
          <w:rStyle w:val="normaltextrun"/>
        </w:rPr>
        <w:t>20</w:t>
      </w:r>
      <w:r w:rsidRPr="006C5C48">
        <w:rPr>
          <w:rStyle w:val="normaltextrun"/>
        </w:rPr>
        <w:t xml:space="preserve"> mg/L or </w:t>
      </w:r>
      <w:r w:rsidRPr="006C5C48" w:rsidR="0049719E">
        <w:rPr>
          <w:rStyle w:val="normaltextrun"/>
        </w:rPr>
        <w:t>2.0</w:t>
      </w:r>
      <w:r w:rsidRPr="006C5C48">
        <w:rPr>
          <w:rStyle w:val="normaltextrun"/>
        </w:rPr>
        <w:t xml:space="preserve"> ppt for PFOA and PFOS</w:t>
      </w:r>
      <w:r w:rsidRPr="006C5C48" w:rsidR="00936C15">
        <w:rPr>
          <w:rStyle w:val="normaltextrun"/>
        </w:rPr>
        <w:t xml:space="preserve"> and 0.00001 mg/L or 10 ppt for </w:t>
      </w:r>
      <w:r w:rsidRPr="006C5C48" w:rsidR="00936C15">
        <w:rPr>
          <w:rStyle w:val="normaltextrun"/>
        </w:rPr>
        <w:t>PFHxS, HFPO-DA, and PFNA</w:t>
      </w:r>
      <w:r w:rsidRPr="006C5C48">
        <w:rPr>
          <w:rStyle w:val="normaltextrun"/>
        </w:rPr>
        <w:t>) or HI &lt; 0.</w:t>
      </w:r>
      <w:r w:rsidRPr="006C5C48" w:rsidR="0049719E">
        <w:rPr>
          <w:rStyle w:val="normaltextrun"/>
        </w:rPr>
        <w:t xml:space="preserve">5 </w:t>
      </w:r>
      <w:r w:rsidRPr="006C5C48">
        <w:rPr>
          <w:rStyle w:val="normaltextrun"/>
        </w:rPr>
        <w:t xml:space="preserve">for </w:t>
      </w:r>
      <w:r w:rsidRPr="006C5C48" w:rsidR="00B145AC">
        <w:rPr>
          <w:rStyle w:val="normaltextrun"/>
        </w:rPr>
        <w:t>HI</w:t>
      </w:r>
      <w:r w:rsidRPr="006C5C48">
        <w:rPr>
          <w:rStyle w:val="normaltextrun"/>
        </w:rPr>
        <w:t xml:space="preserve"> PFAS (</w:t>
      </w:r>
      <w:r w:rsidRPr="006C5C48">
        <w:rPr>
          <w:rStyle w:val="spellingerror"/>
        </w:rPr>
        <w:t>PFHxS</w:t>
      </w:r>
      <w:r w:rsidRPr="006C5C48">
        <w:rPr>
          <w:rStyle w:val="normaltextrun"/>
        </w:rPr>
        <w:t>, GenX Chemicals, PFNA, and PFBS</w:t>
      </w:r>
      <w:r w:rsidRPr="006C5C48" w:rsidR="00BE45C3">
        <w:rPr>
          <w:rStyle w:val="normaltextrun"/>
        </w:rPr>
        <w:t xml:space="preserve">) as the highest concentration at which a contaminant may be eligible for </w:t>
      </w:r>
      <w:r w:rsidRPr="006C5C48" w:rsidR="000574DB">
        <w:rPr>
          <w:rStyle w:val="normaltextrun"/>
        </w:rPr>
        <w:t xml:space="preserve">reduced </w:t>
      </w:r>
      <w:r w:rsidRPr="006C5C48" w:rsidR="00BE45C3">
        <w:rPr>
          <w:rStyle w:val="normaltextrun"/>
        </w:rPr>
        <w:t>triennial monitoring</w:t>
      </w:r>
      <w:r w:rsidRPr="006C5C48" w:rsidR="00832474">
        <w:rPr>
          <w:rStyle w:val="normaltextrun"/>
        </w:rPr>
        <w:t xml:space="preserve">. </w:t>
      </w:r>
      <w:r w:rsidRPr="006C5C48" w:rsidR="008A1B87">
        <w:rPr>
          <w:rStyle w:val="normaltextrun"/>
        </w:rPr>
        <w:t>Each water system</w:t>
      </w:r>
      <w:r w:rsidRPr="006C5C48" w:rsidR="00C57545">
        <w:rPr>
          <w:rStyle w:val="normaltextrun"/>
        </w:rPr>
        <w:t xml:space="preserve"> is required to conduct compliance monitoring at each EPTDS below the rule trigger </w:t>
      </w:r>
      <w:r w:rsidRPr="006C5C48">
        <w:rPr>
          <w:rStyle w:val="normaltextrun"/>
        </w:rPr>
        <w:t>according to the following schedule:</w:t>
      </w:r>
      <w:r w:rsidRPr="006C5C48">
        <w:rPr>
          <w:rStyle w:val="eop"/>
        </w:rPr>
        <w:t> </w:t>
      </w:r>
    </w:p>
    <w:p w:rsidR="00BD3E84" w:rsidRPr="006C5C48" w:rsidP="003A3B69" w14:paraId="0686DB7D" w14:textId="57ED6442">
      <w:pPr>
        <w:pStyle w:val="ListParagraph"/>
      </w:pPr>
      <w:r w:rsidRPr="006C5C48">
        <w:rPr>
          <w:rStyle w:val="normaltextrun"/>
        </w:rPr>
        <w:t xml:space="preserve">Systems </w:t>
      </w:r>
      <w:r w:rsidRPr="006C5C48" w:rsidR="006813E4">
        <w:rPr>
          <w:rStyle w:val="normaltextrun"/>
        </w:rPr>
        <w:t xml:space="preserve">are required to analyze one sample for all regulated PFAS per three-year </w:t>
      </w:r>
      <w:r w:rsidRPr="006C5C48" w:rsidR="00283E7F">
        <w:rPr>
          <w:rStyle w:val="normaltextrun"/>
        </w:rPr>
        <w:t>compliance period at each EPTDS where the water system does not detect regulated PFAS at or</w:t>
      </w:r>
      <w:r w:rsidRPr="006C5C48">
        <w:rPr>
          <w:rStyle w:val="normaltextrun"/>
        </w:rPr>
        <w:t xml:space="preserve"> above the rule trigger level </w:t>
      </w:r>
      <w:r w:rsidRPr="006C5C48" w:rsidR="00D7295D">
        <w:rPr>
          <w:rStyle w:val="normaltextrun"/>
        </w:rPr>
        <w:t>(</w:t>
      </w:r>
      <w:r w:rsidRPr="006C5C48" w:rsidR="00197B1B">
        <w:rPr>
          <w:rStyle w:val="normaltextrun"/>
        </w:rPr>
        <w:t>2.0</w:t>
      </w:r>
      <w:r w:rsidRPr="006C5C48" w:rsidR="00D7295D">
        <w:rPr>
          <w:rStyle w:val="normaltextrun"/>
        </w:rPr>
        <w:t xml:space="preserve"> ppt for PFOA and PFOS</w:t>
      </w:r>
      <w:r w:rsidRPr="006C5C48" w:rsidR="00197B1B">
        <w:rPr>
          <w:rStyle w:val="normaltextrun"/>
        </w:rPr>
        <w:t>, 5 ppt for PFHxS, HFPO-DA and PFNA,</w:t>
      </w:r>
      <w:r w:rsidRPr="006C5C48" w:rsidR="00D7295D">
        <w:rPr>
          <w:rStyle w:val="normaltextrun"/>
        </w:rPr>
        <w:t xml:space="preserve"> and 0.</w:t>
      </w:r>
      <w:r w:rsidRPr="006C5C48" w:rsidR="00197B1B">
        <w:rPr>
          <w:rStyle w:val="normaltextrun"/>
        </w:rPr>
        <w:t>5</w:t>
      </w:r>
      <w:r w:rsidRPr="006C5C48" w:rsidR="00D7295D">
        <w:rPr>
          <w:rStyle w:val="normaltextrun"/>
        </w:rPr>
        <w:t xml:space="preserve"> for the HI PFAS (PFHxS, HFPO-DA, PFNA, and PFBS))</w:t>
      </w:r>
    </w:p>
    <w:p w:rsidR="00BB376A" w:rsidRPr="006C5C48" w:rsidP="003A3B69" w14:paraId="744A7F10" w14:textId="7C79B2B0">
      <w:pPr>
        <w:pStyle w:val="ListParagraph"/>
        <w:rPr>
          <w:rStyle w:val="eop"/>
        </w:rPr>
      </w:pPr>
      <w:r w:rsidRPr="006C5C48">
        <w:rPr>
          <w:rStyle w:val="normaltextrun"/>
        </w:rPr>
        <w:t>EPTDS on triennial monitoring schedule with any results above the rule trigger levels are required to initiate quarterly monitoring.</w:t>
      </w:r>
    </w:p>
    <w:p w:rsidR="007C39A6" w:rsidRPr="006C5C48" w:rsidP="005D0F04" w14:paraId="65C3ACFC" w14:textId="61F4DD28">
      <w:pPr>
        <w:ind w:firstLine="0"/>
      </w:pPr>
      <w:r w:rsidRPr="006C5C48">
        <w:rPr>
          <w:rStyle w:val="normaltextrun"/>
        </w:rPr>
        <w:t xml:space="preserve">All other EPTDS with </w:t>
      </w:r>
      <w:r w:rsidRPr="006C5C48" w:rsidR="00B32CF4">
        <w:rPr>
          <w:rStyle w:val="normaltextrun"/>
        </w:rPr>
        <w:t xml:space="preserve">any </w:t>
      </w:r>
      <w:r w:rsidRPr="006C5C48">
        <w:rPr>
          <w:rStyle w:val="normaltextrun"/>
        </w:rPr>
        <w:t>results at or above the rule trigger levels, are required to conduct quarterly monitoring.</w:t>
      </w:r>
      <w:r w:rsidRPr="006C5C48" w:rsidR="0088063D">
        <w:rPr>
          <w:rStyle w:val="normaltextrun"/>
        </w:rPr>
        <w:t xml:space="preserve"> If following </w:t>
      </w:r>
      <w:r w:rsidRPr="006C5C48" w:rsidR="001633DD">
        <w:rPr>
          <w:rStyle w:val="normaltextrun"/>
        </w:rPr>
        <w:t xml:space="preserve">at least </w:t>
      </w:r>
      <w:r w:rsidRPr="006C5C48" w:rsidR="0088063D">
        <w:rPr>
          <w:rStyle w:val="normaltextrun"/>
        </w:rPr>
        <w:t xml:space="preserve">four quarterly samples over the period of one year, </w:t>
      </w:r>
      <w:r w:rsidRPr="006C5C48" w:rsidR="00A40BC4">
        <w:rPr>
          <w:rStyle w:val="normaltextrun"/>
        </w:rPr>
        <w:t>the state determines that the EPTDS is reliably and consistently below the MCL</w:t>
      </w:r>
      <w:r w:rsidRPr="006C5C48" w:rsidR="001633DD">
        <w:rPr>
          <w:rStyle w:val="normaltextrun"/>
        </w:rPr>
        <w:t>,</w:t>
      </w:r>
      <w:r w:rsidRPr="006C5C48" w:rsidR="00CC04B6">
        <w:rPr>
          <w:rStyle w:val="normaltextrun"/>
        </w:rPr>
        <w:t xml:space="preserve"> the EPTDS </w:t>
      </w:r>
      <w:r w:rsidRPr="006C5C48" w:rsidR="00942CEF">
        <w:rPr>
          <w:rStyle w:val="normaltextrun"/>
        </w:rPr>
        <w:t xml:space="preserve">is eligible to reduce to annual monitoring. </w:t>
      </w:r>
      <w:r w:rsidRPr="006C5C48" w:rsidR="004C5017">
        <w:rPr>
          <w:rStyle w:val="normaltextrun"/>
        </w:rPr>
        <w:t xml:space="preserve">After a system on annual monitoring collects three consecutive yearly samples </w:t>
      </w:r>
      <w:r w:rsidRPr="006C5C48" w:rsidR="00223B8C">
        <w:rPr>
          <w:rStyle w:val="normaltextrun"/>
        </w:rPr>
        <w:t xml:space="preserve">at the EPTDS </w:t>
      </w:r>
      <w:r w:rsidRPr="006C5C48" w:rsidR="005939DF">
        <w:rPr>
          <w:rStyle w:val="normaltextrun"/>
        </w:rPr>
        <w:t xml:space="preserve">with all </w:t>
      </w:r>
      <w:r w:rsidRPr="006C5C48" w:rsidR="00875864">
        <w:rPr>
          <w:rStyle w:val="normaltextrun"/>
        </w:rPr>
        <w:t>sample results</w:t>
      </w:r>
      <w:r w:rsidRPr="006C5C48" w:rsidR="00113DA6">
        <w:rPr>
          <w:rStyle w:val="normaltextrun"/>
        </w:rPr>
        <w:t xml:space="preserve"> below the rule trigger level</w:t>
      </w:r>
      <w:r w:rsidRPr="006C5C48" w:rsidR="00223B8C">
        <w:rPr>
          <w:rStyle w:val="normaltextrun"/>
        </w:rPr>
        <w:t>,</w:t>
      </w:r>
      <w:r w:rsidRPr="006C5C48" w:rsidR="004C5017">
        <w:rPr>
          <w:rStyle w:val="normaltextrun"/>
        </w:rPr>
        <w:t xml:space="preserve"> </w:t>
      </w:r>
      <w:r w:rsidRPr="006C5C48" w:rsidR="00CD17EA">
        <w:rPr>
          <w:rStyle w:val="normaltextrun"/>
        </w:rPr>
        <w:t xml:space="preserve">the </w:t>
      </w:r>
      <w:r w:rsidRPr="006C5C48" w:rsidR="003E60CC">
        <w:rPr>
          <w:rStyle w:val="normaltextrun"/>
        </w:rPr>
        <w:t>EPTDS is eligible to further reduce to triennial monitoring.</w:t>
      </w:r>
      <w:r w:rsidRPr="006C5C48" w:rsidR="00CD17EA">
        <w:rPr>
          <w:rStyle w:val="normaltextrun"/>
        </w:rPr>
        <w:t xml:space="preserve"> </w:t>
      </w:r>
    </w:p>
    <w:p w:rsidR="005904EE" w:rsidRPr="001A62FC" w:rsidP="001A62FC" w14:paraId="3471E400" w14:textId="77777777">
      <w:pPr>
        <w:ind w:firstLine="0"/>
        <w:rPr>
          <w:rStyle w:val="normaltextrun"/>
          <w:bCs/>
        </w:rPr>
      </w:pPr>
    </w:p>
    <w:p w:rsidR="002B7507" w:rsidRPr="006C5C48" w:rsidP="003A3B69" w14:paraId="7FE95F1D" w14:textId="73A034B7">
      <w:pPr>
        <w:pStyle w:val="Heading1"/>
        <w:ind w:firstLine="0"/>
        <w:rPr>
          <w:rStyle w:val="normaltextrun"/>
          <w:i/>
          <w:iCs/>
        </w:rPr>
      </w:pPr>
      <w:bookmarkStart w:id="105" w:name="_Toc149779129"/>
      <w:r w:rsidRPr="006C5C48">
        <w:rPr>
          <w:rStyle w:val="normaltextrun"/>
          <w:i/>
          <w:iCs/>
        </w:rPr>
        <w:t>Estimating the Burden and Cost of the Collection</w:t>
      </w:r>
      <w:bookmarkEnd w:id="105"/>
    </w:p>
    <w:p w:rsidR="002E073B" w:rsidRPr="006C5C48" w:rsidP="00271D4F" w14:paraId="017F1C04" w14:textId="0DCCB601">
      <w:pPr>
        <w:rPr>
          <w:rStyle w:val="eop"/>
        </w:rPr>
      </w:pPr>
      <w:r w:rsidRPr="006C5C48">
        <w:rPr>
          <w:rStyle w:val="normaltextrun"/>
        </w:rPr>
        <w:t>If a water system is not reliably and consistently below the MCL for regulated PFAS it will be required to monitor quarterly at each entry to the distribution system for regulated PFAS consistent with 40 CFR 141.</w:t>
      </w:r>
      <w:r w:rsidRPr="006C5C48" w:rsidR="00AC038F">
        <w:rPr>
          <w:rStyle w:val="normaltextrun"/>
        </w:rPr>
        <w:t>902</w:t>
      </w:r>
      <w:r w:rsidRPr="006C5C48">
        <w:rPr>
          <w:rStyle w:val="normaltextrun"/>
        </w:rPr>
        <w:t xml:space="preserve">. </w:t>
      </w:r>
      <w:r w:rsidRPr="006C5C48" w:rsidR="00C774B7">
        <w:rPr>
          <w:rStyle w:val="normaltextrun"/>
        </w:rPr>
        <w:t xml:space="preserve">If a water system is not below </w:t>
      </w:r>
      <w:r w:rsidRPr="006C5C48" w:rsidR="00DD36D3">
        <w:rPr>
          <w:rStyle w:val="normaltextrun"/>
        </w:rPr>
        <w:t>rule</w:t>
      </w:r>
      <w:r w:rsidRPr="006C5C48" w:rsidR="00DD36D3">
        <w:rPr>
          <w:rStyle w:val="normaltextrun"/>
        </w:rPr>
        <w:t xml:space="preserve"> trigger level</w:t>
      </w:r>
      <w:r w:rsidRPr="006C5C48" w:rsidR="0068039E">
        <w:rPr>
          <w:rStyle w:val="normaltextrun"/>
        </w:rPr>
        <w:t>s</w:t>
      </w:r>
      <w:r w:rsidRPr="006C5C48" w:rsidR="00C774B7">
        <w:rPr>
          <w:rStyle w:val="normaltextrun"/>
        </w:rPr>
        <w:t xml:space="preserve"> for regulated PFAS</w:t>
      </w:r>
      <w:r w:rsidRPr="006C5C48" w:rsidR="005647B5">
        <w:rPr>
          <w:rStyle w:val="normaltextrun"/>
        </w:rPr>
        <w:t xml:space="preserve"> </w:t>
      </w:r>
      <w:r w:rsidRPr="006C5C48" w:rsidR="00C774B7">
        <w:rPr>
          <w:rStyle w:val="normaltextrun"/>
        </w:rPr>
        <w:t xml:space="preserve">it will be required to monitor quarterly at each entry point to the distribution system for </w:t>
      </w:r>
      <w:r w:rsidRPr="006C5C48" w:rsidR="00C774B7">
        <w:rPr>
          <w:rStyle w:val="normaltextrun"/>
        </w:rPr>
        <w:t xml:space="preserve">regulated PFAS </w:t>
      </w:r>
      <w:r w:rsidRPr="006C5C48" w:rsidR="00FA42C7">
        <w:rPr>
          <w:rStyle w:val="normaltextrun"/>
        </w:rPr>
        <w:t xml:space="preserve">for at least a period of </w:t>
      </w:r>
      <w:r w:rsidRPr="006C5C48" w:rsidR="00F74C2E">
        <w:rPr>
          <w:rStyle w:val="normaltextrun"/>
        </w:rPr>
        <w:t>one year</w:t>
      </w:r>
      <w:r w:rsidRPr="006C5C48" w:rsidR="00C774B7">
        <w:rPr>
          <w:rStyle w:val="normaltextrun"/>
        </w:rPr>
        <w:t>.</w:t>
      </w:r>
      <w:r w:rsidRPr="006C5C48" w:rsidR="0017209B">
        <w:rPr>
          <w:rStyle w:val="normaltextrun"/>
        </w:rPr>
        <w:t xml:space="preserve"> </w:t>
      </w:r>
      <w:r w:rsidRPr="006C5C48" w:rsidR="0014670C">
        <w:rPr>
          <w:rStyle w:val="normaltextrun"/>
        </w:rPr>
        <w:t>The state may allow the system to reduce monitoring frequency to annually when the state determines that the system is reliably and consistently below the MCL</w:t>
      </w:r>
      <w:r w:rsidRPr="006C5C48" w:rsidR="00EB10A8">
        <w:rPr>
          <w:rStyle w:val="normaltextrun"/>
        </w:rPr>
        <w:t>; however, states cannot determine that the system is reliably and consistently below the MCL until at least one year of quarterly monitoring has occurred demonstrating all sample results are below the MCL.</w:t>
      </w:r>
      <w:r w:rsidRPr="006C5C48" w:rsidR="0014670C">
        <w:rPr>
          <w:rStyle w:val="normaltextrun"/>
        </w:rPr>
        <w:t xml:space="preserve"> </w:t>
      </w:r>
      <w:r w:rsidRPr="006C5C48" w:rsidR="00C774B7">
        <w:rPr>
          <w:rStyle w:val="normaltextrun"/>
        </w:rPr>
        <w:t>Systems monitoring</w:t>
      </w:r>
      <w:r w:rsidRPr="006C5C48" w:rsidR="00A13117">
        <w:rPr>
          <w:rStyle w:val="normaltextrun"/>
        </w:rPr>
        <w:t xml:space="preserve"> every three years</w:t>
      </w:r>
      <w:r w:rsidRPr="006C5C48" w:rsidR="00C774B7">
        <w:rPr>
          <w:rStyle w:val="normaltextrun"/>
        </w:rPr>
        <w:t xml:space="preserve"> whose sample result exceeds the rule trigger level defined by CFR 141.</w:t>
      </w:r>
      <w:r w:rsidRPr="006C5C48" w:rsidR="00E1054F">
        <w:rPr>
          <w:rStyle w:val="normaltextrun"/>
        </w:rPr>
        <w:t>902(a)</w:t>
      </w:r>
      <w:r w:rsidRPr="006C5C48" w:rsidR="00C774B7">
        <w:rPr>
          <w:rStyle w:val="normaltextrun"/>
        </w:rPr>
        <w:t>(</w:t>
      </w:r>
      <w:r w:rsidRPr="006C5C48" w:rsidR="00E1054F">
        <w:rPr>
          <w:rStyle w:val="normaltextrun"/>
        </w:rPr>
        <w:t>5</w:t>
      </w:r>
      <w:r w:rsidRPr="006C5C48" w:rsidR="00C774B7">
        <w:rPr>
          <w:rStyle w:val="normaltextrun"/>
        </w:rPr>
        <w:t xml:space="preserve">) must also begin </w:t>
      </w:r>
      <w:r w:rsidRPr="006C5C48" w:rsidR="00652DFC">
        <w:rPr>
          <w:rStyle w:val="normaltextrun"/>
        </w:rPr>
        <w:t>q</w:t>
      </w:r>
      <w:r w:rsidRPr="006C5C48" w:rsidR="00C774B7">
        <w:rPr>
          <w:rStyle w:val="normaltextrun"/>
        </w:rPr>
        <w:t xml:space="preserve">uarterly sampling. </w:t>
      </w:r>
      <w:r w:rsidRPr="006C5C48" w:rsidR="00BD3E84">
        <w:rPr>
          <w:rStyle w:val="eop"/>
        </w:rPr>
        <w:t xml:space="preserve"> </w:t>
      </w:r>
      <w:r w:rsidRPr="006C5C48" w:rsidR="00BE167B">
        <w:rPr>
          <w:rStyle w:val="eop"/>
        </w:rPr>
        <w:t>As part of the final rule, w</w:t>
      </w:r>
      <w:r w:rsidRPr="006C5C48" w:rsidR="00485A84">
        <w:rPr>
          <w:rStyle w:val="eop"/>
        </w:rPr>
        <w:t xml:space="preserve">aivers </w:t>
      </w:r>
      <w:r w:rsidRPr="006C5C48" w:rsidR="00BD3E84">
        <w:rPr>
          <w:rStyle w:val="eop"/>
        </w:rPr>
        <w:t xml:space="preserve">are </w:t>
      </w:r>
      <w:r w:rsidRPr="006C5C48" w:rsidR="0074211E">
        <w:rPr>
          <w:rStyle w:val="eop"/>
        </w:rPr>
        <w:t xml:space="preserve">not </w:t>
      </w:r>
      <w:r w:rsidRPr="006C5C48" w:rsidR="00BD3E84">
        <w:rPr>
          <w:rStyle w:val="eop"/>
        </w:rPr>
        <w:t>included in the monitoring schedule.</w:t>
      </w:r>
      <w:bookmarkStart w:id="106" w:name="_Toc114777066"/>
      <w:bookmarkEnd w:id="106"/>
      <w:r w:rsidRPr="006C5C48" w:rsidR="00595B04">
        <w:rPr>
          <w:rStyle w:val="eop"/>
        </w:rPr>
        <w:t xml:space="preserve"> </w:t>
      </w:r>
      <w:bookmarkStart w:id="107" w:name="_Toc111797028"/>
      <w:bookmarkStart w:id="108" w:name="_Hlk113359087"/>
      <w:bookmarkStart w:id="109" w:name="_Toc114671138"/>
      <w:bookmarkStart w:id="110" w:name="_Toc114671318"/>
      <w:bookmarkStart w:id="111" w:name="_Toc114777067"/>
      <w:bookmarkStart w:id="112" w:name="_Toc113614160"/>
      <w:bookmarkEnd w:id="107"/>
      <w:bookmarkEnd w:id="108"/>
      <w:bookmarkEnd w:id="109"/>
      <w:bookmarkEnd w:id="110"/>
      <w:bookmarkEnd w:id="111"/>
    </w:p>
    <w:p w:rsidR="00DD729F" w:rsidRPr="006C5C48" w:rsidP="003A3B69" w14:paraId="15B69614" w14:textId="6FF7C1E1">
      <w:pPr>
        <w:pStyle w:val="Heading2"/>
        <w:numPr>
          <w:ilvl w:val="0"/>
          <w:numId w:val="48"/>
        </w:numPr>
      </w:pPr>
      <w:bookmarkStart w:id="113" w:name="_Toc113614161"/>
      <w:bookmarkStart w:id="114" w:name="_Toc149779130"/>
      <w:bookmarkEnd w:id="112"/>
      <w:r w:rsidRPr="006C5C48">
        <w:t>Estimating Respondent Burden</w:t>
      </w:r>
      <w:bookmarkEnd w:id="113"/>
      <w:bookmarkEnd w:id="114"/>
    </w:p>
    <w:p w:rsidR="00DD729F" w:rsidRPr="006C5C48" w:rsidP="00DD729F" w14:paraId="4B2DF614" w14:textId="261899F7">
      <w:pPr>
        <w:rPr>
          <w:szCs w:val="24"/>
        </w:rPr>
      </w:pPr>
      <w:r w:rsidRPr="006C5C48">
        <w:rPr>
          <w:rStyle w:val="eop"/>
        </w:rPr>
        <w:t xml:space="preserve">The </w:t>
      </w:r>
      <w:r w:rsidRPr="006C5C48" w:rsidR="00174B6C">
        <w:rPr>
          <w:rStyle w:val="eop"/>
        </w:rPr>
        <w:t>PRA</w:t>
      </w:r>
      <w:r w:rsidRPr="006C5C48">
        <w:rPr>
          <w:rStyle w:val="eop"/>
        </w:rPr>
        <w:t xml:space="preserve"> 44 U.S.C. 3501 et seq., requires </w:t>
      </w:r>
      <w:r w:rsidRPr="006C5C48" w:rsidR="00FB2044">
        <w:rPr>
          <w:rStyle w:val="eop"/>
        </w:rPr>
        <w:t xml:space="preserve">the </w:t>
      </w:r>
      <w:r w:rsidRPr="006C5C48" w:rsidR="00E548A5">
        <w:rPr>
          <w:rStyle w:val="eop"/>
        </w:rPr>
        <w:t>EPA</w:t>
      </w:r>
      <w:r w:rsidRPr="006C5C48">
        <w:rPr>
          <w:rStyle w:val="eop"/>
        </w:rPr>
        <w:t xml:space="preserve"> to estimate the burden, as defined in 5 CFR 1320.3(b), on PWSs and Primacy Agencies of complying with the rule. The information collected </w:t>
      </w:r>
      <w:r w:rsidRPr="006C5C48">
        <w:rPr>
          <w:rStyle w:val="eop"/>
        </w:rPr>
        <w:t>as a result of</w:t>
      </w:r>
      <w:r w:rsidRPr="006C5C48">
        <w:rPr>
          <w:rStyle w:val="eop"/>
        </w:rPr>
        <w:t xml:space="preserve"> the proposed rule should allow Primacy Agencies and </w:t>
      </w:r>
      <w:r w:rsidRPr="006C5C48" w:rsidR="00FB2044">
        <w:rPr>
          <w:rStyle w:val="eop"/>
        </w:rPr>
        <w:t xml:space="preserve">the </w:t>
      </w:r>
      <w:r w:rsidRPr="006C5C48">
        <w:rPr>
          <w:rStyle w:val="eop"/>
        </w:rPr>
        <w:t>EPA to determine appropriate requirements for specific systems and evaluate compliance with the proposed rule. Burden is defined at 5 CFR 1320.3(b) and means the total time, effort, and financial resources required to generate, maintain, retain, disclose, or provide information to or for a federal agency. The burden includes the time needed to conduct Primacy Agency and system activities during the first three years after promulgation, as described below.</w:t>
      </w:r>
      <w:r w:rsidRPr="006C5C48" w:rsidR="00595B04">
        <w:rPr>
          <w:rStyle w:val="eop"/>
        </w:rPr>
        <w:t xml:space="preserve"> </w:t>
      </w:r>
      <w:r w:rsidRPr="006C5C48">
        <w:rPr>
          <w:szCs w:val="24"/>
        </w:rPr>
        <w:t xml:space="preserve">In general, burden hours are calculated by: </w:t>
      </w:r>
    </w:p>
    <w:p w:rsidR="00DD729F" w:rsidRPr="006C5C48" w:rsidP="003A3B69" w14:paraId="3D462798" w14:textId="6DAEEBCA">
      <w:pPr>
        <w:pStyle w:val="ListParagraph"/>
      </w:pPr>
      <w:r w:rsidRPr="006C5C48">
        <w:t xml:space="preserve">Determining the activities that PWSs and States would complete to comply with the activity (as described in section </w:t>
      </w:r>
      <w:r w:rsidRPr="006C5C48" w:rsidR="00EE335D">
        <w:t>IV.B(2)</w:t>
      </w:r>
      <w:r w:rsidRPr="006C5C48">
        <w:t>);</w:t>
      </w:r>
      <w:r w:rsidRPr="006C5C48">
        <w:t xml:space="preserve"> </w:t>
      </w:r>
    </w:p>
    <w:p w:rsidR="00DD729F" w:rsidRPr="006C5C48" w:rsidP="003A3B69" w14:paraId="4769D340" w14:textId="5DB52363">
      <w:pPr>
        <w:pStyle w:val="ListParagraph"/>
      </w:pPr>
      <w:r w:rsidRPr="006C5C48">
        <w:t xml:space="preserve">Estimating the number of hours per activity (as described in section </w:t>
      </w:r>
      <w:r w:rsidRPr="006C5C48" w:rsidR="00EE335D">
        <w:t>VI.A</w:t>
      </w:r>
      <w:r w:rsidRPr="006C5C48">
        <w:t xml:space="preserve"> for systems and </w:t>
      </w:r>
      <w:r w:rsidRPr="006C5C48" w:rsidR="00D63D5F">
        <w:t>VI.B</w:t>
      </w:r>
      <w:r w:rsidRPr="006C5C48">
        <w:t xml:space="preserve"> for States</w:t>
      </w:r>
      <w:r w:rsidRPr="006C5C48">
        <w:t>);</w:t>
      </w:r>
      <w:r w:rsidRPr="006C5C48">
        <w:t xml:space="preserve"> </w:t>
      </w:r>
    </w:p>
    <w:p w:rsidR="00DD729F" w:rsidRPr="006C5C48" w:rsidP="003A3B69" w14:paraId="41DA20B5" w14:textId="091B70FF">
      <w:pPr>
        <w:pStyle w:val="ListParagraph"/>
      </w:pPr>
      <w:r w:rsidRPr="006C5C48">
        <w:t xml:space="preserve">Estimating the number of respondents per activity; and, </w:t>
      </w:r>
    </w:p>
    <w:p w:rsidR="006972DF" w:rsidRPr="006C5C48" w:rsidP="003A3B69" w14:paraId="52121A53" w14:textId="77777777">
      <w:pPr>
        <w:pStyle w:val="ListParagraph"/>
      </w:pPr>
      <w:r w:rsidRPr="006C5C48">
        <w:t xml:space="preserve">Multiplying the hours per activity by the number of respondents for that activity. </w:t>
      </w:r>
      <w:bookmarkStart w:id="115" w:name="_Toc114671141"/>
      <w:bookmarkStart w:id="116" w:name="_Toc113614162"/>
      <w:bookmarkEnd w:id="115"/>
    </w:p>
    <w:p w:rsidR="00DD729F" w:rsidRPr="006C5C48" w:rsidP="006D6D21" w14:paraId="6C7EB35D" w14:textId="3D93C7E4">
      <w:pPr>
        <w:pStyle w:val="Heading3"/>
        <w:numPr>
          <w:ilvl w:val="0"/>
          <w:numId w:val="49"/>
        </w:numPr>
      </w:pPr>
      <w:r w:rsidRPr="006C5C48">
        <w:t>Public Water System Activities</w:t>
      </w:r>
      <w:bookmarkEnd w:id="116"/>
    </w:p>
    <w:p w:rsidR="00DD729F" w:rsidRPr="006C5C48" w:rsidP="00DD729F" w14:paraId="3A8734B0" w14:textId="77777777">
      <w:pPr>
        <w:rPr>
          <w:szCs w:val="24"/>
        </w:rPr>
      </w:pPr>
      <w:r w:rsidRPr="006C5C48">
        <w:rPr>
          <w:szCs w:val="24"/>
        </w:rPr>
        <w:t xml:space="preserve">This section summarizes the costs of the proposed rule for the following PWS activities: </w:t>
      </w:r>
    </w:p>
    <w:p w:rsidR="00DD729F" w:rsidRPr="006C5C48" w:rsidP="003A3B69" w14:paraId="6FFD23FE" w14:textId="77777777">
      <w:pPr>
        <w:pStyle w:val="ListParagraph"/>
      </w:pPr>
      <w:r w:rsidRPr="006C5C48">
        <w:t xml:space="preserve">Startup activities – read and understand the rule and attend initial training from the primacy </w:t>
      </w:r>
      <w:r w:rsidRPr="006C5C48">
        <w:t>agency;</w:t>
      </w:r>
    </w:p>
    <w:p w:rsidR="00DD729F" w:rsidRPr="006C5C48" w:rsidP="003A3B69" w14:paraId="5D5AC23B" w14:textId="23AB3EC8">
      <w:pPr>
        <w:pStyle w:val="ListParagraph"/>
      </w:pPr>
      <w:r w:rsidRPr="006C5C48">
        <w:t xml:space="preserve">Conduct initial monitoring including confirmation sampling for MCL </w:t>
      </w:r>
      <w:r w:rsidRPr="006C5C48">
        <w:t>exceedances</w:t>
      </w:r>
    </w:p>
    <w:p w:rsidR="00DD729F" w:rsidRPr="006C5C48" w:rsidP="001E40CF" w14:paraId="36282930" w14:textId="6F15DF6A">
      <w:pPr>
        <w:pStyle w:val="Heading4"/>
      </w:pPr>
      <w:bookmarkStart w:id="117" w:name="_Toc111495194"/>
      <w:bookmarkStart w:id="118" w:name="_Toc111797033"/>
      <w:r w:rsidRPr="006C5C48">
        <w:t>PWS Implementation Administration Costs</w:t>
      </w:r>
      <w:bookmarkEnd w:id="117"/>
      <w:bookmarkEnd w:id="118"/>
    </w:p>
    <w:p w:rsidR="00DD729F" w:rsidRPr="006C5C48" w:rsidP="00DD729F" w14:paraId="3DC0ECAE" w14:textId="6FE5E626">
      <w:pPr>
        <w:rPr>
          <w:szCs w:val="24"/>
        </w:rPr>
      </w:pPr>
      <w:r w:rsidRPr="006C5C48">
        <w:rPr>
          <w:szCs w:val="24"/>
        </w:rPr>
        <w:t xml:space="preserve">The </w:t>
      </w:r>
      <w:r w:rsidRPr="006C5C48">
        <w:rPr>
          <w:szCs w:val="24"/>
        </w:rPr>
        <w:t xml:space="preserve">EPA estimated costs associated with one-time actions to begin implementation of the rule including reading and understanding the rule and attending training provided by primacy agencies. </w:t>
      </w:r>
      <w:r w:rsidRPr="006C5C48">
        <w:rPr>
          <w:szCs w:val="24"/>
        </w:rPr>
        <w:t xml:space="preserve">The </w:t>
      </w:r>
      <w:r w:rsidRPr="006C5C48">
        <w:rPr>
          <w:szCs w:val="24"/>
        </w:rPr>
        <w:t xml:space="preserve">EPA assumes that systems will conduct these activities during years one through three of the </w:t>
      </w:r>
      <w:r w:rsidRPr="006C5C48">
        <w:rPr>
          <w:szCs w:val="24"/>
        </w:rPr>
        <w:t>period</w:t>
      </w:r>
      <w:r w:rsidRPr="006C5C48">
        <w:rPr>
          <w:szCs w:val="24"/>
        </w:rPr>
        <w:t xml:space="preserve"> of analysis. </w:t>
      </w:r>
      <w:r w:rsidRPr="006C5C48" w:rsidR="00784A42">
        <w:rPr>
          <w:szCs w:val="24"/>
        </w:rPr>
        <w:fldChar w:fldCharType="begin"/>
      </w:r>
      <w:r w:rsidRPr="006C5C48" w:rsidR="00784A42">
        <w:rPr>
          <w:szCs w:val="24"/>
        </w:rPr>
        <w:instrText xml:space="preserve"> REF _Ref114990377 \h </w:instrText>
      </w:r>
      <w:r w:rsidRPr="006C5C48" w:rsidR="006C5C48">
        <w:rPr>
          <w:szCs w:val="24"/>
        </w:rPr>
        <w:instrText xml:space="preserve"> \* MERGEFORMAT </w:instrText>
      </w:r>
      <w:r w:rsidRPr="006C5C48" w:rsidR="00784A42">
        <w:rPr>
          <w:szCs w:val="24"/>
        </w:rPr>
        <w:fldChar w:fldCharType="separate"/>
      </w:r>
      <w:r w:rsidRPr="006C5C48" w:rsidR="00784A42">
        <w:t xml:space="preserve">Table </w:t>
      </w:r>
      <w:r w:rsidRPr="006C5C48" w:rsidR="00784A42">
        <w:rPr>
          <w:noProof/>
        </w:rPr>
        <w:t>1</w:t>
      </w:r>
      <w:r w:rsidRPr="006C5C48" w:rsidR="00784A42">
        <w:rPr>
          <w:szCs w:val="24"/>
        </w:rPr>
        <w:fldChar w:fldCharType="end"/>
      </w:r>
      <w:r w:rsidRPr="006C5C48">
        <w:rPr>
          <w:szCs w:val="24"/>
        </w:rPr>
        <w:t xml:space="preserve"> lists the data elements and corresponding values associated with calculating the costs of these one-time implementation administration actions.</w:t>
      </w:r>
    </w:p>
    <w:p w:rsidR="00DD729F" w:rsidRPr="006C5C48" w:rsidP="00784A42" w14:paraId="3E7AC4DE" w14:textId="7F9E94A8">
      <w:pPr>
        <w:pStyle w:val="Figurecaption"/>
        <w:rPr>
          <w:color w:val="auto"/>
        </w:rPr>
      </w:pPr>
      <w:bookmarkStart w:id="119" w:name="_Ref114990377"/>
      <w:r w:rsidRPr="006C5C48">
        <w:rPr>
          <w:color w:val="auto"/>
        </w:rPr>
        <w:t xml:space="preserve">Table </w:t>
      </w:r>
      <w:r w:rsidRPr="006C5C48">
        <w:rPr>
          <w:color w:val="auto"/>
        </w:rPr>
        <w:fldChar w:fldCharType="begin"/>
      </w:r>
      <w:r w:rsidRPr="006C5C48">
        <w:rPr>
          <w:color w:val="auto"/>
        </w:rPr>
        <w:instrText xml:space="preserve"> SEQ Table \* ARABIC </w:instrText>
      </w:r>
      <w:r w:rsidRPr="006C5C48">
        <w:rPr>
          <w:color w:val="auto"/>
        </w:rPr>
        <w:fldChar w:fldCharType="separate"/>
      </w:r>
      <w:r w:rsidRPr="006C5C48" w:rsidR="00B4473D">
        <w:rPr>
          <w:noProof/>
          <w:color w:val="auto"/>
        </w:rPr>
        <w:t>1</w:t>
      </w:r>
      <w:r w:rsidRPr="006C5C48">
        <w:rPr>
          <w:noProof/>
          <w:color w:val="auto"/>
        </w:rPr>
        <w:fldChar w:fldCharType="end"/>
      </w:r>
      <w:bookmarkEnd w:id="119"/>
      <w:r w:rsidRPr="006C5C48" w:rsidR="00784A42">
        <w:rPr>
          <w:color w:val="auto"/>
        </w:rPr>
        <w:t>:</w:t>
      </w:r>
      <w:r w:rsidRPr="006C5C48">
        <w:rPr>
          <w:color w:val="auto"/>
        </w:rPr>
        <w:t>Implementation Administration Costs (202</w:t>
      </w:r>
      <w:r w:rsidRPr="006C5C48" w:rsidR="6D8B0921">
        <w:rPr>
          <w:color w:val="auto"/>
        </w:rPr>
        <w:t>2</w:t>
      </w:r>
      <w:r w:rsidRPr="006C5C48">
        <w:rPr>
          <w:color w:val="auto"/>
        </w:rPr>
        <w:t>$)</w:t>
      </w:r>
    </w:p>
    <w:tbl>
      <w:tblPr>
        <w:tblStyle w:val="TableGrid4"/>
        <w:tblW w:w="8640" w:type="dxa"/>
        <w:tblInd w:w="625" w:type="dxa"/>
        <w:tblLook w:val="04A0"/>
      </w:tblPr>
      <w:tblGrid>
        <w:gridCol w:w="3600"/>
        <w:gridCol w:w="5040"/>
      </w:tblGrid>
      <w:tr w14:paraId="7D83FF39" w14:textId="77777777" w:rsidTr="006C5C48">
        <w:tblPrEx>
          <w:tblW w:w="8640" w:type="dxa"/>
          <w:tblInd w:w="625" w:type="dxa"/>
          <w:tblLook w:val="04A0"/>
        </w:tblPrEx>
        <w:tc>
          <w:tcPr>
            <w:tcW w:w="3600" w:type="dxa"/>
            <w:vAlign w:val="center"/>
          </w:tcPr>
          <w:p w:rsidR="00DD729F" w:rsidRPr="006C5C48" w:rsidP="00635CC3" w14:paraId="06DF5B42" w14:textId="77777777">
            <w:pPr>
              <w:pStyle w:val="TableHeader"/>
            </w:pPr>
            <w:r w:rsidRPr="006C5C48">
              <w:t>Data element description</w:t>
            </w:r>
          </w:p>
        </w:tc>
        <w:tc>
          <w:tcPr>
            <w:tcW w:w="5040" w:type="dxa"/>
            <w:vAlign w:val="center"/>
          </w:tcPr>
          <w:p w:rsidR="00DD729F" w:rsidRPr="006C5C48" w:rsidP="00635CC3" w14:paraId="41BCA7F3" w14:textId="77777777">
            <w:pPr>
              <w:pStyle w:val="TableHeader"/>
            </w:pPr>
            <w:r w:rsidRPr="006C5C48">
              <w:t>Data element value</w:t>
            </w:r>
          </w:p>
        </w:tc>
      </w:tr>
      <w:tr w14:paraId="0C2349FC" w14:textId="77777777" w:rsidTr="006C5C48">
        <w:tblPrEx>
          <w:tblW w:w="8640" w:type="dxa"/>
          <w:tblInd w:w="625" w:type="dxa"/>
          <w:tblLook w:val="04A0"/>
        </w:tblPrEx>
        <w:trPr>
          <w:trHeight w:val="1493"/>
        </w:trPr>
        <w:tc>
          <w:tcPr>
            <w:tcW w:w="3600" w:type="dxa"/>
            <w:vAlign w:val="center"/>
          </w:tcPr>
          <w:p w:rsidR="00F51F73" w:rsidRPr="006C5C48" w:rsidP="00F51F73" w14:paraId="4BE327C4" w14:textId="68C33CA8">
            <w:pPr>
              <w:pStyle w:val="TableBody"/>
              <w:rPr>
                <w:szCs w:val="20"/>
              </w:rPr>
            </w:pPr>
            <w:r w:rsidRPr="00460624">
              <w:rPr>
                <w:szCs w:val="20"/>
              </w:rPr>
              <w:t>The labor rate per hour for systems</w:t>
            </w:r>
          </w:p>
        </w:tc>
        <w:tc>
          <w:tcPr>
            <w:tcW w:w="5040" w:type="dxa"/>
            <w:vAlign w:val="center"/>
          </w:tcPr>
          <w:p w:rsidR="00F51F73" w:rsidRPr="00460624" w:rsidP="00F51F73" w14:paraId="467E1AEA" w14:textId="77777777">
            <w:pPr>
              <w:pStyle w:val="TableBody"/>
            </w:pPr>
            <w:r>
              <w:t xml:space="preserve">$36.43 (systems ≤3,300) </w:t>
            </w:r>
          </w:p>
          <w:p w:rsidR="00F51F73" w:rsidRPr="00460624" w:rsidP="00F51F73" w14:paraId="6EDB6503" w14:textId="77777777">
            <w:pPr>
              <w:pStyle w:val="TableBody"/>
            </w:pPr>
            <w:r>
              <w:t xml:space="preserve">$38.84 (systems 3,301-10,000) </w:t>
            </w:r>
          </w:p>
          <w:p w:rsidR="00F51F73" w:rsidRPr="00460624" w:rsidP="00F51F73" w14:paraId="71BF1468" w14:textId="77777777">
            <w:pPr>
              <w:pStyle w:val="TableBody"/>
            </w:pPr>
            <w:r>
              <w:t xml:space="preserve">$41.00 (systems 10,001-50,000) </w:t>
            </w:r>
          </w:p>
          <w:p w:rsidR="00F51F73" w:rsidRPr="00460624" w:rsidP="00F51F73" w14:paraId="4A7EBE69" w14:textId="77777777">
            <w:pPr>
              <w:pStyle w:val="TableBody"/>
            </w:pPr>
            <w:r>
              <w:t xml:space="preserve">$42.81 (systems 50,001-100,000) </w:t>
            </w:r>
          </w:p>
          <w:p w:rsidR="00F51F73" w:rsidRPr="006C5C48" w:rsidP="00F51F73" w14:paraId="27A1FAE7" w14:textId="7B5B99E2">
            <w:pPr>
              <w:pStyle w:val="TableBody"/>
            </w:pPr>
            <w:r>
              <w:t>$50.03 (systems &gt;100,000)</w:t>
            </w:r>
          </w:p>
        </w:tc>
      </w:tr>
      <w:tr w14:paraId="11482D00" w14:textId="77777777" w:rsidTr="006C5C48">
        <w:tblPrEx>
          <w:tblW w:w="8640" w:type="dxa"/>
          <w:tblInd w:w="625" w:type="dxa"/>
          <w:tblLook w:val="04A0"/>
        </w:tblPrEx>
        <w:trPr>
          <w:trHeight w:val="711"/>
        </w:trPr>
        <w:tc>
          <w:tcPr>
            <w:tcW w:w="3600" w:type="dxa"/>
            <w:vAlign w:val="center"/>
          </w:tcPr>
          <w:p w:rsidR="00F51F73" w:rsidRPr="006C5C48" w:rsidP="00F51F73" w14:paraId="40DA08C3" w14:textId="103B7CF3">
            <w:pPr>
              <w:pStyle w:val="TableBody"/>
              <w:rPr>
                <w:szCs w:val="20"/>
              </w:rPr>
            </w:pPr>
            <w:r w:rsidRPr="00460624">
              <w:rPr>
                <w:szCs w:val="20"/>
              </w:rPr>
              <w:t>The average hours per system to read and adopt the rule</w:t>
            </w:r>
          </w:p>
        </w:tc>
        <w:tc>
          <w:tcPr>
            <w:tcW w:w="5040" w:type="dxa"/>
            <w:vAlign w:val="center"/>
          </w:tcPr>
          <w:p w:rsidR="00F51F73" w:rsidRPr="006C5C48" w:rsidP="00F51F73" w14:paraId="078EEDDF" w14:textId="725650E1">
            <w:pPr>
              <w:pStyle w:val="TableBody"/>
            </w:pPr>
            <w:r>
              <w:t>4 hours per system</w:t>
            </w:r>
          </w:p>
        </w:tc>
      </w:tr>
      <w:tr w14:paraId="420088D3" w14:textId="77777777" w:rsidTr="006C5C48">
        <w:tblPrEx>
          <w:tblW w:w="8640" w:type="dxa"/>
          <w:tblInd w:w="625" w:type="dxa"/>
          <w:tblLook w:val="04A0"/>
        </w:tblPrEx>
        <w:tc>
          <w:tcPr>
            <w:tcW w:w="3600" w:type="dxa"/>
            <w:vAlign w:val="center"/>
          </w:tcPr>
          <w:p w:rsidR="00F51F73" w:rsidRPr="006C5C48" w:rsidP="00F51F73" w14:paraId="18F31A31" w14:textId="176AAE45">
            <w:pPr>
              <w:pStyle w:val="TableBody"/>
            </w:pPr>
            <w:r>
              <w:t>The average hours per system to attend one-time training provided by primacy agencies</w:t>
            </w:r>
          </w:p>
        </w:tc>
        <w:tc>
          <w:tcPr>
            <w:tcW w:w="5040" w:type="dxa"/>
            <w:vAlign w:val="center"/>
          </w:tcPr>
          <w:p w:rsidR="00F51F73" w:rsidRPr="00460624" w:rsidP="00F51F73" w14:paraId="72AC591E" w14:textId="77777777">
            <w:pPr>
              <w:pStyle w:val="TableBody"/>
              <w:rPr>
                <w:szCs w:val="20"/>
              </w:rPr>
            </w:pPr>
            <w:r w:rsidRPr="00460624">
              <w:rPr>
                <w:szCs w:val="20"/>
              </w:rPr>
              <w:t xml:space="preserve">16 hours per system (systems ≤3,300) </w:t>
            </w:r>
          </w:p>
          <w:p w:rsidR="00F51F73" w:rsidRPr="00460624" w:rsidP="00F51F73" w14:paraId="58E3BBBF" w14:textId="77777777">
            <w:pPr>
              <w:pStyle w:val="TableBody"/>
              <w:rPr>
                <w:szCs w:val="20"/>
              </w:rPr>
            </w:pPr>
            <w:r w:rsidRPr="00460624">
              <w:rPr>
                <w:szCs w:val="20"/>
              </w:rPr>
              <w:t xml:space="preserve">32 hours per system (systems &gt;3,300) </w:t>
            </w:r>
          </w:p>
          <w:p w:rsidR="00F51F73" w:rsidRPr="006C5C48" w:rsidP="00F51F73" w14:paraId="10C71F18" w14:textId="77777777">
            <w:pPr>
              <w:pStyle w:val="TableBody"/>
              <w:rPr>
                <w:szCs w:val="20"/>
              </w:rPr>
            </w:pPr>
          </w:p>
        </w:tc>
      </w:tr>
    </w:tbl>
    <w:p w:rsidR="00B64D09" w:rsidRPr="006C5C48" w:rsidP="001E40CF" w14:paraId="1B079E3C" w14:textId="77777777">
      <w:pPr>
        <w:pStyle w:val="Heading4"/>
      </w:pPr>
      <w:bookmarkStart w:id="120" w:name="_Toc114671144"/>
      <w:bookmarkStart w:id="121" w:name="_Toc111495195"/>
      <w:bookmarkStart w:id="122" w:name="_Toc111797034"/>
      <w:bookmarkEnd w:id="120"/>
    </w:p>
    <w:p w:rsidR="00DD729F" w:rsidRPr="006C5C48" w:rsidP="001E40CF" w14:paraId="44E9BC6D" w14:textId="2293CC0C">
      <w:pPr>
        <w:pStyle w:val="Heading4"/>
      </w:pPr>
      <w:r w:rsidRPr="006C5C48">
        <w:t>PWS Monitoring Costs</w:t>
      </w:r>
      <w:bookmarkEnd w:id="121"/>
      <w:bookmarkEnd w:id="122"/>
    </w:p>
    <w:p w:rsidR="00DD729F" w:rsidRPr="006C5C48" w:rsidP="00DD729F" w14:paraId="55EE7657" w14:textId="7588A045">
      <w:pPr>
        <w:rPr>
          <w:szCs w:val="24"/>
        </w:rPr>
      </w:pPr>
      <w:r w:rsidRPr="006C5C48">
        <w:rPr>
          <w:szCs w:val="24"/>
        </w:rPr>
        <w:t xml:space="preserve">As Table </w:t>
      </w:r>
      <w:r w:rsidRPr="006C5C48" w:rsidR="00400F90">
        <w:rPr>
          <w:szCs w:val="24"/>
        </w:rPr>
        <w:t xml:space="preserve">2 </w:t>
      </w:r>
      <w:r w:rsidRPr="006C5C48">
        <w:rPr>
          <w:szCs w:val="24"/>
        </w:rPr>
        <w:t xml:space="preserve">shows, </w:t>
      </w:r>
      <w:r w:rsidRPr="006C5C48" w:rsidR="008A7241">
        <w:rPr>
          <w:szCs w:val="24"/>
        </w:rPr>
        <w:t>S</w:t>
      </w:r>
      <w:r w:rsidRPr="006C5C48">
        <w:rPr>
          <w:szCs w:val="24"/>
        </w:rPr>
        <w:t xml:space="preserve">ystems will collect quarterly samples at each entry point during the </w:t>
      </w:r>
      <w:r w:rsidRPr="006C5C48" w:rsidR="0021484D">
        <w:rPr>
          <w:szCs w:val="24"/>
        </w:rPr>
        <w:t xml:space="preserve">first </w:t>
      </w:r>
      <w:r w:rsidRPr="006C5C48">
        <w:rPr>
          <w:szCs w:val="24"/>
        </w:rPr>
        <w:t xml:space="preserve">year of implementation, with the number of samples collected in each monitoring period varying by system size. Systems that have a detection will analyze the field reagent blank samples collected at the same time as the monitoring sample. Systems that have an MCL exceedance will collect one additional sample from the relevant entry point to confirm the results. The initial monitoring results determine which SMF sampling frequency a system will follow for the remaining two years of the implementation monitoring period (USEPA, 2004). </w:t>
      </w:r>
    </w:p>
    <w:p w:rsidR="00DD729F" w:rsidP="00784A42" w14:paraId="5D11073F" w14:textId="3AAC7651">
      <w:pPr>
        <w:pStyle w:val="Figurecaption"/>
        <w:rPr>
          <w:color w:val="auto"/>
        </w:rPr>
      </w:pPr>
      <w:r w:rsidRPr="006C5C48">
        <w:rPr>
          <w:color w:val="auto"/>
        </w:rPr>
        <w:t xml:space="preserve">Table </w:t>
      </w:r>
      <w:r w:rsidRPr="006C5C48">
        <w:rPr>
          <w:color w:val="auto"/>
        </w:rPr>
        <w:fldChar w:fldCharType="begin"/>
      </w:r>
      <w:r w:rsidRPr="006C5C48">
        <w:rPr>
          <w:color w:val="auto"/>
        </w:rPr>
        <w:instrText xml:space="preserve"> SEQ Table \* ARABIC </w:instrText>
      </w:r>
      <w:r w:rsidRPr="006C5C48">
        <w:rPr>
          <w:color w:val="auto"/>
        </w:rPr>
        <w:fldChar w:fldCharType="separate"/>
      </w:r>
      <w:r w:rsidRPr="006C5C48" w:rsidR="00B4473D">
        <w:rPr>
          <w:noProof/>
          <w:color w:val="auto"/>
        </w:rPr>
        <w:t>2</w:t>
      </w:r>
      <w:r w:rsidRPr="006C5C48">
        <w:rPr>
          <w:noProof/>
          <w:color w:val="auto"/>
        </w:rPr>
        <w:fldChar w:fldCharType="end"/>
      </w:r>
      <w:r w:rsidRPr="006C5C48">
        <w:rPr>
          <w:color w:val="auto"/>
        </w:rPr>
        <w:t>:</w:t>
      </w:r>
      <w:r w:rsidRPr="006C5C48">
        <w:rPr>
          <w:color w:val="auto"/>
        </w:rPr>
        <w:t xml:space="preserve"> </w:t>
      </w:r>
      <w:r w:rsidR="00413B0C">
        <w:t>Overview of Sampling Requirements per System Entry Point in the First Three Years</w:t>
      </w:r>
    </w:p>
    <w:tbl>
      <w:tblPr>
        <w:tblStyle w:val="TableGrid4"/>
        <w:tblW w:w="9360" w:type="dxa"/>
        <w:tblInd w:w="-5" w:type="dxa"/>
        <w:tblLook w:val="04A0"/>
      </w:tblPr>
      <w:tblGrid>
        <w:gridCol w:w="1978"/>
        <w:gridCol w:w="7382"/>
      </w:tblGrid>
      <w:tr w14:paraId="4DA424F9" w14:textId="77777777" w:rsidTr="000437C1">
        <w:tblPrEx>
          <w:tblW w:w="9360" w:type="dxa"/>
          <w:tblInd w:w="-5" w:type="dxa"/>
          <w:tblLook w:val="04A0"/>
        </w:tblPrEx>
        <w:trPr>
          <w:trHeight w:val="1320"/>
        </w:trPr>
        <w:tc>
          <w:tcPr>
            <w:tcW w:w="1978" w:type="dxa"/>
            <w:vAlign w:val="center"/>
            <w:hideMark/>
          </w:tcPr>
          <w:p w:rsidR="00413B0C" w:rsidRPr="00460624" w:rsidP="000437C1" w14:paraId="1BA14790" w14:textId="77777777">
            <w:pPr>
              <w:pStyle w:val="TableHeader"/>
            </w:pPr>
            <w:r w:rsidRPr="00460624">
              <w:t>Initial Monitoring System Size Category</w:t>
            </w:r>
          </w:p>
        </w:tc>
        <w:tc>
          <w:tcPr>
            <w:tcW w:w="7382" w:type="dxa"/>
            <w:vAlign w:val="center"/>
            <w:hideMark/>
          </w:tcPr>
          <w:p w:rsidR="00413B0C" w:rsidRPr="00460624" w:rsidP="000437C1" w14:paraId="15433064" w14:textId="77777777">
            <w:pPr>
              <w:pStyle w:val="TableHeader"/>
            </w:pPr>
            <w:r w:rsidRPr="00460624">
              <w:t>Initial 12-Month Monitoring Period</w:t>
            </w:r>
          </w:p>
        </w:tc>
      </w:tr>
      <w:tr w14:paraId="5596689D" w14:textId="77777777" w:rsidTr="000437C1">
        <w:tblPrEx>
          <w:tblW w:w="9360" w:type="dxa"/>
          <w:tblInd w:w="-5" w:type="dxa"/>
          <w:tblLook w:val="04A0"/>
        </w:tblPrEx>
        <w:trPr>
          <w:trHeight w:val="510"/>
        </w:trPr>
        <w:tc>
          <w:tcPr>
            <w:tcW w:w="1978" w:type="dxa"/>
            <w:vMerge w:val="restart"/>
            <w:vAlign w:val="center"/>
            <w:hideMark/>
          </w:tcPr>
          <w:p w:rsidR="00413B0C" w:rsidRPr="00460624" w:rsidP="000437C1" w14:paraId="2D2B4A96" w14:textId="77777777">
            <w:pPr>
              <w:pStyle w:val="TableBody"/>
            </w:pPr>
            <w:r w:rsidRPr="00460624">
              <w:t>≤ 10,000</w:t>
            </w:r>
          </w:p>
        </w:tc>
        <w:tc>
          <w:tcPr>
            <w:tcW w:w="7382" w:type="dxa"/>
            <w:vAlign w:val="center"/>
            <w:hideMark/>
          </w:tcPr>
          <w:p w:rsidR="00413B0C" w:rsidRPr="00460624" w:rsidP="000437C1" w14:paraId="70D92612" w14:textId="77777777">
            <w:pPr>
              <w:pStyle w:val="TableBody"/>
            </w:pPr>
            <w:r w:rsidRPr="00460624">
              <w:t>Surface Water: 1 sample every quarter</w:t>
            </w:r>
          </w:p>
        </w:tc>
      </w:tr>
      <w:tr w14:paraId="6395B7E9" w14:textId="77777777" w:rsidTr="000437C1">
        <w:tblPrEx>
          <w:tblW w:w="9360" w:type="dxa"/>
          <w:tblInd w:w="-5" w:type="dxa"/>
          <w:tblLook w:val="04A0"/>
        </w:tblPrEx>
        <w:trPr>
          <w:trHeight w:val="765"/>
        </w:trPr>
        <w:tc>
          <w:tcPr>
            <w:tcW w:w="1978" w:type="dxa"/>
            <w:vMerge/>
            <w:vAlign w:val="center"/>
            <w:hideMark/>
          </w:tcPr>
          <w:p w:rsidR="00413B0C" w:rsidRPr="00460624" w:rsidP="000437C1" w14:paraId="0638346B" w14:textId="77777777">
            <w:pPr>
              <w:pStyle w:val="TableBody"/>
            </w:pPr>
          </w:p>
        </w:tc>
        <w:tc>
          <w:tcPr>
            <w:tcW w:w="7382" w:type="dxa"/>
            <w:vAlign w:val="center"/>
            <w:hideMark/>
          </w:tcPr>
          <w:p w:rsidR="00413B0C" w:rsidRPr="00460624" w:rsidP="000437C1" w14:paraId="353F9722" w14:textId="77777777">
            <w:pPr>
              <w:pStyle w:val="TableBody"/>
            </w:pPr>
            <w:r w:rsidRPr="00460624">
              <w:t>Ground Water: 1 sample every 6-month period</w:t>
            </w:r>
          </w:p>
        </w:tc>
      </w:tr>
      <w:tr w14:paraId="13228BFA" w14:textId="77777777" w:rsidTr="000437C1">
        <w:tblPrEx>
          <w:tblW w:w="9360" w:type="dxa"/>
          <w:tblInd w:w="-5" w:type="dxa"/>
          <w:tblLook w:val="04A0"/>
        </w:tblPrEx>
        <w:trPr>
          <w:trHeight w:val="2208"/>
        </w:trPr>
        <w:tc>
          <w:tcPr>
            <w:tcW w:w="1978" w:type="dxa"/>
            <w:tcBorders>
              <w:bottom w:val="single" w:sz="4" w:space="0" w:color="auto"/>
            </w:tcBorders>
            <w:vAlign w:val="center"/>
            <w:hideMark/>
          </w:tcPr>
          <w:p w:rsidR="00413B0C" w:rsidRPr="00460624" w:rsidP="000437C1" w14:paraId="01BD4735" w14:textId="77777777">
            <w:pPr>
              <w:pStyle w:val="TableBody"/>
            </w:pPr>
            <w:r w:rsidRPr="00460624">
              <w:t>&gt;10,000</w:t>
            </w:r>
          </w:p>
        </w:tc>
        <w:tc>
          <w:tcPr>
            <w:tcW w:w="7382" w:type="dxa"/>
            <w:tcBorders>
              <w:bottom w:val="single" w:sz="4" w:space="0" w:color="auto"/>
            </w:tcBorders>
            <w:vAlign w:val="center"/>
            <w:hideMark/>
          </w:tcPr>
          <w:p w:rsidR="00413B0C" w:rsidRPr="00460624" w:rsidP="000437C1" w14:paraId="55615C66" w14:textId="77777777">
            <w:pPr>
              <w:pStyle w:val="TableBody"/>
            </w:pPr>
            <w:r w:rsidRPr="00460624">
              <w:t>Surface Water and Ground Water: 1 sample every quarter</w:t>
            </w:r>
          </w:p>
        </w:tc>
      </w:tr>
    </w:tbl>
    <w:p w:rsidR="00F12E24" w:rsidRPr="006C5C48" w:rsidP="003A3B69" w14:paraId="4A5ABBEF" w14:textId="1579739A">
      <w:pPr>
        <w:pStyle w:val="FigureTableNote"/>
        <w:ind w:left="0" w:firstLine="0"/>
      </w:pPr>
      <w:r w:rsidRPr="006C5C48">
        <w:t xml:space="preserve">Abbreviations: HI – </w:t>
      </w:r>
      <w:r w:rsidRPr="006C5C48" w:rsidR="009141DC">
        <w:t xml:space="preserve">Hazard </w:t>
      </w:r>
      <w:r w:rsidRPr="006C5C48">
        <w:t>index; PFAS – per-and polyfluoroalkyl substances.</w:t>
      </w:r>
    </w:p>
    <w:p w:rsidR="00F12E24" w:rsidRPr="006C5C48" w:rsidP="00707B3F" w14:paraId="53D9C558" w14:textId="77777777">
      <w:pPr>
        <w:pStyle w:val="BodyText"/>
      </w:pPr>
    </w:p>
    <w:p w:rsidR="009631B6" w:rsidRPr="006C5C48" w:rsidP="00271D4F" w14:paraId="6C3D1479" w14:textId="0DB7B9AE">
      <w:pPr>
        <w:pStyle w:val="Figurecaption"/>
        <w:spacing w:line="480" w:lineRule="auto"/>
        <w:jc w:val="left"/>
        <w:rPr>
          <w:b w:val="0"/>
          <w:bCs/>
          <w:color w:val="auto"/>
          <w:szCs w:val="24"/>
        </w:rPr>
      </w:pPr>
      <w:r w:rsidRPr="006C5C48">
        <w:rPr>
          <w:b w:val="0"/>
          <w:bCs/>
          <w:color w:val="auto"/>
          <w:szCs w:val="24"/>
        </w:rPr>
        <w:t xml:space="preserve">For all systems, the activities associated with the sample collection in the initial 12-month monitoring period are the labor burden and cost for the sample collection and analysis, as well as a review of the sample results. </w:t>
      </w:r>
      <w:r w:rsidRPr="006C5C48" w:rsidR="008A7680">
        <w:rPr>
          <w:b w:val="0"/>
          <w:bCs/>
          <w:color w:val="auto"/>
          <w:szCs w:val="24"/>
        </w:rPr>
        <w:fldChar w:fldCharType="begin"/>
      </w:r>
      <w:r w:rsidRPr="006C5C48" w:rsidR="008A7680">
        <w:rPr>
          <w:b w:val="0"/>
          <w:bCs/>
          <w:color w:val="auto"/>
          <w:szCs w:val="24"/>
        </w:rPr>
        <w:instrText xml:space="preserve"> REF _Ref114990510 \h </w:instrText>
      </w:r>
      <w:r w:rsidRPr="006C5C48">
        <w:rPr>
          <w:b w:val="0"/>
          <w:bCs/>
          <w:color w:val="auto"/>
          <w:szCs w:val="24"/>
        </w:rPr>
        <w:instrText xml:space="preserve"> \* MERGEFORMAT </w:instrText>
      </w:r>
      <w:r w:rsidRPr="006C5C48" w:rsidR="008A7680">
        <w:rPr>
          <w:b w:val="0"/>
          <w:bCs/>
          <w:color w:val="auto"/>
          <w:szCs w:val="24"/>
        </w:rPr>
        <w:fldChar w:fldCharType="separate"/>
      </w:r>
      <w:r w:rsidRPr="006C5C48" w:rsidR="008A7680">
        <w:rPr>
          <w:b w:val="0"/>
          <w:bCs/>
          <w:color w:val="auto"/>
          <w:szCs w:val="24"/>
        </w:rPr>
        <w:t xml:space="preserve">Table </w:t>
      </w:r>
      <w:r w:rsidRPr="006C5C48" w:rsidR="008A7680">
        <w:rPr>
          <w:b w:val="0"/>
          <w:bCs/>
          <w:noProof/>
          <w:color w:val="auto"/>
          <w:szCs w:val="24"/>
        </w:rPr>
        <w:t>3</w:t>
      </w:r>
      <w:r w:rsidRPr="006C5C48" w:rsidR="008A7680">
        <w:rPr>
          <w:b w:val="0"/>
          <w:bCs/>
          <w:color w:val="auto"/>
          <w:szCs w:val="24"/>
        </w:rPr>
        <w:fldChar w:fldCharType="end"/>
      </w:r>
      <w:r w:rsidRPr="006C5C48">
        <w:rPr>
          <w:b w:val="0"/>
          <w:bCs/>
          <w:color w:val="auto"/>
          <w:szCs w:val="24"/>
        </w:rPr>
        <w:t xml:space="preserve"> presents the data needs associated with the implementation monitoring period. The cost per entry point for each sampling activity is the product of the hourly labor cost and the hours plus the laboratory analysis cost. The laboratory analysis cost will include the additional field blank cost when occurrence values exceed </w:t>
      </w:r>
      <w:r w:rsidRPr="006C5C48" w:rsidR="003A02DE">
        <w:rPr>
          <w:b w:val="0"/>
          <w:bCs/>
          <w:color w:val="auto"/>
          <w:szCs w:val="24"/>
        </w:rPr>
        <w:t>the MCL</w:t>
      </w:r>
      <w:r w:rsidRPr="006C5C48">
        <w:rPr>
          <w:b w:val="0"/>
          <w:bCs/>
          <w:color w:val="auto"/>
          <w:szCs w:val="24"/>
        </w:rPr>
        <w:t>. The total cost is the sum of per-entry point costs.</w:t>
      </w:r>
      <w:r w:rsidRPr="006C5C48" w:rsidR="009B52B2">
        <w:rPr>
          <w:b w:val="0"/>
          <w:bCs/>
          <w:color w:val="auto"/>
          <w:szCs w:val="24"/>
        </w:rPr>
        <w:t xml:space="preserve"> </w:t>
      </w:r>
      <w:bookmarkStart w:id="123" w:name="_Ref114990510"/>
    </w:p>
    <w:p w:rsidR="00DD729F" w:rsidP="006C5C48" w14:paraId="16328642" w14:textId="229757F9">
      <w:pPr>
        <w:pStyle w:val="Figurecaption"/>
        <w:rPr>
          <w:color w:val="auto"/>
        </w:rPr>
      </w:pPr>
      <w:r w:rsidRPr="006C5C48">
        <w:rPr>
          <w:color w:val="auto"/>
        </w:rPr>
        <w:t xml:space="preserve">Table </w:t>
      </w:r>
      <w:r w:rsidRPr="006C5C48">
        <w:rPr>
          <w:color w:val="auto"/>
        </w:rPr>
        <w:fldChar w:fldCharType="begin"/>
      </w:r>
      <w:r w:rsidRPr="006C5C48">
        <w:rPr>
          <w:color w:val="auto"/>
        </w:rPr>
        <w:instrText xml:space="preserve"> SEQ Table \* ARABIC </w:instrText>
      </w:r>
      <w:r w:rsidRPr="006C5C48">
        <w:rPr>
          <w:color w:val="auto"/>
        </w:rPr>
        <w:fldChar w:fldCharType="separate"/>
      </w:r>
      <w:r w:rsidRPr="006C5C48" w:rsidR="00B4473D">
        <w:rPr>
          <w:noProof/>
          <w:color w:val="auto"/>
        </w:rPr>
        <w:t>3</w:t>
      </w:r>
      <w:r w:rsidRPr="006C5C48">
        <w:rPr>
          <w:noProof/>
          <w:color w:val="auto"/>
        </w:rPr>
        <w:fldChar w:fldCharType="end"/>
      </w:r>
      <w:bookmarkEnd w:id="123"/>
      <w:r w:rsidRPr="006C5C48">
        <w:rPr>
          <w:color w:val="auto"/>
        </w:rPr>
        <w:t>:</w:t>
      </w:r>
      <w:r w:rsidRPr="006C5C48">
        <w:rPr>
          <w:color w:val="auto"/>
        </w:rPr>
        <w:t xml:space="preserve"> Sampling Costs (202</w:t>
      </w:r>
      <w:r w:rsidRPr="006C5C48" w:rsidR="1AC73149">
        <w:rPr>
          <w:color w:val="auto"/>
        </w:rPr>
        <w:t>2</w:t>
      </w:r>
      <w:r w:rsidRPr="006C5C48">
        <w:rPr>
          <w:color w:val="auto"/>
        </w:rPr>
        <w:t>$)</w:t>
      </w:r>
    </w:p>
    <w:tbl>
      <w:tblPr>
        <w:tblStyle w:val="TableGrid4"/>
        <w:tblW w:w="9162" w:type="dxa"/>
        <w:tblInd w:w="103" w:type="dxa"/>
        <w:tblLayout w:type="fixed"/>
        <w:tblLook w:val="04A0"/>
      </w:tblPr>
      <w:tblGrid>
        <w:gridCol w:w="2610"/>
        <w:gridCol w:w="4482"/>
        <w:gridCol w:w="2070"/>
      </w:tblGrid>
      <w:tr w14:paraId="3359D2BA" w14:textId="77777777" w:rsidTr="4D168567">
        <w:tblPrEx>
          <w:tblW w:w="9162" w:type="dxa"/>
          <w:tblInd w:w="103" w:type="dxa"/>
          <w:tblLayout w:type="fixed"/>
          <w:tblLook w:val="04A0"/>
        </w:tblPrEx>
        <w:tc>
          <w:tcPr>
            <w:tcW w:w="2610" w:type="dxa"/>
          </w:tcPr>
          <w:p w:rsidR="00413B0C" w:rsidRPr="0065597C" w:rsidP="000437C1" w14:paraId="20F35168" w14:textId="77777777">
            <w:pPr>
              <w:pStyle w:val="TableHeader"/>
            </w:pPr>
            <w:r w:rsidRPr="0065597C">
              <w:t>Data Element Description</w:t>
            </w:r>
          </w:p>
        </w:tc>
        <w:tc>
          <w:tcPr>
            <w:tcW w:w="4482" w:type="dxa"/>
          </w:tcPr>
          <w:p w:rsidR="00413B0C" w:rsidRPr="0065597C" w:rsidP="000437C1" w14:paraId="3186B79B" w14:textId="77777777">
            <w:pPr>
              <w:pStyle w:val="TableHeader"/>
            </w:pPr>
            <w:r w:rsidRPr="0065597C">
              <w:t>Data Element Value</w:t>
            </w:r>
          </w:p>
        </w:tc>
        <w:tc>
          <w:tcPr>
            <w:tcW w:w="2070" w:type="dxa"/>
          </w:tcPr>
          <w:p w:rsidR="00413B0C" w:rsidRPr="0065597C" w:rsidP="000437C1" w14:paraId="183E9153" w14:textId="77777777">
            <w:pPr>
              <w:pStyle w:val="TableHeader"/>
            </w:pPr>
            <w:r w:rsidRPr="0065597C">
              <w:t>Data Element Source</w:t>
            </w:r>
          </w:p>
        </w:tc>
      </w:tr>
      <w:tr w14:paraId="32B3D3E4" w14:textId="77777777" w:rsidTr="4D168567">
        <w:tblPrEx>
          <w:tblW w:w="9162" w:type="dxa"/>
          <w:tblInd w:w="103" w:type="dxa"/>
          <w:tblLayout w:type="fixed"/>
          <w:tblLook w:val="04A0"/>
        </w:tblPrEx>
        <w:trPr>
          <w:trHeight w:val="1457"/>
        </w:trPr>
        <w:tc>
          <w:tcPr>
            <w:tcW w:w="2610" w:type="dxa"/>
          </w:tcPr>
          <w:p w:rsidR="00413B0C" w:rsidRPr="0065597C" w:rsidP="000437C1" w14:paraId="17F5FE8B" w14:textId="77777777">
            <w:pPr>
              <w:pStyle w:val="TableBody"/>
              <w:rPr>
                <w:szCs w:val="20"/>
              </w:rPr>
            </w:pPr>
            <w:r w:rsidRPr="0065597C">
              <w:rPr>
                <w:szCs w:val="20"/>
              </w:rPr>
              <w:t>The labor rate per hour for systems</w:t>
            </w:r>
          </w:p>
        </w:tc>
        <w:tc>
          <w:tcPr>
            <w:tcW w:w="4482" w:type="dxa"/>
          </w:tcPr>
          <w:p w:rsidR="00413B0C" w:rsidRPr="0065597C" w:rsidP="000437C1" w14:paraId="5332CD39" w14:textId="77777777">
            <w:pPr>
              <w:pStyle w:val="TableBody"/>
            </w:pPr>
            <w:r>
              <w:t xml:space="preserve">$36.43 (systems ≤3,300) </w:t>
            </w:r>
          </w:p>
          <w:p w:rsidR="00413B0C" w:rsidRPr="0065597C" w:rsidP="000437C1" w14:paraId="5EF7DC6C" w14:textId="77777777">
            <w:pPr>
              <w:pStyle w:val="TableBody"/>
            </w:pPr>
            <w:r>
              <w:t xml:space="preserve">$38.84 (systems 3,301-10,000) </w:t>
            </w:r>
          </w:p>
          <w:p w:rsidR="00413B0C" w:rsidRPr="0065597C" w:rsidP="000437C1" w14:paraId="65CFF778" w14:textId="77777777">
            <w:pPr>
              <w:pStyle w:val="TableBody"/>
            </w:pPr>
            <w:r>
              <w:t xml:space="preserve">$41.00 (systems 10,001-50,000) </w:t>
            </w:r>
          </w:p>
          <w:p w:rsidR="00413B0C" w:rsidRPr="0065597C" w:rsidP="000437C1" w14:paraId="7655A76F" w14:textId="77777777">
            <w:pPr>
              <w:pStyle w:val="TableBody"/>
            </w:pPr>
            <w:r>
              <w:t xml:space="preserve">$42.81 (systems 50,001-100,000) </w:t>
            </w:r>
          </w:p>
          <w:p w:rsidR="00413B0C" w:rsidRPr="0065597C" w:rsidP="000437C1" w14:paraId="4F053C4B" w14:textId="77777777">
            <w:pPr>
              <w:pStyle w:val="TableBody"/>
            </w:pPr>
            <w:r>
              <w:t>$50.03 (systems &gt;100,000)</w:t>
            </w:r>
          </w:p>
        </w:tc>
        <w:tc>
          <w:tcPr>
            <w:tcW w:w="2070" w:type="dxa"/>
          </w:tcPr>
          <w:p w:rsidR="00413B0C" w:rsidRPr="0065597C" w:rsidP="000437C1" w14:paraId="16E6E38A" w14:textId="77777777">
            <w:pPr>
              <w:pStyle w:val="TableBody"/>
              <w:rPr>
                <w:szCs w:val="20"/>
              </w:rPr>
            </w:pPr>
            <w:r w:rsidRPr="0065597C">
              <w:rPr>
                <w:szCs w:val="20"/>
              </w:rPr>
              <w:t>WBS Technical Labor Cost</w:t>
            </w:r>
          </w:p>
        </w:tc>
      </w:tr>
      <w:tr w14:paraId="65CE7630" w14:textId="77777777" w:rsidTr="4D168567">
        <w:tblPrEx>
          <w:tblW w:w="9162" w:type="dxa"/>
          <w:tblInd w:w="103" w:type="dxa"/>
          <w:tblLayout w:type="fixed"/>
          <w:tblLook w:val="04A0"/>
        </w:tblPrEx>
        <w:trPr>
          <w:trHeight w:val="810"/>
        </w:trPr>
        <w:tc>
          <w:tcPr>
            <w:tcW w:w="2610" w:type="dxa"/>
          </w:tcPr>
          <w:p w:rsidR="00413B0C" w:rsidRPr="0065597C" w:rsidP="000437C1" w14:paraId="37D4927E" w14:textId="77777777">
            <w:pPr>
              <w:pStyle w:val="TableBody"/>
              <w:rPr>
                <w:szCs w:val="20"/>
              </w:rPr>
            </w:pPr>
            <w:r w:rsidRPr="0065597C">
              <w:rPr>
                <w:szCs w:val="20"/>
              </w:rPr>
              <w:t>The number of samples per entry point per monitoring round for the initial monitoring in Year 1</w:t>
            </w:r>
          </w:p>
        </w:tc>
        <w:tc>
          <w:tcPr>
            <w:tcW w:w="4482" w:type="dxa"/>
          </w:tcPr>
          <w:p w:rsidR="00413B0C" w:rsidRPr="0065597C" w:rsidP="000437C1" w14:paraId="7104BC3E" w14:textId="77777777">
            <w:pPr>
              <w:pStyle w:val="TableBody"/>
              <w:rPr>
                <w:szCs w:val="20"/>
              </w:rPr>
            </w:pPr>
            <w:r w:rsidRPr="0065597C">
              <w:rPr>
                <w:szCs w:val="20"/>
              </w:rPr>
              <w:t xml:space="preserve">2 samples (Ground Water systems ≤10,000) </w:t>
            </w:r>
          </w:p>
          <w:p w:rsidR="00413B0C" w:rsidRPr="0065597C" w:rsidP="000437C1" w14:paraId="5DB699DF" w14:textId="77777777">
            <w:pPr>
              <w:pStyle w:val="TableBody"/>
              <w:rPr>
                <w:szCs w:val="20"/>
              </w:rPr>
            </w:pPr>
            <w:r w:rsidRPr="0065597C">
              <w:rPr>
                <w:szCs w:val="20"/>
              </w:rPr>
              <w:t xml:space="preserve">4 samples (all other </w:t>
            </w:r>
            <w:r w:rsidRPr="0065597C">
              <w:rPr>
                <w:szCs w:val="20"/>
              </w:rPr>
              <w:t>systems)</w:t>
            </w:r>
            <w:r w:rsidRPr="0065597C">
              <w:rPr>
                <w:szCs w:val="20"/>
                <w:vertAlign w:val="superscript"/>
              </w:rPr>
              <w:t>a</w:t>
            </w:r>
            <w:r w:rsidRPr="0065597C">
              <w:rPr>
                <w:szCs w:val="20"/>
                <w:vertAlign w:val="superscript"/>
              </w:rPr>
              <w:t xml:space="preserve"> </w:t>
            </w:r>
          </w:p>
        </w:tc>
        <w:tc>
          <w:tcPr>
            <w:tcW w:w="2070" w:type="dxa"/>
          </w:tcPr>
          <w:p w:rsidR="00413B0C" w:rsidRPr="0065597C" w:rsidP="000437C1" w14:paraId="4139E9E3" w14:textId="77777777">
            <w:pPr>
              <w:pStyle w:val="TableBody"/>
              <w:rPr>
                <w:szCs w:val="20"/>
              </w:rPr>
            </w:pPr>
            <w:r>
              <w:rPr>
                <w:szCs w:val="20"/>
              </w:rPr>
              <w:t>Final</w:t>
            </w:r>
            <w:r w:rsidRPr="0065597C">
              <w:rPr>
                <w:szCs w:val="20"/>
              </w:rPr>
              <w:t xml:space="preserve"> rule</w:t>
            </w:r>
          </w:p>
        </w:tc>
      </w:tr>
      <w:tr w14:paraId="2D8EA9CE" w14:textId="77777777" w:rsidTr="4D168567">
        <w:tblPrEx>
          <w:tblW w:w="9162" w:type="dxa"/>
          <w:tblInd w:w="103" w:type="dxa"/>
          <w:tblLayout w:type="fixed"/>
          <w:tblLook w:val="04A0"/>
        </w:tblPrEx>
        <w:trPr>
          <w:trHeight w:val="486"/>
        </w:trPr>
        <w:tc>
          <w:tcPr>
            <w:tcW w:w="2610" w:type="dxa"/>
          </w:tcPr>
          <w:p w:rsidR="00413B0C" w:rsidRPr="0065597C" w:rsidP="000437C1" w14:paraId="3C990FA4" w14:textId="77777777">
            <w:pPr>
              <w:pStyle w:val="TableBody"/>
              <w:rPr>
                <w:szCs w:val="20"/>
              </w:rPr>
            </w:pPr>
            <w:r w:rsidRPr="0065597C">
              <w:rPr>
                <w:szCs w:val="20"/>
              </w:rPr>
              <w:t xml:space="preserve">The hours per sample to travel to sampling locations, collect </w:t>
            </w:r>
            <w:r w:rsidRPr="0065597C">
              <w:rPr>
                <w:szCs w:val="20"/>
              </w:rPr>
              <w:t>samples, record any additional information, submit samples to a laboratory, and review results</w:t>
            </w:r>
          </w:p>
        </w:tc>
        <w:tc>
          <w:tcPr>
            <w:tcW w:w="4482" w:type="dxa"/>
          </w:tcPr>
          <w:p w:rsidR="00413B0C" w:rsidRPr="0065597C" w:rsidP="000437C1" w14:paraId="56F9D840" w14:textId="77777777">
            <w:pPr>
              <w:pStyle w:val="TableBody"/>
              <w:rPr>
                <w:szCs w:val="20"/>
              </w:rPr>
            </w:pPr>
            <w:r w:rsidRPr="0065597C">
              <w:rPr>
                <w:szCs w:val="20"/>
              </w:rPr>
              <w:t>1 hour</w:t>
            </w:r>
          </w:p>
        </w:tc>
        <w:tc>
          <w:tcPr>
            <w:tcW w:w="2070" w:type="dxa"/>
          </w:tcPr>
          <w:p w:rsidR="00413B0C" w:rsidRPr="0065597C" w:rsidP="000437C1" w14:paraId="49E9E8A4" w14:textId="77777777">
            <w:pPr>
              <w:pStyle w:val="TableBody"/>
            </w:pPr>
            <w:r>
              <w:t>UCMR5 ICR (EPA-HQ-OW-2020-0530-00141)</w:t>
            </w:r>
          </w:p>
        </w:tc>
      </w:tr>
      <w:tr w14:paraId="245211DC" w14:textId="77777777" w:rsidTr="4D168567">
        <w:tblPrEx>
          <w:tblW w:w="9162" w:type="dxa"/>
          <w:tblInd w:w="103" w:type="dxa"/>
          <w:tblLayout w:type="fixed"/>
          <w:tblLook w:val="04A0"/>
        </w:tblPrEx>
        <w:trPr>
          <w:trHeight w:val="300"/>
        </w:trPr>
        <w:tc>
          <w:tcPr>
            <w:tcW w:w="2610" w:type="dxa"/>
          </w:tcPr>
          <w:p w:rsidR="00413B0C" w:rsidRPr="0065597C" w:rsidP="000437C1" w14:paraId="55150F96" w14:textId="77777777">
            <w:pPr>
              <w:pStyle w:val="TableBody"/>
              <w:rPr>
                <w:szCs w:val="20"/>
              </w:rPr>
            </w:pPr>
            <w:r w:rsidRPr="0065597C">
              <w:rPr>
                <w:szCs w:val="20"/>
              </w:rPr>
              <w:t>The</w:t>
            </w:r>
            <w:r w:rsidRPr="0065597C">
              <w:rPr>
                <w:szCs w:val="20"/>
              </w:rPr>
              <w:t xml:space="preserve"> </w:t>
            </w:r>
            <w:r w:rsidRPr="0065597C">
              <w:rPr>
                <w:szCs w:val="20"/>
              </w:rPr>
              <w:t xml:space="preserve">laboratory analysis cost per sample for EPA Method 537.1 </w:t>
            </w:r>
          </w:p>
        </w:tc>
        <w:tc>
          <w:tcPr>
            <w:tcW w:w="4482" w:type="dxa"/>
          </w:tcPr>
          <w:p w:rsidR="00413B0C" w:rsidRPr="0065597C" w:rsidP="000437C1" w14:paraId="2403DFD6" w14:textId="77777777">
            <w:pPr>
              <w:pStyle w:val="TableBody"/>
            </w:pPr>
            <w:r>
              <w:t>$309</w:t>
            </w:r>
          </w:p>
        </w:tc>
        <w:tc>
          <w:tcPr>
            <w:tcW w:w="2070" w:type="dxa"/>
          </w:tcPr>
          <w:p w:rsidR="00413B0C" w:rsidRPr="0065597C" w:rsidP="000437C1" w14:paraId="43AECF43" w14:textId="77777777">
            <w:pPr>
              <w:pStyle w:val="TableBody"/>
              <w:rPr>
                <w:szCs w:val="20"/>
              </w:rPr>
            </w:pPr>
            <w:r w:rsidRPr="0065597C">
              <w:rPr>
                <w:szCs w:val="20"/>
              </w:rPr>
              <w:t>UCMR5 ICR (EPA-HQ-OW-2020-0530-0141)</w:t>
            </w:r>
          </w:p>
        </w:tc>
      </w:tr>
      <w:tr w14:paraId="44D6C1CC" w14:textId="77777777" w:rsidTr="4D168567">
        <w:tblPrEx>
          <w:tblW w:w="9162" w:type="dxa"/>
          <w:tblInd w:w="103" w:type="dxa"/>
          <w:tblLayout w:type="fixed"/>
          <w:tblLook w:val="04A0"/>
        </w:tblPrEx>
        <w:trPr>
          <w:trHeight w:val="300"/>
        </w:trPr>
        <w:tc>
          <w:tcPr>
            <w:tcW w:w="2610" w:type="dxa"/>
          </w:tcPr>
          <w:p w:rsidR="00413B0C" w:rsidRPr="0065597C" w:rsidP="000437C1" w14:paraId="7B83FA90" w14:textId="77777777">
            <w:pPr>
              <w:pStyle w:val="TableBody"/>
              <w:rPr>
                <w:szCs w:val="20"/>
              </w:rPr>
            </w:pPr>
            <w:r w:rsidRPr="0065597C">
              <w:rPr>
                <w:szCs w:val="20"/>
              </w:rPr>
              <w:t>The</w:t>
            </w:r>
            <w:r w:rsidRPr="0065597C">
              <w:rPr>
                <w:szCs w:val="20"/>
              </w:rPr>
              <w:t xml:space="preserve"> </w:t>
            </w:r>
            <w:r w:rsidRPr="0065597C">
              <w:rPr>
                <w:szCs w:val="20"/>
              </w:rPr>
              <w:t xml:space="preserve">laboratory analysis cost per sample for the field reagent blank under EPA Method 537.1 </w:t>
            </w:r>
          </w:p>
        </w:tc>
        <w:tc>
          <w:tcPr>
            <w:tcW w:w="4482" w:type="dxa"/>
          </w:tcPr>
          <w:p w:rsidR="00413B0C" w:rsidRPr="0065597C" w:rsidP="000437C1" w14:paraId="113057C2" w14:textId="6B912AAA">
            <w:pPr>
              <w:pStyle w:val="TableBody"/>
            </w:pPr>
            <w:r>
              <w:t>$</w:t>
            </w:r>
            <w:r w:rsidR="763BFAC5">
              <w:t>273</w:t>
            </w:r>
            <w:r w:rsidRPr="4D168567">
              <w:rPr>
                <w:vertAlign w:val="superscript"/>
              </w:rPr>
              <w:t>b</w:t>
            </w:r>
          </w:p>
        </w:tc>
        <w:tc>
          <w:tcPr>
            <w:tcW w:w="2070" w:type="dxa"/>
          </w:tcPr>
          <w:p w:rsidR="00413B0C" w:rsidRPr="0065597C" w:rsidP="000437C1" w14:paraId="06A36141" w14:textId="77777777">
            <w:pPr>
              <w:pStyle w:val="TableBody"/>
            </w:pPr>
            <w:r>
              <w:t>UCMR5</w:t>
            </w:r>
          </w:p>
        </w:tc>
      </w:tr>
    </w:tbl>
    <w:p w:rsidR="0072338C" w:rsidRPr="006C5C48" w:rsidP="0065597C" w14:paraId="18E3E700" w14:textId="2995FD59">
      <w:pPr>
        <w:pStyle w:val="FigureTableNote"/>
      </w:pPr>
      <w:r w:rsidRPr="006C5C48">
        <w:t>Abbreviations: EPA – Environmental Protection Agency; Ground Water – ground water ICR; UCMR</w:t>
      </w:r>
      <w:r w:rsidRPr="006C5C48" w:rsidR="142F85B7">
        <w:t xml:space="preserve"> -</w:t>
      </w:r>
      <w:r w:rsidRPr="006C5C48">
        <w:t xml:space="preserve"> Unregulated Contaminant Monitoring Rule; WBS </w:t>
      </w:r>
      <w:r w:rsidRPr="006C5C48" w:rsidR="04AC2352">
        <w:t xml:space="preserve">- </w:t>
      </w:r>
      <w:r w:rsidRPr="006C5C48">
        <w:t xml:space="preserve">work breakdown structure. </w:t>
      </w:r>
    </w:p>
    <w:p w:rsidR="0072338C" w:rsidRPr="006C5C48" w:rsidP="0065597C" w14:paraId="7A21AF68" w14:textId="77777777">
      <w:pPr>
        <w:pStyle w:val="FigureTableNote"/>
      </w:pPr>
      <w:r w:rsidRPr="006C5C48">
        <w:t xml:space="preserve">Note: </w:t>
      </w:r>
    </w:p>
    <w:p w:rsidR="0072338C" w:rsidRPr="006C5C48" w:rsidP="0065597C" w14:paraId="795322C3" w14:textId="77777777">
      <w:pPr>
        <w:pStyle w:val="FigureTableNote"/>
      </w:pPr>
      <w:r w:rsidRPr="006C5C48">
        <w:rPr>
          <w:vertAlign w:val="superscript"/>
        </w:rPr>
        <w:t>a</w:t>
      </w:r>
      <w:r w:rsidRPr="006C5C48">
        <w:t xml:space="preserve"> Systems greater than 3,300 will rely on UCMR5 data and a subset of other systems will rely on data in the State PFAS Monitoring Database.</w:t>
      </w:r>
    </w:p>
    <w:p w:rsidR="00811616" w:rsidRPr="00811616" w:rsidP="00811616" w14:paraId="5FE96E68" w14:textId="2819B622">
      <w:pPr>
        <w:pStyle w:val="FigureTableNote"/>
        <w:rPr>
          <w:rStyle w:val="normaltextrun"/>
          <w:shd w:val="clear" w:color="auto" w:fill="FFFFFF"/>
        </w:rPr>
      </w:pPr>
      <w:r w:rsidRPr="052BE581">
        <w:rPr>
          <w:vertAlign w:val="superscript"/>
        </w:rPr>
        <w:t>b</w:t>
      </w:r>
      <w:r>
        <w:t xml:space="preserve"> This incremental sample cost applies to all samples that exceed method detection limits. </w:t>
      </w:r>
      <w:r w:rsidR="002B34CB">
        <w:t xml:space="preserve">The </w:t>
      </w:r>
      <w:r>
        <w:t xml:space="preserve">EPA used the Method 537.1 detection limits to apply this cost because Method 533 does not include detection </w:t>
      </w:r>
      <w:r w:rsidR="006C5C48">
        <w:t>limits.</w:t>
      </w:r>
    </w:p>
    <w:p w:rsidR="00C64652" w:rsidP="003A3B69" w14:paraId="7716F2B6" w14:textId="6C0D93BB">
      <w:pPr>
        <w:spacing w:before="240"/>
        <w:rPr>
          <w:rStyle w:val="normaltextrun"/>
          <w:rFonts w:eastAsia="Calibri"/>
          <w:sz w:val="18"/>
          <w:szCs w:val="24"/>
          <w:shd w:val="clear" w:color="auto" w:fill="FFFFFF"/>
        </w:rPr>
      </w:pPr>
      <w:r w:rsidRPr="006C5C48">
        <w:rPr>
          <w:rStyle w:val="normaltextrun"/>
          <w:szCs w:val="24"/>
          <w:shd w:val="clear" w:color="auto" w:fill="FFFFFF"/>
        </w:rPr>
        <w:t>The estimates of total responses, burden, and cost for system activities is provided in</w:t>
      </w:r>
      <w:r>
        <w:rPr>
          <w:rStyle w:val="normaltextrun"/>
          <w:szCs w:val="24"/>
          <w:shd w:val="clear" w:color="auto" w:fill="FFFFFF"/>
        </w:rPr>
        <w:t xml:space="preserve"> Table 4. </w:t>
      </w:r>
    </w:p>
    <w:p w:rsidR="00DD729F" w:rsidRPr="006C5C48" w:rsidP="006C5C48" w14:paraId="2E9DF93A" w14:textId="62EA08BB">
      <w:pPr>
        <w:spacing w:before="240"/>
        <w:jc w:val="center"/>
        <w:rPr>
          <w:rStyle w:val="normaltextrun"/>
          <w:rFonts w:eastAsia="Calibri"/>
          <w:b/>
          <w:bCs/>
          <w:sz w:val="18"/>
          <w:szCs w:val="24"/>
          <w:shd w:val="clear" w:color="auto" w:fill="FFFFFF"/>
        </w:rPr>
      </w:pPr>
      <w:r w:rsidRPr="006C5C48">
        <w:rPr>
          <w:rStyle w:val="normaltextrun"/>
          <w:szCs w:val="24"/>
          <w:shd w:val="clear" w:color="auto" w:fill="FFFFFF"/>
        </w:rPr>
        <w:t xml:space="preserve"> </w:t>
      </w:r>
      <w:r w:rsidRPr="006C5C48" w:rsidR="00504ACF">
        <w:rPr>
          <w:rStyle w:val="normaltextrun"/>
          <w:b/>
          <w:bCs/>
          <w:szCs w:val="24"/>
          <w:shd w:val="clear" w:color="auto" w:fill="FFFFFF"/>
        </w:rPr>
        <w:fldChar w:fldCharType="begin"/>
      </w:r>
      <w:r w:rsidRPr="006C5C48" w:rsidR="00504ACF">
        <w:rPr>
          <w:rStyle w:val="normaltextrun"/>
          <w:b/>
          <w:bCs/>
          <w:szCs w:val="24"/>
          <w:shd w:val="clear" w:color="auto" w:fill="FFFFFF"/>
        </w:rPr>
        <w:instrText xml:space="preserve"> REF _Ref114990596 \h </w:instrText>
      </w:r>
      <w:r w:rsidRPr="006C5C48" w:rsidR="00D77C38">
        <w:rPr>
          <w:rStyle w:val="normaltextrun"/>
          <w:b/>
          <w:bCs/>
          <w:szCs w:val="24"/>
          <w:shd w:val="clear" w:color="auto" w:fill="FFFFFF"/>
        </w:rPr>
        <w:instrText xml:space="preserve"> \* MERGEFORMAT </w:instrText>
      </w:r>
      <w:r w:rsidRPr="006C5C48" w:rsidR="00504ACF">
        <w:rPr>
          <w:rStyle w:val="normaltextrun"/>
          <w:b/>
          <w:bCs/>
          <w:szCs w:val="24"/>
          <w:shd w:val="clear" w:color="auto" w:fill="FFFFFF"/>
        </w:rPr>
        <w:fldChar w:fldCharType="separate"/>
      </w:r>
      <w:r w:rsidRPr="006C5C48" w:rsidR="00504ACF">
        <w:rPr>
          <w:b/>
          <w:bCs/>
        </w:rPr>
        <w:t xml:space="preserve">Table </w:t>
      </w:r>
      <w:r w:rsidRPr="006C5C48" w:rsidR="00504ACF">
        <w:rPr>
          <w:b/>
          <w:bCs/>
          <w:noProof/>
        </w:rPr>
        <w:t>4</w:t>
      </w:r>
      <w:r w:rsidRPr="006C5C48" w:rsidR="00504ACF">
        <w:rPr>
          <w:rStyle w:val="normaltextrun"/>
          <w:b/>
          <w:bCs/>
          <w:szCs w:val="24"/>
          <w:shd w:val="clear" w:color="auto" w:fill="FFFFFF"/>
        </w:rPr>
        <w:fldChar w:fldCharType="end"/>
      </w:r>
      <w:r w:rsidRPr="006C5C48" w:rsidR="009C583E">
        <w:rPr>
          <w:rStyle w:val="normaltextrun"/>
          <w:b/>
          <w:bCs/>
          <w:szCs w:val="24"/>
          <w:shd w:val="clear" w:color="auto" w:fill="FFFFFF"/>
        </w:rPr>
        <w:t>.</w:t>
      </w:r>
      <w:r w:rsidRPr="006C5C48" w:rsidR="00D77C38">
        <w:rPr>
          <w:b/>
          <w:bCs/>
        </w:rPr>
        <w:t xml:space="preserve"> </w:t>
      </w:r>
      <w:r w:rsidRPr="006C5C48" w:rsidR="00D77C38">
        <w:rPr>
          <w:rStyle w:val="normaltextrun"/>
          <w:b/>
          <w:bCs/>
          <w:szCs w:val="24"/>
          <w:shd w:val="clear" w:color="auto" w:fill="FFFFFF"/>
        </w:rPr>
        <w:t>Total Burden, Costs, and Responses for Each Required Activity Item</w:t>
      </w:r>
    </w:p>
    <w:tbl>
      <w:tblPr>
        <w:tblStyle w:val="TableGrid4"/>
        <w:tblW w:w="8854" w:type="dxa"/>
        <w:tblInd w:w="-5" w:type="dxa"/>
        <w:tblLook w:val="04A0"/>
      </w:tblPr>
      <w:tblGrid>
        <w:gridCol w:w="3299"/>
        <w:gridCol w:w="1554"/>
        <w:gridCol w:w="2167"/>
        <w:gridCol w:w="1834"/>
      </w:tblGrid>
      <w:tr w14:paraId="50A7B608" w14:textId="77777777" w:rsidTr="00413B0C">
        <w:tblPrEx>
          <w:tblW w:w="8854" w:type="dxa"/>
          <w:tblInd w:w="-5" w:type="dxa"/>
          <w:tblLook w:val="04A0"/>
        </w:tblPrEx>
        <w:trPr>
          <w:trHeight w:val="300"/>
        </w:trPr>
        <w:tc>
          <w:tcPr>
            <w:tcW w:w="3299" w:type="dxa"/>
            <w:hideMark/>
          </w:tcPr>
          <w:p w:rsidR="00413B0C" w:rsidRPr="00191B86" w:rsidP="000437C1" w14:paraId="09CE1DE8" w14:textId="77777777">
            <w:pPr>
              <w:pStyle w:val="TableHeader"/>
              <w:rPr>
                <w:rFonts w:ascii="Segoe UI" w:hAnsi="Segoe UI" w:cs="Segoe UI"/>
              </w:rPr>
            </w:pPr>
            <w:bookmarkStart w:id="124" w:name="_Toc114663865"/>
            <w:bookmarkStart w:id="125" w:name="_Toc114671146"/>
            <w:bookmarkStart w:id="126" w:name="_Toc113614163"/>
            <w:bookmarkEnd w:id="124"/>
            <w:bookmarkEnd w:id="125"/>
            <w:r w:rsidRPr="00F61FC3">
              <w:t>Activity</w:t>
            </w:r>
          </w:p>
        </w:tc>
        <w:tc>
          <w:tcPr>
            <w:tcW w:w="1554" w:type="dxa"/>
            <w:hideMark/>
          </w:tcPr>
          <w:p w:rsidR="00413B0C" w:rsidRPr="00191B86" w:rsidP="000437C1" w14:paraId="435E015B" w14:textId="77777777">
            <w:pPr>
              <w:pStyle w:val="TableHeader"/>
              <w:rPr>
                <w:rFonts w:ascii="Segoe UI" w:hAnsi="Segoe UI" w:cs="Segoe UI"/>
              </w:rPr>
            </w:pPr>
            <w:r w:rsidRPr="00191B86">
              <w:t>Burden </w:t>
            </w:r>
          </w:p>
          <w:p w:rsidR="00413B0C" w:rsidRPr="00191B86" w:rsidP="000437C1" w14:paraId="0866E31E" w14:textId="719DEDEF">
            <w:pPr>
              <w:pStyle w:val="TableHeader"/>
              <w:rPr>
                <w:rFonts w:ascii="Segoe UI" w:hAnsi="Segoe UI" w:cs="Segoe UI"/>
              </w:rPr>
            </w:pPr>
            <w:r w:rsidRPr="00191B86">
              <w:t>(</w:t>
            </w:r>
            <w:r w:rsidR="00F66E8A">
              <w:t>thousand</w:t>
            </w:r>
            <w:r w:rsidR="00F66E8A">
              <w:t xml:space="preserve"> </w:t>
            </w:r>
            <w:r w:rsidRPr="00191B86">
              <w:t>hours) </w:t>
            </w:r>
          </w:p>
        </w:tc>
        <w:tc>
          <w:tcPr>
            <w:tcW w:w="2167" w:type="dxa"/>
            <w:hideMark/>
          </w:tcPr>
          <w:p w:rsidR="00413B0C" w:rsidRPr="00191B86" w:rsidP="000437C1" w14:paraId="6E23AE51" w14:textId="77777777">
            <w:pPr>
              <w:pStyle w:val="TableHeader"/>
              <w:rPr>
                <w:rFonts w:ascii="Segoe UI" w:hAnsi="Segoe UI" w:cs="Segoe UI"/>
              </w:rPr>
            </w:pPr>
            <w:r w:rsidRPr="00191B86">
              <w:t>Costs (Million $202</w:t>
            </w:r>
            <w:r>
              <w:t>2</w:t>
            </w:r>
            <w:r w:rsidRPr="00191B86">
              <w:t>)</w:t>
            </w:r>
          </w:p>
        </w:tc>
        <w:tc>
          <w:tcPr>
            <w:tcW w:w="1834" w:type="dxa"/>
            <w:hideMark/>
          </w:tcPr>
          <w:p w:rsidR="00413B0C" w:rsidRPr="00191B86" w:rsidP="000437C1" w14:paraId="69E35102" w14:textId="77777777">
            <w:pPr>
              <w:pStyle w:val="TableHeader"/>
              <w:rPr>
                <w:rFonts w:ascii="Segoe UI" w:hAnsi="Segoe UI" w:cs="Segoe UI"/>
              </w:rPr>
            </w:pPr>
            <w:r w:rsidRPr="00191B86">
              <w:t>Responses </w:t>
            </w:r>
          </w:p>
        </w:tc>
      </w:tr>
      <w:tr w14:paraId="4E2C4735" w14:textId="77777777" w:rsidTr="00413B0C">
        <w:tblPrEx>
          <w:tblW w:w="8854" w:type="dxa"/>
          <w:tblInd w:w="-5" w:type="dxa"/>
          <w:tblLook w:val="04A0"/>
        </w:tblPrEx>
        <w:trPr>
          <w:trHeight w:val="300"/>
        </w:trPr>
        <w:tc>
          <w:tcPr>
            <w:tcW w:w="3299" w:type="dxa"/>
            <w:hideMark/>
          </w:tcPr>
          <w:p w:rsidR="00413B0C" w:rsidRPr="00191B86" w:rsidP="000437C1" w14:paraId="4CFF37DB" w14:textId="77777777">
            <w:pPr>
              <w:pStyle w:val="TableBody"/>
              <w:rPr>
                <w:rFonts w:ascii="Segoe UI" w:hAnsi="Segoe UI" w:cs="Segoe UI"/>
              </w:rPr>
            </w:pPr>
            <w:r w:rsidRPr="00191B86">
              <w:t>System startup activities</w:t>
            </w:r>
          </w:p>
        </w:tc>
        <w:tc>
          <w:tcPr>
            <w:tcW w:w="1554" w:type="dxa"/>
            <w:hideMark/>
          </w:tcPr>
          <w:p w:rsidR="00413B0C" w:rsidRPr="00191B86" w:rsidP="00F74BE7" w14:paraId="760EBC6C" w14:textId="77777777">
            <w:pPr>
              <w:pStyle w:val="TableBody"/>
              <w:jc w:val="right"/>
              <w:rPr>
                <w:rFonts w:ascii="Segoe UI" w:hAnsi="Segoe UI" w:cs="Segoe UI"/>
              </w:rPr>
            </w:pPr>
            <w:r w:rsidRPr="00191B86">
              <w:t xml:space="preserve"> 1,485 </w:t>
            </w:r>
          </w:p>
        </w:tc>
        <w:tc>
          <w:tcPr>
            <w:tcW w:w="2167" w:type="dxa"/>
            <w:hideMark/>
          </w:tcPr>
          <w:p w:rsidR="00413B0C" w:rsidRPr="00191B86" w:rsidP="00F74BE7" w14:paraId="2E5F82B5" w14:textId="77777777">
            <w:pPr>
              <w:pStyle w:val="TableBody"/>
              <w:jc w:val="right"/>
              <w:rPr>
                <w:rFonts w:ascii="Segoe UI" w:hAnsi="Segoe UI" w:cs="Segoe UI"/>
              </w:rPr>
            </w:pPr>
            <w:r w:rsidRPr="00191B86">
              <w:t>$</w:t>
            </w:r>
            <w:r>
              <w:t>55.5</w:t>
            </w:r>
          </w:p>
        </w:tc>
        <w:tc>
          <w:tcPr>
            <w:tcW w:w="1834" w:type="dxa"/>
            <w:hideMark/>
          </w:tcPr>
          <w:p w:rsidR="00413B0C" w:rsidRPr="00191B86" w:rsidP="00F74BE7" w14:paraId="21261CD1" w14:textId="77777777">
            <w:pPr>
              <w:pStyle w:val="TableBody"/>
              <w:jc w:val="right"/>
              <w:rPr>
                <w:rFonts w:ascii="Segoe UI" w:hAnsi="Segoe UI" w:cs="Segoe UI"/>
              </w:rPr>
            </w:pPr>
            <w:r w:rsidRPr="00191B86">
              <w:t xml:space="preserve"> 133,060 </w:t>
            </w:r>
          </w:p>
        </w:tc>
      </w:tr>
      <w:tr w14:paraId="37CD6323" w14:textId="77777777" w:rsidTr="00413B0C">
        <w:tblPrEx>
          <w:tblW w:w="8854" w:type="dxa"/>
          <w:tblInd w:w="-5" w:type="dxa"/>
          <w:tblLook w:val="04A0"/>
        </w:tblPrEx>
        <w:trPr>
          <w:trHeight w:val="300"/>
        </w:trPr>
        <w:tc>
          <w:tcPr>
            <w:tcW w:w="3299" w:type="dxa"/>
            <w:hideMark/>
          </w:tcPr>
          <w:p w:rsidR="00413B0C" w:rsidRPr="00191B86" w:rsidP="000437C1" w14:paraId="13B48876" w14:textId="77777777">
            <w:pPr>
              <w:pStyle w:val="TableBody"/>
              <w:rPr>
                <w:rFonts w:ascii="Segoe UI" w:hAnsi="Segoe UI" w:cs="Segoe UI"/>
              </w:rPr>
            </w:pPr>
            <w:r w:rsidRPr="00191B86">
              <w:t>Systems collect initial samples</w:t>
            </w:r>
          </w:p>
        </w:tc>
        <w:tc>
          <w:tcPr>
            <w:tcW w:w="1554" w:type="dxa"/>
            <w:hideMark/>
          </w:tcPr>
          <w:p w:rsidR="00413B0C" w:rsidRPr="00191B86" w:rsidP="00F74BE7" w14:paraId="0FE3BFEE" w14:textId="6DFCAD28">
            <w:pPr>
              <w:pStyle w:val="TableBody"/>
              <w:jc w:val="right"/>
              <w:rPr>
                <w:rFonts w:ascii="Segoe UI" w:hAnsi="Segoe UI" w:cs="Segoe UI"/>
              </w:rPr>
            </w:pPr>
            <w:r w:rsidRPr="00191B86">
              <w:t xml:space="preserve"> </w:t>
            </w:r>
            <w:r w:rsidR="00B72811">
              <w:t>1</w:t>
            </w:r>
            <w:r w:rsidR="00CE0765">
              <w:t>,</w:t>
            </w:r>
            <w:r w:rsidR="00B72811">
              <w:t>007</w:t>
            </w:r>
          </w:p>
        </w:tc>
        <w:tc>
          <w:tcPr>
            <w:tcW w:w="2167" w:type="dxa"/>
            <w:hideMark/>
          </w:tcPr>
          <w:p w:rsidR="00413B0C" w:rsidRPr="00191B86" w:rsidP="00F74BE7" w14:paraId="2F46D59E" w14:textId="68611737">
            <w:pPr>
              <w:pStyle w:val="TableBody"/>
              <w:jc w:val="right"/>
              <w:rPr>
                <w:rFonts w:ascii="Segoe UI" w:hAnsi="Segoe UI" w:cs="Segoe UI"/>
              </w:rPr>
            </w:pPr>
            <w:r>
              <w:t>$36.7</w:t>
            </w:r>
          </w:p>
        </w:tc>
        <w:tc>
          <w:tcPr>
            <w:tcW w:w="1834" w:type="dxa"/>
            <w:hideMark/>
          </w:tcPr>
          <w:p w:rsidR="00413B0C" w:rsidRPr="00191B86" w:rsidP="00F74BE7" w14:paraId="4B7DE52A" w14:textId="6FC48B2B">
            <w:pPr>
              <w:pStyle w:val="TableBody"/>
              <w:jc w:val="right"/>
              <w:rPr>
                <w:rFonts w:ascii="Segoe UI" w:hAnsi="Segoe UI" w:cs="Segoe UI"/>
              </w:rPr>
            </w:pPr>
            <w:r w:rsidRPr="00191B86">
              <w:t xml:space="preserve"> </w:t>
            </w:r>
            <w:r w:rsidR="00620F71">
              <w:t>373,103</w:t>
            </w:r>
          </w:p>
        </w:tc>
      </w:tr>
      <w:tr w14:paraId="65343F9C" w14:textId="77777777" w:rsidTr="00413B0C">
        <w:tblPrEx>
          <w:tblW w:w="8854" w:type="dxa"/>
          <w:tblInd w:w="-5" w:type="dxa"/>
          <w:tblLook w:val="04A0"/>
        </w:tblPrEx>
        <w:trPr>
          <w:trHeight w:val="300"/>
        </w:trPr>
        <w:tc>
          <w:tcPr>
            <w:tcW w:w="3299" w:type="dxa"/>
            <w:hideMark/>
          </w:tcPr>
          <w:p w:rsidR="00413B0C" w:rsidRPr="002C4CB3" w:rsidP="000437C1" w14:paraId="5D60F840" w14:textId="77777777">
            <w:pPr>
              <w:pStyle w:val="TableBody"/>
              <w:rPr>
                <w:rFonts w:ascii="Segoe UI" w:hAnsi="Segoe UI" w:cs="Segoe UI"/>
                <w:b/>
                <w:bCs/>
              </w:rPr>
            </w:pPr>
            <w:r w:rsidRPr="002C4CB3">
              <w:rPr>
                <w:b/>
                <w:bCs/>
              </w:rPr>
              <w:t>System subtotal</w:t>
            </w:r>
          </w:p>
        </w:tc>
        <w:tc>
          <w:tcPr>
            <w:tcW w:w="1554" w:type="dxa"/>
            <w:hideMark/>
          </w:tcPr>
          <w:p w:rsidR="00413B0C" w:rsidRPr="002C4CB3" w:rsidP="00F74BE7" w14:paraId="6C20947A" w14:textId="0BFE06A6">
            <w:pPr>
              <w:pStyle w:val="TableBody"/>
              <w:jc w:val="right"/>
              <w:rPr>
                <w:rFonts w:ascii="Segoe UI" w:hAnsi="Segoe UI" w:cs="Segoe UI"/>
                <w:b/>
                <w:bCs/>
              </w:rPr>
            </w:pPr>
            <w:r>
              <w:rPr>
                <w:b/>
                <w:bCs/>
              </w:rPr>
              <w:t>2,492</w:t>
            </w:r>
          </w:p>
        </w:tc>
        <w:tc>
          <w:tcPr>
            <w:tcW w:w="2167" w:type="dxa"/>
            <w:hideMark/>
          </w:tcPr>
          <w:p w:rsidR="00413B0C" w:rsidRPr="002C4CB3" w:rsidP="00F74BE7" w14:paraId="38ECF55F" w14:textId="6788F08D">
            <w:pPr>
              <w:pStyle w:val="TableBody"/>
              <w:jc w:val="right"/>
              <w:rPr>
                <w:rFonts w:ascii="Segoe UI" w:hAnsi="Segoe UI" w:cs="Segoe UI"/>
                <w:b/>
                <w:bCs/>
              </w:rPr>
            </w:pPr>
            <w:r w:rsidRPr="002C4CB3">
              <w:rPr>
                <w:b/>
                <w:bCs/>
              </w:rPr>
              <w:t>$</w:t>
            </w:r>
            <w:r w:rsidR="00FC1B33">
              <w:rPr>
                <w:b/>
                <w:bCs/>
              </w:rPr>
              <w:t>92.2</w:t>
            </w:r>
          </w:p>
        </w:tc>
        <w:tc>
          <w:tcPr>
            <w:tcW w:w="1834" w:type="dxa"/>
            <w:hideMark/>
          </w:tcPr>
          <w:p w:rsidR="00413B0C" w:rsidRPr="002C4CB3" w:rsidP="00F74BE7" w14:paraId="758E0A76" w14:textId="6AB295B5">
            <w:pPr>
              <w:pStyle w:val="TableBody"/>
              <w:jc w:val="right"/>
              <w:rPr>
                <w:rFonts w:ascii="Segoe UI" w:hAnsi="Segoe UI" w:cs="Segoe UI"/>
                <w:b/>
                <w:bCs/>
              </w:rPr>
            </w:pPr>
            <w:r>
              <w:rPr>
                <w:b/>
                <w:bCs/>
              </w:rPr>
              <w:t>506,163</w:t>
            </w:r>
          </w:p>
        </w:tc>
      </w:tr>
    </w:tbl>
    <w:p w:rsidR="00595B04" w:rsidRPr="006C5C48" w:rsidP="00186738" w14:paraId="41C79098" w14:textId="77777777">
      <w:pPr>
        <w:pStyle w:val="NormalWeb"/>
        <w:spacing w:before="0" w:beforeAutospacing="0" w:after="0" w:afterAutospacing="0" w:line="240" w:lineRule="auto"/>
        <w:rPr>
          <w:rStyle w:val="eop"/>
        </w:rPr>
      </w:pPr>
    </w:p>
    <w:p w:rsidR="00DD729F" w:rsidRPr="006C5C48" w:rsidP="006D6D21" w14:paraId="274DE3F6" w14:textId="7AE0F9E1">
      <w:pPr>
        <w:pStyle w:val="Heading3"/>
        <w:numPr>
          <w:ilvl w:val="0"/>
          <w:numId w:val="49"/>
        </w:numPr>
      </w:pPr>
      <w:r w:rsidRPr="006C5C48">
        <w:t>Primacy Agency Activities</w:t>
      </w:r>
      <w:bookmarkEnd w:id="126"/>
    </w:p>
    <w:p w:rsidR="00DD729F" w:rsidRPr="006C5C48" w:rsidP="00DD729F" w14:paraId="722F0AC3" w14:textId="77777777">
      <w:pPr>
        <w:rPr>
          <w:szCs w:val="24"/>
        </w:rPr>
      </w:pPr>
      <w:r w:rsidRPr="006C5C48">
        <w:rPr>
          <w:szCs w:val="24"/>
        </w:rPr>
        <w:t xml:space="preserve">This section summarizes the costs of the proposed rule for the following primacy agency activities: </w:t>
      </w:r>
    </w:p>
    <w:p w:rsidR="00DD729F" w:rsidRPr="006C5C48" w:rsidP="003A3B69" w14:paraId="11BCD61A" w14:textId="0A2570AD">
      <w:pPr>
        <w:pStyle w:val="ListParagraph"/>
      </w:pPr>
      <w:r w:rsidRPr="006C5C48">
        <w:t>Startup activities – read and understand the rule, adopt regulatory change, and provide internal and system staff with training and technical assistance;</w:t>
      </w:r>
      <w:r w:rsidR="005F1F20">
        <w:t xml:space="preserve"> and</w:t>
      </w:r>
    </w:p>
    <w:p w:rsidR="00DD729F" w:rsidRPr="006C5C48" w:rsidP="003A3B69" w14:paraId="146E4F48" w14:textId="5F3F6081">
      <w:pPr>
        <w:pStyle w:val="ListParagraph"/>
      </w:pPr>
      <w:r w:rsidRPr="006C5C48">
        <w:t>Review the initial monitoring event results, including confirmation sample results for MCL exceedances</w:t>
      </w:r>
      <w:r w:rsidR="005F1F20">
        <w:t>.</w:t>
      </w:r>
    </w:p>
    <w:p w:rsidR="00CE3962" w:rsidRPr="006C5C48" w:rsidP="00191B86" w14:paraId="52E332FA" w14:textId="6821B7B5">
      <w:pPr>
        <w:rPr>
          <w:szCs w:val="24"/>
        </w:rPr>
      </w:pPr>
      <w:r w:rsidRPr="006C5C48">
        <w:t xml:space="preserve">Certain primary agency burdens are incurred in response to action taken by PWSs; for instance, the cost to primacy agencies of reviewing sample results depends on the number of samples taken at each entry point by each system under an agency’s jurisdiction. </w:t>
      </w:r>
      <w:r w:rsidRPr="006C5C48">
        <w:rPr>
          <w:szCs w:val="24"/>
        </w:rPr>
        <w:fldChar w:fldCharType="begin"/>
      </w:r>
      <w:r w:rsidRPr="006C5C48">
        <w:instrText xml:space="preserve"> REF _Ref114990655 \h  \* MERGEFORMAT </w:instrText>
      </w:r>
      <w:r w:rsidRPr="006C5C48">
        <w:rPr>
          <w:szCs w:val="24"/>
        </w:rPr>
        <w:fldChar w:fldCharType="separate"/>
      </w:r>
      <w:r w:rsidRPr="006C5C48">
        <w:t xml:space="preserve">Table </w:t>
      </w:r>
      <w:r w:rsidRPr="006C5C48">
        <w:rPr>
          <w:noProof/>
        </w:rPr>
        <w:t>5</w:t>
      </w:r>
      <w:r w:rsidRPr="006C5C48">
        <w:rPr>
          <w:szCs w:val="24"/>
        </w:rPr>
        <w:fldChar w:fldCharType="end"/>
      </w:r>
      <w:r w:rsidRPr="006C5C48">
        <w:t xml:space="preserve"> presents the data elements and corresponding values associated with calculating primacy Agency costs.</w:t>
      </w:r>
      <w:r w:rsidRPr="006C5C48" w:rsidR="00186738">
        <w:t xml:space="preserve"> </w:t>
      </w:r>
    </w:p>
    <w:p w:rsidR="00DD729F" w:rsidRPr="006C5C48" w:rsidP="00CE3962" w14:paraId="02CC69BC" w14:textId="6AF95291">
      <w:pPr>
        <w:pStyle w:val="Figurecaption"/>
        <w:rPr>
          <w:color w:val="auto"/>
        </w:rPr>
      </w:pPr>
      <w:bookmarkStart w:id="127" w:name="_Ref114990655"/>
      <w:r w:rsidRPr="006C5C48">
        <w:rPr>
          <w:color w:val="auto"/>
        </w:rPr>
        <w:t xml:space="preserve">Table </w:t>
      </w:r>
      <w:r w:rsidRPr="006C5C48" w:rsidR="00D631FE">
        <w:rPr>
          <w:color w:val="auto"/>
        </w:rPr>
        <w:fldChar w:fldCharType="begin"/>
      </w:r>
      <w:r w:rsidRPr="006C5C48" w:rsidR="00D631FE">
        <w:rPr>
          <w:color w:val="auto"/>
        </w:rPr>
        <w:instrText xml:space="preserve"> SEQ Table \* ARABIC </w:instrText>
      </w:r>
      <w:r w:rsidRPr="006C5C48" w:rsidR="00D631FE">
        <w:rPr>
          <w:color w:val="auto"/>
        </w:rPr>
        <w:fldChar w:fldCharType="separate"/>
      </w:r>
      <w:r w:rsidRPr="006C5C48" w:rsidR="00B4473D">
        <w:rPr>
          <w:noProof/>
          <w:color w:val="auto"/>
        </w:rPr>
        <w:t>5</w:t>
      </w:r>
      <w:r w:rsidRPr="006C5C48" w:rsidR="00D631FE">
        <w:rPr>
          <w:noProof/>
          <w:color w:val="auto"/>
        </w:rPr>
        <w:fldChar w:fldCharType="end"/>
      </w:r>
      <w:bookmarkEnd w:id="127"/>
      <w:r w:rsidRPr="006C5C48">
        <w:rPr>
          <w:color w:val="auto"/>
        </w:rPr>
        <w:t>:</w:t>
      </w:r>
      <w:r w:rsidRPr="006C5C48" w:rsidR="009C583E">
        <w:rPr>
          <w:color w:val="auto"/>
        </w:rPr>
        <w:t xml:space="preserve"> </w:t>
      </w:r>
      <w:r w:rsidRPr="006C5C48">
        <w:rPr>
          <w:color w:val="auto"/>
        </w:rPr>
        <w:t>Primacy Agency Costs (202</w:t>
      </w:r>
      <w:r w:rsidRPr="006C5C48" w:rsidR="00D77C38">
        <w:rPr>
          <w:color w:val="auto"/>
        </w:rPr>
        <w:t>2$</w:t>
      </w:r>
      <w:r w:rsidRPr="006C5C48">
        <w:rPr>
          <w:color w:val="auto"/>
        </w:rPr>
        <w:t>)</w:t>
      </w:r>
    </w:p>
    <w:tbl>
      <w:tblPr>
        <w:tblStyle w:val="TableGrid4"/>
        <w:tblW w:w="5000" w:type="pct"/>
        <w:tblInd w:w="-5" w:type="dxa"/>
        <w:tblLook w:val="04A0"/>
      </w:tblPr>
      <w:tblGrid>
        <w:gridCol w:w="6569"/>
        <w:gridCol w:w="2781"/>
      </w:tblGrid>
      <w:tr w14:paraId="6D91539C" w14:textId="77777777" w:rsidTr="4EF9344F">
        <w:tblPrEx>
          <w:tblW w:w="5000" w:type="pct"/>
          <w:tblInd w:w="-5" w:type="dxa"/>
          <w:tblLook w:val="04A0"/>
        </w:tblPrEx>
        <w:trPr>
          <w:trHeight w:val="432"/>
        </w:trPr>
        <w:tc>
          <w:tcPr>
            <w:tcW w:w="3513" w:type="pct"/>
            <w:vAlign w:val="center"/>
          </w:tcPr>
          <w:p w:rsidR="00DD729F" w:rsidRPr="006C5C48" w:rsidP="00635CC3" w14:paraId="77011507" w14:textId="77777777">
            <w:pPr>
              <w:pStyle w:val="TableHeader"/>
            </w:pPr>
            <w:r w:rsidRPr="006C5C48">
              <w:t>Data element description</w:t>
            </w:r>
          </w:p>
        </w:tc>
        <w:tc>
          <w:tcPr>
            <w:tcW w:w="1487" w:type="pct"/>
            <w:vAlign w:val="center"/>
          </w:tcPr>
          <w:p w:rsidR="00DD729F" w:rsidRPr="006C5C48" w:rsidP="00635CC3" w14:paraId="7F90B589" w14:textId="77777777">
            <w:pPr>
              <w:pStyle w:val="TableHeader"/>
            </w:pPr>
            <w:r w:rsidRPr="006C5C48">
              <w:t>Data element value</w:t>
            </w:r>
          </w:p>
        </w:tc>
      </w:tr>
      <w:tr w14:paraId="0EDEF719" w14:textId="77777777" w:rsidTr="4EF9344F">
        <w:tblPrEx>
          <w:tblW w:w="5000" w:type="pct"/>
          <w:tblInd w:w="-5" w:type="dxa"/>
          <w:tblLook w:val="04A0"/>
        </w:tblPrEx>
        <w:trPr>
          <w:trHeight w:val="432"/>
        </w:trPr>
        <w:tc>
          <w:tcPr>
            <w:tcW w:w="3513" w:type="pct"/>
            <w:vAlign w:val="center"/>
          </w:tcPr>
          <w:p w:rsidR="00DD729F" w:rsidRPr="006C5C48" w:rsidP="00635CC3" w14:paraId="7B4177D6" w14:textId="48558409">
            <w:pPr>
              <w:pStyle w:val="TableBody"/>
              <w:rPr>
                <w:szCs w:val="20"/>
                <w:vertAlign w:val="superscript"/>
              </w:rPr>
            </w:pPr>
            <w:r w:rsidRPr="006C5C48">
              <w:rPr>
                <w:szCs w:val="20"/>
              </w:rPr>
              <w:t>The labor rate per hour for primacy agencies</w:t>
            </w:r>
            <w:r w:rsidRPr="006C5C48" w:rsidR="006354CB">
              <w:rPr>
                <w:szCs w:val="20"/>
              </w:rPr>
              <w:t xml:space="preserve"> </w:t>
            </w:r>
            <w:r w:rsidRPr="006C5C48">
              <w:rPr>
                <w:szCs w:val="20"/>
                <w:vertAlign w:val="superscript"/>
              </w:rPr>
              <w:t>a</w:t>
            </w:r>
          </w:p>
        </w:tc>
        <w:tc>
          <w:tcPr>
            <w:tcW w:w="1487" w:type="pct"/>
            <w:vAlign w:val="center"/>
          </w:tcPr>
          <w:p w:rsidR="00DD729F" w:rsidRPr="006C5C48" w:rsidP="00635CC3" w14:paraId="199F49CD" w14:textId="30F1BB21">
            <w:pPr>
              <w:pStyle w:val="TableBody"/>
            </w:pPr>
            <w:r w:rsidRPr="006C5C48">
              <w:t>$5</w:t>
            </w:r>
            <w:r w:rsidRPr="006C5C48" w:rsidR="3CE29593">
              <w:t>9.69</w:t>
            </w:r>
          </w:p>
        </w:tc>
      </w:tr>
      <w:tr w14:paraId="578078F9" w14:textId="77777777" w:rsidTr="4EF9344F">
        <w:tblPrEx>
          <w:tblW w:w="5000" w:type="pct"/>
          <w:tblInd w:w="-5" w:type="dxa"/>
          <w:tblLook w:val="04A0"/>
        </w:tblPrEx>
        <w:trPr>
          <w:trHeight w:val="432"/>
        </w:trPr>
        <w:tc>
          <w:tcPr>
            <w:tcW w:w="3513" w:type="pct"/>
            <w:vAlign w:val="center"/>
          </w:tcPr>
          <w:p w:rsidR="00DD729F" w:rsidRPr="006C5C48" w:rsidP="00635CC3" w14:paraId="1ABA2159" w14:textId="44B66FE8">
            <w:pPr>
              <w:pStyle w:val="TableBody"/>
              <w:rPr>
                <w:szCs w:val="20"/>
              </w:rPr>
            </w:pPr>
            <w:r w:rsidRPr="006C5C48">
              <w:rPr>
                <w:szCs w:val="20"/>
              </w:rPr>
              <w:t>The average hours per primacy Agency to read and understand the rule, as well as adopt regulatory requirements</w:t>
            </w:r>
            <w:r w:rsidRPr="006C5C48" w:rsidR="00F10F8B">
              <w:rPr>
                <w:szCs w:val="20"/>
              </w:rPr>
              <w:t xml:space="preserve">, and train </w:t>
            </w:r>
            <w:r w:rsidRPr="006C5C48" w:rsidR="00427A64">
              <w:rPr>
                <w:szCs w:val="20"/>
              </w:rPr>
              <w:t>internal staff.</w:t>
            </w:r>
          </w:p>
        </w:tc>
        <w:tc>
          <w:tcPr>
            <w:tcW w:w="1487" w:type="pct"/>
            <w:vAlign w:val="center"/>
          </w:tcPr>
          <w:p w:rsidR="00DD729F" w:rsidRPr="006C5C48" w:rsidP="00635CC3" w14:paraId="719E0DB3" w14:textId="5E6228FD">
            <w:pPr>
              <w:pStyle w:val="TableBody"/>
            </w:pPr>
            <w:r w:rsidRPr="006C5C48">
              <w:t>4,320</w:t>
            </w:r>
            <w:r w:rsidRPr="006C5C48">
              <w:t xml:space="preserve"> hours per primacy </w:t>
            </w:r>
            <w:r w:rsidRPr="006C5C48" w:rsidR="003E5D61">
              <w:t>a</w:t>
            </w:r>
            <w:r w:rsidRPr="006C5C48">
              <w:t>gency</w:t>
            </w:r>
          </w:p>
        </w:tc>
      </w:tr>
      <w:tr w14:paraId="5ECF6092" w14:textId="77777777" w:rsidTr="4EF9344F">
        <w:tblPrEx>
          <w:tblW w:w="5000" w:type="pct"/>
          <w:tblInd w:w="-5" w:type="dxa"/>
          <w:tblLook w:val="04A0"/>
        </w:tblPrEx>
        <w:trPr>
          <w:trHeight w:val="432"/>
        </w:trPr>
        <w:tc>
          <w:tcPr>
            <w:tcW w:w="3513" w:type="pct"/>
            <w:vAlign w:val="center"/>
          </w:tcPr>
          <w:p w:rsidR="00DD729F" w:rsidRPr="006C5C48" w:rsidP="00635CC3" w14:paraId="76ADC67D" w14:textId="77777777">
            <w:pPr>
              <w:pStyle w:val="TableBody"/>
              <w:rPr>
                <w:szCs w:val="20"/>
              </w:rPr>
            </w:pPr>
            <w:r w:rsidRPr="006C5C48">
              <w:rPr>
                <w:szCs w:val="20"/>
              </w:rPr>
              <w:t>The average hours per primacy Agency to provide initial training and technical assistance to systems</w:t>
            </w:r>
          </w:p>
        </w:tc>
        <w:tc>
          <w:tcPr>
            <w:tcW w:w="1487" w:type="pct"/>
            <w:vAlign w:val="center"/>
          </w:tcPr>
          <w:p w:rsidR="00DD729F" w:rsidRPr="006C5C48" w:rsidP="00635CC3" w14:paraId="03A4A80B" w14:textId="1E20512C">
            <w:pPr>
              <w:pStyle w:val="TableBody"/>
            </w:pPr>
            <w:r w:rsidRPr="006C5C48">
              <w:t>1,500</w:t>
            </w:r>
            <w:r w:rsidRPr="006C5C48">
              <w:t xml:space="preserve"> hours per primacy </w:t>
            </w:r>
            <w:r w:rsidRPr="006C5C48" w:rsidR="003E5D61">
              <w:t>agency</w:t>
            </w:r>
          </w:p>
        </w:tc>
      </w:tr>
      <w:tr w14:paraId="3829DB5C" w14:textId="77777777" w:rsidTr="4EF9344F">
        <w:tblPrEx>
          <w:tblW w:w="5000" w:type="pct"/>
          <w:tblInd w:w="-5" w:type="dxa"/>
          <w:tblLook w:val="04A0"/>
        </w:tblPrEx>
        <w:trPr>
          <w:trHeight w:val="432"/>
        </w:trPr>
        <w:tc>
          <w:tcPr>
            <w:tcW w:w="3513" w:type="pct"/>
            <w:vAlign w:val="center"/>
          </w:tcPr>
          <w:p w:rsidR="00DD729F" w:rsidRPr="006C5C48" w:rsidP="00635CC3" w14:paraId="6BF0790D" w14:textId="77777777">
            <w:pPr>
              <w:pStyle w:val="TableBody"/>
              <w:rPr>
                <w:szCs w:val="20"/>
              </w:rPr>
            </w:pPr>
            <w:r w:rsidRPr="006C5C48">
              <w:rPr>
                <w:szCs w:val="20"/>
              </w:rPr>
              <w:t>The average hours per primacy Agency to report annually to EPA information under 40 CFR 142.15 regarding violations, variances and exemptions, enforcement actions and general operations of State public water supply programs</w:t>
            </w:r>
          </w:p>
        </w:tc>
        <w:tc>
          <w:tcPr>
            <w:tcW w:w="1487" w:type="pct"/>
            <w:vAlign w:val="center"/>
          </w:tcPr>
          <w:p w:rsidR="00DD729F" w:rsidRPr="006C5C48" w:rsidP="00635CC3" w14:paraId="0360EB27" w14:textId="77777777">
            <w:pPr>
              <w:pStyle w:val="TableBody"/>
              <w:rPr>
                <w:szCs w:val="20"/>
                <w:vertAlign w:val="superscript"/>
              </w:rPr>
            </w:pPr>
            <w:r w:rsidRPr="006C5C48">
              <w:rPr>
                <w:szCs w:val="20"/>
              </w:rPr>
              <w:t>0</w:t>
            </w:r>
            <w:r w:rsidRPr="006C5C48">
              <w:rPr>
                <w:szCs w:val="20"/>
                <w:vertAlign w:val="superscript"/>
              </w:rPr>
              <w:t>b</w:t>
            </w:r>
          </w:p>
        </w:tc>
      </w:tr>
      <w:tr w14:paraId="2F7ECF76" w14:textId="77777777" w:rsidTr="4EF9344F">
        <w:tblPrEx>
          <w:tblW w:w="5000" w:type="pct"/>
          <w:tblInd w:w="-5" w:type="dxa"/>
          <w:tblLook w:val="04A0"/>
        </w:tblPrEx>
        <w:trPr>
          <w:trHeight w:val="432"/>
        </w:trPr>
        <w:tc>
          <w:tcPr>
            <w:tcW w:w="3513" w:type="pct"/>
            <w:vAlign w:val="center"/>
          </w:tcPr>
          <w:p w:rsidR="00DD729F" w:rsidRPr="006C5C48" w:rsidP="00635CC3" w14:paraId="38D127FF" w14:textId="77777777">
            <w:pPr>
              <w:pStyle w:val="TableBody"/>
              <w:rPr>
                <w:szCs w:val="20"/>
              </w:rPr>
            </w:pPr>
            <w:r w:rsidRPr="006C5C48">
              <w:rPr>
                <w:szCs w:val="20"/>
              </w:rPr>
              <w:t>The hours per sample for a primacy Agency to review sample results</w:t>
            </w:r>
          </w:p>
        </w:tc>
        <w:tc>
          <w:tcPr>
            <w:tcW w:w="1487" w:type="pct"/>
            <w:vAlign w:val="center"/>
          </w:tcPr>
          <w:p w:rsidR="00DD729F" w:rsidRPr="006C5C48" w:rsidP="00635CC3" w14:paraId="4AF837BB" w14:textId="77777777">
            <w:pPr>
              <w:pStyle w:val="TableBody"/>
              <w:rPr>
                <w:szCs w:val="20"/>
              </w:rPr>
            </w:pPr>
            <w:r w:rsidRPr="006C5C48">
              <w:rPr>
                <w:szCs w:val="20"/>
              </w:rPr>
              <w:t>1 hour</w:t>
            </w:r>
          </w:p>
        </w:tc>
      </w:tr>
    </w:tbl>
    <w:p w:rsidR="00DD729F" w:rsidRPr="006C5C48" w:rsidP="00751E35" w14:paraId="53CB8BA1" w14:textId="3EC26C26">
      <w:pPr>
        <w:pStyle w:val="FigureTableNote"/>
      </w:pPr>
      <w:r w:rsidRPr="006C5C48">
        <w:t xml:space="preserve">a. </w:t>
      </w:r>
      <w:r w:rsidR="002B34CB">
        <w:t xml:space="preserve">The </w:t>
      </w:r>
      <w:r w:rsidRPr="006C5C48" w:rsidR="002A5962">
        <w:rPr>
          <w:rStyle w:val="CommentReference"/>
        </w:rPr>
        <w:t>EPA Lead and Copper Rule Revisions Economic Analysis (2020)</w:t>
      </w:r>
      <w:r w:rsidRPr="006C5C48" w:rsidR="003E5D61">
        <w:rPr>
          <w:rStyle w:val="CommentReference"/>
        </w:rPr>
        <w:t>.</w:t>
      </w:r>
      <w:r w:rsidR="003303C5">
        <w:rPr>
          <w:rStyle w:val="CommentReference"/>
        </w:rPr>
        <w:t xml:space="preserve"> </w:t>
      </w:r>
      <w:r w:rsidRPr="006C5C48" w:rsidR="003E5D61">
        <w:rPr>
          <w:rStyle w:val="CommentReference"/>
        </w:rPr>
        <w:t>T</w:t>
      </w:r>
      <w:r w:rsidRPr="006C5C48">
        <w:t>he final loaded wage is adjusted for inflation.</w:t>
      </w:r>
    </w:p>
    <w:p w:rsidR="00DD729F" w:rsidRPr="006C5C48" w:rsidP="00751E35" w14:paraId="42B86F70" w14:textId="3ED3FD88">
      <w:pPr>
        <w:pStyle w:val="FigureTableNote"/>
      </w:pPr>
      <w:r w:rsidRPr="006C5C48">
        <w:t xml:space="preserve">b. </w:t>
      </w:r>
      <w:r w:rsidR="002B34CB">
        <w:t xml:space="preserve">The </w:t>
      </w:r>
      <w:r w:rsidRPr="006C5C48">
        <w:t>EPA assumes that the proposed PFAS rule will have no discernable incremental burden for quarterly or annual reports to SDWIS/Fed.</w:t>
      </w:r>
    </w:p>
    <w:p w:rsidR="000C0A15" w:rsidRPr="006C5C48" w:rsidP="00751E35" w14:paraId="26F59125" w14:textId="77777777">
      <w:pPr>
        <w:pStyle w:val="FigureTableNote"/>
        <w:rPr>
          <w:rStyle w:val="normaltextrun"/>
          <w:szCs w:val="24"/>
          <w:shd w:val="clear" w:color="auto" w:fill="FFFFFF"/>
        </w:rPr>
      </w:pPr>
    </w:p>
    <w:p w:rsidR="00747504" w:rsidRPr="006C5C48" w:rsidP="00707B3F" w14:paraId="4A8563B0" w14:textId="61BB3BE2">
      <w:pPr>
        <w:pStyle w:val="BodyText"/>
        <w:rPr>
          <w:rStyle w:val="normaltextrun"/>
          <w:shd w:val="clear" w:color="auto" w:fill="FFFFFF"/>
        </w:rPr>
      </w:pPr>
      <w:r w:rsidRPr="006C5C48">
        <w:rPr>
          <w:rStyle w:val="normaltextrun"/>
          <w:shd w:val="clear" w:color="auto" w:fill="FFFFFF"/>
        </w:rPr>
        <w:t xml:space="preserve">The estimates of total responses, burden, and cost for primacy agency activities is provided in </w:t>
      </w:r>
      <w:r w:rsidRPr="006C5C48" w:rsidR="000C0A15">
        <w:rPr>
          <w:rStyle w:val="normaltextrun"/>
          <w:shd w:val="clear" w:color="auto" w:fill="FFFFFF"/>
        </w:rPr>
        <w:fldChar w:fldCharType="begin"/>
      </w:r>
      <w:r w:rsidRPr="006C5C48" w:rsidR="000C0A15">
        <w:rPr>
          <w:rStyle w:val="normaltextrun"/>
          <w:shd w:val="clear" w:color="auto" w:fill="FFFFFF"/>
        </w:rPr>
        <w:instrText xml:space="preserve"> REF _Ref114991272 \h </w:instrText>
      </w:r>
      <w:r w:rsidRPr="006C5C48" w:rsidR="006C5C48">
        <w:rPr>
          <w:rStyle w:val="normaltextrun"/>
          <w:shd w:val="clear" w:color="auto" w:fill="FFFFFF"/>
        </w:rPr>
        <w:instrText xml:space="preserve"> \* MERGEFORMAT </w:instrText>
      </w:r>
      <w:r w:rsidRPr="006C5C48" w:rsidR="000C0A15">
        <w:rPr>
          <w:rStyle w:val="normaltextrun"/>
          <w:shd w:val="clear" w:color="auto" w:fill="FFFFFF"/>
        </w:rPr>
        <w:fldChar w:fldCharType="separate"/>
      </w:r>
      <w:r w:rsidRPr="006C5C48" w:rsidR="000C0A15">
        <w:t xml:space="preserve">Table </w:t>
      </w:r>
      <w:r w:rsidRPr="006C5C48" w:rsidR="000C0A15">
        <w:rPr>
          <w:noProof/>
        </w:rPr>
        <w:t>6</w:t>
      </w:r>
      <w:r w:rsidRPr="006C5C48" w:rsidR="000C0A15">
        <w:rPr>
          <w:rStyle w:val="normaltextrun"/>
          <w:shd w:val="clear" w:color="auto" w:fill="FFFFFF"/>
        </w:rPr>
        <w:fldChar w:fldCharType="end"/>
      </w:r>
      <w:r w:rsidRPr="006C5C48">
        <w:rPr>
          <w:rStyle w:val="normaltextrun"/>
          <w:shd w:val="clear" w:color="auto" w:fill="FFFFFF"/>
        </w:rPr>
        <w:t>.</w:t>
      </w:r>
    </w:p>
    <w:p w:rsidR="00032D3B" w:rsidRPr="006C5C48" w:rsidP="006354CB" w14:paraId="5F8CD546" w14:textId="2A8863B4">
      <w:pPr>
        <w:pStyle w:val="Figurecaption"/>
        <w:rPr>
          <w:color w:val="auto"/>
        </w:rPr>
      </w:pPr>
      <w:bookmarkStart w:id="128" w:name="_Ref114991272"/>
      <w:r w:rsidRPr="006C5C48">
        <w:rPr>
          <w:color w:val="auto"/>
        </w:rPr>
        <w:t xml:space="preserve">Table </w:t>
      </w:r>
      <w:r w:rsidRPr="006C5C48">
        <w:rPr>
          <w:color w:val="auto"/>
        </w:rPr>
        <w:fldChar w:fldCharType="begin"/>
      </w:r>
      <w:r w:rsidRPr="006C5C48">
        <w:rPr>
          <w:color w:val="auto"/>
        </w:rPr>
        <w:instrText xml:space="preserve"> SEQ Table \* ARABIC </w:instrText>
      </w:r>
      <w:r w:rsidRPr="006C5C48">
        <w:rPr>
          <w:color w:val="auto"/>
        </w:rPr>
        <w:fldChar w:fldCharType="separate"/>
      </w:r>
      <w:r w:rsidRPr="006C5C48" w:rsidR="00B4473D">
        <w:rPr>
          <w:noProof/>
          <w:color w:val="auto"/>
        </w:rPr>
        <w:t>6</w:t>
      </w:r>
      <w:r w:rsidRPr="006C5C48">
        <w:rPr>
          <w:noProof/>
          <w:color w:val="auto"/>
        </w:rPr>
        <w:fldChar w:fldCharType="end"/>
      </w:r>
      <w:bookmarkEnd w:id="128"/>
      <w:r w:rsidRPr="006C5C48">
        <w:rPr>
          <w:color w:val="auto"/>
        </w:rPr>
        <w:t>:</w:t>
      </w:r>
      <w:r w:rsidRPr="006C5C48">
        <w:rPr>
          <w:color w:val="auto"/>
        </w:rPr>
        <w:t xml:space="preserve"> Total Burden, Costs, and Responses for Each Required Activity</w:t>
      </w:r>
    </w:p>
    <w:tbl>
      <w:tblPr>
        <w:tblStyle w:val="TableGrid4"/>
        <w:tblW w:w="9360" w:type="dxa"/>
        <w:tblInd w:w="-5" w:type="dxa"/>
        <w:tblLook w:val="04A0"/>
      </w:tblPr>
      <w:tblGrid>
        <w:gridCol w:w="4147"/>
        <w:gridCol w:w="1667"/>
        <w:gridCol w:w="1712"/>
        <w:gridCol w:w="1834"/>
      </w:tblGrid>
      <w:tr w14:paraId="2467C3DC" w14:textId="77777777" w:rsidTr="002B34CB">
        <w:tblPrEx>
          <w:tblW w:w="9360" w:type="dxa"/>
          <w:tblInd w:w="-5" w:type="dxa"/>
          <w:tblLook w:val="04A0"/>
        </w:tblPrEx>
        <w:trPr>
          <w:trHeight w:val="300"/>
        </w:trPr>
        <w:tc>
          <w:tcPr>
            <w:tcW w:w="4147" w:type="dxa"/>
            <w:hideMark/>
          </w:tcPr>
          <w:p w:rsidR="002B34CB" w:rsidRPr="00751E35" w:rsidP="000437C1" w14:paraId="34A467E8" w14:textId="77777777">
            <w:pPr>
              <w:pStyle w:val="TableHeader"/>
              <w:rPr>
                <w:rFonts w:ascii="Segoe UI" w:hAnsi="Segoe UI" w:cs="Segoe UI"/>
              </w:rPr>
            </w:pPr>
            <w:r w:rsidRPr="00751E35">
              <w:t>Item </w:t>
            </w:r>
          </w:p>
        </w:tc>
        <w:tc>
          <w:tcPr>
            <w:tcW w:w="1667" w:type="dxa"/>
            <w:hideMark/>
          </w:tcPr>
          <w:p w:rsidR="002B34CB" w:rsidRPr="00751E35" w:rsidP="000437C1" w14:paraId="22330334" w14:textId="77777777">
            <w:pPr>
              <w:pStyle w:val="TableHeader"/>
            </w:pPr>
            <w:r w:rsidRPr="00751E35">
              <w:t>Burden</w:t>
            </w:r>
          </w:p>
          <w:p w:rsidR="002B34CB" w:rsidRPr="00751E35" w:rsidP="000437C1" w14:paraId="1A0EA627" w14:textId="77777777">
            <w:pPr>
              <w:pStyle w:val="TableHeader"/>
              <w:rPr>
                <w:rFonts w:ascii="Segoe UI" w:hAnsi="Segoe UI" w:cs="Segoe UI"/>
              </w:rPr>
            </w:pPr>
            <w:r w:rsidRPr="00751E35">
              <w:t>(</w:t>
            </w:r>
            <w:r w:rsidRPr="00751E35">
              <w:t>thousand</w:t>
            </w:r>
            <w:r w:rsidRPr="00751E35">
              <w:t xml:space="preserve"> hours)</w:t>
            </w:r>
          </w:p>
        </w:tc>
        <w:tc>
          <w:tcPr>
            <w:tcW w:w="1712" w:type="dxa"/>
            <w:hideMark/>
          </w:tcPr>
          <w:p w:rsidR="002B34CB" w:rsidRPr="00751E35" w:rsidP="000437C1" w14:paraId="3F08EBDA" w14:textId="77777777">
            <w:pPr>
              <w:pStyle w:val="TableHeader"/>
              <w:rPr>
                <w:rFonts w:ascii="Segoe UI" w:hAnsi="Segoe UI" w:cs="Segoe UI"/>
              </w:rPr>
            </w:pPr>
            <w:r w:rsidRPr="00751E35">
              <w:t>Costs (Million $202</w:t>
            </w:r>
            <w:r>
              <w:t>2</w:t>
            </w:r>
            <w:r w:rsidRPr="00751E35">
              <w:t>)</w:t>
            </w:r>
          </w:p>
        </w:tc>
        <w:tc>
          <w:tcPr>
            <w:tcW w:w="1834" w:type="dxa"/>
            <w:hideMark/>
          </w:tcPr>
          <w:p w:rsidR="002B34CB" w:rsidRPr="00751E35" w:rsidP="000437C1" w14:paraId="544CE130" w14:textId="77777777">
            <w:pPr>
              <w:pStyle w:val="TableHeader"/>
              <w:rPr>
                <w:rFonts w:ascii="Segoe UI" w:hAnsi="Segoe UI" w:cs="Segoe UI"/>
              </w:rPr>
            </w:pPr>
            <w:r w:rsidRPr="00751E35">
              <w:t>Responses </w:t>
            </w:r>
          </w:p>
        </w:tc>
      </w:tr>
      <w:tr w14:paraId="4037F720" w14:textId="77777777" w:rsidTr="002B34CB">
        <w:tblPrEx>
          <w:tblW w:w="9360" w:type="dxa"/>
          <w:tblInd w:w="-5" w:type="dxa"/>
          <w:tblLook w:val="04A0"/>
        </w:tblPrEx>
        <w:trPr>
          <w:trHeight w:val="300"/>
        </w:trPr>
        <w:tc>
          <w:tcPr>
            <w:tcW w:w="4147" w:type="dxa"/>
            <w:hideMark/>
          </w:tcPr>
          <w:p w:rsidR="002B34CB" w:rsidRPr="00751E35" w:rsidP="000437C1" w14:paraId="3BD18518" w14:textId="77777777">
            <w:pPr>
              <w:pStyle w:val="TableBody"/>
              <w:rPr>
                <w:rFonts w:ascii="Segoe UI" w:hAnsi="Segoe UI" w:cs="Segoe UI"/>
              </w:rPr>
            </w:pPr>
            <w:r w:rsidRPr="00751E35">
              <w:t>Primacy agency startup activities </w:t>
            </w:r>
          </w:p>
        </w:tc>
        <w:tc>
          <w:tcPr>
            <w:tcW w:w="1667" w:type="dxa"/>
            <w:hideMark/>
          </w:tcPr>
          <w:p w:rsidR="002B34CB" w:rsidRPr="00751E35" w:rsidP="00F74BE7" w14:paraId="6FEBD011" w14:textId="77777777">
            <w:pPr>
              <w:pStyle w:val="TableBody"/>
              <w:jc w:val="right"/>
              <w:rPr>
                <w:rFonts w:ascii="Segoe UI" w:hAnsi="Segoe UI" w:cs="Segoe UI"/>
              </w:rPr>
            </w:pPr>
            <w:r>
              <w:t>326</w:t>
            </w:r>
            <w:r w:rsidRPr="00751E35">
              <w:t xml:space="preserve"> </w:t>
            </w:r>
          </w:p>
        </w:tc>
        <w:tc>
          <w:tcPr>
            <w:tcW w:w="1712" w:type="dxa"/>
            <w:hideMark/>
          </w:tcPr>
          <w:p w:rsidR="002B34CB" w:rsidRPr="00751E35" w:rsidP="00F74BE7" w14:paraId="449A2106" w14:textId="77777777">
            <w:pPr>
              <w:pStyle w:val="TableBody"/>
              <w:jc w:val="right"/>
              <w:rPr>
                <w:rFonts w:ascii="Segoe UI" w:hAnsi="Segoe UI" w:cs="Segoe UI"/>
              </w:rPr>
            </w:pPr>
            <w:r w:rsidRPr="00751E35">
              <w:t>$</w:t>
            </w:r>
            <w:r>
              <w:t>19.5</w:t>
            </w:r>
          </w:p>
        </w:tc>
        <w:tc>
          <w:tcPr>
            <w:tcW w:w="1834" w:type="dxa"/>
            <w:hideMark/>
          </w:tcPr>
          <w:p w:rsidR="002B34CB" w:rsidRPr="00751E35" w:rsidP="00F74BE7" w14:paraId="67F1BEF7" w14:textId="77777777">
            <w:pPr>
              <w:pStyle w:val="TableBody"/>
              <w:jc w:val="right"/>
              <w:rPr>
                <w:rFonts w:ascii="Segoe UI" w:hAnsi="Segoe UI" w:cs="Segoe UI"/>
              </w:rPr>
            </w:pPr>
            <w:r>
              <w:t>112</w:t>
            </w:r>
            <w:r w:rsidRPr="00751E35">
              <w:t xml:space="preserve"> </w:t>
            </w:r>
          </w:p>
        </w:tc>
      </w:tr>
      <w:tr w14:paraId="6BB711BF" w14:textId="77777777" w:rsidTr="002B34CB">
        <w:tblPrEx>
          <w:tblW w:w="9360" w:type="dxa"/>
          <w:tblInd w:w="-5" w:type="dxa"/>
          <w:tblLook w:val="04A0"/>
        </w:tblPrEx>
        <w:trPr>
          <w:trHeight w:val="300"/>
        </w:trPr>
        <w:tc>
          <w:tcPr>
            <w:tcW w:w="4147" w:type="dxa"/>
            <w:hideMark/>
          </w:tcPr>
          <w:p w:rsidR="002B34CB" w:rsidRPr="00751E35" w:rsidP="000437C1" w14:paraId="3E1067F5" w14:textId="77777777">
            <w:pPr>
              <w:pStyle w:val="TableBody"/>
              <w:rPr>
                <w:rFonts w:ascii="Segoe UI" w:hAnsi="Segoe UI" w:cs="Segoe UI"/>
              </w:rPr>
            </w:pPr>
            <w:r w:rsidRPr="00751E35">
              <w:t xml:space="preserve">Primacy </w:t>
            </w:r>
            <w:r w:rsidRPr="00751E35">
              <w:t>agency</w:t>
            </w:r>
            <w:r w:rsidRPr="00751E35">
              <w:t xml:space="preserve"> review initial monitoring data </w:t>
            </w:r>
          </w:p>
        </w:tc>
        <w:tc>
          <w:tcPr>
            <w:tcW w:w="1667" w:type="dxa"/>
            <w:hideMark/>
          </w:tcPr>
          <w:p w:rsidR="002B34CB" w:rsidRPr="00751E35" w:rsidP="00F74BE7" w14:paraId="1670F9F9" w14:textId="77777777">
            <w:pPr>
              <w:pStyle w:val="TableBody"/>
              <w:jc w:val="right"/>
              <w:rPr>
                <w:rFonts w:ascii="Segoe UI" w:hAnsi="Segoe UI" w:cs="Segoe UI"/>
              </w:rPr>
            </w:pPr>
            <w:r w:rsidRPr="00751E35">
              <w:t xml:space="preserve"> </w:t>
            </w:r>
            <w:r>
              <w:t>73</w:t>
            </w:r>
          </w:p>
        </w:tc>
        <w:tc>
          <w:tcPr>
            <w:tcW w:w="1712" w:type="dxa"/>
            <w:hideMark/>
          </w:tcPr>
          <w:p w:rsidR="002B34CB" w:rsidRPr="00751E35" w:rsidP="00F74BE7" w14:paraId="07328261" w14:textId="77777777">
            <w:pPr>
              <w:pStyle w:val="TableBody"/>
              <w:jc w:val="right"/>
              <w:rPr>
                <w:rFonts w:ascii="Segoe UI" w:hAnsi="Segoe UI" w:cs="Segoe UI"/>
              </w:rPr>
            </w:pPr>
            <w:r w:rsidRPr="00751E35">
              <w:t>$4.</w:t>
            </w:r>
            <w:r>
              <w:t>4</w:t>
            </w:r>
          </w:p>
        </w:tc>
        <w:tc>
          <w:tcPr>
            <w:tcW w:w="1834" w:type="dxa"/>
            <w:hideMark/>
          </w:tcPr>
          <w:p w:rsidR="002B34CB" w:rsidRPr="00751E35" w:rsidP="00F74BE7" w14:paraId="37C06A34" w14:textId="77777777">
            <w:pPr>
              <w:pStyle w:val="TableBody"/>
              <w:jc w:val="right"/>
              <w:rPr>
                <w:rFonts w:ascii="Segoe UI" w:hAnsi="Segoe UI" w:cs="Segoe UI"/>
              </w:rPr>
            </w:pPr>
            <w:r w:rsidRPr="00751E35">
              <w:t xml:space="preserve"> </w:t>
            </w:r>
            <w:r>
              <w:t>165,641</w:t>
            </w:r>
            <w:r w:rsidRPr="00751E35">
              <w:t xml:space="preserve"> </w:t>
            </w:r>
          </w:p>
        </w:tc>
      </w:tr>
      <w:tr w14:paraId="3B3596BA" w14:textId="77777777" w:rsidTr="002B34CB">
        <w:tblPrEx>
          <w:tblW w:w="9360" w:type="dxa"/>
          <w:tblInd w:w="-5" w:type="dxa"/>
          <w:tblLook w:val="04A0"/>
        </w:tblPrEx>
        <w:trPr>
          <w:trHeight w:val="300"/>
        </w:trPr>
        <w:tc>
          <w:tcPr>
            <w:tcW w:w="4147" w:type="dxa"/>
            <w:hideMark/>
          </w:tcPr>
          <w:p w:rsidR="002B34CB" w:rsidRPr="00751E35" w:rsidP="000437C1" w14:paraId="6930C9D1" w14:textId="77777777">
            <w:pPr>
              <w:pStyle w:val="TableBody"/>
              <w:rPr>
                <w:rFonts w:ascii="Segoe UI" w:hAnsi="Segoe UI" w:cs="Segoe UI"/>
                <w:b/>
                <w:bCs/>
              </w:rPr>
            </w:pPr>
            <w:r w:rsidRPr="00751E35">
              <w:rPr>
                <w:b/>
                <w:bCs/>
              </w:rPr>
              <w:t>Primacy agency subtotal </w:t>
            </w:r>
          </w:p>
        </w:tc>
        <w:tc>
          <w:tcPr>
            <w:tcW w:w="1667" w:type="dxa"/>
            <w:hideMark/>
          </w:tcPr>
          <w:p w:rsidR="002B34CB" w:rsidRPr="00751E35" w:rsidP="00F74BE7" w14:paraId="0FBB3377" w14:textId="77777777">
            <w:pPr>
              <w:pStyle w:val="TableBody"/>
              <w:jc w:val="right"/>
              <w:rPr>
                <w:rFonts w:ascii="Segoe UI" w:hAnsi="Segoe UI" w:cs="Segoe UI"/>
                <w:b/>
                <w:bCs/>
              </w:rPr>
            </w:pPr>
            <w:r w:rsidRPr="00751E35">
              <w:rPr>
                <w:b/>
                <w:bCs/>
              </w:rPr>
              <w:t xml:space="preserve"> </w:t>
            </w:r>
            <w:r>
              <w:rPr>
                <w:b/>
                <w:bCs/>
              </w:rPr>
              <w:t>399</w:t>
            </w:r>
          </w:p>
        </w:tc>
        <w:tc>
          <w:tcPr>
            <w:tcW w:w="1712" w:type="dxa"/>
            <w:hideMark/>
          </w:tcPr>
          <w:p w:rsidR="002B34CB" w:rsidRPr="00751E35" w:rsidP="00F74BE7" w14:paraId="1BB21C39" w14:textId="77777777">
            <w:pPr>
              <w:pStyle w:val="TableBody"/>
              <w:jc w:val="right"/>
              <w:rPr>
                <w:rFonts w:ascii="Segoe UI" w:hAnsi="Segoe UI" w:cs="Segoe UI"/>
                <w:b/>
                <w:bCs/>
              </w:rPr>
            </w:pPr>
            <w:r w:rsidRPr="00751E35">
              <w:rPr>
                <w:b/>
                <w:bCs/>
              </w:rPr>
              <w:t xml:space="preserve"> </w:t>
            </w:r>
            <w:r>
              <w:rPr>
                <w:b/>
                <w:bCs/>
              </w:rPr>
              <w:t>$23.8</w:t>
            </w:r>
            <w:r w:rsidRPr="00751E35">
              <w:rPr>
                <w:b/>
                <w:bCs/>
              </w:rPr>
              <w:t xml:space="preserve"> </w:t>
            </w:r>
          </w:p>
        </w:tc>
        <w:tc>
          <w:tcPr>
            <w:tcW w:w="1834" w:type="dxa"/>
            <w:hideMark/>
          </w:tcPr>
          <w:p w:rsidR="002B34CB" w:rsidRPr="00751E35" w:rsidP="00F74BE7" w14:paraId="1AF16ED5" w14:textId="77777777">
            <w:pPr>
              <w:pStyle w:val="TableBody"/>
              <w:jc w:val="right"/>
              <w:rPr>
                <w:rFonts w:ascii="Segoe UI" w:hAnsi="Segoe UI" w:cs="Segoe UI"/>
                <w:b/>
                <w:bCs/>
              </w:rPr>
            </w:pPr>
            <w:r w:rsidRPr="00751E35">
              <w:rPr>
                <w:b/>
                <w:bCs/>
              </w:rPr>
              <w:t xml:space="preserve"> </w:t>
            </w:r>
            <w:r>
              <w:rPr>
                <w:b/>
                <w:bCs/>
              </w:rPr>
              <w:t>165,753</w:t>
            </w:r>
          </w:p>
        </w:tc>
      </w:tr>
    </w:tbl>
    <w:p w:rsidR="00DD729F" w:rsidRPr="006C5C48" w:rsidP="00DD729F" w14:paraId="12685FF8" w14:textId="77777777">
      <w:pPr>
        <w:rPr>
          <w:b/>
          <w:bCs/>
          <w:szCs w:val="24"/>
        </w:rPr>
      </w:pPr>
    </w:p>
    <w:p w:rsidR="00DD729F" w:rsidRPr="006C5C48" w:rsidP="003A3B69" w14:paraId="49365C73" w14:textId="75B955AD">
      <w:pPr>
        <w:pStyle w:val="Heading2"/>
      </w:pPr>
      <w:bookmarkStart w:id="129" w:name="_Toc113614164"/>
      <w:bookmarkStart w:id="130" w:name="_Toc149779131"/>
      <w:r w:rsidRPr="006C5C48">
        <w:t>Estimating Agency Burden and Cost</w:t>
      </w:r>
      <w:bookmarkEnd w:id="129"/>
      <w:bookmarkEnd w:id="130"/>
    </w:p>
    <w:p w:rsidR="001E1EF7" w:rsidRPr="006C5C48" w:rsidP="0061621D" w14:paraId="60C255BB" w14:textId="75B81B99">
      <w:r w:rsidRPr="006C5C48">
        <w:t xml:space="preserve">Information-related activities that may be undertaken by both </w:t>
      </w:r>
      <w:r w:rsidRPr="006C5C48" w:rsidR="00103523">
        <w:t xml:space="preserve">the </w:t>
      </w:r>
      <w:r w:rsidRPr="006C5C48">
        <w:t>EPA headquarters and</w:t>
      </w:r>
      <w:r w:rsidRPr="006C5C48">
        <w:rPr>
          <w:spacing w:val="1"/>
        </w:rPr>
        <w:t xml:space="preserve"> </w:t>
      </w:r>
      <w:r w:rsidRPr="006C5C48">
        <w:t xml:space="preserve">regional offices include reviewing, </w:t>
      </w:r>
      <w:r w:rsidRPr="006C5C48">
        <w:t>interpreting</w:t>
      </w:r>
      <w:r w:rsidRPr="006C5C48">
        <w:t xml:space="preserve"> and explaining the new regulations to primacy</w:t>
      </w:r>
      <w:r w:rsidRPr="006C5C48">
        <w:rPr>
          <w:spacing w:val="1"/>
        </w:rPr>
        <w:t xml:space="preserve"> </w:t>
      </w:r>
      <w:r w:rsidRPr="006C5C48">
        <w:t xml:space="preserve">agencies that ask for guidance. For example, during the implementation process, </w:t>
      </w:r>
      <w:r w:rsidRPr="006C5C48" w:rsidR="00103523">
        <w:t xml:space="preserve">the </w:t>
      </w:r>
      <w:r w:rsidRPr="006C5C48">
        <w:t>EPA</w:t>
      </w:r>
      <w:r w:rsidRPr="006C5C48">
        <w:rPr>
          <w:spacing w:val="1"/>
        </w:rPr>
        <w:t xml:space="preserve"> </w:t>
      </w:r>
      <w:r w:rsidRPr="006C5C48">
        <w:t>headquarters or regions might be asked for explanations or interpretations of the intent of the</w:t>
      </w:r>
      <w:r w:rsidRPr="006C5C48">
        <w:rPr>
          <w:spacing w:val="1"/>
        </w:rPr>
        <w:t xml:space="preserve"> </w:t>
      </w:r>
      <w:r w:rsidRPr="006C5C48">
        <w:t xml:space="preserve">new regulations. </w:t>
      </w:r>
      <w:r w:rsidRPr="006C5C48" w:rsidR="00D679C7">
        <w:t>However, the</w:t>
      </w:r>
      <w:r w:rsidRPr="006C5C48" w:rsidR="00D679C7">
        <w:rPr>
          <w:spacing w:val="-1"/>
        </w:rPr>
        <w:t xml:space="preserve"> </w:t>
      </w:r>
      <w:r w:rsidRPr="006C5C48" w:rsidR="00D679C7">
        <w:t>additional</w:t>
      </w:r>
      <w:r w:rsidRPr="006C5C48" w:rsidR="00D679C7">
        <w:rPr>
          <w:spacing w:val="-1"/>
        </w:rPr>
        <w:t xml:space="preserve"> </w:t>
      </w:r>
      <w:r w:rsidRPr="006C5C48" w:rsidR="00D679C7">
        <w:t>burden</w:t>
      </w:r>
      <w:r w:rsidRPr="006C5C48" w:rsidR="00D679C7">
        <w:rPr>
          <w:spacing w:val="-1"/>
        </w:rPr>
        <w:t xml:space="preserve"> </w:t>
      </w:r>
      <w:r w:rsidRPr="006C5C48" w:rsidR="00D679C7">
        <w:t>and costs</w:t>
      </w:r>
      <w:r w:rsidRPr="006C5C48" w:rsidR="00D679C7">
        <w:rPr>
          <w:spacing w:val="-1"/>
        </w:rPr>
        <w:t xml:space="preserve"> </w:t>
      </w:r>
      <w:r w:rsidRPr="006C5C48" w:rsidR="00D679C7">
        <w:t>incurred</w:t>
      </w:r>
      <w:r w:rsidRPr="006C5C48" w:rsidR="00D679C7">
        <w:rPr>
          <w:spacing w:val="-1"/>
        </w:rPr>
        <w:t xml:space="preserve"> </w:t>
      </w:r>
      <w:r w:rsidRPr="006C5C48" w:rsidR="00D679C7">
        <w:t xml:space="preserve">by </w:t>
      </w:r>
      <w:r w:rsidRPr="006C5C48" w:rsidR="00103523">
        <w:t>the</w:t>
      </w:r>
      <w:r w:rsidRPr="006C5C48" w:rsidR="00D679C7">
        <w:rPr>
          <w:spacing w:val="-1"/>
        </w:rPr>
        <w:t xml:space="preserve"> </w:t>
      </w:r>
      <w:r w:rsidRPr="006C5C48" w:rsidR="00D679C7">
        <w:t>EPA’s</w:t>
      </w:r>
      <w:r w:rsidRPr="006C5C48" w:rsidR="00D679C7">
        <w:rPr>
          <w:spacing w:val="-1"/>
        </w:rPr>
        <w:t xml:space="preserve"> </w:t>
      </w:r>
      <w:r w:rsidRPr="006C5C48" w:rsidR="00D679C7">
        <w:t>drinking</w:t>
      </w:r>
      <w:r w:rsidRPr="006C5C48" w:rsidR="00D679C7">
        <w:rPr>
          <w:spacing w:val="-1"/>
        </w:rPr>
        <w:t xml:space="preserve"> </w:t>
      </w:r>
      <w:r w:rsidRPr="006C5C48" w:rsidR="00D679C7">
        <w:t>water</w:t>
      </w:r>
      <w:r w:rsidRPr="006C5C48" w:rsidR="00D679C7">
        <w:rPr>
          <w:spacing w:val="-1"/>
        </w:rPr>
        <w:t xml:space="preserve"> </w:t>
      </w:r>
      <w:r w:rsidRPr="006C5C48" w:rsidR="00D679C7">
        <w:t>program</w:t>
      </w:r>
      <w:r w:rsidRPr="006C5C48" w:rsidR="00D679C7">
        <w:rPr>
          <w:spacing w:val="-3"/>
        </w:rPr>
        <w:t xml:space="preserve"> </w:t>
      </w:r>
      <w:r w:rsidRPr="006C5C48" w:rsidR="00D679C7">
        <w:t>at</w:t>
      </w:r>
      <w:r w:rsidR="002B34CB">
        <w:t xml:space="preserve"> </w:t>
      </w:r>
      <w:r w:rsidRPr="006C5C48" w:rsidR="00D679C7">
        <w:t>headquarters and regional offices to assist primacy agencies in implementing drinking water</w:t>
      </w:r>
      <w:r w:rsidRPr="006C5C48" w:rsidR="00D679C7">
        <w:rPr>
          <w:spacing w:val="1"/>
        </w:rPr>
        <w:t xml:space="preserve"> </w:t>
      </w:r>
      <w:r w:rsidRPr="006C5C48" w:rsidR="00D679C7">
        <w:t xml:space="preserve">regulations are already included in existing ICRs. </w:t>
      </w:r>
      <w:r w:rsidRPr="006C5C48" w:rsidR="00103523">
        <w:t xml:space="preserve">The </w:t>
      </w:r>
      <w:r w:rsidRPr="006C5C48" w:rsidR="00D679C7">
        <w:t>EPA burden and costs for on-going</w:t>
      </w:r>
      <w:r w:rsidRPr="006C5C48" w:rsidR="00D679C7">
        <w:rPr>
          <w:spacing w:val="1"/>
        </w:rPr>
        <w:t xml:space="preserve"> </w:t>
      </w:r>
      <w:r w:rsidRPr="006C5C48" w:rsidR="00D679C7">
        <w:t xml:space="preserve">regulatory development and support activities for all </w:t>
      </w:r>
      <w:r w:rsidRPr="006C5C48" w:rsidR="00103523">
        <w:t xml:space="preserve">the </w:t>
      </w:r>
      <w:r w:rsidRPr="006C5C48" w:rsidR="00D679C7">
        <w:t>EPA drinking water regulations are</w:t>
      </w:r>
      <w:r w:rsidRPr="006C5C48" w:rsidR="00D679C7">
        <w:rPr>
          <w:spacing w:val="1"/>
        </w:rPr>
        <w:t xml:space="preserve"> </w:t>
      </w:r>
      <w:r w:rsidRPr="006C5C48" w:rsidR="00D679C7">
        <w:t>accounted for under the PWS Supervision Program ICR (OMB control number 2040-0090, EPA</w:t>
      </w:r>
      <w:r w:rsidRPr="006C5C48" w:rsidR="00D679C7">
        <w:rPr>
          <w:spacing w:val="-57"/>
        </w:rPr>
        <w:t xml:space="preserve"> </w:t>
      </w:r>
      <w:r w:rsidRPr="006C5C48" w:rsidR="00D679C7">
        <w:t xml:space="preserve">ID 1895.10). </w:t>
      </w:r>
      <w:r w:rsidR="00606E61">
        <w:t>The EPA acts as the primacy agency for PWSs in Wyoming</w:t>
      </w:r>
      <w:r w:rsidR="00FF2640">
        <w:t>, DC,</w:t>
      </w:r>
      <w:r w:rsidR="00606E61">
        <w:t xml:space="preserve"> </w:t>
      </w:r>
      <w:r w:rsidR="00606E61">
        <w:t xml:space="preserve">and </w:t>
      </w:r>
      <w:r w:rsidR="00304BEC">
        <w:t>also</w:t>
      </w:r>
      <w:r w:rsidR="00304BEC">
        <w:t xml:space="preserve"> for </w:t>
      </w:r>
      <w:r w:rsidR="00FF2640">
        <w:t xml:space="preserve">many </w:t>
      </w:r>
      <w:r w:rsidR="00967E8A">
        <w:t xml:space="preserve">tribal PWSs. </w:t>
      </w:r>
      <w:r w:rsidR="000D655D">
        <w:t xml:space="preserve">The total cost to the EPA to review initial monitoring data from these PWSs over the first three years of the proposed rule covered by the ICR is $282,269. </w:t>
      </w:r>
      <w:r w:rsidR="000D655D">
        <w:t>This cost, and associated burden,</w:t>
      </w:r>
      <w:r w:rsidR="000D655D">
        <w:t xml:space="preserve"> is included in the primacy agency burden estimate in Table 6.</w:t>
      </w:r>
    </w:p>
    <w:p w:rsidR="001E1EF7" w:rsidRPr="006C5C48" w:rsidP="003A3B69" w14:paraId="0481DBB4" w14:textId="36492AAD">
      <w:pPr>
        <w:pStyle w:val="Heading2"/>
      </w:pPr>
      <w:bookmarkStart w:id="131" w:name="_Toc117155152"/>
      <w:bookmarkStart w:id="132" w:name="_Toc149779132"/>
      <w:r w:rsidRPr="006C5C48">
        <w:t>Es</w:t>
      </w:r>
      <w:r w:rsidRPr="006C5C48" w:rsidR="006944DF">
        <w:t>t</w:t>
      </w:r>
      <w:r w:rsidRPr="006C5C48" w:rsidR="0022468F">
        <w:t>imating the Total Respondent Universe and Total Burden and Costs</w:t>
      </w:r>
      <w:bookmarkEnd w:id="131"/>
      <w:bookmarkEnd w:id="132"/>
      <w:r w:rsidRPr="006C5C48" w:rsidR="00D679C7">
        <w:t xml:space="preserve"> </w:t>
      </w:r>
      <w:bookmarkStart w:id="133" w:name="_Toc114671149"/>
      <w:bookmarkStart w:id="134" w:name="_Toc114671322"/>
      <w:bookmarkStart w:id="135" w:name="_Toc114777071"/>
      <w:bookmarkEnd w:id="133"/>
      <w:bookmarkEnd w:id="134"/>
      <w:bookmarkEnd w:id="135"/>
    </w:p>
    <w:p w:rsidR="002B34CB" w:rsidRPr="00271D4F" w:rsidP="002B34CB" w14:paraId="0525BE9D" w14:textId="203D77A3">
      <w:r w:rsidRPr="4EF9344F">
        <w:rPr>
          <w:rStyle w:val="normaltextrun"/>
          <w:color w:val="000000"/>
          <w:shd w:val="clear" w:color="auto" w:fill="FFFFFF"/>
        </w:rPr>
        <w:t xml:space="preserve">For the first three years after publication of the rule in the Federal Register, information requirements apply to an average of </w:t>
      </w:r>
      <w:r w:rsidR="004A794A">
        <w:rPr>
          <w:rStyle w:val="normaltextrun"/>
          <w:color w:val="000000"/>
          <w:shd w:val="clear" w:color="auto" w:fill="FFFFFF"/>
        </w:rPr>
        <w:t>33,</w:t>
      </w:r>
      <w:r w:rsidR="00C23310">
        <w:rPr>
          <w:rStyle w:val="normaltextrun"/>
          <w:color w:val="000000"/>
          <w:shd w:val="clear" w:color="auto" w:fill="FFFFFF"/>
        </w:rPr>
        <w:t>594</w:t>
      </w:r>
      <w:r w:rsidRPr="4EF9344F">
        <w:rPr>
          <w:rStyle w:val="normaltextrun"/>
          <w:color w:val="000000"/>
          <w:shd w:val="clear" w:color="auto" w:fill="FFFFFF"/>
        </w:rPr>
        <w:t xml:space="preserve"> respondents annually, including </w:t>
      </w:r>
      <w:r w:rsidR="00F02842">
        <w:rPr>
          <w:rStyle w:val="normaltextrun"/>
          <w:color w:val="000000"/>
          <w:shd w:val="clear" w:color="auto" w:fill="FFFFFF"/>
        </w:rPr>
        <w:t>33,</w:t>
      </w:r>
      <w:r w:rsidR="0077757B">
        <w:rPr>
          <w:rStyle w:val="normaltextrun"/>
          <w:color w:val="000000"/>
          <w:shd w:val="clear" w:color="auto" w:fill="FFFFFF"/>
        </w:rPr>
        <w:t>538</w:t>
      </w:r>
      <w:r w:rsidRPr="4EF9344F">
        <w:rPr>
          <w:rStyle w:val="normaltextrun"/>
          <w:color w:val="000000"/>
          <w:shd w:val="clear" w:color="auto" w:fill="FFFFFF"/>
        </w:rPr>
        <w:t xml:space="preserve"> PWSs and 56 Primacy Agencies. The burden associated with the proposed rule over the three years covered by the ICR is </w:t>
      </w:r>
      <w:r>
        <w:rPr>
          <w:rStyle w:val="normaltextrun"/>
          <w:color w:val="000000"/>
          <w:shd w:val="clear" w:color="auto" w:fill="FFFFFF"/>
        </w:rPr>
        <w:t>2.9</w:t>
      </w:r>
      <w:r w:rsidRPr="4EF9344F">
        <w:rPr>
          <w:rStyle w:val="normaltextrun"/>
          <w:color w:val="000000"/>
          <w:shd w:val="clear" w:color="auto" w:fill="FFFFFF"/>
        </w:rPr>
        <w:t xml:space="preserve"> million hours, for an average of </w:t>
      </w:r>
      <w:r w:rsidR="00C03871">
        <w:rPr>
          <w:rStyle w:val="normaltextrun"/>
          <w:color w:val="000000"/>
          <w:shd w:val="clear" w:color="auto" w:fill="FFFFFF"/>
        </w:rPr>
        <w:t>9</w:t>
      </w:r>
      <w:r w:rsidR="00A261AB">
        <w:rPr>
          <w:rStyle w:val="normaltextrun"/>
          <w:color w:val="000000"/>
          <w:shd w:val="clear" w:color="auto" w:fill="FFFFFF"/>
        </w:rPr>
        <w:t>63</w:t>
      </w:r>
      <w:r w:rsidR="0084104B">
        <w:rPr>
          <w:rStyle w:val="normaltextrun"/>
          <w:color w:val="000000"/>
          <w:shd w:val="clear" w:color="auto" w:fill="FFFFFF"/>
        </w:rPr>
        <w:t>,780</w:t>
      </w:r>
      <w:r w:rsidRPr="4EF9344F">
        <w:rPr>
          <w:rStyle w:val="normaltextrun"/>
          <w:color w:val="000000"/>
          <w:shd w:val="clear" w:color="auto" w:fill="FFFFFF"/>
        </w:rPr>
        <w:t xml:space="preserve"> hours per year. The total cost over the three-year period </w:t>
      </w:r>
      <w:r w:rsidRPr="4EF9344F">
        <w:rPr>
          <w:rStyle w:val="contextualspellingandgrammarerror"/>
          <w:color w:val="000000"/>
          <w:shd w:val="clear" w:color="auto" w:fill="FFFFFF"/>
        </w:rPr>
        <w:t>is</w:t>
      </w:r>
      <w:r w:rsidRPr="4EF9344F">
        <w:rPr>
          <w:rStyle w:val="normaltextrun"/>
          <w:color w:val="000000"/>
          <w:shd w:val="clear" w:color="auto" w:fill="FFFFFF"/>
        </w:rPr>
        <w:t xml:space="preserve"> $</w:t>
      </w:r>
      <w:r>
        <w:rPr>
          <w:rStyle w:val="normaltextrun"/>
          <w:color w:val="000000"/>
          <w:shd w:val="clear" w:color="auto" w:fill="FFFFFF"/>
        </w:rPr>
        <w:t>11</w:t>
      </w:r>
      <w:r w:rsidR="0084104B">
        <w:rPr>
          <w:rStyle w:val="normaltextrun"/>
          <w:color w:val="000000"/>
          <w:shd w:val="clear" w:color="auto" w:fill="FFFFFF"/>
        </w:rPr>
        <w:t>6</w:t>
      </w:r>
      <w:r>
        <w:rPr>
          <w:rStyle w:val="normaltextrun"/>
          <w:color w:val="000000"/>
          <w:shd w:val="clear" w:color="auto" w:fill="FFFFFF"/>
        </w:rPr>
        <w:t xml:space="preserve"> </w:t>
      </w:r>
      <w:r w:rsidRPr="4EF9344F">
        <w:rPr>
          <w:rStyle w:val="normaltextrun"/>
          <w:color w:val="000000"/>
          <w:shd w:val="clear" w:color="auto" w:fill="FFFFFF"/>
        </w:rPr>
        <w:t>million, for an average of $</w:t>
      </w:r>
      <w:r>
        <w:rPr>
          <w:rStyle w:val="normaltextrun"/>
          <w:color w:val="000000"/>
          <w:shd w:val="clear" w:color="auto" w:fill="FFFFFF"/>
        </w:rPr>
        <w:t>3</w:t>
      </w:r>
      <w:r w:rsidR="0084104B">
        <w:rPr>
          <w:rStyle w:val="normaltextrun"/>
          <w:color w:val="000000"/>
          <w:shd w:val="clear" w:color="auto" w:fill="FFFFFF"/>
        </w:rPr>
        <w:t>9</w:t>
      </w:r>
      <w:r w:rsidRPr="4EF9344F">
        <w:rPr>
          <w:rStyle w:val="normaltextrun"/>
          <w:color w:val="000000"/>
          <w:shd w:val="clear" w:color="auto" w:fill="FFFFFF"/>
        </w:rPr>
        <w:t xml:space="preserve"> million per year (simple average over three years). The average burden per response (i.e., the amount of time needed for each activity that requires a collection of information) is </w:t>
      </w:r>
      <w:r>
        <w:rPr>
          <w:rStyle w:val="normaltextrun"/>
          <w:color w:val="000000"/>
          <w:shd w:val="clear" w:color="auto" w:fill="FFFFFF"/>
        </w:rPr>
        <w:t xml:space="preserve">4.9 </w:t>
      </w:r>
      <w:r w:rsidRPr="4EF9344F">
        <w:rPr>
          <w:rStyle w:val="normaltextrun"/>
          <w:color w:val="000000"/>
          <w:shd w:val="clear" w:color="auto" w:fill="FFFFFF"/>
        </w:rPr>
        <w:t xml:space="preserve">hours for PWSs and </w:t>
      </w:r>
      <w:r>
        <w:rPr>
          <w:rStyle w:val="normaltextrun"/>
          <w:color w:val="000000"/>
          <w:shd w:val="clear" w:color="auto" w:fill="FFFFFF"/>
        </w:rPr>
        <w:t xml:space="preserve">2.4 </w:t>
      </w:r>
      <w:r w:rsidRPr="4EF9344F">
        <w:rPr>
          <w:rStyle w:val="normaltextrun"/>
          <w:color w:val="000000"/>
          <w:shd w:val="clear" w:color="auto" w:fill="FFFFFF"/>
        </w:rPr>
        <w:t>hours for primacy agencies; the average cost per response is $</w:t>
      </w:r>
      <w:r>
        <w:rPr>
          <w:rStyle w:val="normaltextrun"/>
          <w:color w:val="000000"/>
          <w:shd w:val="clear" w:color="auto" w:fill="FFFFFF"/>
        </w:rPr>
        <w:t>18</w:t>
      </w:r>
      <w:r w:rsidR="00463742">
        <w:rPr>
          <w:rStyle w:val="normaltextrun"/>
          <w:color w:val="000000"/>
          <w:shd w:val="clear" w:color="auto" w:fill="FFFFFF"/>
        </w:rPr>
        <w:t>2</w:t>
      </w:r>
      <w:r w:rsidRPr="4EF9344F">
        <w:rPr>
          <w:rStyle w:val="normaltextrun"/>
          <w:color w:val="000000"/>
          <w:shd w:val="clear" w:color="auto" w:fill="FFFFFF"/>
        </w:rPr>
        <w:t xml:space="preserve"> for PWSs and $</w:t>
      </w:r>
      <w:r>
        <w:rPr>
          <w:rStyle w:val="normaltextrun"/>
          <w:color w:val="000000"/>
          <w:shd w:val="clear" w:color="auto" w:fill="FFFFFF"/>
        </w:rPr>
        <w:t>144</w:t>
      </w:r>
      <w:r w:rsidRPr="4EF9344F">
        <w:rPr>
          <w:rStyle w:val="normaltextrun"/>
          <w:color w:val="000000"/>
          <w:shd w:val="clear" w:color="auto" w:fill="FFFFFF"/>
        </w:rPr>
        <w:t xml:space="preserve"> for primacy agencies. The collection requirements are mandatory under SDWA (42 U.S.C. 300g-7). Details on the calculation of the proposed rule information collection burden and costs can be found in the Section VI.A of this ICR supporting statement for the proposed rule and Chapter </w:t>
      </w:r>
      <w:r w:rsidRPr="4EF9344F">
        <w:rPr>
          <w:rStyle w:val="normaltextrun"/>
          <w:color w:val="000000"/>
          <w:shd w:val="clear" w:color="auto" w:fill="E1E3E6"/>
        </w:rPr>
        <w:t>5</w:t>
      </w:r>
      <w:r w:rsidRPr="4EF9344F">
        <w:rPr>
          <w:rStyle w:val="normaltextrun"/>
          <w:color w:val="000000"/>
          <w:shd w:val="clear" w:color="auto" w:fill="FFFFFF"/>
        </w:rPr>
        <w:t xml:space="preserve"> of the Economic Analysis.</w:t>
      </w:r>
    </w:p>
    <w:p w:rsidR="001948F1" w:rsidRPr="006C5C48" w:rsidP="003A3B69" w14:paraId="71A4DA87" w14:textId="1CA2C874">
      <w:pPr>
        <w:pStyle w:val="Heading2"/>
      </w:pPr>
      <w:bookmarkStart w:id="136" w:name="_Toc149779133"/>
      <w:r w:rsidRPr="006C5C48">
        <w:t>Bottom Line Burden Hours and Cost Tables</w:t>
      </w:r>
      <w:bookmarkEnd w:id="136"/>
    </w:p>
    <w:p w:rsidR="00DD729F" w:rsidRPr="006C5C48" w:rsidP="00707B3F" w14:paraId="6C8B0ABE" w14:textId="025ABFA0">
      <w:pPr>
        <w:pStyle w:val="BodyText"/>
      </w:pPr>
      <w:r w:rsidRPr="006C5C48">
        <w:t xml:space="preserve">A summary of the </w:t>
      </w:r>
      <w:r w:rsidR="004F7ACF">
        <w:t>total burden</w:t>
      </w:r>
      <w:r w:rsidR="00E95D18">
        <w:t xml:space="preserve"> </w:t>
      </w:r>
      <w:r w:rsidR="00AF0A1B">
        <w:t>of</w:t>
      </w:r>
      <w:r w:rsidR="009314DC">
        <w:t xml:space="preserve"> the</w:t>
      </w:r>
      <w:r w:rsidRPr="006C5C48">
        <w:t xml:space="preserve"> collection is presented in </w:t>
      </w:r>
      <w:r w:rsidRPr="006C5C48" w:rsidR="00B4473D">
        <w:fldChar w:fldCharType="begin"/>
      </w:r>
      <w:r w:rsidRPr="006C5C48" w:rsidR="00B4473D">
        <w:instrText xml:space="preserve"> REF _Ref114991158 \h </w:instrText>
      </w:r>
      <w:r w:rsidRPr="006C5C48" w:rsidR="006C5C48">
        <w:instrText xml:space="preserve"> \* MERGEFORMAT </w:instrText>
      </w:r>
      <w:r w:rsidRPr="006C5C48" w:rsidR="00B4473D">
        <w:fldChar w:fldCharType="separate"/>
      </w:r>
      <w:r w:rsidRPr="006C5C48" w:rsidR="00B4473D">
        <w:t xml:space="preserve">Table </w:t>
      </w:r>
      <w:r w:rsidRPr="006C5C48" w:rsidR="00B4473D">
        <w:rPr>
          <w:noProof/>
        </w:rPr>
        <w:t>7</w:t>
      </w:r>
      <w:r w:rsidRPr="006C5C48" w:rsidR="00B4473D">
        <w:fldChar w:fldCharType="end"/>
      </w:r>
      <w:r w:rsidRPr="006C5C48">
        <w:t>. The burdens and costs reflect labor and laboratory analysis costs.</w:t>
      </w:r>
    </w:p>
    <w:p w:rsidR="00DD729F" w:rsidP="00B4473D" w14:paraId="771C4CA4" w14:textId="4B59B0FF">
      <w:pPr>
        <w:pStyle w:val="Figurecaption"/>
        <w:rPr>
          <w:color w:val="auto"/>
        </w:rPr>
      </w:pPr>
      <w:bookmarkStart w:id="137" w:name="_Ref114991158"/>
      <w:r w:rsidRPr="006C5C48">
        <w:rPr>
          <w:color w:val="auto"/>
        </w:rPr>
        <w:t xml:space="preserve">Table </w:t>
      </w:r>
      <w:r w:rsidRPr="006C5C48" w:rsidR="00D631FE">
        <w:rPr>
          <w:color w:val="auto"/>
        </w:rPr>
        <w:fldChar w:fldCharType="begin"/>
      </w:r>
      <w:r w:rsidRPr="006C5C48" w:rsidR="00D631FE">
        <w:rPr>
          <w:color w:val="auto"/>
        </w:rPr>
        <w:instrText xml:space="preserve"> SEQ Table \* ARABIC </w:instrText>
      </w:r>
      <w:r w:rsidRPr="006C5C48" w:rsidR="00D631FE">
        <w:rPr>
          <w:color w:val="auto"/>
        </w:rPr>
        <w:fldChar w:fldCharType="separate"/>
      </w:r>
      <w:r w:rsidRPr="006C5C48">
        <w:rPr>
          <w:noProof/>
          <w:color w:val="auto"/>
        </w:rPr>
        <w:t>7</w:t>
      </w:r>
      <w:r w:rsidRPr="006C5C48" w:rsidR="00D631FE">
        <w:rPr>
          <w:noProof/>
          <w:color w:val="auto"/>
        </w:rPr>
        <w:fldChar w:fldCharType="end"/>
      </w:r>
      <w:bookmarkEnd w:id="137"/>
      <w:r w:rsidRPr="006C5C48">
        <w:rPr>
          <w:color w:val="auto"/>
        </w:rPr>
        <w:t xml:space="preserve">: </w:t>
      </w:r>
      <w:r w:rsidRPr="006C5C48">
        <w:rPr>
          <w:color w:val="auto"/>
        </w:rPr>
        <w:t>Total Burden, Costs, and Responses for Each Required Activity</w:t>
      </w:r>
    </w:p>
    <w:tbl>
      <w:tblPr>
        <w:tblStyle w:val="TableGrid4"/>
        <w:tblW w:w="5000" w:type="pct"/>
        <w:tblInd w:w="-5" w:type="dxa"/>
        <w:tblLayout w:type="fixed"/>
        <w:tblLook w:val="04A0"/>
      </w:tblPr>
      <w:tblGrid>
        <w:gridCol w:w="4766"/>
        <w:gridCol w:w="1528"/>
        <w:gridCol w:w="1528"/>
        <w:gridCol w:w="1528"/>
      </w:tblGrid>
      <w:tr w14:paraId="382C6D1D" w14:textId="77777777" w:rsidTr="005F1F20">
        <w:tblPrEx>
          <w:tblW w:w="5000" w:type="pct"/>
          <w:tblInd w:w="-5" w:type="dxa"/>
          <w:tblLayout w:type="fixed"/>
          <w:tblLook w:val="04A0"/>
        </w:tblPrEx>
        <w:trPr>
          <w:trHeight w:val="300"/>
        </w:trPr>
        <w:tc>
          <w:tcPr>
            <w:tcW w:w="2549" w:type="pct"/>
            <w:noWrap/>
          </w:tcPr>
          <w:p w:rsidR="005F1F20" w:rsidRPr="00751E35" w:rsidP="000437C1" w14:paraId="1D4CFD6B" w14:textId="77777777">
            <w:pPr>
              <w:pStyle w:val="TableHeader"/>
            </w:pPr>
            <w:r w:rsidRPr="00751E35">
              <w:t>Item</w:t>
            </w:r>
          </w:p>
        </w:tc>
        <w:tc>
          <w:tcPr>
            <w:tcW w:w="817" w:type="pct"/>
          </w:tcPr>
          <w:p w:rsidR="005F1F20" w:rsidRPr="00751E35" w:rsidP="000437C1" w14:paraId="2DA2AEA4" w14:textId="77777777">
            <w:pPr>
              <w:pStyle w:val="TableHeader"/>
            </w:pPr>
            <w:r w:rsidRPr="00751E35">
              <w:t>Burden</w:t>
            </w:r>
          </w:p>
          <w:p w:rsidR="005F1F20" w:rsidRPr="00751E35" w:rsidP="000437C1" w14:paraId="551288F7" w14:textId="77777777">
            <w:pPr>
              <w:pStyle w:val="TableHeader"/>
            </w:pPr>
            <w:r w:rsidRPr="00751E35">
              <w:t>(</w:t>
            </w:r>
            <w:r w:rsidRPr="00751E35">
              <w:t>thousand</w:t>
            </w:r>
            <w:r w:rsidRPr="00751E35">
              <w:t xml:space="preserve"> hours)</w:t>
            </w:r>
          </w:p>
        </w:tc>
        <w:tc>
          <w:tcPr>
            <w:tcW w:w="817" w:type="pct"/>
          </w:tcPr>
          <w:p w:rsidR="005F1F20" w:rsidRPr="00751E35" w:rsidP="000437C1" w14:paraId="431D5F32" w14:textId="77777777">
            <w:pPr>
              <w:pStyle w:val="TableHeader"/>
            </w:pPr>
            <w:r w:rsidRPr="00751E35">
              <w:t>Costs (Million $202</w:t>
            </w:r>
            <w:r>
              <w:t>2</w:t>
            </w:r>
            <w:r w:rsidRPr="00751E35">
              <w:t>)</w:t>
            </w:r>
          </w:p>
        </w:tc>
        <w:tc>
          <w:tcPr>
            <w:tcW w:w="817" w:type="pct"/>
          </w:tcPr>
          <w:p w:rsidR="005F1F20" w:rsidRPr="00751E35" w:rsidP="000437C1" w14:paraId="58D9D77B" w14:textId="77777777">
            <w:pPr>
              <w:pStyle w:val="TableHeader"/>
            </w:pPr>
            <w:r w:rsidRPr="00751E35">
              <w:t>Responses</w:t>
            </w:r>
          </w:p>
        </w:tc>
      </w:tr>
      <w:tr w14:paraId="55BFF415" w14:textId="77777777" w:rsidTr="005F1F20">
        <w:tblPrEx>
          <w:tblW w:w="5000" w:type="pct"/>
          <w:tblInd w:w="-5" w:type="dxa"/>
          <w:tblLayout w:type="fixed"/>
          <w:tblLook w:val="04A0"/>
        </w:tblPrEx>
        <w:trPr>
          <w:trHeight w:val="300"/>
        </w:trPr>
        <w:tc>
          <w:tcPr>
            <w:tcW w:w="2549" w:type="pct"/>
            <w:noWrap/>
          </w:tcPr>
          <w:p w:rsidR="00463742" w:rsidRPr="00751E35" w:rsidP="00463742" w14:paraId="1B62CCCD" w14:textId="77777777">
            <w:pPr>
              <w:pStyle w:val="TableBody"/>
              <w:rPr>
                <w:rFonts w:cs="Times New Roman"/>
                <w:szCs w:val="20"/>
              </w:rPr>
            </w:pPr>
            <w:r w:rsidRPr="00751E35">
              <w:rPr>
                <w:rFonts w:cs="Times New Roman"/>
                <w:szCs w:val="20"/>
              </w:rPr>
              <w:t>System startup activities</w:t>
            </w:r>
          </w:p>
        </w:tc>
        <w:tc>
          <w:tcPr>
            <w:tcW w:w="817" w:type="pct"/>
          </w:tcPr>
          <w:p w:rsidR="00463742" w:rsidRPr="00751E35" w:rsidP="00463742" w14:paraId="38579117" w14:textId="41636848">
            <w:pPr>
              <w:pStyle w:val="TableBody"/>
              <w:jc w:val="right"/>
              <w:rPr>
                <w:rFonts w:cs="Times New Roman"/>
                <w:szCs w:val="20"/>
              </w:rPr>
            </w:pPr>
            <w:r w:rsidRPr="00D80212">
              <w:t xml:space="preserve"> 1,485 </w:t>
            </w:r>
          </w:p>
        </w:tc>
        <w:tc>
          <w:tcPr>
            <w:tcW w:w="817" w:type="pct"/>
          </w:tcPr>
          <w:p w:rsidR="00463742" w:rsidRPr="00751E35" w:rsidP="00463742" w14:paraId="1265F72D" w14:textId="4496EC6D">
            <w:pPr>
              <w:pStyle w:val="TableBody"/>
              <w:jc w:val="right"/>
              <w:rPr>
                <w:rFonts w:cs="Times New Roman"/>
                <w:szCs w:val="20"/>
              </w:rPr>
            </w:pPr>
            <w:r w:rsidRPr="00D80212">
              <w:t>$55.5</w:t>
            </w:r>
          </w:p>
        </w:tc>
        <w:tc>
          <w:tcPr>
            <w:tcW w:w="817" w:type="pct"/>
          </w:tcPr>
          <w:p w:rsidR="00463742" w:rsidRPr="00751E35" w:rsidP="00463742" w14:paraId="6CC82853" w14:textId="2361A564">
            <w:pPr>
              <w:pStyle w:val="TableBody"/>
              <w:jc w:val="right"/>
              <w:rPr>
                <w:rFonts w:cs="Times New Roman"/>
                <w:szCs w:val="20"/>
              </w:rPr>
            </w:pPr>
            <w:r w:rsidRPr="00D80212">
              <w:t xml:space="preserve"> 133,060 </w:t>
            </w:r>
          </w:p>
        </w:tc>
      </w:tr>
      <w:tr w14:paraId="11CE7E53" w14:textId="77777777" w:rsidTr="005F1F20">
        <w:tblPrEx>
          <w:tblW w:w="5000" w:type="pct"/>
          <w:tblInd w:w="-5" w:type="dxa"/>
          <w:tblLayout w:type="fixed"/>
          <w:tblLook w:val="04A0"/>
        </w:tblPrEx>
        <w:trPr>
          <w:trHeight w:val="300"/>
        </w:trPr>
        <w:tc>
          <w:tcPr>
            <w:tcW w:w="2549" w:type="pct"/>
            <w:noWrap/>
          </w:tcPr>
          <w:p w:rsidR="00463742" w:rsidRPr="00751E35" w:rsidP="00463742" w14:paraId="4003B441" w14:textId="77777777">
            <w:pPr>
              <w:pStyle w:val="TableBody"/>
              <w:rPr>
                <w:rFonts w:cs="Times New Roman"/>
                <w:szCs w:val="20"/>
              </w:rPr>
            </w:pPr>
            <w:r w:rsidRPr="00751E35">
              <w:rPr>
                <w:rFonts w:cs="Times New Roman"/>
                <w:szCs w:val="20"/>
              </w:rPr>
              <w:t>Systems collect initial samples</w:t>
            </w:r>
          </w:p>
        </w:tc>
        <w:tc>
          <w:tcPr>
            <w:tcW w:w="817" w:type="pct"/>
          </w:tcPr>
          <w:p w:rsidR="00463742" w:rsidRPr="00751E35" w:rsidP="00463742" w14:paraId="6926E74B" w14:textId="1ABF50F4">
            <w:pPr>
              <w:pStyle w:val="TableBody"/>
              <w:jc w:val="right"/>
              <w:rPr>
                <w:rFonts w:cs="Times New Roman"/>
                <w:szCs w:val="20"/>
              </w:rPr>
            </w:pPr>
            <w:r w:rsidRPr="00D80212">
              <w:t xml:space="preserve"> 1</w:t>
            </w:r>
            <w:r w:rsidR="00CE0765">
              <w:t>,</w:t>
            </w:r>
            <w:r w:rsidRPr="00D80212">
              <w:t>007</w:t>
            </w:r>
          </w:p>
        </w:tc>
        <w:tc>
          <w:tcPr>
            <w:tcW w:w="817" w:type="pct"/>
          </w:tcPr>
          <w:p w:rsidR="00463742" w:rsidRPr="00751E35" w:rsidP="00463742" w14:paraId="1484259B" w14:textId="38FA2D99">
            <w:pPr>
              <w:pStyle w:val="TableBody"/>
              <w:jc w:val="right"/>
              <w:rPr>
                <w:rFonts w:cs="Times New Roman"/>
                <w:szCs w:val="20"/>
              </w:rPr>
            </w:pPr>
            <w:r w:rsidRPr="00D80212">
              <w:t>$36.7</w:t>
            </w:r>
          </w:p>
        </w:tc>
        <w:tc>
          <w:tcPr>
            <w:tcW w:w="817" w:type="pct"/>
          </w:tcPr>
          <w:p w:rsidR="00463742" w:rsidRPr="00751E35" w:rsidP="00463742" w14:paraId="2CA35A5D" w14:textId="46B77EA7">
            <w:pPr>
              <w:pStyle w:val="TableBody"/>
              <w:jc w:val="right"/>
              <w:rPr>
                <w:rFonts w:cs="Times New Roman"/>
                <w:szCs w:val="20"/>
              </w:rPr>
            </w:pPr>
            <w:r w:rsidRPr="00D80212">
              <w:t xml:space="preserve"> 373,103</w:t>
            </w:r>
          </w:p>
        </w:tc>
      </w:tr>
      <w:tr w14:paraId="516F50C3" w14:textId="77777777" w:rsidTr="005F1F20">
        <w:tblPrEx>
          <w:tblW w:w="5000" w:type="pct"/>
          <w:tblInd w:w="-5" w:type="dxa"/>
          <w:tblLayout w:type="fixed"/>
          <w:tblLook w:val="04A0"/>
        </w:tblPrEx>
        <w:trPr>
          <w:trHeight w:val="300"/>
        </w:trPr>
        <w:tc>
          <w:tcPr>
            <w:tcW w:w="2549" w:type="pct"/>
            <w:noWrap/>
          </w:tcPr>
          <w:p w:rsidR="00463742" w:rsidRPr="00751E35" w:rsidP="00463742" w14:paraId="39D0F624" w14:textId="77777777">
            <w:pPr>
              <w:pStyle w:val="TableBody"/>
              <w:rPr>
                <w:rFonts w:cs="Times New Roman"/>
                <w:b/>
                <w:bCs/>
                <w:szCs w:val="20"/>
              </w:rPr>
            </w:pPr>
            <w:r w:rsidRPr="00751E35">
              <w:rPr>
                <w:rFonts w:cs="Times New Roman"/>
                <w:b/>
                <w:bCs/>
                <w:szCs w:val="20"/>
              </w:rPr>
              <w:t>System subtotal</w:t>
            </w:r>
          </w:p>
        </w:tc>
        <w:tc>
          <w:tcPr>
            <w:tcW w:w="817" w:type="pct"/>
          </w:tcPr>
          <w:p w:rsidR="00463742" w:rsidRPr="00463742" w:rsidP="00463742" w14:paraId="207FA191" w14:textId="157A2F13">
            <w:pPr>
              <w:pStyle w:val="TableBody"/>
              <w:jc w:val="right"/>
              <w:rPr>
                <w:rFonts w:cs="Times New Roman"/>
                <w:b/>
                <w:bCs/>
                <w:szCs w:val="20"/>
              </w:rPr>
            </w:pPr>
            <w:r w:rsidRPr="00463742">
              <w:rPr>
                <w:b/>
                <w:bCs/>
              </w:rPr>
              <w:t>2,492</w:t>
            </w:r>
          </w:p>
        </w:tc>
        <w:tc>
          <w:tcPr>
            <w:tcW w:w="817" w:type="pct"/>
          </w:tcPr>
          <w:p w:rsidR="00463742" w:rsidRPr="00463742" w:rsidP="00463742" w14:paraId="5B65ED06" w14:textId="65752C81">
            <w:pPr>
              <w:pStyle w:val="TableBody"/>
              <w:jc w:val="right"/>
              <w:rPr>
                <w:rFonts w:cs="Times New Roman"/>
                <w:b/>
                <w:bCs/>
                <w:szCs w:val="20"/>
              </w:rPr>
            </w:pPr>
            <w:r w:rsidRPr="00463742">
              <w:rPr>
                <w:b/>
                <w:bCs/>
              </w:rPr>
              <w:t>$92.2</w:t>
            </w:r>
          </w:p>
        </w:tc>
        <w:tc>
          <w:tcPr>
            <w:tcW w:w="817" w:type="pct"/>
          </w:tcPr>
          <w:p w:rsidR="00463742" w:rsidRPr="00463742" w:rsidP="00463742" w14:paraId="7042E59B" w14:textId="40A2CDF4">
            <w:pPr>
              <w:pStyle w:val="TableBody"/>
              <w:jc w:val="right"/>
              <w:rPr>
                <w:rFonts w:cs="Times New Roman"/>
                <w:b/>
                <w:bCs/>
                <w:szCs w:val="20"/>
              </w:rPr>
            </w:pPr>
            <w:r w:rsidRPr="00463742">
              <w:rPr>
                <w:b/>
                <w:bCs/>
              </w:rPr>
              <w:t>506,163</w:t>
            </w:r>
          </w:p>
        </w:tc>
      </w:tr>
      <w:tr w14:paraId="0127126D" w14:textId="77777777" w:rsidTr="005F1F20">
        <w:tblPrEx>
          <w:tblW w:w="5000" w:type="pct"/>
          <w:tblInd w:w="-5" w:type="dxa"/>
          <w:tblLayout w:type="fixed"/>
          <w:tblLook w:val="04A0"/>
        </w:tblPrEx>
        <w:trPr>
          <w:trHeight w:val="300"/>
        </w:trPr>
        <w:tc>
          <w:tcPr>
            <w:tcW w:w="2549" w:type="pct"/>
            <w:noWrap/>
          </w:tcPr>
          <w:p w:rsidR="00463742" w:rsidRPr="00751E35" w:rsidP="00463742" w14:paraId="367A2095" w14:textId="77777777">
            <w:pPr>
              <w:pStyle w:val="TableBody"/>
              <w:rPr>
                <w:rFonts w:cs="Times New Roman"/>
                <w:szCs w:val="20"/>
              </w:rPr>
            </w:pPr>
            <w:r w:rsidRPr="00751E35">
              <w:rPr>
                <w:rFonts w:cs="Times New Roman"/>
                <w:szCs w:val="20"/>
              </w:rPr>
              <w:t>Primacy agency startup activities</w:t>
            </w:r>
          </w:p>
        </w:tc>
        <w:tc>
          <w:tcPr>
            <w:tcW w:w="817" w:type="pct"/>
          </w:tcPr>
          <w:p w:rsidR="00463742" w:rsidRPr="00751E35" w:rsidP="00463742" w14:paraId="0640C282" w14:textId="6C7B0D54">
            <w:pPr>
              <w:pStyle w:val="TableBody"/>
              <w:jc w:val="right"/>
              <w:rPr>
                <w:rFonts w:cs="Times New Roman"/>
                <w:szCs w:val="20"/>
              </w:rPr>
            </w:pPr>
            <w:r>
              <w:t>326</w:t>
            </w:r>
            <w:r w:rsidRPr="00751E35">
              <w:t xml:space="preserve"> </w:t>
            </w:r>
          </w:p>
        </w:tc>
        <w:tc>
          <w:tcPr>
            <w:tcW w:w="817" w:type="pct"/>
          </w:tcPr>
          <w:p w:rsidR="00463742" w:rsidRPr="00751E35" w:rsidP="00463742" w14:paraId="7D72A88D" w14:textId="47BB3318">
            <w:pPr>
              <w:pStyle w:val="TableBody"/>
              <w:jc w:val="right"/>
              <w:rPr>
                <w:rFonts w:cs="Times New Roman"/>
                <w:szCs w:val="20"/>
              </w:rPr>
            </w:pPr>
            <w:r w:rsidRPr="00751E35">
              <w:t>$</w:t>
            </w:r>
            <w:r>
              <w:t>19.5</w:t>
            </w:r>
          </w:p>
        </w:tc>
        <w:tc>
          <w:tcPr>
            <w:tcW w:w="817" w:type="pct"/>
          </w:tcPr>
          <w:p w:rsidR="00463742" w:rsidRPr="00751E35" w:rsidP="00463742" w14:paraId="32B91352" w14:textId="73A408FD">
            <w:pPr>
              <w:pStyle w:val="TableBody"/>
              <w:jc w:val="right"/>
              <w:rPr>
                <w:rFonts w:cs="Times New Roman"/>
                <w:szCs w:val="20"/>
              </w:rPr>
            </w:pPr>
            <w:r>
              <w:t>112</w:t>
            </w:r>
            <w:r w:rsidRPr="00751E35">
              <w:t xml:space="preserve"> </w:t>
            </w:r>
          </w:p>
        </w:tc>
      </w:tr>
      <w:tr w14:paraId="06605F79" w14:textId="77777777" w:rsidTr="005F1F20">
        <w:tblPrEx>
          <w:tblW w:w="5000" w:type="pct"/>
          <w:tblInd w:w="-5" w:type="dxa"/>
          <w:tblLayout w:type="fixed"/>
          <w:tblLook w:val="04A0"/>
        </w:tblPrEx>
        <w:trPr>
          <w:trHeight w:val="300"/>
        </w:trPr>
        <w:tc>
          <w:tcPr>
            <w:tcW w:w="2549" w:type="pct"/>
            <w:noWrap/>
          </w:tcPr>
          <w:p w:rsidR="00463742" w:rsidRPr="00751E35" w:rsidP="00463742" w14:paraId="52FA86B6" w14:textId="77777777">
            <w:pPr>
              <w:pStyle w:val="TableBody"/>
              <w:rPr>
                <w:rFonts w:cs="Times New Roman"/>
                <w:szCs w:val="20"/>
              </w:rPr>
            </w:pPr>
            <w:r w:rsidRPr="00751E35">
              <w:rPr>
                <w:rFonts w:cs="Times New Roman"/>
                <w:szCs w:val="20"/>
              </w:rPr>
              <w:t xml:space="preserve">Primacy </w:t>
            </w:r>
            <w:r w:rsidRPr="00751E35">
              <w:rPr>
                <w:rFonts w:cs="Times New Roman"/>
                <w:szCs w:val="20"/>
              </w:rPr>
              <w:t>agency</w:t>
            </w:r>
            <w:r w:rsidRPr="00751E35">
              <w:rPr>
                <w:rFonts w:cs="Times New Roman"/>
                <w:szCs w:val="20"/>
              </w:rPr>
              <w:t xml:space="preserve"> review initial monitoring data</w:t>
            </w:r>
          </w:p>
        </w:tc>
        <w:tc>
          <w:tcPr>
            <w:tcW w:w="817" w:type="pct"/>
          </w:tcPr>
          <w:p w:rsidR="00463742" w:rsidRPr="00751E35" w:rsidP="00463742" w14:paraId="700EC6E9" w14:textId="76F9D9FA">
            <w:pPr>
              <w:pStyle w:val="TableBody"/>
              <w:jc w:val="right"/>
              <w:rPr>
                <w:rFonts w:cs="Times New Roman"/>
                <w:szCs w:val="20"/>
              </w:rPr>
            </w:pPr>
            <w:r w:rsidRPr="00751E35">
              <w:t xml:space="preserve"> </w:t>
            </w:r>
            <w:r>
              <w:t>73</w:t>
            </w:r>
          </w:p>
        </w:tc>
        <w:tc>
          <w:tcPr>
            <w:tcW w:w="817" w:type="pct"/>
          </w:tcPr>
          <w:p w:rsidR="00463742" w:rsidRPr="00751E35" w:rsidP="00463742" w14:paraId="01F1D94D" w14:textId="6A2C46A0">
            <w:pPr>
              <w:pStyle w:val="TableBody"/>
              <w:jc w:val="right"/>
              <w:rPr>
                <w:rFonts w:cs="Times New Roman"/>
                <w:szCs w:val="20"/>
              </w:rPr>
            </w:pPr>
            <w:r w:rsidRPr="00751E35">
              <w:t>$4.</w:t>
            </w:r>
            <w:r>
              <w:t>4</w:t>
            </w:r>
          </w:p>
        </w:tc>
        <w:tc>
          <w:tcPr>
            <w:tcW w:w="817" w:type="pct"/>
          </w:tcPr>
          <w:p w:rsidR="00463742" w:rsidRPr="00751E35" w:rsidP="00463742" w14:paraId="362A0DCE" w14:textId="3F9E5D3D">
            <w:pPr>
              <w:pStyle w:val="TableBody"/>
              <w:jc w:val="right"/>
              <w:rPr>
                <w:rFonts w:cs="Times New Roman"/>
                <w:szCs w:val="20"/>
              </w:rPr>
            </w:pPr>
            <w:r w:rsidRPr="00751E35">
              <w:t xml:space="preserve"> </w:t>
            </w:r>
            <w:r>
              <w:t>165,641</w:t>
            </w:r>
            <w:r w:rsidRPr="00751E35">
              <w:t xml:space="preserve"> </w:t>
            </w:r>
          </w:p>
        </w:tc>
      </w:tr>
      <w:tr w14:paraId="0287022F" w14:textId="77777777" w:rsidTr="005F1F20">
        <w:tblPrEx>
          <w:tblW w:w="5000" w:type="pct"/>
          <w:tblInd w:w="-5" w:type="dxa"/>
          <w:tblLayout w:type="fixed"/>
          <w:tblLook w:val="04A0"/>
        </w:tblPrEx>
        <w:trPr>
          <w:trHeight w:val="300"/>
        </w:trPr>
        <w:tc>
          <w:tcPr>
            <w:tcW w:w="2549" w:type="pct"/>
            <w:noWrap/>
          </w:tcPr>
          <w:p w:rsidR="00463742" w:rsidRPr="00751E35" w:rsidP="00463742" w14:paraId="3A3B61F3" w14:textId="77777777">
            <w:pPr>
              <w:pStyle w:val="TableBody"/>
              <w:rPr>
                <w:rFonts w:cs="Times New Roman"/>
                <w:b/>
                <w:bCs/>
                <w:szCs w:val="20"/>
              </w:rPr>
            </w:pPr>
            <w:r w:rsidRPr="00751E35">
              <w:rPr>
                <w:rFonts w:cs="Times New Roman"/>
                <w:b/>
                <w:bCs/>
                <w:szCs w:val="20"/>
              </w:rPr>
              <w:t>Primacy agency subtotal</w:t>
            </w:r>
          </w:p>
        </w:tc>
        <w:tc>
          <w:tcPr>
            <w:tcW w:w="817" w:type="pct"/>
          </w:tcPr>
          <w:p w:rsidR="00463742" w:rsidRPr="00751E35" w:rsidP="00463742" w14:paraId="13297B93" w14:textId="396BC354">
            <w:pPr>
              <w:pStyle w:val="TableBody"/>
              <w:jc w:val="right"/>
              <w:rPr>
                <w:rFonts w:cs="Times New Roman"/>
                <w:b/>
                <w:bCs/>
                <w:szCs w:val="20"/>
              </w:rPr>
            </w:pPr>
            <w:r w:rsidRPr="00751E35">
              <w:rPr>
                <w:b/>
                <w:bCs/>
              </w:rPr>
              <w:t xml:space="preserve"> </w:t>
            </w:r>
            <w:r>
              <w:rPr>
                <w:b/>
                <w:bCs/>
              </w:rPr>
              <w:t>399</w:t>
            </w:r>
          </w:p>
        </w:tc>
        <w:tc>
          <w:tcPr>
            <w:tcW w:w="817" w:type="pct"/>
          </w:tcPr>
          <w:p w:rsidR="00463742" w:rsidRPr="00751E35" w:rsidP="00463742" w14:paraId="39767724" w14:textId="76314301">
            <w:pPr>
              <w:pStyle w:val="TableBody"/>
              <w:jc w:val="right"/>
              <w:rPr>
                <w:rFonts w:cs="Times New Roman"/>
                <w:b/>
                <w:bCs/>
                <w:szCs w:val="20"/>
              </w:rPr>
            </w:pPr>
            <w:r w:rsidRPr="00751E35">
              <w:rPr>
                <w:b/>
                <w:bCs/>
              </w:rPr>
              <w:t xml:space="preserve"> </w:t>
            </w:r>
            <w:r>
              <w:rPr>
                <w:b/>
                <w:bCs/>
              </w:rPr>
              <w:t>$23.8</w:t>
            </w:r>
            <w:r w:rsidRPr="00751E35">
              <w:rPr>
                <w:b/>
                <w:bCs/>
              </w:rPr>
              <w:t xml:space="preserve"> </w:t>
            </w:r>
          </w:p>
        </w:tc>
        <w:tc>
          <w:tcPr>
            <w:tcW w:w="817" w:type="pct"/>
          </w:tcPr>
          <w:p w:rsidR="00463742" w:rsidRPr="00751E35" w:rsidP="00463742" w14:paraId="10C57786" w14:textId="5AE4873B">
            <w:pPr>
              <w:pStyle w:val="TableBody"/>
              <w:jc w:val="right"/>
              <w:rPr>
                <w:rFonts w:cs="Times New Roman"/>
                <w:b/>
                <w:bCs/>
                <w:szCs w:val="20"/>
              </w:rPr>
            </w:pPr>
            <w:r w:rsidRPr="00751E35">
              <w:rPr>
                <w:b/>
                <w:bCs/>
              </w:rPr>
              <w:t xml:space="preserve"> </w:t>
            </w:r>
            <w:r>
              <w:rPr>
                <w:b/>
                <w:bCs/>
              </w:rPr>
              <w:t>165,753</w:t>
            </w:r>
          </w:p>
        </w:tc>
      </w:tr>
      <w:tr w14:paraId="391AD7B0" w14:textId="77777777" w:rsidTr="005F1F20">
        <w:tblPrEx>
          <w:tblW w:w="5000" w:type="pct"/>
          <w:tblInd w:w="-5" w:type="dxa"/>
          <w:tblLayout w:type="fixed"/>
          <w:tblLook w:val="04A0"/>
        </w:tblPrEx>
        <w:trPr>
          <w:trHeight w:val="300"/>
        </w:trPr>
        <w:tc>
          <w:tcPr>
            <w:tcW w:w="2549" w:type="pct"/>
            <w:noWrap/>
          </w:tcPr>
          <w:p w:rsidR="005F1F20" w:rsidRPr="00751E35" w:rsidP="000437C1" w14:paraId="106B88E3" w14:textId="77777777">
            <w:pPr>
              <w:pStyle w:val="TableBody"/>
              <w:rPr>
                <w:rFonts w:cs="Times New Roman"/>
                <w:b/>
                <w:bCs/>
                <w:szCs w:val="20"/>
              </w:rPr>
            </w:pPr>
            <w:r w:rsidRPr="00751E35">
              <w:rPr>
                <w:rFonts w:cs="Times New Roman"/>
                <w:b/>
                <w:bCs/>
                <w:szCs w:val="20"/>
              </w:rPr>
              <w:t>Combined systems and primacy agency</w:t>
            </w:r>
          </w:p>
        </w:tc>
        <w:tc>
          <w:tcPr>
            <w:tcW w:w="817" w:type="pct"/>
          </w:tcPr>
          <w:p w:rsidR="005F1F20" w:rsidRPr="00751E35" w:rsidP="00463742" w14:paraId="086F2EB5" w14:textId="038E05FF">
            <w:pPr>
              <w:pStyle w:val="TableBody"/>
              <w:jc w:val="right"/>
              <w:rPr>
                <w:rFonts w:cs="Times New Roman"/>
                <w:b/>
                <w:bCs/>
                <w:szCs w:val="20"/>
              </w:rPr>
            </w:pPr>
            <w:r>
              <w:rPr>
                <w:rFonts w:cs="Times New Roman"/>
                <w:b/>
                <w:bCs/>
                <w:szCs w:val="20"/>
              </w:rPr>
              <w:t>2,</w:t>
            </w:r>
            <w:r w:rsidR="00DE083B">
              <w:rPr>
                <w:rFonts w:cs="Times New Roman"/>
                <w:b/>
                <w:bCs/>
                <w:szCs w:val="20"/>
              </w:rPr>
              <w:t>891</w:t>
            </w:r>
          </w:p>
        </w:tc>
        <w:tc>
          <w:tcPr>
            <w:tcW w:w="817" w:type="pct"/>
          </w:tcPr>
          <w:p w:rsidR="005F1F20" w:rsidRPr="00751E35" w:rsidP="00463742" w14:paraId="2C5F8FC0" w14:textId="1B73AB7F">
            <w:pPr>
              <w:pStyle w:val="TableBody"/>
              <w:jc w:val="right"/>
              <w:rPr>
                <w:rFonts w:cs="Times New Roman"/>
                <w:b/>
                <w:bCs/>
                <w:szCs w:val="20"/>
              </w:rPr>
            </w:pPr>
            <w:r>
              <w:rPr>
                <w:rFonts w:cs="Times New Roman"/>
                <w:b/>
                <w:bCs/>
                <w:szCs w:val="20"/>
              </w:rPr>
              <w:t>$11</w:t>
            </w:r>
            <w:r w:rsidR="00DE083B">
              <w:rPr>
                <w:rFonts w:cs="Times New Roman"/>
                <w:b/>
                <w:bCs/>
                <w:szCs w:val="20"/>
              </w:rPr>
              <w:t>6.0</w:t>
            </w:r>
          </w:p>
        </w:tc>
        <w:tc>
          <w:tcPr>
            <w:tcW w:w="817" w:type="pct"/>
          </w:tcPr>
          <w:p w:rsidR="005F1F20" w:rsidRPr="00751E35" w:rsidP="00463742" w14:paraId="691A82DA" w14:textId="2063201A">
            <w:pPr>
              <w:pStyle w:val="TableBody"/>
              <w:jc w:val="right"/>
              <w:rPr>
                <w:rFonts w:cs="Times New Roman"/>
                <w:b/>
                <w:bCs/>
                <w:szCs w:val="20"/>
              </w:rPr>
            </w:pPr>
            <w:r>
              <w:rPr>
                <w:rFonts w:cs="Times New Roman"/>
                <w:b/>
                <w:bCs/>
                <w:szCs w:val="20"/>
              </w:rPr>
              <w:t>6</w:t>
            </w:r>
            <w:r w:rsidR="00DE083B">
              <w:rPr>
                <w:rFonts w:cs="Times New Roman"/>
                <w:b/>
                <w:bCs/>
                <w:szCs w:val="20"/>
              </w:rPr>
              <w:t>71</w:t>
            </w:r>
            <w:r w:rsidR="00E01983">
              <w:rPr>
                <w:rFonts w:cs="Times New Roman"/>
                <w:b/>
                <w:bCs/>
                <w:szCs w:val="20"/>
              </w:rPr>
              <w:t>,915</w:t>
            </w:r>
          </w:p>
        </w:tc>
      </w:tr>
    </w:tbl>
    <w:p w:rsidR="00DD729F" w:rsidRPr="006C5C48" w:rsidP="00751E35" w14:paraId="70479771" w14:textId="7F2A67C6">
      <w:pPr>
        <w:pStyle w:val="FigureTableNote"/>
        <w:rPr>
          <w:rFonts w:ascii="Segoe UI" w:hAnsi="Segoe UI" w:cs="Segoe UI"/>
          <w:szCs w:val="18"/>
        </w:rPr>
      </w:pPr>
      <w:r w:rsidRPr="006C5C48">
        <w:t>Note: Detail may not add to totals because of independent rounding.</w:t>
      </w:r>
    </w:p>
    <w:p w:rsidR="00C15AD2" w:rsidRPr="006C5C48" w:rsidP="00DD729F" w14:paraId="13AC36BB" w14:textId="77777777">
      <w:pPr>
        <w:textAlignment w:val="baseline"/>
        <w:rPr>
          <w:szCs w:val="24"/>
        </w:rPr>
      </w:pPr>
    </w:p>
    <w:p w:rsidR="00DD729F" w:rsidRPr="006C5C48" w:rsidP="00DD729F" w14:paraId="0589BF51" w14:textId="177C3205">
      <w:pPr>
        <w:textAlignment w:val="baseline"/>
        <w:rPr>
          <w:rFonts w:ascii="Segoe UI" w:hAnsi="Segoe UI" w:cs="Segoe UI"/>
          <w:sz w:val="18"/>
          <w:szCs w:val="18"/>
        </w:rPr>
      </w:pPr>
      <w:r w:rsidRPr="006C5C48">
        <w:rPr>
          <w:szCs w:val="24"/>
        </w:rPr>
        <w:t xml:space="preserve">An agency may not conduct or sponsor, and a person is not required to respond to, a collection of information unless it displays a currently valid OMB control number. The OMB control numbers for </w:t>
      </w:r>
      <w:r w:rsidRPr="006C5C48" w:rsidR="00103523">
        <w:rPr>
          <w:szCs w:val="24"/>
        </w:rPr>
        <w:t xml:space="preserve">the </w:t>
      </w:r>
      <w:r w:rsidRPr="006C5C48" w:rsidR="00E548A5">
        <w:rPr>
          <w:szCs w:val="24"/>
        </w:rPr>
        <w:t>EPA</w:t>
      </w:r>
      <w:r w:rsidRPr="006C5C48">
        <w:rPr>
          <w:szCs w:val="24"/>
        </w:rPr>
        <w:t>’s regulations in 40 CFR are listed in 40 CFR part 9.  </w:t>
      </w:r>
    </w:p>
    <w:p w:rsidR="00DD729F" w:rsidRPr="006C5C48" w:rsidP="00DD729F" w14:paraId="107D443F" w14:textId="117AB687">
      <w:pPr>
        <w:textAlignment w:val="baseline"/>
        <w:rPr>
          <w:rFonts w:ascii="Segoe UI" w:hAnsi="Segoe UI" w:cs="Segoe UI"/>
          <w:sz w:val="18"/>
          <w:szCs w:val="18"/>
        </w:rPr>
      </w:pPr>
      <w:r w:rsidRPr="006C5C48">
        <w:rPr>
          <w:szCs w:val="24"/>
        </w:rPr>
        <w:t xml:space="preserve">As part of the </w:t>
      </w:r>
      <w:r w:rsidRPr="006C5C48">
        <w:rPr>
          <w:i/>
          <w:iCs/>
          <w:szCs w:val="24"/>
        </w:rPr>
        <w:t>Federal Register</w:t>
      </w:r>
      <w:r w:rsidRPr="006C5C48">
        <w:rPr>
          <w:szCs w:val="24"/>
        </w:rPr>
        <w:t xml:space="preserve"> notice on the proposed rule, </w:t>
      </w:r>
      <w:r w:rsidRPr="006C5C48" w:rsidR="00103523">
        <w:rPr>
          <w:szCs w:val="24"/>
        </w:rPr>
        <w:t xml:space="preserve">the </w:t>
      </w:r>
      <w:r w:rsidRPr="006C5C48">
        <w:rPr>
          <w:szCs w:val="24"/>
        </w:rPr>
        <w:t xml:space="preserve">EPA will solicit comments on this information collection and the estimates in this ICR. </w:t>
      </w:r>
      <w:r w:rsidRPr="006C5C48" w:rsidR="00103523">
        <w:rPr>
          <w:szCs w:val="24"/>
        </w:rPr>
        <w:t xml:space="preserve">The </w:t>
      </w:r>
      <w:r w:rsidRPr="006C5C48">
        <w:rPr>
          <w:szCs w:val="24"/>
        </w:rPr>
        <w:t>EPA will solicit comments on specific aspects of the proposed information collection, as described below: </w:t>
      </w:r>
    </w:p>
    <w:p w:rsidR="00DD729F" w:rsidRPr="006C5C48" w:rsidP="00DD729F" w14:paraId="30AFD2BE" w14:textId="5F5C338B">
      <w:pPr>
        <w:numPr>
          <w:ilvl w:val="0"/>
          <w:numId w:val="27"/>
        </w:numPr>
        <w:ind w:left="1080" w:firstLine="0"/>
        <w:textAlignment w:val="baseline"/>
        <w:rPr>
          <w:szCs w:val="24"/>
        </w:rPr>
      </w:pPr>
      <w:r w:rsidRPr="006C5C48">
        <w:rPr>
          <w:szCs w:val="24"/>
        </w:rPr>
        <w:t xml:space="preserve">The </w:t>
      </w:r>
      <w:r w:rsidRPr="006C5C48">
        <w:rPr>
          <w:szCs w:val="24"/>
        </w:rPr>
        <w:t>EPA’s need for this information. </w:t>
      </w:r>
    </w:p>
    <w:p w:rsidR="00DD729F" w:rsidRPr="006C5C48" w:rsidP="00DD729F" w14:paraId="6434A328" w14:textId="77777777">
      <w:pPr>
        <w:numPr>
          <w:ilvl w:val="0"/>
          <w:numId w:val="28"/>
        </w:numPr>
        <w:ind w:left="1080" w:firstLine="0"/>
        <w:textAlignment w:val="baseline"/>
        <w:rPr>
          <w:szCs w:val="24"/>
        </w:rPr>
      </w:pPr>
      <w:r w:rsidRPr="006C5C48">
        <w:rPr>
          <w:szCs w:val="24"/>
        </w:rPr>
        <w:t>The accuracy of the provided burden estimates. </w:t>
      </w:r>
    </w:p>
    <w:p w:rsidR="00DD729F" w:rsidRPr="006C5C48" w:rsidP="00DD729F" w14:paraId="52641118" w14:textId="77777777">
      <w:pPr>
        <w:numPr>
          <w:ilvl w:val="0"/>
          <w:numId w:val="29"/>
        </w:numPr>
        <w:ind w:left="1080" w:firstLine="0"/>
        <w:textAlignment w:val="baseline"/>
        <w:rPr>
          <w:szCs w:val="24"/>
        </w:rPr>
      </w:pPr>
      <w:r w:rsidRPr="006C5C48">
        <w:rPr>
          <w:szCs w:val="24"/>
        </w:rPr>
        <w:t>Any suggested methods for minimizing respondent burden. </w:t>
      </w:r>
    </w:p>
    <w:p w:rsidR="00DD729F" w:rsidRPr="006C5C48" w:rsidP="00271D4F" w14:paraId="42076DBE" w14:textId="66EFC231">
      <w:r w:rsidRPr="006C5C48">
        <w:t>Comments should be directed to</w:t>
      </w:r>
      <w:r w:rsidRPr="006C5C48" w:rsidR="00C56418">
        <w:t xml:space="preserve"> Docket ID Number</w:t>
      </w:r>
      <w:r w:rsidRPr="006C5C48">
        <w:t xml:space="preserve"> </w:t>
      </w:r>
      <w:r w:rsidRPr="006C5C48" w:rsidR="00C56418">
        <w:t>EPA-HQ-OW-2022-0114.</w:t>
      </w:r>
      <w:r w:rsidRPr="006C5C48">
        <w:t> </w:t>
      </w:r>
      <w:bookmarkStart w:id="138" w:name="_Toc113614168"/>
      <w:r w:rsidRPr="006C5C48" w:rsidR="00C56418">
        <w:br/>
      </w:r>
      <w:r w:rsidRPr="006C5C48">
        <w:t>The Agency Tally</w:t>
      </w:r>
      <w:bookmarkEnd w:id="138"/>
    </w:p>
    <w:p w:rsidR="00DD729F" w:rsidRPr="006C5C48" w:rsidP="00707B3F" w14:paraId="3209F6CE" w14:textId="6893FAE0">
      <w:pPr>
        <w:pStyle w:val="BodyText"/>
      </w:pPr>
      <w:r w:rsidRPr="006C5C48">
        <w:t xml:space="preserve">As noted in section </w:t>
      </w:r>
      <w:r w:rsidRPr="006C5C48" w:rsidR="00921CEC">
        <w:t>VI.C</w:t>
      </w:r>
      <w:r w:rsidRPr="006C5C48">
        <w:t>, the EPA burden and costs for on-going regulatory development</w:t>
      </w:r>
      <w:r w:rsidRPr="006C5C48">
        <w:rPr>
          <w:spacing w:val="-58"/>
        </w:rPr>
        <w:t xml:space="preserve"> </w:t>
      </w:r>
      <w:r w:rsidRPr="006C5C48">
        <w:t xml:space="preserve">and support activities for all </w:t>
      </w:r>
      <w:r w:rsidRPr="006C5C48" w:rsidR="00103523">
        <w:t>the</w:t>
      </w:r>
      <w:r w:rsidRPr="006C5C48">
        <w:t xml:space="preserve"> EPA drinking water regulations are accounted for under the PWS</w:t>
      </w:r>
      <w:r w:rsidRPr="006C5C48">
        <w:rPr>
          <w:spacing w:val="1"/>
        </w:rPr>
        <w:t xml:space="preserve"> </w:t>
      </w:r>
      <w:r w:rsidRPr="006C5C48">
        <w:t>Supervision Program ICR. Therefore, this proposed rule does not create any additional Agency</w:t>
      </w:r>
      <w:r w:rsidRPr="006C5C48">
        <w:rPr>
          <w:spacing w:val="1"/>
        </w:rPr>
        <w:t xml:space="preserve"> </w:t>
      </w:r>
      <w:r w:rsidRPr="006C5C48">
        <w:t>burden beyond that which is already described in the latest version of the PWS Supervision</w:t>
      </w:r>
      <w:r w:rsidRPr="006C5C48">
        <w:rPr>
          <w:spacing w:val="1"/>
        </w:rPr>
        <w:t xml:space="preserve"> </w:t>
      </w:r>
      <w:r w:rsidRPr="006C5C48">
        <w:t>Program</w:t>
      </w:r>
      <w:r w:rsidRPr="006C5C48">
        <w:rPr>
          <w:spacing w:val="-3"/>
        </w:rPr>
        <w:t xml:space="preserve"> </w:t>
      </w:r>
      <w:r w:rsidRPr="006C5C48">
        <w:t>ICR (OMB</w:t>
      </w:r>
      <w:r w:rsidRPr="006C5C48">
        <w:rPr>
          <w:spacing w:val="-1"/>
        </w:rPr>
        <w:t xml:space="preserve"> </w:t>
      </w:r>
      <w:r w:rsidRPr="006C5C48">
        <w:t>control number 2040-0090, EPA</w:t>
      </w:r>
      <w:r w:rsidRPr="006C5C48">
        <w:rPr>
          <w:spacing w:val="-1"/>
        </w:rPr>
        <w:t xml:space="preserve"> </w:t>
      </w:r>
      <w:r w:rsidRPr="006C5C48">
        <w:t>ID 1895.10).</w:t>
      </w:r>
    </w:p>
    <w:p w:rsidR="00DD729F" w:rsidRPr="006C5C48" w:rsidP="006D6D21" w14:paraId="35503C85" w14:textId="5BE4BED7">
      <w:pPr>
        <w:pStyle w:val="Heading3"/>
      </w:pPr>
      <w:bookmarkStart w:id="139" w:name="_Toc113614169"/>
      <w:r w:rsidRPr="006C5C48">
        <w:t>2.</w:t>
      </w:r>
      <w:r w:rsidRPr="006C5C48">
        <w:rPr>
          <w:b/>
        </w:rPr>
        <w:t xml:space="preserve"> </w:t>
      </w:r>
      <w:r w:rsidRPr="006C5C48">
        <w:t>Variations in the Annual Bottom Line</w:t>
      </w:r>
      <w:bookmarkEnd w:id="139"/>
    </w:p>
    <w:p w:rsidR="00DD729F" w:rsidRPr="006C5C48" w:rsidP="005767AC" w14:paraId="622E9CFF" w14:textId="31235A17">
      <w:pPr>
        <w:rPr>
          <w:szCs w:val="24"/>
        </w:rPr>
      </w:pPr>
      <w:r w:rsidRPr="006C5C48">
        <w:rPr>
          <w:szCs w:val="24"/>
        </w:rPr>
        <w:t xml:space="preserve">The </w:t>
      </w:r>
      <w:r w:rsidRPr="006C5C48">
        <w:rPr>
          <w:szCs w:val="24"/>
        </w:rPr>
        <w:t>EPA assumes the rule implementation and startup activities will take place in the</w:t>
      </w:r>
      <w:r w:rsidRPr="006C5C48">
        <w:rPr>
          <w:spacing w:val="1"/>
          <w:szCs w:val="24"/>
        </w:rPr>
        <w:t xml:space="preserve"> </w:t>
      </w:r>
      <w:r w:rsidRPr="006C5C48">
        <w:rPr>
          <w:szCs w:val="24"/>
        </w:rPr>
        <w:t xml:space="preserve">first year, while initial monitoring collection and review will be distributed uniformly over the first three years. </w:t>
      </w:r>
    </w:p>
    <w:p w:rsidR="008809A0" w:rsidRPr="006C5C48" w:rsidP="003A3B69" w14:paraId="54B50A16" w14:textId="76483DCB">
      <w:pPr>
        <w:pStyle w:val="Heading2"/>
      </w:pPr>
      <w:bookmarkStart w:id="140" w:name="_Toc149779134"/>
      <w:r w:rsidRPr="006C5C48">
        <w:t>Reasons for Change in Burden</w:t>
      </w:r>
      <w:bookmarkEnd w:id="140"/>
    </w:p>
    <w:p w:rsidR="00DD729F" w:rsidRPr="006C5C48" w:rsidP="00C56418" w14:paraId="26FA584F" w14:textId="32F4ACB3">
      <w:pPr>
        <w:numPr>
          <w:ilvl w:val="12"/>
          <w:numId w:val="0"/>
        </w:numPr>
        <w:ind w:firstLine="720"/>
        <w:rPr>
          <w:szCs w:val="24"/>
        </w:rPr>
      </w:pPr>
      <w:r w:rsidRPr="006C5C48">
        <w:rPr>
          <w:szCs w:val="24"/>
        </w:rPr>
        <w:t xml:space="preserve">The </w:t>
      </w:r>
      <w:r w:rsidRPr="006C5C48" w:rsidR="00CB6034">
        <w:rPr>
          <w:szCs w:val="24"/>
        </w:rPr>
        <w:t xml:space="preserve">final </w:t>
      </w:r>
      <w:r w:rsidRPr="006C5C48">
        <w:rPr>
          <w:szCs w:val="24"/>
        </w:rPr>
        <w:t xml:space="preserve">PFAS NPDWR is intended to protect public health through the reduction of PFAS exposure in drinking water. </w:t>
      </w:r>
      <w:r w:rsidRPr="006C5C48" w:rsidR="00103523">
        <w:rPr>
          <w:szCs w:val="24"/>
        </w:rPr>
        <w:t>The</w:t>
      </w:r>
      <w:r w:rsidR="006C5C48">
        <w:rPr>
          <w:szCs w:val="24"/>
        </w:rPr>
        <w:t xml:space="preserve"> </w:t>
      </w:r>
      <w:r w:rsidRPr="006C5C48">
        <w:rPr>
          <w:szCs w:val="24"/>
        </w:rPr>
        <w:t xml:space="preserve">EPA needs comprehensive and current information on PFAS exposure and associated enforcement activities to implement its program oversight and enforcement responsibilities mandated by </w:t>
      </w:r>
      <w:r w:rsidRPr="006C5C48" w:rsidR="00E548A5">
        <w:rPr>
          <w:szCs w:val="24"/>
        </w:rPr>
        <w:t>SDWA</w:t>
      </w:r>
      <w:r w:rsidRPr="006C5C48">
        <w:rPr>
          <w:szCs w:val="24"/>
        </w:rPr>
        <w:t>. Primacy agencies need the information to identify significant contaminant concentrations that might threaten the health and safety of drinking water consumers in a timely fashion.</w:t>
      </w:r>
    </w:p>
    <w:p w:rsidR="00DD729F" w:rsidRPr="006C5C48" w:rsidP="003A3B69" w14:paraId="31A114BD" w14:textId="3677E114">
      <w:pPr>
        <w:pStyle w:val="Heading2"/>
      </w:pPr>
      <w:bookmarkStart w:id="141" w:name="_Toc114671151"/>
      <w:bookmarkStart w:id="142" w:name="_Toc114671324"/>
      <w:bookmarkStart w:id="143" w:name="_Toc114777075"/>
      <w:bookmarkStart w:id="144" w:name="_Toc113614171"/>
      <w:bookmarkStart w:id="145" w:name="_Toc149779135"/>
      <w:bookmarkEnd w:id="141"/>
      <w:bookmarkEnd w:id="142"/>
      <w:bookmarkEnd w:id="143"/>
      <w:r w:rsidRPr="006C5C48">
        <w:t>Burden Statement</w:t>
      </w:r>
      <w:bookmarkEnd w:id="144"/>
      <w:bookmarkEnd w:id="145"/>
    </w:p>
    <w:p w:rsidR="00707B3F" w:rsidP="00707B3F" w14:paraId="1D9110B1" w14:textId="77777777">
      <w:pPr>
        <w:pStyle w:val="BodyText"/>
        <w:rPr>
          <w:rStyle w:val="normaltextrun"/>
          <w:color w:val="000000"/>
          <w:shd w:val="clear" w:color="auto" w:fill="FFFFFF"/>
        </w:rPr>
      </w:pPr>
    </w:p>
    <w:p w:rsidR="00DD729F" w:rsidRPr="006C5C48" w:rsidP="0010366B" w14:paraId="7D363D03" w14:textId="1EB6B96D">
      <w:r w:rsidRPr="00707B3F">
        <w:rPr>
          <w:color w:val="000000"/>
          <w:shd w:val="clear" w:color="auto" w:fill="FFFFFF"/>
        </w:rPr>
        <w:t xml:space="preserve">For the first three years after publication of the rule in the Federal Register, information requirements apply to an average of 33,594 respondents annually, including 33,538 PWSs and 56 </w:t>
      </w:r>
      <w:r w:rsidRPr="00707B3F">
        <w:rPr>
          <w:color w:val="000000"/>
          <w:shd w:val="clear" w:color="auto" w:fill="FFFFFF"/>
        </w:rPr>
        <w:t xml:space="preserve">Primacy Agencies. The burden associated with the proposed rule over the three years covered by the ICR is 2.9 million hours, for an average of 963,780 hours per year. The total cost over the three-year period is $116 million, for an average of $39 million per year (simple average over three years). The average burden per response (i.e., the amount of time needed for each activity that requires a collection of information) is 4.9 hours for PWSs and 2.4 hours for primacy agencies; the average cost per response is $182 for PWSs and $144 for primacy agencies. The collection requirements are mandatory under SDWA (42 U.S.C. 300g-7). </w:t>
      </w:r>
      <w:r w:rsidR="0010366B">
        <w:rPr>
          <w:color w:val="000000"/>
          <w:shd w:val="clear" w:color="auto" w:fill="FFFFFF"/>
        </w:rPr>
        <w:t>A</w:t>
      </w:r>
      <w:r w:rsidRPr="006C5C48">
        <w:t xml:space="preserve"> summary of the average annual burden and costs of the collection is presented in </w:t>
      </w:r>
      <w:r w:rsidRPr="006C5C48" w:rsidR="00B4473D">
        <w:fldChar w:fldCharType="begin"/>
      </w:r>
      <w:r w:rsidRPr="006C5C48" w:rsidR="00B4473D">
        <w:instrText xml:space="preserve"> REF _Ref114991158 \h </w:instrText>
      </w:r>
      <w:r w:rsidRPr="006C5C48" w:rsidR="006C5C48">
        <w:instrText xml:space="preserve"> \* MERGEFORMAT </w:instrText>
      </w:r>
      <w:r w:rsidRPr="006C5C48" w:rsidR="00B4473D">
        <w:fldChar w:fldCharType="separate"/>
      </w:r>
      <w:r w:rsidRPr="006C5C48" w:rsidR="00B4473D">
        <w:t xml:space="preserve">Table </w:t>
      </w:r>
      <w:r w:rsidRPr="006C5C48" w:rsidR="00B4473D">
        <w:rPr>
          <w:noProof/>
        </w:rPr>
        <w:t>7</w:t>
      </w:r>
      <w:r w:rsidRPr="006C5C48" w:rsidR="00B4473D">
        <w:fldChar w:fldCharType="end"/>
      </w:r>
      <w:r w:rsidRPr="006C5C48">
        <w:t xml:space="preserve">. These burden and cost estimates represent those activities that </w:t>
      </w:r>
      <w:r w:rsidRPr="006C5C48" w:rsidR="00103523">
        <w:t xml:space="preserve">the </w:t>
      </w:r>
      <w:r w:rsidRPr="006C5C48" w:rsidR="00E548A5">
        <w:t>EPA</w:t>
      </w:r>
      <w:r w:rsidRPr="006C5C48">
        <w:t xml:space="preserve"> expects would</w:t>
      </w:r>
      <w:r w:rsidRPr="006C5C48">
        <w:rPr>
          <w:spacing w:val="1"/>
        </w:rPr>
        <w:t xml:space="preserve"> </w:t>
      </w:r>
      <w:r w:rsidRPr="006C5C48">
        <w:t>occur in the initial three-year period. During this period, systems and primacy agencies would</w:t>
      </w:r>
      <w:r w:rsidRPr="006C5C48">
        <w:rPr>
          <w:spacing w:val="1"/>
        </w:rPr>
        <w:t xml:space="preserve"> </w:t>
      </w:r>
      <w:r w:rsidRPr="006C5C48">
        <w:t>perform the initial, one-time activities related to rule review and primacy requirements. Because</w:t>
      </w:r>
      <w:r w:rsidRPr="006C5C48">
        <w:rPr>
          <w:spacing w:val="-58"/>
        </w:rPr>
        <w:t xml:space="preserve"> </w:t>
      </w:r>
      <w:r w:rsidRPr="006C5C48">
        <w:t>implementation does not begin during the initial three-year period, this ICR does not include</w:t>
      </w:r>
      <w:r w:rsidRPr="006C5C48">
        <w:rPr>
          <w:spacing w:val="1"/>
        </w:rPr>
        <w:t xml:space="preserve"> </w:t>
      </w:r>
      <w:r w:rsidRPr="006C5C48">
        <w:t>burden and costs for activities that are required during full rule implementation (e.g., primacy</w:t>
      </w:r>
      <w:r w:rsidRPr="006C5C48">
        <w:rPr>
          <w:spacing w:val="1"/>
        </w:rPr>
        <w:t xml:space="preserve"> </w:t>
      </w:r>
      <w:r w:rsidRPr="006C5C48">
        <w:t>agencies reporting data to SDWIS and water systems reporting tap sampling, other monitoring</w:t>
      </w:r>
      <w:r w:rsidRPr="006C5C48">
        <w:rPr>
          <w:spacing w:val="1"/>
        </w:rPr>
        <w:t xml:space="preserve"> </w:t>
      </w:r>
      <w:r w:rsidRPr="006C5C48">
        <w:t>results</w:t>
      </w:r>
      <w:r w:rsidRPr="006C5C48">
        <w:rPr>
          <w:spacing w:val="-1"/>
        </w:rPr>
        <w:t xml:space="preserve"> </w:t>
      </w:r>
      <w:r w:rsidRPr="006C5C48">
        <w:t>and regulatory milestones).</w:t>
      </w:r>
    </w:p>
    <w:p w:rsidR="00CE7EA7" w:rsidRPr="006C5C48" w:rsidP="00707B3F" w14:paraId="11EB3410" w14:textId="329F52A4">
      <w:pPr>
        <w:pStyle w:val="BodyText"/>
      </w:pPr>
      <w:r w:rsidRPr="006C5C48">
        <w:t>Burden means the total time, effort, or financial resources expended by people to</w:t>
      </w:r>
      <w:r w:rsidRPr="006C5C48">
        <w:rPr>
          <w:spacing w:val="1"/>
        </w:rPr>
        <w:t xml:space="preserve"> </w:t>
      </w:r>
      <w:r w:rsidRPr="006C5C48">
        <w:t>generate, maintain, retain, disclose, or provide information to or for a federal agency. This</w:t>
      </w:r>
      <w:r w:rsidRPr="006C5C48">
        <w:rPr>
          <w:spacing w:val="1"/>
        </w:rPr>
        <w:t xml:space="preserve"> </w:t>
      </w:r>
      <w:r w:rsidRPr="006C5C48">
        <w:t>includes the time needed to review instructions; develop, acquire, install, and utilize technology,</w:t>
      </w:r>
      <w:r w:rsidRPr="006C5C48">
        <w:rPr>
          <w:spacing w:val="1"/>
        </w:rPr>
        <w:t xml:space="preserve"> </w:t>
      </w:r>
      <w:r w:rsidRPr="006C5C48">
        <w:t>and systems for the purposes of collecting, validating, and verifying information, processing and</w:t>
      </w:r>
      <w:r w:rsidRPr="006C5C48">
        <w:rPr>
          <w:spacing w:val="1"/>
        </w:rPr>
        <w:t xml:space="preserve"> </w:t>
      </w:r>
      <w:r w:rsidRPr="006C5C48">
        <w:t>maintaining information, and disclosing and providing information; adjust the existing ways to</w:t>
      </w:r>
      <w:r w:rsidRPr="006C5C48">
        <w:rPr>
          <w:spacing w:val="1"/>
        </w:rPr>
        <w:t xml:space="preserve"> </w:t>
      </w:r>
      <w:r w:rsidRPr="006C5C48">
        <w:t>comply with any previously applicable instructions and requirements; train personnel to be able</w:t>
      </w:r>
      <w:r w:rsidRPr="006C5C48">
        <w:rPr>
          <w:spacing w:val="1"/>
        </w:rPr>
        <w:t xml:space="preserve"> </w:t>
      </w:r>
      <w:r w:rsidRPr="006C5C48">
        <w:t>to</w:t>
      </w:r>
      <w:r w:rsidRPr="006C5C48">
        <w:rPr>
          <w:spacing w:val="-1"/>
        </w:rPr>
        <w:t xml:space="preserve"> </w:t>
      </w:r>
      <w:r w:rsidRPr="006C5C48">
        <w:t>respond</w:t>
      </w:r>
      <w:r w:rsidRPr="006C5C48">
        <w:rPr>
          <w:spacing w:val="-2"/>
        </w:rPr>
        <w:t xml:space="preserve"> </w:t>
      </w:r>
      <w:r w:rsidRPr="006C5C48">
        <w:t>to</w:t>
      </w:r>
      <w:r w:rsidRPr="006C5C48">
        <w:rPr>
          <w:spacing w:val="-1"/>
        </w:rPr>
        <w:t xml:space="preserve"> </w:t>
      </w:r>
      <w:r w:rsidRPr="006C5C48">
        <w:t>a</w:t>
      </w:r>
      <w:r w:rsidRPr="006C5C48">
        <w:rPr>
          <w:spacing w:val="-1"/>
        </w:rPr>
        <w:t xml:space="preserve"> </w:t>
      </w:r>
      <w:r w:rsidRPr="006C5C48">
        <w:t>collection of</w:t>
      </w:r>
      <w:r w:rsidRPr="006C5C48">
        <w:rPr>
          <w:spacing w:val="-1"/>
        </w:rPr>
        <w:t xml:space="preserve"> </w:t>
      </w:r>
      <w:r w:rsidRPr="006C5C48">
        <w:t>information; search</w:t>
      </w:r>
      <w:r w:rsidRPr="006C5C48">
        <w:rPr>
          <w:spacing w:val="-2"/>
        </w:rPr>
        <w:t xml:space="preserve"> </w:t>
      </w:r>
      <w:r w:rsidRPr="006C5C48">
        <w:t>data</w:t>
      </w:r>
      <w:r w:rsidRPr="006C5C48">
        <w:rPr>
          <w:spacing w:val="-1"/>
        </w:rPr>
        <w:t xml:space="preserve"> </w:t>
      </w:r>
      <w:r w:rsidRPr="006C5C48">
        <w:t>sources; complete</w:t>
      </w:r>
      <w:r w:rsidRPr="006C5C48">
        <w:rPr>
          <w:spacing w:val="-1"/>
        </w:rPr>
        <w:t xml:space="preserve"> </w:t>
      </w:r>
      <w:r w:rsidRPr="006C5C48">
        <w:t>and review</w:t>
      </w:r>
      <w:r w:rsidRPr="006C5C48">
        <w:rPr>
          <w:spacing w:val="-1"/>
        </w:rPr>
        <w:t xml:space="preserve"> </w:t>
      </w:r>
      <w:r w:rsidRPr="006C5C48">
        <w:t>the</w:t>
      </w:r>
      <w:r w:rsidRPr="006C5C48">
        <w:rPr>
          <w:spacing w:val="-1"/>
        </w:rPr>
        <w:t xml:space="preserve"> </w:t>
      </w:r>
      <w:r w:rsidRPr="006C5C48">
        <w:t>collection</w:t>
      </w:r>
      <w:r w:rsidRPr="006C5C48">
        <w:rPr>
          <w:spacing w:val="-57"/>
        </w:rPr>
        <w:t xml:space="preserve"> </w:t>
      </w:r>
      <w:r w:rsidRPr="006C5C48">
        <w:t xml:space="preserve">of information; and </w:t>
      </w:r>
      <w:r w:rsidRPr="006C5C48">
        <w:t>transmit or otherwise disclose the information. An agency may not conduct</w:t>
      </w:r>
      <w:r w:rsidRPr="006C5C48">
        <w:rPr>
          <w:spacing w:val="1"/>
        </w:rPr>
        <w:t xml:space="preserve"> </w:t>
      </w:r>
      <w:r w:rsidRPr="006C5C48">
        <w:t>or sponsor, and a person is not required to respond to, a request for information collection unless</w:t>
      </w:r>
      <w:r w:rsidRPr="006C5C48">
        <w:rPr>
          <w:spacing w:val="1"/>
        </w:rPr>
        <w:t xml:space="preserve"> </w:t>
      </w:r>
      <w:r w:rsidRPr="006C5C48">
        <w:t>it displays a currently valid OMB control number. The OMB control numbers for</w:t>
      </w:r>
      <w:r w:rsidRPr="006C5C48" w:rsidR="00103523">
        <w:t xml:space="preserve"> the</w:t>
      </w:r>
      <w:r w:rsidRPr="006C5C48">
        <w:t xml:space="preserve"> </w:t>
      </w:r>
      <w:r w:rsidRPr="006C5C48" w:rsidR="00E548A5">
        <w:t>EPA</w:t>
      </w:r>
      <w:r w:rsidRPr="006C5C48">
        <w:t>’s</w:t>
      </w:r>
      <w:r w:rsidRPr="006C5C48">
        <w:rPr>
          <w:spacing w:val="1"/>
        </w:rPr>
        <w:t xml:space="preserve"> </w:t>
      </w:r>
      <w:r w:rsidRPr="006C5C48">
        <w:t>regulations</w:t>
      </w:r>
      <w:r w:rsidRPr="006C5C48">
        <w:rPr>
          <w:spacing w:val="-1"/>
        </w:rPr>
        <w:t xml:space="preserve"> </w:t>
      </w:r>
      <w:r w:rsidRPr="006C5C48">
        <w:t>are listed in 40 CFR</w:t>
      </w:r>
      <w:r w:rsidRPr="006C5C48">
        <w:rPr>
          <w:spacing w:val="-1"/>
        </w:rPr>
        <w:t xml:space="preserve"> </w:t>
      </w:r>
      <w:r w:rsidRPr="006C5C48">
        <w:t>Part 9 and 48 CFR</w:t>
      </w:r>
      <w:r w:rsidRPr="006C5C48">
        <w:rPr>
          <w:spacing w:val="-1"/>
        </w:rPr>
        <w:t xml:space="preserve"> </w:t>
      </w:r>
      <w:r w:rsidRPr="006C5C48">
        <w:t xml:space="preserve">Chapter 15. </w:t>
      </w:r>
    </w:p>
    <w:p w:rsidR="00DD729F" w:rsidRPr="006C5C48" w:rsidP="00707B3F" w14:paraId="5FB54433" w14:textId="0B2EECD4">
      <w:pPr>
        <w:pStyle w:val="BodyText"/>
      </w:pPr>
      <w:r w:rsidRPr="006C5C48">
        <w:t>To comment on the Agency's need for this information, the accuracy of the provided</w:t>
      </w:r>
      <w:r w:rsidRPr="006C5C48">
        <w:rPr>
          <w:spacing w:val="1"/>
        </w:rPr>
        <w:t xml:space="preserve"> </w:t>
      </w:r>
      <w:r w:rsidRPr="006C5C48">
        <w:t>burden</w:t>
      </w:r>
      <w:r w:rsidRPr="006C5C48">
        <w:rPr>
          <w:spacing w:val="-1"/>
        </w:rPr>
        <w:t xml:space="preserve"> </w:t>
      </w:r>
      <w:r w:rsidRPr="006C5C48">
        <w:t>estimates,</w:t>
      </w:r>
      <w:r w:rsidRPr="006C5C48">
        <w:rPr>
          <w:spacing w:val="-1"/>
        </w:rPr>
        <w:t xml:space="preserve"> </w:t>
      </w:r>
      <w:r w:rsidRPr="006C5C48">
        <w:t>and</w:t>
      </w:r>
      <w:r w:rsidRPr="006C5C48">
        <w:rPr>
          <w:spacing w:val="-1"/>
        </w:rPr>
        <w:t xml:space="preserve"> </w:t>
      </w:r>
      <w:r w:rsidRPr="006C5C48">
        <w:t>any</w:t>
      </w:r>
      <w:r w:rsidRPr="006C5C48">
        <w:rPr>
          <w:spacing w:val="-1"/>
        </w:rPr>
        <w:t xml:space="preserve"> </w:t>
      </w:r>
      <w:r w:rsidRPr="006C5C48">
        <w:t>suggested</w:t>
      </w:r>
      <w:r w:rsidRPr="006C5C48">
        <w:rPr>
          <w:spacing w:val="-1"/>
        </w:rPr>
        <w:t xml:space="preserve"> </w:t>
      </w:r>
      <w:r w:rsidRPr="006C5C48">
        <w:t>methods</w:t>
      </w:r>
      <w:r w:rsidRPr="006C5C48">
        <w:rPr>
          <w:spacing w:val="-1"/>
        </w:rPr>
        <w:t xml:space="preserve"> </w:t>
      </w:r>
      <w:r w:rsidRPr="006C5C48">
        <w:t>for</w:t>
      </w:r>
      <w:r w:rsidRPr="006C5C48">
        <w:rPr>
          <w:spacing w:val="-1"/>
        </w:rPr>
        <w:t xml:space="preserve"> </w:t>
      </w:r>
      <w:r w:rsidRPr="006C5C48">
        <w:t>minimizing</w:t>
      </w:r>
      <w:r w:rsidRPr="006C5C48">
        <w:rPr>
          <w:spacing w:val="-1"/>
        </w:rPr>
        <w:t xml:space="preserve"> </w:t>
      </w:r>
      <w:r w:rsidRPr="006C5C48">
        <w:t>respondent</w:t>
      </w:r>
      <w:r w:rsidRPr="006C5C48">
        <w:rPr>
          <w:spacing w:val="-1"/>
        </w:rPr>
        <w:t xml:space="preserve"> </w:t>
      </w:r>
      <w:r w:rsidRPr="006C5C48">
        <w:t>burden,</w:t>
      </w:r>
      <w:r w:rsidRPr="006C5C48">
        <w:rPr>
          <w:spacing w:val="-2"/>
        </w:rPr>
        <w:t xml:space="preserve"> </w:t>
      </w:r>
      <w:r w:rsidRPr="006C5C48">
        <w:t>including</w:t>
      </w:r>
      <w:r w:rsidRPr="006C5C48">
        <w:rPr>
          <w:spacing w:val="-3"/>
        </w:rPr>
        <w:t xml:space="preserve"> </w:t>
      </w:r>
      <w:r w:rsidRPr="006C5C48">
        <w:t xml:space="preserve">the use of automated collection techniques, </w:t>
      </w:r>
      <w:r w:rsidRPr="006C5C48" w:rsidR="00103523">
        <w:t xml:space="preserve">the </w:t>
      </w:r>
      <w:r w:rsidRPr="006C5C48">
        <w:t>EPA has established a public docket for this ICR under</w:t>
      </w:r>
      <w:r w:rsidRPr="006C5C48">
        <w:rPr>
          <w:spacing w:val="1"/>
        </w:rPr>
        <w:t xml:space="preserve"> </w:t>
      </w:r>
      <w:r w:rsidRPr="006C5C48">
        <w:t>Docket ID Number</w:t>
      </w:r>
      <w:r w:rsidRPr="006C5C48" w:rsidR="00C56418">
        <w:t xml:space="preserve"> EPA-HQ-OW-2022-0114</w:t>
      </w:r>
      <w:r w:rsidRPr="006C5C48">
        <w:t>, which is available for online viewing at</w:t>
      </w:r>
      <w:r w:rsidRPr="006C5C48">
        <w:rPr>
          <w:spacing w:val="1"/>
        </w:rPr>
        <w:t xml:space="preserve"> </w:t>
      </w:r>
      <w:hyperlink r:id="rId15" w:history="1">
        <w:r w:rsidRPr="006C5C48">
          <w:rPr>
            <w:rStyle w:val="Hyperlink"/>
            <w:color w:val="auto"/>
          </w:rPr>
          <w:t>www.regulations.gov</w:t>
        </w:r>
      </w:hyperlink>
      <w:r w:rsidRPr="006C5C48">
        <w:t>. This site can be used to submit or view</w:t>
      </w:r>
      <w:r w:rsidRPr="006C5C48">
        <w:rPr>
          <w:spacing w:val="-57"/>
        </w:rPr>
        <w:t xml:space="preserve"> </w:t>
      </w:r>
      <w:r w:rsidRPr="006C5C48">
        <w:t>public comments, to access the index listing of the contents of the public docket, and to access</w:t>
      </w:r>
      <w:r w:rsidRPr="006C5C48">
        <w:rPr>
          <w:spacing w:val="1"/>
        </w:rPr>
        <w:t xml:space="preserve"> </w:t>
      </w:r>
      <w:r w:rsidRPr="006C5C48">
        <w:t>those</w:t>
      </w:r>
      <w:r w:rsidRPr="006C5C48">
        <w:rPr>
          <w:spacing w:val="-1"/>
        </w:rPr>
        <w:t xml:space="preserve"> </w:t>
      </w:r>
      <w:r w:rsidRPr="006C5C48">
        <w:t>documents</w:t>
      </w:r>
      <w:r w:rsidRPr="006C5C48">
        <w:rPr>
          <w:spacing w:val="-1"/>
        </w:rPr>
        <w:t xml:space="preserve"> </w:t>
      </w:r>
      <w:r w:rsidRPr="006C5C48">
        <w:t>in</w:t>
      </w:r>
      <w:r w:rsidRPr="006C5C48">
        <w:rPr>
          <w:spacing w:val="-2"/>
        </w:rPr>
        <w:t xml:space="preserve"> </w:t>
      </w:r>
      <w:r w:rsidRPr="006C5C48">
        <w:t>the</w:t>
      </w:r>
      <w:r w:rsidRPr="006C5C48">
        <w:rPr>
          <w:spacing w:val="-1"/>
        </w:rPr>
        <w:t xml:space="preserve"> </w:t>
      </w:r>
      <w:r w:rsidRPr="006C5C48">
        <w:t>public docket</w:t>
      </w:r>
      <w:r w:rsidRPr="006C5C48">
        <w:rPr>
          <w:spacing w:val="-1"/>
        </w:rPr>
        <w:t xml:space="preserve"> </w:t>
      </w:r>
      <w:r w:rsidRPr="006C5C48">
        <w:t>that</w:t>
      </w:r>
      <w:r w:rsidRPr="006C5C48">
        <w:rPr>
          <w:spacing w:val="-1"/>
        </w:rPr>
        <w:t xml:space="preserve"> </w:t>
      </w:r>
      <w:r w:rsidRPr="006C5C48">
        <w:t>are</w:t>
      </w:r>
      <w:r w:rsidRPr="006C5C48">
        <w:rPr>
          <w:spacing w:val="-1"/>
        </w:rPr>
        <w:t xml:space="preserve"> </w:t>
      </w:r>
      <w:r w:rsidRPr="006C5C48">
        <w:t>available electronically.</w:t>
      </w:r>
      <w:r w:rsidRPr="006C5C48">
        <w:rPr>
          <w:spacing w:val="-1"/>
        </w:rPr>
        <w:t xml:space="preserve"> </w:t>
      </w:r>
      <w:r w:rsidRPr="006C5C48">
        <w:t>When</w:t>
      </w:r>
      <w:r w:rsidRPr="006C5C48">
        <w:rPr>
          <w:spacing w:val="-1"/>
        </w:rPr>
        <w:t xml:space="preserve"> </w:t>
      </w:r>
      <w:r w:rsidRPr="006C5C48">
        <w:t>in</w:t>
      </w:r>
      <w:r w:rsidRPr="006C5C48">
        <w:rPr>
          <w:spacing w:val="-1"/>
        </w:rPr>
        <w:t xml:space="preserve"> </w:t>
      </w:r>
      <w:r w:rsidRPr="006C5C48">
        <w:t>the</w:t>
      </w:r>
      <w:r w:rsidRPr="006C5C48">
        <w:rPr>
          <w:spacing w:val="-1"/>
        </w:rPr>
        <w:t xml:space="preserve"> </w:t>
      </w:r>
      <w:r w:rsidRPr="006C5C48">
        <w:t>system,</w:t>
      </w:r>
      <w:r w:rsidRPr="006C5C48">
        <w:rPr>
          <w:spacing w:val="-1"/>
        </w:rPr>
        <w:t xml:space="preserve"> </w:t>
      </w:r>
      <w:r w:rsidRPr="006C5C48">
        <w:t>select</w:t>
      </w:r>
      <w:r w:rsidRPr="006C5C48" w:rsidR="00C56418">
        <w:t xml:space="preserve"> </w:t>
      </w:r>
      <w:r w:rsidRPr="006C5C48">
        <w:t>“search,” then key in the Docket ID Number identified above. Comments can also be sent to the</w:t>
      </w:r>
      <w:r w:rsidRPr="006C5C48">
        <w:rPr>
          <w:spacing w:val="1"/>
        </w:rPr>
        <w:t xml:space="preserve"> </w:t>
      </w:r>
      <w:r w:rsidRPr="006C5C48">
        <w:t>Office of Information and Regulatory Affairs, Office of Management and Budget, 725 17th</w:t>
      </w:r>
      <w:r w:rsidRPr="006C5C48">
        <w:rPr>
          <w:spacing w:val="1"/>
        </w:rPr>
        <w:t xml:space="preserve"> </w:t>
      </w:r>
      <w:r w:rsidRPr="006C5C48">
        <w:t xml:space="preserve">Street, NW, Washington, DC 20503, Attention: Desk Officer for </w:t>
      </w:r>
      <w:r w:rsidRPr="006C5C48" w:rsidR="00103523">
        <w:t>the</w:t>
      </w:r>
      <w:r w:rsidRPr="006C5C48">
        <w:t xml:space="preserve"> EPA. Please include the EPA</w:t>
      </w:r>
      <w:r w:rsidRPr="006C5C48">
        <w:rPr>
          <w:spacing w:val="1"/>
        </w:rPr>
        <w:t xml:space="preserve"> </w:t>
      </w:r>
      <w:r w:rsidRPr="006C5C48">
        <w:t>Docket ID Number (</w:t>
      </w:r>
      <w:r w:rsidRPr="006C5C48" w:rsidR="00C56418">
        <w:t>EPA-HQ-OW-2022-0114</w:t>
      </w:r>
      <w:r w:rsidRPr="006C5C48">
        <w:t xml:space="preserve">) and the OMB Control Number </w:t>
      </w:r>
      <w:r w:rsidRPr="006C5C48" w:rsidR="008B6DD9">
        <w:t>2040-</w:t>
      </w:r>
      <w:r w:rsidRPr="006C5C48" w:rsidR="003664A2">
        <w:t xml:space="preserve">0307 </w:t>
      </w:r>
      <w:r w:rsidRPr="006C5C48">
        <w:t>in any</w:t>
      </w:r>
      <w:r w:rsidRPr="006C5C48">
        <w:rPr>
          <w:spacing w:val="-57"/>
        </w:rPr>
        <w:t xml:space="preserve"> </w:t>
      </w:r>
      <w:r w:rsidRPr="006C5C48">
        <w:t>correspondence.</w:t>
      </w:r>
    </w:p>
    <w:p w:rsidR="00E22A44" w:rsidRPr="006C5C48" w14:paraId="1B5953E9" w14:textId="2CE89077">
      <w:pPr>
        <w:spacing w:after="160" w:line="259" w:lineRule="auto"/>
        <w:sectPr w:rsidSect="00D3731A">
          <w:type w:val="continuous"/>
          <w:pgSz w:w="12240" w:h="15840"/>
          <w:pgMar w:top="1440" w:right="1440" w:bottom="1440" w:left="1440" w:header="0" w:footer="980" w:gutter="0"/>
          <w:cols w:space="720"/>
          <w:docGrid w:linePitch="326"/>
        </w:sectPr>
      </w:pPr>
    </w:p>
    <w:p w:rsidR="00C4774B" w:rsidRPr="006C5C48" w:rsidP="003A3B69" w14:paraId="0842423A" w14:textId="488FD9DC">
      <w:pPr>
        <w:pStyle w:val="Appendix"/>
      </w:pPr>
      <w:bookmarkStart w:id="146" w:name="_Toc149779136"/>
      <w:r w:rsidRPr="006C5C48">
        <w:t>APPENDIX</w:t>
      </w:r>
      <w:r w:rsidRPr="006C5C48">
        <w:rPr>
          <w:spacing w:val="-2"/>
        </w:rPr>
        <w:t xml:space="preserve"> </w:t>
      </w:r>
      <w:r w:rsidRPr="006C5C48">
        <w:t>A:</w:t>
      </w:r>
      <w:r w:rsidRPr="006C5C48">
        <w:rPr>
          <w:spacing w:val="-1"/>
        </w:rPr>
        <w:t xml:space="preserve"> </w:t>
      </w:r>
      <w:r w:rsidRPr="006C5C48">
        <w:t>SDWA</w:t>
      </w:r>
      <w:r w:rsidRPr="006C5C48">
        <w:rPr>
          <w:spacing w:val="-1"/>
        </w:rPr>
        <w:t xml:space="preserve"> </w:t>
      </w:r>
      <w:r w:rsidRPr="006C5C48">
        <w:t>Sections that</w:t>
      </w:r>
      <w:r w:rsidRPr="006C5C48">
        <w:rPr>
          <w:spacing w:val="-1"/>
        </w:rPr>
        <w:t xml:space="preserve"> </w:t>
      </w:r>
      <w:r w:rsidRPr="006C5C48">
        <w:t>Provide</w:t>
      </w:r>
      <w:r w:rsidRPr="006C5C48">
        <w:rPr>
          <w:spacing w:val="-1"/>
        </w:rPr>
        <w:t xml:space="preserve"> </w:t>
      </w:r>
      <w:r w:rsidRPr="006C5C48">
        <w:t>Authority</w:t>
      </w:r>
      <w:r w:rsidRPr="006C5C48">
        <w:rPr>
          <w:spacing w:val="-1"/>
        </w:rPr>
        <w:t xml:space="preserve"> </w:t>
      </w:r>
      <w:r w:rsidRPr="006C5C48">
        <w:t>for the</w:t>
      </w:r>
      <w:r w:rsidRPr="006C5C48">
        <w:rPr>
          <w:spacing w:val="-1"/>
        </w:rPr>
        <w:t xml:space="preserve"> </w:t>
      </w:r>
      <w:r w:rsidRPr="006C5C48">
        <w:t>Collection</w:t>
      </w:r>
      <w:bookmarkEnd w:id="146"/>
    </w:p>
    <w:p w:rsidR="00C4774B" w:rsidRPr="006C5C48" w:rsidP="00707B3F" w14:paraId="70F358B3" w14:textId="77777777">
      <w:pPr>
        <w:pStyle w:val="BodyText"/>
      </w:pPr>
    </w:p>
    <w:p w:rsidR="00C4774B" w:rsidRPr="006C5C48" w:rsidP="00707B3F" w14:paraId="5EB6E153" w14:textId="605BF21F">
      <w:pPr>
        <w:pStyle w:val="BodyText"/>
      </w:pPr>
      <w:r w:rsidRPr="006C5C48">
        <w:t>Section</w:t>
      </w:r>
      <w:r w:rsidRPr="006C5C48">
        <w:rPr>
          <w:spacing w:val="-1"/>
        </w:rPr>
        <w:t xml:space="preserve"> </w:t>
      </w:r>
      <w:r w:rsidRPr="006C5C48">
        <w:t>1401.</w:t>
      </w:r>
      <w:r w:rsidRPr="006C5C48">
        <w:rPr>
          <w:spacing w:val="-1"/>
        </w:rPr>
        <w:t xml:space="preserve"> </w:t>
      </w:r>
      <w:r w:rsidRPr="006C5C48">
        <w:t>For purposes</w:t>
      </w:r>
      <w:r w:rsidRPr="006C5C48">
        <w:rPr>
          <w:spacing w:val="-1"/>
        </w:rPr>
        <w:t xml:space="preserve"> </w:t>
      </w:r>
      <w:r w:rsidRPr="006C5C48">
        <w:t>of this</w:t>
      </w:r>
      <w:r w:rsidRPr="006C5C48">
        <w:rPr>
          <w:spacing w:val="-1"/>
        </w:rPr>
        <w:t xml:space="preserve"> </w:t>
      </w:r>
      <w:r w:rsidRPr="006C5C48">
        <w:t>title:</w:t>
      </w:r>
    </w:p>
    <w:p w:rsidR="00C4774B" w:rsidRPr="006C5C48" w:rsidP="00707B3F" w14:paraId="748D3436" w14:textId="67585D87">
      <w:pPr>
        <w:pStyle w:val="BodyText"/>
      </w:pPr>
      <w:r w:rsidRPr="006C5C48">
        <w:t>(1)</w:t>
      </w:r>
      <w:r w:rsidRPr="006C5C48">
        <w:rPr>
          <w:spacing w:val="-1"/>
        </w:rPr>
        <w:t xml:space="preserve"> </w:t>
      </w:r>
      <w:r w:rsidRPr="006C5C48">
        <w:t>The</w:t>
      </w:r>
      <w:r w:rsidRPr="006C5C48">
        <w:rPr>
          <w:spacing w:val="-1"/>
        </w:rPr>
        <w:t xml:space="preserve"> </w:t>
      </w:r>
      <w:r w:rsidRPr="006C5C48">
        <w:t>term</w:t>
      </w:r>
      <w:r w:rsidRPr="006C5C48">
        <w:rPr>
          <w:spacing w:val="-1"/>
        </w:rPr>
        <w:t xml:space="preserve"> </w:t>
      </w:r>
      <w:r w:rsidRPr="006C5C48">
        <w:t>“primary drinking</w:t>
      </w:r>
      <w:r w:rsidRPr="006C5C48">
        <w:rPr>
          <w:spacing w:val="-1"/>
        </w:rPr>
        <w:t xml:space="preserve"> </w:t>
      </w:r>
      <w:r w:rsidRPr="006C5C48">
        <w:t>water</w:t>
      </w:r>
      <w:r w:rsidRPr="006C5C48">
        <w:rPr>
          <w:spacing w:val="-3"/>
        </w:rPr>
        <w:t xml:space="preserve"> </w:t>
      </w:r>
      <w:r w:rsidRPr="006C5C48">
        <w:t>regulation”</w:t>
      </w:r>
      <w:r w:rsidRPr="006C5C48">
        <w:rPr>
          <w:spacing w:val="-1"/>
        </w:rPr>
        <w:t xml:space="preserve"> </w:t>
      </w:r>
      <w:r w:rsidRPr="006C5C48">
        <w:t>means</w:t>
      </w:r>
      <w:r w:rsidRPr="006C5C48">
        <w:rPr>
          <w:spacing w:val="-1"/>
        </w:rPr>
        <w:t xml:space="preserve"> </w:t>
      </w:r>
      <w:r w:rsidRPr="006C5C48">
        <w:t>a</w:t>
      </w:r>
      <w:r w:rsidRPr="006C5C48">
        <w:rPr>
          <w:spacing w:val="-1"/>
        </w:rPr>
        <w:t xml:space="preserve"> </w:t>
      </w:r>
      <w:r w:rsidRPr="006C5C48">
        <w:t>regulation</w:t>
      </w:r>
      <w:r w:rsidRPr="006C5C48">
        <w:rPr>
          <w:spacing w:val="-1"/>
        </w:rPr>
        <w:t xml:space="preserve"> </w:t>
      </w:r>
      <w:r w:rsidRPr="006C5C48">
        <w:t>which-</w:t>
      </w:r>
    </w:p>
    <w:p w:rsidR="00C4774B" w:rsidRPr="006C5C48" w:rsidP="003A3B69" w14:paraId="1ED277DF" w14:textId="004B91FD">
      <w:pPr>
        <w:pStyle w:val="ListParagraph"/>
      </w:pPr>
      <w:r w:rsidRPr="006C5C48">
        <w:t>contains criteria and procedures to assure a supply of drinking water which dependably</w:t>
      </w:r>
      <w:r w:rsidRPr="006C5C48">
        <w:rPr>
          <w:spacing w:val="1"/>
        </w:rPr>
        <w:t xml:space="preserve"> </w:t>
      </w:r>
      <w:r w:rsidRPr="006C5C48">
        <w:t>complies with such maximum contaminant levels; including accepted methods for quality</w:t>
      </w:r>
      <w:r w:rsidRPr="006C5C48">
        <w:rPr>
          <w:spacing w:val="1"/>
        </w:rPr>
        <w:t xml:space="preserve"> </w:t>
      </w:r>
      <w:r w:rsidRPr="006C5C48">
        <w:t xml:space="preserve">control and testing procedures to </w:t>
      </w:r>
      <w:r w:rsidRPr="006C5C48" w:rsidR="00650AEB">
        <w:t>ensure</w:t>
      </w:r>
      <w:r w:rsidRPr="006C5C48">
        <w:t xml:space="preserve"> compliance with such levels and to </w:t>
      </w:r>
      <w:r w:rsidRPr="006C5C48" w:rsidR="00811616">
        <w:t>ensure</w:t>
      </w:r>
      <w:r w:rsidRPr="006C5C48">
        <w:t xml:space="preserve"> proper</w:t>
      </w:r>
      <w:r w:rsidRPr="006C5C48">
        <w:rPr>
          <w:spacing w:val="1"/>
        </w:rPr>
        <w:t xml:space="preserve"> </w:t>
      </w:r>
      <w:r w:rsidRPr="006C5C48">
        <w:t>operation and maintenance of the system, and requirements as to (</w:t>
      </w:r>
      <w:r w:rsidRPr="006C5C48">
        <w:t>i</w:t>
      </w:r>
      <w:r w:rsidRPr="006C5C48">
        <w:t>) the minimum quality of</w:t>
      </w:r>
      <w:r w:rsidRPr="006C5C48">
        <w:rPr>
          <w:spacing w:val="1"/>
        </w:rPr>
        <w:t xml:space="preserve"> </w:t>
      </w:r>
      <w:r w:rsidRPr="006C5C48">
        <w:t>water which may be taken into the system and (ii) siting for new facilities for public water</w:t>
      </w:r>
      <w:r w:rsidRPr="006C5C48">
        <w:rPr>
          <w:spacing w:val="1"/>
        </w:rPr>
        <w:t xml:space="preserve"> </w:t>
      </w:r>
      <w:r w:rsidRPr="006C5C48">
        <w:t>systems. At any time after promulgation of a regulation referred to in this paragraph, the</w:t>
      </w:r>
      <w:r w:rsidRPr="006C5C48">
        <w:rPr>
          <w:spacing w:val="1"/>
        </w:rPr>
        <w:t xml:space="preserve"> </w:t>
      </w:r>
      <w:r w:rsidRPr="006C5C48">
        <w:t>Administrator may add equally effective quality control and testing procedures by guidance</w:t>
      </w:r>
      <w:r w:rsidRPr="006C5C48">
        <w:rPr>
          <w:spacing w:val="1"/>
        </w:rPr>
        <w:t xml:space="preserve"> </w:t>
      </w:r>
      <w:r w:rsidRPr="006C5C48">
        <w:t>published</w:t>
      </w:r>
      <w:r w:rsidRPr="006C5C48">
        <w:rPr>
          <w:spacing w:val="-3"/>
        </w:rPr>
        <w:t xml:space="preserve"> </w:t>
      </w:r>
      <w:r w:rsidRPr="006C5C48">
        <w:t>in</w:t>
      </w:r>
      <w:r w:rsidRPr="006C5C48">
        <w:rPr>
          <w:spacing w:val="-2"/>
        </w:rPr>
        <w:t xml:space="preserve"> </w:t>
      </w:r>
      <w:r w:rsidRPr="006C5C48">
        <w:t>the</w:t>
      </w:r>
      <w:r w:rsidRPr="006C5C48">
        <w:rPr>
          <w:spacing w:val="-1"/>
        </w:rPr>
        <w:t xml:space="preserve"> </w:t>
      </w:r>
      <w:r w:rsidRPr="006C5C48">
        <w:t>Federal</w:t>
      </w:r>
      <w:r w:rsidRPr="006C5C48">
        <w:rPr>
          <w:spacing w:val="-2"/>
        </w:rPr>
        <w:t xml:space="preserve"> </w:t>
      </w:r>
      <w:r w:rsidRPr="006C5C48">
        <w:t>Register.</w:t>
      </w:r>
      <w:r w:rsidRPr="006C5C48">
        <w:rPr>
          <w:spacing w:val="-1"/>
        </w:rPr>
        <w:t xml:space="preserve"> </w:t>
      </w:r>
      <w:r w:rsidRPr="006C5C48">
        <w:t>Such</w:t>
      </w:r>
      <w:r w:rsidRPr="006C5C48">
        <w:rPr>
          <w:spacing w:val="-2"/>
        </w:rPr>
        <w:t xml:space="preserve"> </w:t>
      </w:r>
      <w:r w:rsidRPr="006C5C48">
        <w:t>procedures</w:t>
      </w:r>
      <w:r w:rsidRPr="006C5C48">
        <w:rPr>
          <w:spacing w:val="-1"/>
        </w:rPr>
        <w:t xml:space="preserve"> </w:t>
      </w:r>
      <w:r w:rsidRPr="006C5C48">
        <w:t>shall</w:t>
      </w:r>
      <w:r w:rsidRPr="006C5C48">
        <w:rPr>
          <w:spacing w:val="-1"/>
        </w:rPr>
        <w:t xml:space="preserve"> </w:t>
      </w:r>
      <w:r w:rsidRPr="006C5C48">
        <w:t>be</w:t>
      </w:r>
      <w:r w:rsidRPr="006C5C48">
        <w:rPr>
          <w:spacing w:val="-1"/>
        </w:rPr>
        <w:t xml:space="preserve"> </w:t>
      </w:r>
      <w:r w:rsidRPr="006C5C48">
        <w:t>treated</w:t>
      </w:r>
      <w:r w:rsidRPr="006C5C48">
        <w:rPr>
          <w:spacing w:val="-1"/>
        </w:rPr>
        <w:t xml:space="preserve"> </w:t>
      </w:r>
      <w:r w:rsidRPr="006C5C48">
        <w:t>as</w:t>
      </w:r>
      <w:r w:rsidRPr="006C5C48">
        <w:rPr>
          <w:spacing w:val="-2"/>
        </w:rPr>
        <w:t xml:space="preserve"> </w:t>
      </w:r>
      <w:r w:rsidRPr="006C5C48">
        <w:t>an</w:t>
      </w:r>
      <w:r w:rsidRPr="006C5C48">
        <w:rPr>
          <w:spacing w:val="-1"/>
        </w:rPr>
        <w:t xml:space="preserve"> </w:t>
      </w:r>
      <w:r w:rsidRPr="006C5C48">
        <w:t>alternative</w:t>
      </w:r>
      <w:r w:rsidRPr="006C5C48">
        <w:rPr>
          <w:spacing w:val="-1"/>
        </w:rPr>
        <w:t xml:space="preserve"> </w:t>
      </w:r>
      <w:r w:rsidRPr="006C5C48">
        <w:t>for</w:t>
      </w:r>
      <w:r w:rsidRPr="006C5C48">
        <w:rPr>
          <w:spacing w:val="-1"/>
        </w:rPr>
        <w:t xml:space="preserve"> </w:t>
      </w:r>
      <w:r w:rsidRPr="006C5C48">
        <w:t>public</w:t>
      </w:r>
      <w:r w:rsidRPr="006C5C48">
        <w:rPr>
          <w:spacing w:val="-57"/>
        </w:rPr>
        <w:t xml:space="preserve"> </w:t>
      </w:r>
      <w:r w:rsidRPr="006C5C48">
        <w:t>water</w:t>
      </w:r>
      <w:r w:rsidRPr="006C5C48">
        <w:rPr>
          <w:spacing w:val="-1"/>
        </w:rPr>
        <w:t xml:space="preserve"> </w:t>
      </w:r>
      <w:r w:rsidRPr="006C5C48">
        <w:t>systems to the quality</w:t>
      </w:r>
      <w:r w:rsidRPr="006C5C48">
        <w:rPr>
          <w:spacing w:val="-1"/>
        </w:rPr>
        <w:t xml:space="preserve"> </w:t>
      </w:r>
      <w:r w:rsidRPr="006C5C48">
        <w:t>control</w:t>
      </w:r>
      <w:r w:rsidRPr="006C5C48">
        <w:rPr>
          <w:spacing w:val="-1"/>
        </w:rPr>
        <w:t xml:space="preserve"> </w:t>
      </w:r>
      <w:r w:rsidRPr="006C5C48">
        <w:t>and testing procedures</w:t>
      </w:r>
      <w:r w:rsidRPr="006C5C48">
        <w:rPr>
          <w:spacing w:val="-1"/>
        </w:rPr>
        <w:t xml:space="preserve"> </w:t>
      </w:r>
      <w:r w:rsidRPr="006C5C48">
        <w:t>listed in</w:t>
      </w:r>
      <w:r w:rsidRPr="006C5C48">
        <w:rPr>
          <w:spacing w:val="-2"/>
        </w:rPr>
        <w:t xml:space="preserve"> </w:t>
      </w:r>
      <w:r w:rsidRPr="006C5C48">
        <w:t>the regulation.</w:t>
      </w:r>
    </w:p>
    <w:p w:rsidR="007919FD" w:rsidRPr="006C5C48" w:rsidP="00E8730C" w14:paraId="690F1466" w14:textId="2598624F">
      <w:pPr>
        <w:textAlignment w:val="baseline"/>
        <w:rPr>
          <w:rFonts w:ascii="Segoe UI" w:hAnsi="Segoe UI" w:cs="Segoe UI"/>
          <w:sz w:val="18"/>
          <w:szCs w:val="18"/>
        </w:rPr>
      </w:pPr>
      <w:r w:rsidRPr="006C5C48">
        <w:rPr>
          <w:szCs w:val="24"/>
        </w:rPr>
        <w:t xml:space="preserve">Section 1413(a)(1) of </w:t>
      </w:r>
      <w:r w:rsidRPr="006C5C48" w:rsidR="00E548A5">
        <w:rPr>
          <w:szCs w:val="24"/>
        </w:rPr>
        <w:t>SDWA</w:t>
      </w:r>
      <w:r w:rsidRPr="006C5C48">
        <w:rPr>
          <w:szCs w:val="24"/>
        </w:rPr>
        <w:t xml:space="preserve"> allows </w:t>
      </w:r>
      <w:r w:rsidRPr="006C5C48" w:rsidR="00103523">
        <w:rPr>
          <w:szCs w:val="24"/>
        </w:rPr>
        <w:t xml:space="preserve">the </w:t>
      </w:r>
      <w:r w:rsidRPr="006C5C48" w:rsidR="00E548A5">
        <w:rPr>
          <w:szCs w:val="24"/>
        </w:rPr>
        <w:t>EPA</w:t>
      </w:r>
      <w:r w:rsidRPr="006C5C48">
        <w:rPr>
          <w:szCs w:val="24"/>
        </w:rPr>
        <w:t xml:space="preserve"> to grant a state primary enforcement responsibility (“primacy”) for NPDWRs when </w:t>
      </w:r>
      <w:r w:rsidRPr="006C5C48" w:rsidR="00103523">
        <w:rPr>
          <w:szCs w:val="24"/>
        </w:rPr>
        <w:t>the</w:t>
      </w:r>
      <w:r w:rsidRPr="006C5C48">
        <w:rPr>
          <w:szCs w:val="24"/>
        </w:rPr>
        <w:t xml:space="preserve"> </w:t>
      </w:r>
      <w:r w:rsidRPr="006C5C48" w:rsidR="00E548A5">
        <w:rPr>
          <w:szCs w:val="24"/>
        </w:rPr>
        <w:t>EPA</w:t>
      </w:r>
      <w:r w:rsidRPr="006C5C48">
        <w:rPr>
          <w:szCs w:val="24"/>
        </w:rPr>
        <w:t xml:space="preserve"> has determined that the state has, among other things, adopted regulations that are no less stringent than </w:t>
      </w:r>
      <w:r w:rsidRPr="006C5C48" w:rsidR="00103523">
        <w:rPr>
          <w:szCs w:val="24"/>
        </w:rPr>
        <w:t>the</w:t>
      </w:r>
      <w:r w:rsidRPr="006C5C48">
        <w:rPr>
          <w:szCs w:val="24"/>
        </w:rPr>
        <w:t xml:space="preserve"> EPA’s (42 U.S.C. § 300g-2(a)(1)). To obtain primacy for this rule, states must adopt comparable regulations within two years of </w:t>
      </w:r>
      <w:r w:rsidRPr="006C5C48" w:rsidR="00103523">
        <w:rPr>
          <w:szCs w:val="24"/>
        </w:rPr>
        <w:t xml:space="preserve">the </w:t>
      </w:r>
      <w:r w:rsidRPr="006C5C48" w:rsidR="00E548A5">
        <w:rPr>
          <w:szCs w:val="24"/>
        </w:rPr>
        <w:t>EPA</w:t>
      </w:r>
      <w:r w:rsidRPr="006C5C48">
        <w:rPr>
          <w:szCs w:val="24"/>
        </w:rPr>
        <w:t xml:space="preserve">’s promulgation of the final rule, unless </w:t>
      </w:r>
      <w:r w:rsidRPr="006C5C48" w:rsidR="00103523">
        <w:rPr>
          <w:szCs w:val="24"/>
        </w:rPr>
        <w:t>the</w:t>
      </w:r>
      <w:r w:rsidRPr="006C5C48">
        <w:rPr>
          <w:szCs w:val="24"/>
        </w:rPr>
        <w:t xml:space="preserve"> </w:t>
      </w:r>
      <w:r w:rsidRPr="006C5C48" w:rsidR="00E548A5">
        <w:rPr>
          <w:szCs w:val="24"/>
        </w:rPr>
        <w:t>EPA</w:t>
      </w:r>
      <w:r w:rsidRPr="006C5C48">
        <w:rPr>
          <w:szCs w:val="24"/>
        </w:rPr>
        <w:t xml:space="preserve"> grants the state a two-year extension. 40 CFR 142.12(b). State primacy requires, among other things, adequate enforcement (including monitoring and inspections) and reporting. </w:t>
      </w:r>
      <w:r w:rsidRPr="006C5C48" w:rsidR="00103523">
        <w:rPr>
          <w:szCs w:val="24"/>
        </w:rPr>
        <w:t xml:space="preserve">The </w:t>
      </w:r>
      <w:r w:rsidRPr="006C5C48">
        <w:rPr>
          <w:szCs w:val="24"/>
        </w:rPr>
        <w:t xml:space="preserve">EPA must approve or deny state primacy applications within 90 days of submission to </w:t>
      </w:r>
      <w:r w:rsidRPr="006C5C48" w:rsidR="003E7803">
        <w:rPr>
          <w:szCs w:val="24"/>
        </w:rPr>
        <w:t>the</w:t>
      </w:r>
      <w:r w:rsidRPr="006C5C48">
        <w:rPr>
          <w:szCs w:val="24"/>
        </w:rPr>
        <w:t xml:space="preserve"> EPA (42 U.S.C. § 300g-2(b)(2)). In </w:t>
      </w:r>
      <w:r w:rsidRPr="006C5C48">
        <w:rPr>
          <w:szCs w:val="24"/>
        </w:rPr>
        <w:t xml:space="preserve">some cases, a state submitting revisions to adopt an NPDWR has interim primary enforcement authority for the new regulation while </w:t>
      </w:r>
      <w:r w:rsidRPr="006C5C48" w:rsidR="003E7803">
        <w:rPr>
          <w:szCs w:val="24"/>
        </w:rPr>
        <w:t xml:space="preserve">the </w:t>
      </w:r>
      <w:r w:rsidRPr="006C5C48">
        <w:rPr>
          <w:szCs w:val="24"/>
        </w:rPr>
        <w:t>EPA’s decision on the revision is pending (42 U.S.C. § 300g-2(c)).  </w:t>
      </w:r>
    </w:p>
    <w:p w:rsidR="00C4774B" w:rsidRPr="006C5C48" w:rsidP="00707B3F" w14:paraId="353D563E" w14:textId="1B92D7D5">
      <w:pPr>
        <w:pStyle w:val="BodyText"/>
      </w:pPr>
      <w:r w:rsidRPr="006C5C48">
        <w:t>Section 1413(a) For purposes of this title, a state has primary enforcement responsibility for</w:t>
      </w:r>
      <w:r w:rsidRPr="006C5C48">
        <w:rPr>
          <w:spacing w:val="1"/>
        </w:rPr>
        <w:t xml:space="preserve"> </w:t>
      </w:r>
      <w:r w:rsidRPr="006C5C48">
        <w:t>public</w:t>
      </w:r>
      <w:r w:rsidRPr="006C5C48">
        <w:rPr>
          <w:spacing w:val="-2"/>
        </w:rPr>
        <w:t xml:space="preserve"> </w:t>
      </w:r>
      <w:r w:rsidRPr="006C5C48">
        <w:t>water</w:t>
      </w:r>
      <w:r w:rsidRPr="006C5C48">
        <w:rPr>
          <w:spacing w:val="-1"/>
        </w:rPr>
        <w:t xml:space="preserve"> </w:t>
      </w:r>
      <w:r w:rsidRPr="006C5C48">
        <w:t>systems</w:t>
      </w:r>
      <w:r w:rsidRPr="006C5C48">
        <w:rPr>
          <w:spacing w:val="-1"/>
        </w:rPr>
        <w:t xml:space="preserve"> </w:t>
      </w:r>
      <w:r w:rsidRPr="006C5C48">
        <w:t>during</w:t>
      </w:r>
      <w:r w:rsidRPr="006C5C48">
        <w:rPr>
          <w:spacing w:val="-1"/>
        </w:rPr>
        <w:t xml:space="preserve"> </w:t>
      </w:r>
      <w:r w:rsidRPr="006C5C48">
        <w:t>any</w:t>
      </w:r>
      <w:r w:rsidRPr="006C5C48">
        <w:rPr>
          <w:spacing w:val="-1"/>
        </w:rPr>
        <w:t xml:space="preserve"> </w:t>
      </w:r>
      <w:r w:rsidRPr="006C5C48">
        <w:t>period</w:t>
      </w:r>
      <w:r w:rsidRPr="006C5C48">
        <w:rPr>
          <w:spacing w:val="-1"/>
        </w:rPr>
        <w:t xml:space="preserve"> </w:t>
      </w:r>
      <w:r w:rsidRPr="006C5C48">
        <w:t>for</w:t>
      </w:r>
      <w:r w:rsidRPr="006C5C48">
        <w:rPr>
          <w:spacing w:val="-2"/>
        </w:rPr>
        <w:t xml:space="preserve"> </w:t>
      </w:r>
      <w:r w:rsidRPr="006C5C48">
        <w:t>which</w:t>
      </w:r>
      <w:r w:rsidRPr="006C5C48">
        <w:rPr>
          <w:spacing w:val="-1"/>
        </w:rPr>
        <w:t xml:space="preserve"> </w:t>
      </w:r>
      <w:r w:rsidRPr="006C5C48">
        <w:t>the</w:t>
      </w:r>
      <w:r w:rsidRPr="006C5C48">
        <w:rPr>
          <w:spacing w:val="-1"/>
        </w:rPr>
        <w:t xml:space="preserve"> </w:t>
      </w:r>
      <w:r w:rsidRPr="006C5C48">
        <w:t>Administration</w:t>
      </w:r>
      <w:r w:rsidRPr="006C5C48">
        <w:rPr>
          <w:spacing w:val="-1"/>
        </w:rPr>
        <w:t xml:space="preserve"> </w:t>
      </w:r>
      <w:r w:rsidRPr="006C5C48">
        <w:t>determines</w:t>
      </w:r>
      <w:r w:rsidRPr="006C5C48">
        <w:rPr>
          <w:spacing w:val="-1"/>
        </w:rPr>
        <w:t xml:space="preserve"> </w:t>
      </w:r>
      <w:r w:rsidRPr="006C5C48">
        <w:t>(pursuant</w:t>
      </w:r>
      <w:r w:rsidRPr="006C5C48">
        <w:rPr>
          <w:spacing w:val="-1"/>
        </w:rPr>
        <w:t xml:space="preserve"> </w:t>
      </w:r>
      <w:r w:rsidRPr="006C5C48" w:rsidR="000E50EC">
        <w:rPr>
          <w:spacing w:val="-1"/>
        </w:rPr>
        <w:t xml:space="preserve">to regulations </w:t>
      </w:r>
      <w:r w:rsidRPr="006C5C48">
        <w:t>under subsection</w:t>
      </w:r>
      <w:r w:rsidRPr="006C5C48">
        <w:rPr>
          <w:spacing w:val="-2"/>
        </w:rPr>
        <w:t xml:space="preserve"> </w:t>
      </w:r>
      <w:r w:rsidRPr="006C5C48">
        <w:t>(b))</w:t>
      </w:r>
      <w:r w:rsidRPr="006C5C48">
        <w:rPr>
          <w:spacing w:val="-1"/>
        </w:rPr>
        <w:t xml:space="preserve"> </w:t>
      </w:r>
      <w:r w:rsidRPr="006C5C48">
        <w:t>that such</w:t>
      </w:r>
      <w:r w:rsidRPr="006C5C48">
        <w:rPr>
          <w:spacing w:val="2"/>
        </w:rPr>
        <w:t xml:space="preserve"> </w:t>
      </w:r>
      <w:r w:rsidRPr="006C5C48">
        <w:t>state-</w:t>
      </w:r>
    </w:p>
    <w:p w:rsidR="00C4774B" w:rsidRPr="006C5C48" w:rsidP="003A3B69" w14:paraId="78AED7C7" w14:textId="366038BB">
      <w:pPr>
        <w:pStyle w:val="ListParagraph"/>
      </w:pPr>
      <w:r w:rsidRPr="006C5C48">
        <w:t>has adopted drinking water regulations that are no less stringent than the national primary</w:t>
      </w:r>
      <w:r w:rsidRPr="006C5C48">
        <w:rPr>
          <w:spacing w:val="1"/>
        </w:rPr>
        <w:t xml:space="preserve"> </w:t>
      </w:r>
      <w:r w:rsidRPr="006C5C48">
        <w:t>drinking water regulations promulgated by the Administrator under subsections (a) and (b) of</w:t>
      </w:r>
      <w:r w:rsidRPr="006C5C48">
        <w:rPr>
          <w:spacing w:val="1"/>
        </w:rPr>
        <w:t xml:space="preserve"> </w:t>
      </w:r>
      <w:r w:rsidRPr="006C5C48">
        <w:t>section</w:t>
      </w:r>
      <w:r w:rsidRPr="006C5C48">
        <w:rPr>
          <w:spacing w:val="-1"/>
        </w:rPr>
        <w:t xml:space="preserve"> </w:t>
      </w:r>
      <w:r w:rsidRPr="006C5C48">
        <w:t>1412</w:t>
      </w:r>
      <w:r w:rsidRPr="006C5C48">
        <w:rPr>
          <w:spacing w:val="-1"/>
        </w:rPr>
        <w:t xml:space="preserve"> </w:t>
      </w:r>
      <w:r w:rsidRPr="006C5C48">
        <w:t>not later</w:t>
      </w:r>
      <w:r w:rsidRPr="006C5C48">
        <w:rPr>
          <w:spacing w:val="-2"/>
        </w:rPr>
        <w:t xml:space="preserve"> </w:t>
      </w:r>
      <w:r w:rsidRPr="006C5C48">
        <w:t>than 2 years after</w:t>
      </w:r>
      <w:r w:rsidRPr="006C5C48">
        <w:rPr>
          <w:spacing w:val="-1"/>
        </w:rPr>
        <w:t xml:space="preserve"> </w:t>
      </w:r>
      <w:r w:rsidRPr="006C5C48">
        <w:t>the date on</w:t>
      </w:r>
      <w:r w:rsidRPr="006C5C48">
        <w:rPr>
          <w:spacing w:val="-1"/>
        </w:rPr>
        <w:t xml:space="preserve"> </w:t>
      </w:r>
      <w:r w:rsidRPr="006C5C48">
        <w:t>which the</w:t>
      </w:r>
      <w:r w:rsidRPr="006C5C48">
        <w:rPr>
          <w:spacing w:val="-1"/>
        </w:rPr>
        <w:t xml:space="preserve"> </w:t>
      </w:r>
      <w:r w:rsidRPr="006C5C48">
        <w:t>regulations</w:t>
      </w:r>
      <w:r w:rsidRPr="006C5C48">
        <w:rPr>
          <w:spacing w:val="-1"/>
        </w:rPr>
        <w:t xml:space="preserve"> </w:t>
      </w:r>
      <w:r w:rsidRPr="006C5C48">
        <w:t>are</w:t>
      </w:r>
      <w:r w:rsidRPr="006C5C48">
        <w:rPr>
          <w:spacing w:val="-1"/>
        </w:rPr>
        <w:t xml:space="preserve"> </w:t>
      </w:r>
      <w:r w:rsidRPr="006C5C48">
        <w:t>promulgated by the</w:t>
      </w:r>
      <w:r w:rsidRPr="006C5C48">
        <w:rPr>
          <w:spacing w:val="-57"/>
        </w:rPr>
        <w:t xml:space="preserve"> </w:t>
      </w:r>
      <w:r w:rsidRPr="006C5C48">
        <w:t>Administrator, except that the Administrator may provide for an extension of not more than 2</w:t>
      </w:r>
      <w:r w:rsidRPr="006C5C48">
        <w:rPr>
          <w:spacing w:val="1"/>
        </w:rPr>
        <w:t xml:space="preserve"> </w:t>
      </w:r>
      <w:r w:rsidRPr="006C5C48">
        <w:t>years if, after submission and review of appropriate, adequate documentation from the state, the</w:t>
      </w:r>
      <w:r w:rsidRPr="006C5C48">
        <w:rPr>
          <w:spacing w:val="1"/>
        </w:rPr>
        <w:t xml:space="preserve"> </w:t>
      </w:r>
      <w:r w:rsidRPr="006C5C48">
        <w:t>Administrator</w:t>
      </w:r>
      <w:r w:rsidRPr="006C5C48">
        <w:rPr>
          <w:spacing w:val="-1"/>
        </w:rPr>
        <w:t xml:space="preserve"> </w:t>
      </w:r>
      <w:r w:rsidRPr="006C5C48">
        <w:t>determines that</w:t>
      </w:r>
      <w:r w:rsidRPr="006C5C48">
        <w:rPr>
          <w:spacing w:val="1"/>
        </w:rPr>
        <w:t xml:space="preserve"> </w:t>
      </w:r>
      <w:r w:rsidRPr="006C5C48">
        <w:t>the extension</w:t>
      </w:r>
      <w:r w:rsidRPr="006C5C48">
        <w:rPr>
          <w:spacing w:val="-1"/>
        </w:rPr>
        <w:t xml:space="preserve"> </w:t>
      </w:r>
      <w:r w:rsidRPr="006C5C48">
        <w:t>is necessary</w:t>
      </w:r>
      <w:r w:rsidRPr="006C5C48">
        <w:rPr>
          <w:spacing w:val="-2"/>
        </w:rPr>
        <w:t xml:space="preserve"> </w:t>
      </w:r>
      <w:r w:rsidRPr="006C5C48">
        <w:t>and</w:t>
      </w:r>
      <w:r w:rsidRPr="006C5C48">
        <w:rPr>
          <w:spacing w:val="-1"/>
        </w:rPr>
        <w:t xml:space="preserve"> </w:t>
      </w:r>
      <w:r w:rsidRPr="006C5C48">
        <w:t>justified;</w:t>
      </w:r>
    </w:p>
    <w:p w:rsidR="00C4774B" w:rsidRPr="006C5C48" w:rsidP="003A3B69" w14:paraId="1110332A" w14:textId="0305688E">
      <w:pPr>
        <w:pStyle w:val="ListParagraph"/>
      </w:pPr>
      <w:r w:rsidRPr="006C5C48">
        <w:t>has adopted and is implementing adequate procedures for the enforcement of such state</w:t>
      </w:r>
      <w:r w:rsidR="003A3B69">
        <w:t xml:space="preserve"> </w:t>
      </w:r>
      <w:r w:rsidRPr="006C5C48">
        <w:rPr>
          <w:spacing w:val="-57"/>
        </w:rPr>
        <w:t xml:space="preserve"> </w:t>
      </w:r>
      <w:r w:rsidR="00490EBC">
        <w:rPr>
          <w:spacing w:val="-57"/>
        </w:rPr>
        <w:t xml:space="preserve"> </w:t>
      </w:r>
      <w:r w:rsidR="007B7FCA">
        <w:rPr>
          <w:spacing w:val="-57"/>
        </w:rPr>
        <w:t xml:space="preserve"> </w:t>
      </w:r>
      <w:r w:rsidRPr="006C5C48">
        <w:t>regulations, including conducting such monitoring and making such inspections as the</w:t>
      </w:r>
      <w:r w:rsidRPr="006C5C48">
        <w:rPr>
          <w:spacing w:val="1"/>
        </w:rPr>
        <w:t xml:space="preserve"> </w:t>
      </w:r>
      <w:r w:rsidRPr="006C5C48">
        <w:t>Administrator</w:t>
      </w:r>
      <w:r w:rsidRPr="006C5C48">
        <w:rPr>
          <w:spacing w:val="-1"/>
        </w:rPr>
        <w:t xml:space="preserve"> </w:t>
      </w:r>
      <w:r w:rsidRPr="006C5C48">
        <w:t xml:space="preserve">may require by </w:t>
      </w:r>
      <w:r w:rsidRPr="006C5C48">
        <w:t>regulation;</w:t>
      </w:r>
    </w:p>
    <w:p w:rsidR="00C4774B" w:rsidRPr="006C5C48" w:rsidP="003A3B69" w14:paraId="3587898E" w14:textId="4226DB0C">
      <w:pPr>
        <w:pStyle w:val="ListParagraph"/>
      </w:pPr>
      <w:r w:rsidRPr="006C5C48">
        <w:t>will</w:t>
      </w:r>
      <w:r w:rsidRPr="006C5C48">
        <w:rPr>
          <w:spacing w:val="-1"/>
        </w:rPr>
        <w:t xml:space="preserve"> </w:t>
      </w:r>
      <w:r w:rsidRPr="006C5C48">
        <w:t>keep</w:t>
      </w:r>
      <w:r w:rsidRPr="006C5C48">
        <w:rPr>
          <w:spacing w:val="-2"/>
        </w:rPr>
        <w:t xml:space="preserve"> </w:t>
      </w:r>
      <w:r w:rsidRPr="006C5C48">
        <w:t>such</w:t>
      </w:r>
      <w:r w:rsidRPr="006C5C48">
        <w:rPr>
          <w:spacing w:val="-1"/>
        </w:rPr>
        <w:t xml:space="preserve"> </w:t>
      </w:r>
      <w:r w:rsidRPr="006C5C48">
        <w:t>records and make such reports</w:t>
      </w:r>
      <w:r w:rsidRPr="006C5C48">
        <w:rPr>
          <w:spacing w:val="-2"/>
        </w:rPr>
        <w:t xml:space="preserve"> </w:t>
      </w:r>
      <w:r w:rsidRPr="006C5C48">
        <w:t>with respect</w:t>
      </w:r>
      <w:r w:rsidRPr="006C5C48">
        <w:rPr>
          <w:spacing w:val="-1"/>
        </w:rPr>
        <w:t xml:space="preserve"> </w:t>
      </w:r>
      <w:r w:rsidRPr="006C5C48">
        <w:t>to</w:t>
      </w:r>
      <w:r w:rsidRPr="006C5C48">
        <w:rPr>
          <w:spacing w:val="-1"/>
        </w:rPr>
        <w:t xml:space="preserve"> </w:t>
      </w:r>
      <w:r w:rsidRPr="006C5C48">
        <w:t>its activities</w:t>
      </w:r>
      <w:r w:rsidRPr="006C5C48">
        <w:rPr>
          <w:spacing w:val="-1"/>
        </w:rPr>
        <w:t xml:space="preserve"> </w:t>
      </w:r>
      <w:r w:rsidRPr="006C5C48">
        <w:t>under paragraphs</w:t>
      </w:r>
      <w:r w:rsidR="003A3B69">
        <w:t>.</w:t>
      </w:r>
    </w:p>
    <w:p w:rsidR="007919FD" w:rsidRPr="006C5C48" w:rsidP="00707B3F" w14:paraId="163CF85D" w14:textId="1E514044">
      <w:pPr>
        <w:pStyle w:val="BodyText"/>
      </w:pPr>
      <w:r w:rsidRPr="006C5C48">
        <w:t>(1)</w:t>
      </w:r>
      <w:r w:rsidRPr="006C5C48">
        <w:rPr>
          <w:spacing w:val="-1"/>
        </w:rPr>
        <w:t xml:space="preserve"> </w:t>
      </w:r>
      <w:r w:rsidRPr="006C5C48">
        <w:t>and</w:t>
      </w:r>
      <w:r w:rsidRPr="006C5C48">
        <w:rPr>
          <w:spacing w:val="-1"/>
        </w:rPr>
        <w:t xml:space="preserve"> </w:t>
      </w:r>
      <w:r w:rsidRPr="006C5C48">
        <w:t>(2) as the</w:t>
      </w:r>
      <w:r w:rsidRPr="006C5C48">
        <w:rPr>
          <w:spacing w:val="-1"/>
        </w:rPr>
        <w:t xml:space="preserve"> </w:t>
      </w:r>
      <w:r w:rsidRPr="006C5C48">
        <w:t>Administrator</w:t>
      </w:r>
      <w:r w:rsidRPr="006C5C48">
        <w:rPr>
          <w:spacing w:val="-1"/>
        </w:rPr>
        <w:t xml:space="preserve"> </w:t>
      </w:r>
      <w:r w:rsidRPr="006C5C48">
        <w:t>may</w:t>
      </w:r>
      <w:r w:rsidRPr="006C5C48">
        <w:rPr>
          <w:spacing w:val="1"/>
        </w:rPr>
        <w:t xml:space="preserve"> </w:t>
      </w:r>
      <w:r w:rsidRPr="006C5C48">
        <w:t>require</w:t>
      </w:r>
      <w:r w:rsidRPr="006C5C48">
        <w:rPr>
          <w:spacing w:val="-1"/>
        </w:rPr>
        <w:t xml:space="preserve"> </w:t>
      </w:r>
      <w:r w:rsidRPr="006C5C48">
        <w:t>by</w:t>
      </w:r>
      <w:r w:rsidRPr="006C5C48">
        <w:rPr>
          <w:spacing w:val="-1"/>
        </w:rPr>
        <w:t xml:space="preserve"> </w:t>
      </w:r>
      <w:r w:rsidRPr="006C5C48">
        <w:t>regulation.</w:t>
      </w:r>
    </w:p>
    <w:p w:rsidR="007919FD" w:rsidRPr="006C5C48" w:rsidP="002D0973" w14:paraId="6A76994B" w14:textId="41B8961A">
      <w:pPr>
        <w:textAlignment w:val="baseline"/>
      </w:pPr>
      <w:r w:rsidRPr="006C5C48">
        <w:rPr>
          <w:szCs w:val="24"/>
        </w:rPr>
        <w:t xml:space="preserve">Section 1445(a) of SDWA authorizes the Administrator to establish monitoring, recordkeeping, and reporting regulations, to assist the Administrator in establishing regulations under </w:t>
      </w:r>
      <w:r w:rsidRPr="006C5C48" w:rsidR="00E548A5">
        <w:rPr>
          <w:szCs w:val="24"/>
        </w:rPr>
        <w:t>SDWA</w:t>
      </w:r>
      <w:r w:rsidRPr="006C5C48">
        <w:rPr>
          <w:szCs w:val="24"/>
        </w:rPr>
        <w:t xml:space="preserve">, determining compliance with SDWA, and in advising the public of the risks of unregulated contaminants (42 U.S.C. § 300j-4(a)). In requiring a PWS to monitor under Section </w:t>
      </w:r>
      <w:r w:rsidRPr="006C5C48">
        <w:rPr>
          <w:szCs w:val="24"/>
        </w:rPr>
        <w:t>1445(a), the Administrator may take into consideration the water system size and the contaminants likely to be found in the system’s drinking water (42 U.S.C. § 300j-4(a)).  </w:t>
      </w:r>
      <w:r w:rsidRPr="006C5C48">
        <w:rPr>
          <w:szCs w:val="24"/>
        </w:rPr>
        <w:br/>
        <w:t xml:space="preserve">Section 1445(a)(1)(C) of </w:t>
      </w:r>
      <w:r w:rsidRPr="006C5C48" w:rsidR="00E548A5">
        <w:rPr>
          <w:szCs w:val="24"/>
        </w:rPr>
        <w:t>SDWA</w:t>
      </w:r>
      <w:r w:rsidRPr="006C5C48">
        <w:rPr>
          <w:szCs w:val="24"/>
        </w:rPr>
        <w:t xml:space="preserve"> provides that “every person who is subject to a national primary drinking water regulation” under section 1412 must provide such information as the Administrator may reasonably require to assist the Administrator in establishing regulations under section 1412 (42 U.S.C § 300j-4(a)(1)(C)). </w:t>
      </w:r>
    </w:p>
    <w:p w:rsidR="00C4774B" w:rsidRPr="006C5C48" w:rsidP="00707B3F" w14:paraId="62520900" w14:textId="1013469E">
      <w:pPr>
        <w:pStyle w:val="BodyText"/>
      </w:pPr>
      <w:r w:rsidRPr="006C5C48">
        <w:t>Section 1445 (a)(1)(A) Every person who is subject to any requirement of this title or who is a</w:t>
      </w:r>
      <w:r w:rsidRPr="006C5C48">
        <w:rPr>
          <w:spacing w:val="1"/>
        </w:rPr>
        <w:t xml:space="preserve"> </w:t>
      </w:r>
      <w:r w:rsidRPr="006C5C48">
        <w:t>grantee, shall establish and maintain such records, make such reports, conduct such monitoring,</w:t>
      </w:r>
      <w:r w:rsidRPr="006C5C48">
        <w:rPr>
          <w:spacing w:val="1"/>
        </w:rPr>
        <w:t xml:space="preserve"> </w:t>
      </w:r>
      <w:r w:rsidRPr="006C5C48">
        <w:t>and</w:t>
      </w:r>
      <w:r w:rsidRPr="006C5C48">
        <w:rPr>
          <w:spacing w:val="-1"/>
        </w:rPr>
        <w:t xml:space="preserve"> </w:t>
      </w:r>
      <w:r w:rsidRPr="006C5C48">
        <w:t>provide</w:t>
      </w:r>
      <w:r w:rsidRPr="006C5C48">
        <w:rPr>
          <w:spacing w:val="-1"/>
        </w:rPr>
        <w:t xml:space="preserve"> </w:t>
      </w:r>
      <w:r w:rsidRPr="006C5C48">
        <w:t>such</w:t>
      </w:r>
      <w:r w:rsidRPr="006C5C48">
        <w:rPr>
          <w:spacing w:val="-1"/>
        </w:rPr>
        <w:t xml:space="preserve"> </w:t>
      </w:r>
      <w:r w:rsidRPr="006C5C48">
        <w:t>information as</w:t>
      </w:r>
      <w:r w:rsidRPr="006C5C48">
        <w:rPr>
          <w:spacing w:val="-1"/>
        </w:rPr>
        <w:t xml:space="preserve"> </w:t>
      </w:r>
      <w:r w:rsidRPr="006C5C48">
        <w:t>the</w:t>
      </w:r>
      <w:r w:rsidRPr="006C5C48">
        <w:rPr>
          <w:spacing w:val="-1"/>
        </w:rPr>
        <w:t xml:space="preserve"> </w:t>
      </w:r>
      <w:r w:rsidRPr="006C5C48">
        <w:t>Administrator may</w:t>
      </w:r>
      <w:r w:rsidRPr="006C5C48">
        <w:rPr>
          <w:spacing w:val="-1"/>
        </w:rPr>
        <w:t xml:space="preserve"> </w:t>
      </w:r>
      <w:r w:rsidRPr="006C5C48">
        <w:t>reasonably</w:t>
      </w:r>
      <w:r w:rsidRPr="006C5C48">
        <w:rPr>
          <w:spacing w:val="-1"/>
        </w:rPr>
        <w:t xml:space="preserve"> </w:t>
      </w:r>
      <w:r w:rsidRPr="006C5C48">
        <w:t>require</w:t>
      </w:r>
      <w:r w:rsidRPr="006C5C48">
        <w:rPr>
          <w:spacing w:val="-1"/>
        </w:rPr>
        <w:t xml:space="preserve"> </w:t>
      </w:r>
      <w:r w:rsidRPr="006C5C48">
        <w:t>by regulation</w:t>
      </w:r>
      <w:r w:rsidRPr="006C5C48">
        <w:rPr>
          <w:spacing w:val="-1"/>
        </w:rPr>
        <w:t xml:space="preserve"> </w:t>
      </w:r>
      <w:r w:rsidRPr="006C5C48">
        <w:t>to</w:t>
      </w:r>
      <w:r w:rsidRPr="006C5C48">
        <w:rPr>
          <w:spacing w:val="-1"/>
        </w:rPr>
        <w:t xml:space="preserve"> </w:t>
      </w:r>
      <w:r w:rsidRPr="006C5C48">
        <w:t>assist</w:t>
      </w:r>
      <w:r w:rsidRPr="006C5C48">
        <w:rPr>
          <w:spacing w:val="-57"/>
        </w:rPr>
        <w:t xml:space="preserve"> </w:t>
      </w:r>
      <w:r w:rsidRPr="006C5C48">
        <w:t>the Administrator in establishing regulations under this title, in determining whether such person</w:t>
      </w:r>
      <w:r w:rsidRPr="006C5C48">
        <w:rPr>
          <w:spacing w:val="-57"/>
        </w:rPr>
        <w:t xml:space="preserve"> </w:t>
      </w:r>
      <w:r w:rsidRPr="006C5C48">
        <w:t>has acted or is acting in compliance with this title, in administering any program of financial</w:t>
      </w:r>
      <w:r w:rsidRPr="006C5C48">
        <w:rPr>
          <w:spacing w:val="1"/>
        </w:rPr>
        <w:t xml:space="preserve"> </w:t>
      </w:r>
      <w:r w:rsidRPr="006C5C48">
        <w:t>assistance under this title, in evaluating the health risks of unregulated contaminants, or in</w:t>
      </w:r>
      <w:r w:rsidRPr="006C5C48">
        <w:rPr>
          <w:spacing w:val="1"/>
        </w:rPr>
        <w:t xml:space="preserve"> </w:t>
      </w:r>
      <w:r w:rsidRPr="006C5C48">
        <w:t>advising the public of such risks. In requiring a public water system to monitor under this</w:t>
      </w:r>
      <w:r w:rsidRPr="006C5C48">
        <w:rPr>
          <w:spacing w:val="1"/>
        </w:rPr>
        <w:t xml:space="preserve"> </w:t>
      </w:r>
      <w:r w:rsidRPr="006C5C48">
        <w:t>subsection, the Administrator may take into consideration the system size and the contaminants</w:t>
      </w:r>
      <w:r w:rsidRPr="006C5C48">
        <w:rPr>
          <w:spacing w:val="1"/>
        </w:rPr>
        <w:t xml:space="preserve"> </w:t>
      </w:r>
      <w:r w:rsidRPr="006C5C48">
        <w:t>likely</w:t>
      </w:r>
      <w:r w:rsidRPr="006C5C48">
        <w:rPr>
          <w:spacing w:val="-1"/>
        </w:rPr>
        <w:t xml:space="preserve"> </w:t>
      </w:r>
      <w:r w:rsidRPr="006C5C48">
        <w:t>to be found in the</w:t>
      </w:r>
      <w:r w:rsidRPr="006C5C48">
        <w:rPr>
          <w:spacing w:val="-1"/>
        </w:rPr>
        <w:t xml:space="preserve"> </w:t>
      </w:r>
      <w:r w:rsidRPr="006C5C48">
        <w:t>system's drinking water.</w:t>
      </w:r>
    </w:p>
    <w:p w:rsidR="00F71E3F" w:rsidRPr="006C5C48" w:rsidP="00707B3F" w14:paraId="6136CFE1" w14:textId="4514CC1A">
      <w:pPr>
        <w:pStyle w:val="BodyText"/>
        <w:numPr>
          <w:ilvl w:val="0"/>
          <w:numId w:val="30"/>
        </w:numPr>
      </w:pPr>
      <w:r w:rsidRPr="006C5C48">
        <w:t>Every person who is subject to a national primary drinking water regulation under section</w:t>
      </w:r>
      <w:r w:rsidRPr="006C5C48">
        <w:rPr>
          <w:spacing w:val="1"/>
        </w:rPr>
        <w:t xml:space="preserve"> </w:t>
      </w:r>
      <w:r w:rsidRPr="006C5C48">
        <w:t>1412 shall provide such information as the Administrator may reasonably require, after</w:t>
      </w:r>
      <w:r w:rsidRPr="006C5C48">
        <w:rPr>
          <w:spacing w:val="1"/>
        </w:rPr>
        <w:t xml:space="preserve"> </w:t>
      </w:r>
      <w:r w:rsidRPr="006C5C48">
        <w:t>consultation</w:t>
      </w:r>
      <w:r w:rsidRPr="006C5C48">
        <w:rPr>
          <w:spacing w:val="-1"/>
        </w:rPr>
        <w:t xml:space="preserve"> </w:t>
      </w:r>
      <w:r w:rsidRPr="006C5C48">
        <w:t>with</w:t>
      </w:r>
      <w:r w:rsidRPr="006C5C48">
        <w:rPr>
          <w:spacing w:val="-1"/>
        </w:rPr>
        <w:t xml:space="preserve"> </w:t>
      </w:r>
      <w:r w:rsidRPr="006C5C48">
        <w:t>the state in</w:t>
      </w:r>
      <w:r w:rsidRPr="006C5C48">
        <w:rPr>
          <w:spacing w:val="-1"/>
        </w:rPr>
        <w:t xml:space="preserve"> </w:t>
      </w:r>
      <w:r w:rsidRPr="006C5C48">
        <w:t>which</w:t>
      </w:r>
      <w:r w:rsidRPr="006C5C48">
        <w:rPr>
          <w:spacing w:val="-3"/>
        </w:rPr>
        <w:t xml:space="preserve"> </w:t>
      </w:r>
      <w:r w:rsidRPr="006C5C48">
        <w:t>such person</w:t>
      </w:r>
      <w:r w:rsidRPr="006C5C48">
        <w:rPr>
          <w:spacing w:val="-1"/>
        </w:rPr>
        <w:t xml:space="preserve"> </w:t>
      </w:r>
      <w:r w:rsidRPr="006C5C48">
        <w:t>is</w:t>
      </w:r>
      <w:r w:rsidRPr="006C5C48">
        <w:rPr>
          <w:spacing w:val="-1"/>
        </w:rPr>
        <w:t xml:space="preserve"> </w:t>
      </w:r>
      <w:r w:rsidRPr="006C5C48">
        <w:t>located if</w:t>
      </w:r>
      <w:r w:rsidRPr="006C5C48">
        <w:rPr>
          <w:spacing w:val="-1"/>
        </w:rPr>
        <w:t xml:space="preserve"> </w:t>
      </w:r>
      <w:r w:rsidRPr="006C5C48">
        <w:t>such state has</w:t>
      </w:r>
      <w:r w:rsidRPr="006C5C48">
        <w:rPr>
          <w:spacing w:val="-2"/>
        </w:rPr>
        <w:t xml:space="preserve"> </w:t>
      </w:r>
      <w:r w:rsidRPr="006C5C48">
        <w:t>primary</w:t>
      </w:r>
      <w:r w:rsidRPr="006C5C48">
        <w:rPr>
          <w:spacing w:val="-1"/>
        </w:rPr>
        <w:t xml:space="preserve"> </w:t>
      </w:r>
      <w:r w:rsidRPr="006C5C48">
        <w:t>enforcement</w:t>
      </w:r>
      <w:r w:rsidRPr="006C5C48">
        <w:t xml:space="preserve"> responsibility for public water systems, on a case-by-case basis, to determine whether such</w:t>
      </w:r>
      <w:r w:rsidRPr="006C5C48">
        <w:rPr>
          <w:spacing w:val="-57"/>
        </w:rPr>
        <w:t xml:space="preserve"> </w:t>
      </w:r>
      <w:r w:rsidRPr="006C5C48">
        <w:t>person</w:t>
      </w:r>
      <w:r w:rsidRPr="006C5C48">
        <w:rPr>
          <w:spacing w:val="-1"/>
        </w:rPr>
        <w:t xml:space="preserve"> </w:t>
      </w:r>
      <w:r w:rsidRPr="006C5C48">
        <w:t>has acted or is acting in compliance with this title.</w:t>
      </w:r>
    </w:p>
    <w:p w:rsidR="00F71E3F" w:rsidRPr="006C5C48" w:rsidP="003A3B69" w14:paraId="217D6748" w14:textId="3FB6777C">
      <w:pPr>
        <w:pStyle w:val="ListParagraph"/>
        <w:numPr>
          <w:ilvl w:val="0"/>
          <w:numId w:val="30"/>
        </w:numPr>
      </w:pPr>
      <w:r w:rsidRPr="006C5C48">
        <w:t>Every person who is subject to a national primary drinking water regulation under section</w:t>
      </w:r>
      <w:r w:rsidRPr="006C5C48">
        <w:rPr>
          <w:spacing w:val="1"/>
        </w:rPr>
        <w:t xml:space="preserve"> </w:t>
      </w:r>
      <w:r w:rsidRPr="006C5C48">
        <w:t xml:space="preserve">1412 shall provide such information as the Administrator may reasonably require </w:t>
      </w:r>
      <w:r w:rsidRPr="006C5C48">
        <w:t>to assist</w:t>
      </w:r>
      <w:r w:rsidRPr="006C5C48">
        <w:t xml:space="preserve"> the</w:t>
      </w:r>
      <w:r w:rsidRPr="006C5C48">
        <w:rPr>
          <w:spacing w:val="1"/>
        </w:rPr>
        <w:t xml:space="preserve"> </w:t>
      </w:r>
      <w:r w:rsidRPr="006C5C48">
        <w:t>Administrator in establishing regulations under section 1412 of this title, after consultation with</w:t>
      </w:r>
      <w:r w:rsidRPr="006C5C48">
        <w:rPr>
          <w:spacing w:val="1"/>
        </w:rPr>
        <w:t xml:space="preserve"> </w:t>
      </w:r>
      <w:r w:rsidRPr="006C5C48">
        <w:t>primacy agencies and suppliers of water. The Administrator may not require under this</w:t>
      </w:r>
      <w:r w:rsidRPr="006C5C48">
        <w:rPr>
          <w:spacing w:val="1"/>
        </w:rPr>
        <w:t xml:space="preserve"> </w:t>
      </w:r>
      <w:r w:rsidRPr="006C5C48">
        <w:t>subparagraph the installation of treatment equipment or process changes, the testing of treatment</w:t>
      </w:r>
      <w:r w:rsidRPr="006C5C48">
        <w:rPr>
          <w:spacing w:val="-57"/>
        </w:rPr>
        <w:t xml:space="preserve"> </w:t>
      </w:r>
      <w:r w:rsidRPr="006C5C48">
        <w:t>technology,</w:t>
      </w:r>
      <w:r w:rsidRPr="006C5C48">
        <w:rPr>
          <w:spacing w:val="-2"/>
        </w:rPr>
        <w:t xml:space="preserve"> </w:t>
      </w:r>
      <w:r w:rsidRPr="006C5C48">
        <w:t>or</w:t>
      </w:r>
      <w:r w:rsidRPr="006C5C48">
        <w:rPr>
          <w:spacing w:val="-1"/>
        </w:rPr>
        <w:t xml:space="preserve"> </w:t>
      </w:r>
      <w:r w:rsidRPr="006C5C48">
        <w:t>the</w:t>
      </w:r>
      <w:r w:rsidRPr="006C5C48">
        <w:rPr>
          <w:spacing w:val="-1"/>
        </w:rPr>
        <w:t xml:space="preserve"> </w:t>
      </w:r>
      <w:r w:rsidRPr="006C5C48">
        <w:t>analysis</w:t>
      </w:r>
      <w:r w:rsidRPr="006C5C48">
        <w:rPr>
          <w:spacing w:val="-1"/>
        </w:rPr>
        <w:t xml:space="preserve"> </w:t>
      </w:r>
      <w:r w:rsidRPr="006C5C48">
        <w:t>or</w:t>
      </w:r>
      <w:r w:rsidRPr="006C5C48">
        <w:rPr>
          <w:spacing w:val="-1"/>
        </w:rPr>
        <w:t xml:space="preserve"> </w:t>
      </w:r>
      <w:r w:rsidRPr="006C5C48">
        <w:t>processing</w:t>
      </w:r>
      <w:r w:rsidRPr="006C5C48">
        <w:rPr>
          <w:spacing w:val="-1"/>
        </w:rPr>
        <w:t xml:space="preserve"> </w:t>
      </w:r>
      <w:r w:rsidRPr="006C5C48">
        <w:t>of</w:t>
      </w:r>
      <w:r w:rsidRPr="006C5C48">
        <w:rPr>
          <w:spacing w:val="-1"/>
        </w:rPr>
        <w:t xml:space="preserve"> </w:t>
      </w:r>
      <w:r w:rsidRPr="006C5C48">
        <w:t>monitoring</w:t>
      </w:r>
      <w:r w:rsidRPr="006C5C48">
        <w:rPr>
          <w:spacing w:val="-1"/>
        </w:rPr>
        <w:t xml:space="preserve"> </w:t>
      </w:r>
      <w:r w:rsidRPr="006C5C48">
        <w:t>samples,</w:t>
      </w:r>
      <w:r w:rsidRPr="006C5C48">
        <w:rPr>
          <w:spacing w:val="-1"/>
        </w:rPr>
        <w:t xml:space="preserve"> </w:t>
      </w:r>
      <w:r w:rsidRPr="006C5C48">
        <w:t>except</w:t>
      </w:r>
      <w:r w:rsidRPr="006C5C48">
        <w:rPr>
          <w:spacing w:val="-1"/>
        </w:rPr>
        <w:t xml:space="preserve"> </w:t>
      </w:r>
      <w:r w:rsidRPr="006C5C48">
        <w:t>where</w:t>
      </w:r>
      <w:r w:rsidRPr="006C5C48">
        <w:rPr>
          <w:spacing w:val="-1"/>
        </w:rPr>
        <w:t xml:space="preserve"> </w:t>
      </w:r>
      <w:r w:rsidRPr="006C5C48">
        <w:t>the Administrator</w:t>
      </w:r>
      <w:r w:rsidRPr="006C5C48">
        <w:rPr>
          <w:spacing w:val="-57"/>
        </w:rPr>
        <w:t xml:space="preserve"> </w:t>
      </w:r>
      <w:r w:rsidRPr="006C5C48">
        <w:t xml:space="preserve">provides the funding for such activities. Before exercising this authority, the Administrator </w:t>
      </w:r>
      <w:r w:rsidRPr="006C5C48" w:rsidR="00CF21CE">
        <w:t xml:space="preserve">shall first </w:t>
      </w:r>
      <w:r w:rsidRPr="006C5C48">
        <w:t>seek to</w:t>
      </w:r>
      <w:r w:rsidRPr="006C5C48">
        <w:rPr>
          <w:spacing w:val="-2"/>
        </w:rPr>
        <w:t xml:space="preserve"> </w:t>
      </w:r>
      <w:r w:rsidRPr="006C5C48">
        <w:t>obtain</w:t>
      </w:r>
      <w:r w:rsidRPr="006C5C48">
        <w:rPr>
          <w:spacing w:val="-2"/>
        </w:rPr>
        <w:t xml:space="preserve"> </w:t>
      </w:r>
      <w:r w:rsidRPr="006C5C48">
        <w:t>the information by voluntary submission.</w:t>
      </w:r>
    </w:p>
    <w:p w:rsidR="00F71E3F" w:rsidRPr="006C5C48" w:rsidP="003A3B69" w14:paraId="4B3C6C36" w14:textId="79A79254">
      <w:pPr>
        <w:pStyle w:val="ListParagraph"/>
        <w:numPr>
          <w:ilvl w:val="0"/>
          <w:numId w:val="30"/>
        </w:numPr>
      </w:pPr>
      <w:r w:rsidRPr="006C5C48">
        <w:t>The Administrator shall not later than 2 years after the date of enactment of this</w:t>
      </w:r>
      <w:r w:rsidRPr="006C5C48">
        <w:rPr>
          <w:spacing w:val="1"/>
        </w:rPr>
        <w:t xml:space="preserve"> </w:t>
      </w:r>
      <w:r w:rsidRPr="006C5C48">
        <w:t xml:space="preserve">subparagraph, after consultation with public health experts, representatives of the </w:t>
      </w:r>
      <w:r w:rsidRPr="006C5C48">
        <w:t>general public</w:t>
      </w:r>
      <w:r w:rsidRPr="006C5C48">
        <w:t>,</w:t>
      </w:r>
      <w:r w:rsidRPr="006C5C48">
        <w:rPr>
          <w:spacing w:val="-57"/>
        </w:rPr>
        <w:t xml:space="preserve"> </w:t>
      </w:r>
      <w:r w:rsidRPr="006C5C48">
        <w:t>and officials of state and local governments, review the monitoring requirements for not fewer</w:t>
      </w:r>
      <w:r w:rsidRPr="006C5C48">
        <w:rPr>
          <w:spacing w:val="1"/>
        </w:rPr>
        <w:t xml:space="preserve"> </w:t>
      </w:r>
      <w:r w:rsidRPr="006C5C48">
        <w:t>than 12 contaminants identified by the Administrator, and promulgate any necessary</w:t>
      </w:r>
      <w:r w:rsidRPr="006C5C48">
        <w:rPr>
          <w:spacing w:val="1"/>
        </w:rPr>
        <w:t xml:space="preserve"> </w:t>
      </w:r>
      <w:r w:rsidRPr="006C5C48">
        <w:t>modifications.</w:t>
      </w:r>
    </w:p>
    <w:p w:rsidR="007919FD" w:rsidRPr="006C5C48" w:rsidP="003B7FA2" w14:paraId="2B70F5E1" w14:textId="14D1DB86">
      <w:pPr>
        <w:textAlignment w:val="baseline"/>
        <w:rPr>
          <w:szCs w:val="24"/>
        </w:rPr>
      </w:pPr>
      <w:r w:rsidRPr="006C5C48">
        <w:rPr>
          <w:szCs w:val="24"/>
        </w:rPr>
        <w:t>Section 1450 of SDWA authorizes the Administrator to prescribe such regulations as are necessary or appropriate to carry out his or her functions under the Act (42 U.S.C § 300j-9). </w:t>
      </w:r>
    </w:p>
    <w:sectPr w:rsidSect="00F34A36">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6767170"/>
      <w:docPartObj>
        <w:docPartGallery w:val="Page Numbers (Bottom of Page)"/>
        <w:docPartUnique/>
      </w:docPartObj>
    </w:sdtPr>
    <w:sdtEndPr>
      <w:rPr>
        <w:noProof/>
        <w:sz w:val="18"/>
        <w:szCs w:val="18"/>
      </w:rPr>
    </w:sdtEndPr>
    <w:sdtContent>
      <w:p w:rsidR="00410AC6" w14:paraId="015C1ABE" w14:textId="77777777">
        <w:pPr>
          <w:pStyle w:val="Footer"/>
          <w:jc w:val="center"/>
        </w:pPr>
      </w:p>
      <w:p w:rsidR="0066267A" w:rsidRPr="00410AC6" w:rsidP="00410AC6" w14:paraId="63880F76" w14:textId="2760AA06">
        <w:pPr>
          <w:pStyle w:val="Footer"/>
          <w:jc w:val="center"/>
          <w:rPr>
            <w:sz w:val="18"/>
            <w:szCs w:val="18"/>
          </w:rPr>
        </w:pPr>
        <w:r w:rsidRPr="00410AC6">
          <w:rPr>
            <w:sz w:val="18"/>
            <w:szCs w:val="18"/>
          </w:rPr>
          <w:fldChar w:fldCharType="begin"/>
        </w:r>
        <w:r w:rsidRPr="00410AC6">
          <w:rPr>
            <w:sz w:val="18"/>
            <w:szCs w:val="18"/>
          </w:rPr>
          <w:instrText xml:space="preserve"> PAGE   \* MERGEFORMAT </w:instrText>
        </w:r>
        <w:r w:rsidRPr="00410AC6">
          <w:rPr>
            <w:sz w:val="18"/>
            <w:szCs w:val="18"/>
          </w:rPr>
          <w:fldChar w:fldCharType="separate"/>
        </w:r>
        <w:r w:rsidRPr="00410AC6">
          <w:rPr>
            <w:noProof/>
            <w:sz w:val="18"/>
            <w:szCs w:val="18"/>
          </w:rPr>
          <w:t>2</w:t>
        </w:r>
        <w:r w:rsidRPr="00410AC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D9C49C60ECAD431B86FB7D0202C64C8D"/>
      </w:placeholder>
      <w:showingPlcHdr/>
      <w:richText/>
      <w:temporary/>
      <w15:appearance w15:val="hidden"/>
    </w:sdtPr>
    <w:sdtContent>
      <w:p w:rsidR="001A4348" w14:paraId="6ED7388A" w14:textId="77777777">
        <w:pPr>
          <w:pStyle w:val="Footer"/>
        </w:pPr>
        <w:r>
          <w:t>[Type here]</w:t>
        </w:r>
      </w:p>
    </w:sdtContent>
  </w:sdt>
  <w:p w:rsidR="000B5C68" w14:paraId="284ECE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6CC9" w:rsidP="00FC1ADF" w14:paraId="277217C7" w14:textId="77777777">
      <w:r>
        <w:separator/>
      </w:r>
    </w:p>
  </w:footnote>
  <w:footnote w:type="continuationSeparator" w:id="1">
    <w:p w:rsidR="00076CC9" w:rsidP="00FC1ADF" w14:paraId="2A7E827A" w14:textId="77777777">
      <w:r>
        <w:continuationSeparator/>
      </w:r>
    </w:p>
  </w:footnote>
  <w:footnote w:type="continuationNotice" w:id="2">
    <w:p w:rsidR="00076CC9" w14:paraId="50E85A2D" w14:textId="77777777"/>
  </w:footnote>
  <w:footnote w:id="3">
    <w:p w:rsidR="001A4348" w:rsidRPr="006731E6" w:rsidP="006731E6" w14:paraId="4167AD8B" w14:textId="42D6996C">
      <w:pPr>
        <w:pStyle w:val="FootnoteText"/>
        <w:rPr>
          <w:szCs w:val="18"/>
        </w:rPr>
      </w:pPr>
      <w:r w:rsidRPr="006731E6">
        <w:rPr>
          <w:rStyle w:val="FootnoteReference"/>
          <w:szCs w:val="18"/>
        </w:rPr>
        <w:footnoteRef/>
      </w:r>
      <w:r w:rsidRPr="006731E6">
        <w:rPr>
          <w:szCs w:val="18"/>
        </w:rPr>
        <w:t xml:space="preserve"> Community water systems (CWSs) are public water systems (PWSs) that have at least 15 service connections used by year-round residents or regularly serve at least 25 year-round residents. Non-transient non-community water systems (NTNCWSs) are PWSs that are not CWSs but regularly serve at least 25 of the same persons over six months a year. Throughout the rest of this document, the reference to water systems, systems, utilities, and PWSs include only these two types of PWS.</w:t>
      </w:r>
    </w:p>
  </w:footnote>
  <w:footnote w:id="4">
    <w:p w:rsidR="001A4348" w:rsidRPr="006731E6" w:rsidP="006731E6" w14:paraId="3B8E9E9E" w14:textId="6D9C683D">
      <w:pPr>
        <w:tabs>
          <w:tab w:val="left" w:pos="761"/>
        </w:tabs>
        <w:spacing w:before="58" w:line="244" w:lineRule="auto"/>
        <w:ind w:right="909" w:firstLine="0"/>
        <w:rPr>
          <w:sz w:val="18"/>
          <w:szCs w:val="18"/>
        </w:rPr>
      </w:pPr>
      <w:r w:rsidRPr="006731E6">
        <w:rPr>
          <w:rStyle w:val="FootnoteReference"/>
          <w:sz w:val="18"/>
          <w:szCs w:val="18"/>
        </w:rPr>
        <w:footnoteRef/>
      </w:r>
      <w:r w:rsidRPr="006731E6">
        <w:rPr>
          <w:sz w:val="18"/>
          <w:szCs w:val="18"/>
        </w:rPr>
        <w:t xml:space="preserve"> Throughout the rest of this document, the term primacy agency refers to a state, territory, or </w:t>
      </w:r>
      <w:r w:rsidRPr="006731E6" w:rsidR="00C4774B">
        <w:rPr>
          <w:sz w:val="18"/>
          <w:szCs w:val="18"/>
        </w:rPr>
        <w:t xml:space="preserve">federally recognized </w:t>
      </w:r>
      <w:r w:rsidRPr="006731E6">
        <w:rPr>
          <w:spacing w:val="-47"/>
          <w:sz w:val="18"/>
          <w:szCs w:val="18"/>
        </w:rPr>
        <w:t xml:space="preserve"> </w:t>
      </w:r>
      <w:r w:rsidRPr="006731E6">
        <w:rPr>
          <w:sz w:val="18"/>
          <w:szCs w:val="18"/>
        </w:rPr>
        <w:t xml:space="preserve">tribe that has been granted primacy with respect to the </w:t>
      </w:r>
      <w:r w:rsidRPr="006731E6" w:rsidR="00C4774B">
        <w:rPr>
          <w:sz w:val="18"/>
          <w:szCs w:val="18"/>
        </w:rPr>
        <w:t>NPDWRs</w:t>
      </w:r>
      <w:r w:rsidRPr="006731E6">
        <w:rPr>
          <w:sz w:val="18"/>
          <w:szCs w:val="18"/>
        </w:rPr>
        <w:t xml:space="preserve"> or the appropriate EPA Region (where the state,</w:t>
      </w:r>
      <w:r w:rsidRPr="006731E6">
        <w:rPr>
          <w:spacing w:val="1"/>
          <w:sz w:val="18"/>
          <w:szCs w:val="18"/>
        </w:rPr>
        <w:t xml:space="preserve"> </w:t>
      </w:r>
      <w:r w:rsidRPr="006731E6">
        <w:rPr>
          <w:sz w:val="18"/>
          <w:szCs w:val="18"/>
        </w:rPr>
        <w:t>territory,</w:t>
      </w:r>
      <w:r w:rsidRPr="006731E6">
        <w:rPr>
          <w:spacing w:val="-3"/>
          <w:sz w:val="18"/>
          <w:szCs w:val="18"/>
        </w:rPr>
        <w:t xml:space="preserve"> </w:t>
      </w:r>
      <w:r w:rsidRPr="006731E6">
        <w:rPr>
          <w:sz w:val="18"/>
          <w:szCs w:val="18"/>
        </w:rPr>
        <w:t>or tribe does</w:t>
      </w:r>
      <w:r w:rsidRPr="006731E6">
        <w:rPr>
          <w:spacing w:val="-1"/>
          <w:sz w:val="18"/>
          <w:szCs w:val="18"/>
        </w:rPr>
        <w:t xml:space="preserve"> </w:t>
      </w:r>
      <w:r w:rsidRPr="006731E6">
        <w:rPr>
          <w:sz w:val="18"/>
          <w:szCs w:val="18"/>
        </w:rPr>
        <w:t>not</w:t>
      </w:r>
      <w:r w:rsidRPr="006731E6">
        <w:rPr>
          <w:spacing w:val="-2"/>
          <w:sz w:val="18"/>
          <w:szCs w:val="18"/>
        </w:rPr>
        <w:t xml:space="preserve"> </w:t>
      </w:r>
      <w:r w:rsidRPr="006731E6">
        <w:rPr>
          <w:sz w:val="18"/>
          <w:szCs w:val="18"/>
        </w:rPr>
        <w:t>have primacy).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367" w:rsidP="004A7452" w14:paraId="788FD4C2" w14:textId="77777777">
    <w:pPr>
      <w:pStyle w:val="Header"/>
      <w:jc w:val="center"/>
    </w:pPr>
  </w:p>
  <w:p w:rsidR="003E51FA" w:rsidP="004A7452" w14:paraId="5C298633" w14:textId="77777777">
    <w:pPr>
      <w:pStyle w:val="Header"/>
      <w:jc w:val="center"/>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2A5" w:rsidP="004A7452" w14:paraId="1C0C5B4D" w14:textId="77777777">
    <w:pPr>
      <w:pStyle w:val="Header"/>
      <w:jc w:val="center"/>
    </w:pPr>
  </w:p>
  <w:p w:rsidR="004722A5" w:rsidP="004A7452" w14:paraId="21176A46" w14:textId="77777777">
    <w:pPr>
      <w:pStyle w:val="Header"/>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D2B38"/>
    <w:multiLevelType w:val="hybridMultilevel"/>
    <w:tmpl w:val="7A3A8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B4830"/>
    <w:multiLevelType w:val="multilevel"/>
    <w:tmpl w:val="3790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366B13"/>
    <w:multiLevelType w:val="hybridMultilevel"/>
    <w:tmpl w:val="C2C46D2C"/>
    <w:lvl w:ilvl="0">
      <w:start w:val="1"/>
      <w:numFmt w:val="decimal"/>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593152"/>
    <w:multiLevelType w:val="hybridMultilevel"/>
    <w:tmpl w:val="BF3255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F904022"/>
    <w:multiLevelType w:val="hybridMultilevel"/>
    <w:tmpl w:val="CF406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C20DB4"/>
    <w:multiLevelType w:val="hybridMultilevel"/>
    <w:tmpl w:val="E32CC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807CB0"/>
    <w:multiLevelType w:val="hybridMultilevel"/>
    <w:tmpl w:val="E93C4638"/>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43C047C"/>
    <w:multiLevelType w:val="hybridMultilevel"/>
    <w:tmpl w:val="8D8830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AA31F02"/>
    <w:multiLevelType w:val="hybridMultilevel"/>
    <w:tmpl w:val="70EA4BA6"/>
    <w:lvl w:ilvl="0">
      <w:start w:val="1"/>
      <w:numFmt w:val="upperLetter"/>
      <w:lvlText w:val="%1."/>
      <w:lvlJc w:val="left"/>
      <w:pPr>
        <w:ind w:left="720" w:hanging="360"/>
      </w:pPr>
      <w:rPr>
        <w:rFonts w:hint="default"/>
        <w:b/>
        <w:bCs w:val="0"/>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4B47B1"/>
    <w:multiLevelType w:val="multilevel"/>
    <w:tmpl w:val="26260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612056"/>
    <w:multiLevelType w:val="hybridMultilevel"/>
    <w:tmpl w:val="66E84226"/>
    <w:lvl w:ilvl="0">
      <w:start w:val="1"/>
      <w:numFmt w:val="upperLetter"/>
      <w:lvlText w:val="%1."/>
      <w:lvlJc w:val="left"/>
      <w:pPr>
        <w:ind w:left="1713" w:hanging="360"/>
      </w:p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11">
    <w:nsid w:val="27104AFF"/>
    <w:multiLevelType w:val="hybridMultilevel"/>
    <w:tmpl w:val="FF68BED0"/>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8AB63C6"/>
    <w:multiLevelType w:val="hybridMultilevel"/>
    <w:tmpl w:val="26F87560"/>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BF33993"/>
    <w:multiLevelType w:val="hybridMultilevel"/>
    <w:tmpl w:val="FD36A318"/>
    <w:lvl w:ilvl="0">
      <w:start w:val="0"/>
      <w:numFmt w:val="bullet"/>
      <w:lvlText w:val=""/>
      <w:lvlJc w:val="left"/>
      <w:pPr>
        <w:ind w:left="1340" w:hanging="361"/>
      </w:pPr>
      <w:rPr>
        <w:rFonts w:ascii="Symbol" w:eastAsia="Symbol" w:hAnsi="Symbol" w:cs="Symbol" w:hint="default"/>
        <w:w w:val="100"/>
        <w:sz w:val="24"/>
        <w:szCs w:val="24"/>
        <w:lang w:val="en-US" w:eastAsia="en-US" w:bidi="ar-SA"/>
      </w:rPr>
    </w:lvl>
    <w:lvl w:ilvl="1">
      <w:start w:val="0"/>
      <w:numFmt w:val="bullet"/>
      <w:lvlText w:val="•"/>
      <w:lvlJc w:val="left"/>
      <w:pPr>
        <w:ind w:left="2278" w:hanging="361"/>
      </w:pPr>
      <w:rPr>
        <w:rFonts w:hint="default"/>
        <w:lang w:val="en-US" w:eastAsia="en-US" w:bidi="ar-SA"/>
      </w:rPr>
    </w:lvl>
    <w:lvl w:ilvl="2">
      <w:start w:val="0"/>
      <w:numFmt w:val="bullet"/>
      <w:lvlText w:val="•"/>
      <w:lvlJc w:val="left"/>
      <w:pPr>
        <w:ind w:left="3216" w:hanging="361"/>
      </w:pPr>
      <w:rPr>
        <w:rFonts w:hint="default"/>
        <w:lang w:val="en-US" w:eastAsia="en-US" w:bidi="ar-SA"/>
      </w:rPr>
    </w:lvl>
    <w:lvl w:ilvl="3">
      <w:start w:val="0"/>
      <w:numFmt w:val="bullet"/>
      <w:lvlText w:val="•"/>
      <w:lvlJc w:val="left"/>
      <w:pPr>
        <w:ind w:left="4154" w:hanging="361"/>
      </w:pPr>
      <w:rPr>
        <w:rFonts w:hint="default"/>
        <w:lang w:val="en-US" w:eastAsia="en-US" w:bidi="ar-SA"/>
      </w:rPr>
    </w:lvl>
    <w:lvl w:ilvl="4">
      <w:start w:val="0"/>
      <w:numFmt w:val="bullet"/>
      <w:lvlText w:val="•"/>
      <w:lvlJc w:val="left"/>
      <w:pPr>
        <w:ind w:left="5092" w:hanging="361"/>
      </w:pPr>
      <w:rPr>
        <w:rFonts w:hint="default"/>
        <w:lang w:val="en-US" w:eastAsia="en-US" w:bidi="ar-SA"/>
      </w:rPr>
    </w:lvl>
    <w:lvl w:ilvl="5">
      <w:start w:val="0"/>
      <w:numFmt w:val="bullet"/>
      <w:lvlText w:val="•"/>
      <w:lvlJc w:val="left"/>
      <w:pPr>
        <w:ind w:left="6030" w:hanging="361"/>
      </w:pPr>
      <w:rPr>
        <w:rFonts w:hint="default"/>
        <w:lang w:val="en-US" w:eastAsia="en-US" w:bidi="ar-SA"/>
      </w:rPr>
    </w:lvl>
    <w:lvl w:ilvl="6">
      <w:start w:val="0"/>
      <w:numFmt w:val="bullet"/>
      <w:lvlText w:val="•"/>
      <w:lvlJc w:val="left"/>
      <w:pPr>
        <w:ind w:left="6968" w:hanging="361"/>
      </w:pPr>
      <w:rPr>
        <w:rFonts w:hint="default"/>
        <w:lang w:val="en-US" w:eastAsia="en-US" w:bidi="ar-SA"/>
      </w:rPr>
    </w:lvl>
    <w:lvl w:ilvl="7">
      <w:start w:val="0"/>
      <w:numFmt w:val="bullet"/>
      <w:lvlText w:val="•"/>
      <w:lvlJc w:val="left"/>
      <w:pPr>
        <w:ind w:left="7906" w:hanging="361"/>
      </w:pPr>
      <w:rPr>
        <w:rFonts w:hint="default"/>
        <w:lang w:val="en-US" w:eastAsia="en-US" w:bidi="ar-SA"/>
      </w:rPr>
    </w:lvl>
    <w:lvl w:ilvl="8">
      <w:start w:val="0"/>
      <w:numFmt w:val="bullet"/>
      <w:lvlText w:val="•"/>
      <w:lvlJc w:val="left"/>
      <w:pPr>
        <w:ind w:left="8844" w:hanging="361"/>
      </w:pPr>
      <w:rPr>
        <w:rFonts w:hint="default"/>
        <w:lang w:val="en-US" w:eastAsia="en-US" w:bidi="ar-SA"/>
      </w:rPr>
    </w:lvl>
  </w:abstractNum>
  <w:abstractNum w:abstractNumId="14">
    <w:nsid w:val="2E984000"/>
    <w:multiLevelType w:val="hybridMultilevel"/>
    <w:tmpl w:val="9CB66006"/>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046C34"/>
    <w:multiLevelType w:val="hybridMultilevel"/>
    <w:tmpl w:val="C16CEF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B876FA"/>
    <w:multiLevelType w:val="hybridMultilevel"/>
    <w:tmpl w:val="4504319A"/>
    <w:lvl w:ilvl="0">
      <w:start w:val="1"/>
      <w:numFmt w:val="upperLetter"/>
      <w:pStyle w:val="Heading2"/>
      <w:lvlText w:val="%1."/>
      <w:lvlJc w:val="left"/>
      <w:pPr>
        <w:ind w:left="1440" w:hanging="360"/>
      </w:pPr>
      <w:rPr>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AAC1244"/>
    <w:multiLevelType w:val="hybridMultilevel"/>
    <w:tmpl w:val="DA28D2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B4179B7"/>
    <w:multiLevelType w:val="multilevel"/>
    <w:tmpl w:val="FED24806"/>
    <w:lvl w:ilvl="0">
      <w:start w:val="1"/>
      <w:numFmt w:val="decimal"/>
      <w:pStyle w:val="MainTextHeading1"/>
      <w:lvlText w:val="%1.0"/>
      <w:lvlJc w:val="left"/>
      <w:pPr>
        <w:ind w:left="720" w:hanging="720"/>
      </w:pPr>
    </w:lvl>
    <w:lvl w:ilvl="1">
      <w:start w:val="1"/>
      <w:numFmt w:val="decimal"/>
      <w:lvlText w:val="%1.%2"/>
      <w:lvlJc w:val="left"/>
      <w:pPr>
        <w:ind w:left="864" w:hanging="864"/>
      </w:pPr>
    </w:lvl>
    <w:lvl w:ilvl="2">
      <w:start w:val="1"/>
      <w:numFmt w:val="decimal"/>
      <w:lvlText w:val="%1.%2.%3"/>
      <w:lvlJc w:val="left"/>
      <w:pPr>
        <w:ind w:left="1008" w:hanging="1008"/>
      </w:pPr>
    </w:lvl>
    <w:lvl w:ilvl="3">
      <w:start w:val="1"/>
      <w:numFmt w:val="decimal"/>
      <w:lvlText w:val="%1.%2.%3.%4"/>
      <w:lvlJc w:val="left"/>
      <w:pPr>
        <w:ind w:left="1152" w:hanging="1152"/>
      </w:pPr>
    </w:lvl>
    <w:lvl w:ilvl="4">
      <w:start w:val="1"/>
      <w:numFmt w:val="decimal"/>
      <w:lvlText w:val="%1.%2.%3.%4.%5"/>
      <w:lvlJc w:val="left"/>
      <w:pPr>
        <w:ind w:left="1296" w:hanging="1296"/>
      </w:pPr>
    </w:lvl>
    <w:lvl w:ilvl="5">
      <w:start w:val="1"/>
      <w:numFmt w:val="decimal"/>
      <w:lvlText w:val="%1.%2.%3.%4.%5.%6"/>
      <w:lvlJc w:val="left"/>
      <w:pPr>
        <w:ind w:left="1440" w:hanging="1440"/>
      </w:pPr>
    </w:lvl>
    <w:lvl w:ilvl="6">
      <w:start w:val="1"/>
      <w:numFmt w:val="decimal"/>
      <w:lvlText w:val="%1.%2.%3.%4.%5.%6.%7"/>
      <w:lvlJc w:val="left"/>
      <w:pPr>
        <w:ind w:left="1584" w:hanging="1584"/>
      </w:pPr>
    </w:lvl>
    <w:lvl w:ilvl="7">
      <w:start w:val="1"/>
      <w:numFmt w:val="decimal"/>
      <w:lvlText w:val="%1.%2.%3.%4.%5.%6.%7.%8"/>
      <w:lvlJc w:val="left"/>
      <w:pPr>
        <w:ind w:left="1728" w:hanging="1728"/>
      </w:pPr>
    </w:lvl>
    <w:lvl w:ilvl="8">
      <w:start w:val="1"/>
      <w:numFmt w:val="decimal"/>
      <w:lvlText w:val="%1.%2.%3.%4.%5.%6.%7.%8.%9"/>
      <w:lvlJc w:val="left"/>
      <w:pPr>
        <w:ind w:left="1584" w:hanging="1584"/>
      </w:pPr>
    </w:lvl>
  </w:abstractNum>
  <w:abstractNum w:abstractNumId="19">
    <w:nsid w:val="3B950D35"/>
    <w:multiLevelType w:val="hybridMultilevel"/>
    <w:tmpl w:val="ABAED0B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CB0BA3"/>
    <w:multiLevelType w:val="hybridMultilevel"/>
    <w:tmpl w:val="2FECE3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FE750DF"/>
    <w:multiLevelType w:val="hybridMultilevel"/>
    <w:tmpl w:val="7098E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A9495B"/>
    <w:multiLevelType w:val="hybridMultilevel"/>
    <w:tmpl w:val="F888FE3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3">
    <w:nsid w:val="41523723"/>
    <w:multiLevelType w:val="hybridMultilevel"/>
    <w:tmpl w:val="0F2EB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E65B45"/>
    <w:multiLevelType w:val="hybridMultilevel"/>
    <w:tmpl w:val="F2C86E0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E9155C"/>
    <w:multiLevelType w:val="hybridMultilevel"/>
    <w:tmpl w:val="80829692"/>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79E2F52"/>
    <w:multiLevelType w:val="hybridMultilevel"/>
    <w:tmpl w:val="717C12C0"/>
    <w:lvl w:ilvl="0">
      <w:start w:val="1"/>
      <w:numFmt w:val="lowerLetter"/>
      <w:lvlText w:val="%1."/>
      <w:lvlJc w:val="left"/>
      <w:pPr>
        <w:ind w:left="25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485F9C"/>
    <w:multiLevelType w:val="multilevel"/>
    <w:tmpl w:val="22DCD610"/>
    <w:lvl w:ilvl="0">
      <w:start w:val="1"/>
      <w:numFmt w:val="upperRoman"/>
      <w:lvlText w:val="%1."/>
      <w:lvlJc w:val="left"/>
      <w:pPr>
        <w:ind w:left="0" w:firstLine="0"/>
      </w:pPr>
      <w:rPr>
        <w:rFonts w:ascii="Times New Roman" w:eastAsia="Times New Roman" w:hAnsi="Times New Roman" w:cs="Times New Roman"/>
      </w:rPr>
    </w:lvl>
    <w:lvl w:ilvl="1">
      <w:start w:val="1"/>
      <w:numFmt w:val="upperLetter"/>
      <w:lvlText w:val="%2."/>
      <w:lvlJc w:val="left"/>
      <w:pPr>
        <w:ind w:left="993" w:firstLine="0"/>
      </w:pPr>
      <w:rPr>
        <w:rFonts w:ascii="Times New Roman" w:hAnsi="Times New Roman" w:cs="Times New Roman" w:hint="default"/>
      </w:rPr>
    </w:lvl>
    <w:lvl w:ilvl="2">
      <w:start w:val="1"/>
      <w:numFmt w:val="decimal"/>
      <w:lvlText w:val="%3."/>
      <w:lvlJc w:val="left"/>
      <w:pPr>
        <w:ind w:left="1440" w:firstLine="0"/>
      </w:pPr>
      <w:rPr>
        <w:rFonts w:ascii="Times New Roman" w:hAnsi="Times New Roman" w:cs="Times New Roman"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nsid w:val="4B0D777D"/>
    <w:multiLevelType w:val="hybridMultilevel"/>
    <w:tmpl w:val="0F84A5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D73F08"/>
    <w:multiLevelType w:val="hybridMultilevel"/>
    <w:tmpl w:val="61F4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0B5E92"/>
    <w:multiLevelType w:val="hybridMultilevel"/>
    <w:tmpl w:val="294EE5AA"/>
    <w:lvl w:ilvl="0">
      <w:start w:val="1"/>
      <w:numFmt w:val="upp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12A0FE7"/>
    <w:multiLevelType w:val="hybridMultilevel"/>
    <w:tmpl w:val="AD9A901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F3639C"/>
    <w:multiLevelType w:val="hybridMultilevel"/>
    <w:tmpl w:val="BF8C1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5D3C64"/>
    <w:multiLevelType w:val="hybridMultilevel"/>
    <w:tmpl w:val="F54C1D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5EF6720"/>
    <w:multiLevelType w:val="hybridMultilevel"/>
    <w:tmpl w:val="F4481F4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4A6994"/>
    <w:multiLevelType w:val="hybridMultilevel"/>
    <w:tmpl w:val="10A83C8E"/>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A0522C"/>
    <w:multiLevelType w:val="hybridMultilevel"/>
    <w:tmpl w:val="98209F34"/>
    <w:lvl w:ilvl="0">
      <w:start w:val="1"/>
      <w:numFmt w:val="bullet"/>
      <w:lvlText w:val=""/>
      <w:lvlJc w:val="left"/>
      <w:pPr>
        <w:ind w:left="1699" w:hanging="360"/>
      </w:pPr>
      <w:rPr>
        <w:rFonts w:ascii="Symbol" w:hAnsi="Symbol" w:hint="default"/>
      </w:rPr>
    </w:lvl>
    <w:lvl w:ilvl="1" w:tentative="1">
      <w:start w:val="1"/>
      <w:numFmt w:val="bullet"/>
      <w:lvlText w:val="o"/>
      <w:lvlJc w:val="left"/>
      <w:pPr>
        <w:ind w:left="2419" w:hanging="360"/>
      </w:pPr>
      <w:rPr>
        <w:rFonts w:ascii="Courier New" w:hAnsi="Courier New" w:cs="Courier New" w:hint="default"/>
      </w:rPr>
    </w:lvl>
    <w:lvl w:ilvl="2" w:tentative="1">
      <w:start w:val="1"/>
      <w:numFmt w:val="bullet"/>
      <w:lvlText w:val=""/>
      <w:lvlJc w:val="left"/>
      <w:pPr>
        <w:ind w:left="3139" w:hanging="360"/>
      </w:pPr>
      <w:rPr>
        <w:rFonts w:ascii="Wingdings" w:hAnsi="Wingdings" w:hint="default"/>
      </w:rPr>
    </w:lvl>
    <w:lvl w:ilvl="3" w:tentative="1">
      <w:start w:val="1"/>
      <w:numFmt w:val="bullet"/>
      <w:lvlText w:val=""/>
      <w:lvlJc w:val="left"/>
      <w:pPr>
        <w:ind w:left="3859" w:hanging="360"/>
      </w:pPr>
      <w:rPr>
        <w:rFonts w:ascii="Symbol" w:hAnsi="Symbol" w:hint="default"/>
      </w:rPr>
    </w:lvl>
    <w:lvl w:ilvl="4" w:tentative="1">
      <w:start w:val="1"/>
      <w:numFmt w:val="bullet"/>
      <w:lvlText w:val="o"/>
      <w:lvlJc w:val="left"/>
      <w:pPr>
        <w:ind w:left="4579" w:hanging="360"/>
      </w:pPr>
      <w:rPr>
        <w:rFonts w:ascii="Courier New" w:hAnsi="Courier New" w:cs="Courier New" w:hint="default"/>
      </w:rPr>
    </w:lvl>
    <w:lvl w:ilvl="5" w:tentative="1">
      <w:start w:val="1"/>
      <w:numFmt w:val="bullet"/>
      <w:lvlText w:val=""/>
      <w:lvlJc w:val="left"/>
      <w:pPr>
        <w:ind w:left="5299" w:hanging="360"/>
      </w:pPr>
      <w:rPr>
        <w:rFonts w:ascii="Wingdings" w:hAnsi="Wingdings" w:hint="default"/>
      </w:rPr>
    </w:lvl>
    <w:lvl w:ilvl="6" w:tentative="1">
      <w:start w:val="1"/>
      <w:numFmt w:val="bullet"/>
      <w:lvlText w:val=""/>
      <w:lvlJc w:val="left"/>
      <w:pPr>
        <w:ind w:left="6019" w:hanging="360"/>
      </w:pPr>
      <w:rPr>
        <w:rFonts w:ascii="Symbol" w:hAnsi="Symbol" w:hint="default"/>
      </w:rPr>
    </w:lvl>
    <w:lvl w:ilvl="7" w:tentative="1">
      <w:start w:val="1"/>
      <w:numFmt w:val="bullet"/>
      <w:lvlText w:val="o"/>
      <w:lvlJc w:val="left"/>
      <w:pPr>
        <w:ind w:left="6739" w:hanging="360"/>
      </w:pPr>
      <w:rPr>
        <w:rFonts w:ascii="Courier New" w:hAnsi="Courier New" w:cs="Courier New" w:hint="default"/>
      </w:rPr>
    </w:lvl>
    <w:lvl w:ilvl="8" w:tentative="1">
      <w:start w:val="1"/>
      <w:numFmt w:val="bullet"/>
      <w:lvlText w:val=""/>
      <w:lvlJc w:val="left"/>
      <w:pPr>
        <w:ind w:left="7459" w:hanging="360"/>
      </w:pPr>
      <w:rPr>
        <w:rFonts w:ascii="Wingdings" w:hAnsi="Wingdings" w:hint="default"/>
      </w:rPr>
    </w:lvl>
  </w:abstractNum>
  <w:abstractNum w:abstractNumId="37">
    <w:nsid w:val="58B60A46"/>
    <w:multiLevelType w:val="hybridMultilevel"/>
    <w:tmpl w:val="C75CB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F64CD5"/>
    <w:multiLevelType w:val="hybridMultilevel"/>
    <w:tmpl w:val="78164E92"/>
    <w:lvl w:ilvl="0">
      <w:start w:val="1"/>
      <w:numFmt w:val="decimal"/>
      <w:lvlText w:val="%1"/>
      <w:lvlJc w:val="left"/>
      <w:pPr>
        <w:ind w:left="620" w:hanging="180"/>
      </w:pPr>
      <w:rPr>
        <w:rFonts w:hint="default"/>
        <w:w w:val="100"/>
        <w:lang w:val="en-US" w:eastAsia="en-US" w:bidi="ar-SA"/>
      </w:rPr>
    </w:lvl>
    <w:lvl w:ilvl="1">
      <w:start w:val="0"/>
      <w:numFmt w:val="bullet"/>
      <w:lvlText w:val=""/>
      <w:lvlJc w:val="left"/>
      <w:pPr>
        <w:ind w:left="1340" w:hanging="361"/>
      </w:pPr>
      <w:rPr>
        <w:rFonts w:ascii="Symbol" w:eastAsia="Symbol" w:hAnsi="Symbol" w:cs="Symbol" w:hint="default"/>
        <w:w w:val="100"/>
        <w:sz w:val="24"/>
        <w:szCs w:val="24"/>
        <w:lang w:val="en-US" w:eastAsia="en-US" w:bidi="ar-SA"/>
      </w:rPr>
    </w:lvl>
    <w:lvl w:ilvl="2">
      <w:start w:val="0"/>
      <w:numFmt w:val="bullet"/>
      <w:lvlText w:val="•"/>
      <w:lvlJc w:val="left"/>
      <w:pPr>
        <w:ind w:left="2382" w:hanging="361"/>
      </w:pPr>
      <w:rPr>
        <w:rFonts w:hint="default"/>
        <w:lang w:val="en-US" w:eastAsia="en-US" w:bidi="ar-SA"/>
      </w:rPr>
    </w:lvl>
    <w:lvl w:ilvl="3">
      <w:start w:val="0"/>
      <w:numFmt w:val="bullet"/>
      <w:lvlText w:val="•"/>
      <w:lvlJc w:val="left"/>
      <w:pPr>
        <w:ind w:left="3424" w:hanging="361"/>
      </w:pPr>
      <w:rPr>
        <w:rFonts w:hint="default"/>
        <w:lang w:val="en-US" w:eastAsia="en-US" w:bidi="ar-SA"/>
      </w:rPr>
    </w:lvl>
    <w:lvl w:ilvl="4">
      <w:start w:val="0"/>
      <w:numFmt w:val="bullet"/>
      <w:lvlText w:val="•"/>
      <w:lvlJc w:val="left"/>
      <w:pPr>
        <w:ind w:left="4466" w:hanging="361"/>
      </w:pPr>
      <w:rPr>
        <w:rFonts w:hint="default"/>
        <w:lang w:val="en-US" w:eastAsia="en-US" w:bidi="ar-SA"/>
      </w:rPr>
    </w:lvl>
    <w:lvl w:ilvl="5">
      <w:start w:val="0"/>
      <w:numFmt w:val="bullet"/>
      <w:lvlText w:val="•"/>
      <w:lvlJc w:val="left"/>
      <w:pPr>
        <w:ind w:left="5508" w:hanging="361"/>
      </w:pPr>
      <w:rPr>
        <w:rFonts w:hint="default"/>
        <w:lang w:val="en-US" w:eastAsia="en-US" w:bidi="ar-SA"/>
      </w:rPr>
    </w:lvl>
    <w:lvl w:ilvl="6">
      <w:start w:val="0"/>
      <w:numFmt w:val="bullet"/>
      <w:lvlText w:val="•"/>
      <w:lvlJc w:val="left"/>
      <w:pPr>
        <w:ind w:left="6551" w:hanging="361"/>
      </w:pPr>
      <w:rPr>
        <w:rFonts w:hint="default"/>
        <w:lang w:val="en-US" w:eastAsia="en-US" w:bidi="ar-SA"/>
      </w:rPr>
    </w:lvl>
    <w:lvl w:ilvl="7">
      <w:start w:val="0"/>
      <w:numFmt w:val="bullet"/>
      <w:lvlText w:val="•"/>
      <w:lvlJc w:val="left"/>
      <w:pPr>
        <w:ind w:left="7593" w:hanging="361"/>
      </w:pPr>
      <w:rPr>
        <w:rFonts w:hint="default"/>
        <w:lang w:val="en-US" w:eastAsia="en-US" w:bidi="ar-SA"/>
      </w:rPr>
    </w:lvl>
    <w:lvl w:ilvl="8">
      <w:start w:val="0"/>
      <w:numFmt w:val="bullet"/>
      <w:lvlText w:val="•"/>
      <w:lvlJc w:val="left"/>
      <w:pPr>
        <w:ind w:left="8635" w:hanging="361"/>
      </w:pPr>
      <w:rPr>
        <w:rFonts w:hint="default"/>
        <w:lang w:val="en-US" w:eastAsia="en-US" w:bidi="ar-SA"/>
      </w:rPr>
    </w:lvl>
  </w:abstractNum>
  <w:abstractNum w:abstractNumId="39">
    <w:nsid w:val="5FA20FD7"/>
    <w:multiLevelType w:val="hybridMultilevel"/>
    <w:tmpl w:val="A51CBC3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6B43C6"/>
    <w:multiLevelType w:val="hybridMultilevel"/>
    <w:tmpl w:val="65A4B19E"/>
    <w:lvl w:ilvl="0">
      <w:start w:val="4"/>
      <w:numFmt w:val="upperLetter"/>
      <w:lvlText w:val="(%1)"/>
      <w:lvlJc w:val="left"/>
      <w:pPr>
        <w:ind w:left="620" w:hanging="394"/>
      </w:pPr>
      <w:rPr>
        <w:rFonts w:ascii="Times New Roman" w:eastAsia="Times New Roman" w:hAnsi="Times New Roman" w:cs="Times New Roman" w:hint="default"/>
        <w:w w:val="99"/>
        <w:sz w:val="24"/>
        <w:szCs w:val="24"/>
        <w:lang w:val="en-US" w:eastAsia="en-US" w:bidi="ar-SA"/>
      </w:rPr>
    </w:lvl>
    <w:lvl w:ilvl="1">
      <w:start w:val="1"/>
      <w:numFmt w:val="decimal"/>
      <w:lvlText w:val="(%2)"/>
      <w:lvlJc w:val="left"/>
      <w:pPr>
        <w:ind w:left="620" w:hanging="341"/>
      </w:pPr>
      <w:rPr>
        <w:rFonts w:ascii="Times New Roman" w:eastAsia="Times New Roman" w:hAnsi="Times New Roman" w:cs="Times New Roman" w:hint="default"/>
        <w:w w:val="99"/>
        <w:sz w:val="24"/>
        <w:szCs w:val="24"/>
        <w:lang w:val="en-US" w:eastAsia="en-US" w:bidi="ar-SA"/>
      </w:rPr>
    </w:lvl>
    <w:lvl w:ilvl="2">
      <w:start w:val="0"/>
      <w:numFmt w:val="bullet"/>
      <w:lvlText w:val="•"/>
      <w:lvlJc w:val="left"/>
      <w:pPr>
        <w:ind w:left="2640" w:hanging="341"/>
      </w:pPr>
      <w:rPr>
        <w:rFonts w:hint="default"/>
        <w:lang w:val="en-US" w:eastAsia="en-US" w:bidi="ar-SA"/>
      </w:rPr>
    </w:lvl>
    <w:lvl w:ilvl="3">
      <w:start w:val="0"/>
      <w:numFmt w:val="bullet"/>
      <w:lvlText w:val="•"/>
      <w:lvlJc w:val="left"/>
      <w:pPr>
        <w:ind w:left="3650" w:hanging="341"/>
      </w:pPr>
      <w:rPr>
        <w:rFonts w:hint="default"/>
        <w:lang w:val="en-US" w:eastAsia="en-US" w:bidi="ar-SA"/>
      </w:rPr>
    </w:lvl>
    <w:lvl w:ilvl="4">
      <w:start w:val="0"/>
      <w:numFmt w:val="bullet"/>
      <w:lvlText w:val="•"/>
      <w:lvlJc w:val="left"/>
      <w:pPr>
        <w:ind w:left="4660" w:hanging="341"/>
      </w:pPr>
      <w:rPr>
        <w:rFonts w:hint="default"/>
        <w:lang w:val="en-US" w:eastAsia="en-US" w:bidi="ar-SA"/>
      </w:rPr>
    </w:lvl>
    <w:lvl w:ilvl="5">
      <w:start w:val="0"/>
      <w:numFmt w:val="bullet"/>
      <w:lvlText w:val="•"/>
      <w:lvlJc w:val="left"/>
      <w:pPr>
        <w:ind w:left="5670" w:hanging="341"/>
      </w:pPr>
      <w:rPr>
        <w:rFonts w:hint="default"/>
        <w:lang w:val="en-US" w:eastAsia="en-US" w:bidi="ar-SA"/>
      </w:rPr>
    </w:lvl>
    <w:lvl w:ilvl="6">
      <w:start w:val="0"/>
      <w:numFmt w:val="bullet"/>
      <w:lvlText w:val="•"/>
      <w:lvlJc w:val="left"/>
      <w:pPr>
        <w:ind w:left="6680" w:hanging="341"/>
      </w:pPr>
      <w:rPr>
        <w:rFonts w:hint="default"/>
        <w:lang w:val="en-US" w:eastAsia="en-US" w:bidi="ar-SA"/>
      </w:rPr>
    </w:lvl>
    <w:lvl w:ilvl="7">
      <w:start w:val="0"/>
      <w:numFmt w:val="bullet"/>
      <w:lvlText w:val="•"/>
      <w:lvlJc w:val="left"/>
      <w:pPr>
        <w:ind w:left="7690" w:hanging="341"/>
      </w:pPr>
      <w:rPr>
        <w:rFonts w:hint="default"/>
        <w:lang w:val="en-US" w:eastAsia="en-US" w:bidi="ar-SA"/>
      </w:rPr>
    </w:lvl>
    <w:lvl w:ilvl="8">
      <w:start w:val="0"/>
      <w:numFmt w:val="bullet"/>
      <w:lvlText w:val="•"/>
      <w:lvlJc w:val="left"/>
      <w:pPr>
        <w:ind w:left="8700" w:hanging="341"/>
      </w:pPr>
      <w:rPr>
        <w:rFonts w:hint="default"/>
        <w:lang w:val="en-US" w:eastAsia="en-US" w:bidi="ar-SA"/>
      </w:rPr>
    </w:lvl>
  </w:abstractNum>
  <w:abstractNum w:abstractNumId="41">
    <w:nsid w:val="64961541"/>
    <w:multiLevelType w:val="hybridMultilevel"/>
    <w:tmpl w:val="1A8CF6CE"/>
    <w:lvl w:ilvl="0">
      <w:start w:val="2"/>
      <w:numFmt w:val="upperLetter"/>
      <w:lvlText w:val="(%1)"/>
      <w:lvlJc w:val="left"/>
      <w:pPr>
        <w:ind w:left="620" w:hanging="380"/>
      </w:pPr>
      <w:rPr>
        <w:rFonts w:ascii="Times New Roman" w:eastAsia="Times New Roman" w:hAnsi="Times New Roman" w:cs="Times New Roman" w:hint="default"/>
        <w:w w:val="99"/>
        <w:sz w:val="24"/>
        <w:szCs w:val="24"/>
        <w:lang w:val="en-US" w:eastAsia="en-US" w:bidi="ar-SA"/>
      </w:rPr>
    </w:lvl>
    <w:lvl w:ilvl="1">
      <w:start w:val="0"/>
      <w:numFmt w:val="bullet"/>
      <w:lvlText w:val="•"/>
      <w:lvlJc w:val="left"/>
      <w:pPr>
        <w:ind w:left="1630" w:hanging="380"/>
      </w:pPr>
      <w:rPr>
        <w:rFonts w:hint="default"/>
        <w:lang w:val="en-US" w:eastAsia="en-US" w:bidi="ar-SA"/>
      </w:rPr>
    </w:lvl>
    <w:lvl w:ilvl="2">
      <w:start w:val="0"/>
      <w:numFmt w:val="bullet"/>
      <w:lvlText w:val="•"/>
      <w:lvlJc w:val="left"/>
      <w:pPr>
        <w:ind w:left="2640" w:hanging="380"/>
      </w:pPr>
      <w:rPr>
        <w:rFonts w:hint="default"/>
        <w:lang w:val="en-US" w:eastAsia="en-US" w:bidi="ar-SA"/>
      </w:rPr>
    </w:lvl>
    <w:lvl w:ilvl="3">
      <w:start w:val="0"/>
      <w:numFmt w:val="bullet"/>
      <w:lvlText w:val="•"/>
      <w:lvlJc w:val="left"/>
      <w:pPr>
        <w:ind w:left="3650" w:hanging="380"/>
      </w:pPr>
      <w:rPr>
        <w:rFonts w:hint="default"/>
        <w:lang w:val="en-US" w:eastAsia="en-US" w:bidi="ar-SA"/>
      </w:rPr>
    </w:lvl>
    <w:lvl w:ilvl="4">
      <w:start w:val="0"/>
      <w:numFmt w:val="bullet"/>
      <w:lvlText w:val="•"/>
      <w:lvlJc w:val="left"/>
      <w:pPr>
        <w:ind w:left="4660" w:hanging="380"/>
      </w:pPr>
      <w:rPr>
        <w:rFonts w:hint="default"/>
        <w:lang w:val="en-US" w:eastAsia="en-US" w:bidi="ar-SA"/>
      </w:rPr>
    </w:lvl>
    <w:lvl w:ilvl="5">
      <w:start w:val="0"/>
      <w:numFmt w:val="bullet"/>
      <w:lvlText w:val="•"/>
      <w:lvlJc w:val="left"/>
      <w:pPr>
        <w:ind w:left="5670" w:hanging="380"/>
      </w:pPr>
      <w:rPr>
        <w:rFonts w:hint="default"/>
        <w:lang w:val="en-US" w:eastAsia="en-US" w:bidi="ar-SA"/>
      </w:rPr>
    </w:lvl>
    <w:lvl w:ilvl="6">
      <w:start w:val="0"/>
      <w:numFmt w:val="bullet"/>
      <w:lvlText w:val="•"/>
      <w:lvlJc w:val="left"/>
      <w:pPr>
        <w:ind w:left="6680" w:hanging="380"/>
      </w:pPr>
      <w:rPr>
        <w:rFonts w:hint="default"/>
        <w:lang w:val="en-US" w:eastAsia="en-US" w:bidi="ar-SA"/>
      </w:rPr>
    </w:lvl>
    <w:lvl w:ilvl="7">
      <w:start w:val="0"/>
      <w:numFmt w:val="bullet"/>
      <w:lvlText w:val="•"/>
      <w:lvlJc w:val="left"/>
      <w:pPr>
        <w:ind w:left="7690" w:hanging="380"/>
      </w:pPr>
      <w:rPr>
        <w:rFonts w:hint="default"/>
        <w:lang w:val="en-US" w:eastAsia="en-US" w:bidi="ar-SA"/>
      </w:rPr>
    </w:lvl>
    <w:lvl w:ilvl="8">
      <w:start w:val="0"/>
      <w:numFmt w:val="bullet"/>
      <w:lvlText w:val="•"/>
      <w:lvlJc w:val="left"/>
      <w:pPr>
        <w:ind w:left="8700" w:hanging="380"/>
      </w:pPr>
      <w:rPr>
        <w:rFonts w:hint="default"/>
        <w:lang w:val="en-US" w:eastAsia="en-US" w:bidi="ar-SA"/>
      </w:rPr>
    </w:lvl>
  </w:abstractNum>
  <w:abstractNum w:abstractNumId="42">
    <w:nsid w:val="67AA390D"/>
    <w:multiLevelType w:val="hybridMultilevel"/>
    <w:tmpl w:val="BD2E3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9040EA"/>
    <w:multiLevelType w:val="multilevel"/>
    <w:tmpl w:val="0F80F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8A766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31966FD"/>
    <w:multiLevelType w:val="hybridMultilevel"/>
    <w:tmpl w:val="E10C14C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014C36"/>
    <w:multiLevelType w:val="hybridMultilevel"/>
    <w:tmpl w:val="30324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9B56EA"/>
    <w:multiLevelType w:val="hybridMultilevel"/>
    <w:tmpl w:val="2EC6DCC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A3E7C44"/>
    <w:multiLevelType w:val="hybridMultilevel"/>
    <w:tmpl w:val="79A63FCE"/>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7EFD060B"/>
    <w:multiLevelType w:val="hybridMultilevel"/>
    <w:tmpl w:val="B6463DAC"/>
    <w:lvl w:ilvl="0">
      <w:start w:val="1"/>
      <w:numFmt w:val="upperLetter"/>
      <w:lvlText w:val="(%1)"/>
      <w:lvlJc w:val="left"/>
      <w:pPr>
        <w:ind w:left="1834" w:hanging="394"/>
      </w:pPr>
      <w:rPr>
        <w:rFonts w:ascii="Times New Roman" w:eastAsia="Times New Roman" w:hAnsi="Times New Roman" w:cs="Times New Roman" w:hint="default"/>
        <w:w w:val="99"/>
        <w:sz w:val="24"/>
        <w:szCs w:val="24"/>
      </w:rPr>
    </w:lvl>
    <w:lvl w:ilvl="1">
      <w:start w:val="1"/>
      <w:numFmt w:val="lowerLetter"/>
      <w:pStyle w:val="ListParagraph"/>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7288827">
    <w:abstractNumId w:val="13"/>
  </w:num>
  <w:num w:numId="2" w16cid:durableId="1744334485">
    <w:abstractNumId w:val="24"/>
  </w:num>
  <w:num w:numId="3" w16cid:durableId="865488785">
    <w:abstractNumId w:val="38"/>
  </w:num>
  <w:num w:numId="4" w16cid:durableId="1079980137">
    <w:abstractNumId w:val="11"/>
  </w:num>
  <w:num w:numId="5" w16cid:durableId="174924569">
    <w:abstractNumId w:val="31"/>
  </w:num>
  <w:num w:numId="6" w16cid:durableId="1236434916">
    <w:abstractNumId w:val="8"/>
  </w:num>
  <w:num w:numId="7" w16cid:durableId="2131708250">
    <w:abstractNumId w:val="19"/>
  </w:num>
  <w:num w:numId="8" w16cid:durableId="1864319980">
    <w:abstractNumId w:val="39"/>
  </w:num>
  <w:num w:numId="9" w16cid:durableId="1940675633">
    <w:abstractNumId w:val="47"/>
  </w:num>
  <w:num w:numId="10" w16cid:durableId="951325325">
    <w:abstractNumId w:val="37"/>
  </w:num>
  <w:num w:numId="11" w16cid:durableId="947858597">
    <w:abstractNumId w:val="48"/>
  </w:num>
  <w:num w:numId="12" w16cid:durableId="120921768">
    <w:abstractNumId w:val="23"/>
  </w:num>
  <w:num w:numId="13" w16cid:durableId="16394244">
    <w:abstractNumId w:val="21"/>
  </w:num>
  <w:num w:numId="14" w16cid:durableId="2003464731">
    <w:abstractNumId w:val="12"/>
  </w:num>
  <w:num w:numId="15" w16cid:durableId="992566572">
    <w:abstractNumId w:val="27"/>
  </w:num>
  <w:num w:numId="16" w16cid:durableId="2063362486">
    <w:abstractNumId w:val="5"/>
  </w:num>
  <w:num w:numId="17" w16cid:durableId="1625769549">
    <w:abstractNumId w:val="35"/>
  </w:num>
  <w:num w:numId="18" w16cid:durableId="1942032634">
    <w:abstractNumId w:val="46"/>
  </w:num>
  <w:num w:numId="19" w16cid:durableId="102119948">
    <w:abstractNumId w:val="0"/>
  </w:num>
  <w:num w:numId="20" w16cid:durableId="1781684867">
    <w:abstractNumId w:val="20"/>
  </w:num>
  <w:num w:numId="21" w16cid:durableId="2126264550">
    <w:abstractNumId w:val="28"/>
  </w:num>
  <w:num w:numId="22" w16cid:durableId="1077552801">
    <w:abstractNumId w:val="6"/>
  </w:num>
  <w:num w:numId="23" w16cid:durableId="1418945042">
    <w:abstractNumId w:val="3"/>
  </w:num>
  <w:num w:numId="24" w16cid:durableId="1487014276">
    <w:abstractNumId w:val="17"/>
  </w:num>
  <w:num w:numId="25" w16cid:durableId="876695588">
    <w:abstractNumId w:val="33"/>
  </w:num>
  <w:num w:numId="26" w16cid:durableId="287276154">
    <w:abstractNumId w:val="14"/>
  </w:num>
  <w:num w:numId="27" w16cid:durableId="1551575869">
    <w:abstractNumId w:val="1"/>
  </w:num>
  <w:num w:numId="28" w16cid:durableId="1961304077">
    <w:abstractNumId w:val="43"/>
  </w:num>
  <w:num w:numId="29" w16cid:durableId="1008827240">
    <w:abstractNumId w:val="9"/>
  </w:num>
  <w:num w:numId="30" w16cid:durableId="1761371697">
    <w:abstractNumId w:val="41"/>
  </w:num>
  <w:num w:numId="31" w16cid:durableId="214782044">
    <w:abstractNumId w:val="40"/>
  </w:num>
  <w:num w:numId="32" w16cid:durableId="1359816317">
    <w:abstractNumId w:val="34"/>
  </w:num>
  <w:num w:numId="33" w16cid:durableId="1824933047">
    <w:abstractNumId w:val="49"/>
  </w:num>
  <w:num w:numId="34" w16cid:durableId="1308320266">
    <w:abstractNumId w:val="44"/>
  </w:num>
  <w:num w:numId="35" w16cid:durableId="1509370747">
    <w:abstractNumId w:val="22"/>
  </w:num>
  <w:num w:numId="36" w16cid:durableId="1357344059">
    <w:abstractNumId w:val="25"/>
  </w:num>
  <w:num w:numId="37" w16cid:durableId="1038045342">
    <w:abstractNumId w:val="45"/>
  </w:num>
  <w:num w:numId="38" w16cid:durableId="1837455509">
    <w:abstractNumId w:val="10"/>
  </w:num>
  <w:num w:numId="39" w16cid:durableId="1318801280">
    <w:abstractNumId w:val="18"/>
    <w:lvlOverride w:ilvl="0">
      <w:lvl w:ilvl="0">
        <w:start w:val="1"/>
        <w:numFmt w:val="decimal"/>
        <w:pStyle w:val="MainTextHeading1"/>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0" w16cid:durableId="147985939">
    <w:abstractNumId w:val="30"/>
  </w:num>
  <w:num w:numId="41" w16cid:durableId="136993302">
    <w:abstractNumId w:val="16"/>
  </w:num>
  <w:num w:numId="42" w16cid:durableId="977537164">
    <w:abstractNumId w:val="2"/>
  </w:num>
  <w:num w:numId="43" w16cid:durableId="2067947201">
    <w:abstractNumId w:val="26"/>
  </w:num>
  <w:num w:numId="44" w16cid:durableId="1148398707">
    <w:abstractNumId w:val="16"/>
    <w:lvlOverride w:ilvl="0">
      <w:startOverride w:val="1"/>
    </w:lvlOverride>
  </w:num>
  <w:num w:numId="45" w16cid:durableId="413670704">
    <w:abstractNumId w:val="16"/>
    <w:lvlOverride w:ilvl="0">
      <w:startOverride w:val="1"/>
    </w:lvlOverride>
  </w:num>
  <w:num w:numId="46" w16cid:durableId="103616889">
    <w:abstractNumId w:val="16"/>
    <w:lvlOverride w:ilvl="0">
      <w:startOverride w:val="1"/>
    </w:lvlOverride>
  </w:num>
  <w:num w:numId="47" w16cid:durableId="439298321">
    <w:abstractNumId w:val="16"/>
    <w:lvlOverride w:ilvl="0">
      <w:startOverride w:val="1"/>
    </w:lvlOverride>
  </w:num>
  <w:num w:numId="48" w16cid:durableId="419913007">
    <w:abstractNumId w:val="16"/>
    <w:lvlOverride w:ilvl="0">
      <w:startOverride w:val="1"/>
    </w:lvlOverride>
  </w:num>
  <w:num w:numId="49" w16cid:durableId="2118985020">
    <w:abstractNumId w:val="2"/>
    <w:lvlOverride w:ilvl="0">
      <w:startOverride w:val="1"/>
    </w:lvlOverride>
  </w:num>
  <w:num w:numId="50" w16cid:durableId="351033786">
    <w:abstractNumId w:val="36"/>
  </w:num>
  <w:num w:numId="51" w16cid:durableId="2079206625">
    <w:abstractNumId w:val="7"/>
  </w:num>
  <w:num w:numId="52" w16cid:durableId="1406731389">
    <w:abstractNumId w:val="36"/>
  </w:num>
  <w:num w:numId="53" w16cid:durableId="805316553">
    <w:abstractNumId w:val="16"/>
    <w:lvlOverride w:ilvl="0">
      <w:startOverride w:val="1"/>
    </w:lvlOverride>
  </w:num>
  <w:num w:numId="54" w16cid:durableId="182212130">
    <w:abstractNumId w:val="42"/>
  </w:num>
  <w:num w:numId="55" w16cid:durableId="450982389">
    <w:abstractNumId w:val="4"/>
  </w:num>
  <w:num w:numId="56" w16cid:durableId="770130176">
    <w:abstractNumId w:val="32"/>
  </w:num>
  <w:num w:numId="57" w16cid:durableId="789396626">
    <w:abstractNumId w:val="16"/>
    <w:lvlOverride w:ilvl="0">
      <w:startOverride w:val="1"/>
    </w:lvlOverride>
  </w:num>
  <w:num w:numId="58" w16cid:durableId="165169693">
    <w:abstractNumId w:val="15"/>
  </w:num>
  <w:num w:numId="59" w16cid:durableId="904029986">
    <w:abstractNumId w:val="18"/>
    <w:lvlOverride w:ilvl="0">
      <w:lvl w:ilvl="0">
        <w:start w:val="1"/>
        <w:numFmt w:val="decimal"/>
        <w:pStyle w:val="MainTextHeading1"/>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0" w16cid:durableId="194059703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28"/>
    <w:rsid w:val="0000023C"/>
    <w:rsid w:val="000003A1"/>
    <w:rsid w:val="000003F9"/>
    <w:rsid w:val="0000115B"/>
    <w:rsid w:val="0000355A"/>
    <w:rsid w:val="0000698C"/>
    <w:rsid w:val="00007B84"/>
    <w:rsid w:val="00010611"/>
    <w:rsid w:val="00011530"/>
    <w:rsid w:val="00014FB9"/>
    <w:rsid w:val="00020906"/>
    <w:rsid w:val="00020E1B"/>
    <w:rsid w:val="000211D5"/>
    <w:rsid w:val="00023518"/>
    <w:rsid w:val="00024FC6"/>
    <w:rsid w:val="00030F61"/>
    <w:rsid w:val="00031EB6"/>
    <w:rsid w:val="00032817"/>
    <w:rsid w:val="00032D3B"/>
    <w:rsid w:val="00035238"/>
    <w:rsid w:val="00035A55"/>
    <w:rsid w:val="00036D00"/>
    <w:rsid w:val="0003765D"/>
    <w:rsid w:val="000437C1"/>
    <w:rsid w:val="0004469C"/>
    <w:rsid w:val="00046CBB"/>
    <w:rsid w:val="00050171"/>
    <w:rsid w:val="00050C4C"/>
    <w:rsid w:val="0005262E"/>
    <w:rsid w:val="00052BEF"/>
    <w:rsid w:val="000546E6"/>
    <w:rsid w:val="000549D9"/>
    <w:rsid w:val="00055314"/>
    <w:rsid w:val="00055D08"/>
    <w:rsid w:val="00056481"/>
    <w:rsid w:val="000566B1"/>
    <w:rsid w:val="000574DB"/>
    <w:rsid w:val="0006371D"/>
    <w:rsid w:val="00064662"/>
    <w:rsid w:val="00066AFA"/>
    <w:rsid w:val="00067A42"/>
    <w:rsid w:val="0006D06D"/>
    <w:rsid w:val="00070880"/>
    <w:rsid w:val="00071B30"/>
    <w:rsid w:val="00073241"/>
    <w:rsid w:val="00074712"/>
    <w:rsid w:val="000751DE"/>
    <w:rsid w:val="00076759"/>
    <w:rsid w:val="00076CC9"/>
    <w:rsid w:val="000815BE"/>
    <w:rsid w:val="00085D57"/>
    <w:rsid w:val="000863D3"/>
    <w:rsid w:val="00092A39"/>
    <w:rsid w:val="00092C5C"/>
    <w:rsid w:val="00094B8B"/>
    <w:rsid w:val="000965A8"/>
    <w:rsid w:val="00097278"/>
    <w:rsid w:val="000977BE"/>
    <w:rsid w:val="000A17E6"/>
    <w:rsid w:val="000A4AEB"/>
    <w:rsid w:val="000A5E3B"/>
    <w:rsid w:val="000A6610"/>
    <w:rsid w:val="000A7C3F"/>
    <w:rsid w:val="000B2311"/>
    <w:rsid w:val="000B253A"/>
    <w:rsid w:val="000B4D8A"/>
    <w:rsid w:val="000B55D1"/>
    <w:rsid w:val="000B5C68"/>
    <w:rsid w:val="000B77C0"/>
    <w:rsid w:val="000C0A15"/>
    <w:rsid w:val="000C21A0"/>
    <w:rsid w:val="000C2B8B"/>
    <w:rsid w:val="000C37F7"/>
    <w:rsid w:val="000C41C7"/>
    <w:rsid w:val="000C4FDD"/>
    <w:rsid w:val="000C5638"/>
    <w:rsid w:val="000D0F35"/>
    <w:rsid w:val="000D3FFC"/>
    <w:rsid w:val="000D40FF"/>
    <w:rsid w:val="000D45A9"/>
    <w:rsid w:val="000D4B63"/>
    <w:rsid w:val="000D655D"/>
    <w:rsid w:val="000D65CF"/>
    <w:rsid w:val="000D7F0D"/>
    <w:rsid w:val="000E0118"/>
    <w:rsid w:val="000E1E1B"/>
    <w:rsid w:val="000E4101"/>
    <w:rsid w:val="000E4334"/>
    <w:rsid w:val="000E50EC"/>
    <w:rsid w:val="000F1794"/>
    <w:rsid w:val="000F3268"/>
    <w:rsid w:val="000F633E"/>
    <w:rsid w:val="00100055"/>
    <w:rsid w:val="00102A12"/>
    <w:rsid w:val="00103523"/>
    <w:rsid w:val="0010366B"/>
    <w:rsid w:val="00104C6A"/>
    <w:rsid w:val="00105D58"/>
    <w:rsid w:val="0010639A"/>
    <w:rsid w:val="00113DA6"/>
    <w:rsid w:val="00114AE3"/>
    <w:rsid w:val="00115C5E"/>
    <w:rsid w:val="00116080"/>
    <w:rsid w:val="001160E0"/>
    <w:rsid w:val="00116B1C"/>
    <w:rsid w:val="00120EBD"/>
    <w:rsid w:val="00130025"/>
    <w:rsid w:val="001303F2"/>
    <w:rsid w:val="00130F6D"/>
    <w:rsid w:val="00132CA4"/>
    <w:rsid w:val="001331BD"/>
    <w:rsid w:val="00134284"/>
    <w:rsid w:val="0013477D"/>
    <w:rsid w:val="00135ACA"/>
    <w:rsid w:val="0014163C"/>
    <w:rsid w:val="001424F2"/>
    <w:rsid w:val="0014260C"/>
    <w:rsid w:val="0014670C"/>
    <w:rsid w:val="00146E4D"/>
    <w:rsid w:val="001470D3"/>
    <w:rsid w:val="0015050F"/>
    <w:rsid w:val="00150A56"/>
    <w:rsid w:val="00150D96"/>
    <w:rsid w:val="00154759"/>
    <w:rsid w:val="00157F80"/>
    <w:rsid w:val="00157FB1"/>
    <w:rsid w:val="00162DC1"/>
    <w:rsid w:val="001633DD"/>
    <w:rsid w:val="001663D8"/>
    <w:rsid w:val="001719AE"/>
    <w:rsid w:val="0017209B"/>
    <w:rsid w:val="00174B6C"/>
    <w:rsid w:val="00175713"/>
    <w:rsid w:val="00176E80"/>
    <w:rsid w:val="001812EB"/>
    <w:rsid w:val="00182F52"/>
    <w:rsid w:val="00183995"/>
    <w:rsid w:val="00185805"/>
    <w:rsid w:val="00185B76"/>
    <w:rsid w:val="00185EB6"/>
    <w:rsid w:val="00186048"/>
    <w:rsid w:val="00186738"/>
    <w:rsid w:val="001877BB"/>
    <w:rsid w:val="001907C5"/>
    <w:rsid w:val="00191477"/>
    <w:rsid w:val="00191B86"/>
    <w:rsid w:val="00191FD0"/>
    <w:rsid w:val="00192CCE"/>
    <w:rsid w:val="001948F1"/>
    <w:rsid w:val="0019534E"/>
    <w:rsid w:val="00195595"/>
    <w:rsid w:val="00195988"/>
    <w:rsid w:val="0019701F"/>
    <w:rsid w:val="00197B1B"/>
    <w:rsid w:val="00197B9E"/>
    <w:rsid w:val="001A0F97"/>
    <w:rsid w:val="001A3849"/>
    <w:rsid w:val="001A401C"/>
    <w:rsid w:val="001A4348"/>
    <w:rsid w:val="001A4BC9"/>
    <w:rsid w:val="001A62FC"/>
    <w:rsid w:val="001B26D8"/>
    <w:rsid w:val="001B2DF0"/>
    <w:rsid w:val="001B55CE"/>
    <w:rsid w:val="001B5D9D"/>
    <w:rsid w:val="001B7603"/>
    <w:rsid w:val="001C045D"/>
    <w:rsid w:val="001C08D6"/>
    <w:rsid w:val="001C1A0E"/>
    <w:rsid w:val="001C2A59"/>
    <w:rsid w:val="001C4910"/>
    <w:rsid w:val="001C4D2E"/>
    <w:rsid w:val="001D0B0E"/>
    <w:rsid w:val="001D1146"/>
    <w:rsid w:val="001D22A1"/>
    <w:rsid w:val="001D25D4"/>
    <w:rsid w:val="001D3F72"/>
    <w:rsid w:val="001D44F8"/>
    <w:rsid w:val="001D4D97"/>
    <w:rsid w:val="001D59BB"/>
    <w:rsid w:val="001D68AB"/>
    <w:rsid w:val="001D795B"/>
    <w:rsid w:val="001E0258"/>
    <w:rsid w:val="001E149A"/>
    <w:rsid w:val="001E1EF7"/>
    <w:rsid w:val="001E32C8"/>
    <w:rsid w:val="001E40CF"/>
    <w:rsid w:val="001E46DB"/>
    <w:rsid w:val="001E54FB"/>
    <w:rsid w:val="001E5FA4"/>
    <w:rsid w:val="001F1595"/>
    <w:rsid w:val="001F2560"/>
    <w:rsid w:val="001F39AE"/>
    <w:rsid w:val="001F5D28"/>
    <w:rsid w:val="001F71CA"/>
    <w:rsid w:val="002000EF"/>
    <w:rsid w:val="00200118"/>
    <w:rsid w:val="002008F9"/>
    <w:rsid w:val="00201C39"/>
    <w:rsid w:val="002053A6"/>
    <w:rsid w:val="00205FE3"/>
    <w:rsid w:val="00210598"/>
    <w:rsid w:val="00210985"/>
    <w:rsid w:val="0021174C"/>
    <w:rsid w:val="00212788"/>
    <w:rsid w:val="00212C01"/>
    <w:rsid w:val="00212E62"/>
    <w:rsid w:val="00213E80"/>
    <w:rsid w:val="0021484D"/>
    <w:rsid w:val="00216756"/>
    <w:rsid w:val="002209CE"/>
    <w:rsid w:val="00222D46"/>
    <w:rsid w:val="002231A4"/>
    <w:rsid w:val="00223B8C"/>
    <w:rsid w:val="0022468F"/>
    <w:rsid w:val="002254BB"/>
    <w:rsid w:val="002272FB"/>
    <w:rsid w:val="00230C96"/>
    <w:rsid w:val="00232BDF"/>
    <w:rsid w:val="00232CF1"/>
    <w:rsid w:val="002337EE"/>
    <w:rsid w:val="0023387E"/>
    <w:rsid w:val="0023584A"/>
    <w:rsid w:val="00237EA3"/>
    <w:rsid w:val="0024246D"/>
    <w:rsid w:val="0024602D"/>
    <w:rsid w:val="00250F46"/>
    <w:rsid w:val="0025393B"/>
    <w:rsid w:val="002542EB"/>
    <w:rsid w:val="0025491F"/>
    <w:rsid w:val="002561B0"/>
    <w:rsid w:val="00256B3B"/>
    <w:rsid w:val="002626BF"/>
    <w:rsid w:val="002632DD"/>
    <w:rsid w:val="00264C8E"/>
    <w:rsid w:val="002666AA"/>
    <w:rsid w:val="00267727"/>
    <w:rsid w:val="00270142"/>
    <w:rsid w:val="00271D4F"/>
    <w:rsid w:val="00275415"/>
    <w:rsid w:val="00275BD9"/>
    <w:rsid w:val="00277672"/>
    <w:rsid w:val="00281D0A"/>
    <w:rsid w:val="00283E7F"/>
    <w:rsid w:val="0028425C"/>
    <w:rsid w:val="00284573"/>
    <w:rsid w:val="00284F63"/>
    <w:rsid w:val="00286024"/>
    <w:rsid w:val="00292776"/>
    <w:rsid w:val="002931E5"/>
    <w:rsid w:val="002955CD"/>
    <w:rsid w:val="002A1710"/>
    <w:rsid w:val="002A5962"/>
    <w:rsid w:val="002B0060"/>
    <w:rsid w:val="002B0497"/>
    <w:rsid w:val="002B087C"/>
    <w:rsid w:val="002B3142"/>
    <w:rsid w:val="002B34CB"/>
    <w:rsid w:val="002B49D4"/>
    <w:rsid w:val="002B4CCE"/>
    <w:rsid w:val="002B61B9"/>
    <w:rsid w:val="002B63A4"/>
    <w:rsid w:val="002B7507"/>
    <w:rsid w:val="002B7722"/>
    <w:rsid w:val="002C0C7C"/>
    <w:rsid w:val="002C1481"/>
    <w:rsid w:val="002C30F2"/>
    <w:rsid w:val="002C3CD0"/>
    <w:rsid w:val="002C4294"/>
    <w:rsid w:val="002C493C"/>
    <w:rsid w:val="002C4CB3"/>
    <w:rsid w:val="002D027D"/>
    <w:rsid w:val="002D090F"/>
    <w:rsid w:val="002D0973"/>
    <w:rsid w:val="002D10AD"/>
    <w:rsid w:val="002D145A"/>
    <w:rsid w:val="002D3BF8"/>
    <w:rsid w:val="002D7422"/>
    <w:rsid w:val="002D7B0E"/>
    <w:rsid w:val="002E0209"/>
    <w:rsid w:val="002E073B"/>
    <w:rsid w:val="002E0CE8"/>
    <w:rsid w:val="002E18E7"/>
    <w:rsid w:val="002E1D39"/>
    <w:rsid w:val="002E202E"/>
    <w:rsid w:val="002E2752"/>
    <w:rsid w:val="002E6AB9"/>
    <w:rsid w:val="002F0BAF"/>
    <w:rsid w:val="002F0C47"/>
    <w:rsid w:val="002F3943"/>
    <w:rsid w:val="002F3C87"/>
    <w:rsid w:val="002F41A8"/>
    <w:rsid w:val="002F6625"/>
    <w:rsid w:val="002F69E4"/>
    <w:rsid w:val="002F717F"/>
    <w:rsid w:val="0030152F"/>
    <w:rsid w:val="00302434"/>
    <w:rsid w:val="00303538"/>
    <w:rsid w:val="00303995"/>
    <w:rsid w:val="003047E2"/>
    <w:rsid w:val="00304BEC"/>
    <w:rsid w:val="00305941"/>
    <w:rsid w:val="003076C9"/>
    <w:rsid w:val="00312E7A"/>
    <w:rsid w:val="003135E1"/>
    <w:rsid w:val="00314FFD"/>
    <w:rsid w:val="003170D8"/>
    <w:rsid w:val="00321ACC"/>
    <w:rsid w:val="003220A6"/>
    <w:rsid w:val="00324FA8"/>
    <w:rsid w:val="00325D74"/>
    <w:rsid w:val="00325F54"/>
    <w:rsid w:val="00326895"/>
    <w:rsid w:val="00326F7A"/>
    <w:rsid w:val="003303C5"/>
    <w:rsid w:val="00330BAC"/>
    <w:rsid w:val="00332F5E"/>
    <w:rsid w:val="00333F44"/>
    <w:rsid w:val="00335B0F"/>
    <w:rsid w:val="0033717D"/>
    <w:rsid w:val="00340E76"/>
    <w:rsid w:val="00341F2B"/>
    <w:rsid w:val="00347259"/>
    <w:rsid w:val="003472F0"/>
    <w:rsid w:val="003475C6"/>
    <w:rsid w:val="003476C9"/>
    <w:rsid w:val="0034772D"/>
    <w:rsid w:val="003502DA"/>
    <w:rsid w:val="00351300"/>
    <w:rsid w:val="003579C4"/>
    <w:rsid w:val="0036014D"/>
    <w:rsid w:val="00361435"/>
    <w:rsid w:val="00362A0F"/>
    <w:rsid w:val="003664A2"/>
    <w:rsid w:val="00371AAF"/>
    <w:rsid w:val="00373C34"/>
    <w:rsid w:val="00373E25"/>
    <w:rsid w:val="00374B58"/>
    <w:rsid w:val="003767BE"/>
    <w:rsid w:val="0037788F"/>
    <w:rsid w:val="00382B06"/>
    <w:rsid w:val="00386A45"/>
    <w:rsid w:val="00387E46"/>
    <w:rsid w:val="00390D41"/>
    <w:rsid w:val="00391157"/>
    <w:rsid w:val="003911DD"/>
    <w:rsid w:val="003918A8"/>
    <w:rsid w:val="00392706"/>
    <w:rsid w:val="003933FA"/>
    <w:rsid w:val="0039414F"/>
    <w:rsid w:val="00394FF7"/>
    <w:rsid w:val="0039781B"/>
    <w:rsid w:val="003A0193"/>
    <w:rsid w:val="003A02DE"/>
    <w:rsid w:val="003A23C1"/>
    <w:rsid w:val="003A3B69"/>
    <w:rsid w:val="003B0087"/>
    <w:rsid w:val="003B166B"/>
    <w:rsid w:val="003B17E8"/>
    <w:rsid w:val="003B31E4"/>
    <w:rsid w:val="003B3D4C"/>
    <w:rsid w:val="003B41F1"/>
    <w:rsid w:val="003B4F23"/>
    <w:rsid w:val="003B7FA2"/>
    <w:rsid w:val="003C2C98"/>
    <w:rsid w:val="003C33E9"/>
    <w:rsid w:val="003C34D4"/>
    <w:rsid w:val="003C3B99"/>
    <w:rsid w:val="003C46CE"/>
    <w:rsid w:val="003C4A61"/>
    <w:rsid w:val="003C5852"/>
    <w:rsid w:val="003C60DB"/>
    <w:rsid w:val="003C6A12"/>
    <w:rsid w:val="003D0295"/>
    <w:rsid w:val="003D2120"/>
    <w:rsid w:val="003D26B9"/>
    <w:rsid w:val="003D4E4A"/>
    <w:rsid w:val="003D50AA"/>
    <w:rsid w:val="003D534F"/>
    <w:rsid w:val="003D6A02"/>
    <w:rsid w:val="003D6F3E"/>
    <w:rsid w:val="003D7865"/>
    <w:rsid w:val="003D7944"/>
    <w:rsid w:val="003E0582"/>
    <w:rsid w:val="003E0C9E"/>
    <w:rsid w:val="003E1643"/>
    <w:rsid w:val="003E1D4A"/>
    <w:rsid w:val="003E51FA"/>
    <w:rsid w:val="003E5D61"/>
    <w:rsid w:val="003E60CC"/>
    <w:rsid w:val="003E7803"/>
    <w:rsid w:val="003F0773"/>
    <w:rsid w:val="003F087E"/>
    <w:rsid w:val="003F19C7"/>
    <w:rsid w:val="003F41B5"/>
    <w:rsid w:val="003F6EE8"/>
    <w:rsid w:val="003F715A"/>
    <w:rsid w:val="00400F90"/>
    <w:rsid w:val="00407A11"/>
    <w:rsid w:val="00407CC3"/>
    <w:rsid w:val="00410AC6"/>
    <w:rsid w:val="00412C44"/>
    <w:rsid w:val="00413B0C"/>
    <w:rsid w:val="004161E1"/>
    <w:rsid w:val="004164EE"/>
    <w:rsid w:val="00420F91"/>
    <w:rsid w:val="00421583"/>
    <w:rsid w:val="00422ED8"/>
    <w:rsid w:val="00423232"/>
    <w:rsid w:val="004236BE"/>
    <w:rsid w:val="00427A64"/>
    <w:rsid w:val="00433EBE"/>
    <w:rsid w:val="0043519D"/>
    <w:rsid w:val="004355E9"/>
    <w:rsid w:val="0043668A"/>
    <w:rsid w:val="00443FDA"/>
    <w:rsid w:val="004443AF"/>
    <w:rsid w:val="00444A24"/>
    <w:rsid w:val="00446899"/>
    <w:rsid w:val="00451929"/>
    <w:rsid w:val="00451977"/>
    <w:rsid w:val="004519D5"/>
    <w:rsid w:val="00452042"/>
    <w:rsid w:val="00457089"/>
    <w:rsid w:val="0045751D"/>
    <w:rsid w:val="00460624"/>
    <w:rsid w:val="00462431"/>
    <w:rsid w:val="00462C0C"/>
    <w:rsid w:val="00463742"/>
    <w:rsid w:val="004645AA"/>
    <w:rsid w:val="0046518E"/>
    <w:rsid w:val="00465952"/>
    <w:rsid w:val="00466058"/>
    <w:rsid w:val="00466B21"/>
    <w:rsid w:val="00466E02"/>
    <w:rsid w:val="004722A5"/>
    <w:rsid w:val="00474A5C"/>
    <w:rsid w:val="00475166"/>
    <w:rsid w:val="00475577"/>
    <w:rsid w:val="00475A9A"/>
    <w:rsid w:val="00475E9E"/>
    <w:rsid w:val="004821DC"/>
    <w:rsid w:val="00482532"/>
    <w:rsid w:val="00482F53"/>
    <w:rsid w:val="00484CE9"/>
    <w:rsid w:val="00485A84"/>
    <w:rsid w:val="00485D1E"/>
    <w:rsid w:val="00490EBC"/>
    <w:rsid w:val="0049326B"/>
    <w:rsid w:val="0049719E"/>
    <w:rsid w:val="004975AC"/>
    <w:rsid w:val="00497D5D"/>
    <w:rsid w:val="004A0497"/>
    <w:rsid w:val="004A1B62"/>
    <w:rsid w:val="004A2EAC"/>
    <w:rsid w:val="004A4689"/>
    <w:rsid w:val="004A59A8"/>
    <w:rsid w:val="004A700E"/>
    <w:rsid w:val="004A7452"/>
    <w:rsid w:val="004A794A"/>
    <w:rsid w:val="004B1372"/>
    <w:rsid w:val="004B5A10"/>
    <w:rsid w:val="004B756B"/>
    <w:rsid w:val="004C14C9"/>
    <w:rsid w:val="004C5017"/>
    <w:rsid w:val="004D03FE"/>
    <w:rsid w:val="004D1B21"/>
    <w:rsid w:val="004D2B05"/>
    <w:rsid w:val="004D3C5F"/>
    <w:rsid w:val="004D65DD"/>
    <w:rsid w:val="004E2C57"/>
    <w:rsid w:val="004E44E0"/>
    <w:rsid w:val="004F00E9"/>
    <w:rsid w:val="004F02BD"/>
    <w:rsid w:val="004F3E69"/>
    <w:rsid w:val="004F53A8"/>
    <w:rsid w:val="004F58D7"/>
    <w:rsid w:val="004F68DC"/>
    <w:rsid w:val="004F6BC4"/>
    <w:rsid w:val="004F76D9"/>
    <w:rsid w:val="004F7ACF"/>
    <w:rsid w:val="00500098"/>
    <w:rsid w:val="005008A4"/>
    <w:rsid w:val="00500F44"/>
    <w:rsid w:val="00500FE3"/>
    <w:rsid w:val="00502716"/>
    <w:rsid w:val="005036DF"/>
    <w:rsid w:val="00504624"/>
    <w:rsid w:val="00504ACF"/>
    <w:rsid w:val="005116F0"/>
    <w:rsid w:val="0051468B"/>
    <w:rsid w:val="0052148A"/>
    <w:rsid w:val="00521A54"/>
    <w:rsid w:val="00522211"/>
    <w:rsid w:val="0052251D"/>
    <w:rsid w:val="00526EF6"/>
    <w:rsid w:val="00531522"/>
    <w:rsid w:val="00532BC8"/>
    <w:rsid w:val="00536ACF"/>
    <w:rsid w:val="005415BC"/>
    <w:rsid w:val="00542C5C"/>
    <w:rsid w:val="00543F67"/>
    <w:rsid w:val="00545F75"/>
    <w:rsid w:val="0055078C"/>
    <w:rsid w:val="00551FEF"/>
    <w:rsid w:val="005554E1"/>
    <w:rsid w:val="00555D41"/>
    <w:rsid w:val="005569F7"/>
    <w:rsid w:val="00557B78"/>
    <w:rsid w:val="00560734"/>
    <w:rsid w:val="0056311F"/>
    <w:rsid w:val="005647B5"/>
    <w:rsid w:val="00564F70"/>
    <w:rsid w:val="00565FCD"/>
    <w:rsid w:val="005670FD"/>
    <w:rsid w:val="00567191"/>
    <w:rsid w:val="005678A0"/>
    <w:rsid w:val="00572CAE"/>
    <w:rsid w:val="00573BBF"/>
    <w:rsid w:val="00574079"/>
    <w:rsid w:val="00574C9F"/>
    <w:rsid w:val="005767AC"/>
    <w:rsid w:val="00580F6C"/>
    <w:rsid w:val="00581924"/>
    <w:rsid w:val="0058376A"/>
    <w:rsid w:val="00583D0A"/>
    <w:rsid w:val="005904EE"/>
    <w:rsid w:val="005939DF"/>
    <w:rsid w:val="00594906"/>
    <w:rsid w:val="00595B04"/>
    <w:rsid w:val="00595ECB"/>
    <w:rsid w:val="0059719D"/>
    <w:rsid w:val="00597CD0"/>
    <w:rsid w:val="005A0446"/>
    <w:rsid w:val="005A04E2"/>
    <w:rsid w:val="005A4BD6"/>
    <w:rsid w:val="005A6370"/>
    <w:rsid w:val="005A6B15"/>
    <w:rsid w:val="005A7F22"/>
    <w:rsid w:val="005B1D0B"/>
    <w:rsid w:val="005B3316"/>
    <w:rsid w:val="005B42F4"/>
    <w:rsid w:val="005B522E"/>
    <w:rsid w:val="005B5976"/>
    <w:rsid w:val="005B7EB2"/>
    <w:rsid w:val="005B7FD8"/>
    <w:rsid w:val="005C04C8"/>
    <w:rsid w:val="005C0FFC"/>
    <w:rsid w:val="005C1591"/>
    <w:rsid w:val="005C249F"/>
    <w:rsid w:val="005C2B7E"/>
    <w:rsid w:val="005C3905"/>
    <w:rsid w:val="005C621F"/>
    <w:rsid w:val="005C7A3B"/>
    <w:rsid w:val="005D0F04"/>
    <w:rsid w:val="005D151A"/>
    <w:rsid w:val="005D1C2A"/>
    <w:rsid w:val="005D29BE"/>
    <w:rsid w:val="005D440E"/>
    <w:rsid w:val="005E0934"/>
    <w:rsid w:val="005E147A"/>
    <w:rsid w:val="005E2279"/>
    <w:rsid w:val="005E3A80"/>
    <w:rsid w:val="005E6E01"/>
    <w:rsid w:val="005F1F20"/>
    <w:rsid w:val="005F32B8"/>
    <w:rsid w:val="005F4487"/>
    <w:rsid w:val="005F60A1"/>
    <w:rsid w:val="005F60FD"/>
    <w:rsid w:val="005F64E3"/>
    <w:rsid w:val="005F6542"/>
    <w:rsid w:val="00602815"/>
    <w:rsid w:val="006061FE"/>
    <w:rsid w:val="00606E61"/>
    <w:rsid w:val="00611D92"/>
    <w:rsid w:val="0061215C"/>
    <w:rsid w:val="006128B4"/>
    <w:rsid w:val="00612ADD"/>
    <w:rsid w:val="00613C33"/>
    <w:rsid w:val="00614929"/>
    <w:rsid w:val="0061503A"/>
    <w:rsid w:val="0061621D"/>
    <w:rsid w:val="00617CA7"/>
    <w:rsid w:val="006205BB"/>
    <w:rsid w:val="006205DB"/>
    <w:rsid w:val="00620C86"/>
    <w:rsid w:val="00620F71"/>
    <w:rsid w:val="00625B9F"/>
    <w:rsid w:val="00627241"/>
    <w:rsid w:val="00627C8E"/>
    <w:rsid w:val="00633DF6"/>
    <w:rsid w:val="006354CB"/>
    <w:rsid w:val="006356EE"/>
    <w:rsid w:val="00635CC3"/>
    <w:rsid w:val="006402E8"/>
    <w:rsid w:val="00640832"/>
    <w:rsid w:val="00642887"/>
    <w:rsid w:val="00643088"/>
    <w:rsid w:val="00644594"/>
    <w:rsid w:val="00647065"/>
    <w:rsid w:val="00647860"/>
    <w:rsid w:val="00650AEB"/>
    <w:rsid w:val="00651637"/>
    <w:rsid w:val="00652DFC"/>
    <w:rsid w:val="00652ECB"/>
    <w:rsid w:val="006533F7"/>
    <w:rsid w:val="0065597C"/>
    <w:rsid w:val="0065679F"/>
    <w:rsid w:val="00661CE7"/>
    <w:rsid w:val="0066267A"/>
    <w:rsid w:val="00667AC9"/>
    <w:rsid w:val="00671248"/>
    <w:rsid w:val="00671881"/>
    <w:rsid w:val="00671FFE"/>
    <w:rsid w:val="0067205D"/>
    <w:rsid w:val="0067257D"/>
    <w:rsid w:val="00672A4F"/>
    <w:rsid w:val="00672AC9"/>
    <w:rsid w:val="006731E6"/>
    <w:rsid w:val="0067401F"/>
    <w:rsid w:val="006761DA"/>
    <w:rsid w:val="006768B9"/>
    <w:rsid w:val="00676F64"/>
    <w:rsid w:val="0068039E"/>
    <w:rsid w:val="0068115B"/>
    <w:rsid w:val="006813E4"/>
    <w:rsid w:val="00683A92"/>
    <w:rsid w:val="00683D36"/>
    <w:rsid w:val="00684969"/>
    <w:rsid w:val="006849D0"/>
    <w:rsid w:val="006850FB"/>
    <w:rsid w:val="0068669A"/>
    <w:rsid w:val="00687B77"/>
    <w:rsid w:val="006918AD"/>
    <w:rsid w:val="006942CC"/>
    <w:rsid w:val="006944DF"/>
    <w:rsid w:val="00696983"/>
    <w:rsid w:val="00697189"/>
    <w:rsid w:val="006972DF"/>
    <w:rsid w:val="00697444"/>
    <w:rsid w:val="006A1A19"/>
    <w:rsid w:val="006A378B"/>
    <w:rsid w:val="006A3D36"/>
    <w:rsid w:val="006A56B1"/>
    <w:rsid w:val="006A6BFD"/>
    <w:rsid w:val="006B3119"/>
    <w:rsid w:val="006B494C"/>
    <w:rsid w:val="006B7220"/>
    <w:rsid w:val="006B777D"/>
    <w:rsid w:val="006B792F"/>
    <w:rsid w:val="006C0C13"/>
    <w:rsid w:val="006C4ECE"/>
    <w:rsid w:val="006C5C48"/>
    <w:rsid w:val="006D20EA"/>
    <w:rsid w:val="006D64DC"/>
    <w:rsid w:val="006D6807"/>
    <w:rsid w:val="006D6D21"/>
    <w:rsid w:val="006E2F36"/>
    <w:rsid w:val="006E3D74"/>
    <w:rsid w:val="006F0828"/>
    <w:rsid w:val="006F1FC6"/>
    <w:rsid w:val="006F386D"/>
    <w:rsid w:val="006F39DD"/>
    <w:rsid w:val="006F3C95"/>
    <w:rsid w:val="006F4FF8"/>
    <w:rsid w:val="006F6A9E"/>
    <w:rsid w:val="006F77CB"/>
    <w:rsid w:val="006F7960"/>
    <w:rsid w:val="00701DB4"/>
    <w:rsid w:val="007023F0"/>
    <w:rsid w:val="00703E06"/>
    <w:rsid w:val="007061B6"/>
    <w:rsid w:val="007062A8"/>
    <w:rsid w:val="00706511"/>
    <w:rsid w:val="00707B3F"/>
    <w:rsid w:val="0071013D"/>
    <w:rsid w:val="007121D1"/>
    <w:rsid w:val="007134D4"/>
    <w:rsid w:val="00715781"/>
    <w:rsid w:val="0071762F"/>
    <w:rsid w:val="007200BB"/>
    <w:rsid w:val="00720ABD"/>
    <w:rsid w:val="0072338C"/>
    <w:rsid w:val="00723397"/>
    <w:rsid w:val="00724534"/>
    <w:rsid w:val="00724B2F"/>
    <w:rsid w:val="0072609E"/>
    <w:rsid w:val="00727CD6"/>
    <w:rsid w:val="00733CA4"/>
    <w:rsid w:val="007343BF"/>
    <w:rsid w:val="00734980"/>
    <w:rsid w:val="0074211E"/>
    <w:rsid w:val="0074347A"/>
    <w:rsid w:val="00745DB3"/>
    <w:rsid w:val="00747504"/>
    <w:rsid w:val="00751152"/>
    <w:rsid w:val="00751258"/>
    <w:rsid w:val="007519E5"/>
    <w:rsid w:val="00751E35"/>
    <w:rsid w:val="00755850"/>
    <w:rsid w:val="00755E06"/>
    <w:rsid w:val="00756F82"/>
    <w:rsid w:val="0075751C"/>
    <w:rsid w:val="00757C6B"/>
    <w:rsid w:val="00761995"/>
    <w:rsid w:val="00763B84"/>
    <w:rsid w:val="00764318"/>
    <w:rsid w:val="007652A1"/>
    <w:rsid w:val="00765985"/>
    <w:rsid w:val="00772990"/>
    <w:rsid w:val="00773243"/>
    <w:rsid w:val="0077340D"/>
    <w:rsid w:val="00774AEF"/>
    <w:rsid w:val="0077757B"/>
    <w:rsid w:val="00777981"/>
    <w:rsid w:val="00780DFF"/>
    <w:rsid w:val="00782217"/>
    <w:rsid w:val="0078304A"/>
    <w:rsid w:val="00783AA2"/>
    <w:rsid w:val="00784A42"/>
    <w:rsid w:val="00784CF6"/>
    <w:rsid w:val="007858E7"/>
    <w:rsid w:val="00787654"/>
    <w:rsid w:val="007916E2"/>
    <w:rsid w:val="007919FD"/>
    <w:rsid w:val="0079296A"/>
    <w:rsid w:val="007935B0"/>
    <w:rsid w:val="007938C3"/>
    <w:rsid w:val="007953BC"/>
    <w:rsid w:val="00796AC7"/>
    <w:rsid w:val="00796DF3"/>
    <w:rsid w:val="007A011A"/>
    <w:rsid w:val="007A078E"/>
    <w:rsid w:val="007A1EE9"/>
    <w:rsid w:val="007A480F"/>
    <w:rsid w:val="007A604C"/>
    <w:rsid w:val="007B254A"/>
    <w:rsid w:val="007B447D"/>
    <w:rsid w:val="007B48BF"/>
    <w:rsid w:val="007B5358"/>
    <w:rsid w:val="007B6207"/>
    <w:rsid w:val="007B6918"/>
    <w:rsid w:val="007B6ED0"/>
    <w:rsid w:val="007B7501"/>
    <w:rsid w:val="007B7FCA"/>
    <w:rsid w:val="007C2215"/>
    <w:rsid w:val="007C39A6"/>
    <w:rsid w:val="007C7713"/>
    <w:rsid w:val="007C792F"/>
    <w:rsid w:val="007D028E"/>
    <w:rsid w:val="007D0C86"/>
    <w:rsid w:val="007D43A3"/>
    <w:rsid w:val="007D4EFD"/>
    <w:rsid w:val="007D6023"/>
    <w:rsid w:val="007D632B"/>
    <w:rsid w:val="007D750F"/>
    <w:rsid w:val="007E0B66"/>
    <w:rsid w:val="007E3EA6"/>
    <w:rsid w:val="007E58AE"/>
    <w:rsid w:val="007E5CE2"/>
    <w:rsid w:val="007E6D9C"/>
    <w:rsid w:val="007E7005"/>
    <w:rsid w:val="007F00B4"/>
    <w:rsid w:val="007F08AC"/>
    <w:rsid w:val="007F0967"/>
    <w:rsid w:val="007F175D"/>
    <w:rsid w:val="007F2CA3"/>
    <w:rsid w:val="007F535A"/>
    <w:rsid w:val="007F5367"/>
    <w:rsid w:val="007F59DE"/>
    <w:rsid w:val="007F7146"/>
    <w:rsid w:val="00802503"/>
    <w:rsid w:val="008038FF"/>
    <w:rsid w:val="00804A78"/>
    <w:rsid w:val="0080630B"/>
    <w:rsid w:val="00807918"/>
    <w:rsid w:val="00807F7A"/>
    <w:rsid w:val="0081036F"/>
    <w:rsid w:val="008106EC"/>
    <w:rsid w:val="00811616"/>
    <w:rsid w:val="00812260"/>
    <w:rsid w:val="00813499"/>
    <w:rsid w:val="00813C16"/>
    <w:rsid w:val="00814791"/>
    <w:rsid w:val="00814C27"/>
    <w:rsid w:val="00821988"/>
    <w:rsid w:val="00824057"/>
    <w:rsid w:val="00832474"/>
    <w:rsid w:val="0083350D"/>
    <w:rsid w:val="008359E5"/>
    <w:rsid w:val="0084104B"/>
    <w:rsid w:val="00844A68"/>
    <w:rsid w:val="00846319"/>
    <w:rsid w:val="008466C4"/>
    <w:rsid w:val="00850846"/>
    <w:rsid w:val="00851B61"/>
    <w:rsid w:val="00853B8F"/>
    <w:rsid w:val="0085642A"/>
    <w:rsid w:val="00860CF3"/>
    <w:rsid w:val="008615BA"/>
    <w:rsid w:val="00864213"/>
    <w:rsid w:val="00865466"/>
    <w:rsid w:val="0086554D"/>
    <w:rsid w:val="008657EA"/>
    <w:rsid w:val="00867208"/>
    <w:rsid w:val="008675CA"/>
    <w:rsid w:val="0087429F"/>
    <w:rsid w:val="00874B49"/>
    <w:rsid w:val="00875864"/>
    <w:rsid w:val="00880567"/>
    <w:rsid w:val="0088063D"/>
    <w:rsid w:val="008809A0"/>
    <w:rsid w:val="00881011"/>
    <w:rsid w:val="008849CE"/>
    <w:rsid w:val="00886566"/>
    <w:rsid w:val="008874EE"/>
    <w:rsid w:val="00887FB0"/>
    <w:rsid w:val="00897627"/>
    <w:rsid w:val="008A1B87"/>
    <w:rsid w:val="008A4351"/>
    <w:rsid w:val="008A4563"/>
    <w:rsid w:val="008A4E38"/>
    <w:rsid w:val="008A4E60"/>
    <w:rsid w:val="008A5913"/>
    <w:rsid w:val="008A7241"/>
    <w:rsid w:val="008A7680"/>
    <w:rsid w:val="008B0482"/>
    <w:rsid w:val="008B1230"/>
    <w:rsid w:val="008B16BE"/>
    <w:rsid w:val="008B1CE2"/>
    <w:rsid w:val="008B277F"/>
    <w:rsid w:val="008B3AFE"/>
    <w:rsid w:val="008B4368"/>
    <w:rsid w:val="008B4BBA"/>
    <w:rsid w:val="008B6DD9"/>
    <w:rsid w:val="008B6FB0"/>
    <w:rsid w:val="008C3A5F"/>
    <w:rsid w:val="008C3A87"/>
    <w:rsid w:val="008C5243"/>
    <w:rsid w:val="008C60A7"/>
    <w:rsid w:val="008D0B52"/>
    <w:rsid w:val="008D3168"/>
    <w:rsid w:val="008D5709"/>
    <w:rsid w:val="008D6CFF"/>
    <w:rsid w:val="008D7BA0"/>
    <w:rsid w:val="008E0C8E"/>
    <w:rsid w:val="008E1383"/>
    <w:rsid w:val="008E1777"/>
    <w:rsid w:val="008E1A59"/>
    <w:rsid w:val="008E3728"/>
    <w:rsid w:val="008E41AE"/>
    <w:rsid w:val="008E4549"/>
    <w:rsid w:val="008E484B"/>
    <w:rsid w:val="008E4D5C"/>
    <w:rsid w:val="008F4F70"/>
    <w:rsid w:val="008F5B8F"/>
    <w:rsid w:val="0090131F"/>
    <w:rsid w:val="00902424"/>
    <w:rsid w:val="00903898"/>
    <w:rsid w:val="00906D8C"/>
    <w:rsid w:val="0091224D"/>
    <w:rsid w:val="0091256F"/>
    <w:rsid w:val="009141DC"/>
    <w:rsid w:val="00914B22"/>
    <w:rsid w:val="00914EAB"/>
    <w:rsid w:val="00915EF4"/>
    <w:rsid w:val="009208EC"/>
    <w:rsid w:val="00920B7D"/>
    <w:rsid w:val="00920BB6"/>
    <w:rsid w:val="009211C2"/>
    <w:rsid w:val="009218FC"/>
    <w:rsid w:val="009219C5"/>
    <w:rsid w:val="00921CEC"/>
    <w:rsid w:val="009228F1"/>
    <w:rsid w:val="009235F3"/>
    <w:rsid w:val="009242ED"/>
    <w:rsid w:val="00924404"/>
    <w:rsid w:val="009257F4"/>
    <w:rsid w:val="00926760"/>
    <w:rsid w:val="009267F8"/>
    <w:rsid w:val="00927DE4"/>
    <w:rsid w:val="00930673"/>
    <w:rsid w:val="00930919"/>
    <w:rsid w:val="009314DC"/>
    <w:rsid w:val="00931E33"/>
    <w:rsid w:val="00935E33"/>
    <w:rsid w:val="00936C15"/>
    <w:rsid w:val="009377DF"/>
    <w:rsid w:val="00937DDA"/>
    <w:rsid w:val="00940CC7"/>
    <w:rsid w:val="00941328"/>
    <w:rsid w:val="00941E3A"/>
    <w:rsid w:val="00941EB2"/>
    <w:rsid w:val="00942CEF"/>
    <w:rsid w:val="00944700"/>
    <w:rsid w:val="00951734"/>
    <w:rsid w:val="00952335"/>
    <w:rsid w:val="0095418A"/>
    <w:rsid w:val="00955CE2"/>
    <w:rsid w:val="00956C69"/>
    <w:rsid w:val="00956EDA"/>
    <w:rsid w:val="00957AE9"/>
    <w:rsid w:val="0096163D"/>
    <w:rsid w:val="009631B6"/>
    <w:rsid w:val="00966FCB"/>
    <w:rsid w:val="00967359"/>
    <w:rsid w:val="00967E8A"/>
    <w:rsid w:val="00971A31"/>
    <w:rsid w:val="009736C7"/>
    <w:rsid w:val="0097441C"/>
    <w:rsid w:val="009773B4"/>
    <w:rsid w:val="009778AC"/>
    <w:rsid w:val="00982DCA"/>
    <w:rsid w:val="0098397D"/>
    <w:rsid w:val="00984ECD"/>
    <w:rsid w:val="00984F66"/>
    <w:rsid w:val="009873C9"/>
    <w:rsid w:val="00990439"/>
    <w:rsid w:val="0099140C"/>
    <w:rsid w:val="00992C0D"/>
    <w:rsid w:val="00992E07"/>
    <w:rsid w:val="00993894"/>
    <w:rsid w:val="00997645"/>
    <w:rsid w:val="009A1A62"/>
    <w:rsid w:val="009A1F41"/>
    <w:rsid w:val="009A24AE"/>
    <w:rsid w:val="009A26B1"/>
    <w:rsid w:val="009A30E9"/>
    <w:rsid w:val="009A5191"/>
    <w:rsid w:val="009A5CBF"/>
    <w:rsid w:val="009A5CCF"/>
    <w:rsid w:val="009A623B"/>
    <w:rsid w:val="009A6EA4"/>
    <w:rsid w:val="009B0399"/>
    <w:rsid w:val="009B0B6F"/>
    <w:rsid w:val="009B0BAC"/>
    <w:rsid w:val="009B1302"/>
    <w:rsid w:val="009B368B"/>
    <w:rsid w:val="009B3A05"/>
    <w:rsid w:val="009B4142"/>
    <w:rsid w:val="009B52B2"/>
    <w:rsid w:val="009C1B9F"/>
    <w:rsid w:val="009C3978"/>
    <w:rsid w:val="009C4115"/>
    <w:rsid w:val="009C55EA"/>
    <w:rsid w:val="009C583E"/>
    <w:rsid w:val="009C7934"/>
    <w:rsid w:val="009D07DA"/>
    <w:rsid w:val="009D1D7E"/>
    <w:rsid w:val="009D252C"/>
    <w:rsid w:val="009D2603"/>
    <w:rsid w:val="009D2F33"/>
    <w:rsid w:val="009D35AB"/>
    <w:rsid w:val="009D5BDA"/>
    <w:rsid w:val="009D7508"/>
    <w:rsid w:val="009E1956"/>
    <w:rsid w:val="009E5DB0"/>
    <w:rsid w:val="009E5EEC"/>
    <w:rsid w:val="009E5F7D"/>
    <w:rsid w:val="009E7F61"/>
    <w:rsid w:val="009F0A2F"/>
    <w:rsid w:val="009F161C"/>
    <w:rsid w:val="009F333A"/>
    <w:rsid w:val="009F4EB8"/>
    <w:rsid w:val="00A00A46"/>
    <w:rsid w:val="00A012BE"/>
    <w:rsid w:val="00A01B9F"/>
    <w:rsid w:val="00A04ABC"/>
    <w:rsid w:val="00A05648"/>
    <w:rsid w:val="00A0695C"/>
    <w:rsid w:val="00A06C6F"/>
    <w:rsid w:val="00A07723"/>
    <w:rsid w:val="00A0779A"/>
    <w:rsid w:val="00A078A1"/>
    <w:rsid w:val="00A102A9"/>
    <w:rsid w:val="00A105E7"/>
    <w:rsid w:val="00A1063E"/>
    <w:rsid w:val="00A11240"/>
    <w:rsid w:val="00A118F1"/>
    <w:rsid w:val="00A11AA0"/>
    <w:rsid w:val="00A12C20"/>
    <w:rsid w:val="00A12F38"/>
    <w:rsid w:val="00A13117"/>
    <w:rsid w:val="00A142ED"/>
    <w:rsid w:val="00A14AAB"/>
    <w:rsid w:val="00A14F5E"/>
    <w:rsid w:val="00A201F4"/>
    <w:rsid w:val="00A20F61"/>
    <w:rsid w:val="00A21ADF"/>
    <w:rsid w:val="00A21E2D"/>
    <w:rsid w:val="00A22210"/>
    <w:rsid w:val="00A225A9"/>
    <w:rsid w:val="00A261AB"/>
    <w:rsid w:val="00A26C04"/>
    <w:rsid w:val="00A30706"/>
    <w:rsid w:val="00A32289"/>
    <w:rsid w:val="00A322C1"/>
    <w:rsid w:val="00A367A9"/>
    <w:rsid w:val="00A36CEF"/>
    <w:rsid w:val="00A37C04"/>
    <w:rsid w:val="00A37F9C"/>
    <w:rsid w:val="00A40BC4"/>
    <w:rsid w:val="00A40BE6"/>
    <w:rsid w:val="00A40C7D"/>
    <w:rsid w:val="00A43372"/>
    <w:rsid w:val="00A4672D"/>
    <w:rsid w:val="00A46882"/>
    <w:rsid w:val="00A50A79"/>
    <w:rsid w:val="00A50BF9"/>
    <w:rsid w:val="00A52050"/>
    <w:rsid w:val="00A53EF6"/>
    <w:rsid w:val="00A54525"/>
    <w:rsid w:val="00A57803"/>
    <w:rsid w:val="00A60136"/>
    <w:rsid w:val="00A60F3E"/>
    <w:rsid w:val="00A63213"/>
    <w:rsid w:val="00A64334"/>
    <w:rsid w:val="00A66C01"/>
    <w:rsid w:val="00A71455"/>
    <w:rsid w:val="00A71895"/>
    <w:rsid w:val="00A71DCB"/>
    <w:rsid w:val="00A73719"/>
    <w:rsid w:val="00A7552A"/>
    <w:rsid w:val="00A77888"/>
    <w:rsid w:val="00A778C3"/>
    <w:rsid w:val="00A806E7"/>
    <w:rsid w:val="00A85C10"/>
    <w:rsid w:val="00A85DF1"/>
    <w:rsid w:val="00A85E4C"/>
    <w:rsid w:val="00A860FE"/>
    <w:rsid w:val="00A86AE6"/>
    <w:rsid w:val="00A94532"/>
    <w:rsid w:val="00A97333"/>
    <w:rsid w:val="00AA0FD0"/>
    <w:rsid w:val="00AA27BF"/>
    <w:rsid w:val="00AA29B7"/>
    <w:rsid w:val="00AA2D77"/>
    <w:rsid w:val="00AA3847"/>
    <w:rsid w:val="00AA5E4B"/>
    <w:rsid w:val="00AB1342"/>
    <w:rsid w:val="00AB35C4"/>
    <w:rsid w:val="00AB41E3"/>
    <w:rsid w:val="00AB4948"/>
    <w:rsid w:val="00AC038F"/>
    <w:rsid w:val="00AC0E53"/>
    <w:rsid w:val="00AC1094"/>
    <w:rsid w:val="00AC20DD"/>
    <w:rsid w:val="00AC2292"/>
    <w:rsid w:val="00AC23F1"/>
    <w:rsid w:val="00AC3C75"/>
    <w:rsid w:val="00AC508D"/>
    <w:rsid w:val="00AC51DE"/>
    <w:rsid w:val="00AC532E"/>
    <w:rsid w:val="00AC5B86"/>
    <w:rsid w:val="00AC7926"/>
    <w:rsid w:val="00AD0B4F"/>
    <w:rsid w:val="00AD10E4"/>
    <w:rsid w:val="00AD551B"/>
    <w:rsid w:val="00AD7E46"/>
    <w:rsid w:val="00AE0ED2"/>
    <w:rsid w:val="00AE2EBF"/>
    <w:rsid w:val="00AE30F1"/>
    <w:rsid w:val="00AE3BA5"/>
    <w:rsid w:val="00AE45EC"/>
    <w:rsid w:val="00AE46A8"/>
    <w:rsid w:val="00AE6A67"/>
    <w:rsid w:val="00AF0500"/>
    <w:rsid w:val="00AF0504"/>
    <w:rsid w:val="00AF0A1B"/>
    <w:rsid w:val="00AF0FA2"/>
    <w:rsid w:val="00AF476E"/>
    <w:rsid w:val="00AF66E1"/>
    <w:rsid w:val="00AF7315"/>
    <w:rsid w:val="00AF7811"/>
    <w:rsid w:val="00B000B3"/>
    <w:rsid w:val="00B026F8"/>
    <w:rsid w:val="00B027F2"/>
    <w:rsid w:val="00B10D1D"/>
    <w:rsid w:val="00B133FB"/>
    <w:rsid w:val="00B145AC"/>
    <w:rsid w:val="00B15D5C"/>
    <w:rsid w:val="00B21269"/>
    <w:rsid w:val="00B21E38"/>
    <w:rsid w:val="00B220A3"/>
    <w:rsid w:val="00B25585"/>
    <w:rsid w:val="00B26EED"/>
    <w:rsid w:val="00B27C31"/>
    <w:rsid w:val="00B30254"/>
    <w:rsid w:val="00B30412"/>
    <w:rsid w:val="00B32204"/>
    <w:rsid w:val="00B32CF4"/>
    <w:rsid w:val="00B37749"/>
    <w:rsid w:val="00B40DBD"/>
    <w:rsid w:val="00B42C92"/>
    <w:rsid w:val="00B4473D"/>
    <w:rsid w:val="00B4769A"/>
    <w:rsid w:val="00B50188"/>
    <w:rsid w:val="00B50C95"/>
    <w:rsid w:val="00B50E24"/>
    <w:rsid w:val="00B52100"/>
    <w:rsid w:val="00B52A43"/>
    <w:rsid w:val="00B5734C"/>
    <w:rsid w:val="00B57656"/>
    <w:rsid w:val="00B57BC2"/>
    <w:rsid w:val="00B57D0B"/>
    <w:rsid w:val="00B64D09"/>
    <w:rsid w:val="00B6612A"/>
    <w:rsid w:val="00B66EAE"/>
    <w:rsid w:val="00B67328"/>
    <w:rsid w:val="00B67F0B"/>
    <w:rsid w:val="00B71843"/>
    <w:rsid w:val="00B722FE"/>
    <w:rsid w:val="00B72811"/>
    <w:rsid w:val="00B765E4"/>
    <w:rsid w:val="00B7781B"/>
    <w:rsid w:val="00B8092D"/>
    <w:rsid w:val="00B81075"/>
    <w:rsid w:val="00B8242B"/>
    <w:rsid w:val="00B84C95"/>
    <w:rsid w:val="00B85B2B"/>
    <w:rsid w:val="00B86F92"/>
    <w:rsid w:val="00B87128"/>
    <w:rsid w:val="00B917FA"/>
    <w:rsid w:val="00B94DBA"/>
    <w:rsid w:val="00B9536E"/>
    <w:rsid w:val="00B97987"/>
    <w:rsid w:val="00BA071B"/>
    <w:rsid w:val="00BA2BB0"/>
    <w:rsid w:val="00BA42C6"/>
    <w:rsid w:val="00BA5794"/>
    <w:rsid w:val="00BA58DB"/>
    <w:rsid w:val="00BA666B"/>
    <w:rsid w:val="00BA7B4A"/>
    <w:rsid w:val="00BB14D3"/>
    <w:rsid w:val="00BB2058"/>
    <w:rsid w:val="00BB376A"/>
    <w:rsid w:val="00BB4C9B"/>
    <w:rsid w:val="00BB5A18"/>
    <w:rsid w:val="00BB67F8"/>
    <w:rsid w:val="00BC01A1"/>
    <w:rsid w:val="00BC12D5"/>
    <w:rsid w:val="00BC3500"/>
    <w:rsid w:val="00BC5793"/>
    <w:rsid w:val="00BC6CCF"/>
    <w:rsid w:val="00BD0682"/>
    <w:rsid w:val="00BD1CF7"/>
    <w:rsid w:val="00BD3E84"/>
    <w:rsid w:val="00BD4050"/>
    <w:rsid w:val="00BD55A3"/>
    <w:rsid w:val="00BD6E8C"/>
    <w:rsid w:val="00BD7F45"/>
    <w:rsid w:val="00BE0D24"/>
    <w:rsid w:val="00BE0F83"/>
    <w:rsid w:val="00BE1389"/>
    <w:rsid w:val="00BE167B"/>
    <w:rsid w:val="00BE1823"/>
    <w:rsid w:val="00BE2DE1"/>
    <w:rsid w:val="00BE3832"/>
    <w:rsid w:val="00BE4103"/>
    <w:rsid w:val="00BE45C3"/>
    <w:rsid w:val="00BE4C0A"/>
    <w:rsid w:val="00BE503B"/>
    <w:rsid w:val="00BF1505"/>
    <w:rsid w:val="00BF4665"/>
    <w:rsid w:val="00BF6462"/>
    <w:rsid w:val="00BF6C84"/>
    <w:rsid w:val="00BF707F"/>
    <w:rsid w:val="00BF7A44"/>
    <w:rsid w:val="00C008B2"/>
    <w:rsid w:val="00C00EA5"/>
    <w:rsid w:val="00C03871"/>
    <w:rsid w:val="00C04750"/>
    <w:rsid w:val="00C05828"/>
    <w:rsid w:val="00C10241"/>
    <w:rsid w:val="00C13169"/>
    <w:rsid w:val="00C148E3"/>
    <w:rsid w:val="00C15AD2"/>
    <w:rsid w:val="00C1613D"/>
    <w:rsid w:val="00C178C3"/>
    <w:rsid w:val="00C17BAF"/>
    <w:rsid w:val="00C20622"/>
    <w:rsid w:val="00C20ED1"/>
    <w:rsid w:val="00C2157F"/>
    <w:rsid w:val="00C21AE1"/>
    <w:rsid w:val="00C228D9"/>
    <w:rsid w:val="00C23310"/>
    <w:rsid w:val="00C24904"/>
    <w:rsid w:val="00C24D9C"/>
    <w:rsid w:val="00C26F25"/>
    <w:rsid w:val="00C278CB"/>
    <w:rsid w:val="00C3329A"/>
    <w:rsid w:val="00C34CD0"/>
    <w:rsid w:val="00C36D43"/>
    <w:rsid w:val="00C401B1"/>
    <w:rsid w:val="00C42ACA"/>
    <w:rsid w:val="00C43611"/>
    <w:rsid w:val="00C445F5"/>
    <w:rsid w:val="00C452AA"/>
    <w:rsid w:val="00C45D86"/>
    <w:rsid w:val="00C45F1B"/>
    <w:rsid w:val="00C469C8"/>
    <w:rsid w:val="00C4743C"/>
    <w:rsid w:val="00C47739"/>
    <w:rsid w:val="00C4774B"/>
    <w:rsid w:val="00C47E11"/>
    <w:rsid w:val="00C51351"/>
    <w:rsid w:val="00C5143F"/>
    <w:rsid w:val="00C5295A"/>
    <w:rsid w:val="00C54FDC"/>
    <w:rsid w:val="00C56418"/>
    <w:rsid w:val="00C56650"/>
    <w:rsid w:val="00C5715E"/>
    <w:rsid w:val="00C57545"/>
    <w:rsid w:val="00C61A23"/>
    <w:rsid w:val="00C6313B"/>
    <w:rsid w:val="00C63788"/>
    <w:rsid w:val="00C63C74"/>
    <w:rsid w:val="00C64652"/>
    <w:rsid w:val="00C7032B"/>
    <w:rsid w:val="00C7279C"/>
    <w:rsid w:val="00C72CC0"/>
    <w:rsid w:val="00C73ED2"/>
    <w:rsid w:val="00C74461"/>
    <w:rsid w:val="00C74D0A"/>
    <w:rsid w:val="00C7722C"/>
    <w:rsid w:val="00C774B7"/>
    <w:rsid w:val="00C8018D"/>
    <w:rsid w:val="00C80F37"/>
    <w:rsid w:val="00C813DE"/>
    <w:rsid w:val="00C84F8A"/>
    <w:rsid w:val="00C855AB"/>
    <w:rsid w:val="00C8630A"/>
    <w:rsid w:val="00C90087"/>
    <w:rsid w:val="00C91B30"/>
    <w:rsid w:val="00C91FA2"/>
    <w:rsid w:val="00C9592F"/>
    <w:rsid w:val="00C959CD"/>
    <w:rsid w:val="00C96C3E"/>
    <w:rsid w:val="00C97692"/>
    <w:rsid w:val="00CA0948"/>
    <w:rsid w:val="00CA1297"/>
    <w:rsid w:val="00CA4F4D"/>
    <w:rsid w:val="00CA693C"/>
    <w:rsid w:val="00CB07F7"/>
    <w:rsid w:val="00CB50CF"/>
    <w:rsid w:val="00CB6034"/>
    <w:rsid w:val="00CC04B6"/>
    <w:rsid w:val="00CC137E"/>
    <w:rsid w:val="00CC3B13"/>
    <w:rsid w:val="00CC459D"/>
    <w:rsid w:val="00CC45DA"/>
    <w:rsid w:val="00CC7096"/>
    <w:rsid w:val="00CC75B4"/>
    <w:rsid w:val="00CD010B"/>
    <w:rsid w:val="00CD17EA"/>
    <w:rsid w:val="00CD1FEB"/>
    <w:rsid w:val="00CD6E4E"/>
    <w:rsid w:val="00CD778F"/>
    <w:rsid w:val="00CE052A"/>
    <w:rsid w:val="00CE0765"/>
    <w:rsid w:val="00CE10C8"/>
    <w:rsid w:val="00CE1FE9"/>
    <w:rsid w:val="00CE3962"/>
    <w:rsid w:val="00CE71CB"/>
    <w:rsid w:val="00CE745D"/>
    <w:rsid w:val="00CE7EA7"/>
    <w:rsid w:val="00CF0E9F"/>
    <w:rsid w:val="00CF18FB"/>
    <w:rsid w:val="00CF21CE"/>
    <w:rsid w:val="00CF35F8"/>
    <w:rsid w:val="00CF45E2"/>
    <w:rsid w:val="00CF60FB"/>
    <w:rsid w:val="00CF7FB8"/>
    <w:rsid w:val="00D0322E"/>
    <w:rsid w:val="00D03384"/>
    <w:rsid w:val="00D05AB6"/>
    <w:rsid w:val="00D069E2"/>
    <w:rsid w:val="00D06FAB"/>
    <w:rsid w:val="00D0757B"/>
    <w:rsid w:val="00D10061"/>
    <w:rsid w:val="00D10150"/>
    <w:rsid w:val="00D1026A"/>
    <w:rsid w:val="00D10890"/>
    <w:rsid w:val="00D13439"/>
    <w:rsid w:val="00D14340"/>
    <w:rsid w:val="00D14D09"/>
    <w:rsid w:val="00D17206"/>
    <w:rsid w:val="00D20542"/>
    <w:rsid w:val="00D22217"/>
    <w:rsid w:val="00D2297E"/>
    <w:rsid w:val="00D22BB1"/>
    <w:rsid w:val="00D23808"/>
    <w:rsid w:val="00D23D5E"/>
    <w:rsid w:val="00D30452"/>
    <w:rsid w:val="00D309B4"/>
    <w:rsid w:val="00D31AA2"/>
    <w:rsid w:val="00D31B2D"/>
    <w:rsid w:val="00D32A26"/>
    <w:rsid w:val="00D33A3F"/>
    <w:rsid w:val="00D33E8A"/>
    <w:rsid w:val="00D342B1"/>
    <w:rsid w:val="00D346FC"/>
    <w:rsid w:val="00D36139"/>
    <w:rsid w:val="00D3731A"/>
    <w:rsid w:val="00D426D1"/>
    <w:rsid w:val="00D44A2B"/>
    <w:rsid w:val="00D4536C"/>
    <w:rsid w:val="00D518DB"/>
    <w:rsid w:val="00D542A4"/>
    <w:rsid w:val="00D55237"/>
    <w:rsid w:val="00D56928"/>
    <w:rsid w:val="00D5794D"/>
    <w:rsid w:val="00D6182A"/>
    <w:rsid w:val="00D61F6E"/>
    <w:rsid w:val="00D62A51"/>
    <w:rsid w:val="00D631FE"/>
    <w:rsid w:val="00D63D5F"/>
    <w:rsid w:val="00D679C7"/>
    <w:rsid w:val="00D70EA3"/>
    <w:rsid w:val="00D7295D"/>
    <w:rsid w:val="00D73710"/>
    <w:rsid w:val="00D7527E"/>
    <w:rsid w:val="00D77C38"/>
    <w:rsid w:val="00D80212"/>
    <w:rsid w:val="00D80E83"/>
    <w:rsid w:val="00D83257"/>
    <w:rsid w:val="00D86591"/>
    <w:rsid w:val="00D86A2C"/>
    <w:rsid w:val="00D8783E"/>
    <w:rsid w:val="00D930EA"/>
    <w:rsid w:val="00D93E55"/>
    <w:rsid w:val="00DA0070"/>
    <w:rsid w:val="00DA43C1"/>
    <w:rsid w:val="00DA444F"/>
    <w:rsid w:val="00DA68FE"/>
    <w:rsid w:val="00DB1B50"/>
    <w:rsid w:val="00DB2A29"/>
    <w:rsid w:val="00DB3647"/>
    <w:rsid w:val="00DB5DD1"/>
    <w:rsid w:val="00DB6960"/>
    <w:rsid w:val="00DB7660"/>
    <w:rsid w:val="00DC07BC"/>
    <w:rsid w:val="00DC2C8C"/>
    <w:rsid w:val="00DC44BE"/>
    <w:rsid w:val="00DC49F4"/>
    <w:rsid w:val="00DD0316"/>
    <w:rsid w:val="00DD2975"/>
    <w:rsid w:val="00DD36D3"/>
    <w:rsid w:val="00DD3C2C"/>
    <w:rsid w:val="00DD55E5"/>
    <w:rsid w:val="00DD5868"/>
    <w:rsid w:val="00DD6F9A"/>
    <w:rsid w:val="00DD729F"/>
    <w:rsid w:val="00DE083B"/>
    <w:rsid w:val="00DE0C5A"/>
    <w:rsid w:val="00DE14CD"/>
    <w:rsid w:val="00DE1F83"/>
    <w:rsid w:val="00DE21CD"/>
    <w:rsid w:val="00DE33D8"/>
    <w:rsid w:val="00DE5749"/>
    <w:rsid w:val="00DE74CC"/>
    <w:rsid w:val="00DE7DDC"/>
    <w:rsid w:val="00DE7F43"/>
    <w:rsid w:val="00DF00CC"/>
    <w:rsid w:val="00DF3B83"/>
    <w:rsid w:val="00DF4B31"/>
    <w:rsid w:val="00DF581F"/>
    <w:rsid w:val="00DF6B83"/>
    <w:rsid w:val="00DF7975"/>
    <w:rsid w:val="00DF7A3C"/>
    <w:rsid w:val="00E012ED"/>
    <w:rsid w:val="00E01983"/>
    <w:rsid w:val="00E0207A"/>
    <w:rsid w:val="00E022F1"/>
    <w:rsid w:val="00E03068"/>
    <w:rsid w:val="00E03C3D"/>
    <w:rsid w:val="00E06D24"/>
    <w:rsid w:val="00E0793E"/>
    <w:rsid w:val="00E07F88"/>
    <w:rsid w:val="00E102CC"/>
    <w:rsid w:val="00E1054F"/>
    <w:rsid w:val="00E11EFF"/>
    <w:rsid w:val="00E12DDD"/>
    <w:rsid w:val="00E13A61"/>
    <w:rsid w:val="00E1634D"/>
    <w:rsid w:val="00E210A8"/>
    <w:rsid w:val="00E22532"/>
    <w:rsid w:val="00E22A44"/>
    <w:rsid w:val="00E22D8C"/>
    <w:rsid w:val="00E23B00"/>
    <w:rsid w:val="00E250DE"/>
    <w:rsid w:val="00E2533D"/>
    <w:rsid w:val="00E259C2"/>
    <w:rsid w:val="00E308BD"/>
    <w:rsid w:val="00E30988"/>
    <w:rsid w:val="00E31726"/>
    <w:rsid w:val="00E330E9"/>
    <w:rsid w:val="00E3311F"/>
    <w:rsid w:val="00E3547C"/>
    <w:rsid w:val="00E3650E"/>
    <w:rsid w:val="00E36F6D"/>
    <w:rsid w:val="00E3791C"/>
    <w:rsid w:val="00E40936"/>
    <w:rsid w:val="00E53C82"/>
    <w:rsid w:val="00E548A5"/>
    <w:rsid w:val="00E56884"/>
    <w:rsid w:val="00E579D1"/>
    <w:rsid w:val="00E62209"/>
    <w:rsid w:val="00E63549"/>
    <w:rsid w:val="00E63EF9"/>
    <w:rsid w:val="00E66BE0"/>
    <w:rsid w:val="00E717BE"/>
    <w:rsid w:val="00E72B1D"/>
    <w:rsid w:val="00E73561"/>
    <w:rsid w:val="00E73FA2"/>
    <w:rsid w:val="00E7442E"/>
    <w:rsid w:val="00E77C07"/>
    <w:rsid w:val="00E8038D"/>
    <w:rsid w:val="00E804F9"/>
    <w:rsid w:val="00E80F45"/>
    <w:rsid w:val="00E81947"/>
    <w:rsid w:val="00E8279D"/>
    <w:rsid w:val="00E82B77"/>
    <w:rsid w:val="00E86AC0"/>
    <w:rsid w:val="00E8712E"/>
    <w:rsid w:val="00E8730C"/>
    <w:rsid w:val="00E87B90"/>
    <w:rsid w:val="00E90D60"/>
    <w:rsid w:val="00E9139E"/>
    <w:rsid w:val="00E9162F"/>
    <w:rsid w:val="00E91DFB"/>
    <w:rsid w:val="00E932FF"/>
    <w:rsid w:val="00E934F6"/>
    <w:rsid w:val="00E939B8"/>
    <w:rsid w:val="00E94EAE"/>
    <w:rsid w:val="00E95D18"/>
    <w:rsid w:val="00E967C6"/>
    <w:rsid w:val="00E96FFC"/>
    <w:rsid w:val="00EA08C3"/>
    <w:rsid w:val="00EA3B09"/>
    <w:rsid w:val="00EA5BC6"/>
    <w:rsid w:val="00EA5F05"/>
    <w:rsid w:val="00EA780A"/>
    <w:rsid w:val="00EB0AA0"/>
    <w:rsid w:val="00EB10A8"/>
    <w:rsid w:val="00EB1C97"/>
    <w:rsid w:val="00EB6F09"/>
    <w:rsid w:val="00EB7217"/>
    <w:rsid w:val="00EC18FC"/>
    <w:rsid w:val="00EC4B1A"/>
    <w:rsid w:val="00EC6ED3"/>
    <w:rsid w:val="00ED1C67"/>
    <w:rsid w:val="00ED2F60"/>
    <w:rsid w:val="00ED4159"/>
    <w:rsid w:val="00ED4D83"/>
    <w:rsid w:val="00ED5207"/>
    <w:rsid w:val="00ED7508"/>
    <w:rsid w:val="00EE335D"/>
    <w:rsid w:val="00EE6D3A"/>
    <w:rsid w:val="00EF03B4"/>
    <w:rsid w:val="00EF61BD"/>
    <w:rsid w:val="00EF62D0"/>
    <w:rsid w:val="00EF7EAE"/>
    <w:rsid w:val="00F02586"/>
    <w:rsid w:val="00F02842"/>
    <w:rsid w:val="00F02AED"/>
    <w:rsid w:val="00F10F8B"/>
    <w:rsid w:val="00F12E24"/>
    <w:rsid w:val="00F15F36"/>
    <w:rsid w:val="00F16D5A"/>
    <w:rsid w:val="00F173EC"/>
    <w:rsid w:val="00F201BC"/>
    <w:rsid w:val="00F2194A"/>
    <w:rsid w:val="00F21C7F"/>
    <w:rsid w:val="00F22CB7"/>
    <w:rsid w:val="00F23DB5"/>
    <w:rsid w:val="00F24685"/>
    <w:rsid w:val="00F256C1"/>
    <w:rsid w:val="00F257EE"/>
    <w:rsid w:val="00F279CF"/>
    <w:rsid w:val="00F307AB"/>
    <w:rsid w:val="00F31D45"/>
    <w:rsid w:val="00F32098"/>
    <w:rsid w:val="00F33AAD"/>
    <w:rsid w:val="00F33CD7"/>
    <w:rsid w:val="00F34A36"/>
    <w:rsid w:val="00F36299"/>
    <w:rsid w:val="00F364A7"/>
    <w:rsid w:val="00F364AA"/>
    <w:rsid w:val="00F375C2"/>
    <w:rsid w:val="00F40F30"/>
    <w:rsid w:val="00F41AC7"/>
    <w:rsid w:val="00F436F1"/>
    <w:rsid w:val="00F448BF"/>
    <w:rsid w:val="00F46991"/>
    <w:rsid w:val="00F46B92"/>
    <w:rsid w:val="00F47FE3"/>
    <w:rsid w:val="00F510CD"/>
    <w:rsid w:val="00F513F0"/>
    <w:rsid w:val="00F51508"/>
    <w:rsid w:val="00F51F73"/>
    <w:rsid w:val="00F521C8"/>
    <w:rsid w:val="00F5273A"/>
    <w:rsid w:val="00F52CCB"/>
    <w:rsid w:val="00F5352B"/>
    <w:rsid w:val="00F61FC3"/>
    <w:rsid w:val="00F642E3"/>
    <w:rsid w:val="00F65E24"/>
    <w:rsid w:val="00F66340"/>
    <w:rsid w:val="00F66E8A"/>
    <w:rsid w:val="00F7008D"/>
    <w:rsid w:val="00F70969"/>
    <w:rsid w:val="00F71E3F"/>
    <w:rsid w:val="00F73E0F"/>
    <w:rsid w:val="00F74BE7"/>
    <w:rsid w:val="00F74C2E"/>
    <w:rsid w:val="00F77965"/>
    <w:rsid w:val="00F80A72"/>
    <w:rsid w:val="00F82EC5"/>
    <w:rsid w:val="00F847B1"/>
    <w:rsid w:val="00F87412"/>
    <w:rsid w:val="00F87B7B"/>
    <w:rsid w:val="00F90B00"/>
    <w:rsid w:val="00F92133"/>
    <w:rsid w:val="00F924CE"/>
    <w:rsid w:val="00F93132"/>
    <w:rsid w:val="00F945CC"/>
    <w:rsid w:val="00F94AE7"/>
    <w:rsid w:val="00F95601"/>
    <w:rsid w:val="00F95BA1"/>
    <w:rsid w:val="00F962FD"/>
    <w:rsid w:val="00F96509"/>
    <w:rsid w:val="00F96D1C"/>
    <w:rsid w:val="00FA0ED9"/>
    <w:rsid w:val="00FA1134"/>
    <w:rsid w:val="00FA35C4"/>
    <w:rsid w:val="00FA42C7"/>
    <w:rsid w:val="00FA4CD5"/>
    <w:rsid w:val="00FA50DB"/>
    <w:rsid w:val="00FA6342"/>
    <w:rsid w:val="00FA6756"/>
    <w:rsid w:val="00FA6CDC"/>
    <w:rsid w:val="00FB2044"/>
    <w:rsid w:val="00FB3767"/>
    <w:rsid w:val="00FB54B5"/>
    <w:rsid w:val="00FB5AB0"/>
    <w:rsid w:val="00FB6858"/>
    <w:rsid w:val="00FB6B89"/>
    <w:rsid w:val="00FC1ADF"/>
    <w:rsid w:val="00FC1B33"/>
    <w:rsid w:val="00FC2BD7"/>
    <w:rsid w:val="00FC4D9A"/>
    <w:rsid w:val="00FC7F64"/>
    <w:rsid w:val="00FD02A1"/>
    <w:rsid w:val="00FD0C8D"/>
    <w:rsid w:val="00FD0F18"/>
    <w:rsid w:val="00FD36CB"/>
    <w:rsid w:val="00FD44D1"/>
    <w:rsid w:val="00FD5240"/>
    <w:rsid w:val="00FD54D4"/>
    <w:rsid w:val="00FD7EF7"/>
    <w:rsid w:val="00FE0D6E"/>
    <w:rsid w:val="00FE0E74"/>
    <w:rsid w:val="00FE0EED"/>
    <w:rsid w:val="00FE381D"/>
    <w:rsid w:val="00FE5C06"/>
    <w:rsid w:val="00FE5D95"/>
    <w:rsid w:val="00FF187D"/>
    <w:rsid w:val="00FF2640"/>
    <w:rsid w:val="00FF42F0"/>
    <w:rsid w:val="00FF5ABE"/>
    <w:rsid w:val="00FF7174"/>
    <w:rsid w:val="02A404A7"/>
    <w:rsid w:val="02F6C34C"/>
    <w:rsid w:val="037CD600"/>
    <w:rsid w:val="04413B57"/>
    <w:rsid w:val="04624A18"/>
    <w:rsid w:val="04AC2352"/>
    <w:rsid w:val="052BE581"/>
    <w:rsid w:val="06CF4185"/>
    <w:rsid w:val="080C0D36"/>
    <w:rsid w:val="090E020A"/>
    <w:rsid w:val="0B7C7F7B"/>
    <w:rsid w:val="0BB2CB49"/>
    <w:rsid w:val="0D4E9BAA"/>
    <w:rsid w:val="0EF53172"/>
    <w:rsid w:val="1232F796"/>
    <w:rsid w:val="1426A6BB"/>
    <w:rsid w:val="142F85B7"/>
    <w:rsid w:val="170A87CD"/>
    <w:rsid w:val="178CC98A"/>
    <w:rsid w:val="1AC73149"/>
    <w:rsid w:val="1F6C0D1A"/>
    <w:rsid w:val="23FDA576"/>
    <w:rsid w:val="27779BD3"/>
    <w:rsid w:val="2A869B26"/>
    <w:rsid w:val="2B5E8D10"/>
    <w:rsid w:val="2B763D80"/>
    <w:rsid w:val="2BEF8EFE"/>
    <w:rsid w:val="2DF2357F"/>
    <w:rsid w:val="2EA791E8"/>
    <w:rsid w:val="2F93F129"/>
    <w:rsid w:val="30341B10"/>
    <w:rsid w:val="32A812F7"/>
    <w:rsid w:val="3457974A"/>
    <w:rsid w:val="37A6A7EE"/>
    <w:rsid w:val="383C4756"/>
    <w:rsid w:val="38D5BB2E"/>
    <w:rsid w:val="3A612337"/>
    <w:rsid w:val="3B262A9C"/>
    <w:rsid w:val="3C554E31"/>
    <w:rsid w:val="3CB068FE"/>
    <w:rsid w:val="3CE29593"/>
    <w:rsid w:val="3E6162F2"/>
    <w:rsid w:val="3F1463C6"/>
    <w:rsid w:val="4450C36E"/>
    <w:rsid w:val="457AFA2A"/>
    <w:rsid w:val="47886430"/>
    <w:rsid w:val="49243491"/>
    <w:rsid w:val="4941A5DF"/>
    <w:rsid w:val="4A67BAD3"/>
    <w:rsid w:val="4D168567"/>
    <w:rsid w:val="4D5F34EE"/>
    <w:rsid w:val="4EF9344F"/>
    <w:rsid w:val="50566D31"/>
    <w:rsid w:val="534A27D5"/>
    <w:rsid w:val="541C88DC"/>
    <w:rsid w:val="54AE9174"/>
    <w:rsid w:val="55AD12B3"/>
    <w:rsid w:val="55FD1610"/>
    <w:rsid w:val="5610996C"/>
    <w:rsid w:val="568635B9"/>
    <w:rsid w:val="57804A32"/>
    <w:rsid w:val="59270F1B"/>
    <w:rsid w:val="5A922DEC"/>
    <w:rsid w:val="5CFB796B"/>
    <w:rsid w:val="5D48FD46"/>
    <w:rsid w:val="5EAA7B32"/>
    <w:rsid w:val="5FB18765"/>
    <w:rsid w:val="6048B40B"/>
    <w:rsid w:val="61CD737E"/>
    <w:rsid w:val="6206B553"/>
    <w:rsid w:val="62AB2C3C"/>
    <w:rsid w:val="62BF5120"/>
    <w:rsid w:val="649D2FFB"/>
    <w:rsid w:val="65BB548A"/>
    <w:rsid w:val="682D4093"/>
    <w:rsid w:val="68A6D088"/>
    <w:rsid w:val="68A8D35E"/>
    <w:rsid w:val="694172AE"/>
    <w:rsid w:val="6A17CD7B"/>
    <w:rsid w:val="6A8EC5AD"/>
    <w:rsid w:val="6BD4C8EF"/>
    <w:rsid w:val="6C0AEBD3"/>
    <w:rsid w:val="6D8B0921"/>
    <w:rsid w:val="6F490E73"/>
    <w:rsid w:val="72979A38"/>
    <w:rsid w:val="73D9E687"/>
    <w:rsid w:val="746EAAB5"/>
    <w:rsid w:val="7520E460"/>
    <w:rsid w:val="75CBA0DB"/>
    <w:rsid w:val="75F5C1E9"/>
    <w:rsid w:val="760A7B16"/>
    <w:rsid w:val="763BFAC5"/>
    <w:rsid w:val="769D8F07"/>
    <w:rsid w:val="789A239A"/>
    <w:rsid w:val="78B8880B"/>
    <w:rsid w:val="7AD2F7B1"/>
    <w:rsid w:val="7B877AC4"/>
    <w:rsid w:val="7B99AB12"/>
    <w:rsid w:val="7C12F20D"/>
    <w:rsid w:val="7C42DC32"/>
    <w:rsid w:val="7D36652A"/>
    <w:rsid w:val="7D39775D"/>
    <w:rsid w:val="7E5B3173"/>
    <w:rsid w:val="7EB42B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30CF1F"/>
  <w15:chartTrackingRefBased/>
  <w15:docId w15:val="{A64BFC81-00AF-46BA-86EA-991736B4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38C"/>
    <w:pPr>
      <w:spacing w:after="0" w:line="480" w:lineRule="auto"/>
      <w:ind w:firstLine="720"/>
    </w:pPr>
    <w:rPr>
      <w:rFonts w:ascii="Times New Roman" w:hAnsi="Times New Roman"/>
      <w:sz w:val="24"/>
    </w:rPr>
  </w:style>
  <w:style w:type="paragraph" w:styleId="Heading1">
    <w:name w:val="heading 1"/>
    <w:basedOn w:val="ListParagraph"/>
    <w:next w:val="Normal"/>
    <w:link w:val="Heading1Char"/>
    <w:autoRedefine/>
    <w:uiPriority w:val="9"/>
    <w:qFormat/>
    <w:rsid w:val="005D440E"/>
    <w:pPr>
      <w:numPr>
        <w:ilvl w:val="0"/>
        <w:numId w:val="0"/>
      </w:numPr>
      <w:tabs>
        <w:tab w:val="left" w:pos="879"/>
        <w:tab w:val="left" w:pos="880"/>
      </w:tabs>
      <w:ind w:left="1080" w:hanging="360"/>
      <w:outlineLvl w:val="0"/>
    </w:pPr>
    <w:rPr>
      <w:bCs/>
      <w:szCs w:val="24"/>
    </w:rPr>
  </w:style>
  <w:style w:type="paragraph" w:styleId="Heading2">
    <w:name w:val="heading 2"/>
    <w:basedOn w:val="ListParagraph"/>
    <w:next w:val="Normal"/>
    <w:link w:val="Heading2Char"/>
    <w:uiPriority w:val="9"/>
    <w:unhideWhenUsed/>
    <w:qFormat/>
    <w:rsid w:val="00474A5C"/>
    <w:pPr>
      <w:numPr>
        <w:ilvl w:val="0"/>
        <w:numId w:val="57"/>
      </w:numPr>
      <w:tabs>
        <w:tab w:val="left" w:pos="1599"/>
        <w:tab w:val="left" w:pos="1600"/>
      </w:tabs>
      <w:spacing w:before="240" w:after="240" w:line="240" w:lineRule="auto"/>
      <w:outlineLvl w:val="1"/>
    </w:pPr>
    <w:rPr>
      <w:i/>
    </w:rPr>
  </w:style>
  <w:style w:type="paragraph" w:styleId="Heading3">
    <w:name w:val="heading 3"/>
    <w:basedOn w:val="Normal"/>
    <w:next w:val="Normal"/>
    <w:link w:val="Heading3Char"/>
    <w:autoRedefine/>
    <w:uiPriority w:val="9"/>
    <w:unhideWhenUsed/>
    <w:qFormat/>
    <w:rsid w:val="006D6D21"/>
    <w:pPr>
      <w:keepNext/>
      <w:keepLines/>
      <w:numPr>
        <w:numId w:val="42"/>
      </w:numPr>
      <w:spacing w:before="40" w:after="40" w:line="400" w:lineRule="exact"/>
      <w:outlineLvl w:val="2"/>
    </w:pPr>
    <w:rPr>
      <w:rFonts w:eastAsiaTheme="majorEastAsia"/>
      <w:bCs/>
      <w:i/>
      <w:szCs w:val="24"/>
    </w:rPr>
  </w:style>
  <w:style w:type="paragraph" w:styleId="Heading4">
    <w:name w:val="heading 4"/>
    <w:basedOn w:val="Normal"/>
    <w:next w:val="Normal"/>
    <w:link w:val="Heading4Char"/>
    <w:autoRedefine/>
    <w:uiPriority w:val="9"/>
    <w:unhideWhenUsed/>
    <w:qFormat/>
    <w:rsid w:val="001E40CF"/>
    <w:pPr>
      <w:keepNext/>
      <w:keepLines/>
      <w:spacing w:before="40" w:after="40" w:line="240" w:lineRule="auto"/>
      <w:ind w:firstLine="0"/>
      <w:outlineLvl w:val="3"/>
    </w:pPr>
    <w:rPr>
      <w:rFonts w:eastAsiaTheme="majorEastAsia" w:cstheme="majorBidi"/>
      <w:i/>
      <w:iCs/>
    </w:rPr>
  </w:style>
  <w:style w:type="paragraph" w:styleId="Heading5">
    <w:name w:val="heading 5"/>
    <w:basedOn w:val="Normal"/>
    <w:next w:val="Normal"/>
    <w:link w:val="Heading5Char"/>
    <w:uiPriority w:val="9"/>
    <w:qFormat/>
    <w:rsid w:val="006A56B1"/>
    <w:pPr>
      <w:keepNext/>
      <w:keepLines/>
      <w:spacing w:before="60" w:after="20" w:line="240" w:lineRule="auto"/>
      <w:ind w:left="1008" w:hanging="1008"/>
      <w:outlineLvl w:val="4"/>
    </w:pPr>
    <w:rPr>
      <w:rFonts w:eastAsiaTheme="majorEastAsia" w:cstheme="majorBidi"/>
      <w:color w:val="1F3864"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E372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autoRedefine/>
    <w:uiPriority w:val="99"/>
    <w:unhideWhenUsed/>
    <w:qFormat/>
    <w:rsid w:val="00707B3F"/>
    <w:pPr>
      <w:ind w:right="790" w:firstLine="630"/>
    </w:pPr>
    <w:rPr>
      <w:szCs w:val="24"/>
    </w:rPr>
  </w:style>
  <w:style w:type="character" w:customStyle="1" w:styleId="BodyTextChar">
    <w:name w:val="Body Text Char"/>
    <w:basedOn w:val="DefaultParagraphFont"/>
    <w:link w:val="BodyText"/>
    <w:uiPriority w:val="99"/>
    <w:rsid w:val="00707B3F"/>
    <w:rPr>
      <w:rFonts w:ascii="Times New Roman" w:hAnsi="Times New Roman"/>
      <w:sz w:val="24"/>
      <w:szCs w:val="24"/>
    </w:rPr>
  </w:style>
  <w:style w:type="character" w:styleId="CommentReference">
    <w:name w:val="annotation reference"/>
    <w:basedOn w:val="DefaultParagraphFont"/>
    <w:uiPriority w:val="99"/>
    <w:unhideWhenUsed/>
    <w:rsid w:val="00AA5E4B"/>
    <w:rPr>
      <w:sz w:val="16"/>
      <w:szCs w:val="16"/>
    </w:rPr>
  </w:style>
  <w:style w:type="paragraph" w:styleId="CommentText">
    <w:name w:val="annotation text"/>
    <w:aliases w:val="Bubble Text,Comment Text2"/>
    <w:basedOn w:val="Normal"/>
    <w:link w:val="CommentTextChar"/>
    <w:uiPriority w:val="99"/>
    <w:unhideWhenUsed/>
    <w:qFormat/>
    <w:rsid w:val="00AA5E4B"/>
    <w:pPr>
      <w:widowControl w:val="0"/>
    </w:pPr>
  </w:style>
  <w:style w:type="character" w:customStyle="1" w:styleId="CommentTextChar">
    <w:name w:val="Comment Text Char"/>
    <w:aliases w:val="Bubble Text Char,Comment Text2 Char"/>
    <w:basedOn w:val="DefaultParagraphFont"/>
    <w:link w:val="CommentText"/>
    <w:uiPriority w:val="99"/>
    <w:rsid w:val="00AA5E4B"/>
    <w:rPr>
      <w:rFonts w:ascii="Times New Roman" w:eastAsia="Times New Roman" w:hAnsi="Times New Roman" w:cs="Times New Roman"/>
      <w:sz w:val="20"/>
      <w:szCs w:val="20"/>
    </w:rPr>
  </w:style>
  <w:style w:type="paragraph" w:styleId="ListParagraph">
    <w:name w:val="List Paragraph"/>
    <w:aliases w:val="3,Bullet 1,Bullet Points,Colorful List - Accent 11,Dot pt,F5 List Paragraph,Indicator Text,Issue Action POC,List Paragraph Char Char Char,List Paragraph1,List Paragraph2,MAIN CONTENT,Numbered Para 1,POCG Table Text,Primary Bullet List"/>
    <w:basedOn w:val="Normal"/>
    <w:link w:val="ListParagraphChar"/>
    <w:autoRedefine/>
    <w:uiPriority w:val="34"/>
    <w:qFormat/>
    <w:rsid w:val="003A3B69"/>
    <w:pPr>
      <w:widowControl w:val="0"/>
      <w:numPr>
        <w:ilvl w:val="1"/>
        <w:numId w:val="33"/>
      </w:numPr>
    </w:pPr>
  </w:style>
  <w:style w:type="paragraph" w:customStyle="1" w:styleId="Default">
    <w:name w:val="Default"/>
    <w:rsid w:val="00703E0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774AEF"/>
    <w:pPr>
      <w:widowControl/>
      <w:adjustRightInd w:val="0"/>
    </w:pPr>
    <w:rPr>
      <w:b/>
      <w:bCs/>
    </w:rPr>
  </w:style>
  <w:style w:type="character" w:customStyle="1" w:styleId="CommentSubjectChar">
    <w:name w:val="Comment Subject Char"/>
    <w:basedOn w:val="CommentTextChar"/>
    <w:link w:val="CommentSubject"/>
    <w:uiPriority w:val="99"/>
    <w:semiHidden/>
    <w:rsid w:val="00774AEF"/>
    <w:rPr>
      <w:rFonts w:ascii="Times New Roman" w:eastAsia="Times New Roman" w:hAnsi="Times New Roman" w:cs="Times New Roman"/>
      <w:b/>
      <w:bCs/>
      <w:sz w:val="20"/>
      <w:szCs w:val="20"/>
    </w:rPr>
  </w:style>
  <w:style w:type="paragraph" w:styleId="NormalWeb">
    <w:name w:val="Normal (Web)"/>
    <w:basedOn w:val="Normal"/>
    <w:uiPriority w:val="99"/>
    <w:unhideWhenUsed/>
    <w:rsid w:val="008466C4"/>
    <w:pPr>
      <w:spacing w:before="100" w:beforeAutospacing="1" w:after="100" w:afterAutospacing="1"/>
    </w:pPr>
    <w:rPr>
      <w:szCs w:val="24"/>
    </w:rPr>
  </w:style>
  <w:style w:type="paragraph" w:customStyle="1" w:styleId="paragraph">
    <w:name w:val="paragraph"/>
    <w:basedOn w:val="Normal"/>
    <w:rsid w:val="00475A9A"/>
    <w:pPr>
      <w:spacing w:before="100" w:beforeAutospacing="1" w:after="100" w:afterAutospacing="1"/>
    </w:pPr>
    <w:rPr>
      <w:szCs w:val="24"/>
    </w:rPr>
  </w:style>
  <w:style w:type="character" w:customStyle="1" w:styleId="normaltextrun">
    <w:name w:val="normaltextrun"/>
    <w:basedOn w:val="DefaultParagraphFont"/>
    <w:rsid w:val="00475A9A"/>
  </w:style>
  <w:style w:type="character" w:customStyle="1" w:styleId="eop">
    <w:name w:val="eop"/>
    <w:basedOn w:val="DefaultParagraphFont"/>
    <w:rsid w:val="00475A9A"/>
  </w:style>
  <w:style w:type="character" w:customStyle="1" w:styleId="spellingerror">
    <w:name w:val="spellingerror"/>
    <w:basedOn w:val="DefaultParagraphFont"/>
    <w:rsid w:val="00C774B7"/>
  </w:style>
  <w:style w:type="character" w:customStyle="1" w:styleId="advancedproofingissue">
    <w:name w:val="advancedproofingissue"/>
    <w:basedOn w:val="DefaultParagraphFont"/>
    <w:rsid w:val="00C774B7"/>
  </w:style>
  <w:style w:type="table" w:styleId="TableGrid">
    <w:name w:val="Table Grid"/>
    <w:aliases w:val="PTV Figure Grid,Table Grid-rea"/>
    <w:basedOn w:val="TableNormal"/>
    <w:uiPriority w:val="39"/>
    <w:rsid w:val="00C7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6899"/>
    <w:rPr>
      <w:color w:val="808080"/>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POCG Table Text Char,Primary Bullet List Char"/>
    <w:basedOn w:val="DefaultParagraphFont"/>
    <w:link w:val="ListParagraph"/>
    <w:uiPriority w:val="34"/>
    <w:locked/>
    <w:rsid w:val="003A3B69"/>
    <w:rPr>
      <w:rFonts w:ascii="Times New Roman" w:hAnsi="Times New Roman"/>
      <w:sz w:val="24"/>
    </w:rPr>
  </w:style>
  <w:style w:type="paragraph" w:styleId="Header">
    <w:name w:val="header"/>
    <w:basedOn w:val="Normal"/>
    <w:link w:val="HeaderChar"/>
    <w:uiPriority w:val="99"/>
    <w:unhideWhenUsed/>
    <w:rsid w:val="006A56B1"/>
    <w:pPr>
      <w:tabs>
        <w:tab w:val="center" w:pos="4680"/>
        <w:tab w:val="right" w:pos="9360"/>
      </w:tabs>
      <w:spacing w:line="240" w:lineRule="auto"/>
      <w:ind w:firstLine="0"/>
    </w:pPr>
  </w:style>
  <w:style w:type="character" w:customStyle="1" w:styleId="HeaderChar">
    <w:name w:val="Header Char"/>
    <w:basedOn w:val="DefaultParagraphFont"/>
    <w:link w:val="Header"/>
    <w:uiPriority w:val="99"/>
    <w:rsid w:val="006A56B1"/>
    <w:rPr>
      <w:rFonts w:ascii="Times New Roman" w:hAnsi="Times New Roman"/>
      <w:sz w:val="24"/>
    </w:rPr>
  </w:style>
  <w:style w:type="paragraph" w:styleId="Footer">
    <w:name w:val="footer"/>
    <w:basedOn w:val="Normal"/>
    <w:link w:val="FooterChar"/>
    <w:uiPriority w:val="99"/>
    <w:unhideWhenUsed/>
    <w:rsid w:val="006A56B1"/>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6A56B1"/>
    <w:rPr>
      <w:rFonts w:ascii="Times New Roman" w:hAnsi="Times New Roman"/>
      <w:sz w:val="24"/>
    </w:rPr>
  </w:style>
  <w:style w:type="character" w:customStyle="1" w:styleId="Heading2Char">
    <w:name w:val="Heading 2 Char"/>
    <w:basedOn w:val="DefaultParagraphFont"/>
    <w:link w:val="Heading2"/>
    <w:uiPriority w:val="9"/>
    <w:rsid w:val="00474A5C"/>
    <w:rPr>
      <w:rFonts w:ascii="Times New Roman" w:hAnsi="Times New Roman"/>
      <w:i/>
      <w:sz w:val="24"/>
    </w:rPr>
  </w:style>
  <w:style w:type="paragraph" w:customStyle="1" w:styleId="FigureTableNote">
    <w:name w:val="Figure/Table Note"/>
    <w:basedOn w:val="Normal"/>
    <w:link w:val="FigureTableNoteChar"/>
    <w:qFormat/>
    <w:rsid w:val="006A56B1"/>
    <w:pPr>
      <w:spacing w:before="40" w:line="240" w:lineRule="auto"/>
      <w:ind w:left="72" w:hanging="72"/>
      <w:contextualSpacing/>
    </w:pPr>
    <w:rPr>
      <w:rFonts w:eastAsia="Calibri"/>
      <w:sz w:val="18"/>
    </w:rPr>
  </w:style>
  <w:style w:type="character" w:customStyle="1" w:styleId="FigureTableNoteChar">
    <w:name w:val="Figure/Table Note Char"/>
    <w:link w:val="FigureTableNote"/>
    <w:rsid w:val="006A56B1"/>
    <w:rPr>
      <w:rFonts w:ascii="Times New Roman" w:eastAsia="Calibri" w:hAnsi="Times New Roman" w:cs="Times New Roman"/>
      <w:sz w:val="18"/>
      <w:szCs w:val="20"/>
    </w:rPr>
  </w:style>
  <w:style w:type="paragraph" w:customStyle="1" w:styleId="TableHeader">
    <w:name w:val="Table Header"/>
    <w:basedOn w:val="Normal"/>
    <w:link w:val="TableHeaderChar"/>
    <w:qFormat/>
    <w:rsid w:val="00D17206"/>
    <w:pPr>
      <w:keepNext/>
      <w:spacing w:before="60" w:after="60" w:line="240" w:lineRule="auto"/>
      <w:ind w:firstLine="0"/>
    </w:pPr>
    <w:rPr>
      <w:rFonts w:eastAsia="Calibri" w:cs="Times New Roman"/>
      <w:b/>
      <w:szCs w:val="20"/>
    </w:rPr>
  </w:style>
  <w:style w:type="character" w:customStyle="1" w:styleId="TableHeaderChar">
    <w:name w:val="Table Header Char"/>
    <w:basedOn w:val="TableTextChar"/>
    <w:link w:val="TableHeader"/>
    <w:locked/>
    <w:rsid w:val="00D17206"/>
    <w:rPr>
      <w:rFonts w:ascii="Times New Roman" w:eastAsia="Calibri" w:hAnsi="Times New Roman" w:cs="Times New Roman"/>
      <w:b/>
      <w:sz w:val="24"/>
      <w:szCs w:val="20"/>
    </w:rPr>
  </w:style>
  <w:style w:type="character" w:customStyle="1" w:styleId="TableTextChar">
    <w:name w:val="Table Text Char"/>
    <w:link w:val="TableText"/>
    <w:rsid w:val="000B5C68"/>
    <w:rPr>
      <w:rFonts w:ascii="Times New Roman" w:eastAsia="Calibri" w:hAnsi="Times New Roman" w:cs="Times New Roman"/>
      <w:sz w:val="20"/>
      <w:szCs w:val="20"/>
    </w:rPr>
  </w:style>
  <w:style w:type="paragraph" w:customStyle="1" w:styleId="TableText">
    <w:name w:val="Table Text"/>
    <w:basedOn w:val="Normal"/>
    <w:link w:val="TableTextChar"/>
    <w:qFormat/>
    <w:rsid w:val="000B5C68"/>
    <w:pPr>
      <w:spacing w:before="40" w:after="40"/>
    </w:pPr>
    <w:rPr>
      <w:rFonts w:eastAsia="Calibri"/>
    </w:rPr>
  </w:style>
  <w:style w:type="paragraph" w:customStyle="1" w:styleId="TableBody">
    <w:name w:val="Table Body"/>
    <w:basedOn w:val="Normal"/>
    <w:link w:val="TableBodyChar"/>
    <w:qFormat/>
    <w:rsid w:val="0072338C"/>
    <w:pPr>
      <w:ind w:firstLine="0"/>
    </w:pPr>
    <w:rPr>
      <w:rFonts w:eastAsia="Calibri"/>
    </w:rPr>
  </w:style>
  <w:style w:type="character" w:customStyle="1" w:styleId="TableBodyChar">
    <w:name w:val="Table Body Char"/>
    <w:link w:val="TableBody"/>
    <w:rsid w:val="0072338C"/>
    <w:rPr>
      <w:rFonts w:ascii="Times New Roman" w:eastAsia="Calibri" w:hAnsi="Times New Roman"/>
      <w:sz w:val="24"/>
    </w:rPr>
  </w:style>
  <w:style w:type="paragraph" w:customStyle="1" w:styleId="TableTitle">
    <w:name w:val="Table Title"/>
    <w:basedOn w:val="Normal"/>
    <w:link w:val="TableTitleChar"/>
    <w:qFormat/>
    <w:rsid w:val="004A4689"/>
    <w:pPr>
      <w:keepNext/>
      <w:spacing w:line="240" w:lineRule="auto"/>
      <w:ind w:firstLine="0"/>
      <w:jc w:val="center"/>
    </w:pPr>
    <w:rPr>
      <w:b/>
      <w:szCs w:val="24"/>
    </w:rPr>
  </w:style>
  <w:style w:type="character" w:customStyle="1" w:styleId="TableTitleChar">
    <w:name w:val="Table Title Char"/>
    <w:basedOn w:val="DefaultParagraphFont"/>
    <w:link w:val="TableTitle"/>
    <w:rsid w:val="004A4689"/>
    <w:rPr>
      <w:rFonts w:ascii="Times New Roman" w:hAnsi="Times New Roman"/>
      <w:b/>
      <w:sz w:val="24"/>
      <w:szCs w:val="24"/>
    </w:rPr>
  </w:style>
  <w:style w:type="table" w:customStyle="1" w:styleId="TableGrid4">
    <w:name w:val="Table Grid4"/>
    <w:basedOn w:val="TableNormal"/>
    <w:next w:val="TableGrid"/>
    <w:uiPriority w:val="39"/>
    <w:rsid w:val="000B5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har,Char2,Char3,Char4,Footnote Text - Preamble,Footnote Text - Preamble1,Footnote Text Char Char,Footnote Text Char Char Char Char,Footnote Text Char Char1,Footnote Text Char1 Char Char,f,fn"/>
    <w:basedOn w:val="Normal"/>
    <w:link w:val="FootnoteTextChar"/>
    <w:uiPriority w:val="99"/>
    <w:qFormat/>
    <w:rsid w:val="006731E6"/>
    <w:pPr>
      <w:widowControl w:val="0"/>
      <w:spacing w:line="240" w:lineRule="auto"/>
      <w:ind w:firstLine="0"/>
    </w:pPr>
    <w:rPr>
      <w:sz w:val="18"/>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uiPriority w:val="99"/>
    <w:rsid w:val="006731E6"/>
    <w:rPr>
      <w:rFonts w:ascii="Times New Roman" w:hAnsi="Times New Roman"/>
      <w:sz w:val="18"/>
    </w:rPr>
  </w:style>
  <w:style w:type="character" w:styleId="FootnoteReference">
    <w:name w:val="footnote reference"/>
    <w:basedOn w:val="DefaultParagraphFont"/>
    <w:uiPriority w:val="99"/>
    <w:unhideWhenUsed/>
    <w:qFormat/>
    <w:rsid w:val="006A56B1"/>
    <w:rPr>
      <w:vertAlign w:val="superscript"/>
    </w:rPr>
  </w:style>
  <w:style w:type="paragraph" w:customStyle="1" w:styleId="Tablebulletlist">
    <w:name w:val="Table bullet list"/>
    <w:basedOn w:val="TableText"/>
    <w:qFormat/>
    <w:rsid w:val="000B5C68"/>
    <w:pPr>
      <w:ind w:left="121" w:hanging="121"/>
    </w:pPr>
  </w:style>
  <w:style w:type="table" w:customStyle="1" w:styleId="TableGrid5">
    <w:name w:val="Table Grid5"/>
    <w:basedOn w:val="TableNormal"/>
    <w:next w:val="TableGrid"/>
    <w:uiPriority w:val="39"/>
    <w:rsid w:val="000B5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ERO"/>
    <w:basedOn w:val="DefaultParagraphFont"/>
    <w:uiPriority w:val="99"/>
    <w:unhideWhenUsed/>
    <w:qFormat/>
    <w:rsid w:val="005F64E3"/>
    <w:rPr>
      <w:color w:val="0563C1" w:themeColor="hyperlink"/>
      <w:u w:val="single"/>
    </w:rPr>
  </w:style>
  <w:style w:type="paragraph" w:customStyle="1" w:styleId="Bullet">
    <w:name w:val="Bullet"/>
    <w:basedOn w:val="BodyText"/>
    <w:qFormat/>
    <w:rsid w:val="005F64E3"/>
    <w:pPr>
      <w:numPr>
        <w:numId w:val="26"/>
      </w:numPr>
      <w:contextualSpacing/>
    </w:pPr>
  </w:style>
  <w:style w:type="character" w:customStyle="1" w:styleId="contextualspellingandgrammarerror">
    <w:name w:val="contextualspellingandgrammarerror"/>
    <w:basedOn w:val="DefaultParagraphFont"/>
    <w:rsid w:val="00F61FC3"/>
  </w:style>
  <w:style w:type="character" w:customStyle="1" w:styleId="scxw194671675">
    <w:name w:val="scxw194671675"/>
    <w:basedOn w:val="DefaultParagraphFont"/>
    <w:rsid w:val="00F61FC3"/>
  </w:style>
  <w:style w:type="paragraph" w:styleId="EndnoteText">
    <w:name w:val="endnote text"/>
    <w:basedOn w:val="Normal"/>
    <w:link w:val="EndnoteTextChar"/>
    <w:uiPriority w:val="99"/>
    <w:semiHidden/>
    <w:unhideWhenUsed/>
    <w:rsid w:val="001A4348"/>
  </w:style>
  <w:style w:type="character" w:customStyle="1" w:styleId="EndnoteTextChar">
    <w:name w:val="Endnote Text Char"/>
    <w:basedOn w:val="DefaultParagraphFont"/>
    <w:link w:val="EndnoteText"/>
    <w:uiPriority w:val="99"/>
    <w:semiHidden/>
    <w:rsid w:val="001A434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4348"/>
    <w:rPr>
      <w:vertAlign w:val="superscript"/>
    </w:rPr>
  </w:style>
  <w:style w:type="character" w:customStyle="1" w:styleId="Heading1Char">
    <w:name w:val="Heading 1 Char"/>
    <w:basedOn w:val="DefaultParagraphFont"/>
    <w:link w:val="Heading1"/>
    <w:uiPriority w:val="9"/>
    <w:rsid w:val="005D440E"/>
    <w:rPr>
      <w:rFonts w:ascii="Times New Roman" w:hAnsi="Times New Roman"/>
      <w:bCs/>
      <w:sz w:val="24"/>
      <w:szCs w:val="24"/>
    </w:rPr>
  </w:style>
  <w:style w:type="character" w:styleId="UnresolvedMention">
    <w:name w:val="Unresolved Mention"/>
    <w:basedOn w:val="DefaultParagraphFont"/>
    <w:uiPriority w:val="99"/>
    <w:unhideWhenUsed/>
    <w:rsid w:val="00C813DE"/>
    <w:rPr>
      <w:color w:val="605E5C"/>
      <w:shd w:val="clear" w:color="auto" w:fill="E1DFDD"/>
    </w:rPr>
  </w:style>
  <w:style w:type="character" w:styleId="Mention">
    <w:name w:val="Mention"/>
    <w:basedOn w:val="DefaultParagraphFont"/>
    <w:uiPriority w:val="99"/>
    <w:unhideWhenUsed/>
    <w:rsid w:val="00275BD9"/>
    <w:rPr>
      <w:color w:val="2B579A"/>
      <w:shd w:val="clear" w:color="auto" w:fill="E1DFDD"/>
    </w:rPr>
  </w:style>
  <w:style w:type="character" w:customStyle="1" w:styleId="scxw206291318">
    <w:name w:val="scxw206291318"/>
    <w:basedOn w:val="DefaultParagraphFont"/>
    <w:rsid w:val="00924404"/>
  </w:style>
  <w:style w:type="character" w:customStyle="1" w:styleId="Heading3Char">
    <w:name w:val="Heading 3 Char"/>
    <w:basedOn w:val="DefaultParagraphFont"/>
    <w:link w:val="Heading3"/>
    <w:uiPriority w:val="9"/>
    <w:rsid w:val="006D6D21"/>
    <w:rPr>
      <w:rFonts w:ascii="Times New Roman" w:hAnsi="Times New Roman" w:eastAsiaTheme="majorEastAsia"/>
      <w:bCs/>
      <w:i/>
      <w:sz w:val="24"/>
      <w:szCs w:val="24"/>
    </w:rPr>
  </w:style>
  <w:style w:type="character" w:styleId="Strong">
    <w:name w:val="Strong"/>
    <w:basedOn w:val="DefaultParagraphFont"/>
    <w:uiPriority w:val="22"/>
    <w:qFormat/>
    <w:rsid w:val="004A7452"/>
    <w:rPr>
      <w:b/>
      <w:bCs/>
    </w:rPr>
  </w:style>
  <w:style w:type="paragraph" w:styleId="Revision">
    <w:name w:val="Revision"/>
    <w:hidden/>
    <w:uiPriority w:val="99"/>
    <w:semiHidden/>
    <w:rsid w:val="00D23D5E"/>
    <w:pPr>
      <w:spacing w:after="0" w:line="240" w:lineRule="auto"/>
    </w:pPr>
    <w:rPr>
      <w:rFonts w:ascii="Times New Roman" w:eastAsia="Times New Roman" w:hAnsi="Times New Roman" w:cs="Times New Roman"/>
      <w:sz w:val="20"/>
      <w:szCs w:val="20"/>
    </w:rPr>
  </w:style>
  <w:style w:type="paragraph" w:styleId="TOCHeading">
    <w:name w:val="TOC Heading"/>
    <w:basedOn w:val="Normal"/>
    <w:next w:val="Normal"/>
    <w:uiPriority w:val="39"/>
    <w:unhideWhenUsed/>
    <w:qFormat/>
    <w:rsid w:val="00AA3847"/>
    <w:pPr>
      <w:keepNext/>
      <w:keepLines/>
      <w:spacing w:before="240" w:line="259" w:lineRule="auto"/>
    </w:pPr>
    <w:rPr>
      <w:rFonts w:eastAsiaTheme="majorEastAsia" w:cstheme="majorBidi"/>
      <w:bCs/>
      <w:sz w:val="32"/>
      <w:szCs w:val="32"/>
    </w:rPr>
  </w:style>
  <w:style w:type="paragraph" w:styleId="TOC2">
    <w:name w:val="toc 2"/>
    <w:basedOn w:val="Normal"/>
    <w:next w:val="Normal"/>
    <w:autoRedefine/>
    <w:uiPriority w:val="39"/>
    <w:unhideWhenUsed/>
    <w:rsid w:val="006A56B1"/>
    <w:pPr>
      <w:tabs>
        <w:tab w:val="left" w:pos="880"/>
        <w:tab w:val="right" w:leader="dot" w:pos="9350"/>
      </w:tabs>
      <w:spacing w:after="100"/>
      <w:ind w:left="240"/>
    </w:pPr>
    <w:rPr>
      <w:rFonts w:cs="Times New Roman"/>
      <w:i/>
      <w:iCs/>
      <w:noProof/>
    </w:rPr>
  </w:style>
  <w:style w:type="paragraph" w:styleId="TOC1">
    <w:name w:val="toc 1"/>
    <w:basedOn w:val="Normal"/>
    <w:next w:val="Normal"/>
    <w:autoRedefine/>
    <w:uiPriority w:val="39"/>
    <w:unhideWhenUsed/>
    <w:qFormat/>
    <w:rsid w:val="00132CA4"/>
    <w:pPr>
      <w:tabs>
        <w:tab w:val="left" w:pos="880"/>
        <w:tab w:val="right" w:leader="dot" w:pos="9350"/>
      </w:tabs>
      <w:spacing w:after="100"/>
    </w:pPr>
    <w:rPr>
      <w:rFonts w:eastAsia="Times New Roman" w:cs="Times New Roman"/>
      <w:b/>
      <w:bCs/>
      <w:noProof/>
    </w:rPr>
  </w:style>
  <w:style w:type="paragraph" w:styleId="TOC3">
    <w:name w:val="toc 3"/>
    <w:basedOn w:val="Normal"/>
    <w:next w:val="Normal"/>
    <w:autoRedefine/>
    <w:uiPriority w:val="39"/>
    <w:unhideWhenUsed/>
    <w:rsid w:val="006A56B1"/>
    <w:pPr>
      <w:spacing w:after="100" w:line="259" w:lineRule="auto"/>
      <w:ind w:left="440"/>
    </w:pPr>
    <w:rPr>
      <w:rFonts w:asciiTheme="minorHAnsi" w:eastAsiaTheme="minorEastAsia" w:hAnsiTheme="minorHAnsi"/>
      <w:sz w:val="22"/>
    </w:rPr>
  </w:style>
  <w:style w:type="character" w:customStyle="1" w:styleId="Heading4Char">
    <w:name w:val="Heading 4 Char"/>
    <w:basedOn w:val="DefaultParagraphFont"/>
    <w:link w:val="Heading4"/>
    <w:uiPriority w:val="9"/>
    <w:rsid w:val="001E40CF"/>
    <w:rPr>
      <w:rFonts w:ascii="Times New Roman" w:hAnsi="Times New Roman" w:eastAsiaTheme="majorEastAsia" w:cstheme="majorBidi"/>
      <w:i/>
      <w:iCs/>
      <w:sz w:val="24"/>
    </w:rPr>
  </w:style>
  <w:style w:type="character" w:customStyle="1" w:styleId="Heading5Char">
    <w:name w:val="Heading 5 Char"/>
    <w:basedOn w:val="DefaultParagraphFont"/>
    <w:link w:val="Heading5"/>
    <w:uiPriority w:val="9"/>
    <w:rsid w:val="006A56B1"/>
    <w:rPr>
      <w:rFonts w:ascii="Times New Roman" w:hAnsi="Times New Roman" w:eastAsiaTheme="majorEastAsia" w:cstheme="majorBidi"/>
      <w:color w:val="1F3864" w:themeColor="accent1" w:themeShade="80"/>
      <w:sz w:val="28"/>
    </w:rPr>
  </w:style>
  <w:style w:type="paragraph" w:customStyle="1" w:styleId="Figure">
    <w:name w:val="Figure"/>
    <w:basedOn w:val="BodyText"/>
    <w:link w:val="FigureChar"/>
    <w:qFormat/>
    <w:rsid w:val="006A56B1"/>
    <w:pPr>
      <w:keepNext/>
      <w:spacing w:before="240" w:after="40"/>
      <w:jc w:val="center"/>
    </w:pPr>
    <w:rPr>
      <w:noProof/>
    </w:rPr>
  </w:style>
  <w:style w:type="character" w:customStyle="1" w:styleId="FigureChar">
    <w:name w:val="Figure Char"/>
    <w:basedOn w:val="BodyTextChar"/>
    <w:link w:val="Figure"/>
    <w:rsid w:val="006A56B1"/>
    <w:rPr>
      <w:rFonts w:ascii="Times New Roman" w:hAnsi="Times New Roman"/>
      <w:noProof/>
      <w:sz w:val="24"/>
      <w:szCs w:val="24"/>
    </w:rPr>
  </w:style>
  <w:style w:type="paragraph" w:customStyle="1" w:styleId="Figurecaption">
    <w:name w:val="Figure caption"/>
    <w:basedOn w:val="Normal"/>
    <w:link w:val="FigurecaptionChar"/>
    <w:qFormat/>
    <w:rsid w:val="006A56B1"/>
    <w:pPr>
      <w:spacing w:before="120" w:after="240" w:line="240" w:lineRule="auto"/>
      <w:ind w:firstLine="0"/>
      <w:jc w:val="center"/>
    </w:pPr>
    <w:rPr>
      <w:b/>
      <w:color w:val="000000" w:themeColor="text1"/>
    </w:rPr>
  </w:style>
  <w:style w:type="character" w:customStyle="1" w:styleId="FigurecaptionChar">
    <w:name w:val="Figure caption Char"/>
    <w:basedOn w:val="DefaultParagraphFont"/>
    <w:link w:val="Figurecaption"/>
    <w:rsid w:val="006A56B1"/>
    <w:rPr>
      <w:rFonts w:ascii="Times New Roman" w:hAnsi="Times New Roman"/>
      <w:b/>
      <w:color w:val="000000" w:themeColor="text1"/>
      <w:sz w:val="24"/>
    </w:rPr>
  </w:style>
  <w:style w:type="paragraph" w:customStyle="1" w:styleId="Footnote">
    <w:name w:val="Footnote"/>
    <w:basedOn w:val="FootnoteText"/>
    <w:link w:val="FootnoteChar"/>
    <w:qFormat/>
    <w:rsid w:val="006A56B1"/>
    <w:pPr>
      <w:widowControl/>
      <w:spacing w:before="120"/>
    </w:pPr>
    <w:rPr>
      <w:rFonts w:ascii="Arial" w:hAnsi="Arial" w:eastAsiaTheme="minorEastAsia"/>
      <w:color w:val="000000" w:themeColor="text1"/>
      <w:sz w:val="20"/>
      <w:szCs w:val="18"/>
    </w:rPr>
  </w:style>
  <w:style w:type="character" w:customStyle="1" w:styleId="FootnoteChar">
    <w:name w:val="Footnote Char"/>
    <w:basedOn w:val="FootnoteTextChar"/>
    <w:link w:val="Footnote"/>
    <w:rsid w:val="006A56B1"/>
    <w:rPr>
      <w:rFonts w:ascii="Arial" w:hAnsi="Arial" w:eastAsiaTheme="minorEastAsia" w:cs="Times New Roman"/>
      <w:color w:val="000000" w:themeColor="text1"/>
      <w:sz w:val="20"/>
      <w:szCs w:val="18"/>
    </w:rPr>
  </w:style>
  <w:style w:type="character" w:styleId="LineNumber">
    <w:name w:val="line number"/>
    <w:basedOn w:val="DefaultParagraphFont"/>
    <w:uiPriority w:val="99"/>
    <w:semiHidden/>
    <w:unhideWhenUsed/>
    <w:rsid w:val="006A56B1"/>
  </w:style>
  <w:style w:type="paragraph" w:customStyle="1" w:styleId="MainTextHeading1">
    <w:name w:val="Main Text Heading 1"/>
    <w:basedOn w:val="Heading1"/>
    <w:next w:val="BodyText"/>
    <w:qFormat/>
    <w:rsid w:val="006A56B1"/>
    <w:pPr>
      <w:numPr>
        <w:numId w:val="59"/>
      </w:numPr>
      <w:tabs>
        <w:tab w:val="num" w:pos="360"/>
      </w:tabs>
      <w:spacing w:after="60"/>
    </w:pPr>
    <w:rPr>
      <w:rFonts w:ascii="Calibri" w:hAnsi="Calibri"/>
      <w:b/>
      <w:color w:val="1F3864" w:themeColor="accent1" w:themeShade="80"/>
      <w:sz w:val="44"/>
    </w:rPr>
  </w:style>
  <w:style w:type="character" w:styleId="PageNumber">
    <w:name w:val="page number"/>
    <w:basedOn w:val="DefaultParagraphFont"/>
    <w:uiPriority w:val="99"/>
    <w:semiHidden/>
    <w:unhideWhenUsed/>
    <w:rsid w:val="006A56B1"/>
  </w:style>
  <w:style w:type="paragraph" w:customStyle="1" w:styleId="Paragraphbody">
    <w:name w:val="Paragraph body"/>
    <w:basedOn w:val="Normal"/>
    <w:link w:val="ParagraphbodyChar"/>
    <w:qFormat/>
    <w:rsid w:val="006A56B1"/>
    <w:pPr>
      <w:spacing w:before="120" w:after="240" w:line="312" w:lineRule="auto"/>
    </w:pPr>
    <w:rPr>
      <w:rFonts w:ascii="Arial" w:hAnsi="Arial"/>
      <w:color w:val="000000" w:themeColor="text1"/>
    </w:rPr>
  </w:style>
  <w:style w:type="character" w:customStyle="1" w:styleId="ParagraphbodyChar">
    <w:name w:val="Paragraph body Char"/>
    <w:basedOn w:val="DefaultParagraphFont"/>
    <w:link w:val="Paragraphbody"/>
    <w:rsid w:val="006A56B1"/>
    <w:rPr>
      <w:rFonts w:ascii="Arial" w:hAnsi="Arial"/>
      <w:color w:val="000000" w:themeColor="text1"/>
      <w:sz w:val="24"/>
    </w:rPr>
  </w:style>
  <w:style w:type="paragraph" w:customStyle="1" w:styleId="Reference">
    <w:name w:val="Reference"/>
    <w:basedOn w:val="Normal"/>
    <w:qFormat/>
    <w:rsid w:val="006A56B1"/>
    <w:pPr>
      <w:keepLines/>
      <w:autoSpaceDE w:val="0"/>
      <w:autoSpaceDN w:val="0"/>
      <w:adjustRightInd w:val="0"/>
      <w:spacing w:after="200" w:line="240" w:lineRule="auto"/>
      <w:ind w:left="720" w:hanging="720"/>
    </w:pPr>
    <w:rPr>
      <w:rFonts w:cs="Times New Roman"/>
      <w:szCs w:val="24"/>
    </w:rPr>
  </w:style>
  <w:style w:type="paragraph" w:customStyle="1" w:styleId="ReferenceList">
    <w:name w:val="Reference List"/>
    <w:basedOn w:val="Normal"/>
    <w:qFormat/>
    <w:rsid w:val="006A56B1"/>
    <w:pPr>
      <w:widowControl w:val="0"/>
      <w:autoSpaceDE w:val="0"/>
      <w:autoSpaceDN w:val="0"/>
      <w:adjustRightInd w:val="0"/>
      <w:spacing w:line="240" w:lineRule="auto"/>
      <w:ind w:left="720" w:hanging="720"/>
    </w:pPr>
    <w:rPr>
      <w:rFonts w:cs="Times New Roman"/>
      <w:sz w:val="22"/>
    </w:rPr>
  </w:style>
  <w:style w:type="paragraph" w:customStyle="1" w:styleId="TableHeading">
    <w:name w:val="Table Heading"/>
    <w:next w:val="Normal"/>
    <w:link w:val="TableHeadingChar"/>
    <w:qFormat/>
    <w:rsid w:val="006A56B1"/>
    <w:pPr>
      <w:keepNext/>
      <w:spacing w:after="0" w:line="240" w:lineRule="auto"/>
      <w:jc w:val="center"/>
    </w:pPr>
    <w:rPr>
      <w:rFonts w:ascii="Calibri" w:eastAsia="Calibri" w:hAnsi="Calibri" w:cs="Times New Roman"/>
      <w:b/>
      <w:bCs/>
      <w:sz w:val="20"/>
      <w:szCs w:val="20"/>
    </w:rPr>
  </w:style>
  <w:style w:type="character" w:customStyle="1" w:styleId="TableHeadingChar">
    <w:name w:val="Table Heading Char"/>
    <w:link w:val="TableHeading"/>
    <w:rsid w:val="006A56B1"/>
    <w:rPr>
      <w:rFonts w:ascii="Calibri" w:eastAsia="Calibri" w:hAnsi="Calibri" w:cs="Times New Roman"/>
      <w:b/>
      <w:bCs/>
      <w:sz w:val="20"/>
      <w:szCs w:val="20"/>
    </w:rPr>
  </w:style>
  <w:style w:type="paragraph" w:styleId="TOC4">
    <w:name w:val="toc 4"/>
    <w:basedOn w:val="Normal"/>
    <w:next w:val="Normal"/>
    <w:autoRedefine/>
    <w:uiPriority w:val="39"/>
    <w:unhideWhenUsed/>
    <w:rsid w:val="006A56B1"/>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qFormat/>
    <w:rsid w:val="006A56B1"/>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6A56B1"/>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6A56B1"/>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6A56B1"/>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6A56B1"/>
    <w:pPr>
      <w:spacing w:after="100" w:line="259" w:lineRule="auto"/>
      <w:ind w:left="1760"/>
    </w:pPr>
    <w:rPr>
      <w:rFonts w:asciiTheme="minorHAnsi" w:eastAsiaTheme="minorEastAsia" w:hAnsiTheme="minorHAnsi"/>
      <w:sz w:val="22"/>
    </w:rPr>
  </w:style>
  <w:style w:type="character" w:styleId="Emphasis">
    <w:name w:val="Emphasis"/>
    <w:basedOn w:val="DefaultParagraphFont"/>
    <w:uiPriority w:val="20"/>
    <w:qFormat/>
    <w:rsid w:val="006A56B1"/>
    <w:rPr>
      <w:i/>
      <w:iCs/>
    </w:rPr>
  </w:style>
  <w:style w:type="paragraph" w:customStyle="1" w:styleId="Appendix">
    <w:name w:val="Appendix"/>
    <w:basedOn w:val="Heading1"/>
    <w:link w:val="AppendixChar"/>
    <w:qFormat/>
    <w:rsid w:val="00C80F37"/>
    <w:pPr>
      <w:ind w:left="0" w:firstLine="0"/>
    </w:pPr>
  </w:style>
  <w:style w:type="character" w:customStyle="1" w:styleId="AppendixChar">
    <w:name w:val="Appendix Char"/>
    <w:basedOn w:val="Heading1Char"/>
    <w:link w:val="Appendix"/>
    <w:rsid w:val="00C80F37"/>
    <w:rPr>
      <w:rFonts w:ascii="Times New Roman" w:hAnsi="Times New Roman"/>
      <w:b w:val="0"/>
      <w:bCs/>
      <w:sz w:val="24"/>
      <w:szCs w:val="24"/>
    </w:rPr>
  </w:style>
  <w:style w:type="paragraph" w:customStyle="1" w:styleId="tablefootnote">
    <w:name w:val="table footnote"/>
    <w:basedOn w:val="Normal"/>
    <w:next w:val="Normal"/>
    <w:qFormat/>
    <w:rsid w:val="00035238"/>
    <w:pPr>
      <w:spacing w:line="240" w:lineRule="auto"/>
      <w:ind w:firstLine="0"/>
    </w:pPr>
    <w:rPr>
      <w:sz w:val="20"/>
    </w:rPr>
  </w:style>
  <w:style w:type="paragraph" w:styleId="Caption">
    <w:name w:val="caption"/>
    <w:basedOn w:val="Normal"/>
    <w:next w:val="Normal"/>
    <w:uiPriority w:val="35"/>
    <w:unhideWhenUsed/>
    <w:qFormat/>
    <w:rsid w:val="007F00B4"/>
    <w:pPr>
      <w:spacing w:after="200" w:line="240" w:lineRule="auto"/>
    </w:pPr>
    <w:rPr>
      <w:i/>
      <w:iCs/>
      <w:color w:val="44546A" w:themeColor="text2"/>
      <w:sz w:val="18"/>
      <w:szCs w:val="18"/>
    </w:rPr>
  </w:style>
  <w:style w:type="paragraph" w:styleId="NoSpacing">
    <w:name w:val="No Spacing"/>
    <w:uiPriority w:val="1"/>
    <w:qFormat/>
    <w:rsid w:val="00BE0F83"/>
    <w:pPr>
      <w:widowControl w:val="0"/>
      <w:autoSpaceDE w:val="0"/>
      <w:autoSpaceDN w:val="0"/>
      <w:adjustRightInd w:val="0"/>
      <w:spacing w:after="0" w:line="240" w:lineRule="auto"/>
    </w:pPr>
    <w:rPr>
      <w:rFonts w:ascii="Consolas" w:eastAsia="Times New Roman" w:hAnsi="Consola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regulations.gov/" TargetMode="External" /><Relationship Id="rId13" Type="http://schemas.openxmlformats.org/officeDocument/2006/relationships/hyperlink" Target="https://www.regulations.gov/docket/EPA-HQ-OW-2022-0114" TargetMode="External" /><Relationship Id="rId14" Type="http://schemas.openxmlformats.org/officeDocument/2006/relationships/hyperlink" Target="https://www.federalregister.gov/documents/2022/03/29/2022-06576/meeting-of-the-national-drinking-water-advisory-council" TargetMode="External" /><Relationship Id="rId15" Type="http://schemas.openxmlformats.org/officeDocument/2006/relationships/hyperlink" Target="http://www.regulations.gov" TargetMode="Externa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9C49C60ECAD431B86FB7D0202C64C8D"/>
        <w:category>
          <w:name w:val="General"/>
          <w:gallery w:val="placeholder"/>
        </w:category>
        <w:types>
          <w:type w:val="bbPlcHdr"/>
        </w:types>
        <w:behaviors>
          <w:behavior w:val="content"/>
        </w:behaviors>
        <w:guid w:val="{DF07190C-C9F5-4881-BA14-0D4948590CFA}"/>
      </w:docPartPr>
      <w:docPartBody>
        <w:p w:rsidR="00AD0B4F" w:rsidP="00500FE3">
          <w:pPr>
            <w:pStyle w:val="D9C49C60ECAD431B86FB7D0202C64C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E3"/>
    <w:rsid w:val="00004A41"/>
    <w:rsid w:val="00010F48"/>
    <w:rsid w:val="00071D6D"/>
    <w:rsid w:val="0009726D"/>
    <w:rsid w:val="000C46AD"/>
    <w:rsid w:val="00111B93"/>
    <w:rsid w:val="00113307"/>
    <w:rsid w:val="001255EF"/>
    <w:rsid w:val="00146346"/>
    <w:rsid w:val="00231BD8"/>
    <w:rsid w:val="00234FA8"/>
    <w:rsid w:val="00235F72"/>
    <w:rsid w:val="00250062"/>
    <w:rsid w:val="00255464"/>
    <w:rsid w:val="00311935"/>
    <w:rsid w:val="00322435"/>
    <w:rsid w:val="00353FDC"/>
    <w:rsid w:val="003A339D"/>
    <w:rsid w:val="0040520C"/>
    <w:rsid w:val="004409E6"/>
    <w:rsid w:val="00500FE3"/>
    <w:rsid w:val="0053792E"/>
    <w:rsid w:val="00575BAB"/>
    <w:rsid w:val="006056F3"/>
    <w:rsid w:val="0066430A"/>
    <w:rsid w:val="006C57A3"/>
    <w:rsid w:val="00784600"/>
    <w:rsid w:val="007D4F91"/>
    <w:rsid w:val="008122AE"/>
    <w:rsid w:val="00832453"/>
    <w:rsid w:val="00842177"/>
    <w:rsid w:val="00854010"/>
    <w:rsid w:val="00876B16"/>
    <w:rsid w:val="009003D8"/>
    <w:rsid w:val="00911C58"/>
    <w:rsid w:val="00926237"/>
    <w:rsid w:val="00995029"/>
    <w:rsid w:val="009B0FD8"/>
    <w:rsid w:val="00A01750"/>
    <w:rsid w:val="00A6600F"/>
    <w:rsid w:val="00AC7AB1"/>
    <w:rsid w:val="00AD0B4F"/>
    <w:rsid w:val="00AE3E2F"/>
    <w:rsid w:val="00C44468"/>
    <w:rsid w:val="00C51D2F"/>
    <w:rsid w:val="00C9543A"/>
    <w:rsid w:val="00D22A75"/>
    <w:rsid w:val="00D671D2"/>
    <w:rsid w:val="00E07375"/>
    <w:rsid w:val="00E75E66"/>
    <w:rsid w:val="00E93718"/>
    <w:rsid w:val="00EC53DF"/>
    <w:rsid w:val="00ED3C6A"/>
    <w:rsid w:val="00F22AA7"/>
    <w:rsid w:val="00F50A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FE3"/>
    <w:rPr>
      <w:color w:val="808080"/>
    </w:rPr>
  </w:style>
  <w:style w:type="paragraph" w:customStyle="1" w:styleId="D9C49C60ECAD431B86FB7D0202C64C8D">
    <w:name w:val="D9C49C60ECAD431B86FB7D0202C64C8D"/>
    <w:rsid w:val="0050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c0e0ac92-6a4d-4df1-868d-cc249587a68f">
      <Terms xmlns="http://schemas.microsoft.com/office/infopath/2007/PartnerControls"/>
    </lcf76f155ced4ddcb4097134ff3c332f>
    <SharedWithUsers xmlns="f75f8006-579c-4a79-ac4d-eda851b4834d">
      <UserInfo>
        <DisplayName>Lan, Alexis</DisplayName>
        <AccountId>19</AccountId>
        <AccountType/>
      </UserInfo>
      <UserInfo>
        <DisplayName>Davis, Angela (she/her/hers)</DisplayName>
        <AccountId>75</AccountId>
        <AccountType/>
      </UserInfo>
      <UserInfo>
        <DisplayName>Albert, Ryan</DisplayName>
        <AccountId>42</AccountId>
        <AccountType/>
      </UserInfo>
      <UserInfo>
        <DisplayName>Heinrich, Austin</DisplayName>
        <AccountId>10</AccountId>
        <AccountType/>
      </UserInfo>
      <UserInfo>
        <DisplayName>Gonsenhauser, Rachel</DisplayName>
        <AccountId>14</AccountId>
        <AccountType/>
      </UserInfo>
      <UserInfo>
        <DisplayName>Greene, Ashley</DisplayName>
        <AccountId>36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2023-12-12T20:15:39+00:00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08790CDF1A96D428174794B00073D00" ma:contentTypeVersion="16" ma:contentTypeDescription="Create a new document." ma:contentTypeScope="" ma:versionID="18d2017c1bb5f59135f2d6facf8a5ef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0e0ac92-6a4d-4df1-868d-cc249587a68f" xmlns:ns6="f75f8006-579c-4a79-ac4d-eda851b4834d" targetNamespace="http://schemas.microsoft.com/office/2006/metadata/properties" ma:root="true" ma:fieldsID="7348f58f5e4e4f8b1fd9208a44c3a239" ns1:_="" ns2:_="" ns3:_="" ns4:_="" ns5:_="" ns6:_="">
    <xsd:import namespace="http://schemas.microsoft.com/sharepoint/v3"/>
    <xsd:import namespace="4ffa91fb-a0ff-4ac5-b2db-65c790d184a4"/>
    <xsd:import namespace="http://schemas.microsoft.com/sharepoint.v3"/>
    <xsd:import namespace="http://schemas.microsoft.com/sharepoint/v3/fields"/>
    <xsd:import namespace="c0e0ac92-6a4d-4df1-868d-cc249587a68f"/>
    <xsd:import namespace="f75f8006-579c-4a79-ac4d-eda851b4834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DateTaken"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e9c968f-04d4-45b1-94dc-4c37abd712d1}" ma:internalName="TaxCatchAllLabel" ma:readOnly="true" ma:showField="CatchAllDataLabel" ma:web="f75f8006-579c-4a79-ac4d-eda851b4834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e9c968f-04d4-45b1-94dc-4c37abd712d1}" ma:internalName="TaxCatchAll" ma:showField="CatchAllData" ma:web="f75f8006-579c-4a79-ac4d-eda851b483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0ac92-6a4d-4df1-868d-cc249587a6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f8006-579c-4a79-ac4d-eda851b4834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319F3-BBFC-4F04-9B57-E58C8599671E}">
  <ds:schemaRefs>
    <ds:schemaRef ds:uri="http://schemas.openxmlformats.org/officeDocument/2006/bibliography"/>
  </ds:schemaRefs>
</ds:datastoreItem>
</file>

<file path=customXml/itemProps2.xml><?xml version="1.0" encoding="utf-8"?>
<ds:datastoreItem xmlns:ds="http://schemas.openxmlformats.org/officeDocument/2006/customXml" ds:itemID="{65B8FD03-C66A-4E01-8D7A-55C3ABD8CE2E}">
  <ds:schemaRefs>
    <ds:schemaRef ds:uri="http://www.w3.org/XML/1998/namespace"/>
    <ds:schemaRef ds:uri="http://purl.org/dc/terms/"/>
    <ds:schemaRef ds:uri="138ba00b-f97b-4de9-b7f4-e7bb54cc20f7"/>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28e06df-f9f1-4d75-8ea3-ec3e42612912"/>
    <ds:schemaRef ds:uri="4ffa91fb-a0ff-4ac5-b2db-65c790d184a4"/>
    <ds:schemaRef ds:uri="c0e0ac92-6a4d-4df1-868d-cc249587a68f"/>
    <ds:schemaRef ds:uri="f75f8006-579c-4a79-ac4d-eda851b4834d"/>
    <ds:schemaRef ds:uri="http://schemas.microsoft.com/sharepoint/v3/field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63AB972F-3AE8-4763-96B0-63892B8D7F6F}">
  <ds:schemaRefs>
    <ds:schemaRef ds:uri="http://schemas.microsoft.com/sharepoint/v3/contenttype/forms"/>
  </ds:schemaRefs>
</ds:datastoreItem>
</file>

<file path=customXml/itemProps4.xml><?xml version="1.0" encoding="utf-8"?>
<ds:datastoreItem xmlns:ds="http://schemas.openxmlformats.org/officeDocument/2006/customXml" ds:itemID="{90CC3DB7-290C-45CB-98BE-8A7521A1A9D0}">
  <ds:schemaRefs>
    <ds:schemaRef ds:uri="Microsoft.SharePoint.Taxonomy.ContentTypeSync"/>
  </ds:schemaRefs>
</ds:datastoreItem>
</file>

<file path=customXml/itemProps5.xml><?xml version="1.0" encoding="utf-8"?>
<ds:datastoreItem xmlns:ds="http://schemas.openxmlformats.org/officeDocument/2006/customXml" ds:itemID="{5E540060-CDE7-42B1-B48F-E72464A3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0e0ac92-6a4d-4df1-868d-cc249587a68f"/>
    <ds:schemaRef ds:uri="f75f8006-579c-4a79-ac4d-eda851b48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196</TotalTime>
  <Pages>45</Pages>
  <Words>10506</Words>
  <Characters>59888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Gardenier</dc:creator>
  <cp:lastModifiedBy>Bruce, Teddy (he/him/his)</cp:lastModifiedBy>
  <cp:revision>114</cp:revision>
  <dcterms:created xsi:type="dcterms:W3CDTF">2023-11-02T13:54:00Z</dcterms:created>
  <dcterms:modified xsi:type="dcterms:W3CDTF">2023-12-21T01:34:00Z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0x010100308790CDF1A96D428174794B00073D00</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Language">
    <vt:lpwstr>English</vt:lpwstr>
  </property>
  <property fmtid="{D5CDD505-2E9C-101B-9397-08002B2CF9AE}" pid="9" name="MediaServiceImageTags">
    <vt:lpwstr/>
  </property>
  <property fmtid="{D5CDD505-2E9C-101B-9397-08002B2CF9AE}" pid="10" name="Order">
    <vt:r8>1428500</vt:r8>
  </property>
  <property fmtid="{D5CDD505-2E9C-101B-9397-08002B2CF9AE}" pid="11" name="Record">
    <vt:lpwstr>Shared</vt:lpwstr>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