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BB432F" w14:paraId="7B82FD92" w14:textId="1D635F9B">
      <w:pPr>
        <w:rPr>
          <w:rFonts w:cstheme="minorHAnsi"/>
        </w:rPr>
      </w:pPr>
      <w:r w:rsidRPr="00BB3410">
        <w:rPr>
          <w:rFonts w:cstheme="minorHAnsi"/>
          <w:b/>
          <w:bCs/>
        </w:rPr>
        <w:t>Title</w:t>
      </w:r>
      <w:r w:rsidRPr="00EA0D20">
        <w:rPr>
          <w:rFonts w:cstheme="minorHAnsi"/>
          <w:b/>
          <w:bCs/>
        </w:rPr>
        <w:t>:</w:t>
      </w:r>
      <w:r w:rsidR="0039483E">
        <w:rPr>
          <w:rFonts w:cstheme="minorHAnsi"/>
        </w:rPr>
        <w:t xml:space="preserve"> </w:t>
      </w:r>
      <w:r w:rsidRPr="0039483E" w:rsidR="0039483E">
        <w:rPr>
          <w:rFonts w:cstheme="minorHAnsi"/>
        </w:rPr>
        <w:t>Materials Management Information Collection</w:t>
      </w:r>
    </w:p>
    <w:p w:rsidR="00EE2403" w:rsidRPr="00BB3410" w:rsidP="00BB432F" w14:paraId="71D5121E" w14:textId="02DEE0FA">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C25809">
        <w:rPr>
          <w:rFonts w:cstheme="minorHAnsi"/>
        </w:rPr>
        <w:t>2050-NEW</w:t>
      </w:r>
    </w:p>
    <w:p w:rsidR="00EE2403" w:rsidRPr="00BB3410" w:rsidP="00ED57A4" w14:paraId="4FB77BCA" w14:textId="27AAE698">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C25809">
        <w:rPr>
          <w:rFonts w:cstheme="minorHAnsi"/>
        </w:rPr>
        <w:t>2789.01</w:t>
      </w:r>
    </w:p>
    <w:p w:rsidR="00BB432F" w:rsidP="4BDBF0A0" w14:paraId="6A3E928D" w14:textId="7EE474D7">
      <w:pPr>
        <w:spacing w:before="240"/>
      </w:pPr>
      <w:bookmarkStart w:id="1" w:name="_Hlk161301707"/>
      <w:r w:rsidRPr="03526008">
        <w:rPr>
          <w:b/>
          <w:bCs/>
        </w:rPr>
        <w:t>Abstract:</w:t>
      </w:r>
      <w:r>
        <w:t xml:space="preserve"> </w:t>
      </w:r>
      <w:r w:rsidR="00C25809">
        <w:t xml:space="preserve">The Office of Resource Conservation and </w:t>
      </w:r>
      <w:r w:rsidR="58346D8E">
        <w:t>Recovery</w:t>
      </w:r>
      <w:r w:rsidR="0022301E">
        <w:t xml:space="preserve"> (ORCR)</w:t>
      </w:r>
      <w:r w:rsidR="00244D71">
        <w:t xml:space="preserve"> </w:t>
      </w:r>
      <w:r w:rsidR="58346D8E">
        <w:t>Re</w:t>
      </w:r>
      <w:r w:rsidR="4B91C4FF">
        <w:t>s</w:t>
      </w:r>
      <w:r w:rsidR="58346D8E">
        <w:t xml:space="preserve">ource Conservation and </w:t>
      </w:r>
      <w:r w:rsidR="00C25809">
        <w:t>Sustainability Division (RCSD) requires the ability to collect information from new Bipartisan Infrastructure Law grant recipients, formally known as the Infrastructure Investment and Jobs Act (IIJA), in a consistent and timely manner. Additionally, information is necessary to implement sustainable materials management, an approach fundamental to RCSD’s mission with authority under the Resource Conservation and Recovery Act (RCRA). This hybrid generic information collection request (ICR) establishes the framework over the life of this ICR to implement information collection activities under these authorities.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08"/>
        <w:gridCol w:w="1625"/>
        <w:gridCol w:w="1585"/>
        <w:gridCol w:w="1447"/>
        <w:gridCol w:w="1447"/>
      </w:tblGrid>
      <w:tr w14:paraId="6923E255" w14:textId="77777777" w:rsidTr="00457113">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8"/>
        </w:trPr>
        <w:tc>
          <w:tcPr>
            <w:tcW w:w="7871" w:type="dxa"/>
            <w:gridSpan w:val="5"/>
            <w:tcBorders>
              <w:bottom w:val="single" w:sz="4" w:space="0" w:color="auto"/>
            </w:tcBorders>
            <w:shd w:val="clear" w:color="auto" w:fill="auto"/>
            <w:vAlign w:val="center"/>
          </w:tcPr>
          <w:p w:rsidR="00253685" w:rsidRPr="00BA7DE2" w:rsidP="00457113" w14:paraId="65FCC2C9" w14:textId="004DB3F3">
            <w:pPr>
              <w:keepNext/>
              <w:tabs>
                <w:tab w:val="left" w:pos="1152"/>
              </w:tabs>
              <w:outlineLvl w:val="0"/>
              <w:rPr>
                <w:b/>
                <w:color w:val="000000"/>
              </w:rPr>
            </w:pPr>
            <w:r w:rsidRPr="00457113">
              <w:rPr>
                <w:rFonts w:ascii="Calibri" w:eastAsia="Times New Roman" w:hAnsi="Calibri" w:cs="Calibri"/>
                <w:b/>
              </w:rPr>
              <w:t>Total (3-Year) Respondent Burden &amp; Costs</w:t>
            </w:r>
          </w:p>
        </w:tc>
      </w:tr>
      <w:tr w14:paraId="304F534C" w14:textId="77777777" w:rsidTr="00457113">
        <w:tblPrEx>
          <w:tblW w:w="0" w:type="auto"/>
          <w:tblLook w:val="04A0"/>
        </w:tblPrEx>
        <w:trPr>
          <w:trHeight w:val="432"/>
        </w:trPr>
        <w:tc>
          <w:tcPr>
            <w:tcW w:w="1767" w:type="dxa"/>
            <w:tcBorders>
              <w:top w:val="single" w:sz="4" w:space="0" w:color="auto"/>
              <w:bottom w:val="single" w:sz="4" w:space="0" w:color="auto"/>
            </w:tcBorders>
            <w:shd w:val="clear" w:color="auto" w:fill="B4C6E7" w:themeFill="accent1" w:themeFillTint="66"/>
            <w:vAlign w:val="center"/>
          </w:tcPr>
          <w:p w:rsidR="00253685" w:rsidRPr="00457113" w:rsidP="00CE00F2" w14:paraId="29833DB0" w14:textId="55D71BCC">
            <w:pPr>
              <w:spacing w:before="240"/>
              <w:jc w:val="center"/>
              <w:rPr>
                <w:color w:val="000000"/>
              </w:rPr>
            </w:pPr>
            <w:r w:rsidRPr="00457113">
              <w:rPr>
                <w:color w:val="000000"/>
              </w:rPr>
              <w:t>Respondents</w:t>
            </w:r>
            <w:r w:rsidRPr="00457113" w:rsidR="00A50498">
              <w:rPr>
                <w:color w:val="000000"/>
              </w:rPr>
              <w:t>/Responses</w:t>
            </w:r>
          </w:p>
        </w:tc>
        <w:tc>
          <w:tcPr>
            <w:tcW w:w="1625" w:type="dxa"/>
            <w:tcBorders>
              <w:top w:val="single" w:sz="4" w:space="0" w:color="auto"/>
              <w:bottom w:val="single" w:sz="4" w:space="0" w:color="auto"/>
            </w:tcBorders>
            <w:shd w:val="clear" w:color="auto" w:fill="B4C6E7" w:themeFill="accent1" w:themeFillTint="66"/>
            <w:vAlign w:val="center"/>
          </w:tcPr>
          <w:p w:rsidR="00253685" w:rsidRPr="00457113" w:rsidP="00CE00F2" w14:paraId="2AE24DA6" w14:textId="77777777">
            <w:pPr>
              <w:spacing w:before="240"/>
              <w:jc w:val="center"/>
              <w:rPr>
                <w:color w:val="000000"/>
              </w:rPr>
            </w:pPr>
            <w:r w:rsidRPr="00457113">
              <w:rPr>
                <w:color w:val="000000"/>
              </w:rPr>
              <w:t>Burden Hours</w:t>
            </w:r>
          </w:p>
        </w:tc>
        <w:tc>
          <w:tcPr>
            <w:tcW w:w="1585" w:type="dxa"/>
            <w:tcBorders>
              <w:top w:val="single" w:sz="4" w:space="0" w:color="auto"/>
              <w:bottom w:val="single" w:sz="4" w:space="0" w:color="auto"/>
            </w:tcBorders>
            <w:shd w:val="clear" w:color="auto" w:fill="B4C6E7" w:themeFill="accent1" w:themeFillTint="66"/>
            <w:vAlign w:val="center"/>
          </w:tcPr>
          <w:p w:rsidR="00253685" w:rsidRPr="00457113" w:rsidP="00CE00F2" w14:paraId="46C9A26F" w14:textId="77777777">
            <w:pPr>
              <w:spacing w:before="240"/>
              <w:jc w:val="center"/>
              <w:rPr>
                <w:color w:val="000000"/>
              </w:rPr>
            </w:pPr>
            <w:r w:rsidRPr="00457113">
              <w:rPr>
                <w:color w:val="000000"/>
              </w:rPr>
              <w:t>Labor Costs</w:t>
            </w:r>
          </w:p>
        </w:tc>
        <w:tc>
          <w:tcPr>
            <w:tcW w:w="1447" w:type="dxa"/>
            <w:tcBorders>
              <w:top w:val="single" w:sz="4" w:space="0" w:color="auto"/>
              <w:bottom w:val="single" w:sz="4" w:space="0" w:color="auto"/>
            </w:tcBorders>
            <w:shd w:val="clear" w:color="auto" w:fill="B4C6E7" w:themeFill="accent1" w:themeFillTint="66"/>
            <w:vAlign w:val="center"/>
          </w:tcPr>
          <w:p w:rsidR="00253685" w:rsidRPr="00457113" w:rsidP="00CE00F2" w14:paraId="406960F4" w14:textId="77777777">
            <w:pPr>
              <w:spacing w:before="240"/>
              <w:jc w:val="center"/>
              <w:rPr>
                <w:color w:val="000000"/>
              </w:rPr>
            </w:pPr>
            <w:r w:rsidRPr="00457113">
              <w:rPr>
                <w:color w:val="000000"/>
              </w:rPr>
              <w:t>Non-Labor Costs</w:t>
            </w:r>
          </w:p>
        </w:tc>
        <w:tc>
          <w:tcPr>
            <w:tcW w:w="1447" w:type="dxa"/>
            <w:tcBorders>
              <w:top w:val="single" w:sz="4" w:space="0" w:color="auto"/>
              <w:bottom w:val="single" w:sz="4" w:space="0" w:color="auto"/>
            </w:tcBorders>
            <w:shd w:val="clear" w:color="auto" w:fill="B4C6E7" w:themeFill="accent1" w:themeFillTint="66"/>
            <w:vAlign w:val="center"/>
          </w:tcPr>
          <w:p w:rsidR="00253685" w:rsidRPr="00457113" w:rsidP="00CE00F2" w14:paraId="25B9484F" w14:textId="77777777">
            <w:pPr>
              <w:spacing w:before="240"/>
              <w:jc w:val="center"/>
              <w:rPr>
                <w:color w:val="000000"/>
              </w:rPr>
            </w:pPr>
            <w:r w:rsidRPr="00457113">
              <w:rPr>
                <w:color w:val="000000"/>
              </w:rPr>
              <w:t>Total Costs</w:t>
            </w:r>
          </w:p>
        </w:tc>
      </w:tr>
      <w:tr w14:paraId="05A75BA6" w14:textId="77777777" w:rsidTr="00457113">
        <w:tblPrEx>
          <w:tblW w:w="0" w:type="auto"/>
          <w:tblLook w:val="04A0"/>
        </w:tblPrEx>
        <w:tc>
          <w:tcPr>
            <w:tcW w:w="1767" w:type="dxa"/>
            <w:tcBorders>
              <w:top w:val="single" w:sz="4" w:space="0" w:color="auto"/>
              <w:bottom w:val="single" w:sz="4" w:space="0" w:color="auto"/>
            </w:tcBorders>
            <w:vAlign w:val="center"/>
          </w:tcPr>
          <w:p w:rsidR="00253685" w:rsidP="00457113" w14:paraId="1CB7B220" w14:textId="326DE834">
            <w:pPr>
              <w:spacing w:before="240"/>
              <w:jc w:val="center"/>
              <w:rPr>
                <w:color w:val="000000"/>
              </w:rPr>
            </w:pPr>
            <w:r>
              <w:rPr>
                <w:color w:val="000000"/>
              </w:rPr>
              <w:t>146,</w:t>
            </w:r>
            <w:r w:rsidR="0035254D">
              <w:rPr>
                <w:color w:val="000000"/>
              </w:rPr>
              <w:t>345</w:t>
            </w:r>
          </w:p>
        </w:tc>
        <w:tc>
          <w:tcPr>
            <w:tcW w:w="1625" w:type="dxa"/>
            <w:tcBorders>
              <w:top w:val="single" w:sz="4" w:space="0" w:color="auto"/>
              <w:bottom w:val="single" w:sz="4" w:space="0" w:color="auto"/>
            </w:tcBorders>
            <w:vAlign w:val="center"/>
          </w:tcPr>
          <w:p w:rsidR="00253685" w:rsidP="00457113" w14:paraId="4E39346A" w14:textId="54F2C7B9">
            <w:pPr>
              <w:spacing w:before="240"/>
              <w:jc w:val="center"/>
              <w:rPr>
                <w:color w:val="000000"/>
              </w:rPr>
            </w:pPr>
            <w:r>
              <w:rPr>
                <w:color w:val="000000"/>
              </w:rPr>
              <w:t>4</w:t>
            </w:r>
            <w:r w:rsidR="009E7901">
              <w:rPr>
                <w:color w:val="000000"/>
              </w:rPr>
              <w:t>6</w:t>
            </w:r>
            <w:r w:rsidR="00957C62">
              <w:rPr>
                <w:color w:val="000000"/>
              </w:rPr>
              <w:t>,</w:t>
            </w:r>
            <w:r w:rsidR="00D15B1C">
              <w:rPr>
                <w:color w:val="000000"/>
              </w:rPr>
              <w:t>191</w:t>
            </w:r>
          </w:p>
        </w:tc>
        <w:tc>
          <w:tcPr>
            <w:tcW w:w="1585" w:type="dxa"/>
            <w:tcBorders>
              <w:top w:val="single" w:sz="4" w:space="0" w:color="auto"/>
              <w:bottom w:val="single" w:sz="4" w:space="0" w:color="auto"/>
            </w:tcBorders>
            <w:vAlign w:val="center"/>
          </w:tcPr>
          <w:p w:rsidR="00253685" w:rsidP="00457113" w14:paraId="039CA898" w14:textId="067E093D">
            <w:pPr>
              <w:spacing w:before="240"/>
              <w:jc w:val="center"/>
              <w:rPr>
                <w:color w:val="000000"/>
              </w:rPr>
            </w:pPr>
            <w:r>
              <w:rPr>
                <w:color w:val="000000"/>
              </w:rPr>
              <w:t xml:space="preserve">$ </w:t>
            </w:r>
            <w:r w:rsidR="0094709A">
              <w:rPr>
                <w:color w:val="000000"/>
              </w:rPr>
              <w:t>3</w:t>
            </w:r>
            <w:r w:rsidRPr="00181DFE">
              <w:rPr>
                <w:color w:val="000000"/>
              </w:rPr>
              <w:t>,</w:t>
            </w:r>
            <w:r w:rsidR="003C255F">
              <w:rPr>
                <w:color w:val="000000"/>
              </w:rPr>
              <w:t>003,459</w:t>
            </w:r>
          </w:p>
        </w:tc>
        <w:tc>
          <w:tcPr>
            <w:tcW w:w="1447" w:type="dxa"/>
            <w:tcBorders>
              <w:top w:val="single" w:sz="4" w:space="0" w:color="auto"/>
              <w:bottom w:val="single" w:sz="4" w:space="0" w:color="auto"/>
            </w:tcBorders>
            <w:vAlign w:val="center"/>
          </w:tcPr>
          <w:p w:rsidR="00253685" w:rsidP="00457113" w14:paraId="2BFC79C8" w14:textId="3AC8BFBF">
            <w:pPr>
              <w:spacing w:before="240"/>
              <w:jc w:val="center"/>
              <w:rPr>
                <w:color w:val="000000"/>
              </w:rPr>
            </w:pPr>
            <w:r>
              <w:rPr>
                <w:color w:val="000000"/>
              </w:rPr>
              <w:t>$0</w:t>
            </w:r>
          </w:p>
        </w:tc>
        <w:tc>
          <w:tcPr>
            <w:tcW w:w="1447" w:type="dxa"/>
            <w:tcBorders>
              <w:top w:val="single" w:sz="4" w:space="0" w:color="auto"/>
              <w:bottom w:val="single" w:sz="4" w:space="0" w:color="auto"/>
            </w:tcBorders>
            <w:vAlign w:val="center"/>
          </w:tcPr>
          <w:p w:rsidR="00253685" w:rsidP="00457113" w14:paraId="0FD8A7BB" w14:textId="6CBA687F">
            <w:pPr>
              <w:spacing w:before="240"/>
              <w:jc w:val="center"/>
              <w:rPr>
                <w:color w:val="000000"/>
              </w:rPr>
            </w:pPr>
            <w:r>
              <w:rPr>
                <w:color w:val="000000"/>
              </w:rPr>
              <w:t>$ 3</w:t>
            </w:r>
            <w:r w:rsidRPr="00181DFE">
              <w:rPr>
                <w:color w:val="000000"/>
              </w:rPr>
              <w:t>,</w:t>
            </w:r>
            <w:r>
              <w:rPr>
                <w:color w:val="000000"/>
              </w:rPr>
              <w:t>003,459</w:t>
            </w:r>
          </w:p>
        </w:tc>
      </w:tr>
    </w:tbl>
    <w:p w:rsidR="00A50498" w:rsidRPr="00BB3410" w:rsidP="4BDBF0A0" w14:paraId="7047BA7B" w14:textId="77777777">
      <w:pPr>
        <w:spacing w:before="240"/>
        <w:rPr>
          <w:color w:val="000000"/>
        </w:rPr>
      </w:pPr>
    </w:p>
    <w:bookmarkEnd w:id="1"/>
    <w:p w:rsidR="00DE4E0C" w:rsidRPr="00457113" w:rsidP="4BDBF0A0" w14:paraId="12DA0580" w14:textId="3A9EBC77">
      <w:pPr>
        <w:rPr>
          <w:b/>
          <w:bCs/>
          <w:caps/>
          <w:u w:val="single"/>
        </w:rPr>
      </w:pPr>
      <w:r w:rsidRPr="00457113">
        <w:rPr>
          <w:b/>
          <w:bCs/>
          <w:caps/>
          <w:u w:val="single"/>
        </w:rPr>
        <w:t>Supporting Statement A</w:t>
      </w:r>
      <w:bookmarkEnd w:id="0"/>
    </w:p>
    <w:p w:rsidR="00D47CB3" w:rsidRPr="00E3122D" w:rsidP="00854AAE" w14:paraId="73FF37C3" w14:textId="2382E110">
      <w:pPr>
        <w:pStyle w:val="ListParagraph"/>
        <w:numPr>
          <w:ilvl w:val="0"/>
          <w:numId w:val="25"/>
        </w:numPr>
        <w:pBdr>
          <w:bottom w:val="single" w:sz="4" w:space="1" w:color="auto"/>
        </w:pBdr>
        <w:spacing w:before="240" w:after="0"/>
        <w:rPr>
          <w:rFonts w:cstheme="minorHAnsi"/>
          <w:b/>
          <w:bCs/>
        </w:rPr>
      </w:pPr>
      <w:bookmarkStart w:id="2" w:name="_Toc156593368"/>
      <w:r w:rsidRPr="00E3122D">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C25809" w:rsidRPr="00C25809" w:rsidP="03526008" w14:paraId="2BEC4962" w14:textId="6D94D91B">
      <w:pPr>
        <w:spacing w:after="0" w:line="240" w:lineRule="auto"/>
        <w:rPr>
          <w:rFonts w:eastAsia="Times New Roman"/>
        </w:rPr>
      </w:pPr>
      <w:bookmarkStart w:id="3" w:name="_Hlk161310045"/>
      <w:r w:rsidRPr="007C799D">
        <w:rPr>
          <w:rFonts w:eastAsia="Times New Roman"/>
        </w:rPr>
        <w:t>Office of Resource Conservation and Recovery (ORCR)</w:t>
      </w:r>
      <w:r w:rsidRPr="03526008">
        <w:rPr>
          <w:rFonts w:eastAsia="Times New Roman"/>
        </w:rPr>
        <w:t xml:space="preserve"> </w:t>
      </w:r>
      <w:r w:rsidR="0022301E">
        <w:rPr>
          <w:rFonts w:eastAsia="Times New Roman"/>
        </w:rPr>
        <w:t xml:space="preserve">Resource Conservation and Sustainability Division (RCSD) </w:t>
      </w:r>
      <w:r w:rsidRPr="03526008">
        <w:rPr>
          <w:rFonts w:eastAsia="Times New Roman"/>
        </w:rPr>
        <w:t>is charged with, among other responsibilities, ensuring efficient and equitable non-hazardous waste management. In this capacity, timely and consistent information on waste/materials generation, disposition</w:t>
      </w:r>
      <w:r w:rsidRPr="03526008" w:rsidR="000E2D9D">
        <w:rPr>
          <w:rFonts w:eastAsia="Times New Roman"/>
        </w:rPr>
        <w:t>,</w:t>
      </w:r>
      <w:r w:rsidRPr="03526008">
        <w:rPr>
          <w:rFonts w:eastAsia="Times New Roman"/>
        </w:rPr>
        <w:t xml:space="preserve"> and recovery is essential to ensure that programs, policies, and grant monies are properly targeted.</w:t>
      </w:r>
    </w:p>
    <w:bookmarkEnd w:id="3"/>
    <w:p w:rsidR="00C25809" w:rsidRPr="00C25809" w:rsidP="00C25809" w14:paraId="22C7F484" w14:textId="77777777">
      <w:pPr>
        <w:spacing w:after="0" w:line="240" w:lineRule="auto"/>
        <w:rPr>
          <w:rFonts w:eastAsia="Times New Roman" w:cstheme="minorHAnsi"/>
        </w:rPr>
      </w:pPr>
    </w:p>
    <w:p w:rsidR="00C25809" w:rsidRPr="00C25809" w:rsidP="00C25809" w14:paraId="6BFC4378" w14:textId="395E8644">
      <w:pPr>
        <w:spacing w:after="0" w:line="240" w:lineRule="auto"/>
        <w:rPr>
          <w:rFonts w:eastAsia="Times New Roman" w:cstheme="minorHAnsi"/>
        </w:rPr>
      </w:pPr>
      <w:r w:rsidRPr="00C25809">
        <w:rPr>
          <w:rFonts w:eastAsia="Times New Roman" w:cstheme="minorHAnsi"/>
        </w:rPr>
        <w:t xml:space="preserve">Several statutes mandate EPA to implement grants and programs that will be supported by this </w:t>
      </w:r>
      <w:r w:rsidR="00F75373">
        <w:rPr>
          <w:rFonts w:eastAsia="Times New Roman" w:cstheme="minorHAnsi"/>
        </w:rPr>
        <w:t xml:space="preserve">hybrid generic </w:t>
      </w:r>
      <w:r w:rsidRPr="00C25809">
        <w:rPr>
          <w:rFonts w:eastAsia="Times New Roman" w:cstheme="minorHAnsi"/>
        </w:rPr>
        <w:t xml:space="preserve">Information Collection Request (ICR). </w:t>
      </w:r>
      <w:hyperlink r:id="rId10" w:history="1">
        <w:r w:rsidRPr="00C25809">
          <w:rPr>
            <w:rFonts w:eastAsia="Times New Roman" w:cstheme="minorHAnsi"/>
            <w:color w:val="0000FF"/>
            <w:u w:val="single"/>
          </w:rPr>
          <w:t>The Save our Seas 2.0 Act</w:t>
        </w:r>
      </w:hyperlink>
      <w:r w:rsidRPr="00C25809">
        <w:rPr>
          <w:rFonts w:eastAsia="Times New Roman" w:cstheme="minorHAnsi"/>
        </w:rPr>
        <w:t xml:space="preserve"> (SOS 2.0) (Public Law 116–224), as codified at 33 U.S.C. 4282(a), charges EPA with issuing </w:t>
      </w:r>
      <w:hyperlink r:id="rId11" w:history="1">
        <w:r w:rsidRPr="00C25809">
          <w:rPr>
            <w:rFonts w:eastAsia="Times New Roman" w:cstheme="minorHAnsi"/>
            <w:color w:val="0000FF"/>
            <w:u w:val="single"/>
          </w:rPr>
          <w:t>Solid Waste Infrastructure for Recycling (SWIFR) grants</w:t>
        </w:r>
      </w:hyperlink>
      <w:r w:rsidRPr="00C25809">
        <w:rPr>
          <w:rFonts w:eastAsia="Times New Roman" w:cstheme="minorHAnsi"/>
        </w:rPr>
        <w:t xml:space="preserve"> authorized under Section 302(a) “Post-Consumer Materials Management Infrastructure Grant Program.” Section 302(a) states that the EPA can provide grants to implement the National </w:t>
      </w:r>
      <w:r w:rsidRPr="00C25809">
        <w:rPr>
          <w:rFonts w:eastAsia="Times New Roman" w:cstheme="minorHAnsi"/>
        </w:rPr>
        <w:t xml:space="preserve">Recycling Strategy, support improvements to local post-consumer materials management, and assist local waste management authorities in making improvements to local waste management systems. The </w:t>
      </w:r>
      <w:hyperlink r:id="rId12" w:history="1">
        <w:r w:rsidRPr="00C25809">
          <w:rPr>
            <w:rFonts w:eastAsia="Times New Roman" w:cstheme="minorHAnsi"/>
            <w:color w:val="0000FF"/>
            <w:u w:val="single"/>
          </w:rPr>
          <w:t>Infrastructure Investment and Jobs Act</w:t>
        </w:r>
      </w:hyperlink>
      <w:r w:rsidRPr="00C25809">
        <w:rPr>
          <w:rFonts w:eastAsia="Times New Roman" w:cstheme="minorHAnsi"/>
        </w:rPr>
        <w:t xml:space="preserve"> (IIJA) (Public Law 117-58) is a historic investment in the health, equity, and resilience of American communities. The IIJA appropriates $275 million in funding for the SWIFR grants, and also $75 million in funding for outreach and education on waste reduction and recycling through the </w:t>
      </w:r>
      <w:hyperlink r:id="rId13" w:history="1">
        <w:r w:rsidRPr="00C25809">
          <w:rPr>
            <w:rFonts w:eastAsia="Times New Roman" w:cstheme="minorHAnsi"/>
            <w:color w:val="0000FF"/>
            <w:u w:val="single"/>
          </w:rPr>
          <w:t>Recycling Education and Outreach Grant Program (REO)</w:t>
        </w:r>
      </w:hyperlink>
      <w:r w:rsidRPr="00C25809">
        <w:rPr>
          <w:rFonts w:eastAsia="Times New Roman" w:cstheme="minorHAnsi"/>
        </w:rPr>
        <w:t xml:space="preserve">. EPA was also provided an additional $2.5 million in Fiscal Year 2022 and $6.5 million in Fiscal Year 2023 funding to implement the SWIFR program. Additionally, the IIJA provides $25 million in funding for EPA to create Battery Collection Best Practices and Labeling Guidelines and communications materials by gathering information on battery collection and meeting with individuals and businesses in the battery sector. </w:t>
      </w:r>
    </w:p>
    <w:p w:rsidR="00C25809" w:rsidRPr="00C25809" w:rsidP="00C25809" w14:paraId="47B5326D" w14:textId="77777777">
      <w:pPr>
        <w:spacing w:after="0" w:line="240" w:lineRule="auto"/>
        <w:rPr>
          <w:rFonts w:eastAsia="Times New Roman" w:cstheme="minorHAnsi"/>
        </w:rPr>
      </w:pPr>
    </w:p>
    <w:p w:rsidR="00C25809" w:rsidRPr="00C25809" w:rsidP="00C25809" w14:paraId="0D5C65BA" w14:textId="77777777">
      <w:pPr>
        <w:spacing w:after="0" w:line="240" w:lineRule="auto"/>
        <w:rPr>
          <w:rFonts w:eastAsia="Times New Roman" w:cstheme="minorHAnsi"/>
        </w:rPr>
      </w:pPr>
      <w:r w:rsidRPr="00C25809">
        <w:rPr>
          <w:rFonts w:eastAsia="Times New Roman" w:cstheme="minorHAnsi"/>
        </w:rPr>
        <w:t xml:space="preserve">Under the </w:t>
      </w:r>
      <w:bookmarkStart w:id="4" w:name="_Hlk158026139"/>
      <w:hyperlink r:id="rId14" w:anchor=":~:text=Policy%20and%20Guidance-,Summary,of%20non%2Dhazardous%20solid%20wastes." w:history="1">
        <w:r w:rsidRPr="00C25809">
          <w:rPr>
            <w:rFonts w:eastAsia="Times New Roman" w:cstheme="minorHAnsi"/>
            <w:color w:val="0000FF"/>
            <w:u w:val="single"/>
          </w:rPr>
          <w:t xml:space="preserve">Resource Conservation and Recovery Act </w:t>
        </w:r>
        <w:bookmarkEnd w:id="4"/>
        <w:r w:rsidRPr="00C25809">
          <w:rPr>
            <w:rFonts w:eastAsia="Times New Roman" w:cstheme="minorHAnsi"/>
            <w:color w:val="0000FF"/>
            <w:u w:val="single"/>
          </w:rPr>
          <w:t>(RCRA)</w:t>
        </w:r>
      </w:hyperlink>
      <w:r w:rsidRPr="00C25809">
        <w:rPr>
          <w:rFonts w:eastAsia="Times New Roman" w:cstheme="minorHAnsi"/>
        </w:rPr>
        <w:t xml:space="preserve"> </w:t>
      </w:r>
      <w:bookmarkStart w:id="5" w:name="_Hlk161310131"/>
      <w:r w:rsidRPr="00C25809">
        <w:rPr>
          <w:rFonts w:eastAsia="Times New Roman" w:cstheme="minorHAnsi"/>
        </w:rPr>
        <w:t xml:space="preserve">(Public Law 94-580), </w:t>
      </w:r>
      <w:bookmarkEnd w:id="5"/>
      <w:r w:rsidRPr="00C25809">
        <w:rPr>
          <w:rFonts w:eastAsia="Times New Roman" w:cstheme="minorHAnsi"/>
        </w:rPr>
        <w:t xml:space="preserve">as codified at 42 U.S.C. 6983, EPA has the authority to develop, collect, evaluate, and coordinate information on the methods, amounts, and economics of solid waste collection, management, recovery, reduction, and reuse. </w:t>
      </w:r>
    </w:p>
    <w:p w:rsidR="00C25809" w:rsidRPr="00C25809" w:rsidP="00C25809" w14:paraId="2CB75A27" w14:textId="77777777">
      <w:pPr>
        <w:spacing w:after="0" w:line="240" w:lineRule="auto"/>
        <w:rPr>
          <w:rFonts w:eastAsia="Times New Roman" w:cstheme="minorHAnsi"/>
        </w:rPr>
      </w:pPr>
    </w:p>
    <w:p w:rsidR="009C13D9" w:rsidP="009C13D9" w14:paraId="3E30871C" w14:textId="264FA6D1">
      <w:pPr>
        <w:spacing w:after="0" w:line="240" w:lineRule="auto"/>
        <w:rPr>
          <w:rFonts w:eastAsia="Times New Roman" w:cstheme="minorHAnsi"/>
        </w:rPr>
      </w:pPr>
      <w:bookmarkStart w:id="6" w:name="_Hlk161310399"/>
      <w:r w:rsidRPr="009C13D9">
        <w:rPr>
          <w:rFonts w:eastAsia="Times New Roman" w:cstheme="minorHAnsi"/>
        </w:rPr>
        <w:t xml:space="preserve">EPA is recommending that the Office of Management and Budget (OMB) provide clearance for the set of associated information collection activities under a hybrid generic ICR. The concept of generic ICRs was developed by OMB working in tandem with federal agencies. As described in </w:t>
      </w:r>
      <w:hyperlink r:id="rId15" w:history="1">
        <w:r w:rsidRPr="009C13D9">
          <w:rPr>
            <w:rStyle w:val="Hyperlink"/>
            <w:rFonts w:eastAsia="Times New Roman" w:cstheme="minorHAnsi"/>
          </w:rPr>
          <w:t>OMB Memo “Paperwork Reduction Act – Generic Clearances”</w:t>
        </w:r>
      </w:hyperlink>
      <w:r w:rsidRPr="009C13D9">
        <w:rPr>
          <w:rFonts w:eastAsia="Times New Roman" w:cstheme="minorHAnsi"/>
        </w:rPr>
        <w:t xml:space="preserve"> from May 28, 2010: </w:t>
      </w:r>
    </w:p>
    <w:p w:rsidR="009C13D9" w:rsidRPr="009C13D9" w:rsidP="009C13D9" w14:paraId="4B6C7603" w14:textId="77777777">
      <w:pPr>
        <w:spacing w:after="0" w:line="240" w:lineRule="auto"/>
        <w:rPr>
          <w:rFonts w:eastAsia="Times New Roman" w:cstheme="minorHAnsi"/>
        </w:rPr>
      </w:pPr>
    </w:p>
    <w:p w:rsidR="009C13D9" w:rsidP="009C13D9" w14:paraId="66BC1390" w14:textId="77777777">
      <w:pPr>
        <w:spacing w:after="0" w:line="240" w:lineRule="auto"/>
        <w:ind w:left="720"/>
        <w:rPr>
          <w:rFonts w:eastAsia="Times New Roman" w:cstheme="minorHAnsi"/>
          <w:i/>
          <w:iCs/>
        </w:rPr>
      </w:pPr>
      <w:r w:rsidRPr="009C13D9">
        <w:rPr>
          <w:rFonts w:eastAsia="Times New Roman" w:cstheme="minorHAnsi"/>
          <w:i/>
          <w:iCs/>
        </w:rPr>
        <w:t xml:space="preserve">A generic ICR is a request for OMB approval of a plan for conducting more than one information collection using very similar methods when (1) the need for and the overall practical utility of the data collection can be evaluated in advance, as part of the review of the proposed plan, but (2) the agency cannot determine the details of the specific individual collections until a later time. </w:t>
      </w:r>
    </w:p>
    <w:p w:rsidR="009C13D9" w:rsidRPr="009C13D9" w:rsidP="009C13D9" w14:paraId="3B7D1630" w14:textId="77777777">
      <w:pPr>
        <w:spacing w:after="0" w:line="240" w:lineRule="auto"/>
        <w:ind w:left="720"/>
        <w:rPr>
          <w:rFonts w:eastAsia="Times New Roman" w:cstheme="minorHAnsi"/>
        </w:rPr>
      </w:pPr>
    </w:p>
    <w:p w:rsidR="009C13D9" w:rsidRPr="009C13D9" w:rsidP="009C13D9" w14:paraId="584765B6" w14:textId="7D075BB5">
      <w:pPr>
        <w:spacing w:after="0" w:line="240" w:lineRule="auto"/>
        <w:rPr>
          <w:rFonts w:eastAsia="Times New Roman" w:cstheme="minorHAnsi"/>
        </w:rPr>
      </w:pPr>
      <w:r w:rsidRPr="009C13D9">
        <w:rPr>
          <w:rFonts w:eastAsia="Times New Roman" w:cstheme="minorHAnsi"/>
        </w:rPr>
        <w:t>Generic ICRs can take multiple forms but they all share some basic characteristics. Under this model, agencies submit a request to OMB for a set of activities following the usual procedures for establishing a new collection (including both 60 and 30-day public comment periods). Once this “umbrella” ICR is approved the agency can then submit to OMB individual requests (called “ICs”) for clearance to conduct specific activities. Because the umbrella ICR will have already established the agency’s authority to collect information</w:t>
      </w:r>
      <w:r w:rsidR="00F302B0">
        <w:rPr>
          <w:rFonts w:eastAsia="Times New Roman" w:cstheme="minorHAnsi"/>
        </w:rPr>
        <w:t xml:space="preserve">, </w:t>
      </w:r>
      <w:r w:rsidRPr="009C13D9">
        <w:rPr>
          <w:rFonts w:eastAsia="Times New Roman" w:cstheme="minorHAnsi"/>
        </w:rPr>
        <w:t xml:space="preserve">the scope and practical utility of information to be collected, the mechanisms and methodologies that will be employed, and the overall estimates of respondent burden, ICs can be developed and approved in an expedited manner. With traditional generic ICRs and “Fast Track” generic ICRs, individual IC requests are not required to be announced in the </w:t>
      </w:r>
      <w:r w:rsidRPr="009C13D9">
        <w:rPr>
          <w:rFonts w:eastAsia="Times New Roman" w:cstheme="minorHAnsi"/>
          <w:i/>
          <w:iCs/>
        </w:rPr>
        <w:t>Federal Register</w:t>
      </w:r>
      <w:r w:rsidRPr="009C13D9">
        <w:rPr>
          <w:rFonts w:eastAsia="Times New Roman" w:cstheme="minorHAnsi"/>
        </w:rPr>
        <w:t xml:space="preserve"> </w:t>
      </w:r>
      <w:r w:rsidR="00FB1879">
        <w:rPr>
          <w:rFonts w:eastAsia="Times New Roman" w:cstheme="minorHAnsi"/>
        </w:rPr>
        <w:t>or</w:t>
      </w:r>
      <w:r w:rsidRPr="009C13D9">
        <w:rPr>
          <w:rFonts w:eastAsia="Times New Roman" w:cstheme="minorHAnsi"/>
        </w:rPr>
        <w:t xml:space="preserve"> undergo a public comment period in association with their submittal to OMB. This is not true under the hybrid generic ICR model where notice of each IC will be </w:t>
      </w:r>
      <w:r w:rsidR="00830D65">
        <w:rPr>
          <w:rFonts w:eastAsia="Times New Roman" w:cstheme="minorHAnsi"/>
        </w:rPr>
        <w:t>published</w:t>
      </w:r>
      <w:r w:rsidRPr="009C13D9" w:rsidR="00830D65">
        <w:rPr>
          <w:rFonts w:eastAsia="Times New Roman" w:cstheme="minorHAnsi"/>
        </w:rPr>
        <w:t xml:space="preserve"> </w:t>
      </w:r>
      <w:r w:rsidRPr="009C13D9">
        <w:rPr>
          <w:rFonts w:eastAsia="Times New Roman" w:cstheme="minorHAnsi"/>
        </w:rPr>
        <w:t xml:space="preserve">in the </w:t>
      </w:r>
      <w:r w:rsidRPr="009C13D9">
        <w:rPr>
          <w:rFonts w:eastAsia="Times New Roman" w:cstheme="minorHAnsi"/>
          <w:i/>
          <w:iCs/>
        </w:rPr>
        <w:t>Federal Register</w:t>
      </w:r>
      <w:r w:rsidRPr="009C13D9">
        <w:rPr>
          <w:rFonts w:eastAsia="Times New Roman" w:cstheme="minorHAnsi"/>
        </w:rPr>
        <w:t xml:space="preserve"> and be open for a 30-day public comment period before OMB is expected to review and conclude on the submission. However, the other efficiencies common to all generic ICs – most notably the elimination of the initial 60-day public notice period and the ability to </w:t>
      </w:r>
      <w:r w:rsidRPr="00E25CC7">
        <w:rPr>
          <w:rFonts w:eastAsia="Times New Roman" w:cstheme="minorHAnsi"/>
        </w:rPr>
        <w:t>use an abridged set of request documentation – are maintained.</w:t>
      </w:r>
      <w:r w:rsidRPr="009C13D9">
        <w:rPr>
          <w:rFonts w:eastAsia="Times New Roman" w:cstheme="minorHAnsi"/>
        </w:rPr>
        <w:t xml:space="preserve"> </w:t>
      </w:r>
    </w:p>
    <w:p w:rsidR="009C13D9" w:rsidP="009C13D9" w14:paraId="6347BC88" w14:textId="77777777">
      <w:pPr>
        <w:spacing w:after="0" w:line="240" w:lineRule="auto"/>
        <w:rPr>
          <w:rFonts w:eastAsia="Times New Roman" w:cstheme="minorHAnsi"/>
        </w:rPr>
      </w:pPr>
    </w:p>
    <w:p w:rsidR="009C13D9" w:rsidP="00C25809" w14:paraId="1619DEBF" w14:textId="4D0BA400">
      <w:pPr>
        <w:spacing w:after="0" w:line="240" w:lineRule="auto"/>
        <w:rPr>
          <w:rFonts w:eastAsia="Times New Roman" w:cstheme="minorHAnsi"/>
        </w:rPr>
      </w:pPr>
      <w:r w:rsidRPr="009C13D9">
        <w:rPr>
          <w:rFonts w:eastAsia="Times New Roman" w:cstheme="minorHAnsi"/>
        </w:rPr>
        <w:t xml:space="preserve">EPA has effectively used several “Fast Track” and traditional format generic </w:t>
      </w:r>
      <w:r w:rsidRPr="00BF048B">
        <w:rPr>
          <w:rFonts w:eastAsia="Times New Roman" w:cstheme="minorHAnsi"/>
        </w:rPr>
        <w:t xml:space="preserve">ICRs for </w:t>
      </w:r>
      <w:r w:rsidR="00C12CF2">
        <w:rPr>
          <w:rFonts w:eastAsia="Times New Roman" w:cstheme="minorHAnsi"/>
        </w:rPr>
        <w:t xml:space="preserve">many </w:t>
      </w:r>
      <w:r w:rsidRPr="00BF048B">
        <w:rPr>
          <w:rFonts w:eastAsia="Times New Roman" w:cstheme="minorHAnsi"/>
        </w:rPr>
        <w:t>years</w:t>
      </w:r>
      <w:r w:rsidRPr="009C13D9">
        <w:rPr>
          <w:rFonts w:eastAsia="Times New Roman" w:cstheme="minorHAnsi"/>
        </w:rPr>
        <w:t xml:space="preserve"> and the hybrid generic ICR concept has been successfully piloted at other federal agencies. EPA believes that a hybrid generic ICR is the most appropriate model to be used </w:t>
      </w:r>
      <w:r w:rsidR="00123BD3">
        <w:rPr>
          <w:rFonts w:eastAsia="Times New Roman" w:cstheme="minorHAnsi"/>
        </w:rPr>
        <w:t>in this instance</w:t>
      </w:r>
      <w:r w:rsidRPr="009C13D9" w:rsidR="00123BD3">
        <w:rPr>
          <w:rFonts w:eastAsia="Times New Roman" w:cstheme="minorHAnsi"/>
        </w:rPr>
        <w:t xml:space="preserve"> </w:t>
      </w:r>
      <w:r w:rsidRPr="009C13D9">
        <w:rPr>
          <w:rFonts w:eastAsia="Times New Roman" w:cstheme="minorHAnsi"/>
        </w:rPr>
        <w:t xml:space="preserve">because it allows for </w:t>
      </w:r>
      <w:r w:rsidR="00123BD3">
        <w:rPr>
          <w:rFonts w:eastAsia="Times New Roman" w:cstheme="minorHAnsi"/>
        </w:rPr>
        <w:t xml:space="preserve">the </w:t>
      </w:r>
      <w:r w:rsidRPr="009C13D9">
        <w:rPr>
          <w:rFonts w:eastAsia="Times New Roman" w:cstheme="minorHAnsi"/>
        </w:rPr>
        <w:t>timely use of insight gathered in initial ICs to inform the need, scope, and methodologies used in subsequent information collections. After the first proposed collection</w:t>
      </w:r>
      <w:r w:rsidR="00C12CF2">
        <w:rPr>
          <w:rFonts w:eastAsia="Times New Roman" w:cstheme="minorHAnsi"/>
        </w:rPr>
        <w:t xml:space="preserve"> (</w:t>
      </w:r>
      <w:r w:rsidRPr="009C13D9">
        <w:rPr>
          <w:rFonts w:eastAsia="Times New Roman" w:cstheme="minorHAnsi"/>
        </w:rPr>
        <w:t>the IIJA grants reporting form</w:t>
      </w:r>
      <w:r w:rsidR="00C12CF2">
        <w:rPr>
          <w:rFonts w:eastAsia="Times New Roman" w:cstheme="minorHAnsi"/>
        </w:rPr>
        <w:t xml:space="preserve">) </w:t>
      </w:r>
      <w:r w:rsidRPr="009C13D9">
        <w:rPr>
          <w:rFonts w:eastAsia="Times New Roman" w:cstheme="minorHAnsi"/>
        </w:rPr>
        <w:t>other collections (e.g.</w:t>
      </w:r>
      <w:r w:rsidR="00005A06">
        <w:rPr>
          <w:rFonts w:eastAsia="Times New Roman" w:cstheme="minorHAnsi"/>
        </w:rPr>
        <w:t>,</w:t>
      </w:r>
      <w:r w:rsidRPr="009C13D9">
        <w:rPr>
          <w:rFonts w:eastAsia="Times New Roman" w:cstheme="minorHAnsi"/>
        </w:rPr>
        <w:t xml:space="preserve"> forms, interviews, focus groups</w:t>
      </w:r>
      <w:r w:rsidR="00F91376">
        <w:rPr>
          <w:rFonts w:eastAsia="Times New Roman" w:cstheme="minorHAnsi"/>
        </w:rPr>
        <w:t>,</w:t>
      </w:r>
      <w:r w:rsidRPr="009C13D9">
        <w:rPr>
          <w:rFonts w:eastAsia="Times New Roman" w:cstheme="minorHAnsi"/>
        </w:rPr>
        <w:t xml:space="preserve"> or surveys) will evolve together with the </w:t>
      </w:r>
      <w:r w:rsidRPr="009C13D9">
        <w:rPr>
          <w:rFonts w:eastAsia="Times New Roman" w:cstheme="minorHAnsi"/>
        </w:rPr>
        <w:t xml:space="preserve">finalization of national strategies and infrastructure improvement projects. Given the demonstrated need for fundamental waste generation and management information, the evolving nature of these data, and the expectations for pace/progress placed on </w:t>
      </w:r>
      <w:r w:rsidR="0099274A">
        <w:rPr>
          <w:rFonts w:eastAsia="Times New Roman" w:cstheme="minorHAnsi"/>
        </w:rPr>
        <w:t>RCSD</w:t>
      </w:r>
      <w:r w:rsidRPr="009C13D9">
        <w:rPr>
          <w:rFonts w:eastAsia="Times New Roman" w:cstheme="minorHAnsi"/>
        </w:rPr>
        <w:t xml:space="preserve">, pursuing individual conventional ICRs is impractical. The agile process afforded by a </w:t>
      </w:r>
      <w:r w:rsidRPr="009C13D9" w:rsidR="00005A06">
        <w:rPr>
          <w:rFonts w:eastAsia="Times New Roman" w:cstheme="minorHAnsi"/>
        </w:rPr>
        <w:t xml:space="preserve">hybrid </w:t>
      </w:r>
      <w:r w:rsidRPr="009C13D9">
        <w:rPr>
          <w:rFonts w:eastAsia="Times New Roman" w:cstheme="minorHAnsi"/>
        </w:rPr>
        <w:t xml:space="preserve">generic option may also suggest ways to reduce burden on the populations of interest. </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7" w:name="_Toc156593369"/>
      <w:bookmarkEnd w:id="6"/>
      <w:r w:rsidRPr="00E3122D">
        <w:rPr>
          <w:rFonts w:cstheme="minorHAnsi"/>
          <w:b/>
          <w:bCs/>
        </w:rPr>
        <w:t>PRACTICAL UTILITY/USERS OF THE DATA</w:t>
      </w:r>
      <w:bookmarkEnd w:id="7"/>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C25809" w:rsidRPr="00C25809" w:rsidP="00C25809" w14:paraId="500BFEE1" w14:textId="6C657A3A">
      <w:pPr>
        <w:spacing w:after="0" w:line="240" w:lineRule="auto"/>
        <w:rPr>
          <w:rFonts w:ascii="Calibri" w:eastAsia="Times New Roman" w:hAnsi="Calibri" w:cs="Calibri"/>
        </w:rPr>
      </w:pPr>
      <w:r w:rsidRPr="00C25809">
        <w:rPr>
          <w:rFonts w:ascii="Calibri" w:eastAsia="Times New Roman" w:hAnsi="Calibri" w:cs="Calibri"/>
        </w:rPr>
        <w:t xml:space="preserve">EPA is mandated to meet certain reporting requirements as part of the grant programs established in SOS 2.0 and IIJA and described above. To fulfill these </w:t>
      </w:r>
      <w:r w:rsidRPr="00CA5F4A">
        <w:rPr>
          <w:rFonts w:ascii="Calibri" w:eastAsia="Times New Roman" w:hAnsi="Calibri" w:cs="Calibri"/>
        </w:rPr>
        <w:t>requirements</w:t>
      </w:r>
      <w:r w:rsidRPr="00C25809">
        <w:rPr>
          <w:rFonts w:ascii="Calibri" w:eastAsia="Times New Roman" w:hAnsi="Calibri" w:cs="Calibri"/>
        </w:rPr>
        <w:t xml:space="preserve">, including reports to Congress required under the SOS 2.0, EPA </w:t>
      </w:r>
      <w:r w:rsidR="00525B6F">
        <w:rPr>
          <w:rFonts w:ascii="Calibri" w:eastAsia="Times New Roman" w:hAnsi="Calibri" w:cs="Calibri"/>
        </w:rPr>
        <w:t>must have</w:t>
      </w:r>
      <w:r w:rsidRPr="00C25809" w:rsidR="00525B6F">
        <w:rPr>
          <w:rFonts w:ascii="Calibri" w:eastAsia="Times New Roman" w:hAnsi="Calibri" w:cs="Calibri"/>
        </w:rPr>
        <w:t xml:space="preserve"> </w:t>
      </w:r>
      <w:r w:rsidRPr="00C25809">
        <w:rPr>
          <w:rFonts w:ascii="Calibri" w:eastAsia="Times New Roman" w:hAnsi="Calibri" w:cs="Calibri"/>
        </w:rPr>
        <w:t>data that characterizes the generation and management of post-consumer materials in the U.S.</w:t>
      </w:r>
      <w:r w:rsidR="00DA1A9A">
        <w:rPr>
          <w:rFonts w:ascii="Calibri" w:eastAsia="Times New Roman" w:hAnsi="Calibri" w:cs="Calibri"/>
        </w:rPr>
        <w:t xml:space="preserve"> </w:t>
      </w:r>
      <w:r w:rsidR="00A67B38">
        <w:rPr>
          <w:rFonts w:ascii="Calibri" w:eastAsia="Times New Roman" w:hAnsi="Calibri" w:cs="Calibri"/>
        </w:rPr>
        <w:t>to include</w:t>
      </w:r>
      <w:r w:rsidRPr="00C25809">
        <w:rPr>
          <w:rFonts w:ascii="Calibri" w:eastAsia="Times New Roman" w:hAnsi="Calibri" w:cs="Calibri"/>
        </w:rPr>
        <w:t xml:space="preserve"> materials and products generated, their end-of-life pathways, any next life cycles, and consumer awareness of those pathways. EPA </w:t>
      </w:r>
      <w:r w:rsidR="000A6E50">
        <w:rPr>
          <w:rFonts w:ascii="Calibri" w:eastAsia="Times New Roman" w:hAnsi="Calibri" w:cs="Calibri"/>
        </w:rPr>
        <w:t xml:space="preserve">also </w:t>
      </w:r>
      <w:r w:rsidR="00FB1E01">
        <w:rPr>
          <w:rFonts w:ascii="Calibri" w:eastAsia="Times New Roman" w:hAnsi="Calibri" w:cs="Calibri"/>
        </w:rPr>
        <w:t xml:space="preserve">needs quantitative </w:t>
      </w:r>
      <w:r w:rsidR="002442CE">
        <w:rPr>
          <w:rFonts w:ascii="Calibri" w:eastAsia="Times New Roman" w:hAnsi="Calibri" w:cs="Calibri"/>
        </w:rPr>
        <w:t xml:space="preserve">data on </w:t>
      </w:r>
      <w:r w:rsidRPr="00C25809" w:rsidR="002442CE">
        <w:rPr>
          <w:rFonts w:ascii="Calibri" w:eastAsia="Times New Roman" w:hAnsi="Calibri" w:cs="Calibri"/>
        </w:rPr>
        <w:t>improvements to the recycling rate, cost savings, reduced plastic leakages, and reduced contamination</w:t>
      </w:r>
      <w:r w:rsidRPr="00C25809" w:rsidR="002442CE">
        <w:rPr>
          <w:rFonts w:ascii="Calibri" w:eastAsia="Times New Roman" w:hAnsi="Calibri" w:cs="Calibri"/>
        </w:rPr>
        <w:t xml:space="preserve"> </w:t>
      </w:r>
      <w:r w:rsidR="002442CE">
        <w:rPr>
          <w:rFonts w:ascii="Calibri" w:eastAsia="Times New Roman" w:hAnsi="Calibri" w:cs="Calibri"/>
        </w:rPr>
        <w:t xml:space="preserve">in order to </w:t>
      </w:r>
      <w:r w:rsidRPr="00C25809">
        <w:rPr>
          <w:rFonts w:ascii="Calibri" w:eastAsia="Times New Roman" w:hAnsi="Calibri" w:cs="Calibri"/>
        </w:rPr>
        <w:t xml:space="preserve">characterize the impact of </w:t>
      </w:r>
      <w:r w:rsidR="006B3F08">
        <w:rPr>
          <w:rFonts w:ascii="Calibri" w:eastAsia="Times New Roman" w:hAnsi="Calibri" w:cs="Calibri"/>
        </w:rPr>
        <w:t xml:space="preserve">awarded </w:t>
      </w:r>
      <w:r w:rsidRPr="00C25809">
        <w:rPr>
          <w:rFonts w:ascii="Calibri" w:eastAsia="Times New Roman" w:hAnsi="Calibri" w:cs="Calibri"/>
        </w:rPr>
        <w:t>grant</w:t>
      </w:r>
      <w:r w:rsidR="006B3F08">
        <w:rPr>
          <w:rFonts w:ascii="Calibri" w:eastAsia="Times New Roman" w:hAnsi="Calibri" w:cs="Calibri"/>
        </w:rPr>
        <w:t>s</w:t>
      </w:r>
      <w:r w:rsidRPr="00C25809">
        <w:rPr>
          <w:rFonts w:ascii="Calibri" w:eastAsia="Times New Roman" w:hAnsi="Calibri" w:cs="Calibri"/>
        </w:rPr>
        <w:t xml:space="preserve">. Some of this data can only be obtained through </w:t>
      </w:r>
      <w:r w:rsidR="000758DE">
        <w:rPr>
          <w:rFonts w:ascii="Calibri" w:eastAsia="Times New Roman" w:hAnsi="Calibri" w:cs="Calibri"/>
        </w:rPr>
        <w:t xml:space="preserve">surveys to </w:t>
      </w:r>
      <w:r w:rsidRPr="00C25809">
        <w:rPr>
          <w:rFonts w:ascii="Calibri" w:eastAsia="Times New Roman" w:hAnsi="Calibri" w:cs="Calibri"/>
        </w:rPr>
        <w:t>grantee</w:t>
      </w:r>
      <w:r w:rsidR="000758DE">
        <w:rPr>
          <w:rFonts w:ascii="Calibri" w:eastAsia="Times New Roman" w:hAnsi="Calibri" w:cs="Calibri"/>
        </w:rPr>
        <w:t>s</w:t>
      </w:r>
      <w:r w:rsidRPr="00C25809">
        <w:rPr>
          <w:rFonts w:ascii="Calibri" w:eastAsia="Times New Roman" w:hAnsi="Calibri" w:cs="Calibri"/>
        </w:rPr>
        <w:t xml:space="preserve"> as part of their projects.</w:t>
      </w:r>
    </w:p>
    <w:p w:rsidR="00C25809" w:rsidRPr="00C25809" w:rsidP="00C25809" w14:paraId="773DDFAB" w14:textId="77777777">
      <w:pPr>
        <w:spacing w:after="0" w:line="240" w:lineRule="auto"/>
        <w:rPr>
          <w:rFonts w:ascii="Calibri" w:eastAsia="Times New Roman" w:hAnsi="Calibri" w:cs="Calibri"/>
        </w:rPr>
      </w:pPr>
    </w:p>
    <w:p w:rsidR="00C25809" w:rsidRPr="00C25809" w:rsidP="00C25809" w14:paraId="1BBA8C79" w14:textId="77777777">
      <w:pPr>
        <w:spacing w:after="0" w:line="240" w:lineRule="auto"/>
        <w:rPr>
          <w:rFonts w:ascii="Calibri" w:eastAsia="Times New Roman" w:hAnsi="Calibri" w:cs="Calibri"/>
        </w:rPr>
      </w:pPr>
      <w:r w:rsidRPr="00C25809">
        <w:rPr>
          <w:rFonts w:ascii="Calibri" w:eastAsia="Times New Roman" w:hAnsi="Calibri" w:cs="Calibri"/>
        </w:rPr>
        <w:t>To fulfill reporting requirements under Section 302(a) of the SOS 2.0 and IIJA, EPA is required to collect the following information from grantees:</w:t>
      </w:r>
    </w:p>
    <w:p w:rsidR="00C25809" w:rsidRPr="00C25809" w:rsidP="00C25809" w14:paraId="5EABC06B" w14:textId="77777777">
      <w:pPr>
        <w:numPr>
          <w:ilvl w:val="0"/>
          <w:numId w:val="28"/>
        </w:numPr>
        <w:spacing w:after="0" w:line="240" w:lineRule="auto"/>
        <w:contextualSpacing/>
        <w:jc w:val="both"/>
        <w:rPr>
          <w:rFonts w:ascii="Calibri" w:eastAsia="Times New Roman" w:hAnsi="Calibri" w:cs="Calibri"/>
        </w:rPr>
      </w:pPr>
      <w:r w:rsidRPr="00C25809">
        <w:rPr>
          <w:rFonts w:ascii="Calibri" w:eastAsia="Times New Roman" w:hAnsi="Calibri" w:cs="Calibri"/>
        </w:rPr>
        <w:t>the amount recycled material collected;</w:t>
      </w:r>
    </w:p>
    <w:p w:rsidR="00C25809" w:rsidRPr="00C25809" w:rsidP="00C25809" w14:paraId="7E01A721" w14:textId="77777777">
      <w:pPr>
        <w:numPr>
          <w:ilvl w:val="0"/>
          <w:numId w:val="28"/>
        </w:numPr>
        <w:spacing w:after="0" w:line="240" w:lineRule="auto"/>
        <w:contextualSpacing/>
        <w:jc w:val="both"/>
        <w:rPr>
          <w:rFonts w:ascii="Calibri" w:eastAsia="Times New Roman" w:hAnsi="Calibri" w:cs="Calibri"/>
        </w:rPr>
      </w:pPr>
      <w:r w:rsidRPr="00C25809">
        <w:rPr>
          <w:rFonts w:ascii="Calibri" w:eastAsia="Times New Roman" w:hAnsi="Calibri" w:cs="Calibri"/>
        </w:rPr>
        <w:t>recycling participation rate; or</w:t>
      </w:r>
    </w:p>
    <w:p w:rsidR="00C25809" w:rsidRPr="00C25809" w:rsidP="00C25809" w14:paraId="20758A29" w14:textId="77777777">
      <w:pPr>
        <w:numPr>
          <w:ilvl w:val="0"/>
          <w:numId w:val="28"/>
        </w:numPr>
        <w:spacing w:after="0" w:line="240" w:lineRule="auto"/>
        <w:contextualSpacing/>
        <w:jc w:val="both"/>
        <w:rPr>
          <w:rFonts w:ascii="Calibri" w:eastAsia="Times New Roman" w:hAnsi="Calibri" w:cs="Calibri"/>
        </w:rPr>
      </w:pPr>
      <w:r w:rsidRPr="00C25809">
        <w:rPr>
          <w:rFonts w:ascii="Calibri" w:eastAsia="Times New Roman" w:hAnsi="Calibri" w:cs="Calibri"/>
        </w:rPr>
        <w:t>the amount of contamination in the recycling stream.</w:t>
      </w:r>
    </w:p>
    <w:p w:rsidR="00C25809" w:rsidRPr="00C25809" w:rsidP="00C25809" w14:paraId="58421365" w14:textId="77777777">
      <w:pPr>
        <w:spacing w:after="0" w:line="240" w:lineRule="auto"/>
        <w:rPr>
          <w:rFonts w:ascii="Calibri" w:eastAsia="Times New Roman" w:hAnsi="Calibri" w:cs="Calibri"/>
        </w:rPr>
      </w:pPr>
    </w:p>
    <w:p w:rsidR="00C25809" w:rsidRPr="00C25809" w:rsidP="00C25809" w14:paraId="79EEF4FC" w14:textId="1B72FBF1">
      <w:pPr>
        <w:spacing w:after="0" w:line="240" w:lineRule="auto"/>
        <w:rPr>
          <w:rFonts w:ascii="Calibri" w:eastAsia="Times New Roman" w:hAnsi="Calibri" w:cs="Calibri"/>
        </w:rPr>
      </w:pPr>
      <w:r w:rsidRPr="00C25809">
        <w:rPr>
          <w:rFonts w:ascii="Calibri" w:eastAsia="Times New Roman" w:hAnsi="Calibri" w:cs="Calibri"/>
        </w:rPr>
        <w:t>The creation of two new grant programs</w:t>
      </w:r>
      <w:r w:rsidR="00DA1A9A">
        <w:rPr>
          <w:rFonts w:ascii="Calibri" w:eastAsia="Times New Roman" w:hAnsi="Calibri" w:cs="Calibri"/>
        </w:rPr>
        <w:t>, SWIFR and REO,</w:t>
      </w:r>
      <w:r w:rsidRPr="00C25809">
        <w:rPr>
          <w:rFonts w:ascii="Calibri" w:eastAsia="Times New Roman" w:hAnsi="Calibri" w:cs="Calibri"/>
        </w:rPr>
        <w:t xml:space="preserve"> in </w:t>
      </w:r>
      <w:r w:rsidR="0099274A">
        <w:rPr>
          <w:rFonts w:ascii="Calibri" w:eastAsia="Times New Roman" w:hAnsi="Calibri" w:cs="Calibri"/>
        </w:rPr>
        <w:t>RCSD</w:t>
      </w:r>
      <w:r w:rsidRPr="00C25809" w:rsidR="0099274A">
        <w:rPr>
          <w:rFonts w:ascii="Calibri" w:eastAsia="Times New Roman" w:hAnsi="Calibri" w:cs="Calibri"/>
        </w:rPr>
        <w:t xml:space="preserve"> </w:t>
      </w:r>
      <w:r w:rsidR="003F5140">
        <w:rPr>
          <w:rFonts w:ascii="Calibri" w:eastAsia="Times New Roman" w:hAnsi="Calibri" w:cs="Calibri"/>
        </w:rPr>
        <w:t xml:space="preserve">must be efficient </w:t>
      </w:r>
      <w:r w:rsidRPr="00C25809">
        <w:rPr>
          <w:rFonts w:ascii="Calibri" w:eastAsia="Times New Roman" w:hAnsi="Calibri" w:cs="Calibri"/>
        </w:rPr>
        <w:t xml:space="preserve">to effectively manage the new work. Under this ICR a new knowledge management system is currently in development to manage the post-award reporting. This system will assist staff in organizing quarterly reports, </w:t>
      </w:r>
      <w:bookmarkStart w:id="8" w:name="_Hlk161310291"/>
      <w:r w:rsidRPr="00C25809">
        <w:rPr>
          <w:rFonts w:ascii="Calibri" w:eastAsia="Times New Roman" w:hAnsi="Calibri" w:cs="Calibri"/>
        </w:rPr>
        <w:t>compiling data, and reporting to Congress</w:t>
      </w:r>
      <w:bookmarkEnd w:id="8"/>
      <w:r w:rsidRPr="00C25809">
        <w:rPr>
          <w:rFonts w:ascii="Calibri" w:eastAsia="Times New Roman" w:hAnsi="Calibri" w:cs="Calibri"/>
        </w:rPr>
        <w:t>. The grantee reporting forms will be the first information collection under this request.</w:t>
      </w:r>
    </w:p>
    <w:p w:rsidR="00C25809" w:rsidRPr="00C25809" w:rsidP="00C25809" w14:paraId="5F396BF2" w14:textId="77777777">
      <w:pPr>
        <w:spacing w:after="0" w:line="240" w:lineRule="auto"/>
        <w:rPr>
          <w:rFonts w:ascii="Calibri" w:eastAsia="Times New Roman" w:hAnsi="Calibri" w:cs="Calibri"/>
        </w:rPr>
      </w:pPr>
    </w:p>
    <w:p w:rsidR="00C25809" w:rsidRPr="00C25809" w:rsidP="004B623F" w14:paraId="38EEFB41" w14:textId="22D1DD65">
      <w:pPr>
        <w:spacing w:after="0" w:line="240" w:lineRule="auto"/>
        <w:rPr>
          <w:rFonts w:ascii="Calibri" w:eastAsia="Times New Roman" w:hAnsi="Calibri" w:cs="Calibri"/>
        </w:rPr>
      </w:pPr>
      <w:bookmarkStart w:id="9" w:name="_Hlk161310367"/>
      <w:r w:rsidRPr="00C25809">
        <w:rPr>
          <w:rFonts w:ascii="Calibri" w:eastAsia="Times New Roman" w:hAnsi="Calibri" w:cs="Calibri"/>
        </w:rPr>
        <w:t>In addition to the grant</w:t>
      </w:r>
      <w:r w:rsidR="00FD2673">
        <w:rPr>
          <w:rFonts w:ascii="Calibri" w:eastAsia="Times New Roman" w:hAnsi="Calibri" w:cs="Calibri"/>
        </w:rPr>
        <w:t>ee</w:t>
      </w:r>
      <w:r w:rsidRPr="00C25809">
        <w:rPr>
          <w:rFonts w:ascii="Calibri" w:eastAsia="Times New Roman" w:hAnsi="Calibri" w:cs="Calibri"/>
        </w:rPr>
        <w:t xml:space="preserve"> </w:t>
      </w:r>
      <w:r w:rsidR="00FD2673">
        <w:rPr>
          <w:rFonts w:ascii="Calibri" w:eastAsia="Times New Roman" w:hAnsi="Calibri" w:cs="Calibri"/>
        </w:rPr>
        <w:t xml:space="preserve">performance </w:t>
      </w:r>
      <w:r w:rsidRPr="00C25809">
        <w:rPr>
          <w:rFonts w:ascii="Calibri" w:eastAsia="Times New Roman" w:hAnsi="Calibri" w:cs="Calibri"/>
        </w:rPr>
        <w:t xml:space="preserve">reports, </w:t>
      </w:r>
      <w:r w:rsidRPr="007C799D">
        <w:rPr>
          <w:rFonts w:ascii="Calibri" w:eastAsia="Times New Roman" w:hAnsi="Calibri" w:cs="Calibri"/>
        </w:rPr>
        <w:t xml:space="preserve">this ICR will </w:t>
      </w:r>
      <w:r w:rsidRPr="004B623F" w:rsidR="00674CA9">
        <w:rPr>
          <w:rFonts w:ascii="Calibri" w:eastAsia="Times New Roman" w:hAnsi="Calibri" w:cs="Calibri"/>
        </w:rPr>
        <w:t>allow EPA t</w:t>
      </w:r>
      <w:r w:rsidRPr="007C799D">
        <w:rPr>
          <w:rFonts w:ascii="Calibri" w:eastAsia="Times New Roman" w:hAnsi="Calibri" w:cs="Calibri"/>
        </w:rPr>
        <w:t>o</w:t>
      </w:r>
      <w:r w:rsidRPr="004B623F" w:rsidR="0099274A">
        <w:rPr>
          <w:rFonts w:ascii="Calibri" w:eastAsia="Times New Roman" w:hAnsi="Calibri" w:cs="Calibri"/>
        </w:rPr>
        <w:t xml:space="preserve"> voluntarily</w:t>
      </w:r>
      <w:r w:rsidRPr="004B623F" w:rsidR="00C975E5">
        <w:rPr>
          <w:rFonts w:ascii="Calibri" w:eastAsia="Times New Roman" w:hAnsi="Calibri" w:cs="Calibri"/>
        </w:rPr>
        <w:t xml:space="preserve"> co</w:t>
      </w:r>
      <w:r w:rsidRPr="007C799D">
        <w:rPr>
          <w:rFonts w:ascii="Calibri" w:eastAsia="Times New Roman" w:hAnsi="Calibri" w:cs="Calibri"/>
        </w:rPr>
        <w:t xml:space="preserve">llect information </w:t>
      </w:r>
      <w:r w:rsidRPr="007C799D" w:rsidR="00C975E5">
        <w:rPr>
          <w:rFonts w:ascii="Calibri" w:eastAsia="Times New Roman" w:hAnsi="Calibri" w:cs="Calibri"/>
        </w:rPr>
        <w:t>on</w:t>
      </w:r>
      <w:r w:rsidRPr="00C25809">
        <w:rPr>
          <w:rFonts w:ascii="Calibri" w:eastAsia="Times New Roman" w:hAnsi="Calibri" w:cs="Calibri"/>
        </w:rPr>
        <w:t xml:space="preserve"> methods, amounts,</w:t>
      </w:r>
      <w:r w:rsidR="00BE2647">
        <w:rPr>
          <w:rFonts w:ascii="Calibri" w:eastAsia="Times New Roman" w:hAnsi="Calibri" w:cs="Calibri"/>
        </w:rPr>
        <w:t xml:space="preserve"> </w:t>
      </w:r>
      <w:r w:rsidRPr="00C25809">
        <w:rPr>
          <w:rFonts w:ascii="Calibri" w:eastAsia="Times New Roman" w:hAnsi="Calibri" w:cs="Calibri"/>
        </w:rPr>
        <w:t xml:space="preserve">and economics of solid waste collection, management, recovery, reduction, and reuse. </w:t>
      </w:r>
      <w:bookmarkEnd w:id="9"/>
      <w:r w:rsidRPr="00C25809">
        <w:rPr>
          <w:rFonts w:ascii="Calibri" w:eastAsia="Times New Roman" w:hAnsi="Calibri" w:cs="Calibri"/>
        </w:rPr>
        <w:t xml:space="preserve">Probable information collection activities </w:t>
      </w:r>
      <w:r w:rsidR="00C975E5">
        <w:rPr>
          <w:rFonts w:ascii="Calibri" w:eastAsia="Times New Roman" w:hAnsi="Calibri" w:cs="Calibri"/>
        </w:rPr>
        <w:t xml:space="preserve">on these subject </w:t>
      </w:r>
      <w:r w:rsidRPr="00C25809">
        <w:rPr>
          <w:rFonts w:ascii="Calibri" w:eastAsia="Times New Roman" w:hAnsi="Calibri" w:cs="Calibri"/>
        </w:rPr>
        <w:t>include:</w:t>
      </w:r>
    </w:p>
    <w:p w:rsidR="00C25809" w:rsidRPr="00C25809" w:rsidP="00C25809" w14:paraId="4329CC5F" w14:textId="77777777">
      <w:pPr>
        <w:spacing w:after="0" w:line="240" w:lineRule="auto"/>
        <w:jc w:val="both"/>
        <w:rPr>
          <w:rFonts w:ascii="Calibri" w:eastAsia="Times New Roman" w:hAnsi="Calibri" w:cs="Calibri"/>
        </w:rPr>
      </w:pPr>
    </w:p>
    <w:p w:rsidR="00C25809" w:rsidRPr="00C25809" w:rsidP="00C25809" w14:paraId="35923799" w14:textId="0303C081">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Materials Management Survey</w:t>
      </w:r>
      <w:r w:rsidR="00FB1879">
        <w:rPr>
          <w:rFonts w:ascii="Calibri" w:eastAsia="Times New Roman" w:hAnsi="Calibri" w:cs="Calibri"/>
        </w:rPr>
        <w:t>s</w:t>
      </w:r>
      <w:r w:rsidRPr="00C25809">
        <w:rPr>
          <w:rFonts w:ascii="Calibri" w:eastAsia="Times New Roman" w:hAnsi="Calibri" w:cs="Calibri"/>
        </w:rPr>
        <w:t xml:space="preserve"> </w:t>
      </w:r>
      <w:r w:rsidR="00FD2673">
        <w:rPr>
          <w:rFonts w:ascii="Calibri" w:eastAsia="Times New Roman" w:hAnsi="Calibri" w:cs="Calibri"/>
        </w:rPr>
        <w:t xml:space="preserve">conducted by EPA </w:t>
      </w:r>
      <w:r w:rsidRPr="00C25809">
        <w:rPr>
          <w:rFonts w:ascii="Calibri" w:eastAsia="Times New Roman" w:hAnsi="Calibri" w:cs="Calibri"/>
        </w:rPr>
        <w:t xml:space="preserve">to </w:t>
      </w:r>
      <w:r w:rsidR="00F430EC">
        <w:rPr>
          <w:rFonts w:ascii="Calibri" w:eastAsia="Times New Roman" w:hAnsi="Calibri" w:cs="Calibri"/>
        </w:rPr>
        <w:t>s</w:t>
      </w:r>
      <w:r w:rsidRPr="00C25809">
        <w:rPr>
          <w:rFonts w:ascii="Calibri" w:eastAsia="Times New Roman" w:hAnsi="Calibri" w:cs="Calibri"/>
        </w:rPr>
        <w:t>tates</w:t>
      </w:r>
      <w:r w:rsidR="00F430EC">
        <w:rPr>
          <w:rFonts w:ascii="Calibri" w:eastAsia="Times New Roman" w:hAnsi="Calibri" w:cs="Calibri"/>
        </w:rPr>
        <w:t>,</w:t>
      </w:r>
      <w:r w:rsidRPr="00C25809">
        <w:rPr>
          <w:rFonts w:ascii="Calibri" w:eastAsia="Times New Roman" w:hAnsi="Calibri" w:cs="Calibri"/>
        </w:rPr>
        <w:t xml:space="preserve"> </w:t>
      </w:r>
      <w:r w:rsidR="00F430EC">
        <w:rPr>
          <w:rFonts w:ascii="Calibri" w:eastAsia="Times New Roman" w:hAnsi="Calibri" w:cs="Calibri"/>
        </w:rPr>
        <w:t>municipalities, t</w:t>
      </w:r>
      <w:r w:rsidRPr="00C25809">
        <w:rPr>
          <w:rFonts w:ascii="Calibri" w:eastAsia="Times New Roman" w:hAnsi="Calibri" w:cs="Calibri"/>
        </w:rPr>
        <w:t>erritories</w:t>
      </w:r>
      <w:r w:rsidR="00F430EC">
        <w:rPr>
          <w:rFonts w:ascii="Calibri" w:eastAsia="Times New Roman" w:hAnsi="Calibri" w:cs="Calibri"/>
        </w:rPr>
        <w:t>, Tribes and the District of Columbia</w:t>
      </w:r>
    </w:p>
    <w:p w:rsidR="00F10391" w:rsidP="00C25809" w14:paraId="690CF591" w14:textId="3613CAFA">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 xml:space="preserve">Consumer Focus Groups on battery labels </w:t>
      </w:r>
      <w:r w:rsidR="00FD2673">
        <w:rPr>
          <w:rFonts w:ascii="Calibri" w:eastAsia="Times New Roman" w:hAnsi="Calibri" w:cs="Calibri"/>
        </w:rPr>
        <w:t>conducted by EPA</w:t>
      </w:r>
    </w:p>
    <w:p w:rsidR="00C25809" w:rsidRPr="00FD24AD" w:rsidP="00FD24AD" w14:paraId="4F317BE2" w14:textId="4F108152">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Survey</w:t>
      </w:r>
      <w:r w:rsidR="00FB1879">
        <w:rPr>
          <w:rFonts w:ascii="Calibri" w:eastAsia="Times New Roman" w:hAnsi="Calibri" w:cs="Calibri"/>
        </w:rPr>
        <w:t>s</w:t>
      </w:r>
      <w:r w:rsidRPr="00C25809">
        <w:rPr>
          <w:rFonts w:ascii="Calibri" w:eastAsia="Times New Roman" w:hAnsi="Calibri" w:cs="Calibri"/>
        </w:rPr>
        <w:t xml:space="preserve"> </w:t>
      </w:r>
      <w:r w:rsidR="00FD2673">
        <w:rPr>
          <w:rFonts w:ascii="Calibri" w:eastAsia="Times New Roman" w:hAnsi="Calibri" w:cs="Calibri"/>
        </w:rPr>
        <w:t xml:space="preserve">conducted by EPA </w:t>
      </w:r>
      <w:r w:rsidRPr="00C25809">
        <w:rPr>
          <w:rFonts w:ascii="Calibri" w:eastAsia="Times New Roman" w:hAnsi="Calibri" w:cs="Calibri"/>
        </w:rPr>
        <w:t>to composting facilities</w:t>
      </w:r>
    </w:p>
    <w:p w:rsidR="00C25809" w:rsidRPr="00C25809" w:rsidP="00C25809" w14:paraId="386A758D" w14:textId="473E0293">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Survey</w:t>
      </w:r>
      <w:r w:rsidR="00FB1879">
        <w:rPr>
          <w:rFonts w:ascii="Calibri" w:eastAsia="Times New Roman" w:hAnsi="Calibri" w:cs="Calibri"/>
        </w:rPr>
        <w:t>s</w:t>
      </w:r>
      <w:r w:rsidRPr="00C25809">
        <w:rPr>
          <w:rFonts w:ascii="Calibri" w:eastAsia="Times New Roman" w:hAnsi="Calibri" w:cs="Calibri"/>
        </w:rPr>
        <w:t xml:space="preserve"> </w:t>
      </w:r>
      <w:r w:rsidR="00FD2673">
        <w:rPr>
          <w:rFonts w:ascii="Calibri" w:eastAsia="Times New Roman" w:hAnsi="Calibri" w:cs="Calibri"/>
        </w:rPr>
        <w:t xml:space="preserve">conducted by EPA </w:t>
      </w:r>
      <w:r w:rsidRPr="00C25809">
        <w:rPr>
          <w:rFonts w:ascii="Calibri" w:eastAsia="Times New Roman" w:hAnsi="Calibri" w:cs="Calibri"/>
        </w:rPr>
        <w:t xml:space="preserve">to plastic </w:t>
      </w:r>
      <w:r w:rsidR="00FD24AD">
        <w:rPr>
          <w:rFonts w:ascii="Calibri" w:eastAsia="Times New Roman" w:hAnsi="Calibri" w:cs="Calibri"/>
        </w:rPr>
        <w:t>resin-producing</w:t>
      </w:r>
      <w:r w:rsidRPr="00C25809">
        <w:rPr>
          <w:rFonts w:ascii="Calibri" w:eastAsia="Times New Roman" w:hAnsi="Calibri" w:cs="Calibri"/>
        </w:rPr>
        <w:t xml:space="preserve"> facilities</w:t>
      </w:r>
    </w:p>
    <w:p w:rsidR="00C25809" w:rsidRPr="00C25809" w:rsidP="00C25809" w14:paraId="672C8401" w14:textId="4A1392F0">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Survey</w:t>
      </w:r>
      <w:r w:rsidR="00FB1879">
        <w:rPr>
          <w:rFonts w:ascii="Calibri" w:eastAsia="Times New Roman" w:hAnsi="Calibri" w:cs="Calibri"/>
        </w:rPr>
        <w:t>s</w:t>
      </w:r>
      <w:r w:rsidRPr="00C25809">
        <w:rPr>
          <w:rFonts w:ascii="Calibri" w:eastAsia="Times New Roman" w:hAnsi="Calibri" w:cs="Calibri"/>
        </w:rPr>
        <w:t xml:space="preserve"> </w:t>
      </w:r>
      <w:r w:rsidR="00FD2673">
        <w:rPr>
          <w:rFonts w:ascii="Calibri" w:eastAsia="Times New Roman" w:hAnsi="Calibri" w:cs="Calibri"/>
        </w:rPr>
        <w:t xml:space="preserve">conducted by EPA </w:t>
      </w:r>
      <w:r w:rsidRPr="00C25809">
        <w:rPr>
          <w:rFonts w:ascii="Calibri" w:eastAsia="Times New Roman" w:hAnsi="Calibri" w:cs="Calibri"/>
        </w:rPr>
        <w:t>to households/individuals to assess household food waste</w:t>
      </w:r>
    </w:p>
    <w:p w:rsidR="00BB432F" w:rsidP="00C25809" w14:paraId="1E879A61" w14:textId="10F694E7">
      <w:pPr>
        <w:numPr>
          <w:ilvl w:val="0"/>
          <w:numId w:val="29"/>
        </w:numPr>
        <w:spacing w:after="0" w:line="240" w:lineRule="auto"/>
        <w:contextualSpacing/>
        <w:jc w:val="both"/>
        <w:rPr>
          <w:rFonts w:ascii="Calibri" w:eastAsia="Times New Roman" w:hAnsi="Calibri" w:cs="Calibri"/>
        </w:rPr>
      </w:pPr>
      <w:r w:rsidRPr="00C25809">
        <w:rPr>
          <w:rFonts w:ascii="Calibri" w:eastAsia="Times New Roman" w:hAnsi="Calibri" w:cs="Calibri"/>
        </w:rPr>
        <w:t>Survey</w:t>
      </w:r>
      <w:r w:rsidR="00FB1879">
        <w:rPr>
          <w:rFonts w:ascii="Calibri" w:eastAsia="Times New Roman" w:hAnsi="Calibri" w:cs="Calibri"/>
        </w:rPr>
        <w:t>s</w:t>
      </w:r>
      <w:r w:rsidRPr="00C25809">
        <w:rPr>
          <w:rFonts w:ascii="Calibri" w:eastAsia="Times New Roman" w:hAnsi="Calibri" w:cs="Calibri"/>
        </w:rPr>
        <w:t xml:space="preserve"> </w:t>
      </w:r>
      <w:r w:rsidR="00FD2673">
        <w:rPr>
          <w:rFonts w:ascii="Calibri" w:eastAsia="Times New Roman" w:hAnsi="Calibri" w:cs="Calibri"/>
        </w:rPr>
        <w:t xml:space="preserve">conducted by EPA </w:t>
      </w:r>
      <w:r w:rsidRPr="00C25809">
        <w:rPr>
          <w:rFonts w:ascii="Calibri" w:eastAsia="Times New Roman" w:hAnsi="Calibri" w:cs="Calibri"/>
        </w:rPr>
        <w:t>to all Anaerobic Digestion facilities that accept food waste</w:t>
      </w:r>
    </w:p>
    <w:p w:rsidR="00FD2673" w:rsidRPr="00C25809" w:rsidP="00C25809" w14:paraId="22DF406E" w14:textId="3723B3EE">
      <w:pPr>
        <w:numPr>
          <w:ilvl w:val="0"/>
          <w:numId w:val="29"/>
        </w:numPr>
        <w:spacing w:after="0" w:line="240" w:lineRule="auto"/>
        <w:contextualSpacing/>
        <w:jc w:val="both"/>
        <w:rPr>
          <w:rFonts w:ascii="Calibri" w:eastAsia="Times New Roman" w:hAnsi="Calibri" w:cs="Calibri"/>
        </w:rPr>
      </w:pPr>
      <w:r>
        <w:rPr>
          <w:rFonts w:ascii="Calibri" w:eastAsia="Times New Roman" w:hAnsi="Calibri" w:cs="Calibri"/>
        </w:rPr>
        <w:t>Surveys conducted by SWIFR and REO grantees to their communities</w:t>
      </w:r>
    </w:p>
    <w:p w:rsidR="00074917" w:rsidRPr="00E3122D" w:rsidP="00854AAE" w14:paraId="1522D565" w14:textId="2155A2CF">
      <w:pPr>
        <w:pStyle w:val="ListParagraph"/>
        <w:numPr>
          <w:ilvl w:val="0"/>
          <w:numId w:val="25"/>
        </w:numPr>
        <w:pBdr>
          <w:bottom w:val="single" w:sz="4" w:space="1" w:color="auto"/>
        </w:pBdr>
        <w:spacing w:before="240" w:after="0"/>
        <w:rPr>
          <w:rFonts w:cstheme="minorHAnsi"/>
          <w:b/>
          <w:bCs/>
        </w:rPr>
      </w:pPr>
      <w:bookmarkStart w:id="10" w:name="_Toc156593370"/>
      <w:r w:rsidRPr="00E3122D">
        <w:rPr>
          <w:rFonts w:cstheme="minorHAnsi"/>
          <w:b/>
          <w:bCs/>
        </w:rPr>
        <w:t>USE OF TECHNOLOGY</w:t>
      </w:r>
      <w:bookmarkEnd w:id="10"/>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0A5C" w:rsidP="00854AAE" w14:paraId="3A3C75DF" w14:textId="5C3FA971">
      <w:pPr>
        <w:pBdr>
          <w:top w:val="single" w:sz="6" w:space="0" w:color="FFFFFF"/>
          <w:left w:val="single" w:sz="6" w:space="0" w:color="FFFFFF"/>
          <w:bottom w:val="single" w:sz="6" w:space="0" w:color="FFFFFF"/>
          <w:right w:val="single" w:sz="6" w:space="0" w:color="FFFFFF"/>
        </w:pBd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RCSD </w:t>
      </w:r>
      <w:r w:rsidR="008D6BE1">
        <w:rPr>
          <w:rStyle w:val="normaltextrun"/>
          <w:rFonts w:ascii="Calibri" w:hAnsi="Calibri" w:cs="Calibri"/>
          <w:color w:val="000000"/>
          <w:shd w:val="clear" w:color="auto" w:fill="FFFFFF"/>
        </w:rPr>
        <w:t xml:space="preserve">will endeavor to minimize burden associated with collections by relying primarily on online, user-friendly surveys or forms targeting representative groups rather than individuals. For the grant programs, </w:t>
      </w:r>
      <w:r>
        <w:rPr>
          <w:rStyle w:val="normaltextrun"/>
          <w:rFonts w:ascii="Calibri" w:hAnsi="Calibri" w:cs="Calibri"/>
          <w:color w:val="000000"/>
          <w:shd w:val="clear" w:color="auto" w:fill="FFFFFF"/>
        </w:rPr>
        <w:t xml:space="preserve">RCSD </w:t>
      </w:r>
      <w:r w:rsidR="008D6BE1">
        <w:rPr>
          <w:rStyle w:val="normaltextrun"/>
          <w:rFonts w:ascii="Calibri" w:hAnsi="Calibri" w:cs="Calibri"/>
          <w:color w:val="000000"/>
          <w:shd w:val="clear" w:color="auto" w:fill="FFFFFF"/>
        </w:rPr>
        <w:t xml:space="preserve">will establish an online knowledge management system for grantees to submit progress reports and final reports. </w:t>
      </w:r>
    </w:p>
    <w:p w:rsidR="009F1E00" w:rsidRPr="00BB3410" w:rsidP="00854AAE" w14:paraId="7B30150C" w14:textId="11542C05">
      <w:pPr>
        <w:pBdr>
          <w:top w:val="single" w:sz="6" w:space="0" w:color="FFFFFF"/>
          <w:left w:val="single" w:sz="6" w:space="0" w:color="FFFFFF"/>
          <w:bottom w:val="single" w:sz="6" w:space="0" w:color="FFFFFF"/>
          <w:right w:val="single" w:sz="6" w:space="0" w:color="FFFFFF"/>
        </w:pBdr>
        <w:rPr>
          <w:rFonts w:cstheme="minorHAnsi"/>
        </w:rPr>
      </w:pPr>
      <w:r>
        <w:rPr>
          <w:rStyle w:val="normaltextrun"/>
          <w:rFonts w:ascii="Calibri" w:hAnsi="Calibri" w:cs="Calibri"/>
          <w:color w:val="000000"/>
          <w:shd w:val="clear" w:color="auto" w:fill="FFFFFF"/>
        </w:rPr>
        <w:t>Instrument</w:t>
      </w:r>
      <w:r w:rsidR="00E20A5C">
        <w:rPr>
          <w:rStyle w:val="normaltextrun"/>
          <w:rFonts w:ascii="Calibri" w:hAnsi="Calibri" w:cs="Calibri"/>
          <w:color w:val="000000"/>
          <w:shd w:val="clear" w:color="auto" w:fill="FFFFFF"/>
        </w:rPr>
        <w:t xml:space="preserve"> files</w:t>
      </w:r>
      <w:r>
        <w:rPr>
          <w:rStyle w:val="normaltextrun"/>
          <w:rFonts w:ascii="Calibri" w:hAnsi="Calibri" w:cs="Calibri"/>
          <w:color w:val="000000"/>
          <w:shd w:val="clear" w:color="auto" w:fill="FFFFFF"/>
        </w:rPr>
        <w:t xml:space="preserve"> (survey documents, forms, system screenshots, etc.) specific to each IC will be submitted with those requests</w:t>
      </w:r>
      <w:r w:rsidR="00787B44">
        <w:rPr>
          <w:rStyle w:val="normaltextrun"/>
          <w:rFonts w:ascii="Calibri" w:hAnsi="Calibri" w:cs="Calibri"/>
          <w:color w:val="000000"/>
          <w:shd w:val="clear" w:color="auto" w:fill="FFFFFF"/>
        </w:rPr>
        <w:t xml:space="preserve"> and </w:t>
      </w:r>
      <w:r w:rsidR="00061BDF">
        <w:rPr>
          <w:rStyle w:val="normaltextrun"/>
          <w:rFonts w:ascii="Calibri" w:hAnsi="Calibri" w:cs="Calibri"/>
          <w:color w:val="000000"/>
          <w:shd w:val="clear" w:color="auto" w:fill="FFFFFF"/>
        </w:rPr>
        <w:t xml:space="preserve">used to </w:t>
      </w:r>
      <w:r w:rsidR="00787B44">
        <w:rPr>
          <w:rStyle w:val="normaltextrun"/>
          <w:rFonts w:ascii="Calibri" w:hAnsi="Calibri" w:cs="Calibri"/>
          <w:color w:val="000000"/>
          <w:shd w:val="clear" w:color="auto" w:fill="FFFFFF"/>
        </w:rPr>
        <w:t>document user interfaces with the online knowledge management system as it is developed</w:t>
      </w:r>
      <w:r>
        <w:rPr>
          <w:rStyle w:val="normaltextrun"/>
          <w:rFonts w:ascii="Calibri" w:hAnsi="Calibri" w:cs="Calibri"/>
          <w:color w:val="000000"/>
          <w:shd w:val="clear" w:color="auto" w:fill="FFFFFF"/>
        </w:rPr>
        <w:t xml:space="preserve">.  </w:t>
      </w:r>
    </w:p>
    <w:p w:rsidR="005263EC" w:rsidRPr="00E3122D" w:rsidP="00854AAE" w14:paraId="2CB3B868" w14:textId="6F8107D8">
      <w:pPr>
        <w:pStyle w:val="ListParagraph"/>
        <w:numPr>
          <w:ilvl w:val="0"/>
          <w:numId w:val="25"/>
        </w:numPr>
        <w:pBdr>
          <w:bottom w:val="single" w:sz="4" w:space="1" w:color="auto"/>
        </w:pBdr>
        <w:spacing w:before="240" w:after="0"/>
        <w:rPr>
          <w:rFonts w:cstheme="minorHAnsi"/>
          <w:b/>
          <w:bCs/>
        </w:rPr>
      </w:pPr>
      <w:bookmarkStart w:id="11" w:name="_Toc156593371"/>
      <w:r w:rsidRPr="00E3122D">
        <w:rPr>
          <w:rFonts w:cstheme="minorHAnsi"/>
          <w:b/>
          <w:bCs/>
        </w:rPr>
        <w:t>EFFORTS TO IDENTIFY DUPLICATION</w:t>
      </w:r>
      <w:bookmarkEnd w:id="11"/>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787B44" w:rsidP="00E3579A" w14:paraId="4813CC22" w14:textId="17C5AF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This ICR will </w:t>
      </w:r>
      <w:r w:rsidR="00E5475A">
        <w:rPr>
          <w:rStyle w:val="normaltextrun"/>
          <w:rFonts w:ascii="Calibri" w:hAnsi="Calibri" w:cs="Calibri"/>
          <w:color w:val="000000"/>
          <w:shd w:val="clear" w:color="auto" w:fill="FFFFFF"/>
        </w:rPr>
        <w:t>gather</w:t>
      </w:r>
      <w:r>
        <w:rPr>
          <w:rStyle w:val="normaltextrun"/>
          <w:rFonts w:ascii="Calibri" w:hAnsi="Calibri" w:cs="Calibri"/>
          <w:color w:val="000000"/>
          <w:shd w:val="clear" w:color="auto" w:fill="FFFFFF"/>
        </w:rPr>
        <w:t xml:space="preserve"> information that is not currently collected by EPA</w:t>
      </w:r>
      <w:r w:rsidR="00E5475A">
        <w:rPr>
          <w:rStyle w:val="normaltextrun"/>
          <w:rFonts w:ascii="Calibri" w:hAnsi="Calibri" w:cs="Calibri"/>
          <w:color w:val="000000"/>
          <w:shd w:val="clear" w:color="auto" w:fill="FFFFFF"/>
        </w:rPr>
        <w:t xml:space="preserve"> as t</w:t>
      </w:r>
      <w:r>
        <w:rPr>
          <w:rStyle w:val="normaltextrun"/>
          <w:rFonts w:ascii="Calibri" w:hAnsi="Calibri" w:cs="Calibri"/>
          <w:color w:val="000000"/>
          <w:shd w:val="clear" w:color="auto" w:fill="FFFFFF"/>
        </w:rPr>
        <w:t xml:space="preserve">here is no </w:t>
      </w:r>
      <w:r w:rsidR="00B857C7">
        <w:rPr>
          <w:rStyle w:val="normaltextrun"/>
          <w:rFonts w:ascii="Calibri" w:hAnsi="Calibri" w:cs="Calibri"/>
          <w:color w:val="000000"/>
          <w:shd w:val="clear" w:color="auto" w:fill="FFFFFF"/>
        </w:rPr>
        <w:t>consistent national</w:t>
      </w:r>
      <w:r>
        <w:rPr>
          <w:rStyle w:val="normaltextrun"/>
          <w:rFonts w:ascii="Calibri" w:hAnsi="Calibri" w:cs="Calibri"/>
          <w:color w:val="000000"/>
          <w:shd w:val="clear" w:color="auto" w:fill="FFFFFF"/>
        </w:rPr>
        <w:t xml:space="preserve"> tracking of waste management and recycling data. </w:t>
      </w:r>
      <w:r w:rsidR="00081180">
        <w:rPr>
          <w:rStyle w:val="normaltextrun"/>
          <w:rFonts w:ascii="Calibri" w:hAnsi="Calibri" w:cs="Calibri"/>
          <w:color w:val="000000"/>
          <w:shd w:val="clear" w:color="auto" w:fill="FFFFFF"/>
        </w:rPr>
        <w:t>Previously, i</w:t>
      </w:r>
      <w:r w:rsidR="00061BDF">
        <w:rPr>
          <w:rStyle w:val="normaltextrun"/>
          <w:rFonts w:ascii="Calibri" w:hAnsi="Calibri" w:cs="Calibri"/>
          <w:color w:val="000000"/>
          <w:shd w:val="clear" w:color="auto" w:fill="FFFFFF"/>
        </w:rPr>
        <w:t xml:space="preserve">n 2022, </w:t>
      </w:r>
      <w:r>
        <w:rPr>
          <w:rStyle w:val="normaltextrun"/>
          <w:rFonts w:ascii="Calibri" w:hAnsi="Calibri" w:cs="Calibri"/>
          <w:color w:val="000000"/>
          <w:shd w:val="clear" w:color="auto" w:fill="FFFFFF"/>
        </w:rPr>
        <w:t xml:space="preserve">EPA conducted a state residential recycling survey under a </w:t>
      </w:r>
      <w:r w:rsidR="007C6D67">
        <w:rPr>
          <w:rStyle w:val="normaltextrun"/>
          <w:rFonts w:ascii="Calibri" w:hAnsi="Calibri" w:cs="Calibri"/>
          <w:color w:val="000000"/>
          <w:shd w:val="clear" w:color="auto" w:fill="FFFFFF"/>
        </w:rPr>
        <w:t xml:space="preserve">congressionally </w:t>
      </w:r>
      <w:r>
        <w:rPr>
          <w:rStyle w:val="normaltextrun"/>
          <w:rFonts w:ascii="Calibri" w:hAnsi="Calibri" w:cs="Calibri"/>
          <w:color w:val="000000"/>
          <w:shd w:val="clear" w:color="auto" w:fill="FFFFFF"/>
        </w:rPr>
        <w:t xml:space="preserve">mandated emergency ICR titled </w:t>
      </w:r>
      <w:r w:rsidRPr="00E3579A">
        <w:rPr>
          <w:rStyle w:val="normaltextrun"/>
          <w:rFonts w:ascii="Calibri" w:hAnsi="Calibri" w:cs="Calibri"/>
          <w:i/>
          <w:iCs/>
          <w:color w:val="000000"/>
          <w:shd w:val="clear" w:color="auto" w:fill="FFFFFF"/>
        </w:rPr>
        <w:t>Collection of Information in Response to Congressional Data Request on Residential Recycling</w:t>
      </w:r>
      <w:r>
        <w:rPr>
          <w:rStyle w:val="normaltextrun"/>
          <w:rFonts w:ascii="Calibri" w:hAnsi="Calibri" w:cs="Calibri"/>
          <w:color w:val="000000"/>
          <w:shd w:val="clear" w:color="auto" w:fill="FFFFFF"/>
        </w:rPr>
        <w:t xml:space="preserve"> (OMB Control No. 2050-0225). </w:t>
      </w:r>
      <w:r w:rsidR="00081180">
        <w:rPr>
          <w:rStyle w:val="normaltextrun"/>
          <w:rFonts w:ascii="Calibri" w:hAnsi="Calibri" w:cs="Calibri"/>
          <w:color w:val="000000"/>
          <w:shd w:val="clear" w:color="auto" w:fill="FFFFFF"/>
        </w:rPr>
        <w:t>However, t</w:t>
      </w:r>
      <w:r>
        <w:rPr>
          <w:rStyle w:val="normaltextrun"/>
          <w:rFonts w:ascii="Calibri" w:hAnsi="Calibri" w:cs="Calibri"/>
          <w:color w:val="000000"/>
          <w:shd w:val="clear" w:color="auto" w:fill="FFFFFF"/>
        </w:rPr>
        <w:t xml:space="preserve">his survey has concluded </w:t>
      </w:r>
      <w:r>
        <w:rPr>
          <w:rStyle w:val="normaltextrun"/>
          <w:rFonts w:ascii="Calibri" w:hAnsi="Calibri" w:cs="Calibri"/>
          <w:color w:val="000000"/>
          <w:shd w:val="clear" w:color="auto" w:fill="FFFFFF"/>
        </w:rPr>
        <w:t xml:space="preserve">leaving the Agency with no </w:t>
      </w:r>
      <w:r w:rsidR="00081180">
        <w:rPr>
          <w:rStyle w:val="normaltextrun"/>
          <w:rFonts w:ascii="Calibri" w:hAnsi="Calibri" w:cs="Calibri"/>
          <w:color w:val="000000"/>
          <w:shd w:val="clear" w:color="auto" w:fill="FFFFFF"/>
        </w:rPr>
        <w:t>OMB-approved</w:t>
      </w:r>
      <w:r>
        <w:rPr>
          <w:rStyle w:val="normaltextrun"/>
          <w:rFonts w:ascii="Calibri" w:hAnsi="Calibri" w:cs="Calibri"/>
          <w:color w:val="000000"/>
          <w:shd w:val="clear" w:color="auto" w:fill="FFFFFF"/>
        </w:rPr>
        <w:t xml:space="preserve"> means to </w:t>
      </w:r>
      <w:r w:rsidR="002F1026">
        <w:rPr>
          <w:rStyle w:val="normaltextrun"/>
          <w:rFonts w:ascii="Calibri" w:hAnsi="Calibri" w:cs="Calibri"/>
          <w:color w:val="000000"/>
          <w:shd w:val="clear" w:color="auto" w:fill="FFFFFF"/>
        </w:rPr>
        <w:t>assemble</w:t>
      </w:r>
      <w:r w:rsidR="002F1026">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current</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consistent</w:t>
      </w:r>
      <w:r>
        <w:rPr>
          <w:rStyle w:val="normaltextrun"/>
          <w:rFonts w:ascii="Calibri" w:hAnsi="Calibri" w:cs="Calibri"/>
          <w:color w:val="000000"/>
          <w:shd w:val="clear" w:color="auto" w:fill="FFFFFF"/>
        </w:rPr>
        <w:t>,</w:t>
      </w:r>
      <w:r>
        <w:rPr>
          <w:rStyle w:val="normaltextrun"/>
          <w:rFonts w:ascii="Calibri" w:hAnsi="Calibri" w:cs="Calibri"/>
          <w:color w:val="000000"/>
          <w:shd w:val="clear" w:color="auto" w:fill="FFFFFF"/>
        </w:rPr>
        <w:t xml:space="preserve"> and timely data </w:t>
      </w:r>
      <w:r>
        <w:rPr>
          <w:rStyle w:val="normaltextrun"/>
          <w:rFonts w:ascii="Calibri" w:hAnsi="Calibri" w:cs="Calibri"/>
          <w:color w:val="000000"/>
          <w:shd w:val="clear" w:color="auto" w:fill="FFFFFF"/>
        </w:rPr>
        <w:t xml:space="preserve">in this subject area. </w:t>
      </w:r>
    </w:p>
    <w:p w:rsidR="00ED57A4" w:rsidRPr="00BB3410" w:rsidP="00896BAA" w14:paraId="0E470EF3" w14:textId="7BF64200">
      <w:pPr>
        <w:rPr>
          <w:rFonts w:cstheme="minorHAnsi"/>
          <w:shd w:val="clear" w:color="auto" w:fill="FFFFFF"/>
        </w:rPr>
      </w:pPr>
      <w:r>
        <w:rPr>
          <w:rStyle w:val="normaltextrun"/>
          <w:rFonts w:ascii="Calibri" w:hAnsi="Calibri" w:cs="Calibri"/>
          <w:color w:val="000000"/>
          <w:shd w:val="clear" w:color="auto" w:fill="FFFFFF"/>
        </w:rPr>
        <w:t xml:space="preserve">This collection will have no significant overlap with the information gathered through EPA’s </w:t>
      </w:r>
      <w:r w:rsidRPr="00E3579A">
        <w:rPr>
          <w:bCs/>
          <w:i/>
          <w:iCs/>
        </w:rPr>
        <w:t>General Administrative Requirements for Assistance Programs</w:t>
      </w:r>
      <w:r>
        <w:rPr>
          <w:bCs/>
        </w:rPr>
        <w:t xml:space="preserve"> (OMB Control #: 2030-0020) which focuses </w:t>
      </w:r>
      <w:r w:rsidR="00D306C7">
        <w:rPr>
          <w:bCs/>
        </w:rPr>
        <w:t>heavily</w:t>
      </w:r>
      <w:r>
        <w:rPr>
          <w:bCs/>
        </w:rPr>
        <w:t xml:space="preserve"> on activities associated with </w:t>
      </w:r>
      <w:r w:rsidR="00852607">
        <w:rPr>
          <w:bCs/>
        </w:rPr>
        <w:t xml:space="preserve">the </w:t>
      </w:r>
      <w:r w:rsidR="008974FC">
        <w:rPr>
          <w:bCs/>
        </w:rPr>
        <w:t>application for, and awarding of</w:t>
      </w:r>
      <w:r w:rsidR="006449F9">
        <w:rPr>
          <w:bCs/>
        </w:rPr>
        <w:t xml:space="preserve">, </w:t>
      </w:r>
      <w:r w:rsidR="00C817DF">
        <w:rPr>
          <w:bCs/>
        </w:rPr>
        <w:t>assistance</w:t>
      </w:r>
      <w:r w:rsidR="006449F9">
        <w:rPr>
          <w:bCs/>
        </w:rPr>
        <w:t xml:space="preserve"> </w:t>
      </w:r>
      <w:r w:rsidR="00BE3153">
        <w:rPr>
          <w:bCs/>
        </w:rPr>
        <w:t>agreements</w:t>
      </w:r>
      <w:r w:rsidR="00C817DF">
        <w:rPr>
          <w:bCs/>
        </w:rPr>
        <w:t>, but very little on post</w:t>
      </w:r>
      <w:r w:rsidR="008A0A5C">
        <w:rPr>
          <w:bCs/>
        </w:rPr>
        <w:t>-</w:t>
      </w:r>
      <w:r w:rsidR="00C817DF">
        <w:rPr>
          <w:bCs/>
        </w:rPr>
        <w:t xml:space="preserve">award reporting from </w:t>
      </w:r>
      <w:r w:rsidR="008A0A5C">
        <w:rPr>
          <w:bCs/>
        </w:rPr>
        <w:t>the awardees</w:t>
      </w:r>
      <w:r w:rsidR="007A597B">
        <w:rPr>
          <w:bCs/>
        </w:rPr>
        <w:t>.</w:t>
      </w:r>
      <w:r>
        <w:rPr>
          <w:bCs/>
        </w:rPr>
        <w:t xml:space="preserve"> </w:t>
      </w:r>
    </w:p>
    <w:p w:rsidR="00251151" w:rsidRPr="00E3122D" w:rsidP="4BDBF0A0" w14:paraId="79D36B3F" w14:textId="18B866CA">
      <w:pPr>
        <w:pStyle w:val="ListParagraph"/>
        <w:numPr>
          <w:ilvl w:val="0"/>
          <w:numId w:val="25"/>
        </w:numPr>
        <w:pBdr>
          <w:bottom w:val="single" w:sz="4" w:space="1" w:color="auto"/>
        </w:pBdr>
        <w:spacing w:before="240" w:after="0"/>
        <w:rPr>
          <w:b/>
          <w:bCs/>
        </w:rPr>
      </w:pPr>
      <w:bookmarkStart w:id="12" w:name="_Toc156593372"/>
      <w:r w:rsidRPr="4BDBF0A0">
        <w:rPr>
          <w:b/>
          <w:bCs/>
        </w:rPr>
        <w:t xml:space="preserve">MINIMIZING BURDEN ON SMALL </w:t>
      </w:r>
      <w:r w:rsidRPr="4BDBF0A0" w:rsidR="0F43C128">
        <w:rPr>
          <w:b/>
          <w:bCs/>
        </w:rPr>
        <w:t xml:space="preserve">BUSINESSES AND SMALL </w:t>
      </w:r>
      <w:r w:rsidRPr="4BDBF0A0">
        <w:rPr>
          <w:b/>
          <w:bCs/>
        </w:rPr>
        <w:t>ENTITIES</w:t>
      </w:r>
      <w:bookmarkEnd w:id="12"/>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154D8520">
      <w:pPr>
        <w:rPr>
          <w:rFonts w:cstheme="minorHAnsi"/>
        </w:rPr>
      </w:pPr>
      <w:r w:rsidRPr="00DF742A">
        <w:rPr>
          <w:rFonts w:cstheme="minorHAnsi"/>
        </w:rPr>
        <w:t xml:space="preserve">Burden is minimized for all respondents by keeping questionnaires as short as possible, limiting responses to available information, giving respondents the option of completing an online version of the questionnaire, conducting follow-up for nonresponse and data clarification by telephone, and </w:t>
      </w:r>
      <w:r w:rsidR="00806E15">
        <w:rPr>
          <w:rFonts w:cstheme="minorHAnsi"/>
        </w:rPr>
        <w:t>providing the option</w:t>
      </w:r>
      <w:r w:rsidR="00A07567">
        <w:rPr>
          <w:rFonts w:cstheme="minorHAnsi"/>
        </w:rPr>
        <w:t>,</w:t>
      </w:r>
      <w:r w:rsidR="00806E15">
        <w:rPr>
          <w:rFonts w:cstheme="minorHAnsi"/>
        </w:rPr>
        <w:t xml:space="preserve"> </w:t>
      </w:r>
      <w:r w:rsidRPr="00DF742A" w:rsidR="00A07567">
        <w:rPr>
          <w:rFonts w:cstheme="minorHAnsi"/>
        </w:rPr>
        <w:t>whenever possible</w:t>
      </w:r>
      <w:r w:rsidR="00A07567">
        <w:rPr>
          <w:rFonts w:cstheme="minorHAnsi"/>
        </w:rPr>
        <w:t>, for respondents to</w:t>
      </w:r>
      <w:r w:rsidRPr="00DF742A">
        <w:rPr>
          <w:rFonts w:cstheme="minorHAnsi"/>
        </w:rPr>
        <w:t xml:space="preserve"> </w:t>
      </w:r>
      <w:r w:rsidR="00787B44">
        <w:rPr>
          <w:rFonts w:cstheme="minorHAnsi"/>
        </w:rPr>
        <w:t xml:space="preserve">optional </w:t>
      </w:r>
      <w:r w:rsidRPr="00DF742A">
        <w:rPr>
          <w:rFonts w:cstheme="minorHAnsi"/>
        </w:rPr>
        <w:t>paper versions of the</w:t>
      </w:r>
      <w:r w:rsidR="00C57946">
        <w:rPr>
          <w:rFonts w:cstheme="minorHAnsi"/>
        </w:rPr>
        <w:t>ir</w:t>
      </w:r>
      <w:r w:rsidRPr="00DF742A">
        <w:rPr>
          <w:rFonts w:cstheme="minorHAnsi"/>
        </w:rPr>
        <w:t xml:space="preserve"> questionnaire</w:t>
      </w:r>
      <w:r w:rsidR="00C57946">
        <w:rPr>
          <w:rFonts w:cstheme="minorHAnsi"/>
        </w:rPr>
        <w:t>s.</w:t>
      </w:r>
    </w:p>
    <w:p w:rsidR="004252C1" w:rsidRPr="00E3122D" w:rsidP="4BDBF0A0" w14:paraId="1FF5A778" w14:textId="542AAF10">
      <w:pPr>
        <w:pStyle w:val="ListParagraph"/>
        <w:numPr>
          <w:ilvl w:val="0"/>
          <w:numId w:val="25"/>
        </w:numPr>
        <w:pBdr>
          <w:bottom w:val="single" w:sz="4" w:space="1" w:color="auto"/>
        </w:pBdr>
        <w:spacing w:before="240" w:after="0"/>
        <w:rPr>
          <w:b/>
          <w:bCs/>
        </w:rPr>
      </w:pPr>
      <w:bookmarkStart w:id="13" w:name="_Toc156593373"/>
      <w:r w:rsidRPr="4BDBF0A0">
        <w:rPr>
          <w:b/>
          <w:bCs/>
        </w:rPr>
        <w:t>CONSEQUENCES</w:t>
      </w:r>
      <w:r w:rsidRPr="4BDBF0A0" w:rsidR="00061A77">
        <w:rPr>
          <w:b/>
          <w:bCs/>
        </w:rPr>
        <w:t xml:space="preserve"> OF LESS FREQUENT COLLECTION</w:t>
      </w:r>
      <w:bookmarkEnd w:id="13"/>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5AEC21B7">
      <w:pPr>
        <w:pBdr>
          <w:top w:val="single" w:sz="6" w:space="0" w:color="FFFFFF"/>
          <w:left w:val="single" w:sz="6" w:space="0" w:color="FFFFFF"/>
          <w:bottom w:val="single" w:sz="6" w:space="0" w:color="FFFFFF"/>
          <w:right w:val="single" w:sz="6" w:space="0" w:color="FFFFFF"/>
        </w:pBdr>
        <w:rPr>
          <w:rFonts w:cstheme="minorHAnsi"/>
          <w:color w:val="000000"/>
        </w:rPr>
      </w:pPr>
      <w:r w:rsidRPr="00437513">
        <w:rPr>
          <w:rFonts w:cstheme="minorHAnsi"/>
        </w:rPr>
        <w:t>Without the consistent and timely collection of these data, ORCR w</w:t>
      </w:r>
      <w:r w:rsidR="0096116D">
        <w:rPr>
          <w:rFonts w:cstheme="minorHAnsi"/>
        </w:rPr>
        <w:t>ould</w:t>
      </w:r>
      <w:r w:rsidRPr="00437513">
        <w:rPr>
          <w:rFonts w:cstheme="minorHAnsi"/>
        </w:rPr>
        <w:t xml:space="preserve"> be unable to fulfill reporting requirements and responsibilities under SOS 2.0, IIJA, and RCRA. </w:t>
      </w:r>
      <w:r w:rsidR="00930533">
        <w:rPr>
          <w:rFonts w:cstheme="minorHAnsi"/>
        </w:rPr>
        <w:t>Furthermore</w:t>
      </w:r>
      <w:r w:rsidR="00CD66E6">
        <w:rPr>
          <w:rFonts w:cstheme="minorHAnsi"/>
        </w:rPr>
        <w:t>,</w:t>
      </w:r>
      <w:r w:rsidRPr="00437513">
        <w:rPr>
          <w:rFonts w:cstheme="minorHAnsi"/>
        </w:rPr>
        <w:t xml:space="preserve"> burden </w:t>
      </w:r>
      <w:r w:rsidR="000A79FC">
        <w:rPr>
          <w:rFonts w:cstheme="minorHAnsi"/>
        </w:rPr>
        <w:t xml:space="preserve">will </w:t>
      </w:r>
      <w:r w:rsidRPr="00437513">
        <w:rPr>
          <w:rFonts w:cstheme="minorHAnsi"/>
        </w:rPr>
        <w:t xml:space="preserve">be greater for both the grantees and EPA staff as information would </w:t>
      </w:r>
      <w:r w:rsidR="0052094F">
        <w:rPr>
          <w:rFonts w:cstheme="minorHAnsi"/>
        </w:rPr>
        <w:t xml:space="preserve">have to be submitted and processed without the </w:t>
      </w:r>
      <w:r w:rsidR="00E70098">
        <w:rPr>
          <w:rFonts w:cstheme="minorHAnsi"/>
        </w:rPr>
        <w:t>efficiencies t</w:t>
      </w:r>
      <w:r w:rsidR="00DD3653">
        <w:rPr>
          <w:rFonts w:cstheme="minorHAnsi"/>
        </w:rPr>
        <w:t xml:space="preserve">hat will be created through </w:t>
      </w:r>
      <w:r w:rsidR="00CD66E6">
        <w:rPr>
          <w:rFonts w:cstheme="minorHAnsi"/>
        </w:rPr>
        <w:t xml:space="preserve">the </w:t>
      </w:r>
      <w:r w:rsidR="00DD3653">
        <w:rPr>
          <w:rFonts w:cstheme="minorHAnsi"/>
        </w:rPr>
        <w:t xml:space="preserve">use of </w:t>
      </w:r>
      <w:r w:rsidRPr="00437513">
        <w:rPr>
          <w:rFonts w:cstheme="minorHAnsi"/>
        </w:rPr>
        <w:t xml:space="preserve">a knowledge management system. </w:t>
      </w:r>
      <w:r w:rsidR="00DD3653">
        <w:rPr>
          <w:rFonts w:cstheme="minorHAnsi"/>
        </w:rPr>
        <w:t>Finally</w:t>
      </w:r>
      <w:r w:rsidR="00CD66E6">
        <w:rPr>
          <w:rFonts w:cstheme="minorHAnsi"/>
        </w:rPr>
        <w:t xml:space="preserve">, </w:t>
      </w:r>
      <w:r w:rsidR="0099274A">
        <w:rPr>
          <w:rFonts w:cstheme="minorHAnsi"/>
        </w:rPr>
        <w:t>RCSD</w:t>
      </w:r>
      <w:r w:rsidRPr="00437513" w:rsidR="0099274A">
        <w:rPr>
          <w:rFonts w:cstheme="minorHAnsi"/>
        </w:rPr>
        <w:t xml:space="preserve"> </w:t>
      </w:r>
      <w:r w:rsidRPr="00437513">
        <w:rPr>
          <w:rFonts w:cstheme="minorHAnsi"/>
        </w:rPr>
        <w:t xml:space="preserve">would continue to </w:t>
      </w:r>
      <w:r w:rsidR="00CD66E6">
        <w:rPr>
          <w:rFonts w:cstheme="minorHAnsi"/>
        </w:rPr>
        <w:t xml:space="preserve">be forced to </w:t>
      </w:r>
      <w:r w:rsidRPr="00437513">
        <w:rPr>
          <w:rFonts w:cstheme="minorHAnsi"/>
        </w:rPr>
        <w:t xml:space="preserve">rely on waste generation and recycling data sets that are </w:t>
      </w:r>
      <w:r w:rsidRPr="00437513" w:rsidR="00005A06">
        <w:rPr>
          <w:rFonts w:cstheme="minorHAnsi"/>
        </w:rPr>
        <w:t>outdated</w:t>
      </w:r>
      <w:r w:rsidR="00005A06">
        <w:rPr>
          <w:rFonts w:cstheme="minorHAnsi"/>
        </w:rPr>
        <w:t xml:space="preserve">, </w:t>
      </w:r>
      <w:r w:rsidRPr="00437513">
        <w:rPr>
          <w:rFonts w:cstheme="minorHAnsi"/>
        </w:rPr>
        <w:t>not comprehensive, and incomplete.</w:t>
      </w:r>
    </w:p>
    <w:p w:rsidR="00A233E0" w:rsidRPr="00E3122D" w:rsidP="00854AAE" w14:paraId="27596CC0" w14:textId="784E86C5">
      <w:pPr>
        <w:pStyle w:val="ListParagraph"/>
        <w:numPr>
          <w:ilvl w:val="0"/>
          <w:numId w:val="25"/>
        </w:numPr>
        <w:pBdr>
          <w:bottom w:val="single" w:sz="4" w:space="1" w:color="auto"/>
        </w:pBdr>
        <w:spacing w:before="240" w:after="0"/>
        <w:rPr>
          <w:rFonts w:cstheme="minorHAnsi"/>
          <w:b/>
          <w:bCs/>
        </w:rPr>
      </w:pPr>
      <w:bookmarkStart w:id="14" w:name="_Toc156593374"/>
      <w:r w:rsidRPr="00E3122D">
        <w:rPr>
          <w:rFonts w:cstheme="minorHAnsi"/>
          <w:b/>
          <w:bCs/>
        </w:rPr>
        <w:t>GENERAL GUIDELINES</w:t>
      </w:r>
      <w:bookmarkEnd w:id="14"/>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111663" w:rsidRPr="00BB3410" w:rsidP="00854AAE" w14:paraId="775EDF16" w14:textId="49D5F2FA">
      <w:pPr>
        <w:pBdr>
          <w:top w:val="single" w:sz="6" w:space="0" w:color="FFFFFF"/>
          <w:left w:val="single" w:sz="6" w:space="0" w:color="FFFFFF"/>
          <w:bottom w:val="single" w:sz="6" w:space="0" w:color="FFFFFF"/>
          <w:right w:val="single" w:sz="6" w:space="0" w:color="FFFFFF"/>
        </w:pBdr>
        <w:rPr>
          <w:rFonts w:cstheme="minorHAnsi"/>
          <w:color w:val="000000"/>
        </w:rPr>
      </w:pPr>
      <w:r w:rsidRPr="00DF742A">
        <w:rPr>
          <w:rFonts w:cstheme="minorHAnsi"/>
          <w:color w:val="000000"/>
        </w:rPr>
        <w:t>The information collection is consistent with the guidelines set forth in 5 CFR 1320</w:t>
      </w:r>
      <w:r w:rsidR="00787B44">
        <w:rPr>
          <w:rFonts w:cstheme="minorHAnsi"/>
          <w:color w:val="000000"/>
        </w:rPr>
        <w:t>(d)(2)</w:t>
      </w:r>
      <w:r w:rsidRPr="00DF742A">
        <w:rPr>
          <w:rFonts w:cstheme="minorHAnsi"/>
          <w:color w:val="000000"/>
        </w:rPr>
        <w:t xml:space="preserve"> of the Paperwork Reduction Act Guidelines.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5" w:name="_Toc156593375"/>
      <w:r w:rsidRPr="00E3122D">
        <w:rPr>
          <w:rFonts w:cstheme="minorHAnsi"/>
          <w:b/>
          <w:bCs/>
        </w:rPr>
        <w:t>PUBLIC COMMENT AND CONSULTATIONS</w:t>
      </w:r>
      <w:bookmarkStart w:id="16" w:name="_Toc156593376"/>
      <w:bookmarkEnd w:id="15"/>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7" w:name="_Toc156593377"/>
      <w:bookmarkEnd w:id="16"/>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71595B63">
      <w:pPr>
        <w:pBdr>
          <w:top w:val="single" w:sz="6" w:space="0" w:color="FFFFFF"/>
          <w:left w:val="single" w:sz="6" w:space="0" w:color="FFFFFF"/>
          <w:bottom w:val="single" w:sz="6" w:space="0" w:color="FFFFFF"/>
          <w:right w:val="single" w:sz="6" w:space="0" w:color="FFFFFF"/>
        </w:pBdr>
        <w:rPr>
          <w:rFonts w:cstheme="minorHAnsi"/>
          <w:color w:val="000000"/>
        </w:rPr>
      </w:pPr>
      <w:r w:rsidRPr="00EC516A">
        <w:rPr>
          <w:rFonts w:cstheme="minorHAnsi"/>
          <w:color w:val="000000"/>
        </w:rPr>
        <w:t xml:space="preserve">An initial public notice was published </w:t>
      </w:r>
      <w:r>
        <w:rPr>
          <w:rFonts w:cstheme="minorHAnsi"/>
          <w:color w:val="000000"/>
        </w:rPr>
        <w:t xml:space="preserve">in the </w:t>
      </w:r>
      <w:r w:rsidRPr="00AC147F" w:rsidR="005F2EAE">
        <w:rPr>
          <w:rFonts w:cstheme="minorHAnsi"/>
          <w:i/>
          <w:iCs/>
          <w:color w:val="000000"/>
        </w:rPr>
        <w:t>Federal Register</w:t>
      </w:r>
      <w:r w:rsidR="005F2EAE">
        <w:rPr>
          <w:rFonts w:cstheme="minorHAnsi"/>
          <w:color w:val="000000"/>
        </w:rPr>
        <w:t xml:space="preserve"> (</w:t>
      </w:r>
      <w:r w:rsidRPr="003D21D1" w:rsidR="003D21D1">
        <w:rPr>
          <w:rFonts w:cstheme="minorHAnsi"/>
          <w:color w:val="000000"/>
        </w:rPr>
        <w:t>88 FR 67277</w:t>
      </w:r>
      <w:r w:rsidR="005F2EAE">
        <w:rPr>
          <w:rFonts w:cstheme="minorHAnsi"/>
          <w:color w:val="000000"/>
        </w:rPr>
        <w:t xml:space="preserve">) </w:t>
      </w:r>
      <w:r w:rsidR="00835D03">
        <w:rPr>
          <w:rFonts w:cstheme="minorHAnsi"/>
          <w:color w:val="000000"/>
        </w:rPr>
        <w:t xml:space="preserve">on </w:t>
      </w:r>
      <w:r w:rsidRPr="003D21D1">
        <w:rPr>
          <w:rFonts w:cstheme="minorHAnsi"/>
          <w:color w:val="000000"/>
        </w:rPr>
        <w:t>September 2</w:t>
      </w:r>
      <w:r w:rsidRPr="003D21D1" w:rsidR="003D21D1">
        <w:rPr>
          <w:rFonts w:cstheme="minorHAnsi"/>
          <w:color w:val="000000"/>
        </w:rPr>
        <w:t>9</w:t>
      </w:r>
      <w:r w:rsidRPr="003D21D1">
        <w:rPr>
          <w:rFonts w:cstheme="minorHAnsi"/>
          <w:color w:val="000000"/>
        </w:rPr>
        <w:t xml:space="preserve">, 2023, announcing that EPA was taking comments on this collection for </w:t>
      </w:r>
      <w:r w:rsidRPr="003D21D1" w:rsidR="005F2EAE">
        <w:rPr>
          <w:rFonts w:cstheme="minorHAnsi"/>
          <w:color w:val="000000"/>
        </w:rPr>
        <w:t>60</w:t>
      </w:r>
      <w:r w:rsidRPr="003D21D1">
        <w:rPr>
          <w:rFonts w:cstheme="minorHAnsi"/>
          <w:color w:val="000000"/>
        </w:rPr>
        <w:t xml:space="preserve"> days. </w:t>
      </w:r>
      <w:r w:rsidRPr="003D21D1" w:rsidR="003D21D1">
        <w:rPr>
          <w:rFonts w:cstheme="minorHAnsi"/>
          <w:color w:val="000000"/>
        </w:rPr>
        <w:t>No</w:t>
      </w:r>
      <w:r w:rsidRPr="003D21D1">
        <w:rPr>
          <w:rFonts w:cstheme="minorHAnsi"/>
          <w:color w:val="000000"/>
        </w:rPr>
        <w:t xml:space="preserve"> comment</w:t>
      </w:r>
      <w:r w:rsidRPr="003D21D1" w:rsidR="003D21D1">
        <w:rPr>
          <w:rFonts w:cstheme="minorHAnsi"/>
          <w:color w:val="000000"/>
        </w:rPr>
        <w:t>s</w:t>
      </w:r>
      <w:r w:rsidRPr="003D21D1">
        <w:rPr>
          <w:rFonts w:cstheme="minorHAnsi"/>
          <w:color w:val="000000"/>
        </w:rPr>
        <w:t xml:space="preserve"> </w:t>
      </w:r>
      <w:r w:rsidRPr="003D21D1" w:rsidR="003D21D1">
        <w:rPr>
          <w:rFonts w:cstheme="minorHAnsi"/>
          <w:color w:val="000000"/>
        </w:rPr>
        <w:t>were</w:t>
      </w:r>
      <w:r w:rsidRPr="003D21D1">
        <w:rPr>
          <w:rFonts w:cstheme="minorHAnsi"/>
          <w:color w:val="000000"/>
        </w:rPr>
        <w:t xml:space="preserve"> received in response to the notice</w:t>
      </w:r>
      <w:r w:rsidRPr="003D21D1" w:rsidR="003D21D1">
        <w:rPr>
          <w:rFonts w:cstheme="minorHAnsi"/>
          <w:color w:val="000000"/>
        </w:rPr>
        <w:t xml:space="preserve">.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7"/>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F2EAE" w:rsidRPr="00BA03A5" w:rsidP="005F2EAE" w14:paraId="3E66500E" w14:textId="53D05746">
      <w:pPr>
        <w:rPr>
          <w:rFonts w:cstheme="minorHAnsi"/>
        </w:rPr>
      </w:pPr>
      <w:r w:rsidRPr="003D21D1">
        <w:rPr>
          <w:rFonts w:cstheme="minorHAnsi"/>
        </w:rPr>
        <w:t xml:space="preserve">Administering assistance agreements </w:t>
      </w:r>
      <w:r w:rsidR="001B1685">
        <w:rPr>
          <w:rFonts w:cstheme="minorHAnsi"/>
        </w:rPr>
        <w:t>involves</w:t>
      </w:r>
      <w:r w:rsidRPr="003D21D1" w:rsidR="001B1685">
        <w:rPr>
          <w:rFonts w:cstheme="minorHAnsi"/>
        </w:rPr>
        <w:t xml:space="preserve"> </w:t>
      </w:r>
      <w:r w:rsidRPr="003D21D1">
        <w:rPr>
          <w:rFonts w:cstheme="minorHAnsi"/>
        </w:rPr>
        <w:t>con</w:t>
      </w:r>
      <w:r w:rsidR="00376A43">
        <w:rPr>
          <w:rFonts w:cstheme="minorHAnsi"/>
        </w:rPr>
        <w:t>tinual</w:t>
      </w:r>
      <w:r w:rsidR="004D2A63">
        <w:rPr>
          <w:rFonts w:cstheme="minorHAnsi"/>
        </w:rPr>
        <w:t xml:space="preserve"> </w:t>
      </w:r>
      <w:r w:rsidR="00E02670">
        <w:rPr>
          <w:rFonts w:cstheme="minorHAnsi"/>
        </w:rPr>
        <w:t xml:space="preserve">communication </w:t>
      </w:r>
      <w:r w:rsidR="00FF5D75">
        <w:rPr>
          <w:rFonts w:cstheme="minorHAnsi"/>
        </w:rPr>
        <w:t xml:space="preserve">(in such forms as </w:t>
      </w:r>
      <w:r w:rsidRPr="003D21D1" w:rsidR="00FF5D75">
        <w:rPr>
          <w:rFonts w:cstheme="minorHAnsi"/>
        </w:rPr>
        <w:t xml:space="preserve">written correspondence, telephone calls, and in-person </w:t>
      </w:r>
      <w:r w:rsidRPr="00BA03A5" w:rsidR="00FF5D75">
        <w:rPr>
          <w:rFonts w:cstheme="minorHAnsi"/>
        </w:rPr>
        <w:t>meetings</w:t>
      </w:r>
      <w:r w:rsidR="00FF5D75">
        <w:rPr>
          <w:rFonts w:cstheme="minorHAnsi"/>
        </w:rPr>
        <w:t xml:space="preserve">) </w:t>
      </w:r>
      <w:r w:rsidR="00E02670">
        <w:rPr>
          <w:rFonts w:cstheme="minorHAnsi"/>
        </w:rPr>
        <w:t xml:space="preserve">between </w:t>
      </w:r>
      <w:r w:rsidR="00FF5D75">
        <w:rPr>
          <w:rFonts w:cstheme="minorHAnsi"/>
        </w:rPr>
        <w:t xml:space="preserve">representatives of </w:t>
      </w:r>
      <w:r w:rsidR="00E02670">
        <w:rPr>
          <w:rFonts w:cstheme="minorHAnsi"/>
        </w:rPr>
        <w:t xml:space="preserve">the Agency and grant </w:t>
      </w:r>
      <w:r w:rsidRPr="003D21D1">
        <w:rPr>
          <w:rFonts w:cstheme="minorHAnsi"/>
        </w:rPr>
        <w:t>recipient</w:t>
      </w:r>
      <w:r w:rsidR="00E02670">
        <w:rPr>
          <w:rFonts w:cstheme="minorHAnsi"/>
        </w:rPr>
        <w:t xml:space="preserve">s. </w:t>
      </w:r>
      <w:r w:rsidRPr="003D21D1">
        <w:rPr>
          <w:rFonts w:cstheme="minorHAnsi"/>
        </w:rPr>
        <w:t xml:space="preserve"> </w:t>
      </w:r>
      <w:r w:rsidRPr="00BA03A5" w:rsidR="00315197">
        <w:rPr>
          <w:rFonts w:cstheme="minorHAnsi"/>
        </w:rPr>
        <w:t>T</w:t>
      </w:r>
      <w:r w:rsidRPr="00BA03A5" w:rsidR="004D2347">
        <w:rPr>
          <w:rFonts w:cstheme="minorHAnsi"/>
        </w:rPr>
        <w:t xml:space="preserve">hese </w:t>
      </w:r>
      <w:r w:rsidRPr="00BA03A5" w:rsidR="00315197">
        <w:rPr>
          <w:rFonts w:cstheme="minorHAnsi"/>
        </w:rPr>
        <w:t xml:space="preserve">interactions have </w:t>
      </w:r>
      <w:r w:rsidR="00DD1A7E">
        <w:rPr>
          <w:rFonts w:cstheme="minorHAnsi"/>
        </w:rPr>
        <w:t xml:space="preserve">already </w:t>
      </w:r>
      <w:r w:rsidRPr="00BA03A5" w:rsidR="00315197">
        <w:rPr>
          <w:rFonts w:cstheme="minorHAnsi"/>
        </w:rPr>
        <w:t xml:space="preserve">been a </w:t>
      </w:r>
      <w:r w:rsidR="008A6A1C">
        <w:rPr>
          <w:rFonts w:cstheme="minorHAnsi"/>
        </w:rPr>
        <w:t xml:space="preserve">significant </w:t>
      </w:r>
      <w:r w:rsidR="00DC3B4C">
        <w:rPr>
          <w:rFonts w:cstheme="minorHAnsi"/>
        </w:rPr>
        <w:t xml:space="preserve">and </w:t>
      </w:r>
      <w:r w:rsidRPr="00BA03A5" w:rsidR="00315197">
        <w:rPr>
          <w:rFonts w:cstheme="minorHAnsi"/>
        </w:rPr>
        <w:t xml:space="preserve">valuable </w:t>
      </w:r>
      <w:r w:rsidR="00DC3B4C">
        <w:rPr>
          <w:rFonts w:cstheme="minorHAnsi"/>
        </w:rPr>
        <w:t xml:space="preserve">pathway for </w:t>
      </w:r>
      <w:r w:rsidRPr="00BA03A5" w:rsidR="00315197">
        <w:rPr>
          <w:rFonts w:cstheme="minorHAnsi"/>
        </w:rPr>
        <w:t xml:space="preserve">IIJA-funded grant recipients </w:t>
      </w:r>
      <w:r w:rsidR="000724D0">
        <w:rPr>
          <w:rFonts w:cstheme="minorHAnsi"/>
        </w:rPr>
        <w:t xml:space="preserve">to make EPA aware </w:t>
      </w:r>
      <w:r w:rsidR="00F31464">
        <w:rPr>
          <w:rFonts w:cstheme="minorHAnsi"/>
        </w:rPr>
        <w:t xml:space="preserve">of </w:t>
      </w:r>
      <w:r w:rsidRPr="00BA03A5" w:rsidR="00315197">
        <w:rPr>
          <w:rFonts w:cstheme="minorHAnsi"/>
        </w:rPr>
        <w:t>th</w:t>
      </w:r>
      <w:r w:rsidRPr="00BA03A5" w:rsidR="00061BDF">
        <w:rPr>
          <w:rFonts w:cstheme="minorHAnsi"/>
        </w:rPr>
        <w:t xml:space="preserve">eir needs and concerns with respect to </w:t>
      </w:r>
      <w:r w:rsidRPr="00BA03A5" w:rsidR="00612A2B">
        <w:rPr>
          <w:rFonts w:cstheme="minorHAnsi"/>
        </w:rPr>
        <w:t xml:space="preserve">this </w:t>
      </w:r>
      <w:r w:rsidR="0066084A">
        <w:rPr>
          <w:rFonts w:cstheme="minorHAnsi"/>
        </w:rPr>
        <w:t xml:space="preserve">proposed </w:t>
      </w:r>
      <w:r w:rsidRPr="00BA03A5" w:rsidR="00061BDF">
        <w:rPr>
          <w:rFonts w:cstheme="minorHAnsi"/>
        </w:rPr>
        <w:t>information collection</w:t>
      </w:r>
      <w:r w:rsidRPr="00BA03A5" w:rsidR="00612A2B">
        <w:rPr>
          <w:rFonts w:cstheme="minorHAnsi"/>
        </w:rPr>
        <w:t xml:space="preserve">. </w:t>
      </w:r>
      <w:r w:rsidRPr="00BA03A5" w:rsidR="00667C0D">
        <w:rPr>
          <w:rFonts w:cstheme="minorHAnsi"/>
        </w:rPr>
        <w:t xml:space="preserve">They have also been </w:t>
      </w:r>
      <w:r w:rsidRPr="00BA03A5">
        <w:rPr>
          <w:rFonts w:cstheme="minorHAnsi"/>
        </w:rPr>
        <w:t xml:space="preserve">particularly useful in </w:t>
      </w:r>
      <w:r w:rsidRPr="00BA03A5" w:rsidR="00A87342">
        <w:rPr>
          <w:rFonts w:cstheme="minorHAnsi"/>
        </w:rPr>
        <w:t xml:space="preserve">helping EPA </w:t>
      </w:r>
      <w:r w:rsidRPr="00BA03A5">
        <w:rPr>
          <w:rFonts w:cstheme="minorHAnsi"/>
        </w:rPr>
        <w:t xml:space="preserve">develop </w:t>
      </w:r>
      <w:r w:rsidRPr="00BA03A5" w:rsidR="00A87342">
        <w:rPr>
          <w:rFonts w:cstheme="minorHAnsi"/>
        </w:rPr>
        <w:t xml:space="preserve">its </w:t>
      </w:r>
      <w:r w:rsidRPr="00BA03A5">
        <w:rPr>
          <w:rFonts w:cstheme="minorHAnsi"/>
        </w:rPr>
        <w:t xml:space="preserve">burden estimates. </w:t>
      </w:r>
    </w:p>
    <w:p w:rsidR="005F2EAE" w:rsidRPr="00F049AE" w:rsidP="005F2EAE" w14:paraId="0CC4960C" w14:textId="133DA103">
      <w:r>
        <w:rPr>
          <w:rFonts w:cstheme="minorHAnsi"/>
        </w:rPr>
        <w:t>I</w:t>
      </w:r>
      <w:r w:rsidRPr="00BA03A5" w:rsidR="00315197">
        <w:rPr>
          <w:rFonts w:cstheme="minorHAnsi"/>
        </w:rPr>
        <w:t xml:space="preserve">n 2022, </w:t>
      </w:r>
      <w:r w:rsidRPr="00BA03A5" w:rsidR="00F049AE">
        <w:rPr>
          <w:rFonts w:cstheme="minorHAnsi"/>
        </w:rPr>
        <w:t xml:space="preserve">EPA was directed by Congress (H.R. 116-448) to </w:t>
      </w:r>
      <w:r w:rsidRPr="00BA03A5" w:rsidR="00315197">
        <w:rPr>
          <w:rFonts w:cstheme="minorHAnsi"/>
        </w:rPr>
        <w:t xml:space="preserve">submit </w:t>
      </w:r>
      <w:r w:rsidRPr="00BA03A5" w:rsidR="00F049AE">
        <w:rPr>
          <w:rFonts w:cstheme="minorHAnsi"/>
        </w:rPr>
        <w:t xml:space="preserve">an Emergency Information Collection Request </w:t>
      </w:r>
      <w:r w:rsidRPr="00BA03A5" w:rsidR="00315197">
        <w:rPr>
          <w:rFonts w:cstheme="minorHAnsi"/>
        </w:rPr>
        <w:t>to OMB</w:t>
      </w:r>
      <w:r>
        <w:rPr>
          <w:rFonts w:cstheme="minorHAnsi"/>
        </w:rPr>
        <w:t xml:space="preserve"> </w:t>
      </w:r>
      <w:r w:rsidRPr="00BA03A5" w:rsidR="00F049AE">
        <w:rPr>
          <w:rFonts w:cstheme="minorHAnsi"/>
        </w:rPr>
        <w:t>(</w:t>
      </w:r>
      <w:r w:rsidRPr="00BA03A5" w:rsidR="00F049AE">
        <w:t>OMB Control No. 2050-0225</w:t>
      </w:r>
      <w:r w:rsidRPr="00BA03A5" w:rsidR="00F049AE">
        <w:rPr>
          <w:rFonts w:cstheme="minorHAnsi"/>
        </w:rPr>
        <w:t>)</w:t>
      </w:r>
      <w:r w:rsidRPr="00BA03A5" w:rsidR="00315197">
        <w:rPr>
          <w:rFonts w:cstheme="minorHAnsi"/>
        </w:rPr>
        <w:t xml:space="preserve"> in order to allow the Agency to collect data on curbside recycling</w:t>
      </w:r>
      <w:r w:rsidRPr="00BA03A5" w:rsidR="00F049AE">
        <w:rPr>
          <w:rFonts w:cstheme="minorHAnsi"/>
        </w:rPr>
        <w:t xml:space="preserve">. </w:t>
      </w:r>
      <w:r w:rsidRPr="00BA03A5" w:rsidR="00315197">
        <w:rPr>
          <w:rFonts w:cstheme="minorHAnsi"/>
        </w:rPr>
        <w:t>Specifically,</w:t>
      </w:r>
      <w:r w:rsidRPr="00BA03A5" w:rsidR="00F049AE">
        <w:rPr>
          <w:rFonts w:cstheme="minorHAnsi"/>
        </w:rPr>
        <w:t xml:space="preserve"> the Agency </w:t>
      </w:r>
      <w:r w:rsidRPr="00BA03A5" w:rsidR="00315197">
        <w:rPr>
          <w:rFonts w:cstheme="minorHAnsi"/>
        </w:rPr>
        <w:t xml:space="preserve">was directed </w:t>
      </w:r>
      <w:r w:rsidRPr="00BA03A5" w:rsidR="00F049AE">
        <w:rPr>
          <w:rFonts w:cstheme="minorHAnsi"/>
        </w:rPr>
        <w:t xml:space="preserve">to “begin a comprehensive data collection effort to </w:t>
      </w:r>
      <w:r w:rsidRPr="00BA03A5" w:rsidR="00F049AE">
        <w:rPr>
          <w:rFonts w:cstheme="minorHAnsi"/>
        </w:rPr>
        <w:t>strengthen residential recycling and accelerate the move towards a circular economy</w:t>
      </w:r>
      <w:r w:rsidRPr="00BA03A5" w:rsidR="00315197">
        <w:rPr>
          <w:rFonts w:cstheme="minorHAnsi"/>
        </w:rPr>
        <w:t>.</w:t>
      </w:r>
      <w:r w:rsidRPr="00BA03A5" w:rsidR="00F049AE">
        <w:rPr>
          <w:rFonts w:cstheme="minorHAnsi"/>
        </w:rPr>
        <w:t>”</w:t>
      </w:r>
      <w:r w:rsidR="004D2A63">
        <w:rPr>
          <w:rFonts w:cstheme="minorHAnsi"/>
        </w:rPr>
        <w:t xml:space="preserve"> </w:t>
      </w:r>
      <w:r w:rsidRPr="00BA03A5" w:rsidR="00C6358A">
        <w:rPr>
          <w:rFonts w:cstheme="minorHAnsi"/>
        </w:rPr>
        <w:t xml:space="preserve">This collection proved to be a </w:t>
      </w:r>
      <w:r w:rsidRPr="00BA03A5" w:rsidR="00E278D5">
        <w:rPr>
          <w:rFonts w:cstheme="minorHAnsi"/>
        </w:rPr>
        <w:t xml:space="preserve">good </w:t>
      </w:r>
      <w:r w:rsidRPr="00BA03A5" w:rsidR="00003EE3">
        <w:rPr>
          <w:rFonts w:cstheme="minorHAnsi"/>
        </w:rPr>
        <w:t>source</w:t>
      </w:r>
      <w:r w:rsidRPr="00BA03A5" w:rsidR="00C6358A">
        <w:rPr>
          <w:rFonts w:cstheme="minorHAnsi"/>
        </w:rPr>
        <w:t xml:space="preserve"> of </w:t>
      </w:r>
      <w:r w:rsidR="00E519DF">
        <w:rPr>
          <w:rFonts w:cstheme="minorHAnsi"/>
        </w:rPr>
        <w:t xml:space="preserve">both </w:t>
      </w:r>
      <w:r w:rsidRPr="00BA03A5" w:rsidR="00C6358A">
        <w:rPr>
          <w:rFonts w:cstheme="minorHAnsi"/>
        </w:rPr>
        <w:t xml:space="preserve">lessons </w:t>
      </w:r>
      <w:r w:rsidRPr="00BA03A5" w:rsidR="00003EE3">
        <w:rPr>
          <w:rFonts w:cstheme="minorHAnsi"/>
        </w:rPr>
        <w:t>learned</w:t>
      </w:r>
      <w:r w:rsidRPr="00BA03A5" w:rsidR="00C6358A">
        <w:rPr>
          <w:rFonts w:cstheme="minorHAnsi"/>
        </w:rPr>
        <w:t xml:space="preserve"> </w:t>
      </w:r>
      <w:r w:rsidR="003648C7">
        <w:rPr>
          <w:rFonts w:cstheme="minorHAnsi"/>
        </w:rPr>
        <w:t>and</w:t>
      </w:r>
      <w:r w:rsidRPr="00BA03A5" w:rsidR="00E278D5">
        <w:rPr>
          <w:rFonts w:cstheme="minorHAnsi"/>
        </w:rPr>
        <w:t xml:space="preserve"> connections with </w:t>
      </w:r>
      <w:r w:rsidRPr="00BA03A5" w:rsidR="00003EE3">
        <w:rPr>
          <w:rFonts w:cstheme="minorHAnsi"/>
        </w:rPr>
        <w:t xml:space="preserve">organizations such as </w:t>
      </w:r>
      <w:r w:rsidRPr="00BA03A5" w:rsidR="00F049AE">
        <w:rPr>
          <w:rFonts w:cstheme="minorHAnsi"/>
        </w:rPr>
        <w:t>the Association of State and Territorial Solid Waste Management Officials (ASTSWMO), the Northeast Waste Management Officials Association (NEWMOA), the Environmental Research &amp; Education Foundation (EREF), and The Recycling Partnership (TRP)</w:t>
      </w:r>
      <w:r w:rsidRPr="00BA03A5" w:rsidR="00003EE3">
        <w:rPr>
          <w:rFonts w:cstheme="minorHAnsi"/>
        </w:rPr>
        <w:t xml:space="preserve"> </w:t>
      </w:r>
      <w:r w:rsidRPr="00BA03A5" w:rsidR="000F45D2">
        <w:rPr>
          <w:rFonts w:cstheme="minorHAnsi"/>
        </w:rPr>
        <w:t xml:space="preserve">who </w:t>
      </w:r>
      <w:r w:rsidRPr="00BA03A5" w:rsidR="00003EE3">
        <w:rPr>
          <w:rFonts w:cstheme="minorHAnsi"/>
        </w:rPr>
        <w:t>were con</w:t>
      </w:r>
      <w:r w:rsidRPr="00BA03A5" w:rsidR="000F45D2">
        <w:rPr>
          <w:rFonts w:cstheme="minorHAnsi"/>
        </w:rPr>
        <w:t>sulted to inform the current request</w:t>
      </w:r>
      <w:r w:rsidR="0029179D">
        <w:rPr>
          <w:rFonts w:cstheme="minorHAnsi"/>
        </w:rPr>
        <w:t>.</w:t>
      </w:r>
      <w:r w:rsidRPr="00F049AE" w:rsidR="00F049AE">
        <w:rPr>
          <w:rFonts w:cstheme="minorHAnsi"/>
        </w:rPr>
        <w:t xml:space="preserve"> </w:t>
      </w:r>
    </w:p>
    <w:p w:rsidR="005F2EAE" w:rsidRPr="005F2EAE" w:rsidP="005F2EAE" w14:paraId="3C67BB25" w14:textId="77777777">
      <w:pPr>
        <w:pStyle w:val="ListParagraph"/>
        <w:rPr>
          <w:rFonts w:cstheme="minorHAnsi"/>
        </w:rPr>
      </w:pP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8" w:name="_Toc156593378"/>
      <w:r w:rsidRPr="00E3122D">
        <w:rPr>
          <w:rFonts w:cstheme="minorHAnsi"/>
          <w:b/>
          <w:bCs/>
        </w:rPr>
        <w:t>PAYMENTS OR GIFTS TO RESPONDENTS</w:t>
      </w:r>
      <w:bookmarkEnd w:id="18"/>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352977" w:rsidRPr="00352977" w:rsidP="00352977" w14:paraId="6533A94E" w14:textId="5A49E270">
      <w:pPr>
        <w:rPr>
          <w:rFonts w:eastAsia="Times New Roman" w:cstheme="minorHAnsi"/>
        </w:rPr>
      </w:pPr>
      <w:r>
        <w:rPr>
          <w:rFonts w:eastAsia="Times New Roman" w:cstheme="minorHAnsi"/>
        </w:rPr>
        <w:t>The r</w:t>
      </w:r>
      <w:r w:rsidRPr="00352977">
        <w:rPr>
          <w:rFonts w:eastAsia="Times New Roman" w:cstheme="minorHAnsi"/>
        </w:rPr>
        <w:t xml:space="preserve">espondents </w:t>
      </w:r>
      <w:r w:rsidR="006B0EE0">
        <w:rPr>
          <w:rFonts w:eastAsia="Times New Roman" w:cstheme="minorHAnsi"/>
        </w:rPr>
        <w:t xml:space="preserve">used in </w:t>
      </w:r>
      <w:r w:rsidRPr="00352977" w:rsidR="006B0EE0">
        <w:rPr>
          <w:rFonts w:eastAsia="Times New Roman" w:cstheme="minorHAnsi"/>
        </w:rPr>
        <w:t>focus groups and interviews</w:t>
      </w:r>
      <w:r w:rsidR="006B0EE0">
        <w:rPr>
          <w:rFonts w:eastAsia="Times New Roman" w:cstheme="minorHAnsi"/>
        </w:rPr>
        <w:t xml:space="preserve"> </w:t>
      </w:r>
      <w:r w:rsidRPr="00352977">
        <w:rPr>
          <w:rFonts w:eastAsia="Times New Roman" w:cstheme="minorHAnsi"/>
        </w:rPr>
        <w:t>will be members of the general public who volunteer to participate. EPA intends to explore alternative means of recruiting participants; however, to the extent that a focus group facility is engaged, th</w:t>
      </w:r>
      <w:r w:rsidR="00F60A88">
        <w:rPr>
          <w:rFonts w:eastAsia="Times New Roman" w:cstheme="minorHAnsi"/>
        </w:rPr>
        <w:t>at</w:t>
      </w:r>
      <w:r w:rsidRPr="00352977">
        <w:rPr>
          <w:rFonts w:eastAsia="Times New Roman" w:cstheme="minorHAnsi"/>
        </w:rPr>
        <w:t xml:space="preserve"> facility will conduct participant recruitment on EPA’s behalf. Under this arrangement, participants are </w:t>
      </w:r>
      <w:r w:rsidR="00932360">
        <w:rPr>
          <w:rFonts w:eastAsia="Times New Roman" w:cstheme="minorHAnsi"/>
        </w:rPr>
        <w:t>often</w:t>
      </w:r>
      <w:r w:rsidR="00E5352A">
        <w:rPr>
          <w:rFonts w:eastAsia="Times New Roman" w:cstheme="minorHAnsi"/>
        </w:rPr>
        <w:t xml:space="preserve"> incentivized to </w:t>
      </w:r>
      <w:r w:rsidR="00A14A58">
        <w:rPr>
          <w:rFonts w:eastAsia="Times New Roman" w:cstheme="minorHAnsi"/>
        </w:rPr>
        <w:t xml:space="preserve">attend and </w:t>
      </w:r>
      <w:r w:rsidRPr="00352977">
        <w:rPr>
          <w:rFonts w:eastAsia="Times New Roman" w:cstheme="minorHAnsi"/>
        </w:rPr>
        <w:t xml:space="preserve">compensated for their time </w:t>
      </w:r>
      <w:r w:rsidR="006B30E8">
        <w:rPr>
          <w:rFonts w:eastAsia="Times New Roman" w:cstheme="minorHAnsi"/>
        </w:rPr>
        <w:t xml:space="preserve">with </w:t>
      </w:r>
      <w:r w:rsidR="00E0008B">
        <w:rPr>
          <w:rFonts w:eastAsia="Times New Roman" w:cstheme="minorHAnsi"/>
        </w:rPr>
        <w:t>gift cards</w:t>
      </w:r>
      <w:r w:rsidR="00D333CB">
        <w:rPr>
          <w:rFonts w:eastAsia="Times New Roman" w:cstheme="minorHAnsi"/>
        </w:rPr>
        <w:t xml:space="preserve"> </w:t>
      </w:r>
      <w:r w:rsidR="00E0008B">
        <w:rPr>
          <w:rFonts w:eastAsia="Times New Roman" w:cstheme="minorHAnsi"/>
        </w:rPr>
        <w:t xml:space="preserve">or other </w:t>
      </w:r>
      <w:r w:rsidR="00611419">
        <w:rPr>
          <w:rFonts w:eastAsia="Times New Roman" w:cstheme="minorHAnsi"/>
        </w:rPr>
        <w:t xml:space="preserve">small </w:t>
      </w:r>
      <w:r w:rsidR="00D333CB">
        <w:rPr>
          <w:rFonts w:eastAsia="Times New Roman" w:cstheme="minorHAnsi"/>
        </w:rPr>
        <w:t xml:space="preserve">monetary payments. </w:t>
      </w:r>
      <w:r w:rsidR="00851BE7">
        <w:rPr>
          <w:rFonts w:eastAsia="Times New Roman" w:cstheme="minorHAnsi"/>
        </w:rPr>
        <w:t>When used as part of this collection, the</w:t>
      </w:r>
      <w:r w:rsidR="006B30E8">
        <w:rPr>
          <w:rFonts w:eastAsia="Times New Roman" w:cstheme="minorHAnsi"/>
        </w:rPr>
        <w:t xml:space="preserve"> total value of </w:t>
      </w:r>
      <w:r w:rsidR="004763A0">
        <w:rPr>
          <w:rFonts w:eastAsia="Times New Roman" w:cstheme="minorHAnsi"/>
        </w:rPr>
        <w:t xml:space="preserve">such remuneration </w:t>
      </w:r>
      <w:r w:rsidRPr="00352977">
        <w:rPr>
          <w:rFonts w:eastAsia="Times New Roman" w:cstheme="minorHAnsi"/>
        </w:rPr>
        <w:t>will not exceed $75 per participant.</w:t>
      </w:r>
      <w:r w:rsidR="00516BD7">
        <w:rPr>
          <w:rFonts w:eastAsia="Times New Roman" w:cstheme="minorHAnsi"/>
        </w:rPr>
        <w:t xml:space="preserve"> </w:t>
      </w:r>
      <w:r w:rsidR="000F70D5">
        <w:rPr>
          <w:rFonts w:eastAsia="Times New Roman" w:cstheme="minorHAnsi"/>
        </w:rPr>
        <w:t>When</w:t>
      </w:r>
      <w:r w:rsidR="00CB487B">
        <w:rPr>
          <w:rFonts w:eastAsia="Times New Roman" w:cstheme="minorHAnsi"/>
        </w:rPr>
        <w:t xml:space="preserve">ever </w:t>
      </w:r>
      <w:r w:rsidR="000F70D5">
        <w:rPr>
          <w:rFonts w:eastAsia="Times New Roman" w:cstheme="minorHAnsi"/>
        </w:rPr>
        <w:t>applicable, d</w:t>
      </w:r>
      <w:r w:rsidR="00516BD7">
        <w:rPr>
          <w:rFonts w:eastAsia="Times New Roman" w:cstheme="minorHAnsi"/>
        </w:rPr>
        <w:t xml:space="preserve">etails about </w:t>
      </w:r>
      <w:r w:rsidR="00586047">
        <w:rPr>
          <w:rFonts w:eastAsia="Times New Roman" w:cstheme="minorHAnsi"/>
        </w:rPr>
        <w:t xml:space="preserve">the use of participation incentives will be </w:t>
      </w:r>
      <w:r w:rsidR="00774E4B">
        <w:rPr>
          <w:rFonts w:eastAsia="Times New Roman" w:cstheme="minorHAnsi"/>
        </w:rPr>
        <w:t xml:space="preserve">provided </w:t>
      </w:r>
      <w:r w:rsidR="004446C0">
        <w:rPr>
          <w:rFonts w:eastAsia="Times New Roman" w:cstheme="minorHAnsi"/>
        </w:rPr>
        <w:t xml:space="preserve">in </w:t>
      </w:r>
      <w:r w:rsidR="00B04F9F">
        <w:rPr>
          <w:rFonts w:eastAsia="Times New Roman" w:cstheme="minorHAnsi"/>
        </w:rPr>
        <w:t xml:space="preserve">individual </w:t>
      </w:r>
      <w:r w:rsidR="008B4FA8">
        <w:rPr>
          <w:rFonts w:eastAsia="Times New Roman" w:cstheme="minorHAnsi"/>
        </w:rPr>
        <w:t xml:space="preserve">IC </w:t>
      </w:r>
      <w:r w:rsidR="00CB487B">
        <w:rPr>
          <w:rFonts w:eastAsia="Times New Roman" w:cstheme="minorHAnsi"/>
        </w:rPr>
        <w:t>requests</w:t>
      </w:r>
      <w:r w:rsidR="00362E26">
        <w:rPr>
          <w:rFonts w:eastAsia="Times New Roman" w:cstheme="minorHAnsi"/>
        </w:rPr>
        <w:t xml:space="preserve">. </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573D47CF">
      <w:pPr>
        <w:pBdr>
          <w:top w:val="single" w:sz="6" w:space="0" w:color="FFFFFF"/>
          <w:left w:val="single" w:sz="6" w:space="0" w:color="FFFFFF"/>
          <w:bottom w:val="single" w:sz="6" w:space="0" w:color="FFFFFF"/>
          <w:right w:val="single" w:sz="6" w:space="0" w:color="FFFFFF"/>
        </w:pBdr>
        <w:rPr>
          <w:rFonts w:cstheme="minorHAnsi"/>
          <w:color w:val="000000"/>
        </w:rPr>
      </w:pPr>
      <w:r w:rsidRPr="00FA150B">
        <w:rPr>
          <w:rFonts w:cstheme="minorHAnsi"/>
          <w:color w:val="000000"/>
        </w:rPr>
        <w:t>All information submitted to the agency in response to th</w:t>
      </w:r>
      <w:r w:rsidR="00F75373">
        <w:rPr>
          <w:rFonts w:cstheme="minorHAnsi"/>
          <w:color w:val="000000"/>
        </w:rPr>
        <w:t>is hybrid generic</w:t>
      </w:r>
      <w:r w:rsidRPr="00FA150B">
        <w:rPr>
          <w:rFonts w:cstheme="minorHAnsi"/>
          <w:color w:val="000000"/>
        </w:rPr>
        <w:t xml:space="preserve"> ICR will be managed in accordance with applicable laws and EPA’s regulations governing treatment of confidential business information at 40 CFR Part 2, Subpart B. Any information determined to constitute a trade secret will be protected under 18 U.S.C. § 1905.</w:t>
      </w:r>
    </w:p>
    <w:p w:rsidR="00A233E0" w:rsidRPr="00E3122D" w:rsidP="00854AAE" w14:paraId="36FBAEFB" w14:textId="2B9BC41C">
      <w:pPr>
        <w:pStyle w:val="ListParagraph"/>
        <w:numPr>
          <w:ilvl w:val="0"/>
          <w:numId w:val="25"/>
        </w:numPr>
        <w:pBdr>
          <w:bottom w:val="single" w:sz="4" w:space="1" w:color="auto"/>
        </w:pBdr>
        <w:spacing w:before="240" w:after="0"/>
        <w:rPr>
          <w:rFonts w:cstheme="minorHAnsi"/>
          <w:b/>
          <w:bCs/>
        </w:rPr>
      </w:pPr>
      <w:bookmarkStart w:id="19" w:name="_Toc156593380"/>
      <w:r w:rsidRPr="4BDBF0A0">
        <w:rPr>
          <w:b/>
          <w:bCs/>
        </w:rPr>
        <w:t>JUSTIFICATION FOR SENSITIVE QUESTIONS</w:t>
      </w:r>
      <w:bookmarkEnd w:id="19"/>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302901B2">
      <w:pPr>
        <w:pBdr>
          <w:top w:val="single" w:sz="6" w:space="0" w:color="FFFFFF"/>
          <w:left w:val="single" w:sz="6" w:space="0" w:color="FFFFFF"/>
          <w:bottom w:val="single" w:sz="6" w:space="0" w:color="FFFFFF"/>
          <w:right w:val="single" w:sz="6" w:space="0" w:color="FFFFFF"/>
        </w:pBdr>
        <w:rPr>
          <w:rFonts w:cstheme="minorHAnsi"/>
          <w:color w:val="000000"/>
        </w:rPr>
      </w:pPr>
      <w:r w:rsidRPr="00452F64">
        <w:rPr>
          <w:rFonts w:cstheme="minorHAnsi"/>
          <w:color w:val="000000"/>
        </w:rPr>
        <w:t>Questions about sensitive issues that are normally considered private (e.g., religious beliefs, sexual attitudes, and behavior) will not be included in the information collections covered by this ICR.</w:t>
      </w:r>
    </w:p>
    <w:p w:rsidR="001172FE" w:rsidRPr="00E3122D" w:rsidP="00854AAE" w14:paraId="637A8E82" w14:textId="77777777">
      <w:pPr>
        <w:pStyle w:val="ListParagraph"/>
        <w:numPr>
          <w:ilvl w:val="0"/>
          <w:numId w:val="25"/>
        </w:numPr>
        <w:spacing w:before="240" w:after="0"/>
        <w:rPr>
          <w:rFonts w:cstheme="minorHAnsi"/>
          <w:b/>
          <w:bCs/>
        </w:rPr>
      </w:pPr>
      <w:bookmarkStart w:id="20" w:name="_Toc156593381"/>
      <w:r w:rsidRPr="4BDBF0A0">
        <w:rPr>
          <w:b/>
          <w:bCs/>
        </w:rPr>
        <w:t>RESPONDENT BURDEN HOURS</w:t>
      </w:r>
      <w:r w:rsidRPr="4BDBF0A0" w:rsidR="00DB799B">
        <w:rPr>
          <w:b/>
          <w:bCs/>
        </w:rPr>
        <w:t xml:space="preserve"> &amp; LABOR COSTS</w:t>
      </w:r>
      <w:bookmarkStart w:id="21" w:name="_Toc156593382"/>
      <w:bookmarkEnd w:id="20"/>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BB3410" w:rsidP="00854AAE" w14:paraId="0DA69975" w14:textId="4CB9D8E7">
      <w:pPr>
        <w:pBdr>
          <w:top w:val="single" w:sz="6" w:space="0" w:color="FFFFFF"/>
          <w:left w:val="single" w:sz="6" w:space="0" w:color="FFFFFF"/>
          <w:bottom w:val="single" w:sz="6" w:space="0" w:color="FFFFFF"/>
          <w:right w:val="single" w:sz="6" w:space="0" w:color="FFFFFF"/>
        </w:pBdr>
        <w:spacing w:before="60"/>
        <w:rPr>
          <w:rFonts w:cstheme="minorHAnsi"/>
          <w:color w:val="000000"/>
        </w:rPr>
      </w:pPr>
      <w:bookmarkStart w:id="22" w:name="_Hlk161310602"/>
      <w:bookmarkStart w:id="23" w:name="_Toc156593383"/>
      <w:bookmarkEnd w:id="21"/>
      <w:r>
        <w:rPr>
          <w:rFonts w:cstheme="minorHAnsi"/>
          <w:color w:val="000000"/>
        </w:rPr>
        <w:t xml:space="preserve">Under this proposed information collection, </w:t>
      </w:r>
      <w:r w:rsidR="0099274A">
        <w:rPr>
          <w:rFonts w:cstheme="minorHAnsi"/>
          <w:color w:val="000000"/>
        </w:rPr>
        <w:t>RCSD</w:t>
      </w:r>
      <w:r w:rsidR="00062F08">
        <w:rPr>
          <w:rFonts w:cstheme="minorHAnsi"/>
          <w:color w:val="000000"/>
        </w:rPr>
        <w:t xml:space="preserve"> </w:t>
      </w:r>
      <w:r>
        <w:rPr>
          <w:rFonts w:cstheme="minorHAnsi"/>
          <w:color w:val="000000"/>
        </w:rPr>
        <w:t xml:space="preserve">intends to </w:t>
      </w:r>
      <w:r w:rsidR="004A27BC">
        <w:rPr>
          <w:rFonts w:cstheme="minorHAnsi"/>
          <w:color w:val="000000"/>
        </w:rPr>
        <w:t xml:space="preserve">establish </w:t>
      </w:r>
      <w:r w:rsidR="00F971F7">
        <w:rPr>
          <w:rFonts w:cstheme="minorHAnsi"/>
          <w:color w:val="000000"/>
        </w:rPr>
        <w:t xml:space="preserve">a </w:t>
      </w:r>
      <w:r w:rsidR="00E16475">
        <w:rPr>
          <w:rFonts w:cstheme="minorHAnsi"/>
          <w:color w:val="000000"/>
        </w:rPr>
        <w:t xml:space="preserve">quarterly </w:t>
      </w:r>
      <w:r w:rsidR="00F971F7">
        <w:rPr>
          <w:rFonts w:cstheme="minorHAnsi"/>
          <w:color w:val="000000"/>
        </w:rPr>
        <w:t xml:space="preserve">reporting </w:t>
      </w:r>
      <w:r w:rsidRPr="00452F64" w:rsidR="00452F64">
        <w:rPr>
          <w:rFonts w:cstheme="minorHAnsi"/>
          <w:color w:val="000000"/>
        </w:rPr>
        <w:t xml:space="preserve">program </w:t>
      </w:r>
      <w:r w:rsidR="00184470">
        <w:rPr>
          <w:rFonts w:cstheme="minorHAnsi"/>
          <w:color w:val="000000"/>
        </w:rPr>
        <w:t>for grantees</w:t>
      </w:r>
      <w:r w:rsidRPr="00452F64" w:rsidR="00452F64">
        <w:rPr>
          <w:rFonts w:cstheme="minorHAnsi"/>
          <w:color w:val="000000"/>
        </w:rPr>
        <w:t>. The estimated burden for these reports is described in Table 1. This calculation assumes that these grant reports would be administered to grantees which include U.S. States and Territories, communities of U.S. states, Tribes and intertribal consortia and additional responders from non-profit organizations and public-private partnerships</w:t>
      </w:r>
      <w:r w:rsidR="004B7222">
        <w:rPr>
          <w:rFonts w:cstheme="minorHAnsi"/>
          <w:color w:val="000000"/>
        </w:rPr>
        <w:t>.</w:t>
      </w:r>
      <w:r w:rsidRPr="00452F64" w:rsidR="00452F64">
        <w:rPr>
          <w:rFonts w:cstheme="minorHAnsi"/>
          <w:color w:val="000000"/>
        </w:rPr>
        <w:t xml:space="preserve"> </w:t>
      </w:r>
      <w:r w:rsidR="00E32A49">
        <w:rPr>
          <w:rFonts w:cstheme="minorHAnsi"/>
          <w:color w:val="000000"/>
        </w:rPr>
        <w:t>EPA</w:t>
      </w:r>
      <w:r w:rsidRPr="00452F64" w:rsidR="00E32A49">
        <w:rPr>
          <w:rFonts w:cstheme="minorHAnsi"/>
          <w:color w:val="000000"/>
        </w:rPr>
        <w:t xml:space="preserve"> </w:t>
      </w:r>
      <w:r w:rsidRPr="00452F64" w:rsidR="00452F64">
        <w:rPr>
          <w:rFonts w:cstheme="minorHAnsi"/>
          <w:color w:val="000000"/>
        </w:rPr>
        <w:t>anticipate</w:t>
      </w:r>
      <w:r w:rsidR="00E32A49">
        <w:rPr>
          <w:rFonts w:cstheme="minorHAnsi"/>
          <w:color w:val="000000"/>
        </w:rPr>
        <w:t>s</w:t>
      </w:r>
      <w:r w:rsidRPr="00452F64" w:rsidR="00452F64">
        <w:rPr>
          <w:rFonts w:cstheme="minorHAnsi"/>
          <w:color w:val="000000"/>
        </w:rPr>
        <w:t xml:space="preserve"> designing reports that will take no more than an hour for respondents to complete.</w:t>
      </w:r>
    </w:p>
    <w:bookmarkEnd w:id="22"/>
    <w:p w:rsidR="004B7222" w:rsidRPr="00E258AC" w:rsidP="00E258AC" w14:paraId="591F1A9F" w14:textId="3A029814">
      <w:pPr>
        <w:pStyle w:val="NoSpacing"/>
        <w:rPr>
          <w:b/>
          <w:bCs/>
        </w:rPr>
      </w:pPr>
      <w:r w:rsidRPr="00E258AC">
        <w:rPr>
          <w:b/>
          <w:bCs/>
        </w:rPr>
        <w:t>Table 1</w:t>
      </w:r>
    </w:p>
    <w:p w:rsidR="00E258AC" w:rsidRPr="00E258AC" w:rsidP="00E258AC" w14:paraId="27F3CE5D" w14:textId="21779705">
      <w:pPr>
        <w:pStyle w:val="NoSpacing"/>
        <w:rPr>
          <w:b/>
          <w:bCs/>
        </w:rPr>
      </w:pPr>
      <w:r w:rsidRPr="00E258AC">
        <w:rPr>
          <w:b/>
          <w:bCs/>
        </w:rPr>
        <w:t xml:space="preserve">Estimated </w:t>
      </w:r>
      <w:r w:rsidR="00EC1701">
        <w:rPr>
          <w:b/>
          <w:bCs/>
        </w:rPr>
        <w:t xml:space="preserve">Annual </w:t>
      </w:r>
      <w:r w:rsidRPr="00E258AC">
        <w:rPr>
          <w:b/>
          <w:bCs/>
        </w:rPr>
        <w:t xml:space="preserve">Burden </w:t>
      </w:r>
      <w:r w:rsidR="008F2E85">
        <w:rPr>
          <w:b/>
          <w:bCs/>
        </w:rPr>
        <w:t xml:space="preserve">for </w:t>
      </w:r>
      <w:r w:rsidRPr="00E258AC">
        <w:rPr>
          <w:b/>
          <w:bCs/>
        </w:rPr>
        <w:t>Quarterly Grant Reports</w:t>
      </w:r>
    </w:p>
    <w:tbl>
      <w:tblPr>
        <w:tblW w:w="5000" w:type="pct"/>
        <w:tblBorders>
          <w:top w:val="single" w:sz="4" w:space="0" w:color="auto"/>
          <w:bottom w:val="single" w:sz="4" w:space="0" w:color="auto"/>
        </w:tblBorders>
        <w:tblLook w:val="01E0"/>
      </w:tblPr>
      <w:tblGrid>
        <w:gridCol w:w="782"/>
        <w:gridCol w:w="5914"/>
        <w:gridCol w:w="2664"/>
      </w:tblGrid>
      <w:tr w14:paraId="5BB75023" w14:textId="77777777" w:rsidTr="0013410C">
        <w:tblPrEx>
          <w:tblW w:w="5000" w:type="pct"/>
          <w:tblBorders>
            <w:top w:val="single" w:sz="4" w:space="0" w:color="auto"/>
            <w:bottom w:val="single" w:sz="4" w:space="0" w:color="auto"/>
          </w:tblBorders>
          <w:tblLook w:val="01E0"/>
        </w:tblPrEx>
        <w:trPr>
          <w:trHeight w:val="323"/>
        </w:trPr>
        <w:tc>
          <w:tcPr>
            <w:tcW w:w="3571" w:type="pct"/>
            <w:gridSpan w:val="2"/>
            <w:tcBorders>
              <w:top w:val="single" w:sz="4" w:space="0" w:color="auto"/>
              <w:left w:val="nil"/>
              <w:bottom w:val="single" w:sz="4" w:space="0" w:color="auto"/>
              <w:right w:val="nil"/>
            </w:tcBorders>
            <w:shd w:val="clear" w:color="auto" w:fill="AFBED7"/>
          </w:tcPr>
          <w:p w:rsidR="00E258AC" w:rsidRPr="00A001A8" w:rsidP="0013410C" w14:paraId="4BEF2DBD" w14:textId="77777777">
            <w:pPr>
              <w:pStyle w:val="TH-TableHeading"/>
              <w:spacing w:line="240" w:lineRule="auto"/>
              <w:jc w:val="left"/>
              <w:rPr>
                <w:rFonts w:asciiTheme="minorHAnsi" w:hAnsiTheme="minorHAnsi" w:cstheme="minorHAnsi"/>
                <w:sz w:val="24"/>
                <w:szCs w:val="24"/>
              </w:rPr>
            </w:pPr>
          </w:p>
        </w:tc>
        <w:tc>
          <w:tcPr>
            <w:tcW w:w="1429" w:type="pct"/>
            <w:tcBorders>
              <w:top w:val="single" w:sz="4" w:space="0" w:color="auto"/>
              <w:left w:val="nil"/>
              <w:bottom w:val="single" w:sz="4" w:space="0" w:color="auto"/>
              <w:right w:val="nil"/>
            </w:tcBorders>
            <w:shd w:val="clear" w:color="auto" w:fill="AFBED7"/>
            <w:vAlign w:val="bottom"/>
          </w:tcPr>
          <w:p w:rsidR="00E258AC" w:rsidRPr="00A001A8" w:rsidP="0013410C" w14:paraId="31BA861A" w14:textId="021690AA">
            <w:pPr>
              <w:pStyle w:val="TH-TableHeading"/>
              <w:spacing w:line="240" w:lineRule="auto"/>
              <w:ind w:left="1140"/>
              <w:jc w:val="right"/>
              <w:rPr>
                <w:rFonts w:asciiTheme="minorHAnsi" w:hAnsiTheme="minorHAnsi" w:cstheme="minorHAnsi"/>
                <w:sz w:val="24"/>
                <w:szCs w:val="24"/>
              </w:rPr>
            </w:pPr>
            <w:r w:rsidRPr="00A001A8">
              <w:rPr>
                <w:rFonts w:asciiTheme="minorHAnsi" w:hAnsiTheme="minorHAnsi" w:cstheme="minorHAnsi"/>
                <w:sz w:val="24"/>
                <w:szCs w:val="24"/>
              </w:rPr>
              <w:t>Value</w:t>
            </w:r>
          </w:p>
        </w:tc>
      </w:tr>
      <w:tr w14:paraId="6145A3C1" w14:textId="77777777" w:rsidTr="0013410C">
        <w:tblPrEx>
          <w:tblW w:w="5000" w:type="pct"/>
          <w:tblLook w:val="01E0"/>
        </w:tblPrEx>
        <w:trPr>
          <w:trHeight w:val="240"/>
        </w:trPr>
        <w:tc>
          <w:tcPr>
            <w:tcW w:w="418" w:type="pct"/>
          </w:tcPr>
          <w:p w:rsidR="00E258AC" w:rsidRPr="00A001A8" w:rsidP="0013410C" w14:paraId="228A2D80"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[A]</w:t>
            </w:r>
          </w:p>
        </w:tc>
        <w:tc>
          <w:tcPr>
            <w:tcW w:w="3159" w:type="pct"/>
          </w:tcPr>
          <w:p w:rsidR="00E258AC" w:rsidRPr="00A001A8" w:rsidP="0013410C" w14:paraId="2A0058B9" w14:textId="4E44C0A0">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Total Number of Respondents</w:t>
            </w:r>
            <w:r>
              <w:rPr>
                <w:rStyle w:val="FootnoteReference"/>
                <w:rFonts w:asciiTheme="minorHAnsi" w:hAnsiTheme="minorHAnsi" w:cstheme="minorHAnsi"/>
                <w:sz w:val="24"/>
                <w:szCs w:val="24"/>
              </w:rPr>
              <w:footnoteReference w:id="3"/>
            </w:r>
          </w:p>
        </w:tc>
        <w:tc>
          <w:tcPr>
            <w:tcW w:w="1423" w:type="pct"/>
          </w:tcPr>
          <w:p w:rsidR="00E258AC" w:rsidRPr="00A001A8" w:rsidP="0013410C" w14:paraId="6A588726" w14:textId="0E526B75">
            <w:pPr>
              <w:pStyle w:val="TX-TableText"/>
              <w:tabs>
                <w:tab w:val="decimal" w:pos="1736"/>
              </w:tabs>
              <w:spacing w:line="240" w:lineRule="auto"/>
              <w:jc w:val="right"/>
              <w:rPr>
                <w:rFonts w:asciiTheme="minorHAnsi" w:hAnsiTheme="minorHAnsi" w:cstheme="minorHAnsi"/>
                <w:sz w:val="24"/>
                <w:szCs w:val="24"/>
              </w:rPr>
            </w:pPr>
            <w:r w:rsidRPr="00A001A8">
              <w:rPr>
                <w:rFonts w:asciiTheme="minorHAnsi" w:hAnsiTheme="minorHAnsi" w:cstheme="minorHAnsi"/>
                <w:sz w:val="24"/>
                <w:szCs w:val="24"/>
              </w:rPr>
              <w:t>165</w:t>
            </w:r>
          </w:p>
        </w:tc>
      </w:tr>
      <w:tr w14:paraId="30D3E7FB" w14:textId="77777777" w:rsidTr="0013410C">
        <w:tblPrEx>
          <w:tblW w:w="5000" w:type="pct"/>
          <w:tblLook w:val="01E0"/>
        </w:tblPrEx>
        <w:trPr>
          <w:trHeight w:val="240"/>
        </w:trPr>
        <w:tc>
          <w:tcPr>
            <w:tcW w:w="418" w:type="pct"/>
          </w:tcPr>
          <w:p w:rsidR="00E258AC" w:rsidRPr="00A001A8" w:rsidP="0013410C" w14:paraId="47A812FB"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[B]</w:t>
            </w:r>
          </w:p>
        </w:tc>
        <w:tc>
          <w:tcPr>
            <w:tcW w:w="3159" w:type="pct"/>
          </w:tcPr>
          <w:p w:rsidR="00E258AC" w:rsidRPr="00A001A8" w:rsidP="0013410C" w14:paraId="15ED084B"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Time to Complete One Report (hour)</w:t>
            </w:r>
          </w:p>
        </w:tc>
        <w:tc>
          <w:tcPr>
            <w:tcW w:w="1423" w:type="pct"/>
          </w:tcPr>
          <w:p w:rsidR="00E258AC" w:rsidRPr="00A001A8" w:rsidP="0013410C" w14:paraId="4163E84F" w14:textId="77777777">
            <w:pPr>
              <w:pStyle w:val="TX-TableText"/>
              <w:tabs>
                <w:tab w:val="decimal" w:pos="1736"/>
              </w:tabs>
              <w:spacing w:line="240" w:lineRule="auto"/>
              <w:jc w:val="right"/>
              <w:rPr>
                <w:rFonts w:asciiTheme="minorHAnsi" w:hAnsiTheme="minorHAnsi" w:cstheme="minorHAnsi"/>
                <w:sz w:val="24"/>
                <w:szCs w:val="24"/>
              </w:rPr>
            </w:pPr>
            <w:r w:rsidRPr="00A001A8">
              <w:rPr>
                <w:rFonts w:asciiTheme="minorHAnsi" w:hAnsiTheme="minorHAnsi" w:cstheme="minorHAnsi"/>
                <w:sz w:val="24"/>
                <w:szCs w:val="24"/>
              </w:rPr>
              <w:t>1</w:t>
            </w:r>
          </w:p>
        </w:tc>
      </w:tr>
      <w:tr w14:paraId="53C7D0D0" w14:textId="77777777" w:rsidTr="0013410C">
        <w:tblPrEx>
          <w:tblW w:w="5000" w:type="pct"/>
          <w:tblLook w:val="01E0"/>
        </w:tblPrEx>
        <w:trPr>
          <w:trHeight w:val="240"/>
        </w:trPr>
        <w:tc>
          <w:tcPr>
            <w:tcW w:w="418" w:type="pct"/>
          </w:tcPr>
          <w:p w:rsidR="00E258AC" w:rsidRPr="00A001A8" w:rsidP="0013410C" w14:paraId="4C775463"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[C]</w:t>
            </w:r>
          </w:p>
        </w:tc>
        <w:tc>
          <w:tcPr>
            <w:tcW w:w="3159" w:type="pct"/>
          </w:tcPr>
          <w:p w:rsidR="00E258AC" w:rsidRPr="00A001A8" w:rsidP="0013410C" w14:paraId="18ED2964" w14:textId="4DD1F173">
            <w:pPr>
              <w:pStyle w:val="TX-TableText"/>
              <w:spacing w:line="240" w:lineRule="auto"/>
              <w:rPr>
                <w:rFonts w:asciiTheme="minorHAnsi" w:hAnsiTheme="minorHAnsi" w:cstheme="minorHAnsi"/>
                <w:sz w:val="24"/>
                <w:szCs w:val="24"/>
              </w:rPr>
            </w:pPr>
            <w:r>
              <w:rPr>
                <w:rFonts w:asciiTheme="minorHAnsi" w:hAnsiTheme="minorHAnsi" w:cstheme="minorHAnsi"/>
                <w:sz w:val="24"/>
                <w:szCs w:val="24"/>
              </w:rPr>
              <w:t>Reporting Frequency Per Year</w:t>
            </w:r>
          </w:p>
        </w:tc>
        <w:tc>
          <w:tcPr>
            <w:tcW w:w="1423" w:type="pct"/>
          </w:tcPr>
          <w:p w:rsidR="00E258AC" w:rsidRPr="00A001A8" w:rsidP="0013410C" w14:paraId="5D59A97C" w14:textId="77777777">
            <w:pPr>
              <w:pStyle w:val="TX-TableText"/>
              <w:tabs>
                <w:tab w:val="decimal" w:pos="1736"/>
              </w:tabs>
              <w:spacing w:line="240" w:lineRule="auto"/>
              <w:jc w:val="right"/>
              <w:rPr>
                <w:rFonts w:asciiTheme="minorHAnsi" w:hAnsiTheme="minorHAnsi" w:cstheme="minorHAnsi"/>
                <w:sz w:val="24"/>
                <w:szCs w:val="24"/>
              </w:rPr>
            </w:pPr>
            <w:r w:rsidRPr="00A001A8">
              <w:rPr>
                <w:rFonts w:asciiTheme="minorHAnsi" w:hAnsiTheme="minorHAnsi" w:cstheme="minorHAnsi"/>
                <w:sz w:val="24"/>
                <w:szCs w:val="24"/>
              </w:rPr>
              <w:t>4</w:t>
            </w:r>
          </w:p>
        </w:tc>
      </w:tr>
      <w:tr w14:paraId="3BDF2675" w14:textId="77777777" w:rsidTr="0013410C">
        <w:tblPrEx>
          <w:tblW w:w="5000" w:type="pct"/>
          <w:tblLook w:val="01E0"/>
        </w:tblPrEx>
        <w:trPr>
          <w:trHeight w:val="240"/>
        </w:trPr>
        <w:tc>
          <w:tcPr>
            <w:tcW w:w="418" w:type="pct"/>
          </w:tcPr>
          <w:p w:rsidR="00E258AC" w:rsidRPr="00A001A8" w:rsidP="0013410C" w14:paraId="33A2A271"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[D]</w:t>
            </w:r>
          </w:p>
        </w:tc>
        <w:tc>
          <w:tcPr>
            <w:tcW w:w="3159" w:type="pct"/>
          </w:tcPr>
          <w:p w:rsidR="00E258AC" w:rsidRPr="00A001A8" w:rsidP="0013410C" w14:paraId="013E8B97" w14:textId="77777777">
            <w:pPr>
              <w:pStyle w:val="TX-TableText"/>
              <w:spacing w:line="240" w:lineRule="auto"/>
              <w:rPr>
                <w:rFonts w:asciiTheme="minorHAnsi" w:hAnsiTheme="minorHAnsi" w:cstheme="minorHAnsi"/>
                <w:sz w:val="24"/>
                <w:szCs w:val="24"/>
              </w:rPr>
            </w:pPr>
            <w:r w:rsidRPr="00A001A8">
              <w:rPr>
                <w:rFonts w:asciiTheme="minorHAnsi" w:hAnsiTheme="minorHAnsi" w:cstheme="minorHAnsi"/>
                <w:sz w:val="24"/>
                <w:szCs w:val="24"/>
              </w:rPr>
              <w:t>Total Burden (hours)</w:t>
            </w:r>
          </w:p>
          <w:p w:rsidR="00E258AC" w:rsidRPr="00A001A8" w:rsidP="0013410C" w14:paraId="577DDEB8" w14:textId="77777777">
            <w:pPr>
              <w:pStyle w:val="TX-TableText"/>
              <w:spacing w:line="240" w:lineRule="auto"/>
              <w:rPr>
                <w:rFonts w:asciiTheme="minorHAnsi" w:hAnsiTheme="minorHAnsi" w:cstheme="minorHAnsi"/>
                <w:sz w:val="24"/>
                <w:szCs w:val="24"/>
              </w:rPr>
            </w:pPr>
            <w:r w:rsidRPr="00FF7F04">
              <w:rPr>
                <w:rFonts w:asciiTheme="minorHAnsi" w:hAnsiTheme="minorHAnsi" w:cstheme="minorHAnsi"/>
                <w:sz w:val="24"/>
                <w:szCs w:val="24"/>
              </w:rPr>
              <w:t>[D] = [A]*[B]*[C]</w:t>
            </w:r>
          </w:p>
        </w:tc>
        <w:tc>
          <w:tcPr>
            <w:tcW w:w="1423" w:type="pct"/>
          </w:tcPr>
          <w:p w:rsidR="00E258AC" w:rsidRPr="00A001A8" w:rsidP="0013410C" w14:paraId="12D621E6" w14:textId="77777777">
            <w:pPr>
              <w:pStyle w:val="TX-TableText"/>
              <w:tabs>
                <w:tab w:val="decimal" w:pos="1736"/>
              </w:tabs>
              <w:spacing w:line="240" w:lineRule="auto"/>
              <w:jc w:val="right"/>
              <w:rPr>
                <w:rFonts w:asciiTheme="minorHAnsi" w:hAnsiTheme="minorHAnsi" w:cstheme="minorHAnsi"/>
                <w:sz w:val="24"/>
                <w:szCs w:val="24"/>
              </w:rPr>
            </w:pPr>
            <w:r w:rsidRPr="00A001A8">
              <w:rPr>
                <w:rFonts w:asciiTheme="minorHAnsi" w:hAnsiTheme="minorHAnsi" w:cstheme="minorHAnsi"/>
                <w:sz w:val="24"/>
                <w:szCs w:val="24"/>
              </w:rPr>
              <w:t>660</w:t>
            </w:r>
          </w:p>
        </w:tc>
      </w:tr>
    </w:tbl>
    <w:p w:rsidR="00E258AC" w:rsidP="00854AAE" w14:paraId="32E16530" w14:textId="1CB97E70">
      <w:pPr>
        <w:pBdr>
          <w:top w:val="single" w:sz="6" w:space="0" w:color="FFFFFF"/>
          <w:left w:val="single" w:sz="6" w:space="0" w:color="FFFFFF"/>
          <w:bottom w:val="single" w:sz="6" w:space="0" w:color="FFFFFF"/>
          <w:right w:val="single" w:sz="6" w:space="0" w:color="FFFFFF"/>
        </w:pBdr>
        <w:spacing w:before="60"/>
        <w:rPr>
          <w:rFonts w:cstheme="minorHAnsi"/>
          <w:color w:val="000000"/>
        </w:rPr>
      </w:pPr>
      <w:bookmarkStart w:id="24" w:name="_Hlk161310694"/>
      <w:r w:rsidRPr="000F43B2">
        <w:rPr>
          <w:rFonts w:cstheme="minorHAnsi"/>
          <w:color w:val="000000"/>
        </w:rPr>
        <w:t>Additionally, there will be up to two information collection activities annually covering a broader universe of respondents to assess waste generation and management systems across the country.</w:t>
      </w:r>
      <w:bookmarkEnd w:id="24"/>
      <w:r w:rsidRPr="000F43B2">
        <w:rPr>
          <w:rFonts w:cstheme="minorHAnsi"/>
          <w:color w:val="000000"/>
        </w:rPr>
        <w:t xml:space="preserve"> The potential burden of these additional activities is described in Table 2. It is not intended that any single survey would be administered to all these entities at one time. Instead, </w:t>
      </w:r>
      <w:r w:rsidR="005A6EFD">
        <w:rPr>
          <w:rFonts w:cstheme="minorHAnsi"/>
          <w:color w:val="000000"/>
        </w:rPr>
        <w:t xml:space="preserve">subgroups </w:t>
      </w:r>
      <w:r w:rsidR="00B47150">
        <w:rPr>
          <w:rFonts w:cstheme="minorHAnsi"/>
          <w:color w:val="000000"/>
        </w:rPr>
        <w:t>would be targeted</w:t>
      </w:r>
      <w:r w:rsidRPr="000F43B2">
        <w:rPr>
          <w:rFonts w:cstheme="minorHAnsi"/>
          <w:color w:val="000000"/>
        </w:rPr>
        <w:t xml:space="preserve"> separately. </w:t>
      </w:r>
      <w:r w:rsidR="008F2E85">
        <w:rPr>
          <w:rFonts w:cstheme="minorHAnsi"/>
          <w:color w:val="000000"/>
        </w:rPr>
        <w:t xml:space="preserve">EPA </w:t>
      </w:r>
      <w:r w:rsidR="00FB5211">
        <w:rPr>
          <w:rFonts w:cstheme="minorHAnsi"/>
          <w:color w:val="000000"/>
        </w:rPr>
        <w:t>anticipates d</w:t>
      </w:r>
      <w:r w:rsidRPr="000F43B2">
        <w:rPr>
          <w:rFonts w:cstheme="minorHAnsi"/>
          <w:color w:val="000000"/>
        </w:rPr>
        <w:t>esigning surveys that will take no more than 20 minutes for respondents to complete.</w:t>
      </w:r>
    </w:p>
    <w:p w:rsidR="000F43B2" w:rsidRPr="003A7DCB" w:rsidP="003A7DCB" w14:paraId="2CFCBDF0" w14:textId="68E3B01A">
      <w:pPr>
        <w:pStyle w:val="NoSpacing"/>
        <w:rPr>
          <w:b/>
          <w:bCs/>
        </w:rPr>
      </w:pPr>
      <w:r w:rsidRPr="003A7DCB">
        <w:rPr>
          <w:b/>
          <w:bCs/>
        </w:rPr>
        <w:t>Table 2</w:t>
      </w:r>
    </w:p>
    <w:p w:rsidR="003A7DCB" w:rsidRPr="003A7DCB" w:rsidP="003A7DCB" w14:paraId="33FC69FF" w14:textId="1AE12608">
      <w:pPr>
        <w:pStyle w:val="NoSpacing"/>
        <w:rPr>
          <w:b/>
          <w:bCs/>
        </w:rPr>
      </w:pPr>
      <w:r w:rsidRPr="003A7DCB">
        <w:rPr>
          <w:b/>
          <w:bCs/>
        </w:rPr>
        <w:t xml:space="preserve">Estimated Maximum </w:t>
      </w:r>
      <w:r w:rsidR="009C5944">
        <w:rPr>
          <w:b/>
          <w:bCs/>
        </w:rPr>
        <w:t xml:space="preserve">Annual </w:t>
      </w:r>
      <w:r w:rsidRPr="003A7DCB">
        <w:rPr>
          <w:b/>
          <w:bCs/>
        </w:rPr>
        <w:t xml:space="preserve">Burden </w:t>
      </w:r>
      <w:r w:rsidR="008F2E85">
        <w:rPr>
          <w:b/>
          <w:bCs/>
        </w:rPr>
        <w:t xml:space="preserve">for </w:t>
      </w:r>
      <w:r w:rsidR="00F8150A">
        <w:rPr>
          <w:b/>
          <w:bCs/>
        </w:rPr>
        <w:t>Surveys</w:t>
      </w:r>
    </w:p>
    <w:tbl>
      <w:tblPr>
        <w:tblW w:w="5000" w:type="pct"/>
        <w:tblLook w:val="01E0"/>
      </w:tblPr>
      <w:tblGrid>
        <w:gridCol w:w="783"/>
        <w:gridCol w:w="6361"/>
        <w:gridCol w:w="2216"/>
      </w:tblGrid>
      <w:tr w14:paraId="0D635B19" w14:textId="77777777" w:rsidTr="00836EBB">
        <w:tblPrEx>
          <w:tblW w:w="5000" w:type="pct"/>
          <w:tblLook w:val="01E0"/>
        </w:tblPrEx>
        <w:trPr>
          <w:trHeight w:val="323"/>
        </w:trPr>
        <w:tc>
          <w:tcPr>
            <w:tcW w:w="3816" w:type="pct"/>
            <w:gridSpan w:val="2"/>
            <w:tcBorders>
              <w:top w:val="single" w:sz="4" w:space="0" w:color="auto"/>
              <w:bottom w:val="single" w:sz="4" w:space="0" w:color="auto"/>
            </w:tcBorders>
            <w:shd w:val="clear" w:color="auto" w:fill="AFBED7"/>
          </w:tcPr>
          <w:p w:rsidR="003A7DCB" w:rsidRPr="003A7DCB" w:rsidP="003A7DCB" w14:paraId="3891DA6E" w14:textId="77777777">
            <w:pPr>
              <w:keepNext/>
              <w:tabs>
                <w:tab w:val="left" w:pos="1152"/>
              </w:tabs>
              <w:spacing w:after="0" w:line="240" w:lineRule="auto"/>
              <w:outlineLvl w:val="0"/>
              <w:rPr>
                <w:rFonts w:ascii="Calibri" w:eastAsia="Times New Roman" w:hAnsi="Calibri" w:cs="Calibri"/>
                <w:b/>
                <w:sz w:val="24"/>
                <w:szCs w:val="24"/>
              </w:rPr>
            </w:pPr>
          </w:p>
        </w:tc>
        <w:tc>
          <w:tcPr>
            <w:tcW w:w="1184" w:type="pct"/>
            <w:tcBorders>
              <w:top w:val="single" w:sz="4" w:space="0" w:color="auto"/>
              <w:bottom w:val="single" w:sz="4" w:space="0" w:color="auto"/>
            </w:tcBorders>
            <w:shd w:val="clear" w:color="auto" w:fill="AFBED7"/>
            <w:vAlign w:val="bottom"/>
          </w:tcPr>
          <w:p w:rsidR="003A7DCB" w:rsidRPr="003A7DCB" w:rsidP="003A7DCB" w14:paraId="4E75845A" w14:textId="4F8AA455">
            <w:pPr>
              <w:keepNext/>
              <w:tabs>
                <w:tab w:val="left" w:pos="1152"/>
              </w:tabs>
              <w:spacing w:after="0" w:line="240" w:lineRule="auto"/>
              <w:ind w:left="1140"/>
              <w:jc w:val="right"/>
              <w:outlineLvl w:val="0"/>
              <w:rPr>
                <w:rFonts w:ascii="Calibri" w:eastAsia="Times New Roman" w:hAnsi="Calibri" w:cs="Calibri"/>
                <w:b/>
                <w:sz w:val="24"/>
                <w:szCs w:val="24"/>
              </w:rPr>
            </w:pPr>
            <w:r w:rsidRPr="003A7DCB">
              <w:rPr>
                <w:rFonts w:ascii="Calibri" w:eastAsia="Times New Roman" w:hAnsi="Calibri" w:cs="Calibri"/>
                <w:b/>
                <w:sz w:val="24"/>
                <w:szCs w:val="24"/>
              </w:rPr>
              <w:t>Value</w:t>
            </w:r>
          </w:p>
        </w:tc>
      </w:tr>
      <w:tr w14:paraId="27DB3418" w14:textId="77777777" w:rsidTr="00836EBB">
        <w:tblPrEx>
          <w:tblW w:w="5000" w:type="pct"/>
          <w:tblLook w:val="01E0"/>
        </w:tblPrEx>
        <w:trPr>
          <w:trHeight w:val="240"/>
        </w:trPr>
        <w:tc>
          <w:tcPr>
            <w:tcW w:w="418" w:type="pct"/>
            <w:tcBorders>
              <w:top w:val="single" w:sz="4" w:space="0" w:color="auto"/>
            </w:tcBorders>
          </w:tcPr>
          <w:p w:rsidR="003A7DCB" w:rsidRPr="003A7DCB" w:rsidP="003A7DCB" w14:paraId="37AA7EDC" w14:textId="37575E9C">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[A]</w:t>
            </w:r>
            <w:r>
              <w:rPr>
                <w:rStyle w:val="FootnoteReference"/>
                <w:rFonts w:ascii="Calibri" w:eastAsia="Times New Roman" w:hAnsi="Calibri" w:cs="Calibri"/>
                <w:sz w:val="24"/>
                <w:szCs w:val="24"/>
              </w:rPr>
              <w:footnoteReference w:id="4"/>
            </w:r>
          </w:p>
        </w:tc>
        <w:tc>
          <w:tcPr>
            <w:tcW w:w="3398" w:type="pct"/>
            <w:tcBorders>
              <w:top w:val="single" w:sz="4" w:space="0" w:color="auto"/>
            </w:tcBorders>
          </w:tcPr>
          <w:p w:rsidR="003A7DCB" w:rsidRPr="003A7DCB" w:rsidP="003A7DCB" w14:paraId="22D1A147" w14:textId="52D446FA">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 xml:space="preserve">Total Number of </w:t>
            </w:r>
            <w:r w:rsidR="006124E6">
              <w:rPr>
                <w:rFonts w:ascii="Calibri" w:eastAsia="Times New Roman" w:hAnsi="Calibri" w:cs="Calibri"/>
                <w:sz w:val="24"/>
                <w:szCs w:val="24"/>
              </w:rPr>
              <w:t xml:space="preserve">Potential </w:t>
            </w:r>
            <w:r w:rsidRPr="003A7DCB">
              <w:rPr>
                <w:rFonts w:ascii="Calibri" w:eastAsia="Times New Roman" w:hAnsi="Calibri" w:cs="Calibri"/>
                <w:sz w:val="24"/>
                <w:szCs w:val="24"/>
              </w:rPr>
              <w:t xml:space="preserve">Respondents </w:t>
            </w:r>
          </w:p>
        </w:tc>
        <w:tc>
          <w:tcPr>
            <w:tcW w:w="1184" w:type="pct"/>
            <w:tcBorders>
              <w:top w:val="single" w:sz="4" w:space="0" w:color="auto"/>
            </w:tcBorders>
          </w:tcPr>
          <w:p w:rsidR="003A7DCB" w:rsidRPr="003A7DCB" w:rsidP="003A7DCB" w14:paraId="5F24F516" w14:textId="682FE781">
            <w:pPr>
              <w:tabs>
                <w:tab w:val="decimal" w:pos="1736"/>
              </w:tabs>
              <w:spacing w:after="0" w:line="240" w:lineRule="auto"/>
              <w:jc w:val="right"/>
              <w:rPr>
                <w:rFonts w:ascii="Calibri" w:eastAsia="Times New Roman" w:hAnsi="Calibri" w:cs="Calibri"/>
                <w:sz w:val="24"/>
                <w:szCs w:val="24"/>
              </w:rPr>
            </w:pPr>
            <w:r w:rsidRPr="003A7DCB">
              <w:rPr>
                <w:rFonts w:ascii="Calibri" w:eastAsia="Times New Roman" w:hAnsi="Calibri" w:cs="Calibri"/>
                <w:sz w:val="24"/>
                <w:szCs w:val="24"/>
              </w:rPr>
              <w:t>146,</w:t>
            </w:r>
            <w:r w:rsidR="007431CC">
              <w:rPr>
                <w:rFonts w:ascii="Calibri" w:eastAsia="Times New Roman" w:hAnsi="Calibri" w:cs="Calibri"/>
                <w:sz w:val="24"/>
                <w:szCs w:val="24"/>
              </w:rPr>
              <w:t>165</w:t>
            </w:r>
          </w:p>
        </w:tc>
      </w:tr>
      <w:tr w14:paraId="7E0A1EFD" w14:textId="77777777" w:rsidTr="00836EBB">
        <w:tblPrEx>
          <w:tblW w:w="5000" w:type="pct"/>
          <w:tblLook w:val="01E0"/>
        </w:tblPrEx>
        <w:trPr>
          <w:trHeight w:val="240"/>
        </w:trPr>
        <w:tc>
          <w:tcPr>
            <w:tcW w:w="418" w:type="pct"/>
          </w:tcPr>
          <w:p w:rsidR="00CD2F79" w:rsidRPr="003A7DCB" w:rsidP="003A7DCB" w14:paraId="646AF225" w14:textId="1C235731">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[B]</w:t>
            </w:r>
          </w:p>
        </w:tc>
        <w:tc>
          <w:tcPr>
            <w:tcW w:w="3398" w:type="pct"/>
          </w:tcPr>
          <w:p w:rsidR="00CD2F79" w:rsidRPr="003A7DCB" w:rsidP="003A7DCB" w14:paraId="75D8659C" w14:textId="1E884C49">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Estimated Average Number of Respondents Per </w:t>
            </w:r>
            <w:r w:rsidR="00F174B1">
              <w:rPr>
                <w:rFonts w:ascii="Calibri" w:eastAsia="Times New Roman" w:hAnsi="Calibri" w:cs="Calibri"/>
                <w:sz w:val="24"/>
                <w:szCs w:val="24"/>
              </w:rPr>
              <w:t>Survey</w:t>
            </w:r>
          </w:p>
        </w:tc>
        <w:tc>
          <w:tcPr>
            <w:tcW w:w="1184" w:type="pct"/>
          </w:tcPr>
          <w:p w:rsidR="00CD2F79" w:rsidRPr="003A7DCB" w:rsidP="003A7DCB" w14:paraId="09BEF6AE" w14:textId="58DFA124">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24,3</w:t>
            </w:r>
            <w:r w:rsidR="001878DD">
              <w:rPr>
                <w:rFonts w:ascii="Calibri" w:eastAsia="Times New Roman" w:hAnsi="Calibri" w:cs="Calibri"/>
                <w:sz w:val="24"/>
                <w:szCs w:val="24"/>
              </w:rPr>
              <w:t>61</w:t>
            </w:r>
          </w:p>
        </w:tc>
      </w:tr>
      <w:tr w14:paraId="358839D6" w14:textId="77777777" w:rsidTr="00836EBB">
        <w:tblPrEx>
          <w:tblW w:w="5000" w:type="pct"/>
          <w:tblLook w:val="01E0"/>
        </w:tblPrEx>
        <w:trPr>
          <w:trHeight w:val="240"/>
        </w:trPr>
        <w:tc>
          <w:tcPr>
            <w:tcW w:w="418" w:type="pct"/>
          </w:tcPr>
          <w:p w:rsidR="001571E9" w:rsidRPr="003A7DCB" w:rsidP="001571E9" w14:paraId="58E81CB7" w14:textId="74E84AED">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[C]</w:t>
            </w:r>
          </w:p>
        </w:tc>
        <w:tc>
          <w:tcPr>
            <w:tcW w:w="3398" w:type="pct"/>
          </w:tcPr>
          <w:p w:rsidR="001571E9" w:rsidRPr="003A7DCB" w:rsidP="001571E9" w14:paraId="5BA2734B" w14:textId="56AE6239">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Maximum Number of Annual Information Collection Activities</w:t>
            </w:r>
          </w:p>
        </w:tc>
        <w:tc>
          <w:tcPr>
            <w:tcW w:w="1184" w:type="pct"/>
          </w:tcPr>
          <w:p w:rsidR="001571E9" w:rsidRPr="003A7DCB" w:rsidP="001571E9" w14:paraId="022DE3C9" w14:textId="6CD65E8A">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2</w:t>
            </w:r>
          </w:p>
        </w:tc>
      </w:tr>
      <w:tr w14:paraId="29339DE8" w14:textId="77777777" w:rsidTr="00836EBB">
        <w:tblPrEx>
          <w:tblW w:w="5000" w:type="pct"/>
          <w:tblLook w:val="01E0"/>
        </w:tblPrEx>
        <w:trPr>
          <w:trHeight w:val="240"/>
        </w:trPr>
        <w:tc>
          <w:tcPr>
            <w:tcW w:w="418" w:type="pct"/>
          </w:tcPr>
          <w:p w:rsidR="001571E9" w:rsidRPr="003A7DCB" w:rsidP="001571E9" w14:paraId="1F6A542A" w14:textId="4A7CBE6D">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[D]</w:t>
            </w:r>
          </w:p>
        </w:tc>
        <w:tc>
          <w:tcPr>
            <w:tcW w:w="3398" w:type="pct"/>
          </w:tcPr>
          <w:p w:rsidR="001571E9" w:rsidRPr="003A7DCB" w:rsidP="001571E9" w14:paraId="4D2B81C2"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Time to Complete One Survey (hour)</w:t>
            </w:r>
          </w:p>
        </w:tc>
        <w:tc>
          <w:tcPr>
            <w:tcW w:w="1184" w:type="pct"/>
          </w:tcPr>
          <w:p w:rsidR="001571E9" w:rsidRPr="003A7DCB" w:rsidP="001571E9" w14:paraId="191DD9A7" w14:textId="77777777">
            <w:pPr>
              <w:tabs>
                <w:tab w:val="decimal" w:pos="1736"/>
              </w:tabs>
              <w:spacing w:after="0" w:line="240" w:lineRule="auto"/>
              <w:jc w:val="right"/>
              <w:rPr>
                <w:rFonts w:ascii="Calibri" w:eastAsia="Times New Roman" w:hAnsi="Calibri" w:cs="Calibri"/>
                <w:sz w:val="24"/>
                <w:szCs w:val="24"/>
              </w:rPr>
            </w:pPr>
            <w:r w:rsidRPr="003A7DCB">
              <w:rPr>
                <w:rFonts w:ascii="Calibri" w:eastAsia="Times New Roman" w:hAnsi="Calibri" w:cs="Calibri"/>
                <w:sz w:val="24"/>
                <w:szCs w:val="24"/>
              </w:rPr>
              <w:t>0.3</w:t>
            </w:r>
          </w:p>
        </w:tc>
      </w:tr>
      <w:tr w14:paraId="40C48B66" w14:textId="77777777" w:rsidTr="00836EBB">
        <w:tblPrEx>
          <w:tblW w:w="5000" w:type="pct"/>
          <w:tblLook w:val="01E0"/>
        </w:tblPrEx>
        <w:trPr>
          <w:trHeight w:val="240"/>
        </w:trPr>
        <w:tc>
          <w:tcPr>
            <w:tcW w:w="418" w:type="pct"/>
            <w:tcBorders>
              <w:bottom w:val="single" w:sz="4" w:space="0" w:color="auto"/>
            </w:tcBorders>
          </w:tcPr>
          <w:p w:rsidR="001571E9" w:rsidRPr="003A7DCB" w:rsidP="001571E9" w14:paraId="460E22D4" w14:textId="7D49F12C">
            <w:pPr>
              <w:spacing w:after="0" w:line="240" w:lineRule="auto"/>
              <w:rPr>
                <w:rFonts w:ascii="Calibri" w:eastAsia="Times New Roman" w:hAnsi="Calibri" w:cs="Calibri"/>
                <w:sz w:val="24"/>
                <w:szCs w:val="24"/>
              </w:rPr>
            </w:pPr>
            <w:r>
              <w:rPr>
                <w:rFonts w:ascii="Calibri" w:eastAsia="Times New Roman" w:hAnsi="Calibri" w:cs="Calibri"/>
                <w:sz w:val="24"/>
                <w:szCs w:val="24"/>
              </w:rPr>
              <w:t>[</w:t>
            </w:r>
            <w:r w:rsidR="005420ED">
              <w:rPr>
                <w:rFonts w:ascii="Calibri" w:eastAsia="Times New Roman" w:hAnsi="Calibri" w:cs="Calibri"/>
                <w:sz w:val="24"/>
                <w:szCs w:val="24"/>
              </w:rPr>
              <w:t>E</w:t>
            </w:r>
            <w:r>
              <w:rPr>
                <w:rFonts w:ascii="Calibri" w:eastAsia="Times New Roman" w:hAnsi="Calibri" w:cs="Calibri"/>
                <w:sz w:val="24"/>
                <w:szCs w:val="24"/>
              </w:rPr>
              <w:t>]</w:t>
            </w:r>
          </w:p>
        </w:tc>
        <w:tc>
          <w:tcPr>
            <w:tcW w:w="3398" w:type="pct"/>
            <w:tcBorders>
              <w:bottom w:val="single" w:sz="4" w:space="0" w:color="auto"/>
            </w:tcBorders>
          </w:tcPr>
          <w:p w:rsidR="001571E9" w:rsidRPr="003A7DCB" w:rsidP="001571E9" w14:paraId="275AF14A"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Total Burden (hours)</w:t>
            </w:r>
          </w:p>
          <w:p w:rsidR="001571E9" w:rsidRPr="003A7DCB" w:rsidP="001571E9" w14:paraId="66E7684A" w14:textId="18B61BE6">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w:t>
            </w:r>
            <w:r w:rsidR="001639B6">
              <w:rPr>
                <w:rFonts w:ascii="Calibri" w:eastAsia="Times New Roman" w:hAnsi="Calibri" w:cs="Calibri"/>
                <w:sz w:val="24"/>
                <w:szCs w:val="24"/>
              </w:rPr>
              <w:t>E</w:t>
            </w:r>
            <w:r w:rsidRPr="003A7DCB">
              <w:rPr>
                <w:rFonts w:ascii="Calibri" w:eastAsia="Times New Roman" w:hAnsi="Calibri" w:cs="Calibri"/>
                <w:sz w:val="24"/>
                <w:szCs w:val="24"/>
              </w:rPr>
              <w:t>] = [A</w:t>
            </w:r>
            <w:r w:rsidR="00490B00">
              <w:rPr>
                <w:rFonts w:ascii="Calibri" w:eastAsia="Times New Roman" w:hAnsi="Calibri" w:cs="Calibri"/>
                <w:sz w:val="24"/>
                <w:szCs w:val="24"/>
              </w:rPr>
              <w:t>/6</w:t>
            </w:r>
            <w:r w:rsidRPr="003A7DCB">
              <w:rPr>
                <w:rFonts w:ascii="Calibri" w:eastAsia="Times New Roman" w:hAnsi="Calibri" w:cs="Calibri"/>
                <w:sz w:val="24"/>
                <w:szCs w:val="24"/>
              </w:rPr>
              <w:t>]</w:t>
            </w:r>
            <w:r w:rsidR="001639B6">
              <w:rPr>
                <w:rFonts w:ascii="Calibri" w:eastAsia="Times New Roman" w:hAnsi="Calibri" w:cs="Calibri"/>
                <w:sz w:val="24"/>
                <w:szCs w:val="24"/>
              </w:rPr>
              <w:t>=B]</w:t>
            </w:r>
            <w:r w:rsidRPr="003A7DCB">
              <w:rPr>
                <w:rFonts w:ascii="Calibri" w:eastAsia="Times New Roman" w:hAnsi="Calibri" w:cs="Calibri"/>
                <w:sz w:val="24"/>
                <w:szCs w:val="24"/>
              </w:rPr>
              <w:t>*[B]*[C]</w:t>
            </w:r>
            <w:r w:rsidR="00D96E3B">
              <w:rPr>
                <w:rFonts w:ascii="Calibri" w:eastAsia="Times New Roman" w:hAnsi="Calibri" w:cs="Calibri"/>
                <w:sz w:val="24"/>
                <w:szCs w:val="24"/>
              </w:rPr>
              <w:t>*[D]</w:t>
            </w:r>
          </w:p>
        </w:tc>
        <w:tc>
          <w:tcPr>
            <w:tcW w:w="1184" w:type="pct"/>
            <w:tcBorders>
              <w:bottom w:val="single" w:sz="4" w:space="0" w:color="auto"/>
            </w:tcBorders>
          </w:tcPr>
          <w:p w:rsidR="001571E9" w:rsidRPr="003A7DCB" w:rsidP="001571E9" w14:paraId="5698D8DD" w14:textId="1D590439">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14,6</w:t>
            </w:r>
            <w:r w:rsidR="00F019D1">
              <w:rPr>
                <w:rFonts w:ascii="Calibri" w:eastAsia="Times New Roman" w:hAnsi="Calibri" w:cs="Calibri"/>
                <w:sz w:val="24"/>
                <w:szCs w:val="24"/>
              </w:rPr>
              <w:t>17</w:t>
            </w:r>
          </w:p>
        </w:tc>
      </w:tr>
    </w:tbl>
    <w:p w:rsidR="00EB440D" w:rsidP="00EB440D" w14:paraId="54C49EB5" w14:textId="5A105F73">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Finally</w:t>
      </w:r>
      <w:r w:rsidRPr="000F43B2">
        <w:rPr>
          <w:rFonts w:cstheme="minorHAnsi"/>
          <w:color w:val="000000"/>
        </w:rPr>
        <w:t xml:space="preserve">, there will be </w:t>
      </w:r>
      <w:r w:rsidR="00016922">
        <w:rPr>
          <w:rFonts w:cstheme="minorHAnsi"/>
          <w:color w:val="000000"/>
        </w:rPr>
        <w:t xml:space="preserve">on average </w:t>
      </w:r>
      <w:r w:rsidRPr="000F43B2">
        <w:rPr>
          <w:rFonts w:cstheme="minorHAnsi"/>
          <w:color w:val="000000"/>
        </w:rPr>
        <w:t xml:space="preserve">up to two </w:t>
      </w:r>
      <w:r w:rsidR="00EA1743">
        <w:rPr>
          <w:rFonts w:cstheme="minorHAnsi"/>
          <w:color w:val="000000"/>
        </w:rPr>
        <w:t xml:space="preserve">focus group sessions per year. </w:t>
      </w:r>
      <w:r w:rsidRPr="000F43B2">
        <w:rPr>
          <w:rFonts w:cstheme="minorHAnsi"/>
          <w:color w:val="000000"/>
        </w:rPr>
        <w:t xml:space="preserve">The potential burden of these activities is described in Table </w:t>
      </w:r>
      <w:r w:rsidR="009E47A5">
        <w:rPr>
          <w:rFonts w:cstheme="minorHAnsi"/>
          <w:color w:val="000000"/>
        </w:rPr>
        <w:t>3</w:t>
      </w:r>
      <w:r w:rsidRPr="000F43B2">
        <w:rPr>
          <w:rFonts w:cstheme="minorHAnsi"/>
          <w:color w:val="000000"/>
        </w:rPr>
        <w:t xml:space="preserve">. </w:t>
      </w:r>
      <w:r w:rsidR="008F2E85">
        <w:rPr>
          <w:rFonts w:cstheme="minorHAnsi"/>
          <w:color w:val="000000"/>
        </w:rPr>
        <w:t>EPA</w:t>
      </w:r>
      <w:r w:rsidRPr="000F43B2">
        <w:rPr>
          <w:rFonts w:cstheme="minorHAnsi"/>
          <w:color w:val="000000"/>
        </w:rPr>
        <w:t xml:space="preserve"> </w:t>
      </w:r>
      <w:r w:rsidR="00FB5211">
        <w:rPr>
          <w:rFonts w:cstheme="minorHAnsi"/>
          <w:color w:val="000000"/>
        </w:rPr>
        <w:t>estimates</w:t>
      </w:r>
      <w:r w:rsidRPr="000F43B2">
        <w:rPr>
          <w:rFonts w:cstheme="minorHAnsi"/>
          <w:color w:val="000000"/>
        </w:rPr>
        <w:t xml:space="preserve"> </w:t>
      </w:r>
      <w:r w:rsidR="000B2E15">
        <w:rPr>
          <w:rFonts w:cstheme="minorHAnsi"/>
          <w:color w:val="000000"/>
        </w:rPr>
        <w:t>focus groups</w:t>
      </w:r>
      <w:r w:rsidRPr="000F43B2">
        <w:rPr>
          <w:rFonts w:cstheme="minorHAnsi"/>
          <w:color w:val="000000"/>
        </w:rPr>
        <w:t xml:space="preserve"> will </w:t>
      </w:r>
      <w:r w:rsidR="00A95841">
        <w:rPr>
          <w:rFonts w:cstheme="minorHAnsi"/>
          <w:color w:val="000000"/>
        </w:rPr>
        <w:t xml:space="preserve">last </w:t>
      </w:r>
      <w:r w:rsidRPr="000F43B2">
        <w:rPr>
          <w:rFonts w:cstheme="minorHAnsi"/>
          <w:color w:val="000000"/>
        </w:rPr>
        <w:t>no more than 2</w:t>
      </w:r>
      <w:r w:rsidR="000B2E15">
        <w:rPr>
          <w:rFonts w:cstheme="minorHAnsi"/>
          <w:color w:val="000000"/>
        </w:rPr>
        <w:t xml:space="preserve"> hours </w:t>
      </w:r>
      <w:r w:rsidRPr="000F43B2">
        <w:rPr>
          <w:rFonts w:cstheme="minorHAnsi"/>
          <w:color w:val="000000"/>
        </w:rPr>
        <w:t>for respondents to complete.</w:t>
      </w:r>
    </w:p>
    <w:p w:rsidR="00EB440D" w:rsidRPr="003A7DCB" w:rsidP="00EB440D" w14:paraId="16096C7C" w14:textId="7CEAF3A2">
      <w:pPr>
        <w:pStyle w:val="NoSpacing"/>
        <w:rPr>
          <w:b/>
          <w:bCs/>
        </w:rPr>
      </w:pPr>
      <w:r w:rsidRPr="003A7DCB">
        <w:rPr>
          <w:b/>
          <w:bCs/>
        </w:rPr>
        <w:t xml:space="preserve">Table </w:t>
      </w:r>
      <w:r w:rsidR="001D47BF">
        <w:rPr>
          <w:b/>
          <w:bCs/>
        </w:rPr>
        <w:t>3</w:t>
      </w:r>
    </w:p>
    <w:p w:rsidR="00EB440D" w:rsidRPr="003A7DCB" w:rsidP="00EB440D" w14:paraId="029385A7" w14:textId="3D6406B0">
      <w:pPr>
        <w:pStyle w:val="NoSpacing"/>
        <w:rPr>
          <w:b/>
          <w:bCs/>
        </w:rPr>
      </w:pPr>
      <w:r w:rsidRPr="003A7DCB">
        <w:rPr>
          <w:b/>
          <w:bCs/>
        </w:rPr>
        <w:t xml:space="preserve">Estimated Maximum </w:t>
      </w:r>
      <w:r w:rsidR="006C7309">
        <w:rPr>
          <w:b/>
          <w:bCs/>
        </w:rPr>
        <w:t xml:space="preserve">Annual </w:t>
      </w:r>
      <w:r w:rsidRPr="003A7DCB">
        <w:rPr>
          <w:b/>
          <w:bCs/>
        </w:rPr>
        <w:t xml:space="preserve">Burden </w:t>
      </w:r>
      <w:r w:rsidR="001D47BF">
        <w:rPr>
          <w:b/>
          <w:bCs/>
        </w:rPr>
        <w:t>for Focus Group Activities</w:t>
      </w:r>
    </w:p>
    <w:tbl>
      <w:tblPr>
        <w:tblW w:w="5000" w:type="pct"/>
        <w:tblBorders>
          <w:top w:val="single" w:sz="4" w:space="0" w:color="auto"/>
          <w:bottom w:val="single" w:sz="4" w:space="0" w:color="auto"/>
        </w:tblBorders>
        <w:tblLook w:val="01E0"/>
      </w:tblPr>
      <w:tblGrid>
        <w:gridCol w:w="783"/>
        <w:gridCol w:w="6449"/>
        <w:gridCol w:w="2128"/>
      </w:tblGrid>
      <w:tr w14:paraId="56824C56" w14:textId="77777777" w:rsidTr="00836EBB">
        <w:tblPrEx>
          <w:tblW w:w="5000" w:type="pct"/>
          <w:tblBorders>
            <w:top w:val="single" w:sz="4" w:space="0" w:color="auto"/>
            <w:bottom w:val="single" w:sz="4" w:space="0" w:color="auto"/>
          </w:tblBorders>
          <w:tblLook w:val="01E0"/>
        </w:tblPrEx>
        <w:trPr>
          <w:trHeight w:val="323"/>
        </w:trPr>
        <w:tc>
          <w:tcPr>
            <w:tcW w:w="3863" w:type="pct"/>
            <w:gridSpan w:val="2"/>
            <w:tcBorders>
              <w:top w:val="single" w:sz="4" w:space="0" w:color="auto"/>
              <w:left w:val="nil"/>
              <w:bottom w:val="single" w:sz="4" w:space="0" w:color="auto"/>
              <w:right w:val="nil"/>
            </w:tcBorders>
            <w:shd w:val="clear" w:color="auto" w:fill="AFBED7"/>
          </w:tcPr>
          <w:p w:rsidR="00EB440D" w:rsidRPr="003A7DCB" w:rsidP="009A4C11" w14:paraId="707AF869" w14:textId="77777777">
            <w:pPr>
              <w:keepNext/>
              <w:tabs>
                <w:tab w:val="left" w:pos="1152"/>
              </w:tabs>
              <w:spacing w:after="0" w:line="240" w:lineRule="auto"/>
              <w:outlineLvl w:val="0"/>
              <w:rPr>
                <w:rFonts w:ascii="Calibri" w:eastAsia="Times New Roman" w:hAnsi="Calibri" w:cs="Calibri"/>
                <w:b/>
                <w:sz w:val="24"/>
                <w:szCs w:val="24"/>
              </w:rPr>
            </w:pPr>
          </w:p>
        </w:tc>
        <w:tc>
          <w:tcPr>
            <w:tcW w:w="1137" w:type="pct"/>
            <w:tcBorders>
              <w:top w:val="single" w:sz="4" w:space="0" w:color="auto"/>
              <w:left w:val="nil"/>
              <w:bottom w:val="single" w:sz="4" w:space="0" w:color="auto"/>
              <w:right w:val="nil"/>
            </w:tcBorders>
            <w:shd w:val="clear" w:color="auto" w:fill="AFBED7"/>
            <w:vAlign w:val="bottom"/>
          </w:tcPr>
          <w:p w:rsidR="00EB440D" w:rsidRPr="003A7DCB" w:rsidP="009A4C11" w14:paraId="3898BC73" w14:textId="7B03C4FD">
            <w:pPr>
              <w:keepNext/>
              <w:tabs>
                <w:tab w:val="left" w:pos="1152"/>
              </w:tabs>
              <w:spacing w:after="0" w:line="240" w:lineRule="auto"/>
              <w:ind w:left="1140"/>
              <w:jc w:val="right"/>
              <w:outlineLvl w:val="0"/>
              <w:rPr>
                <w:rFonts w:ascii="Calibri" w:eastAsia="Times New Roman" w:hAnsi="Calibri" w:cs="Calibri"/>
                <w:b/>
                <w:sz w:val="24"/>
                <w:szCs w:val="24"/>
              </w:rPr>
            </w:pPr>
            <w:r>
              <w:rPr>
                <w:rFonts w:ascii="Calibri" w:eastAsia="Times New Roman" w:hAnsi="Calibri" w:cs="Calibri"/>
                <w:b/>
                <w:sz w:val="24"/>
                <w:szCs w:val="24"/>
              </w:rPr>
              <w:t>Value</w:t>
            </w:r>
          </w:p>
        </w:tc>
      </w:tr>
      <w:tr w14:paraId="2E5DA5E6" w14:textId="77777777" w:rsidTr="00836EBB">
        <w:tblPrEx>
          <w:tblW w:w="5000" w:type="pct"/>
          <w:tblLook w:val="01E0"/>
        </w:tblPrEx>
        <w:trPr>
          <w:trHeight w:val="240"/>
        </w:trPr>
        <w:tc>
          <w:tcPr>
            <w:tcW w:w="418" w:type="pct"/>
          </w:tcPr>
          <w:p w:rsidR="00EB440D" w:rsidRPr="003A7DCB" w:rsidP="009A4C11" w14:paraId="5FB760CC"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[A]</w:t>
            </w:r>
          </w:p>
        </w:tc>
        <w:tc>
          <w:tcPr>
            <w:tcW w:w="3445" w:type="pct"/>
          </w:tcPr>
          <w:p w:rsidR="00EB440D" w:rsidRPr="003A7DCB" w:rsidP="009A4C11" w14:paraId="19095EFC"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 xml:space="preserve">Total Number of Respondents </w:t>
            </w:r>
          </w:p>
        </w:tc>
        <w:tc>
          <w:tcPr>
            <w:tcW w:w="1137" w:type="pct"/>
          </w:tcPr>
          <w:p w:rsidR="00EB440D" w:rsidRPr="003A7DCB" w:rsidP="009A4C11" w14:paraId="178D9A1A" w14:textId="5AA90649">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18</w:t>
            </w:r>
            <w:r w:rsidR="000D1414">
              <w:rPr>
                <w:rFonts w:ascii="Calibri" w:eastAsia="Times New Roman" w:hAnsi="Calibri" w:cs="Calibri"/>
                <w:sz w:val="24"/>
                <w:szCs w:val="24"/>
              </w:rPr>
              <w:t>0</w:t>
            </w:r>
          </w:p>
        </w:tc>
      </w:tr>
      <w:tr w14:paraId="63468A35" w14:textId="77777777" w:rsidTr="00836EBB">
        <w:tblPrEx>
          <w:tblW w:w="5000" w:type="pct"/>
          <w:tblLook w:val="01E0"/>
        </w:tblPrEx>
        <w:trPr>
          <w:trHeight w:val="240"/>
        </w:trPr>
        <w:tc>
          <w:tcPr>
            <w:tcW w:w="418" w:type="pct"/>
          </w:tcPr>
          <w:p w:rsidR="00A3298F" w:rsidRPr="003A7DCB" w:rsidP="00A3298F" w14:paraId="59B222D9"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[B]</w:t>
            </w:r>
          </w:p>
        </w:tc>
        <w:tc>
          <w:tcPr>
            <w:tcW w:w="3445" w:type="pct"/>
          </w:tcPr>
          <w:p w:rsidR="00A3298F" w:rsidRPr="003A7DCB" w:rsidP="00A3298F" w14:paraId="21EFC4D0" w14:textId="00E0AA9B">
            <w:pPr>
              <w:spacing w:after="0" w:line="240" w:lineRule="auto"/>
              <w:rPr>
                <w:rFonts w:ascii="Calibri" w:eastAsia="Times New Roman" w:hAnsi="Calibri" w:cs="Calibri"/>
                <w:sz w:val="24"/>
                <w:szCs w:val="24"/>
              </w:rPr>
            </w:pPr>
            <w:r>
              <w:rPr>
                <w:rFonts w:ascii="Calibri" w:eastAsia="Times New Roman" w:hAnsi="Calibri" w:cs="Calibri"/>
                <w:sz w:val="24"/>
                <w:szCs w:val="24"/>
              </w:rPr>
              <w:t>Estimated Average Number of Respondents Per Focus Group</w:t>
            </w:r>
          </w:p>
        </w:tc>
        <w:tc>
          <w:tcPr>
            <w:tcW w:w="1137" w:type="pct"/>
          </w:tcPr>
          <w:p w:rsidR="00A3298F" w:rsidRPr="003A7DCB" w:rsidP="00A3298F" w14:paraId="065E1B36" w14:textId="6D06F148">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1</w:t>
            </w:r>
            <w:r w:rsidR="00853EDF">
              <w:rPr>
                <w:rFonts w:ascii="Calibri" w:eastAsia="Times New Roman" w:hAnsi="Calibri" w:cs="Calibri"/>
                <w:sz w:val="24"/>
                <w:szCs w:val="24"/>
              </w:rPr>
              <w:t>5</w:t>
            </w:r>
          </w:p>
        </w:tc>
      </w:tr>
      <w:tr w14:paraId="26C56A11" w14:textId="77777777" w:rsidTr="00836EBB">
        <w:tblPrEx>
          <w:tblW w:w="5000" w:type="pct"/>
          <w:tblLook w:val="01E0"/>
        </w:tblPrEx>
        <w:trPr>
          <w:trHeight w:val="240"/>
        </w:trPr>
        <w:tc>
          <w:tcPr>
            <w:tcW w:w="418" w:type="pct"/>
          </w:tcPr>
          <w:p w:rsidR="00A3298F" w:rsidRPr="003A7DCB" w:rsidP="00A3298F" w14:paraId="2430F7CF" w14:textId="594908D1">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[C]</w:t>
            </w:r>
          </w:p>
        </w:tc>
        <w:tc>
          <w:tcPr>
            <w:tcW w:w="3445" w:type="pct"/>
          </w:tcPr>
          <w:p w:rsidR="00A3298F" w:rsidRPr="003A7DCB" w:rsidP="00A3298F" w14:paraId="059F90E7" w14:textId="30CB40B1">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 xml:space="preserve">Maximum Number of </w:t>
            </w:r>
            <w:r w:rsidR="00B45BC7">
              <w:rPr>
                <w:rFonts w:ascii="Calibri" w:eastAsia="Times New Roman" w:hAnsi="Calibri" w:cs="Calibri"/>
                <w:sz w:val="24"/>
                <w:szCs w:val="24"/>
              </w:rPr>
              <w:t xml:space="preserve">Focus Groups </w:t>
            </w:r>
            <w:r w:rsidR="00481574">
              <w:rPr>
                <w:rFonts w:ascii="Calibri" w:eastAsia="Times New Roman" w:hAnsi="Calibri" w:cs="Calibri"/>
                <w:sz w:val="24"/>
                <w:szCs w:val="24"/>
              </w:rPr>
              <w:t>Annually</w:t>
            </w:r>
          </w:p>
        </w:tc>
        <w:tc>
          <w:tcPr>
            <w:tcW w:w="1137" w:type="pct"/>
          </w:tcPr>
          <w:p w:rsidR="00A3298F" w:rsidRPr="003A7DCB" w:rsidP="00A3298F" w14:paraId="55869315" w14:textId="3E634394">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4</w:t>
            </w:r>
          </w:p>
        </w:tc>
      </w:tr>
      <w:tr w14:paraId="58198EFA" w14:textId="77777777" w:rsidTr="00836EBB">
        <w:tblPrEx>
          <w:tblW w:w="5000" w:type="pct"/>
          <w:tblLook w:val="01E0"/>
        </w:tblPrEx>
        <w:trPr>
          <w:trHeight w:val="240"/>
        </w:trPr>
        <w:tc>
          <w:tcPr>
            <w:tcW w:w="418" w:type="pct"/>
          </w:tcPr>
          <w:p w:rsidR="00A3298F" w:rsidRPr="003A7DCB" w:rsidP="00A3298F" w14:paraId="08E7C188" w14:textId="31784418">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[D]</w:t>
            </w:r>
          </w:p>
        </w:tc>
        <w:tc>
          <w:tcPr>
            <w:tcW w:w="3445" w:type="pct"/>
          </w:tcPr>
          <w:p w:rsidR="00A3298F" w:rsidRPr="003A7DCB" w:rsidP="00A3298F" w14:paraId="3DF8363A" w14:textId="063DBD1D">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 xml:space="preserve">Time to Complete One </w:t>
            </w:r>
            <w:r>
              <w:rPr>
                <w:rFonts w:ascii="Calibri" w:eastAsia="Times New Roman" w:hAnsi="Calibri" w:cs="Calibri"/>
                <w:sz w:val="24"/>
                <w:szCs w:val="24"/>
              </w:rPr>
              <w:t>Focus Group</w:t>
            </w:r>
            <w:r w:rsidRPr="003A7DCB">
              <w:rPr>
                <w:rFonts w:ascii="Calibri" w:eastAsia="Times New Roman" w:hAnsi="Calibri" w:cs="Calibri"/>
                <w:sz w:val="24"/>
                <w:szCs w:val="24"/>
              </w:rPr>
              <w:t xml:space="preserve"> (hour)</w:t>
            </w:r>
          </w:p>
        </w:tc>
        <w:tc>
          <w:tcPr>
            <w:tcW w:w="1137" w:type="pct"/>
          </w:tcPr>
          <w:p w:rsidR="00A3298F" w:rsidRPr="003A7DCB" w:rsidP="00A3298F" w14:paraId="76453545" w14:textId="1DC38FC5">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2</w:t>
            </w:r>
          </w:p>
        </w:tc>
      </w:tr>
      <w:tr w14:paraId="5861C75F" w14:textId="77777777" w:rsidTr="00836EBB">
        <w:tblPrEx>
          <w:tblW w:w="5000" w:type="pct"/>
          <w:tblLook w:val="01E0"/>
        </w:tblPrEx>
        <w:trPr>
          <w:trHeight w:val="240"/>
        </w:trPr>
        <w:tc>
          <w:tcPr>
            <w:tcW w:w="418" w:type="pct"/>
          </w:tcPr>
          <w:p w:rsidR="00A3298F" w:rsidRPr="003A7DCB" w:rsidP="00A3298F" w14:paraId="7E82D50E" w14:textId="770F1F71">
            <w:pPr>
              <w:spacing w:after="0" w:line="240" w:lineRule="auto"/>
              <w:rPr>
                <w:rFonts w:ascii="Calibri" w:eastAsia="Times New Roman" w:hAnsi="Calibri" w:cs="Calibri"/>
                <w:sz w:val="24"/>
                <w:szCs w:val="24"/>
              </w:rPr>
            </w:pPr>
            <w:r>
              <w:rPr>
                <w:rFonts w:ascii="Calibri" w:eastAsia="Times New Roman" w:hAnsi="Calibri" w:cs="Calibri"/>
                <w:sz w:val="24"/>
                <w:szCs w:val="24"/>
              </w:rPr>
              <w:t>[E]</w:t>
            </w:r>
          </w:p>
        </w:tc>
        <w:tc>
          <w:tcPr>
            <w:tcW w:w="3445" w:type="pct"/>
          </w:tcPr>
          <w:p w:rsidR="00A3298F" w:rsidRPr="003A7DCB" w:rsidP="00A3298F" w14:paraId="7C3473D7" w14:textId="77777777">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Total Burden (hours)</w:t>
            </w:r>
          </w:p>
          <w:p w:rsidR="00777315" w:rsidP="00A3298F" w14:paraId="3707FAC1" w14:textId="57571602">
            <w:pPr>
              <w:spacing w:after="0" w:line="240" w:lineRule="auto"/>
              <w:rPr>
                <w:rFonts w:ascii="Calibri" w:eastAsia="Times New Roman" w:hAnsi="Calibri" w:cs="Calibri"/>
                <w:sz w:val="24"/>
                <w:szCs w:val="24"/>
              </w:rPr>
            </w:pPr>
            <w:r>
              <w:rPr>
                <w:rFonts w:ascii="Calibri" w:eastAsia="Times New Roman" w:hAnsi="Calibri" w:cs="Calibri"/>
                <w:sz w:val="24"/>
                <w:szCs w:val="24"/>
              </w:rPr>
              <w:t>[A] = [B]*[C]</w:t>
            </w:r>
          </w:p>
          <w:p w:rsidR="00A3298F" w:rsidRPr="003A7DCB" w:rsidP="00A3298F" w14:paraId="034D05C1" w14:textId="7EFE2B05">
            <w:pPr>
              <w:spacing w:after="0" w:line="240" w:lineRule="auto"/>
              <w:rPr>
                <w:rFonts w:ascii="Calibri" w:eastAsia="Times New Roman" w:hAnsi="Calibri" w:cs="Calibri"/>
                <w:sz w:val="24"/>
                <w:szCs w:val="24"/>
              </w:rPr>
            </w:pPr>
            <w:r w:rsidRPr="003A7DCB">
              <w:rPr>
                <w:rFonts w:ascii="Calibri" w:eastAsia="Times New Roman" w:hAnsi="Calibri" w:cs="Calibri"/>
                <w:sz w:val="24"/>
                <w:szCs w:val="24"/>
              </w:rPr>
              <w:t>[</w:t>
            </w:r>
            <w:r>
              <w:rPr>
                <w:rFonts w:ascii="Calibri" w:eastAsia="Times New Roman" w:hAnsi="Calibri" w:cs="Calibri"/>
                <w:sz w:val="24"/>
                <w:szCs w:val="24"/>
              </w:rPr>
              <w:t>E</w:t>
            </w:r>
            <w:r w:rsidRPr="003A7DCB">
              <w:rPr>
                <w:rFonts w:ascii="Calibri" w:eastAsia="Times New Roman" w:hAnsi="Calibri" w:cs="Calibri"/>
                <w:sz w:val="24"/>
                <w:szCs w:val="24"/>
              </w:rPr>
              <w:t>] = [B]*[C]</w:t>
            </w:r>
            <w:r w:rsidR="00853EDF">
              <w:rPr>
                <w:rFonts w:ascii="Calibri" w:eastAsia="Times New Roman" w:hAnsi="Calibri" w:cs="Calibri"/>
                <w:sz w:val="24"/>
                <w:szCs w:val="24"/>
              </w:rPr>
              <w:t>*[D]</w:t>
            </w:r>
          </w:p>
        </w:tc>
        <w:tc>
          <w:tcPr>
            <w:tcW w:w="1137" w:type="pct"/>
          </w:tcPr>
          <w:p w:rsidR="00A3298F" w:rsidRPr="003A7DCB" w:rsidP="00A3298F" w14:paraId="3CE28053" w14:textId="01245851">
            <w:pPr>
              <w:tabs>
                <w:tab w:val="decimal" w:pos="1736"/>
              </w:tabs>
              <w:spacing w:after="0" w:line="240" w:lineRule="auto"/>
              <w:jc w:val="right"/>
              <w:rPr>
                <w:rFonts w:ascii="Calibri" w:eastAsia="Times New Roman" w:hAnsi="Calibri" w:cs="Calibri"/>
                <w:sz w:val="24"/>
                <w:szCs w:val="24"/>
              </w:rPr>
            </w:pPr>
            <w:r>
              <w:rPr>
                <w:rFonts w:ascii="Calibri" w:eastAsia="Times New Roman" w:hAnsi="Calibri" w:cs="Calibri"/>
                <w:sz w:val="24"/>
                <w:szCs w:val="24"/>
              </w:rPr>
              <w:t>120</w:t>
            </w:r>
          </w:p>
        </w:tc>
      </w:tr>
    </w:tbl>
    <w:p w:rsidR="003A7DCB" w:rsidP="00854AAE" w14:paraId="1F51DCBA" w14:textId="3D18DFC4">
      <w:pPr>
        <w:pBdr>
          <w:top w:val="single" w:sz="6" w:space="0" w:color="FFFFFF"/>
          <w:left w:val="single" w:sz="6" w:space="0" w:color="FFFFFF"/>
          <w:bottom w:val="single" w:sz="6" w:space="0" w:color="FFFFFF"/>
          <w:right w:val="single" w:sz="6" w:space="0" w:color="FFFFFF"/>
        </w:pBdr>
        <w:spacing w:before="60"/>
        <w:rPr>
          <w:rFonts w:cstheme="minorHAnsi"/>
          <w:color w:val="000000"/>
        </w:rPr>
      </w:pPr>
      <w:r>
        <w:rPr>
          <w:rFonts w:cstheme="minorHAnsi"/>
          <w:color w:val="000000"/>
        </w:rPr>
        <w:t xml:space="preserve">Combined potential annual burden for these three groups of activities is </w:t>
      </w:r>
      <w:r w:rsidRPr="00D177B0" w:rsidR="00D177B0">
        <w:rPr>
          <w:rFonts w:cstheme="minorHAnsi"/>
          <w:color w:val="000000"/>
        </w:rPr>
        <w:t xml:space="preserve">presented in Table </w:t>
      </w:r>
      <w:r w:rsidR="008078E0">
        <w:rPr>
          <w:rFonts w:cstheme="minorHAnsi"/>
          <w:color w:val="000000"/>
        </w:rPr>
        <w:t>4</w:t>
      </w:r>
      <w:r w:rsidRPr="00D177B0" w:rsidR="00D177B0">
        <w:rPr>
          <w:rFonts w:cstheme="minorHAnsi"/>
          <w:color w:val="000000"/>
        </w:rPr>
        <w:t>.</w:t>
      </w:r>
    </w:p>
    <w:p w:rsidR="00D177B0" w:rsidRPr="00D177B0" w:rsidP="00D177B0" w14:paraId="58A58C5E" w14:textId="7E4D3F7C">
      <w:pPr>
        <w:pStyle w:val="NoSpacing"/>
        <w:rPr>
          <w:b/>
          <w:bCs/>
        </w:rPr>
      </w:pPr>
      <w:r w:rsidRPr="00D177B0">
        <w:rPr>
          <w:b/>
          <w:bCs/>
        </w:rPr>
        <w:t xml:space="preserve">Table </w:t>
      </w:r>
      <w:r w:rsidR="001D47BF">
        <w:rPr>
          <w:b/>
          <w:bCs/>
        </w:rPr>
        <w:t>4</w:t>
      </w:r>
    </w:p>
    <w:p w:rsidR="00D177B0" w:rsidRPr="00D177B0" w:rsidP="00D177B0" w14:paraId="103CB80E" w14:textId="0DB3EA39">
      <w:pPr>
        <w:pStyle w:val="NoSpacing"/>
        <w:rPr>
          <w:b/>
          <w:bCs/>
        </w:rPr>
      </w:pPr>
      <w:r w:rsidRPr="00D177B0">
        <w:rPr>
          <w:b/>
          <w:bCs/>
        </w:rPr>
        <w:t>Total Estimated Annual Burden</w:t>
      </w:r>
    </w:p>
    <w:tbl>
      <w:tblPr>
        <w:tblW w:w="5000" w:type="pct"/>
        <w:tblBorders>
          <w:top w:val="single" w:sz="4" w:space="0" w:color="auto"/>
          <w:bottom w:val="single" w:sz="4" w:space="0" w:color="auto"/>
        </w:tblBorders>
        <w:tblLook w:val="01E0"/>
      </w:tblPr>
      <w:tblGrid>
        <w:gridCol w:w="783"/>
        <w:gridCol w:w="5902"/>
        <w:gridCol w:w="11"/>
        <w:gridCol w:w="2664"/>
      </w:tblGrid>
      <w:tr w14:paraId="1C42CFDC" w14:textId="77777777" w:rsidTr="0013410C">
        <w:tblPrEx>
          <w:tblW w:w="5000" w:type="pct"/>
          <w:tblBorders>
            <w:top w:val="single" w:sz="4" w:space="0" w:color="auto"/>
            <w:bottom w:val="single" w:sz="4" w:space="0" w:color="auto"/>
          </w:tblBorders>
          <w:tblLook w:val="01E0"/>
        </w:tblPrEx>
        <w:trPr>
          <w:trHeight w:val="323"/>
        </w:trPr>
        <w:tc>
          <w:tcPr>
            <w:tcW w:w="3571" w:type="pct"/>
            <w:gridSpan w:val="2"/>
            <w:tcBorders>
              <w:top w:val="single" w:sz="4" w:space="0" w:color="auto"/>
              <w:left w:val="nil"/>
              <w:bottom w:val="single" w:sz="4" w:space="0" w:color="auto"/>
              <w:right w:val="nil"/>
            </w:tcBorders>
            <w:shd w:val="clear" w:color="auto" w:fill="AFBED7"/>
          </w:tcPr>
          <w:p w:rsidR="00D177B0" w:rsidRPr="00D177B0" w:rsidP="00D177B0" w14:paraId="1B92571F" w14:textId="77777777">
            <w:pPr>
              <w:keepNext/>
              <w:tabs>
                <w:tab w:val="left" w:pos="1152"/>
              </w:tabs>
              <w:spacing w:after="0" w:line="240" w:lineRule="auto"/>
              <w:outlineLvl w:val="0"/>
              <w:rPr>
                <w:rFonts w:ascii="Calibri" w:eastAsia="Times New Roman" w:hAnsi="Calibri" w:cs="Calibri"/>
                <w:bCs/>
                <w:sz w:val="24"/>
                <w:szCs w:val="24"/>
              </w:rPr>
            </w:pPr>
          </w:p>
        </w:tc>
        <w:tc>
          <w:tcPr>
            <w:tcW w:w="1429" w:type="pct"/>
            <w:gridSpan w:val="2"/>
            <w:tcBorders>
              <w:top w:val="single" w:sz="4" w:space="0" w:color="auto"/>
              <w:left w:val="nil"/>
              <w:bottom w:val="single" w:sz="4" w:space="0" w:color="auto"/>
              <w:right w:val="nil"/>
            </w:tcBorders>
            <w:shd w:val="clear" w:color="auto" w:fill="AFBED7"/>
            <w:vAlign w:val="bottom"/>
          </w:tcPr>
          <w:p w:rsidR="00D177B0" w:rsidRPr="00D177B0" w:rsidP="00D177B0" w14:paraId="5824F11D" w14:textId="59A8D77B">
            <w:pPr>
              <w:keepNext/>
              <w:tabs>
                <w:tab w:val="left" w:pos="1152"/>
              </w:tabs>
              <w:spacing w:after="0" w:line="240" w:lineRule="auto"/>
              <w:ind w:left="1140"/>
              <w:jc w:val="right"/>
              <w:outlineLvl w:val="0"/>
              <w:rPr>
                <w:rFonts w:ascii="Calibri" w:eastAsia="Times New Roman" w:hAnsi="Calibri" w:cs="Calibri"/>
                <w:bCs/>
                <w:sz w:val="24"/>
                <w:szCs w:val="24"/>
              </w:rPr>
            </w:pPr>
            <w:r>
              <w:rPr>
                <w:rFonts w:ascii="Calibri" w:eastAsia="Times New Roman" w:hAnsi="Calibri" w:cs="Calibri"/>
                <w:b/>
                <w:sz w:val="24"/>
                <w:szCs w:val="24"/>
              </w:rPr>
              <w:t>Hours</w:t>
            </w:r>
          </w:p>
        </w:tc>
      </w:tr>
      <w:tr w14:paraId="5C0B4140" w14:textId="77777777" w:rsidTr="0013410C">
        <w:tblPrEx>
          <w:tblW w:w="5000" w:type="pct"/>
          <w:tblLook w:val="01E0"/>
        </w:tblPrEx>
        <w:trPr>
          <w:trHeight w:val="240"/>
        </w:trPr>
        <w:tc>
          <w:tcPr>
            <w:tcW w:w="418" w:type="pct"/>
          </w:tcPr>
          <w:p w:rsidR="00D177B0" w:rsidRPr="00D177B0" w:rsidP="00D177B0" w14:paraId="4A2CFB18"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[A]</w:t>
            </w:r>
          </w:p>
        </w:tc>
        <w:tc>
          <w:tcPr>
            <w:tcW w:w="3159" w:type="pct"/>
            <w:gridSpan w:val="2"/>
          </w:tcPr>
          <w:p w:rsidR="00D177B0" w:rsidRPr="00D177B0" w:rsidP="00D177B0" w14:paraId="3AA9AF32" w14:textId="3D5F6938">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 xml:space="preserve">Quarterly </w:t>
            </w:r>
            <w:r w:rsidR="007B633F">
              <w:rPr>
                <w:rFonts w:ascii="Calibri" w:eastAsia="Times New Roman" w:hAnsi="Calibri" w:cs="Calibri"/>
                <w:bCs/>
                <w:sz w:val="24"/>
                <w:szCs w:val="24"/>
              </w:rPr>
              <w:t>Reports</w:t>
            </w:r>
            <w:r w:rsidRPr="00D177B0" w:rsidR="007B633F">
              <w:rPr>
                <w:rFonts w:ascii="Calibri" w:eastAsia="Times New Roman" w:hAnsi="Calibri" w:cs="Calibri"/>
                <w:bCs/>
                <w:sz w:val="24"/>
                <w:szCs w:val="24"/>
              </w:rPr>
              <w:t xml:space="preserve"> </w:t>
            </w:r>
          </w:p>
        </w:tc>
        <w:tc>
          <w:tcPr>
            <w:tcW w:w="1423" w:type="pct"/>
          </w:tcPr>
          <w:p w:rsidR="00D177B0" w:rsidRPr="00D177B0" w:rsidP="00D177B0" w14:paraId="1AB2E516" w14:textId="77777777">
            <w:pPr>
              <w:tabs>
                <w:tab w:val="decimal" w:pos="1736"/>
              </w:tabs>
              <w:spacing w:after="0" w:line="240" w:lineRule="auto"/>
              <w:jc w:val="right"/>
              <w:rPr>
                <w:rFonts w:ascii="Calibri" w:eastAsia="Times New Roman" w:hAnsi="Calibri" w:cs="Calibri"/>
                <w:bCs/>
                <w:sz w:val="24"/>
                <w:szCs w:val="24"/>
              </w:rPr>
            </w:pPr>
            <w:r w:rsidRPr="00D177B0">
              <w:rPr>
                <w:rFonts w:ascii="Calibri" w:eastAsia="Times New Roman" w:hAnsi="Calibri" w:cs="Calibri"/>
                <w:bCs/>
                <w:sz w:val="24"/>
                <w:szCs w:val="24"/>
              </w:rPr>
              <w:t>660</w:t>
            </w:r>
          </w:p>
        </w:tc>
      </w:tr>
      <w:tr w14:paraId="1DB39B53" w14:textId="77777777" w:rsidTr="0013410C">
        <w:tblPrEx>
          <w:tblW w:w="5000" w:type="pct"/>
          <w:tblLook w:val="01E0"/>
        </w:tblPrEx>
        <w:trPr>
          <w:trHeight w:val="240"/>
        </w:trPr>
        <w:tc>
          <w:tcPr>
            <w:tcW w:w="418" w:type="pct"/>
          </w:tcPr>
          <w:p w:rsidR="00D177B0" w:rsidRPr="00D177B0" w:rsidP="00D177B0" w14:paraId="36D3204C"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[B]</w:t>
            </w:r>
          </w:p>
        </w:tc>
        <w:tc>
          <w:tcPr>
            <w:tcW w:w="3159" w:type="pct"/>
            <w:gridSpan w:val="2"/>
          </w:tcPr>
          <w:p w:rsidR="00D177B0" w:rsidRPr="00D177B0" w:rsidP="00D177B0" w14:paraId="5C8ADA9A" w14:textId="1054538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 xml:space="preserve">Annual Additional </w:t>
            </w:r>
            <w:r w:rsidR="00476FB1">
              <w:rPr>
                <w:rFonts w:ascii="Calibri" w:eastAsia="Times New Roman" w:hAnsi="Calibri" w:cs="Calibri"/>
                <w:bCs/>
                <w:sz w:val="24"/>
                <w:szCs w:val="24"/>
              </w:rPr>
              <w:t>Surveys</w:t>
            </w:r>
          </w:p>
        </w:tc>
        <w:tc>
          <w:tcPr>
            <w:tcW w:w="1423" w:type="pct"/>
          </w:tcPr>
          <w:p w:rsidR="00D177B0" w:rsidRPr="00D177B0" w:rsidP="00D177B0" w14:paraId="55F11B5D" w14:textId="0E150EC7">
            <w:pPr>
              <w:tabs>
                <w:tab w:val="decimal" w:pos="1736"/>
              </w:tabs>
              <w:spacing w:after="0" w:line="240" w:lineRule="auto"/>
              <w:jc w:val="right"/>
              <w:rPr>
                <w:rFonts w:ascii="Calibri" w:eastAsia="Times New Roman" w:hAnsi="Calibri" w:cs="Calibri"/>
                <w:bCs/>
                <w:sz w:val="24"/>
                <w:szCs w:val="24"/>
              </w:rPr>
            </w:pPr>
            <w:r>
              <w:rPr>
                <w:rFonts w:ascii="Calibri" w:eastAsia="Times New Roman" w:hAnsi="Calibri" w:cs="Calibri"/>
                <w:bCs/>
                <w:sz w:val="24"/>
                <w:szCs w:val="24"/>
              </w:rPr>
              <w:t>14,6</w:t>
            </w:r>
            <w:r w:rsidR="002D77BC">
              <w:rPr>
                <w:rFonts w:ascii="Calibri" w:eastAsia="Times New Roman" w:hAnsi="Calibri" w:cs="Calibri"/>
                <w:bCs/>
                <w:sz w:val="24"/>
                <w:szCs w:val="24"/>
              </w:rPr>
              <w:t>17</w:t>
            </w:r>
          </w:p>
        </w:tc>
      </w:tr>
      <w:tr w14:paraId="396F29F2" w14:textId="77777777" w:rsidTr="009A4C11">
        <w:tblPrEx>
          <w:tblW w:w="5000" w:type="pct"/>
          <w:tblLook w:val="01E0"/>
        </w:tblPrEx>
        <w:trPr>
          <w:trHeight w:val="240"/>
        </w:trPr>
        <w:tc>
          <w:tcPr>
            <w:tcW w:w="418" w:type="pct"/>
          </w:tcPr>
          <w:p w:rsidR="001D47BF" w:rsidRPr="00D177B0" w:rsidP="009A4C11" w14:paraId="019225CC" w14:textId="1318D19F">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Pr>
                <w:rFonts w:ascii="Calibri" w:eastAsia="Times New Roman" w:hAnsi="Calibri" w:cs="Calibri"/>
                <w:bCs/>
                <w:sz w:val="24"/>
                <w:szCs w:val="24"/>
              </w:rPr>
              <w:t>C</w:t>
            </w:r>
            <w:r w:rsidRPr="00D177B0">
              <w:rPr>
                <w:rFonts w:ascii="Calibri" w:eastAsia="Times New Roman" w:hAnsi="Calibri" w:cs="Calibri"/>
                <w:bCs/>
                <w:sz w:val="24"/>
                <w:szCs w:val="24"/>
              </w:rPr>
              <w:t>]</w:t>
            </w:r>
          </w:p>
        </w:tc>
        <w:tc>
          <w:tcPr>
            <w:tcW w:w="3159" w:type="pct"/>
            <w:gridSpan w:val="2"/>
          </w:tcPr>
          <w:p w:rsidR="001D47BF" w:rsidRPr="00D177B0" w:rsidP="009A4C11" w14:paraId="5EC0BD8D" w14:textId="58E4ACA0">
            <w:pPr>
              <w:spacing w:after="0" w:line="240" w:lineRule="auto"/>
              <w:rPr>
                <w:rFonts w:ascii="Calibri" w:eastAsia="Times New Roman" w:hAnsi="Calibri" w:cs="Calibri"/>
                <w:bCs/>
                <w:sz w:val="24"/>
                <w:szCs w:val="24"/>
              </w:rPr>
            </w:pPr>
            <w:r>
              <w:rPr>
                <w:rFonts w:ascii="Calibri" w:eastAsia="Times New Roman" w:hAnsi="Calibri" w:cs="Calibri"/>
                <w:bCs/>
                <w:sz w:val="24"/>
                <w:szCs w:val="24"/>
              </w:rPr>
              <w:t>Focus</w:t>
            </w:r>
            <w:r w:rsidR="002908C6">
              <w:rPr>
                <w:rFonts w:ascii="Calibri" w:eastAsia="Times New Roman" w:hAnsi="Calibri" w:cs="Calibri"/>
                <w:bCs/>
                <w:sz w:val="24"/>
                <w:szCs w:val="24"/>
              </w:rPr>
              <w:t xml:space="preserve"> Group</w:t>
            </w:r>
          </w:p>
        </w:tc>
        <w:tc>
          <w:tcPr>
            <w:tcW w:w="1423" w:type="pct"/>
          </w:tcPr>
          <w:p w:rsidR="001D47BF" w:rsidRPr="00D177B0" w:rsidP="009A4C11" w14:paraId="2334BE24" w14:textId="57BF6924">
            <w:pPr>
              <w:tabs>
                <w:tab w:val="decimal" w:pos="1736"/>
              </w:tabs>
              <w:spacing w:after="0" w:line="240" w:lineRule="auto"/>
              <w:jc w:val="right"/>
              <w:rPr>
                <w:rFonts w:ascii="Calibri" w:eastAsia="Times New Roman" w:hAnsi="Calibri" w:cs="Calibri"/>
                <w:bCs/>
                <w:sz w:val="24"/>
                <w:szCs w:val="24"/>
              </w:rPr>
            </w:pPr>
            <w:r>
              <w:rPr>
                <w:rFonts w:ascii="Calibri" w:eastAsia="Times New Roman" w:hAnsi="Calibri" w:cs="Calibri"/>
                <w:bCs/>
                <w:sz w:val="24"/>
                <w:szCs w:val="24"/>
              </w:rPr>
              <w:t>120</w:t>
            </w:r>
          </w:p>
        </w:tc>
      </w:tr>
      <w:tr w14:paraId="38158A6E" w14:textId="77777777" w:rsidTr="0013410C">
        <w:tblPrEx>
          <w:tblW w:w="5000" w:type="pct"/>
          <w:tblLook w:val="01E0"/>
        </w:tblPrEx>
        <w:trPr>
          <w:trHeight w:val="240"/>
        </w:trPr>
        <w:tc>
          <w:tcPr>
            <w:tcW w:w="418" w:type="pct"/>
          </w:tcPr>
          <w:p w:rsidR="001D47BF" w:rsidRPr="00D177B0" w:rsidP="00D177B0" w14:paraId="48427671" w14:textId="77777777">
            <w:pPr>
              <w:spacing w:after="0" w:line="240" w:lineRule="auto"/>
              <w:rPr>
                <w:rFonts w:ascii="Calibri" w:eastAsia="Times New Roman" w:hAnsi="Calibri" w:cs="Calibri"/>
                <w:bCs/>
                <w:sz w:val="24"/>
                <w:szCs w:val="24"/>
              </w:rPr>
            </w:pPr>
          </w:p>
        </w:tc>
        <w:tc>
          <w:tcPr>
            <w:tcW w:w="3159" w:type="pct"/>
            <w:gridSpan w:val="2"/>
          </w:tcPr>
          <w:p w:rsidR="001D47BF" w:rsidRPr="00D177B0" w:rsidP="00D177B0" w14:paraId="38C6B43A" w14:textId="77777777">
            <w:pPr>
              <w:spacing w:after="0" w:line="240" w:lineRule="auto"/>
              <w:rPr>
                <w:rFonts w:ascii="Calibri" w:eastAsia="Times New Roman" w:hAnsi="Calibri" w:cs="Calibri"/>
                <w:bCs/>
                <w:sz w:val="24"/>
                <w:szCs w:val="24"/>
              </w:rPr>
            </w:pPr>
          </w:p>
        </w:tc>
        <w:tc>
          <w:tcPr>
            <w:tcW w:w="1423" w:type="pct"/>
          </w:tcPr>
          <w:p w:rsidR="001D47BF" w:rsidRPr="00D177B0" w:rsidP="00D177B0" w14:paraId="39FCF37B" w14:textId="77777777">
            <w:pPr>
              <w:tabs>
                <w:tab w:val="decimal" w:pos="1736"/>
              </w:tabs>
              <w:spacing w:after="0" w:line="240" w:lineRule="auto"/>
              <w:jc w:val="right"/>
              <w:rPr>
                <w:rFonts w:ascii="Calibri" w:eastAsia="Times New Roman" w:hAnsi="Calibri" w:cs="Calibri"/>
                <w:bCs/>
                <w:sz w:val="24"/>
                <w:szCs w:val="24"/>
              </w:rPr>
            </w:pPr>
          </w:p>
        </w:tc>
      </w:tr>
      <w:tr w14:paraId="4BD729D6" w14:textId="77777777" w:rsidTr="0013410C">
        <w:tblPrEx>
          <w:tblW w:w="5000" w:type="pct"/>
          <w:tblLook w:val="01E0"/>
        </w:tblPrEx>
        <w:trPr>
          <w:trHeight w:val="240"/>
        </w:trPr>
        <w:tc>
          <w:tcPr>
            <w:tcW w:w="418" w:type="pct"/>
          </w:tcPr>
          <w:p w:rsidR="00D177B0" w:rsidRPr="00D177B0" w:rsidP="00D177B0" w14:paraId="0E5A7F25" w14:textId="65315CF2">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sidR="001D47BF">
              <w:rPr>
                <w:rFonts w:ascii="Calibri" w:eastAsia="Times New Roman" w:hAnsi="Calibri" w:cs="Calibri"/>
                <w:bCs/>
                <w:sz w:val="24"/>
                <w:szCs w:val="24"/>
              </w:rPr>
              <w:t>D</w:t>
            </w:r>
            <w:r w:rsidRPr="00D177B0">
              <w:rPr>
                <w:rFonts w:ascii="Calibri" w:eastAsia="Times New Roman" w:hAnsi="Calibri" w:cs="Calibri"/>
                <w:bCs/>
                <w:sz w:val="24"/>
                <w:szCs w:val="24"/>
              </w:rPr>
              <w:t>]</w:t>
            </w:r>
          </w:p>
        </w:tc>
        <w:tc>
          <w:tcPr>
            <w:tcW w:w="3159" w:type="pct"/>
            <w:gridSpan w:val="2"/>
          </w:tcPr>
          <w:p w:rsidR="00D177B0" w:rsidRPr="00D177B0" w:rsidP="00D177B0" w14:paraId="40CC6690"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Total Estimated Annual Burden</w:t>
            </w:r>
          </w:p>
          <w:p w:rsidR="00D177B0" w:rsidRPr="00D177B0" w:rsidP="00D177B0" w14:paraId="7C877E05" w14:textId="5421078E">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sidR="002908C6">
              <w:rPr>
                <w:rFonts w:ascii="Calibri" w:eastAsia="Times New Roman" w:hAnsi="Calibri" w:cs="Calibri"/>
                <w:bCs/>
                <w:sz w:val="24"/>
                <w:szCs w:val="24"/>
              </w:rPr>
              <w:t>D</w:t>
            </w:r>
            <w:r w:rsidRPr="00D177B0">
              <w:rPr>
                <w:rFonts w:ascii="Calibri" w:eastAsia="Times New Roman" w:hAnsi="Calibri" w:cs="Calibri"/>
                <w:bCs/>
                <w:sz w:val="24"/>
                <w:szCs w:val="24"/>
              </w:rPr>
              <w:t>] = [A]+[B]</w:t>
            </w:r>
            <w:r w:rsidR="002908C6">
              <w:rPr>
                <w:rFonts w:ascii="Calibri" w:eastAsia="Times New Roman" w:hAnsi="Calibri" w:cs="Calibri"/>
                <w:bCs/>
                <w:sz w:val="24"/>
                <w:szCs w:val="24"/>
              </w:rPr>
              <w:t>+</w:t>
            </w:r>
            <w:r w:rsidRPr="00D177B0" w:rsidR="002908C6">
              <w:rPr>
                <w:rFonts w:ascii="Calibri" w:eastAsia="Times New Roman" w:hAnsi="Calibri" w:cs="Calibri"/>
                <w:bCs/>
                <w:sz w:val="24"/>
                <w:szCs w:val="24"/>
              </w:rPr>
              <w:t>[C]</w:t>
            </w:r>
          </w:p>
        </w:tc>
        <w:tc>
          <w:tcPr>
            <w:tcW w:w="1423" w:type="pct"/>
          </w:tcPr>
          <w:p w:rsidR="00D177B0" w:rsidRPr="00D177B0" w:rsidP="00D177B0" w14:paraId="74FA929B" w14:textId="122BA456">
            <w:pPr>
              <w:tabs>
                <w:tab w:val="decimal" w:pos="1736"/>
              </w:tabs>
              <w:spacing w:after="0" w:line="240" w:lineRule="auto"/>
              <w:jc w:val="right"/>
              <w:rPr>
                <w:rFonts w:ascii="Calibri" w:eastAsia="Times New Roman" w:hAnsi="Calibri" w:cs="Calibri"/>
                <w:bCs/>
                <w:sz w:val="24"/>
                <w:szCs w:val="24"/>
                <w:highlight w:val="yellow"/>
              </w:rPr>
            </w:pPr>
            <w:r>
              <w:rPr>
                <w:rFonts w:ascii="Calibri" w:eastAsia="Times New Roman" w:hAnsi="Calibri" w:cs="Calibri"/>
                <w:bCs/>
                <w:sz w:val="24"/>
                <w:szCs w:val="24"/>
              </w:rPr>
              <w:t>15,</w:t>
            </w:r>
            <w:r w:rsidR="003917CC">
              <w:rPr>
                <w:rFonts w:ascii="Calibri" w:eastAsia="Times New Roman" w:hAnsi="Calibri" w:cs="Calibri"/>
                <w:bCs/>
                <w:sz w:val="24"/>
                <w:szCs w:val="24"/>
              </w:rPr>
              <w:t>397</w:t>
            </w:r>
          </w:p>
        </w:tc>
      </w:tr>
    </w:tbl>
    <w:p w:rsidR="004D6A44" w:rsidP="00AF0337" w14:paraId="19177849" w14:textId="77777777">
      <w:pPr>
        <w:spacing w:after="0" w:line="240" w:lineRule="auto"/>
        <w:rPr>
          <w:rFonts w:ascii="Calibri" w:eastAsia="Times New Roman" w:hAnsi="Calibri" w:cs="Calibri"/>
          <w:sz w:val="24"/>
          <w:szCs w:val="24"/>
        </w:rPr>
      </w:pPr>
    </w:p>
    <w:p w:rsidR="00AF0337" w:rsidP="00AF0337" w14:paraId="32D5F480" w14:textId="60B03227">
      <w:pPr>
        <w:spacing w:after="0" w:line="240" w:lineRule="auto"/>
        <w:rPr>
          <w:rFonts w:ascii="Calibri" w:eastAsia="Times New Roman" w:hAnsi="Calibri" w:cs="Calibri"/>
          <w:sz w:val="24"/>
          <w:szCs w:val="24"/>
        </w:rPr>
      </w:pPr>
      <w:r w:rsidRPr="00AF0337">
        <w:rPr>
          <w:rFonts w:ascii="Calibri" w:eastAsia="Times New Roman" w:hAnsi="Calibri" w:cs="Calibri"/>
          <w:sz w:val="24"/>
          <w:szCs w:val="24"/>
        </w:rPr>
        <w:t>In general, EPA estimates that each respondent's burden will consist of approximately 80% managerial labor and 20% clerical labor.  However, given the varied nature of collections the Agency would like to conduct under this ICR, adjustments to the labor mix may be appropriate.  In such cases, those adjustments will be described in the IC request.</w:t>
      </w:r>
    </w:p>
    <w:p w:rsidR="00034082" w:rsidRPr="00833641" w:rsidP="00034082" w14:paraId="1E12ACD5" w14:textId="472AD276">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 xml:space="preserve">Estimated </w:t>
      </w:r>
      <w:r>
        <w:rPr>
          <w:rFonts w:ascii="Calibri" w:eastAsia="Times New Roman" w:hAnsi="Calibri" w:cs="Calibri"/>
          <w:sz w:val="24"/>
          <w:szCs w:val="24"/>
        </w:rPr>
        <w:t xml:space="preserve">loaded labor </w:t>
      </w:r>
      <w:r w:rsidRPr="00833641">
        <w:rPr>
          <w:rFonts w:ascii="Calibri" w:eastAsia="Times New Roman" w:hAnsi="Calibri" w:cs="Calibri"/>
          <w:sz w:val="24"/>
          <w:szCs w:val="24"/>
        </w:rPr>
        <w:t>rates for th</w:t>
      </w:r>
      <w:r>
        <w:rPr>
          <w:rFonts w:ascii="Calibri" w:eastAsia="Times New Roman" w:hAnsi="Calibri" w:cs="Calibri"/>
          <w:sz w:val="24"/>
          <w:szCs w:val="24"/>
        </w:rPr>
        <w:t xml:space="preserve">ese labor categories are </w:t>
      </w:r>
      <w:r w:rsidR="004510D4">
        <w:rPr>
          <w:rFonts w:ascii="Calibri" w:eastAsia="Times New Roman" w:hAnsi="Calibri" w:cs="Calibri"/>
          <w:sz w:val="24"/>
          <w:szCs w:val="24"/>
        </w:rPr>
        <w:t xml:space="preserve">calculated </w:t>
      </w:r>
      <w:r>
        <w:rPr>
          <w:rFonts w:ascii="Calibri" w:eastAsia="Times New Roman" w:hAnsi="Calibri" w:cs="Calibri"/>
          <w:sz w:val="24"/>
          <w:szCs w:val="24"/>
        </w:rPr>
        <w:t xml:space="preserve">as follows. </w:t>
      </w:r>
    </w:p>
    <w:p w:rsidR="002E4A75" w:rsidRPr="00833641" w:rsidP="002E4A75" w14:paraId="03556CF5" w14:textId="3A72F618">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r>
      <w:r w:rsidR="006A003D">
        <w:rPr>
          <w:rFonts w:ascii="Calibri" w:eastAsia="Times New Roman" w:hAnsi="Calibri" w:cs="Calibri"/>
          <w:sz w:val="24"/>
          <w:szCs w:val="24"/>
        </w:rPr>
        <w:t>Managerial</w:t>
      </w:r>
      <w:r w:rsidRPr="00833641" w:rsidR="006A003D">
        <w:rPr>
          <w:rFonts w:ascii="Calibri" w:eastAsia="Times New Roman" w:hAnsi="Calibri" w:cs="Calibri"/>
          <w:sz w:val="24"/>
          <w:szCs w:val="24"/>
        </w:rPr>
        <w:t xml:space="preserve"> </w:t>
      </w:r>
      <w:r w:rsidRPr="00833641">
        <w:rPr>
          <w:rFonts w:ascii="Calibri" w:eastAsia="Times New Roman" w:hAnsi="Calibri" w:cs="Calibri"/>
          <w:sz w:val="24"/>
          <w:szCs w:val="24"/>
        </w:rPr>
        <w:t>Wage Rate</w:t>
      </w:r>
      <w:r>
        <w:rPr>
          <w:rFonts w:ascii="Calibri" w:eastAsia="Times New Roman" w:hAnsi="Calibri" w:cs="Calibri"/>
          <w:sz w:val="24"/>
          <w:szCs w:val="24"/>
          <w:vertAlign w:val="superscript"/>
        </w:rPr>
        <w:footnoteReference w:id="5"/>
      </w:r>
      <w:r w:rsidRPr="00833641">
        <w:rPr>
          <w:rFonts w:ascii="Calibri" w:eastAsia="Times New Roman" w:hAnsi="Calibri" w:cs="Calibri"/>
          <w:sz w:val="24"/>
          <w:szCs w:val="24"/>
        </w:rPr>
        <w:t xml:space="preserve"> $51.62 x 1.43 = $73.82.</w:t>
      </w:r>
    </w:p>
    <w:p w:rsidR="002E4A75" w:rsidP="002E4A75" w14:paraId="7F41AF8B" w14:textId="4850948A">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w:t>
      </w:r>
      <w:r w:rsidRPr="00833641">
        <w:rPr>
          <w:rFonts w:ascii="Calibri" w:eastAsia="Times New Roman" w:hAnsi="Calibri" w:cs="Calibri"/>
          <w:sz w:val="24"/>
          <w:szCs w:val="24"/>
        </w:rPr>
        <w:tab/>
        <w:t>Clerical Wage Rate</w:t>
      </w:r>
      <w:r>
        <w:rPr>
          <w:rFonts w:ascii="Calibri" w:eastAsia="Times New Roman" w:hAnsi="Calibri" w:cs="Calibri"/>
          <w:sz w:val="24"/>
          <w:szCs w:val="24"/>
          <w:vertAlign w:val="superscript"/>
        </w:rPr>
        <w:footnoteReference w:id="6"/>
      </w:r>
      <w:r w:rsidRPr="00833641">
        <w:rPr>
          <w:rFonts w:ascii="Calibri" w:eastAsia="Times New Roman" w:hAnsi="Calibri" w:cs="Calibri"/>
          <w:sz w:val="24"/>
          <w:szCs w:val="24"/>
        </w:rPr>
        <w:t xml:space="preserve">  $21.78 x 1.43 = $31.15.</w:t>
      </w:r>
    </w:p>
    <w:p w:rsidR="001E25EF" w:rsidRPr="00833641" w:rsidP="002E4A75" w14:paraId="720A08DB" w14:textId="0A2A3C4A">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EPA assumes that focus group participants will </w:t>
      </w:r>
      <w:r w:rsidR="00AF1E44">
        <w:rPr>
          <w:rFonts w:ascii="Calibri" w:eastAsia="Times New Roman" w:hAnsi="Calibri" w:cs="Calibri"/>
          <w:sz w:val="24"/>
          <w:szCs w:val="24"/>
        </w:rPr>
        <w:t xml:space="preserve">attend sessions voluntarily, on their own time. The </w:t>
      </w:r>
      <w:r w:rsidR="00E936B0">
        <w:rPr>
          <w:rFonts w:ascii="Calibri" w:eastAsia="Times New Roman" w:hAnsi="Calibri" w:cs="Calibri"/>
          <w:sz w:val="24"/>
          <w:szCs w:val="24"/>
        </w:rPr>
        <w:t xml:space="preserve">monetary </w:t>
      </w:r>
      <w:r w:rsidR="00AF1E44">
        <w:rPr>
          <w:rFonts w:ascii="Calibri" w:eastAsia="Times New Roman" w:hAnsi="Calibri" w:cs="Calibri"/>
          <w:sz w:val="24"/>
          <w:szCs w:val="24"/>
        </w:rPr>
        <w:t xml:space="preserve">value of that time </w:t>
      </w:r>
      <w:r w:rsidR="008A1737">
        <w:rPr>
          <w:rFonts w:ascii="Calibri" w:eastAsia="Times New Roman" w:hAnsi="Calibri" w:cs="Calibri"/>
          <w:sz w:val="24"/>
          <w:szCs w:val="24"/>
        </w:rPr>
        <w:t xml:space="preserve">has been </w:t>
      </w:r>
      <w:r w:rsidR="007529E7">
        <w:rPr>
          <w:rFonts w:ascii="Calibri" w:eastAsia="Times New Roman" w:hAnsi="Calibri" w:cs="Calibri"/>
          <w:sz w:val="24"/>
          <w:szCs w:val="24"/>
        </w:rPr>
        <w:t xml:space="preserve">estimated using the national </w:t>
      </w:r>
      <w:r w:rsidR="00961D63">
        <w:rPr>
          <w:rFonts w:ascii="Calibri" w:eastAsia="Times New Roman" w:hAnsi="Calibri" w:cs="Calibri"/>
          <w:sz w:val="24"/>
          <w:szCs w:val="24"/>
        </w:rPr>
        <w:t>mean hourly wage rate</w:t>
      </w:r>
      <w:r w:rsidR="001D6393">
        <w:rPr>
          <w:rFonts w:ascii="Calibri" w:eastAsia="Times New Roman" w:hAnsi="Calibri" w:cs="Calibri"/>
          <w:sz w:val="24"/>
          <w:szCs w:val="24"/>
        </w:rPr>
        <w:t xml:space="preserve"> for “all occupations</w:t>
      </w:r>
      <w:r w:rsidR="007529E7">
        <w:rPr>
          <w:rFonts w:ascii="Calibri" w:eastAsia="Times New Roman" w:hAnsi="Calibri" w:cs="Calibri"/>
          <w:sz w:val="24"/>
          <w:szCs w:val="24"/>
        </w:rPr>
        <w:t>,</w:t>
      </w:r>
      <w:r w:rsidR="001D6393">
        <w:rPr>
          <w:rFonts w:ascii="Calibri" w:eastAsia="Times New Roman" w:hAnsi="Calibri" w:cs="Calibri"/>
          <w:sz w:val="24"/>
          <w:szCs w:val="24"/>
        </w:rPr>
        <w:t xml:space="preserve">” </w:t>
      </w:r>
      <w:r w:rsidR="007529E7">
        <w:rPr>
          <w:rFonts w:ascii="Calibri" w:eastAsia="Times New Roman" w:hAnsi="Calibri" w:cs="Calibri"/>
          <w:sz w:val="24"/>
          <w:szCs w:val="24"/>
        </w:rPr>
        <w:t>which is</w:t>
      </w:r>
      <w:r w:rsidR="00C56F64">
        <w:rPr>
          <w:rFonts w:ascii="Calibri" w:eastAsia="Times New Roman" w:hAnsi="Calibri" w:cs="Calibri"/>
          <w:sz w:val="24"/>
          <w:szCs w:val="24"/>
        </w:rPr>
        <w:t xml:space="preserve"> $31.48</w:t>
      </w:r>
      <w:r>
        <w:rPr>
          <w:rStyle w:val="FootnoteReference"/>
          <w:rFonts w:ascii="Calibri" w:eastAsia="Times New Roman" w:hAnsi="Calibri" w:cs="Calibri"/>
          <w:sz w:val="24"/>
          <w:szCs w:val="24"/>
        </w:rPr>
        <w:footnoteReference w:id="7"/>
      </w:r>
      <w:r w:rsidR="00C56F64">
        <w:rPr>
          <w:rFonts w:ascii="Calibri" w:eastAsia="Times New Roman" w:hAnsi="Calibri" w:cs="Calibri"/>
          <w:sz w:val="24"/>
          <w:szCs w:val="24"/>
        </w:rPr>
        <w:t xml:space="preserve">. </w:t>
      </w:r>
      <w:r w:rsidR="00DF1489">
        <w:rPr>
          <w:rFonts w:ascii="Calibri" w:eastAsia="Times New Roman" w:hAnsi="Calibri" w:cs="Calibri"/>
          <w:sz w:val="24"/>
          <w:szCs w:val="24"/>
        </w:rPr>
        <w:t>Because th</w:t>
      </w:r>
      <w:r w:rsidR="00E00CD0">
        <w:rPr>
          <w:rFonts w:ascii="Calibri" w:eastAsia="Times New Roman" w:hAnsi="Calibri" w:cs="Calibri"/>
          <w:sz w:val="24"/>
          <w:szCs w:val="24"/>
        </w:rPr>
        <w:t xml:space="preserve">is is an approximation of </w:t>
      </w:r>
      <w:r w:rsidR="004D34A9">
        <w:rPr>
          <w:rFonts w:ascii="Calibri" w:eastAsia="Times New Roman" w:hAnsi="Calibri" w:cs="Calibri"/>
          <w:sz w:val="24"/>
          <w:szCs w:val="24"/>
        </w:rPr>
        <w:t xml:space="preserve">the value of </w:t>
      </w:r>
      <w:r w:rsidR="00E00CD0">
        <w:rPr>
          <w:rFonts w:ascii="Calibri" w:eastAsia="Times New Roman" w:hAnsi="Calibri" w:cs="Calibri"/>
          <w:sz w:val="24"/>
          <w:szCs w:val="24"/>
        </w:rPr>
        <w:t xml:space="preserve">a </w:t>
      </w:r>
      <w:r w:rsidR="004D34A9">
        <w:rPr>
          <w:rFonts w:ascii="Calibri" w:eastAsia="Times New Roman" w:hAnsi="Calibri" w:cs="Calibri"/>
          <w:sz w:val="24"/>
          <w:szCs w:val="24"/>
        </w:rPr>
        <w:t>respondent's</w:t>
      </w:r>
      <w:r w:rsidR="00E00CD0">
        <w:rPr>
          <w:rFonts w:ascii="Calibri" w:eastAsia="Times New Roman" w:hAnsi="Calibri" w:cs="Calibri"/>
          <w:sz w:val="24"/>
          <w:szCs w:val="24"/>
        </w:rPr>
        <w:t xml:space="preserve"> personal time, not an approximation of the </w:t>
      </w:r>
      <w:r w:rsidR="00424862">
        <w:rPr>
          <w:rFonts w:ascii="Calibri" w:eastAsia="Times New Roman" w:hAnsi="Calibri" w:cs="Calibri"/>
          <w:sz w:val="24"/>
          <w:szCs w:val="24"/>
        </w:rPr>
        <w:t xml:space="preserve">full costs </w:t>
      </w:r>
      <w:r w:rsidR="00133E2C">
        <w:rPr>
          <w:rFonts w:ascii="Calibri" w:eastAsia="Times New Roman" w:hAnsi="Calibri" w:cs="Calibri"/>
          <w:sz w:val="24"/>
          <w:szCs w:val="24"/>
        </w:rPr>
        <w:t>to employ them</w:t>
      </w:r>
      <w:r w:rsidR="00424862">
        <w:rPr>
          <w:rFonts w:ascii="Calibri" w:eastAsia="Times New Roman" w:hAnsi="Calibri" w:cs="Calibri"/>
          <w:sz w:val="24"/>
          <w:szCs w:val="24"/>
        </w:rPr>
        <w:t>, th</w:t>
      </w:r>
      <w:r w:rsidR="00E76576">
        <w:rPr>
          <w:rFonts w:ascii="Calibri" w:eastAsia="Times New Roman" w:hAnsi="Calibri" w:cs="Calibri"/>
          <w:sz w:val="24"/>
          <w:szCs w:val="24"/>
        </w:rPr>
        <w:t>e</w:t>
      </w:r>
      <w:r w:rsidR="00424862">
        <w:rPr>
          <w:rFonts w:ascii="Calibri" w:eastAsia="Times New Roman" w:hAnsi="Calibri" w:cs="Calibri"/>
          <w:sz w:val="24"/>
          <w:szCs w:val="24"/>
        </w:rPr>
        <w:t xml:space="preserve"> wage rate </w:t>
      </w:r>
      <w:r w:rsidR="00321AC1">
        <w:rPr>
          <w:rFonts w:ascii="Calibri" w:eastAsia="Times New Roman" w:hAnsi="Calibri" w:cs="Calibri"/>
          <w:sz w:val="24"/>
          <w:szCs w:val="24"/>
        </w:rPr>
        <w:t xml:space="preserve">is not </w:t>
      </w:r>
      <w:r w:rsidR="007C77E1">
        <w:rPr>
          <w:rFonts w:ascii="Calibri" w:eastAsia="Times New Roman" w:hAnsi="Calibri" w:cs="Calibri"/>
          <w:sz w:val="24"/>
          <w:szCs w:val="24"/>
        </w:rPr>
        <w:t>loaded.</w:t>
      </w:r>
      <w:r w:rsidR="00C56F64">
        <w:rPr>
          <w:rFonts w:ascii="Calibri" w:eastAsia="Times New Roman" w:hAnsi="Calibri" w:cs="Calibri"/>
          <w:sz w:val="24"/>
          <w:szCs w:val="24"/>
        </w:rPr>
        <w:t xml:space="preserve"> </w:t>
      </w:r>
    </w:p>
    <w:p w:rsidR="002E4A75" w:rsidP="002E4A75" w14:paraId="692A3DD6" w14:textId="77777777">
      <w:pPr>
        <w:pStyle w:val="NoSpacing"/>
        <w:rPr>
          <w:b/>
          <w:bCs/>
        </w:rPr>
      </w:pPr>
    </w:p>
    <w:p w:rsidR="002E4A75" w:rsidRPr="00D177B0" w:rsidP="002E4A75" w14:paraId="652FA668" w14:textId="412F3E71">
      <w:pPr>
        <w:pStyle w:val="NoSpacing"/>
        <w:rPr>
          <w:b/>
          <w:bCs/>
        </w:rPr>
      </w:pPr>
      <w:r w:rsidRPr="00D177B0">
        <w:rPr>
          <w:b/>
          <w:bCs/>
        </w:rPr>
        <w:t xml:space="preserve">Table </w:t>
      </w:r>
      <w:r w:rsidR="0096023C">
        <w:rPr>
          <w:b/>
          <w:bCs/>
        </w:rPr>
        <w:t>5</w:t>
      </w:r>
    </w:p>
    <w:p w:rsidR="002E4A75" w:rsidRPr="00D177B0" w:rsidP="002E4A75" w14:paraId="700FD2D3" w14:textId="74208B93">
      <w:pPr>
        <w:pStyle w:val="NoSpacing"/>
        <w:rPr>
          <w:b/>
          <w:bCs/>
        </w:rPr>
      </w:pPr>
      <w:r w:rsidRPr="00D177B0">
        <w:rPr>
          <w:b/>
          <w:bCs/>
        </w:rPr>
        <w:t xml:space="preserve">Total Estimated Annual </w:t>
      </w:r>
      <w:r>
        <w:rPr>
          <w:b/>
          <w:bCs/>
        </w:rPr>
        <w:t>Respondent Cost</w:t>
      </w:r>
    </w:p>
    <w:tbl>
      <w:tblPr>
        <w:tblW w:w="5000" w:type="pct"/>
        <w:tblLook w:val="01E0"/>
      </w:tblPr>
      <w:tblGrid>
        <w:gridCol w:w="607"/>
        <w:gridCol w:w="6224"/>
        <w:gridCol w:w="7"/>
        <w:gridCol w:w="2522"/>
      </w:tblGrid>
      <w:tr w14:paraId="5E1CEB64" w14:textId="77777777" w:rsidTr="00324A56">
        <w:tblPrEx>
          <w:tblW w:w="5000" w:type="pct"/>
          <w:tblLook w:val="01E0"/>
        </w:tblPrEx>
        <w:trPr>
          <w:trHeight w:val="323"/>
        </w:trPr>
        <w:tc>
          <w:tcPr>
            <w:tcW w:w="3649" w:type="pct"/>
            <w:gridSpan w:val="2"/>
            <w:tcBorders>
              <w:top w:val="single" w:sz="4" w:space="0" w:color="auto"/>
              <w:bottom w:val="single" w:sz="4" w:space="0" w:color="auto"/>
            </w:tcBorders>
            <w:shd w:val="clear" w:color="auto" w:fill="B4C6E7" w:themeFill="accent1" w:themeFillTint="66"/>
          </w:tcPr>
          <w:p w:rsidR="0044210C" w:rsidRPr="00D177B0" w14:paraId="59E7D7AC" w14:textId="77777777">
            <w:pPr>
              <w:keepNext/>
              <w:tabs>
                <w:tab w:val="left" w:pos="1152"/>
              </w:tabs>
              <w:spacing w:after="0" w:line="240" w:lineRule="auto"/>
              <w:outlineLvl w:val="0"/>
              <w:rPr>
                <w:rFonts w:ascii="Calibri" w:eastAsia="Times New Roman" w:hAnsi="Calibri" w:cs="Calibri"/>
                <w:bCs/>
                <w:sz w:val="24"/>
                <w:szCs w:val="24"/>
              </w:rPr>
            </w:pPr>
          </w:p>
        </w:tc>
        <w:tc>
          <w:tcPr>
            <w:tcW w:w="1351" w:type="pct"/>
            <w:gridSpan w:val="2"/>
            <w:tcBorders>
              <w:top w:val="single" w:sz="4" w:space="0" w:color="auto"/>
              <w:bottom w:val="single" w:sz="4" w:space="0" w:color="auto"/>
            </w:tcBorders>
            <w:shd w:val="clear" w:color="auto" w:fill="B4C6E7" w:themeFill="accent1" w:themeFillTint="66"/>
          </w:tcPr>
          <w:p w:rsidR="0044210C" w:rsidRPr="007034DF" w14:paraId="2E49BE79" w14:textId="77777777">
            <w:pPr>
              <w:keepNext/>
              <w:tabs>
                <w:tab w:val="left" w:pos="1152"/>
              </w:tabs>
              <w:spacing w:after="0" w:line="240" w:lineRule="auto"/>
              <w:ind w:left="1140"/>
              <w:jc w:val="right"/>
              <w:outlineLvl w:val="0"/>
              <w:rPr>
                <w:rFonts w:ascii="Calibri" w:eastAsia="Times New Roman" w:hAnsi="Calibri" w:cs="Calibri"/>
                <w:b/>
                <w:sz w:val="24"/>
                <w:szCs w:val="24"/>
              </w:rPr>
            </w:pPr>
            <w:r w:rsidRPr="007034DF">
              <w:rPr>
                <w:rFonts w:ascii="Calibri" w:eastAsia="Times New Roman" w:hAnsi="Calibri" w:cs="Calibri"/>
                <w:b/>
                <w:sz w:val="24"/>
                <w:szCs w:val="24"/>
              </w:rPr>
              <w:t>Value</w:t>
            </w:r>
          </w:p>
        </w:tc>
      </w:tr>
      <w:tr w14:paraId="2BE4E4BD" w14:textId="77777777" w:rsidTr="00324A56">
        <w:tblPrEx>
          <w:tblW w:w="5000" w:type="pct"/>
          <w:tblLook w:val="01E0"/>
        </w:tblPrEx>
        <w:trPr>
          <w:trHeight w:val="240"/>
        </w:trPr>
        <w:tc>
          <w:tcPr>
            <w:tcW w:w="5000" w:type="pct"/>
            <w:gridSpan w:val="4"/>
            <w:tcBorders>
              <w:top w:val="single" w:sz="4" w:space="0" w:color="auto"/>
            </w:tcBorders>
          </w:tcPr>
          <w:p w:rsidR="0044210C" w:rsidRPr="00841B06" w14:paraId="167F4774" w14:textId="77777777">
            <w:pPr>
              <w:tabs>
                <w:tab w:val="decimal" w:pos="1736"/>
              </w:tabs>
              <w:spacing w:after="0" w:line="240" w:lineRule="auto"/>
              <w:rPr>
                <w:rFonts w:ascii="Calibri" w:eastAsia="Times New Roman" w:hAnsi="Calibri" w:cs="Calibri"/>
                <w:bCs/>
                <w:sz w:val="24"/>
                <w:szCs w:val="24"/>
                <w:u w:val="single"/>
              </w:rPr>
            </w:pPr>
            <w:r w:rsidRPr="00841B06">
              <w:rPr>
                <w:rFonts w:cstheme="minorHAnsi"/>
                <w:color w:val="000000"/>
                <w:u w:val="single"/>
              </w:rPr>
              <w:t>Quarterly Grant Reports &amp; Additional Surveys</w:t>
            </w:r>
          </w:p>
        </w:tc>
      </w:tr>
      <w:tr w14:paraId="2BDD86FC" w14:textId="77777777" w:rsidTr="00324A56">
        <w:tblPrEx>
          <w:tblW w:w="5000" w:type="pct"/>
          <w:tblLook w:val="01E0"/>
        </w:tblPrEx>
        <w:trPr>
          <w:trHeight w:val="240"/>
        </w:trPr>
        <w:tc>
          <w:tcPr>
            <w:tcW w:w="324" w:type="pct"/>
          </w:tcPr>
          <w:p w:rsidR="0044210C" w:rsidRPr="00D177B0" w14:paraId="0727F7F6"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[A]</w:t>
            </w:r>
          </w:p>
        </w:tc>
        <w:tc>
          <w:tcPr>
            <w:tcW w:w="3329" w:type="pct"/>
            <w:gridSpan w:val="2"/>
          </w:tcPr>
          <w:p w:rsidR="0044210C" w:rsidRPr="00D177B0" w14:paraId="23604EEB"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Total Estimated Annual Burden</w:t>
            </w:r>
            <w:r>
              <w:rPr>
                <w:rFonts w:ascii="Calibri" w:eastAsia="Times New Roman" w:hAnsi="Calibri" w:cs="Calibri"/>
                <w:bCs/>
                <w:sz w:val="24"/>
                <w:szCs w:val="24"/>
              </w:rPr>
              <w:t xml:space="preserve"> Hours</w:t>
            </w:r>
          </w:p>
        </w:tc>
        <w:tc>
          <w:tcPr>
            <w:tcW w:w="1347" w:type="pct"/>
          </w:tcPr>
          <w:p w:rsidR="0044210C" w:rsidRPr="00D177B0" w14:paraId="40C049D7" w14:textId="3B593D46">
            <w:pPr>
              <w:tabs>
                <w:tab w:val="decimal" w:pos="1736"/>
              </w:tabs>
              <w:spacing w:after="0" w:line="240" w:lineRule="auto"/>
              <w:jc w:val="right"/>
              <w:rPr>
                <w:rFonts w:ascii="Calibri" w:eastAsia="Times New Roman" w:hAnsi="Calibri" w:cs="Calibri"/>
                <w:bCs/>
                <w:sz w:val="24"/>
                <w:szCs w:val="24"/>
              </w:rPr>
            </w:pPr>
            <w:r>
              <w:rPr>
                <w:rFonts w:ascii="Calibri" w:eastAsia="Times New Roman" w:hAnsi="Calibri" w:cs="Calibri"/>
                <w:bCs/>
                <w:sz w:val="24"/>
                <w:szCs w:val="24"/>
              </w:rPr>
              <w:t>15,277</w:t>
            </w:r>
          </w:p>
        </w:tc>
      </w:tr>
      <w:tr w14:paraId="1B64B6C0" w14:textId="77777777" w:rsidTr="00324A56">
        <w:tblPrEx>
          <w:tblW w:w="5000" w:type="pct"/>
          <w:tblLook w:val="01E0"/>
        </w:tblPrEx>
        <w:trPr>
          <w:trHeight w:val="240"/>
        </w:trPr>
        <w:tc>
          <w:tcPr>
            <w:tcW w:w="324" w:type="pct"/>
          </w:tcPr>
          <w:p w:rsidR="0044210C" w:rsidRPr="00D177B0" w14:paraId="6C904F21" w14:textId="77777777">
            <w:pPr>
              <w:spacing w:after="0" w:line="240" w:lineRule="auto"/>
              <w:rPr>
                <w:rFonts w:ascii="Calibri" w:eastAsia="Times New Roman" w:hAnsi="Calibri" w:cs="Calibri"/>
                <w:bCs/>
                <w:sz w:val="24"/>
                <w:szCs w:val="24"/>
              </w:rPr>
            </w:pPr>
            <w:r>
              <w:rPr>
                <w:rFonts w:ascii="Calibri" w:eastAsia="Times New Roman" w:hAnsi="Calibri" w:cs="Calibri"/>
                <w:bCs/>
                <w:sz w:val="24"/>
                <w:szCs w:val="24"/>
              </w:rPr>
              <w:t>[B]</w:t>
            </w:r>
          </w:p>
        </w:tc>
        <w:tc>
          <w:tcPr>
            <w:tcW w:w="3329" w:type="pct"/>
            <w:gridSpan w:val="2"/>
          </w:tcPr>
          <w:p w:rsidR="0044210C" w:rsidRPr="00D177B0" w14:paraId="7738A02B" w14:textId="77777777">
            <w:pPr>
              <w:spacing w:after="0" w:line="240" w:lineRule="auto"/>
              <w:rPr>
                <w:rFonts w:ascii="Calibri" w:eastAsia="Times New Roman" w:hAnsi="Calibri" w:cs="Calibri"/>
                <w:bCs/>
                <w:sz w:val="24"/>
                <w:szCs w:val="24"/>
              </w:rPr>
            </w:pPr>
            <w:r>
              <w:rPr>
                <w:rFonts w:ascii="Calibri" w:eastAsia="Times New Roman" w:hAnsi="Calibri" w:cs="Calibri"/>
                <w:bCs/>
                <w:sz w:val="24"/>
                <w:szCs w:val="24"/>
              </w:rPr>
              <w:t>Managerial Percentage Burden Hours</w:t>
            </w:r>
          </w:p>
        </w:tc>
        <w:tc>
          <w:tcPr>
            <w:tcW w:w="1347" w:type="pct"/>
          </w:tcPr>
          <w:p w:rsidR="0044210C" w14:paraId="52658323" w14:textId="77777777">
            <w:pPr>
              <w:tabs>
                <w:tab w:val="decimal" w:pos="1736"/>
              </w:tabs>
              <w:spacing w:after="0" w:line="240" w:lineRule="auto"/>
              <w:jc w:val="right"/>
              <w:rPr>
                <w:rFonts w:ascii="Calibri" w:eastAsia="Times New Roman" w:hAnsi="Calibri" w:cs="Calibri"/>
                <w:bCs/>
                <w:sz w:val="24"/>
                <w:szCs w:val="24"/>
              </w:rPr>
            </w:pPr>
            <w:r>
              <w:rPr>
                <w:rFonts w:ascii="Calibri" w:eastAsia="Times New Roman" w:hAnsi="Calibri" w:cs="Calibri"/>
                <w:bCs/>
                <w:sz w:val="24"/>
                <w:szCs w:val="24"/>
              </w:rPr>
              <w:t>.8</w:t>
            </w:r>
          </w:p>
        </w:tc>
      </w:tr>
      <w:tr w14:paraId="053A9E0F" w14:textId="77777777" w:rsidTr="00324A56">
        <w:tblPrEx>
          <w:tblW w:w="5000" w:type="pct"/>
          <w:tblLook w:val="01E0"/>
        </w:tblPrEx>
        <w:trPr>
          <w:trHeight w:val="240"/>
        </w:trPr>
        <w:tc>
          <w:tcPr>
            <w:tcW w:w="324" w:type="pct"/>
          </w:tcPr>
          <w:p w:rsidR="0044210C" w:rsidRPr="00D177B0" w14:paraId="01C39FD9"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Pr>
                <w:rFonts w:ascii="Calibri" w:eastAsia="Times New Roman" w:hAnsi="Calibri" w:cs="Calibri"/>
                <w:bCs/>
                <w:sz w:val="24"/>
                <w:szCs w:val="24"/>
              </w:rPr>
              <w:t>C</w:t>
            </w:r>
            <w:r w:rsidRPr="00D177B0">
              <w:rPr>
                <w:rFonts w:ascii="Calibri" w:eastAsia="Times New Roman" w:hAnsi="Calibri" w:cs="Calibri"/>
                <w:bCs/>
                <w:sz w:val="24"/>
                <w:szCs w:val="24"/>
              </w:rPr>
              <w:t>]</w:t>
            </w:r>
          </w:p>
        </w:tc>
        <w:tc>
          <w:tcPr>
            <w:tcW w:w="3329" w:type="pct"/>
            <w:gridSpan w:val="2"/>
          </w:tcPr>
          <w:p w:rsidR="0044210C" w:rsidRPr="00D177B0" w14:paraId="48D7EEDF" w14:textId="77777777">
            <w:pPr>
              <w:spacing w:after="0" w:line="240" w:lineRule="auto"/>
              <w:rPr>
                <w:rFonts w:ascii="Calibri" w:eastAsia="Times New Roman" w:hAnsi="Calibri" w:cs="Calibri"/>
                <w:bCs/>
                <w:sz w:val="24"/>
                <w:szCs w:val="24"/>
              </w:rPr>
            </w:pPr>
            <w:r w:rsidRPr="00833641">
              <w:rPr>
                <w:rFonts w:ascii="Calibri" w:eastAsia="Times New Roman" w:hAnsi="Calibri" w:cs="Calibri"/>
                <w:sz w:val="24"/>
                <w:szCs w:val="24"/>
              </w:rPr>
              <w:t xml:space="preserve">Clerical </w:t>
            </w:r>
            <w:r>
              <w:rPr>
                <w:rFonts w:ascii="Calibri" w:eastAsia="Times New Roman" w:hAnsi="Calibri" w:cs="Calibri"/>
                <w:sz w:val="24"/>
                <w:szCs w:val="24"/>
              </w:rPr>
              <w:t>Percentage Burden Hours</w:t>
            </w:r>
          </w:p>
        </w:tc>
        <w:tc>
          <w:tcPr>
            <w:tcW w:w="1347" w:type="pct"/>
          </w:tcPr>
          <w:p w:rsidR="0044210C" w:rsidRPr="00D177B0" w14:paraId="1EF3ACD8" w14:textId="77777777">
            <w:pPr>
              <w:tabs>
                <w:tab w:val="decimal" w:pos="1736"/>
              </w:tabs>
              <w:spacing w:after="0" w:line="240" w:lineRule="auto"/>
              <w:jc w:val="right"/>
              <w:rPr>
                <w:rFonts w:ascii="Calibri" w:eastAsia="Times New Roman" w:hAnsi="Calibri" w:cs="Calibri"/>
                <w:bCs/>
                <w:sz w:val="24"/>
                <w:szCs w:val="24"/>
              </w:rPr>
            </w:pPr>
            <w:r>
              <w:rPr>
                <w:rFonts w:ascii="Calibri" w:eastAsia="Times New Roman" w:hAnsi="Calibri" w:cs="Calibri"/>
                <w:bCs/>
                <w:sz w:val="24"/>
                <w:szCs w:val="24"/>
              </w:rPr>
              <w:t>.2</w:t>
            </w:r>
          </w:p>
        </w:tc>
      </w:tr>
      <w:tr w14:paraId="6C936F9A" w14:textId="77777777" w:rsidTr="00324A56">
        <w:tblPrEx>
          <w:tblW w:w="5000" w:type="pct"/>
          <w:tblLook w:val="01E0"/>
        </w:tblPrEx>
        <w:trPr>
          <w:trHeight w:val="240"/>
        </w:trPr>
        <w:tc>
          <w:tcPr>
            <w:tcW w:w="324" w:type="pct"/>
          </w:tcPr>
          <w:p w:rsidR="0044210C" w:rsidRPr="00D177B0" w14:paraId="34CE52C8" w14:textId="77777777">
            <w:pPr>
              <w:spacing w:after="0" w:line="240" w:lineRule="auto"/>
              <w:rPr>
                <w:rFonts w:ascii="Calibri" w:eastAsia="Times New Roman" w:hAnsi="Calibri" w:cs="Calibri"/>
                <w:bCs/>
                <w:sz w:val="24"/>
                <w:szCs w:val="24"/>
              </w:rPr>
            </w:pPr>
            <w:r>
              <w:rPr>
                <w:rFonts w:ascii="Calibri" w:eastAsia="Times New Roman" w:hAnsi="Calibri" w:cs="Calibri"/>
                <w:bCs/>
                <w:sz w:val="24"/>
                <w:szCs w:val="24"/>
              </w:rPr>
              <w:t>[D]</w:t>
            </w:r>
          </w:p>
        </w:tc>
        <w:tc>
          <w:tcPr>
            <w:tcW w:w="3329" w:type="pct"/>
            <w:gridSpan w:val="2"/>
          </w:tcPr>
          <w:p w:rsidR="0044210C" w:rsidRPr="00833641" w14:paraId="6A4A985F" w14:textId="77777777">
            <w:pPr>
              <w:spacing w:after="0" w:line="240" w:lineRule="auto"/>
              <w:rPr>
                <w:rFonts w:ascii="Calibri" w:eastAsia="Times New Roman" w:hAnsi="Calibri" w:cs="Calibri"/>
                <w:sz w:val="24"/>
                <w:szCs w:val="24"/>
              </w:rPr>
            </w:pPr>
            <w:r>
              <w:rPr>
                <w:rFonts w:ascii="Calibri" w:eastAsia="Times New Roman" w:hAnsi="Calibri" w:cs="Calibri"/>
                <w:bCs/>
                <w:sz w:val="24"/>
                <w:szCs w:val="24"/>
              </w:rPr>
              <w:t>Managerial Labor Rate</w:t>
            </w:r>
            <w:r w:rsidRPr="00B505B9">
              <w:rPr>
                <w:rFonts w:ascii="Calibri" w:eastAsia="Times New Roman" w:hAnsi="Calibri" w:cs="Calibri"/>
                <w:bCs/>
                <w:sz w:val="24"/>
                <w:szCs w:val="24"/>
                <w:highlight w:val="yellow"/>
              </w:rPr>
              <w:t xml:space="preserve"> </w:t>
            </w:r>
          </w:p>
        </w:tc>
        <w:tc>
          <w:tcPr>
            <w:tcW w:w="1347" w:type="pct"/>
          </w:tcPr>
          <w:p w:rsidR="0044210C" w14:paraId="4AC46CEC" w14:textId="77777777">
            <w:pPr>
              <w:tabs>
                <w:tab w:val="decimal" w:pos="1736"/>
              </w:tabs>
              <w:spacing w:after="0" w:line="240" w:lineRule="auto"/>
              <w:jc w:val="right"/>
              <w:rPr>
                <w:rFonts w:ascii="Calibri" w:eastAsia="Times New Roman" w:hAnsi="Calibri" w:cs="Calibri"/>
                <w:bCs/>
                <w:sz w:val="24"/>
                <w:szCs w:val="24"/>
              </w:rPr>
            </w:pPr>
            <w:r w:rsidRPr="00833641">
              <w:rPr>
                <w:rFonts w:ascii="Calibri" w:eastAsia="Times New Roman" w:hAnsi="Calibri" w:cs="Calibri"/>
                <w:sz w:val="24"/>
                <w:szCs w:val="24"/>
              </w:rPr>
              <w:t>$73.82</w:t>
            </w:r>
          </w:p>
        </w:tc>
      </w:tr>
      <w:tr w14:paraId="2B1281EA" w14:textId="77777777" w:rsidTr="00324A56">
        <w:tblPrEx>
          <w:tblW w:w="5000" w:type="pct"/>
          <w:tblLook w:val="01E0"/>
        </w:tblPrEx>
        <w:trPr>
          <w:trHeight w:val="240"/>
        </w:trPr>
        <w:tc>
          <w:tcPr>
            <w:tcW w:w="324" w:type="pct"/>
          </w:tcPr>
          <w:p w:rsidR="0044210C" w:rsidRPr="00D177B0" w14:paraId="6F2D46ED" w14:textId="77777777">
            <w:pPr>
              <w:spacing w:after="0" w:line="240" w:lineRule="auto"/>
              <w:rPr>
                <w:rFonts w:ascii="Calibri" w:eastAsia="Times New Roman" w:hAnsi="Calibri" w:cs="Calibri"/>
                <w:bCs/>
                <w:sz w:val="24"/>
                <w:szCs w:val="24"/>
              </w:rPr>
            </w:pPr>
            <w:r>
              <w:rPr>
                <w:rFonts w:ascii="Calibri" w:eastAsia="Times New Roman" w:hAnsi="Calibri" w:cs="Calibri"/>
                <w:bCs/>
                <w:sz w:val="24"/>
                <w:szCs w:val="24"/>
              </w:rPr>
              <w:t>[E]</w:t>
            </w:r>
          </w:p>
        </w:tc>
        <w:tc>
          <w:tcPr>
            <w:tcW w:w="3329" w:type="pct"/>
            <w:gridSpan w:val="2"/>
          </w:tcPr>
          <w:p w:rsidR="0044210C" w:rsidRPr="00833641" w14:paraId="3706E62A" w14:textId="77777777">
            <w:pPr>
              <w:spacing w:after="0" w:line="240" w:lineRule="auto"/>
              <w:rPr>
                <w:rFonts w:ascii="Calibri" w:eastAsia="Times New Roman" w:hAnsi="Calibri" w:cs="Calibri"/>
                <w:sz w:val="24"/>
                <w:szCs w:val="24"/>
              </w:rPr>
            </w:pPr>
            <w:r w:rsidRPr="00833641">
              <w:rPr>
                <w:rFonts w:ascii="Calibri" w:eastAsia="Times New Roman" w:hAnsi="Calibri" w:cs="Calibri"/>
                <w:sz w:val="24"/>
                <w:szCs w:val="24"/>
              </w:rPr>
              <w:t xml:space="preserve">Clerical </w:t>
            </w:r>
            <w:r>
              <w:rPr>
                <w:rFonts w:ascii="Calibri" w:eastAsia="Times New Roman" w:hAnsi="Calibri" w:cs="Calibri"/>
                <w:sz w:val="24"/>
                <w:szCs w:val="24"/>
              </w:rPr>
              <w:t>Labor</w:t>
            </w:r>
            <w:r w:rsidRPr="00833641">
              <w:rPr>
                <w:rFonts w:ascii="Calibri" w:eastAsia="Times New Roman" w:hAnsi="Calibri" w:cs="Calibri"/>
                <w:sz w:val="24"/>
                <w:szCs w:val="24"/>
              </w:rPr>
              <w:t xml:space="preserve"> Rate</w:t>
            </w:r>
          </w:p>
        </w:tc>
        <w:tc>
          <w:tcPr>
            <w:tcW w:w="1347" w:type="pct"/>
          </w:tcPr>
          <w:p w:rsidR="0044210C" w14:paraId="1EB89AAC" w14:textId="77777777">
            <w:pPr>
              <w:tabs>
                <w:tab w:val="decimal" w:pos="1736"/>
              </w:tabs>
              <w:spacing w:after="0" w:line="240" w:lineRule="auto"/>
              <w:jc w:val="right"/>
              <w:rPr>
                <w:rFonts w:ascii="Calibri" w:eastAsia="Times New Roman" w:hAnsi="Calibri" w:cs="Calibri"/>
                <w:bCs/>
                <w:sz w:val="24"/>
                <w:szCs w:val="24"/>
              </w:rPr>
            </w:pPr>
            <w:r w:rsidRPr="00833641">
              <w:rPr>
                <w:rFonts w:ascii="Calibri" w:eastAsia="Times New Roman" w:hAnsi="Calibri" w:cs="Calibri"/>
                <w:sz w:val="24"/>
                <w:szCs w:val="24"/>
              </w:rPr>
              <w:t>$31.15</w:t>
            </w:r>
          </w:p>
        </w:tc>
      </w:tr>
      <w:tr w14:paraId="7AFC4BCB" w14:textId="77777777" w:rsidTr="00324A56">
        <w:tblPrEx>
          <w:tblW w:w="5000" w:type="pct"/>
          <w:tblLook w:val="01E0"/>
        </w:tblPrEx>
        <w:trPr>
          <w:trHeight w:val="240"/>
        </w:trPr>
        <w:tc>
          <w:tcPr>
            <w:tcW w:w="324" w:type="pct"/>
          </w:tcPr>
          <w:p w:rsidR="0044210C" w:rsidRPr="00D177B0" w14:paraId="000EC827"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Pr>
                <w:rFonts w:ascii="Calibri" w:eastAsia="Times New Roman" w:hAnsi="Calibri" w:cs="Calibri"/>
                <w:bCs/>
                <w:sz w:val="24"/>
                <w:szCs w:val="24"/>
              </w:rPr>
              <w:t>F</w:t>
            </w:r>
            <w:r w:rsidRPr="00D177B0">
              <w:rPr>
                <w:rFonts w:ascii="Calibri" w:eastAsia="Times New Roman" w:hAnsi="Calibri" w:cs="Calibri"/>
                <w:bCs/>
                <w:sz w:val="24"/>
                <w:szCs w:val="24"/>
              </w:rPr>
              <w:t>]</w:t>
            </w:r>
          </w:p>
        </w:tc>
        <w:tc>
          <w:tcPr>
            <w:tcW w:w="3329" w:type="pct"/>
            <w:gridSpan w:val="2"/>
          </w:tcPr>
          <w:p w:rsidR="0044210C" w:rsidRPr="00D177B0" w14:paraId="522120FC" w14:textId="77777777">
            <w:pPr>
              <w:spacing w:after="0" w:line="240" w:lineRule="auto"/>
              <w:rPr>
                <w:rFonts w:ascii="Calibri" w:eastAsia="Times New Roman" w:hAnsi="Calibri" w:cs="Calibri"/>
                <w:bCs/>
                <w:sz w:val="24"/>
                <w:szCs w:val="24"/>
              </w:rPr>
            </w:pPr>
            <w:r>
              <w:rPr>
                <w:rFonts w:ascii="Calibri" w:eastAsia="Times New Roman" w:hAnsi="Calibri" w:cs="Calibri"/>
                <w:bCs/>
                <w:sz w:val="24"/>
                <w:szCs w:val="24"/>
              </w:rPr>
              <w:t>Subtotal</w:t>
            </w:r>
            <w:r w:rsidRPr="00D177B0">
              <w:rPr>
                <w:rFonts w:ascii="Calibri" w:eastAsia="Times New Roman" w:hAnsi="Calibri" w:cs="Calibri"/>
                <w:bCs/>
                <w:sz w:val="24"/>
                <w:szCs w:val="24"/>
              </w:rPr>
              <w:t xml:space="preserve"> Estimated Annual </w:t>
            </w:r>
            <w:r>
              <w:rPr>
                <w:rFonts w:ascii="Calibri" w:eastAsia="Times New Roman" w:hAnsi="Calibri" w:cs="Calibri"/>
                <w:bCs/>
                <w:sz w:val="24"/>
                <w:szCs w:val="24"/>
              </w:rPr>
              <w:t>Cost</w:t>
            </w:r>
          </w:p>
          <w:p w:rsidR="0044210C" w:rsidRPr="00D177B0" w14:paraId="5BFB52D1" w14:textId="77777777">
            <w:pPr>
              <w:spacing w:after="0" w:line="240" w:lineRule="auto"/>
              <w:rPr>
                <w:rFonts w:ascii="Calibri" w:eastAsia="Times New Roman" w:hAnsi="Calibri" w:cs="Calibri"/>
                <w:bCs/>
                <w:sz w:val="24"/>
                <w:szCs w:val="24"/>
              </w:rPr>
            </w:pPr>
            <w:r w:rsidRPr="00D177B0">
              <w:rPr>
                <w:rFonts w:ascii="Calibri" w:eastAsia="Times New Roman" w:hAnsi="Calibri" w:cs="Calibri"/>
                <w:bCs/>
                <w:sz w:val="24"/>
                <w:szCs w:val="24"/>
              </w:rPr>
              <w:t>[</w:t>
            </w:r>
            <w:r>
              <w:rPr>
                <w:rFonts w:ascii="Calibri" w:eastAsia="Times New Roman" w:hAnsi="Calibri" w:cs="Calibri"/>
                <w:bCs/>
                <w:sz w:val="24"/>
                <w:szCs w:val="24"/>
              </w:rPr>
              <w:t>F</w:t>
            </w:r>
            <w:r w:rsidRPr="00D177B0">
              <w:rPr>
                <w:rFonts w:ascii="Calibri" w:eastAsia="Times New Roman" w:hAnsi="Calibri" w:cs="Calibri"/>
                <w:bCs/>
                <w:sz w:val="24"/>
                <w:szCs w:val="24"/>
              </w:rPr>
              <w:t xml:space="preserve">] = </w:t>
            </w:r>
            <w:r>
              <w:rPr>
                <w:rFonts w:ascii="Calibri" w:eastAsia="Times New Roman" w:hAnsi="Calibri" w:cs="Calibri"/>
                <w:bCs/>
                <w:sz w:val="24"/>
                <w:szCs w:val="24"/>
              </w:rPr>
              <w:t>(</w:t>
            </w:r>
            <w:r w:rsidRPr="00D177B0">
              <w:rPr>
                <w:rFonts w:ascii="Calibri" w:eastAsia="Times New Roman" w:hAnsi="Calibri" w:cs="Calibri"/>
                <w:bCs/>
                <w:sz w:val="24"/>
                <w:szCs w:val="24"/>
              </w:rPr>
              <w:t>[A]</w:t>
            </w:r>
            <w:r>
              <w:rPr>
                <w:rFonts w:ascii="Calibri" w:eastAsia="Times New Roman" w:hAnsi="Calibri" w:cs="Calibri"/>
                <w:bCs/>
                <w:sz w:val="24"/>
                <w:szCs w:val="24"/>
              </w:rPr>
              <w:t>*</w:t>
            </w:r>
            <w:r w:rsidRPr="00D177B0">
              <w:rPr>
                <w:rFonts w:ascii="Calibri" w:eastAsia="Times New Roman" w:hAnsi="Calibri" w:cs="Calibri"/>
                <w:bCs/>
                <w:sz w:val="24"/>
                <w:szCs w:val="24"/>
              </w:rPr>
              <w:t>[B]</w:t>
            </w:r>
            <w:r>
              <w:rPr>
                <w:rFonts w:ascii="Calibri" w:eastAsia="Times New Roman" w:hAnsi="Calibri" w:cs="Calibri"/>
                <w:bCs/>
                <w:sz w:val="24"/>
                <w:szCs w:val="24"/>
              </w:rPr>
              <w:t>*[D]) + (</w:t>
            </w:r>
            <w:r w:rsidRPr="00D177B0">
              <w:rPr>
                <w:rFonts w:ascii="Calibri" w:eastAsia="Times New Roman" w:hAnsi="Calibri" w:cs="Calibri"/>
                <w:bCs/>
                <w:sz w:val="24"/>
                <w:szCs w:val="24"/>
              </w:rPr>
              <w:t>[A]</w:t>
            </w:r>
            <w:r>
              <w:rPr>
                <w:rFonts w:ascii="Calibri" w:eastAsia="Times New Roman" w:hAnsi="Calibri" w:cs="Calibri"/>
                <w:bCs/>
                <w:sz w:val="24"/>
                <w:szCs w:val="24"/>
              </w:rPr>
              <w:t>*</w:t>
            </w:r>
            <w:r w:rsidRPr="00D177B0">
              <w:rPr>
                <w:rFonts w:ascii="Calibri" w:eastAsia="Times New Roman" w:hAnsi="Calibri" w:cs="Calibri"/>
                <w:bCs/>
                <w:sz w:val="24"/>
                <w:szCs w:val="24"/>
              </w:rPr>
              <w:t>[</w:t>
            </w:r>
            <w:r>
              <w:rPr>
                <w:rFonts w:ascii="Calibri" w:eastAsia="Times New Roman" w:hAnsi="Calibri" w:cs="Calibri"/>
                <w:bCs/>
                <w:sz w:val="24"/>
                <w:szCs w:val="24"/>
              </w:rPr>
              <w:t>C</w:t>
            </w:r>
            <w:r w:rsidRPr="00D177B0">
              <w:rPr>
                <w:rFonts w:ascii="Calibri" w:eastAsia="Times New Roman" w:hAnsi="Calibri" w:cs="Calibri"/>
                <w:bCs/>
                <w:sz w:val="24"/>
                <w:szCs w:val="24"/>
              </w:rPr>
              <w:t>]</w:t>
            </w:r>
            <w:r>
              <w:rPr>
                <w:rFonts w:ascii="Calibri" w:eastAsia="Times New Roman" w:hAnsi="Calibri" w:cs="Calibri"/>
                <w:bCs/>
                <w:sz w:val="24"/>
                <w:szCs w:val="24"/>
              </w:rPr>
              <w:t>*[E])</w:t>
            </w:r>
          </w:p>
        </w:tc>
        <w:tc>
          <w:tcPr>
            <w:tcW w:w="1347" w:type="pct"/>
          </w:tcPr>
          <w:p w:rsidR="0044210C" w:rsidRPr="000C3A2E" w14:paraId="53A4F949" w14:textId="32FD74F1">
            <w:pPr>
              <w:tabs>
                <w:tab w:val="decimal" w:pos="1736"/>
              </w:tabs>
              <w:spacing w:after="0" w:line="240" w:lineRule="auto"/>
              <w:jc w:val="right"/>
              <w:rPr>
                <w:rFonts w:ascii="Calibri" w:eastAsia="Times New Roman" w:hAnsi="Calibri" w:cs="Calibri"/>
                <w:bCs/>
                <w:sz w:val="24"/>
                <w:szCs w:val="24"/>
              </w:rPr>
            </w:pPr>
            <w:r w:rsidRPr="000C3A2E">
              <w:rPr>
                <w:rFonts w:ascii="Calibri" w:eastAsia="Times New Roman" w:hAnsi="Calibri" w:cs="Calibri"/>
                <w:bCs/>
                <w:sz w:val="24"/>
                <w:szCs w:val="24"/>
              </w:rPr>
              <w:t>$</w:t>
            </w:r>
            <w:r>
              <w:rPr>
                <w:rFonts w:ascii="Calibri" w:eastAsia="Times New Roman" w:hAnsi="Calibri" w:cs="Calibri"/>
                <w:bCs/>
                <w:sz w:val="24"/>
                <w:szCs w:val="24"/>
              </w:rPr>
              <w:t>997,</w:t>
            </w:r>
            <w:r w:rsidR="00D80BE3">
              <w:rPr>
                <w:rFonts w:ascii="Calibri" w:eastAsia="Times New Roman" w:hAnsi="Calibri" w:cs="Calibri"/>
                <w:bCs/>
                <w:sz w:val="24"/>
                <w:szCs w:val="24"/>
              </w:rPr>
              <w:t>375</w:t>
            </w:r>
          </w:p>
        </w:tc>
      </w:tr>
      <w:tr w14:paraId="33F5E1F6" w14:textId="77777777" w:rsidTr="00324A56">
        <w:tblPrEx>
          <w:tblW w:w="5000" w:type="pct"/>
          <w:tblLook w:val="01E0"/>
        </w:tblPrEx>
        <w:trPr>
          <w:trHeight w:val="240"/>
        </w:trPr>
        <w:tc>
          <w:tcPr>
            <w:tcW w:w="5000" w:type="pct"/>
            <w:gridSpan w:val="4"/>
          </w:tcPr>
          <w:p w:rsidR="0044210C" w:rsidRPr="00841B06" w14:paraId="3BF4A8A0" w14:textId="77777777">
            <w:pPr>
              <w:contextualSpacing/>
              <w:rPr>
                <w:u w:val="single"/>
              </w:rPr>
            </w:pPr>
            <w:r w:rsidRPr="00841B06">
              <w:rPr>
                <w:u w:val="single"/>
              </w:rPr>
              <w:t>Focus Groups</w:t>
            </w:r>
          </w:p>
        </w:tc>
      </w:tr>
      <w:tr w14:paraId="2C3371BE" w14:textId="77777777" w:rsidTr="00324A56">
        <w:tblPrEx>
          <w:tblW w:w="5000" w:type="pct"/>
          <w:tblLook w:val="01E0"/>
        </w:tblPrEx>
        <w:trPr>
          <w:trHeight w:val="240"/>
        </w:trPr>
        <w:tc>
          <w:tcPr>
            <w:tcW w:w="324" w:type="pct"/>
          </w:tcPr>
          <w:p w:rsidR="0044210C" w:rsidRPr="00A827A0" w14:paraId="7AEA5A0E" w14:textId="77777777">
            <w:pPr>
              <w:spacing w:after="0" w:line="240" w:lineRule="auto"/>
              <w:rPr>
                <w:rFonts w:ascii="Calibri" w:eastAsia="Times New Roman" w:hAnsi="Calibri" w:cs="Calibri"/>
                <w:bCs/>
              </w:rPr>
            </w:pPr>
            <w:r w:rsidRPr="00A827A0">
              <w:rPr>
                <w:rFonts w:ascii="Calibri" w:eastAsia="Times New Roman" w:hAnsi="Calibri" w:cs="Calibri"/>
                <w:bCs/>
              </w:rPr>
              <w:t>[G]</w:t>
            </w:r>
          </w:p>
        </w:tc>
        <w:tc>
          <w:tcPr>
            <w:tcW w:w="3329" w:type="pct"/>
            <w:gridSpan w:val="2"/>
          </w:tcPr>
          <w:p w:rsidR="0044210C" w:rsidRPr="00A827A0" w14:paraId="0B8DB410" w14:textId="77777777">
            <w:pPr>
              <w:spacing w:after="0" w:line="240" w:lineRule="auto"/>
              <w:rPr>
                <w:rFonts w:ascii="Calibri" w:eastAsia="Times New Roman" w:hAnsi="Calibri" w:cs="Calibri"/>
                <w:bCs/>
              </w:rPr>
            </w:pPr>
            <w:r w:rsidRPr="00A827A0">
              <w:rPr>
                <w:rFonts w:ascii="Calibri" w:eastAsia="Times New Roman" w:hAnsi="Calibri" w:cs="Calibri"/>
                <w:bCs/>
              </w:rPr>
              <w:t>Total Estimated Annual Burden</w:t>
            </w:r>
          </w:p>
        </w:tc>
        <w:tc>
          <w:tcPr>
            <w:tcW w:w="1347" w:type="pct"/>
          </w:tcPr>
          <w:p w:rsidR="0044210C" w:rsidRPr="00A827A0" w14:paraId="56418FB8" w14:textId="18DB2CE0">
            <w:pPr>
              <w:tabs>
                <w:tab w:val="decimal" w:pos="1736"/>
              </w:tabs>
              <w:spacing w:after="0" w:line="240" w:lineRule="auto"/>
              <w:jc w:val="right"/>
              <w:rPr>
                <w:rFonts w:ascii="Calibri" w:eastAsia="Times New Roman" w:hAnsi="Calibri" w:cs="Calibri"/>
                <w:bCs/>
              </w:rPr>
            </w:pPr>
            <w:r>
              <w:rPr>
                <w:rFonts w:ascii="Calibri" w:eastAsia="Times New Roman" w:hAnsi="Calibri" w:cs="Calibri"/>
                <w:bCs/>
              </w:rPr>
              <w:t>120</w:t>
            </w:r>
          </w:p>
        </w:tc>
      </w:tr>
      <w:tr w14:paraId="548F957F" w14:textId="77777777" w:rsidTr="00324A56">
        <w:tblPrEx>
          <w:tblW w:w="5000" w:type="pct"/>
          <w:tblLook w:val="01E0"/>
        </w:tblPrEx>
        <w:trPr>
          <w:trHeight w:val="240"/>
        </w:trPr>
        <w:tc>
          <w:tcPr>
            <w:tcW w:w="324" w:type="pct"/>
          </w:tcPr>
          <w:p w:rsidR="0044210C" w:rsidRPr="00A827A0" w14:paraId="4C9F4F14" w14:textId="77777777">
            <w:pPr>
              <w:spacing w:after="0" w:line="240" w:lineRule="auto"/>
              <w:rPr>
                <w:rFonts w:ascii="Calibri" w:eastAsia="Times New Roman" w:hAnsi="Calibri" w:cs="Calibri"/>
                <w:bCs/>
              </w:rPr>
            </w:pPr>
            <w:r w:rsidRPr="00A827A0">
              <w:rPr>
                <w:rFonts w:ascii="Calibri" w:eastAsia="Times New Roman" w:hAnsi="Calibri" w:cs="Calibri"/>
                <w:bCs/>
              </w:rPr>
              <w:t>[H]</w:t>
            </w:r>
          </w:p>
        </w:tc>
        <w:tc>
          <w:tcPr>
            <w:tcW w:w="3329" w:type="pct"/>
            <w:gridSpan w:val="2"/>
          </w:tcPr>
          <w:p w:rsidR="0044210C" w:rsidRPr="00A827A0" w14:paraId="16A98FEE" w14:textId="77777777">
            <w:pPr>
              <w:spacing w:after="0" w:line="240" w:lineRule="auto"/>
              <w:rPr>
                <w:rFonts w:ascii="Calibri" w:eastAsia="Times New Roman" w:hAnsi="Calibri" w:cs="Calibri"/>
                <w:bCs/>
              </w:rPr>
            </w:pPr>
            <w:r w:rsidRPr="00A827A0">
              <w:rPr>
                <w:rFonts w:ascii="Calibri" w:eastAsia="Times New Roman" w:hAnsi="Calibri" w:cs="Calibri"/>
                <w:bCs/>
              </w:rPr>
              <w:t>All Occupations Wage Rate</w:t>
            </w:r>
          </w:p>
        </w:tc>
        <w:tc>
          <w:tcPr>
            <w:tcW w:w="1347" w:type="pct"/>
          </w:tcPr>
          <w:p w:rsidR="0044210C" w:rsidRPr="00A827A0" w14:paraId="020352E4" w14:textId="35698AC0">
            <w:pPr>
              <w:tabs>
                <w:tab w:val="decimal" w:pos="1736"/>
              </w:tabs>
              <w:spacing w:after="0" w:line="240" w:lineRule="auto"/>
              <w:jc w:val="right"/>
              <w:rPr>
                <w:rFonts w:ascii="Calibri" w:eastAsia="Times New Roman" w:hAnsi="Calibri" w:cs="Calibri"/>
                <w:bCs/>
              </w:rPr>
            </w:pPr>
            <w:r>
              <w:rPr>
                <w:rFonts w:ascii="Calibri" w:eastAsia="Times New Roman" w:hAnsi="Calibri" w:cs="Calibri"/>
                <w:bCs/>
              </w:rPr>
              <w:t>$31.48</w:t>
            </w:r>
          </w:p>
        </w:tc>
      </w:tr>
      <w:tr w14:paraId="35D1EB32" w14:textId="77777777" w:rsidTr="00324A56">
        <w:tblPrEx>
          <w:tblW w:w="5000" w:type="pct"/>
          <w:tblLook w:val="01E0"/>
        </w:tblPrEx>
        <w:trPr>
          <w:trHeight w:val="240"/>
        </w:trPr>
        <w:tc>
          <w:tcPr>
            <w:tcW w:w="324" w:type="pct"/>
          </w:tcPr>
          <w:p w:rsidR="0044210C" w:rsidRPr="00A827A0" w14:paraId="23670A79" w14:textId="77777777">
            <w:pPr>
              <w:spacing w:after="0" w:line="240" w:lineRule="auto"/>
              <w:rPr>
                <w:rFonts w:ascii="Calibri" w:eastAsia="Times New Roman" w:hAnsi="Calibri" w:cs="Calibri"/>
                <w:bCs/>
              </w:rPr>
            </w:pPr>
            <w:r w:rsidRPr="00A827A0">
              <w:rPr>
                <w:rFonts w:ascii="Calibri" w:eastAsia="Times New Roman" w:hAnsi="Calibri" w:cs="Calibri"/>
                <w:bCs/>
              </w:rPr>
              <w:t>[I]</w:t>
            </w:r>
          </w:p>
        </w:tc>
        <w:tc>
          <w:tcPr>
            <w:tcW w:w="3329" w:type="pct"/>
            <w:gridSpan w:val="2"/>
          </w:tcPr>
          <w:p w:rsidR="0044210C" w:rsidRPr="00A827A0" w14:paraId="43098C90" w14:textId="77777777">
            <w:pPr>
              <w:spacing w:after="0" w:line="240" w:lineRule="auto"/>
              <w:rPr>
                <w:rFonts w:ascii="Calibri" w:eastAsia="Times New Roman" w:hAnsi="Calibri" w:cs="Calibri"/>
                <w:bCs/>
              </w:rPr>
            </w:pPr>
            <w:r>
              <w:rPr>
                <w:rFonts w:ascii="Calibri" w:eastAsia="Times New Roman" w:hAnsi="Calibri" w:cs="Calibri"/>
                <w:bCs/>
              </w:rPr>
              <w:t>Subtotal</w:t>
            </w:r>
            <w:r w:rsidRPr="00A827A0">
              <w:rPr>
                <w:rFonts w:ascii="Calibri" w:eastAsia="Times New Roman" w:hAnsi="Calibri" w:cs="Calibri"/>
                <w:bCs/>
              </w:rPr>
              <w:t xml:space="preserve"> Estimated Annual Cost</w:t>
            </w:r>
          </w:p>
        </w:tc>
        <w:tc>
          <w:tcPr>
            <w:tcW w:w="1347" w:type="pct"/>
          </w:tcPr>
          <w:p w:rsidR="0044210C" w:rsidRPr="00A827A0" w14:paraId="60624A86" w14:textId="55E05A2E">
            <w:pPr>
              <w:tabs>
                <w:tab w:val="decimal" w:pos="1736"/>
              </w:tabs>
              <w:spacing w:after="0" w:line="240" w:lineRule="auto"/>
              <w:jc w:val="right"/>
              <w:rPr>
                <w:rFonts w:ascii="Calibri" w:eastAsia="Times New Roman" w:hAnsi="Calibri" w:cs="Calibri"/>
                <w:bCs/>
              </w:rPr>
            </w:pPr>
            <w:r w:rsidRPr="00A827A0">
              <w:rPr>
                <w:rFonts w:ascii="Calibri" w:eastAsia="Times New Roman" w:hAnsi="Calibri" w:cs="Calibri"/>
                <w:bCs/>
              </w:rPr>
              <w:t>$</w:t>
            </w:r>
            <w:r w:rsidR="00087718">
              <w:rPr>
                <w:rFonts w:ascii="Calibri" w:eastAsia="Times New Roman" w:hAnsi="Calibri" w:cs="Calibri"/>
                <w:bCs/>
              </w:rPr>
              <w:t>3,778</w:t>
            </w:r>
          </w:p>
        </w:tc>
      </w:tr>
      <w:tr w14:paraId="04A9B761" w14:textId="77777777" w:rsidTr="00324A56">
        <w:tblPrEx>
          <w:tblW w:w="5000" w:type="pct"/>
          <w:tblLook w:val="01E0"/>
        </w:tblPrEx>
        <w:trPr>
          <w:trHeight w:val="332"/>
        </w:trPr>
        <w:tc>
          <w:tcPr>
            <w:tcW w:w="5000" w:type="pct"/>
            <w:gridSpan w:val="4"/>
          </w:tcPr>
          <w:p w:rsidR="0044210C" w:rsidRPr="00841B06" w14:paraId="5138A1F3" w14:textId="77777777">
            <w:pPr>
              <w:contextualSpacing/>
              <w:rPr>
                <w:u w:val="single"/>
              </w:rPr>
            </w:pPr>
            <w:r w:rsidRPr="00841B06">
              <w:rPr>
                <w:u w:val="single"/>
              </w:rPr>
              <w:t>Grand Total</w:t>
            </w:r>
          </w:p>
        </w:tc>
      </w:tr>
      <w:tr w14:paraId="631515C6" w14:textId="77777777" w:rsidTr="00324A56">
        <w:tblPrEx>
          <w:tblW w:w="5000" w:type="pct"/>
          <w:tblLook w:val="01E0"/>
        </w:tblPrEx>
        <w:trPr>
          <w:trHeight w:val="240"/>
        </w:trPr>
        <w:tc>
          <w:tcPr>
            <w:tcW w:w="324" w:type="pct"/>
          </w:tcPr>
          <w:p w:rsidR="0044210C" w:rsidRPr="00A827A0" w14:paraId="7DECBE61" w14:textId="77777777">
            <w:pPr>
              <w:spacing w:after="0" w:line="240" w:lineRule="auto"/>
              <w:rPr>
                <w:rFonts w:ascii="Calibri" w:eastAsia="Times New Roman" w:hAnsi="Calibri" w:cs="Calibri"/>
                <w:bCs/>
              </w:rPr>
            </w:pPr>
            <w:r w:rsidRPr="00A827A0">
              <w:rPr>
                <w:rFonts w:ascii="Calibri" w:eastAsia="Times New Roman" w:hAnsi="Calibri" w:cs="Calibri"/>
                <w:bCs/>
              </w:rPr>
              <w:t>[J]</w:t>
            </w:r>
          </w:p>
        </w:tc>
        <w:tc>
          <w:tcPr>
            <w:tcW w:w="3329" w:type="pct"/>
            <w:gridSpan w:val="2"/>
          </w:tcPr>
          <w:p w:rsidR="0044210C" w:rsidRPr="00A827A0" w14:paraId="7E508DA4" w14:textId="77777777">
            <w:pPr>
              <w:spacing w:after="0" w:line="240" w:lineRule="auto"/>
              <w:rPr>
                <w:rFonts w:ascii="Calibri" w:eastAsia="Times New Roman" w:hAnsi="Calibri" w:cs="Calibri"/>
                <w:bCs/>
              </w:rPr>
            </w:pPr>
            <w:r w:rsidRPr="00A827A0">
              <w:rPr>
                <w:rFonts w:ascii="Calibri" w:eastAsia="Times New Roman" w:hAnsi="Calibri" w:cs="Calibri"/>
                <w:bCs/>
              </w:rPr>
              <w:t xml:space="preserve">Estimated Annual Cost </w:t>
            </w:r>
          </w:p>
          <w:p w:rsidR="0044210C" w:rsidRPr="00A827A0" w14:paraId="7356B6E6" w14:textId="77777777">
            <w:pPr>
              <w:spacing w:after="0" w:line="240" w:lineRule="auto"/>
              <w:rPr>
                <w:rFonts w:ascii="Calibri" w:eastAsia="Times New Roman" w:hAnsi="Calibri" w:cs="Calibri"/>
                <w:bCs/>
              </w:rPr>
            </w:pPr>
            <w:r w:rsidRPr="00A827A0">
              <w:rPr>
                <w:rFonts w:ascii="Calibri" w:eastAsia="Times New Roman" w:hAnsi="Calibri" w:cs="Calibri"/>
                <w:bCs/>
              </w:rPr>
              <w:t>[F]+[I]</w:t>
            </w:r>
          </w:p>
        </w:tc>
        <w:tc>
          <w:tcPr>
            <w:tcW w:w="1347" w:type="pct"/>
          </w:tcPr>
          <w:p w:rsidR="0044210C" w:rsidRPr="00A827A0" w14:paraId="60B38C2A" w14:textId="2ED27B86">
            <w:pPr>
              <w:tabs>
                <w:tab w:val="decimal" w:pos="1736"/>
              </w:tabs>
              <w:spacing w:after="0" w:line="240" w:lineRule="auto"/>
              <w:jc w:val="right"/>
              <w:rPr>
                <w:rFonts w:ascii="Calibri" w:eastAsia="Times New Roman" w:hAnsi="Calibri" w:cs="Calibri"/>
                <w:bCs/>
              </w:rPr>
            </w:pPr>
            <w:r w:rsidRPr="00A827A0">
              <w:rPr>
                <w:rFonts w:ascii="Calibri" w:eastAsia="Times New Roman" w:hAnsi="Calibri" w:cs="Calibri"/>
                <w:bCs/>
              </w:rPr>
              <w:t>$</w:t>
            </w:r>
            <w:r w:rsidR="00CC73D6">
              <w:rPr>
                <w:rFonts w:ascii="Calibri" w:eastAsia="Times New Roman" w:hAnsi="Calibri" w:cs="Calibri"/>
                <w:bCs/>
              </w:rPr>
              <w:t>1,</w:t>
            </w:r>
            <w:r w:rsidR="00A46430">
              <w:rPr>
                <w:rFonts w:ascii="Calibri" w:eastAsia="Times New Roman" w:hAnsi="Calibri" w:cs="Calibri"/>
                <w:bCs/>
              </w:rPr>
              <w:t>001</w:t>
            </w:r>
            <w:r w:rsidR="002D241F">
              <w:rPr>
                <w:rFonts w:ascii="Calibri" w:eastAsia="Times New Roman" w:hAnsi="Calibri" w:cs="Calibri"/>
                <w:bCs/>
              </w:rPr>
              <w:t>,</w:t>
            </w:r>
            <w:r w:rsidR="00B76293">
              <w:rPr>
                <w:rFonts w:ascii="Calibri" w:eastAsia="Times New Roman" w:hAnsi="Calibri" w:cs="Calibri"/>
                <w:bCs/>
              </w:rPr>
              <w:t>153</w:t>
            </w:r>
          </w:p>
        </w:tc>
      </w:tr>
      <w:tr w14:paraId="39AF4B9D" w14:textId="77777777" w:rsidTr="00324A56">
        <w:tblPrEx>
          <w:tblW w:w="5000" w:type="pct"/>
          <w:tblLook w:val="01E0"/>
        </w:tblPrEx>
        <w:trPr>
          <w:trHeight w:val="240"/>
        </w:trPr>
        <w:tc>
          <w:tcPr>
            <w:tcW w:w="324" w:type="pct"/>
          </w:tcPr>
          <w:p w:rsidR="00E3432D" w:rsidRPr="00A827A0" w:rsidP="00E3432D" w14:paraId="2C60391D" w14:textId="6A9652C0">
            <w:pPr>
              <w:spacing w:after="0" w:line="240" w:lineRule="auto"/>
              <w:rPr>
                <w:rFonts w:ascii="Calibri" w:eastAsia="Times New Roman" w:hAnsi="Calibri" w:cs="Calibri"/>
                <w:bCs/>
              </w:rPr>
            </w:pPr>
            <w:r>
              <w:rPr>
                <w:rFonts w:ascii="Calibri" w:eastAsia="Times New Roman" w:hAnsi="Calibri" w:cs="Calibri"/>
                <w:bCs/>
              </w:rPr>
              <w:t>[K]</w:t>
            </w:r>
          </w:p>
        </w:tc>
        <w:tc>
          <w:tcPr>
            <w:tcW w:w="3329" w:type="pct"/>
            <w:gridSpan w:val="2"/>
          </w:tcPr>
          <w:p w:rsidR="00E3432D" w:rsidRPr="00A827A0" w:rsidP="00E3432D" w14:paraId="6AC8CDE8" w14:textId="7D0F0EE6">
            <w:pPr>
              <w:spacing w:after="0" w:line="240" w:lineRule="auto"/>
              <w:rPr>
                <w:rFonts w:ascii="Calibri" w:eastAsia="Times New Roman" w:hAnsi="Calibri" w:cs="Calibri"/>
                <w:bCs/>
              </w:rPr>
            </w:pPr>
            <w:r w:rsidRPr="00A827A0">
              <w:rPr>
                <w:rFonts w:ascii="Calibri" w:eastAsia="Times New Roman" w:hAnsi="Calibri" w:cs="Calibri"/>
                <w:bCs/>
              </w:rPr>
              <w:t xml:space="preserve">Estimated Annual </w:t>
            </w:r>
            <w:r w:rsidR="00F10905">
              <w:rPr>
                <w:rFonts w:ascii="Calibri" w:eastAsia="Times New Roman" w:hAnsi="Calibri" w:cs="Calibri"/>
                <w:bCs/>
              </w:rPr>
              <w:t>Burden</w:t>
            </w:r>
          </w:p>
          <w:p w:rsidR="00E3432D" w:rsidRPr="00A827A0" w:rsidP="00E3432D" w14:paraId="027BE881" w14:textId="740C416F">
            <w:pPr>
              <w:spacing w:after="0" w:line="240" w:lineRule="auto"/>
              <w:rPr>
                <w:rFonts w:ascii="Calibri" w:eastAsia="Times New Roman" w:hAnsi="Calibri" w:cs="Calibri"/>
                <w:bCs/>
              </w:rPr>
            </w:pPr>
            <w:r w:rsidRPr="00A827A0">
              <w:rPr>
                <w:rFonts w:ascii="Calibri" w:eastAsia="Times New Roman" w:hAnsi="Calibri" w:cs="Calibri"/>
                <w:bCs/>
              </w:rPr>
              <w:t>[</w:t>
            </w:r>
            <w:r w:rsidR="00492537">
              <w:rPr>
                <w:rFonts w:ascii="Calibri" w:eastAsia="Times New Roman" w:hAnsi="Calibri" w:cs="Calibri"/>
                <w:bCs/>
              </w:rPr>
              <w:t>A</w:t>
            </w:r>
            <w:r w:rsidRPr="00A827A0">
              <w:rPr>
                <w:rFonts w:ascii="Calibri" w:eastAsia="Times New Roman" w:hAnsi="Calibri" w:cs="Calibri"/>
                <w:bCs/>
              </w:rPr>
              <w:t>]+[</w:t>
            </w:r>
            <w:r w:rsidR="00F10905">
              <w:rPr>
                <w:rFonts w:ascii="Calibri" w:eastAsia="Times New Roman" w:hAnsi="Calibri" w:cs="Calibri"/>
                <w:bCs/>
              </w:rPr>
              <w:t>G</w:t>
            </w:r>
            <w:r w:rsidRPr="00A827A0">
              <w:rPr>
                <w:rFonts w:ascii="Calibri" w:eastAsia="Times New Roman" w:hAnsi="Calibri" w:cs="Calibri"/>
                <w:bCs/>
              </w:rPr>
              <w:t>]</w:t>
            </w:r>
          </w:p>
        </w:tc>
        <w:tc>
          <w:tcPr>
            <w:tcW w:w="1347" w:type="pct"/>
          </w:tcPr>
          <w:p w:rsidR="00E3432D" w:rsidRPr="00A827A0" w:rsidP="00E3432D" w14:paraId="66933D9B" w14:textId="1FEC5C40">
            <w:pPr>
              <w:tabs>
                <w:tab w:val="decimal" w:pos="1736"/>
              </w:tabs>
              <w:spacing w:after="0" w:line="240" w:lineRule="auto"/>
              <w:jc w:val="right"/>
              <w:rPr>
                <w:rFonts w:ascii="Calibri" w:eastAsia="Times New Roman" w:hAnsi="Calibri" w:cs="Calibri"/>
                <w:bCs/>
              </w:rPr>
            </w:pPr>
            <w:r>
              <w:rPr>
                <w:rFonts w:ascii="Calibri" w:eastAsia="Times New Roman" w:hAnsi="Calibri" w:cs="Calibri"/>
                <w:bCs/>
              </w:rPr>
              <w:t>15,</w:t>
            </w:r>
            <w:r w:rsidR="00746BCA">
              <w:rPr>
                <w:rFonts w:ascii="Calibri" w:eastAsia="Times New Roman" w:hAnsi="Calibri" w:cs="Calibri"/>
                <w:bCs/>
              </w:rPr>
              <w:t>397</w:t>
            </w:r>
          </w:p>
        </w:tc>
      </w:tr>
    </w:tbl>
    <w:p w:rsidR="002E4A75" w:rsidP="00854AAE" w14:paraId="19B995BE" w14:textId="70A45725">
      <w:pPr>
        <w:pBdr>
          <w:top w:val="single" w:sz="6" w:space="0" w:color="FFFFFF"/>
          <w:left w:val="single" w:sz="6" w:space="0" w:color="FFFFFF"/>
          <w:bottom w:val="single" w:sz="6" w:space="0" w:color="FFFFFF"/>
          <w:right w:val="single" w:sz="6" w:space="0" w:color="FFFFFF"/>
        </w:pBdr>
        <w:spacing w:before="60"/>
        <w:rPr>
          <w:rFonts w:cstheme="minorHAnsi"/>
          <w:i/>
          <w:iCs/>
          <w:color w:val="000000"/>
          <w:sz w:val="20"/>
          <w:szCs w:val="20"/>
        </w:rPr>
      </w:pPr>
      <w:r>
        <w:rPr>
          <w:rFonts w:cstheme="minorHAnsi"/>
          <w:i/>
          <w:iCs/>
          <w:color w:val="000000"/>
          <w:sz w:val="20"/>
          <w:szCs w:val="20"/>
        </w:rPr>
        <w:br w:type="textWrapping" w:clear="all"/>
      </w:r>
      <w:r w:rsidRPr="00AC4779" w:rsidR="00AC4779">
        <w:rPr>
          <w:rFonts w:cstheme="minorHAnsi"/>
          <w:i/>
          <w:iCs/>
          <w:color w:val="000000"/>
          <w:sz w:val="20"/>
          <w:szCs w:val="20"/>
        </w:rPr>
        <w:t>*The estimated annual respondent cost assumes 100% response rate for each information collection activity and the full universe of respondents which we do not anticipate on using for each activity.</w:t>
      </w:r>
    </w:p>
    <w:p w:rsidR="0097724C" w:rsidRPr="00CC372E" w:rsidP="00854AAE" w14:paraId="45BDFFFA" w14:textId="31A83156">
      <w:pPr>
        <w:pBdr>
          <w:top w:val="single" w:sz="6" w:space="0" w:color="FFFFFF"/>
          <w:left w:val="single" w:sz="6" w:space="0" w:color="FFFFFF"/>
          <w:bottom w:val="single" w:sz="6" w:space="0" w:color="FFFFFF"/>
          <w:right w:val="single" w:sz="6" w:space="0" w:color="FFFFFF"/>
        </w:pBdr>
        <w:spacing w:before="60"/>
        <w:rPr>
          <w:rFonts w:ascii="Calibri" w:eastAsia="Times New Roman" w:hAnsi="Calibri" w:cs="Calibri"/>
        </w:rPr>
      </w:pPr>
      <w:r>
        <w:rPr>
          <w:rFonts w:ascii="Calibri" w:eastAsia="Times New Roman" w:hAnsi="Calibri" w:cs="Calibri"/>
        </w:rPr>
        <w:t>A</w:t>
      </w:r>
      <w:r w:rsidRPr="00CC372E" w:rsidR="008241FD">
        <w:rPr>
          <w:rFonts w:ascii="Calibri" w:eastAsia="Times New Roman" w:hAnsi="Calibri" w:cs="Calibri"/>
        </w:rPr>
        <w:t xml:space="preserve">ll values provided in this section are </w:t>
      </w:r>
      <w:r w:rsidRPr="00CC372E" w:rsidR="00BF30B0">
        <w:rPr>
          <w:rFonts w:ascii="Calibri" w:eastAsia="Times New Roman" w:hAnsi="Calibri" w:cs="Calibri"/>
        </w:rPr>
        <w:t xml:space="preserve">estimations </w:t>
      </w:r>
      <w:r w:rsidRPr="00CC372E" w:rsidR="00520A33">
        <w:rPr>
          <w:rFonts w:ascii="Calibri" w:eastAsia="Times New Roman" w:hAnsi="Calibri" w:cs="Calibri"/>
        </w:rPr>
        <w:t xml:space="preserve">based on the Agency’s </w:t>
      </w:r>
      <w:r w:rsidR="00AB665D">
        <w:rPr>
          <w:rFonts w:ascii="Calibri" w:eastAsia="Times New Roman" w:hAnsi="Calibri" w:cs="Calibri"/>
        </w:rPr>
        <w:t xml:space="preserve">best understanding </w:t>
      </w:r>
      <w:r w:rsidRPr="00AC147F" w:rsidR="00723D3D">
        <w:rPr>
          <w:rFonts w:ascii="Calibri" w:eastAsia="Times New Roman" w:hAnsi="Calibri" w:cs="Calibri"/>
        </w:rPr>
        <w:t xml:space="preserve">of the specific information collections that </w:t>
      </w:r>
      <w:r w:rsidRPr="00AC147F" w:rsidR="006F152E">
        <w:rPr>
          <w:rFonts w:ascii="Calibri" w:eastAsia="Times New Roman" w:hAnsi="Calibri" w:cs="Calibri"/>
        </w:rPr>
        <w:t>it intends to submit under this ICR.</w:t>
      </w:r>
      <w:r w:rsidRPr="00AC147F" w:rsidR="00012E9D">
        <w:rPr>
          <w:rFonts w:ascii="Calibri" w:eastAsia="Times New Roman" w:hAnsi="Calibri" w:cs="Calibri"/>
        </w:rPr>
        <w:t xml:space="preserve"> </w:t>
      </w:r>
      <w:r w:rsidRPr="00AC147F" w:rsidR="00AC2D54">
        <w:rPr>
          <w:rFonts w:ascii="Calibri" w:eastAsia="Times New Roman" w:hAnsi="Calibri" w:cs="Calibri"/>
        </w:rPr>
        <w:t xml:space="preserve">Each IC </w:t>
      </w:r>
      <w:r w:rsidRPr="00AC147F" w:rsidR="00E137A4">
        <w:rPr>
          <w:rFonts w:ascii="Calibri" w:eastAsia="Times New Roman" w:hAnsi="Calibri" w:cs="Calibri"/>
        </w:rPr>
        <w:t xml:space="preserve">justification document </w:t>
      </w:r>
      <w:r w:rsidRPr="00AC147F" w:rsidR="00AC2D54">
        <w:rPr>
          <w:rFonts w:ascii="Calibri" w:eastAsia="Times New Roman" w:hAnsi="Calibri" w:cs="Calibri"/>
        </w:rPr>
        <w:t xml:space="preserve">will </w:t>
      </w:r>
      <w:r w:rsidRPr="00AC147F" w:rsidR="0005561E">
        <w:rPr>
          <w:rFonts w:ascii="Calibri" w:eastAsia="Times New Roman" w:hAnsi="Calibri" w:cs="Calibri"/>
        </w:rPr>
        <w:t>include a detailed explanation of the</w:t>
      </w:r>
      <w:r w:rsidRPr="00AC147F" w:rsidR="00AC2D54">
        <w:rPr>
          <w:rFonts w:ascii="Calibri" w:eastAsia="Times New Roman" w:hAnsi="Calibri" w:cs="Calibri"/>
        </w:rPr>
        <w:t xml:space="preserve"> l</w:t>
      </w:r>
      <w:r w:rsidRPr="00AC147F" w:rsidR="006C26ED">
        <w:rPr>
          <w:rFonts w:ascii="Calibri" w:eastAsia="Times New Roman" w:hAnsi="Calibri" w:cs="Calibri"/>
        </w:rPr>
        <w:t>abor mixes, labor rates</w:t>
      </w:r>
      <w:r w:rsidRPr="00AC147F" w:rsidR="00525F4D">
        <w:rPr>
          <w:rFonts w:ascii="Calibri" w:eastAsia="Times New Roman" w:hAnsi="Calibri" w:cs="Calibri"/>
        </w:rPr>
        <w:t xml:space="preserve">, frequency of collections, and </w:t>
      </w:r>
      <w:r w:rsidRPr="00AC147F" w:rsidR="0005561E">
        <w:rPr>
          <w:rFonts w:ascii="Calibri" w:eastAsia="Times New Roman" w:hAnsi="Calibri" w:cs="Calibri"/>
        </w:rPr>
        <w:t xml:space="preserve">number of responses </w:t>
      </w:r>
      <w:r w:rsidRPr="00AC147F" w:rsidR="005562E8">
        <w:rPr>
          <w:rFonts w:ascii="Calibri" w:eastAsia="Times New Roman" w:hAnsi="Calibri" w:cs="Calibri"/>
        </w:rPr>
        <w:t xml:space="preserve">applicable </w:t>
      </w:r>
      <w:r w:rsidRPr="00AC147F" w:rsidR="00E1198B">
        <w:rPr>
          <w:rFonts w:ascii="Calibri" w:eastAsia="Times New Roman" w:hAnsi="Calibri" w:cs="Calibri"/>
        </w:rPr>
        <w:t xml:space="preserve">to </w:t>
      </w:r>
      <w:r w:rsidRPr="00AC147F" w:rsidR="00012E9D">
        <w:rPr>
          <w:rFonts w:ascii="Calibri" w:eastAsia="Times New Roman" w:hAnsi="Calibri" w:cs="Calibri"/>
        </w:rPr>
        <w:t xml:space="preserve">the </w:t>
      </w:r>
      <w:r w:rsidRPr="00853096" w:rsidR="00853096">
        <w:rPr>
          <w:rFonts w:ascii="Calibri" w:eastAsia="Times New Roman" w:hAnsi="Calibri" w:cs="Calibri"/>
        </w:rPr>
        <w:t>activities</w:t>
      </w:r>
      <w:r w:rsidRPr="00CC372E" w:rsidR="00402990">
        <w:rPr>
          <w:rFonts w:ascii="Calibri" w:eastAsia="Times New Roman" w:hAnsi="Calibri" w:cs="Calibri"/>
        </w:rPr>
        <w:t xml:space="preserve"> included</w:t>
      </w:r>
      <w:r w:rsidRPr="00CC372E" w:rsidR="00A4562F">
        <w:rPr>
          <w:rFonts w:ascii="Calibri" w:eastAsia="Times New Roman" w:hAnsi="Calibri" w:cs="Calibri"/>
        </w:rPr>
        <w:t xml:space="preserve"> in that ind</w:t>
      </w:r>
      <w:r w:rsidRPr="00CC372E" w:rsidR="00402990">
        <w:rPr>
          <w:rFonts w:ascii="Calibri" w:eastAsia="Times New Roman" w:hAnsi="Calibri" w:cs="Calibri"/>
        </w:rPr>
        <w:t xml:space="preserve">ividual request. </w:t>
      </w:r>
      <w:r w:rsidRPr="00CC372E" w:rsidR="00EA7D8D">
        <w:rPr>
          <w:rFonts w:ascii="Calibri" w:eastAsia="Times New Roman" w:hAnsi="Calibri" w:cs="Calibri"/>
        </w:rPr>
        <w:t xml:space="preserve"> </w:t>
      </w:r>
      <w:r w:rsidRPr="00CC372E" w:rsidR="00E1198B">
        <w:rPr>
          <w:rFonts w:ascii="Calibri" w:eastAsia="Times New Roman" w:hAnsi="Calibri" w:cs="Calibri"/>
        </w:rPr>
        <w:t xml:space="preserve"> </w:t>
      </w:r>
    </w:p>
    <w:p w:rsidR="00BB2B15" w:rsidRPr="00163C69" w:rsidP="00854AAE" w14:paraId="5D1B71A2" w14:textId="2ADBBFA0">
      <w:pPr>
        <w:pStyle w:val="ListParagraph"/>
        <w:numPr>
          <w:ilvl w:val="0"/>
          <w:numId w:val="25"/>
        </w:numPr>
        <w:spacing w:before="240" w:after="0"/>
        <w:rPr>
          <w:rFonts w:cstheme="minorHAnsi"/>
          <w:b/>
          <w:bCs/>
          <w:caps/>
        </w:rPr>
      </w:pPr>
      <w:bookmarkStart w:id="25" w:name="_Toc156593386"/>
      <w:bookmarkEnd w:id="23"/>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5"/>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B3410" w:rsidRPr="00A82EF8" w:rsidP="00833641" w14:paraId="678BA42F" w14:textId="72697F70">
      <w:pPr>
        <w:pBdr>
          <w:top w:val="single" w:sz="6" w:space="0" w:color="FFFFFF"/>
          <w:left w:val="single" w:sz="6" w:space="0" w:color="FFFFFF"/>
          <w:bottom w:val="single" w:sz="6" w:space="0" w:color="FFFFFF"/>
          <w:right w:val="single" w:sz="6" w:space="0" w:color="FFFFFF"/>
        </w:pBdr>
        <w:rPr>
          <w:rFonts w:cstheme="minorHAnsi"/>
          <w:color w:val="000000"/>
          <w:sz w:val="20"/>
          <w:szCs w:val="20"/>
        </w:rPr>
      </w:pPr>
      <w:r w:rsidRPr="00A82EF8">
        <w:rPr>
          <w:rFonts w:ascii="Calibri" w:eastAsia="Times New Roman" w:hAnsi="Calibri" w:cs="Calibri"/>
        </w:rPr>
        <w:t xml:space="preserve">There are no </w:t>
      </w:r>
      <w:r w:rsidR="00F81714">
        <w:rPr>
          <w:rFonts w:ascii="Calibri" w:eastAsia="Times New Roman" w:hAnsi="Calibri" w:cs="Calibri"/>
        </w:rPr>
        <w:t xml:space="preserve">anticipated </w:t>
      </w:r>
      <w:r w:rsidRPr="00A82EF8">
        <w:rPr>
          <w:rFonts w:ascii="Calibri" w:eastAsia="Times New Roman" w:hAnsi="Calibri" w:cs="Calibri"/>
        </w:rPr>
        <w:t xml:space="preserve">capital </w:t>
      </w:r>
      <w:r w:rsidRPr="00A82EF8" w:rsidR="00C43AC7">
        <w:rPr>
          <w:rFonts w:ascii="Calibri" w:eastAsia="Times New Roman" w:hAnsi="Calibri" w:cs="Calibri"/>
        </w:rPr>
        <w:t xml:space="preserve">or O&amp;M costs </w:t>
      </w:r>
      <w:r w:rsidR="002E6EAA">
        <w:rPr>
          <w:rFonts w:ascii="Calibri" w:eastAsia="Times New Roman" w:hAnsi="Calibri" w:cs="Calibri"/>
        </w:rPr>
        <w:t xml:space="preserve">for respondents to these </w:t>
      </w:r>
      <w:r w:rsidR="006E59CA">
        <w:rPr>
          <w:rFonts w:ascii="Calibri" w:eastAsia="Times New Roman" w:hAnsi="Calibri" w:cs="Calibri"/>
        </w:rPr>
        <w:t xml:space="preserve">collections. </w:t>
      </w:r>
      <w:r w:rsidR="00B246A8">
        <w:rPr>
          <w:rFonts w:ascii="Calibri" w:eastAsia="Times New Roman" w:hAnsi="Calibri" w:cs="Calibri"/>
        </w:rPr>
        <w:t xml:space="preserve">The equipment and non-labor services </w:t>
      </w:r>
      <w:r w:rsidR="00D20B5F">
        <w:rPr>
          <w:rFonts w:ascii="Calibri" w:eastAsia="Times New Roman" w:hAnsi="Calibri" w:cs="Calibri"/>
        </w:rPr>
        <w:t xml:space="preserve">required to respond to EPA requests will already </w:t>
      </w:r>
      <w:r w:rsidR="00036669">
        <w:rPr>
          <w:rFonts w:ascii="Calibri" w:eastAsia="Times New Roman" w:hAnsi="Calibri" w:cs="Calibri"/>
        </w:rPr>
        <w:t xml:space="preserve">be in place as part of usual and customary business practices.  </w:t>
      </w:r>
      <w:r w:rsidR="00D20B5F">
        <w:rPr>
          <w:rFonts w:ascii="Calibri" w:eastAsia="Times New Roman" w:hAnsi="Calibri" w:cs="Calibri"/>
        </w:rPr>
        <w:t xml:space="preserve">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6" w:name="_Toc156593387"/>
      <w:r w:rsidRPr="4BDBF0A0">
        <w:rPr>
          <w:b/>
          <w:bCs/>
        </w:rPr>
        <w:t xml:space="preserve">AGENCY </w:t>
      </w:r>
      <w:bookmarkStart w:id="27" w:name="_Toc156593388"/>
      <w:bookmarkEnd w:id="26"/>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tbl>
      <w:tblPr>
        <w:tblStyle w:val="TableGrid1"/>
        <w:tblW w:w="5145" w:type="pct"/>
        <w:tblInd w:w="-180" w:type="dxa"/>
        <w:tblLayout w:type="fixed"/>
        <w:tblLook w:val="0000"/>
      </w:tblPr>
      <w:tblGrid>
        <w:gridCol w:w="180"/>
        <w:gridCol w:w="1531"/>
        <w:gridCol w:w="1978"/>
        <w:gridCol w:w="2073"/>
        <w:gridCol w:w="1533"/>
        <w:gridCol w:w="2336"/>
      </w:tblGrid>
      <w:tr w14:paraId="293F7C9A" w14:textId="77777777" w:rsidTr="00426E66">
        <w:tblPrEx>
          <w:tblW w:w="5145" w:type="pct"/>
          <w:tblInd w:w="-180" w:type="dxa"/>
          <w:tblLayout w:type="fixed"/>
          <w:tblLook w:val="0000"/>
        </w:tblPrEx>
        <w:trPr>
          <w:gridBefore w:val="1"/>
          <w:gridAfter w:val="1"/>
          <w:wBefore w:w="180" w:type="dxa"/>
          <w:wAfter w:w="1214" w:type="dxa"/>
          <w:trHeight w:val="855"/>
        </w:trPr>
        <w:tc>
          <w:tcPr>
            <w:tcW w:w="3693" w:type="pct"/>
            <w:gridSpan w:val="4"/>
            <w:tcBorders>
              <w:top w:val="nil"/>
              <w:left w:val="nil"/>
              <w:bottom w:val="single" w:sz="4" w:space="0" w:color="auto"/>
              <w:right w:val="nil"/>
            </w:tcBorders>
            <w:shd w:val="clear" w:color="auto" w:fill="auto"/>
            <w:vAlign w:val="bottom"/>
          </w:tcPr>
          <w:p w:rsidR="00630619" w:rsidRPr="00833641" w:rsidP="00CC372E" w14:paraId="5DEEB26A" w14:textId="0495D780">
            <w:pPr>
              <w:spacing w:line="276" w:lineRule="auto"/>
              <w:contextualSpacing/>
              <w:rPr>
                <w:rFonts w:cs="Calibri"/>
                <w:b/>
                <w:bCs/>
                <w:sz w:val="24"/>
                <w:szCs w:val="24"/>
              </w:rPr>
            </w:pPr>
            <w:r>
              <w:rPr>
                <w:rFonts w:cs="Calibri"/>
                <w:b/>
                <w:bCs/>
                <w:sz w:val="24"/>
                <w:szCs w:val="24"/>
              </w:rPr>
              <w:t>Table 6 – Annual Agency Labor Costs</w:t>
            </w:r>
          </w:p>
        </w:tc>
      </w:tr>
      <w:tr w14:paraId="65EA337A" w14:textId="77777777" w:rsidTr="00426E66">
        <w:tblPrEx>
          <w:tblW w:w="5145" w:type="pct"/>
          <w:tblInd w:w="-180" w:type="dxa"/>
          <w:tblLayout w:type="fixed"/>
          <w:tblLook w:val="0000"/>
        </w:tblPrEx>
        <w:trPr>
          <w:trHeight w:val="855"/>
        </w:trPr>
        <w:tc>
          <w:tcPr>
            <w:tcW w:w="888" w:type="pct"/>
            <w:gridSpan w:val="2"/>
            <w:tcBorders>
              <w:top w:val="single" w:sz="4" w:space="0" w:color="auto"/>
              <w:left w:val="double" w:sz="4" w:space="0" w:color="auto"/>
              <w:right w:val="single" w:sz="4" w:space="0" w:color="auto"/>
            </w:tcBorders>
            <w:shd w:val="clear" w:color="auto" w:fill="BFBFBF"/>
            <w:vAlign w:val="center"/>
          </w:tcPr>
          <w:p w:rsidR="00784740" w:rsidRPr="00833641" w:rsidP="003C6159" w14:paraId="6B89DA7A" w14:textId="77777777">
            <w:pPr>
              <w:spacing w:line="276" w:lineRule="auto"/>
              <w:contextualSpacing/>
              <w:jc w:val="center"/>
              <w:rPr>
                <w:rFonts w:cs="Calibri"/>
                <w:b/>
                <w:bCs/>
                <w:sz w:val="24"/>
                <w:szCs w:val="24"/>
              </w:rPr>
            </w:pPr>
            <w:r w:rsidRPr="00833641">
              <w:rPr>
                <w:rFonts w:cs="Calibri"/>
                <w:b/>
                <w:bCs/>
                <w:sz w:val="24"/>
                <w:szCs w:val="24"/>
              </w:rPr>
              <w:t>Labor Category</w:t>
            </w:r>
            <w:r>
              <w:rPr>
                <w:rFonts w:cs="Calibri"/>
                <w:b/>
                <w:bCs/>
                <w:sz w:val="24"/>
                <w:szCs w:val="24"/>
                <w:vertAlign w:val="superscript"/>
              </w:rPr>
              <w:footnoteReference w:id="8"/>
            </w:r>
          </w:p>
        </w:tc>
        <w:tc>
          <w:tcPr>
            <w:tcW w:w="1027" w:type="pct"/>
            <w:tcBorders>
              <w:top w:val="single" w:sz="4" w:space="0" w:color="auto"/>
              <w:left w:val="single" w:sz="4" w:space="0" w:color="auto"/>
              <w:right w:val="single" w:sz="4" w:space="0" w:color="auto"/>
            </w:tcBorders>
            <w:shd w:val="clear" w:color="auto" w:fill="BFBFBF"/>
            <w:vAlign w:val="center"/>
          </w:tcPr>
          <w:p w:rsidR="00784740" w:rsidRPr="00833641" w:rsidP="003C6159" w14:paraId="740BE7A1" w14:textId="70E4CB66">
            <w:pPr>
              <w:spacing w:line="276" w:lineRule="auto"/>
              <w:contextualSpacing/>
              <w:jc w:val="center"/>
              <w:rPr>
                <w:rFonts w:cs="Calibri"/>
                <w:b/>
                <w:bCs/>
                <w:sz w:val="24"/>
                <w:szCs w:val="24"/>
              </w:rPr>
            </w:pPr>
            <w:r w:rsidRPr="00833641">
              <w:rPr>
                <w:rFonts w:cs="Calibri"/>
                <w:b/>
                <w:bCs/>
                <w:sz w:val="24"/>
                <w:szCs w:val="24"/>
              </w:rPr>
              <w:t xml:space="preserve">Percent of </w:t>
            </w:r>
            <w:r>
              <w:rPr>
                <w:rFonts w:cs="Calibri"/>
                <w:b/>
                <w:bCs/>
                <w:sz w:val="24"/>
                <w:szCs w:val="24"/>
              </w:rPr>
              <w:t xml:space="preserve">FTE </w:t>
            </w:r>
            <w:r w:rsidR="007E233E">
              <w:rPr>
                <w:rFonts w:cs="Calibri"/>
                <w:b/>
                <w:bCs/>
                <w:sz w:val="24"/>
                <w:szCs w:val="24"/>
              </w:rPr>
              <w:t>A</w:t>
            </w:r>
            <w:r>
              <w:rPr>
                <w:rFonts w:cs="Calibri"/>
                <w:b/>
                <w:bCs/>
                <w:sz w:val="24"/>
                <w:szCs w:val="24"/>
              </w:rPr>
              <w:t>pplied to</w:t>
            </w:r>
            <w:r w:rsidRPr="00833641">
              <w:rPr>
                <w:rFonts w:cs="Calibri"/>
                <w:b/>
                <w:bCs/>
                <w:sz w:val="24"/>
                <w:szCs w:val="24"/>
              </w:rPr>
              <w:t xml:space="preserve"> ICR Activities</w:t>
            </w:r>
            <w:r>
              <w:rPr>
                <w:rStyle w:val="FootnoteReference"/>
                <w:rFonts w:cs="Calibri"/>
                <w:b/>
                <w:bCs/>
                <w:sz w:val="24"/>
                <w:szCs w:val="24"/>
              </w:rPr>
              <w:footnoteReference w:id="9"/>
            </w:r>
          </w:p>
        </w:tc>
        <w:tc>
          <w:tcPr>
            <w:tcW w:w="1076" w:type="pct"/>
            <w:tcBorders>
              <w:top w:val="single" w:sz="4" w:space="0" w:color="auto"/>
              <w:left w:val="single" w:sz="4" w:space="0" w:color="auto"/>
              <w:right w:val="single" w:sz="4" w:space="0" w:color="auto"/>
            </w:tcBorders>
            <w:shd w:val="clear" w:color="auto" w:fill="BFBFBF"/>
            <w:vAlign w:val="center"/>
          </w:tcPr>
          <w:p w:rsidR="00784740" w:rsidRPr="00833641" w:rsidP="003C6159" w14:paraId="697B87AE" w14:textId="6B89B861">
            <w:pPr>
              <w:spacing w:line="276" w:lineRule="auto"/>
              <w:contextualSpacing/>
              <w:jc w:val="center"/>
              <w:rPr>
                <w:rFonts w:cs="Calibri"/>
                <w:b/>
                <w:bCs/>
                <w:sz w:val="24"/>
                <w:szCs w:val="24"/>
              </w:rPr>
            </w:pPr>
            <w:r w:rsidRPr="00833641">
              <w:rPr>
                <w:rFonts w:cs="Calibri"/>
                <w:b/>
                <w:bCs/>
                <w:sz w:val="24"/>
                <w:szCs w:val="24"/>
              </w:rPr>
              <w:t xml:space="preserve">Annual Hours </w:t>
            </w:r>
            <w:r w:rsidR="007E233E">
              <w:rPr>
                <w:rFonts w:cs="Calibri"/>
                <w:b/>
                <w:bCs/>
                <w:sz w:val="24"/>
                <w:szCs w:val="24"/>
              </w:rPr>
              <w:t>Applied to</w:t>
            </w:r>
            <w:r w:rsidRPr="00833641">
              <w:rPr>
                <w:rFonts w:cs="Calibri"/>
                <w:b/>
                <w:bCs/>
                <w:sz w:val="24"/>
                <w:szCs w:val="24"/>
              </w:rPr>
              <w:t xml:space="preserve"> ICR Activities</w:t>
            </w:r>
          </w:p>
        </w:tc>
        <w:tc>
          <w:tcPr>
            <w:tcW w:w="796" w:type="pct"/>
            <w:tcBorders>
              <w:top w:val="single" w:sz="4" w:space="0" w:color="auto"/>
              <w:left w:val="single" w:sz="4" w:space="0" w:color="auto"/>
              <w:right w:val="single" w:sz="4" w:space="0" w:color="auto"/>
            </w:tcBorders>
            <w:shd w:val="clear" w:color="auto" w:fill="BFBFBF"/>
            <w:vAlign w:val="center"/>
          </w:tcPr>
          <w:p w:rsidR="00784740" w:rsidRPr="00833641" w:rsidP="003C6159" w14:paraId="07C2089F" w14:textId="145BEA24">
            <w:pPr>
              <w:spacing w:line="276" w:lineRule="auto"/>
              <w:contextualSpacing/>
              <w:jc w:val="center"/>
              <w:rPr>
                <w:rFonts w:cs="Calibri"/>
                <w:b/>
                <w:bCs/>
                <w:sz w:val="24"/>
                <w:szCs w:val="24"/>
              </w:rPr>
            </w:pPr>
            <w:r>
              <w:rPr>
                <w:rFonts w:cs="Calibri"/>
                <w:b/>
                <w:bCs/>
                <w:sz w:val="24"/>
                <w:szCs w:val="24"/>
              </w:rPr>
              <w:t>L</w:t>
            </w:r>
            <w:r>
              <w:rPr>
                <w:rFonts w:cs="Calibri"/>
                <w:b/>
                <w:bCs/>
                <w:sz w:val="24"/>
                <w:szCs w:val="24"/>
              </w:rPr>
              <w:t xml:space="preserve">oaded </w:t>
            </w:r>
            <w:r>
              <w:rPr>
                <w:rFonts w:cs="Calibri"/>
                <w:b/>
                <w:bCs/>
                <w:sz w:val="24"/>
                <w:szCs w:val="24"/>
              </w:rPr>
              <w:t xml:space="preserve">Labor </w:t>
            </w:r>
            <w:r>
              <w:rPr>
                <w:rFonts w:cs="Calibri"/>
                <w:b/>
                <w:bCs/>
                <w:sz w:val="24"/>
                <w:szCs w:val="24"/>
              </w:rPr>
              <w:t>Rate</w:t>
            </w:r>
            <w:r>
              <w:rPr>
                <w:rStyle w:val="FootnoteReference"/>
                <w:rFonts w:cs="Calibri"/>
                <w:b/>
                <w:bCs/>
                <w:sz w:val="24"/>
                <w:szCs w:val="24"/>
              </w:rPr>
              <w:footnoteReference w:id="10"/>
            </w:r>
          </w:p>
        </w:tc>
        <w:tc>
          <w:tcPr>
            <w:tcW w:w="1214" w:type="pct"/>
            <w:tcBorders>
              <w:top w:val="single" w:sz="4" w:space="0" w:color="auto"/>
              <w:left w:val="single" w:sz="4" w:space="0" w:color="auto"/>
              <w:right w:val="double" w:sz="4" w:space="0" w:color="auto"/>
            </w:tcBorders>
            <w:shd w:val="clear" w:color="auto" w:fill="BFBFBF"/>
            <w:vAlign w:val="center"/>
          </w:tcPr>
          <w:p w:rsidR="00784740" w:rsidRPr="00833641" w:rsidP="003C6159" w14:paraId="5A50B986" w14:textId="3AC3B873">
            <w:pPr>
              <w:spacing w:line="276" w:lineRule="auto"/>
              <w:contextualSpacing/>
              <w:jc w:val="center"/>
              <w:rPr>
                <w:rFonts w:cs="Calibri"/>
                <w:b/>
                <w:bCs/>
                <w:sz w:val="24"/>
                <w:szCs w:val="24"/>
              </w:rPr>
            </w:pPr>
            <w:r w:rsidRPr="00833641">
              <w:rPr>
                <w:rFonts w:cs="Calibri"/>
                <w:b/>
                <w:bCs/>
                <w:sz w:val="24"/>
                <w:szCs w:val="24"/>
              </w:rPr>
              <w:t xml:space="preserve">Total Annual </w:t>
            </w:r>
            <w:r w:rsidR="00BA7790">
              <w:rPr>
                <w:rFonts w:cs="Calibri"/>
                <w:b/>
                <w:bCs/>
                <w:sz w:val="24"/>
                <w:szCs w:val="24"/>
              </w:rPr>
              <w:t xml:space="preserve">Labor </w:t>
            </w:r>
            <w:r w:rsidRPr="00833641">
              <w:rPr>
                <w:rFonts w:cs="Calibri"/>
                <w:b/>
                <w:bCs/>
                <w:sz w:val="24"/>
                <w:szCs w:val="24"/>
              </w:rPr>
              <w:t>Cost</w:t>
            </w:r>
          </w:p>
        </w:tc>
      </w:tr>
      <w:tr w14:paraId="34E97C99" w14:textId="77777777" w:rsidTr="00426E66">
        <w:tblPrEx>
          <w:tblW w:w="5145" w:type="pct"/>
          <w:tblInd w:w="-180" w:type="dxa"/>
          <w:tblLayout w:type="fixed"/>
          <w:tblLook w:val="0000"/>
        </w:tblPrEx>
        <w:trPr>
          <w:trHeight w:hRule="exact" w:val="966"/>
        </w:trPr>
        <w:tc>
          <w:tcPr>
            <w:tcW w:w="888" w:type="pct"/>
            <w:gridSpan w:val="2"/>
            <w:tcBorders>
              <w:left w:val="double" w:sz="4" w:space="0" w:color="auto"/>
            </w:tcBorders>
            <w:vAlign w:val="center"/>
          </w:tcPr>
          <w:p w:rsidR="008E623E" w:rsidP="003C6159" w14:paraId="74073D52" w14:textId="77777777">
            <w:pPr>
              <w:spacing w:line="276" w:lineRule="auto"/>
              <w:contextualSpacing/>
              <w:jc w:val="both"/>
              <w:rPr>
                <w:rFonts w:cs="Calibri"/>
                <w:sz w:val="24"/>
                <w:szCs w:val="24"/>
              </w:rPr>
            </w:pPr>
            <w:r w:rsidRPr="00833641">
              <w:rPr>
                <w:rFonts w:cs="Calibri"/>
                <w:sz w:val="24"/>
                <w:szCs w:val="24"/>
              </w:rPr>
              <w:t xml:space="preserve">Managerial </w:t>
            </w:r>
          </w:p>
          <w:p w:rsidR="00784740" w:rsidRPr="00833641" w:rsidP="003C6159" w14:paraId="64C5BB71" w14:textId="4D59405E">
            <w:pPr>
              <w:spacing w:line="276" w:lineRule="auto"/>
              <w:contextualSpacing/>
              <w:jc w:val="both"/>
              <w:rPr>
                <w:rFonts w:cs="Calibri"/>
                <w:sz w:val="24"/>
                <w:szCs w:val="24"/>
              </w:rPr>
            </w:pPr>
            <w:r w:rsidRPr="00833641">
              <w:rPr>
                <w:rFonts w:cs="Calibri"/>
                <w:sz w:val="24"/>
                <w:szCs w:val="24"/>
              </w:rPr>
              <w:t>(GS-15, step 1)</w:t>
            </w:r>
          </w:p>
        </w:tc>
        <w:tc>
          <w:tcPr>
            <w:tcW w:w="1027" w:type="pct"/>
            <w:tcBorders>
              <w:left w:val="double" w:sz="4" w:space="0" w:color="auto"/>
            </w:tcBorders>
            <w:vAlign w:val="center"/>
          </w:tcPr>
          <w:p w:rsidR="00784740" w:rsidRPr="00833641" w:rsidP="003C6159" w14:paraId="10B4BC04" w14:textId="77777777">
            <w:pPr>
              <w:spacing w:line="276" w:lineRule="auto"/>
              <w:contextualSpacing/>
              <w:jc w:val="center"/>
              <w:rPr>
                <w:rFonts w:cs="Calibri"/>
                <w:sz w:val="24"/>
                <w:szCs w:val="24"/>
              </w:rPr>
            </w:pPr>
            <w:r w:rsidRPr="00833641">
              <w:rPr>
                <w:rFonts w:cs="Calibri"/>
                <w:sz w:val="24"/>
                <w:szCs w:val="24"/>
              </w:rPr>
              <w:t>1%</w:t>
            </w:r>
          </w:p>
        </w:tc>
        <w:tc>
          <w:tcPr>
            <w:tcW w:w="1076" w:type="pct"/>
            <w:tcBorders>
              <w:left w:val="double" w:sz="4" w:space="0" w:color="auto"/>
              <w:right w:val="double" w:sz="4" w:space="0" w:color="auto"/>
            </w:tcBorders>
            <w:vAlign w:val="center"/>
          </w:tcPr>
          <w:p w:rsidR="00784740" w:rsidRPr="00833641" w:rsidP="003C6159" w14:paraId="2404661B" w14:textId="62300C09">
            <w:pPr>
              <w:spacing w:line="276" w:lineRule="auto"/>
              <w:contextualSpacing/>
              <w:jc w:val="center"/>
              <w:rPr>
                <w:rFonts w:cs="Calibri"/>
                <w:sz w:val="24"/>
                <w:szCs w:val="24"/>
              </w:rPr>
            </w:pPr>
            <w:r w:rsidRPr="00833641">
              <w:rPr>
                <w:rFonts w:cs="Calibri"/>
                <w:sz w:val="24"/>
                <w:szCs w:val="24"/>
              </w:rPr>
              <w:t>21</w:t>
            </w:r>
          </w:p>
        </w:tc>
        <w:tc>
          <w:tcPr>
            <w:tcW w:w="796" w:type="pct"/>
            <w:tcBorders>
              <w:left w:val="double" w:sz="4" w:space="0" w:color="auto"/>
            </w:tcBorders>
            <w:vAlign w:val="center"/>
          </w:tcPr>
          <w:p w:rsidR="00784740" w:rsidRPr="00833641" w:rsidP="00BC38C2" w14:paraId="009D9064" w14:textId="0187D917">
            <w:pPr>
              <w:spacing w:line="276" w:lineRule="auto"/>
              <w:contextualSpacing/>
              <w:jc w:val="center"/>
              <w:rPr>
                <w:rFonts w:cs="Calibri"/>
                <w:sz w:val="24"/>
                <w:szCs w:val="24"/>
              </w:rPr>
            </w:pPr>
            <w:r>
              <w:rPr>
                <w:rFonts w:cs="Calibri"/>
                <w:sz w:val="24"/>
                <w:szCs w:val="24"/>
              </w:rPr>
              <w:t>$</w:t>
            </w:r>
            <w:r w:rsidR="00B90792">
              <w:rPr>
                <w:rFonts w:cs="Calibri"/>
                <w:sz w:val="24"/>
                <w:szCs w:val="24"/>
              </w:rPr>
              <w:t>119.36</w:t>
            </w:r>
          </w:p>
        </w:tc>
        <w:tc>
          <w:tcPr>
            <w:tcW w:w="1214" w:type="pct"/>
            <w:tcBorders>
              <w:left w:val="double" w:sz="4" w:space="0" w:color="auto"/>
              <w:right w:val="double" w:sz="4" w:space="0" w:color="auto"/>
            </w:tcBorders>
            <w:vAlign w:val="center"/>
          </w:tcPr>
          <w:p w:rsidR="00784740" w:rsidRPr="00833641" w:rsidP="003C6159" w14:paraId="4FB02E35" w14:textId="539FFB81">
            <w:pPr>
              <w:spacing w:line="276" w:lineRule="auto"/>
              <w:contextualSpacing/>
              <w:jc w:val="center"/>
              <w:rPr>
                <w:rFonts w:cs="Calibri"/>
                <w:sz w:val="24"/>
                <w:szCs w:val="24"/>
              </w:rPr>
            </w:pPr>
            <w:r w:rsidRPr="00833641">
              <w:rPr>
                <w:rFonts w:cs="Calibri"/>
                <w:sz w:val="24"/>
                <w:szCs w:val="24"/>
              </w:rPr>
              <w:t>$2,</w:t>
            </w:r>
            <w:r w:rsidR="0062042E">
              <w:rPr>
                <w:rFonts w:cs="Calibri"/>
                <w:sz w:val="24"/>
                <w:szCs w:val="24"/>
              </w:rPr>
              <w:t>50</w:t>
            </w:r>
            <w:r w:rsidR="003E06E5">
              <w:rPr>
                <w:rFonts w:cs="Calibri"/>
                <w:sz w:val="24"/>
                <w:szCs w:val="24"/>
              </w:rPr>
              <w:t>7</w:t>
            </w:r>
          </w:p>
        </w:tc>
      </w:tr>
      <w:tr w14:paraId="6B6B6A86" w14:textId="77777777" w:rsidTr="00426E66">
        <w:tblPrEx>
          <w:tblW w:w="5145" w:type="pct"/>
          <w:tblInd w:w="-180" w:type="dxa"/>
          <w:tblLayout w:type="fixed"/>
          <w:tblLook w:val="0000"/>
        </w:tblPrEx>
        <w:trPr>
          <w:trHeight w:hRule="exact" w:val="811"/>
        </w:trPr>
        <w:tc>
          <w:tcPr>
            <w:tcW w:w="888" w:type="pct"/>
            <w:gridSpan w:val="2"/>
            <w:tcBorders>
              <w:left w:val="double" w:sz="4" w:space="0" w:color="auto"/>
            </w:tcBorders>
            <w:vAlign w:val="center"/>
          </w:tcPr>
          <w:p w:rsidR="008E623E" w:rsidP="003C6159" w14:paraId="166ABB16" w14:textId="77777777">
            <w:pPr>
              <w:spacing w:line="276" w:lineRule="auto"/>
              <w:contextualSpacing/>
              <w:jc w:val="both"/>
              <w:rPr>
                <w:rFonts w:cs="Calibri"/>
                <w:sz w:val="24"/>
                <w:szCs w:val="24"/>
              </w:rPr>
            </w:pPr>
            <w:r w:rsidRPr="00833641">
              <w:rPr>
                <w:rFonts w:cs="Calibri"/>
                <w:sz w:val="24"/>
                <w:szCs w:val="24"/>
              </w:rPr>
              <w:t xml:space="preserve">Managerial </w:t>
            </w:r>
          </w:p>
          <w:p w:rsidR="00784740" w:rsidRPr="00833641" w:rsidP="003C6159" w14:paraId="7C5DCF26" w14:textId="2EDE04CB">
            <w:pPr>
              <w:spacing w:line="276" w:lineRule="auto"/>
              <w:contextualSpacing/>
              <w:jc w:val="both"/>
              <w:rPr>
                <w:rFonts w:cs="Calibri"/>
                <w:sz w:val="24"/>
                <w:szCs w:val="24"/>
              </w:rPr>
            </w:pPr>
            <w:r w:rsidRPr="00833641">
              <w:rPr>
                <w:rFonts w:cs="Calibri"/>
                <w:sz w:val="24"/>
                <w:szCs w:val="24"/>
              </w:rPr>
              <w:t>(GS-14, step 1)</w:t>
            </w:r>
          </w:p>
        </w:tc>
        <w:tc>
          <w:tcPr>
            <w:tcW w:w="1027" w:type="pct"/>
            <w:tcBorders>
              <w:left w:val="double" w:sz="4" w:space="0" w:color="auto"/>
            </w:tcBorders>
            <w:vAlign w:val="center"/>
          </w:tcPr>
          <w:p w:rsidR="00784740" w:rsidRPr="00833641" w:rsidP="003C6159" w14:paraId="35E0CF47" w14:textId="77777777">
            <w:pPr>
              <w:spacing w:line="276" w:lineRule="auto"/>
              <w:contextualSpacing/>
              <w:jc w:val="center"/>
              <w:rPr>
                <w:rFonts w:cs="Calibri"/>
                <w:sz w:val="24"/>
                <w:szCs w:val="24"/>
              </w:rPr>
            </w:pPr>
            <w:r w:rsidRPr="00833641">
              <w:rPr>
                <w:rFonts w:cs="Calibri"/>
                <w:sz w:val="24"/>
                <w:szCs w:val="24"/>
              </w:rPr>
              <w:t>5%</w:t>
            </w:r>
          </w:p>
        </w:tc>
        <w:tc>
          <w:tcPr>
            <w:tcW w:w="1076" w:type="pct"/>
            <w:tcBorders>
              <w:left w:val="double" w:sz="4" w:space="0" w:color="auto"/>
              <w:right w:val="double" w:sz="4" w:space="0" w:color="auto"/>
            </w:tcBorders>
            <w:vAlign w:val="center"/>
          </w:tcPr>
          <w:p w:rsidR="00784740" w:rsidRPr="00833641" w:rsidP="003C6159" w14:paraId="390A310D" w14:textId="684AA7E8">
            <w:pPr>
              <w:spacing w:line="276" w:lineRule="auto"/>
              <w:contextualSpacing/>
              <w:jc w:val="center"/>
              <w:rPr>
                <w:rFonts w:cs="Calibri"/>
                <w:sz w:val="24"/>
                <w:szCs w:val="24"/>
              </w:rPr>
            </w:pPr>
            <w:r w:rsidRPr="00833641">
              <w:rPr>
                <w:rFonts w:cs="Calibri"/>
                <w:sz w:val="24"/>
                <w:szCs w:val="24"/>
              </w:rPr>
              <w:t>104</w:t>
            </w:r>
          </w:p>
        </w:tc>
        <w:tc>
          <w:tcPr>
            <w:tcW w:w="796" w:type="pct"/>
            <w:tcBorders>
              <w:left w:val="double" w:sz="4" w:space="0" w:color="auto"/>
            </w:tcBorders>
            <w:vAlign w:val="center"/>
          </w:tcPr>
          <w:p w:rsidR="00784740" w:rsidRPr="00833641" w:rsidP="00BC38C2" w14:paraId="0C7CB4FB" w14:textId="49048398">
            <w:pPr>
              <w:spacing w:line="276" w:lineRule="auto"/>
              <w:contextualSpacing/>
              <w:jc w:val="center"/>
              <w:rPr>
                <w:rFonts w:cs="Calibri"/>
                <w:sz w:val="24"/>
                <w:szCs w:val="24"/>
              </w:rPr>
            </w:pPr>
            <w:r>
              <w:rPr>
                <w:rFonts w:cs="Calibri"/>
                <w:sz w:val="24"/>
                <w:szCs w:val="24"/>
              </w:rPr>
              <w:t>$101.48</w:t>
            </w:r>
          </w:p>
        </w:tc>
        <w:tc>
          <w:tcPr>
            <w:tcW w:w="1214" w:type="pct"/>
            <w:tcBorders>
              <w:left w:val="double" w:sz="4" w:space="0" w:color="auto"/>
              <w:right w:val="double" w:sz="4" w:space="0" w:color="auto"/>
            </w:tcBorders>
            <w:vAlign w:val="center"/>
          </w:tcPr>
          <w:p w:rsidR="00784740" w:rsidRPr="00833641" w:rsidP="003C6159" w14:paraId="20F4D3BB" w14:textId="4D3927CC">
            <w:pPr>
              <w:spacing w:line="276" w:lineRule="auto"/>
              <w:contextualSpacing/>
              <w:jc w:val="center"/>
              <w:rPr>
                <w:rFonts w:cs="Calibri"/>
                <w:sz w:val="24"/>
                <w:szCs w:val="24"/>
              </w:rPr>
            </w:pPr>
            <w:r w:rsidRPr="00833641">
              <w:rPr>
                <w:rFonts w:cs="Calibri"/>
                <w:sz w:val="24"/>
                <w:szCs w:val="24"/>
              </w:rPr>
              <w:t>$</w:t>
            </w:r>
            <w:r w:rsidRPr="007F2944" w:rsidR="007F2944">
              <w:rPr>
                <w:rFonts w:cs="Calibri"/>
                <w:sz w:val="24"/>
                <w:szCs w:val="24"/>
              </w:rPr>
              <w:t>10,55</w:t>
            </w:r>
            <w:r w:rsidR="003E06E5">
              <w:rPr>
                <w:rFonts w:cs="Calibri"/>
                <w:sz w:val="24"/>
                <w:szCs w:val="24"/>
              </w:rPr>
              <w:t>5</w:t>
            </w:r>
          </w:p>
        </w:tc>
      </w:tr>
      <w:tr w14:paraId="18C6CE98" w14:textId="77777777" w:rsidTr="00426E66">
        <w:tblPrEx>
          <w:tblW w:w="5145" w:type="pct"/>
          <w:tblInd w:w="-180" w:type="dxa"/>
          <w:tblLayout w:type="fixed"/>
          <w:tblLook w:val="0000"/>
        </w:tblPrEx>
        <w:trPr>
          <w:trHeight w:hRule="exact" w:val="738"/>
        </w:trPr>
        <w:tc>
          <w:tcPr>
            <w:tcW w:w="888" w:type="pct"/>
            <w:gridSpan w:val="2"/>
            <w:tcBorders>
              <w:left w:val="double" w:sz="4" w:space="0" w:color="auto"/>
            </w:tcBorders>
            <w:vAlign w:val="center"/>
          </w:tcPr>
          <w:p w:rsidR="008E623E" w:rsidP="003C6159" w14:paraId="63C1ABA6" w14:textId="77777777">
            <w:pPr>
              <w:spacing w:line="276" w:lineRule="auto"/>
              <w:contextualSpacing/>
              <w:jc w:val="both"/>
              <w:rPr>
                <w:rFonts w:cs="Calibri"/>
                <w:sz w:val="24"/>
                <w:szCs w:val="24"/>
              </w:rPr>
            </w:pPr>
            <w:r w:rsidRPr="00833641">
              <w:rPr>
                <w:rFonts w:cs="Calibri"/>
                <w:sz w:val="24"/>
                <w:szCs w:val="24"/>
              </w:rPr>
              <w:t>Technical (</w:t>
            </w:r>
          </w:p>
          <w:p w:rsidR="00784740" w:rsidRPr="00833641" w:rsidP="003C6159" w14:paraId="12E27C5C" w14:textId="73D23ED7">
            <w:pPr>
              <w:spacing w:line="276" w:lineRule="auto"/>
              <w:contextualSpacing/>
              <w:jc w:val="both"/>
              <w:rPr>
                <w:rFonts w:cs="Calibri"/>
                <w:sz w:val="24"/>
                <w:szCs w:val="24"/>
              </w:rPr>
            </w:pPr>
            <w:r w:rsidRPr="00833641">
              <w:rPr>
                <w:rFonts w:cs="Calibri"/>
                <w:sz w:val="24"/>
                <w:szCs w:val="24"/>
              </w:rPr>
              <w:t>GS-13, step 1)</w:t>
            </w:r>
          </w:p>
        </w:tc>
        <w:tc>
          <w:tcPr>
            <w:tcW w:w="1027" w:type="pct"/>
            <w:tcBorders>
              <w:left w:val="double" w:sz="4" w:space="0" w:color="auto"/>
            </w:tcBorders>
            <w:vAlign w:val="center"/>
          </w:tcPr>
          <w:p w:rsidR="00784740" w:rsidRPr="00833641" w:rsidP="003C6159" w14:paraId="15C99BA2" w14:textId="24B8A530">
            <w:pPr>
              <w:spacing w:line="276" w:lineRule="auto"/>
              <w:contextualSpacing/>
              <w:jc w:val="center"/>
              <w:rPr>
                <w:rFonts w:cs="Calibri"/>
                <w:sz w:val="24"/>
                <w:szCs w:val="24"/>
              </w:rPr>
            </w:pPr>
            <w:r>
              <w:rPr>
                <w:rFonts w:cs="Calibri"/>
                <w:sz w:val="24"/>
                <w:szCs w:val="24"/>
              </w:rPr>
              <w:t>2</w:t>
            </w:r>
            <w:r w:rsidRPr="00833641">
              <w:rPr>
                <w:rFonts w:cs="Calibri"/>
                <w:sz w:val="24"/>
                <w:szCs w:val="24"/>
              </w:rPr>
              <w:t>0%</w:t>
            </w:r>
          </w:p>
        </w:tc>
        <w:tc>
          <w:tcPr>
            <w:tcW w:w="1076" w:type="pct"/>
            <w:tcBorders>
              <w:left w:val="double" w:sz="4" w:space="0" w:color="auto"/>
              <w:right w:val="double" w:sz="4" w:space="0" w:color="auto"/>
            </w:tcBorders>
            <w:vAlign w:val="center"/>
          </w:tcPr>
          <w:p w:rsidR="00784740" w:rsidRPr="00833641" w:rsidP="003C6159" w14:paraId="62537904" w14:textId="5AA5E160">
            <w:pPr>
              <w:spacing w:line="276" w:lineRule="auto"/>
              <w:contextualSpacing/>
              <w:jc w:val="center"/>
              <w:rPr>
                <w:rFonts w:cs="Calibri"/>
                <w:sz w:val="24"/>
                <w:szCs w:val="24"/>
              </w:rPr>
            </w:pPr>
            <w:r>
              <w:rPr>
                <w:rFonts w:cs="Calibri"/>
                <w:sz w:val="24"/>
                <w:szCs w:val="24"/>
              </w:rPr>
              <w:t>418</w:t>
            </w:r>
          </w:p>
        </w:tc>
        <w:tc>
          <w:tcPr>
            <w:tcW w:w="796" w:type="pct"/>
            <w:tcBorders>
              <w:left w:val="double" w:sz="4" w:space="0" w:color="auto"/>
            </w:tcBorders>
            <w:vAlign w:val="center"/>
          </w:tcPr>
          <w:p w:rsidR="00784740" w:rsidRPr="00833641" w:rsidP="00BC38C2" w14:paraId="726450E4" w14:textId="28C40FE5">
            <w:pPr>
              <w:spacing w:line="276" w:lineRule="auto"/>
              <w:contextualSpacing/>
              <w:jc w:val="center"/>
              <w:rPr>
                <w:rFonts w:cs="Calibri"/>
                <w:sz w:val="24"/>
                <w:szCs w:val="24"/>
              </w:rPr>
            </w:pPr>
            <w:r>
              <w:rPr>
                <w:rFonts w:cs="Calibri"/>
                <w:sz w:val="24"/>
                <w:szCs w:val="24"/>
              </w:rPr>
              <w:t>$85.87</w:t>
            </w:r>
          </w:p>
        </w:tc>
        <w:tc>
          <w:tcPr>
            <w:tcW w:w="1214" w:type="pct"/>
            <w:tcBorders>
              <w:left w:val="double" w:sz="4" w:space="0" w:color="auto"/>
              <w:right w:val="double" w:sz="4" w:space="0" w:color="auto"/>
            </w:tcBorders>
            <w:vAlign w:val="center"/>
          </w:tcPr>
          <w:p w:rsidR="00784740" w:rsidRPr="00833641" w:rsidP="003C6159" w14:paraId="0C28EADD" w14:textId="7329D031">
            <w:pPr>
              <w:spacing w:line="276" w:lineRule="auto"/>
              <w:contextualSpacing/>
              <w:jc w:val="center"/>
              <w:rPr>
                <w:rFonts w:cs="Calibri"/>
                <w:sz w:val="24"/>
                <w:szCs w:val="24"/>
              </w:rPr>
            </w:pPr>
            <w:r w:rsidRPr="00833641">
              <w:rPr>
                <w:rFonts w:cs="Calibri"/>
                <w:sz w:val="24"/>
                <w:szCs w:val="24"/>
              </w:rPr>
              <w:t>$</w:t>
            </w:r>
            <w:r w:rsidR="00BC38C2">
              <w:rPr>
                <w:rFonts w:cs="Calibri"/>
                <w:sz w:val="24"/>
                <w:szCs w:val="24"/>
              </w:rPr>
              <w:t>35,894</w:t>
            </w:r>
          </w:p>
        </w:tc>
      </w:tr>
      <w:tr w14:paraId="58D6220F" w14:textId="77777777" w:rsidTr="00426E66">
        <w:tblPrEx>
          <w:tblW w:w="5145" w:type="pct"/>
          <w:tblInd w:w="-180" w:type="dxa"/>
          <w:tblLayout w:type="fixed"/>
          <w:tblLook w:val="0000"/>
        </w:tblPrEx>
        <w:trPr>
          <w:trHeight w:hRule="exact" w:val="464"/>
        </w:trPr>
        <w:tc>
          <w:tcPr>
            <w:tcW w:w="888" w:type="pct"/>
            <w:gridSpan w:val="2"/>
            <w:tcBorders>
              <w:left w:val="double" w:sz="4" w:space="0" w:color="auto"/>
            </w:tcBorders>
            <w:vAlign w:val="center"/>
          </w:tcPr>
          <w:p w:rsidR="00784740" w:rsidRPr="00833641" w:rsidP="003C6159" w14:paraId="7B6BF17C" w14:textId="77777777">
            <w:pPr>
              <w:spacing w:line="276" w:lineRule="auto"/>
              <w:contextualSpacing/>
              <w:jc w:val="both"/>
              <w:rPr>
                <w:rFonts w:cs="Calibri"/>
                <w:b/>
                <w:sz w:val="24"/>
                <w:szCs w:val="24"/>
              </w:rPr>
            </w:pPr>
            <w:r w:rsidRPr="00833641">
              <w:rPr>
                <w:rFonts w:cs="Calibri"/>
                <w:b/>
                <w:sz w:val="24"/>
                <w:szCs w:val="24"/>
              </w:rPr>
              <w:t>TOTAL</w:t>
            </w:r>
          </w:p>
        </w:tc>
        <w:tc>
          <w:tcPr>
            <w:tcW w:w="1027" w:type="pct"/>
            <w:tcBorders>
              <w:top w:val="single" w:sz="4" w:space="0" w:color="000000"/>
              <w:left w:val="double" w:sz="4" w:space="0" w:color="auto"/>
              <w:right w:val="double" w:sz="4" w:space="0" w:color="auto"/>
            </w:tcBorders>
            <w:vAlign w:val="center"/>
          </w:tcPr>
          <w:p w:rsidR="00784740" w:rsidRPr="00833641" w:rsidP="003C6159" w14:paraId="771C2A6A" w14:textId="77777777">
            <w:pPr>
              <w:spacing w:line="276" w:lineRule="auto"/>
              <w:contextualSpacing/>
              <w:jc w:val="center"/>
              <w:rPr>
                <w:rFonts w:cs="Calibri"/>
                <w:b/>
                <w:sz w:val="24"/>
                <w:szCs w:val="24"/>
              </w:rPr>
            </w:pPr>
          </w:p>
        </w:tc>
        <w:tc>
          <w:tcPr>
            <w:tcW w:w="1076" w:type="pct"/>
            <w:tcBorders>
              <w:top w:val="single" w:sz="4" w:space="0" w:color="000000"/>
              <w:left w:val="double" w:sz="4" w:space="0" w:color="auto"/>
              <w:right w:val="double" w:sz="4" w:space="0" w:color="auto"/>
            </w:tcBorders>
            <w:vAlign w:val="center"/>
          </w:tcPr>
          <w:p w:rsidR="00784740" w:rsidRPr="00833641" w:rsidP="003C6159" w14:paraId="442C6B3A" w14:textId="272F9A44">
            <w:pPr>
              <w:spacing w:line="276" w:lineRule="auto"/>
              <w:contextualSpacing/>
              <w:jc w:val="center"/>
              <w:rPr>
                <w:rFonts w:cs="Calibri"/>
                <w:b/>
                <w:sz w:val="24"/>
                <w:szCs w:val="24"/>
              </w:rPr>
            </w:pPr>
            <w:r w:rsidRPr="00833641">
              <w:rPr>
                <w:rFonts w:cs="Calibri"/>
                <w:b/>
                <w:sz w:val="24"/>
                <w:szCs w:val="24"/>
              </w:rPr>
              <w:t>543</w:t>
            </w:r>
          </w:p>
        </w:tc>
        <w:tc>
          <w:tcPr>
            <w:tcW w:w="796" w:type="pct"/>
            <w:tcBorders>
              <w:top w:val="single" w:sz="4" w:space="0" w:color="000000"/>
              <w:left w:val="double" w:sz="4" w:space="0" w:color="auto"/>
              <w:right w:val="double" w:sz="4" w:space="0" w:color="auto"/>
            </w:tcBorders>
          </w:tcPr>
          <w:p w:rsidR="00784740" w:rsidRPr="00833641" w:rsidP="003C6159" w14:paraId="0E9414D4" w14:textId="07AAF2AC">
            <w:pPr>
              <w:spacing w:line="276" w:lineRule="auto"/>
              <w:contextualSpacing/>
              <w:jc w:val="center"/>
              <w:rPr>
                <w:rFonts w:cs="Calibri"/>
                <w:b/>
                <w:sz w:val="24"/>
                <w:szCs w:val="24"/>
              </w:rPr>
            </w:pPr>
          </w:p>
        </w:tc>
        <w:tc>
          <w:tcPr>
            <w:tcW w:w="1214" w:type="pct"/>
            <w:tcBorders>
              <w:top w:val="single" w:sz="4" w:space="0" w:color="000000"/>
              <w:left w:val="double" w:sz="4" w:space="0" w:color="auto"/>
              <w:right w:val="double" w:sz="4" w:space="0" w:color="auto"/>
            </w:tcBorders>
            <w:vAlign w:val="center"/>
          </w:tcPr>
          <w:p w:rsidR="00784740" w:rsidRPr="00833641" w:rsidP="003C6159" w14:paraId="46BCECD3" w14:textId="6B5EA930">
            <w:pPr>
              <w:spacing w:line="276" w:lineRule="auto"/>
              <w:contextualSpacing/>
              <w:jc w:val="center"/>
              <w:rPr>
                <w:rFonts w:cs="Calibri"/>
                <w:b/>
                <w:sz w:val="24"/>
                <w:szCs w:val="24"/>
              </w:rPr>
            </w:pPr>
            <w:r w:rsidRPr="00833641">
              <w:rPr>
                <w:rFonts w:cs="Calibri"/>
                <w:b/>
                <w:sz w:val="24"/>
                <w:szCs w:val="24"/>
              </w:rPr>
              <w:t>$</w:t>
            </w:r>
            <w:r w:rsidR="00174982">
              <w:rPr>
                <w:rFonts w:cs="Calibri"/>
                <w:b/>
                <w:sz w:val="24"/>
                <w:szCs w:val="24"/>
              </w:rPr>
              <w:t>4</w:t>
            </w:r>
            <w:r w:rsidR="00876EED">
              <w:rPr>
                <w:rFonts w:cs="Calibri"/>
                <w:b/>
                <w:sz w:val="24"/>
                <w:szCs w:val="24"/>
              </w:rPr>
              <w:t>8</w:t>
            </w:r>
            <w:r w:rsidR="00A55346">
              <w:rPr>
                <w:rFonts w:cs="Calibri"/>
                <w:b/>
                <w:sz w:val="24"/>
                <w:szCs w:val="24"/>
              </w:rPr>
              <w:t>,956</w:t>
            </w:r>
          </w:p>
        </w:tc>
      </w:tr>
    </w:tbl>
    <w:p w:rsidR="00833641" w:rsidP="00854AAE" w14:paraId="7EBF2490" w14:textId="77777777">
      <w:pPr>
        <w:spacing w:before="60"/>
        <w:rPr>
          <w:rFonts w:eastAsiaTheme="majorEastAsia" w:cstheme="minorHAnsi"/>
          <w:b/>
          <w:bCs/>
        </w:rPr>
      </w:pPr>
    </w:p>
    <w:p w:rsidR="00466C28" w:rsidRPr="009A4C11" w:rsidP="00CC372E" w14:paraId="10123889" w14:textId="090750DA">
      <w:pPr>
        <w:spacing w:before="60"/>
        <w:rPr>
          <w:rFonts w:cstheme="minorHAnsi"/>
        </w:rPr>
      </w:pPr>
      <w:r>
        <w:rPr>
          <w:rFonts w:cstheme="minorHAnsi"/>
        </w:rPr>
        <w:t>Table 6</w:t>
      </w:r>
      <w:r w:rsidRPr="004A212B" w:rsidR="004A212B">
        <w:rPr>
          <w:rFonts w:cstheme="minorHAnsi"/>
        </w:rPr>
        <w:t xml:space="preserve"> presents the total </w:t>
      </w:r>
      <w:r w:rsidR="00BA7790">
        <w:rPr>
          <w:rFonts w:cstheme="minorHAnsi"/>
        </w:rPr>
        <w:t xml:space="preserve">average </w:t>
      </w:r>
      <w:r w:rsidRPr="004A212B" w:rsidR="004A212B">
        <w:rPr>
          <w:rFonts w:cstheme="minorHAnsi"/>
        </w:rPr>
        <w:t xml:space="preserve">annual burden </w:t>
      </w:r>
      <w:r w:rsidR="00CD4B4F">
        <w:rPr>
          <w:rFonts w:cstheme="minorHAnsi"/>
        </w:rPr>
        <w:t xml:space="preserve">and </w:t>
      </w:r>
      <w:r w:rsidR="00946C58">
        <w:rPr>
          <w:rFonts w:cstheme="minorHAnsi"/>
        </w:rPr>
        <w:t xml:space="preserve">labor costs for </w:t>
      </w:r>
      <w:r w:rsidRPr="004A212B" w:rsidR="004A212B">
        <w:rPr>
          <w:rFonts w:cstheme="minorHAnsi"/>
        </w:rPr>
        <w:t>the Agency.</w:t>
      </w:r>
      <w:r w:rsidR="00946C58">
        <w:rPr>
          <w:rFonts w:cstheme="minorHAnsi"/>
        </w:rPr>
        <w:t xml:space="preserve"> </w:t>
      </w:r>
      <w:r w:rsidR="00FA23E6">
        <w:rPr>
          <w:rFonts w:cstheme="minorHAnsi"/>
        </w:rPr>
        <w:t xml:space="preserve">EPA is also considering </w:t>
      </w:r>
      <w:r>
        <w:rPr>
          <w:rFonts w:cstheme="minorHAnsi"/>
        </w:rPr>
        <w:t xml:space="preserve">the use of </w:t>
      </w:r>
      <w:r w:rsidR="00493800">
        <w:rPr>
          <w:rFonts w:cstheme="minorHAnsi"/>
        </w:rPr>
        <w:t xml:space="preserve">contractor support for some or all of the </w:t>
      </w:r>
      <w:r>
        <w:rPr>
          <w:rFonts w:cstheme="minorHAnsi"/>
        </w:rPr>
        <w:t xml:space="preserve">focus groups it intends to hold.  </w:t>
      </w:r>
      <w:r w:rsidR="0051205E">
        <w:rPr>
          <w:rFonts w:cstheme="minorHAnsi"/>
        </w:rPr>
        <w:t>A</w:t>
      </w:r>
      <w:r w:rsidR="00DD4147">
        <w:rPr>
          <w:rFonts w:cstheme="minorHAnsi"/>
        </w:rPr>
        <w:t xml:space="preserve">ssuming </w:t>
      </w:r>
      <w:r w:rsidR="0051205E">
        <w:rPr>
          <w:rFonts w:cstheme="minorHAnsi"/>
        </w:rPr>
        <w:t>four</w:t>
      </w:r>
      <w:r w:rsidRPr="009A4C11">
        <w:rPr>
          <w:rFonts w:cstheme="minorHAnsi"/>
        </w:rPr>
        <w:t xml:space="preserve"> focus groups </w:t>
      </w:r>
      <w:r w:rsidR="009B0812">
        <w:rPr>
          <w:rFonts w:cstheme="minorHAnsi"/>
        </w:rPr>
        <w:t xml:space="preserve">per year </w:t>
      </w:r>
      <w:r w:rsidRPr="009A4C11">
        <w:rPr>
          <w:rFonts w:cstheme="minorHAnsi"/>
        </w:rPr>
        <w:t xml:space="preserve">at focus group facilities </w:t>
      </w:r>
      <w:r w:rsidR="00CB4BFB">
        <w:rPr>
          <w:rFonts w:cstheme="minorHAnsi"/>
        </w:rPr>
        <w:t xml:space="preserve">at </w:t>
      </w:r>
      <w:r w:rsidRPr="009A4C11">
        <w:rPr>
          <w:rFonts w:cstheme="minorHAnsi"/>
        </w:rPr>
        <w:t>$5,000 per focus group</w:t>
      </w:r>
      <w:r w:rsidR="00CB4BFB">
        <w:rPr>
          <w:rFonts w:cstheme="minorHAnsi"/>
        </w:rPr>
        <w:t xml:space="preserve"> yields</w:t>
      </w:r>
      <w:r w:rsidRPr="009A4C11">
        <w:rPr>
          <w:rFonts w:cstheme="minorHAnsi"/>
        </w:rPr>
        <w:t xml:space="preserve"> $</w:t>
      </w:r>
      <w:r w:rsidR="0051205E">
        <w:rPr>
          <w:rFonts w:cstheme="minorHAnsi"/>
        </w:rPr>
        <w:t>2</w:t>
      </w:r>
      <w:r w:rsidR="009B0812">
        <w:rPr>
          <w:rFonts w:cstheme="minorHAnsi"/>
        </w:rPr>
        <w:t>0</w:t>
      </w:r>
      <w:r w:rsidRPr="009A4C11">
        <w:rPr>
          <w:rFonts w:cstheme="minorHAnsi"/>
        </w:rPr>
        <w:t xml:space="preserve">,000 </w:t>
      </w:r>
      <w:r w:rsidR="00981F52">
        <w:rPr>
          <w:rFonts w:cstheme="minorHAnsi"/>
        </w:rPr>
        <w:t>in average annual O&amp;M costs</w:t>
      </w:r>
      <w:r w:rsidRPr="009A4C11">
        <w:rPr>
          <w:rFonts w:cstheme="minorHAnsi"/>
        </w:rPr>
        <w:t xml:space="preserve">. This includes use of the facility, recruiting participants, paying the incentives, recording, and transcription of the discussions. </w:t>
      </w:r>
    </w:p>
    <w:p w:rsidR="00BB3410" w:rsidP="00854AAE" w14:paraId="7FCA1ABF" w14:textId="7797AB8E">
      <w:pPr>
        <w:spacing w:before="60"/>
        <w:rPr>
          <w:rFonts w:cstheme="minorHAnsi"/>
        </w:rPr>
      </w:pPr>
      <w:r>
        <w:rPr>
          <w:rFonts w:cstheme="minorHAnsi"/>
        </w:rPr>
        <w:t>The</w:t>
      </w:r>
      <w:r w:rsidR="0097724C">
        <w:rPr>
          <w:rFonts w:cstheme="minorHAnsi"/>
        </w:rPr>
        <w:t xml:space="preserve"> total</w:t>
      </w:r>
      <w:r w:rsidRPr="004A212B" w:rsidR="004A212B">
        <w:rPr>
          <w:rFonts w:cstheme="minorHAnsi"/>
        </w:rPr>
        <w:t xml:space="preserve"> </w:t>
      </w:r>
      <w:r w:rsidR="007E2512">
        <w:rPr>
          <w:rFonts w:cstheme="minorHAnsi"/>
        </w:rPr>
        <w:t xml:space="preserve">estimated </w:t>
      </w:r>
      <w:r w:rsidRPr="004A212B" w:rsidR="004A212B">
        <w:rPr>
          <w:rFonts w:cstheme="minorHAnsi"/>
        </w:rPr>
        <w:t xml:space="preserve">annual </w:t>
      </w:r>
      <w:r>
        <w:rPr>
          <w:rFonts w:cstheme="minorHAnsi"/>
        </w:rPr>
        <w:t xml:space="preserve">Agency </w:t>
      </w:r>
      <w:r w:rsidRPr="004A212B" w:rsidR="004A212B">
        <w:rPr>
          <w:rFonts w:cstheme="minorHAnsi"/>
        </w:rPr>
        <w:t xml:space="preserve">burden for </w:t>
      </w:r>
      <w:r w:rsidR="007E2512">
        <w:rPr>
          <w:rFonts w:cstheme="minorHAnsi"/>
        </w:rPr>
        <w:t xml:space="preserve">activities proposed for </w:t>
      </w:r>
      <w:r w:rsidR="0083599A">
        <w:rPr>
          <w:rFonts w:cstheme="minorHAnsi"/>
        </w:rPr>
        <w:t xml:space="preserve">this hybrid generic information collection request </w:t>
      </w:r>
      <w:r w:rsidRPr="004A212B" w:rsidR="004A212B">
        <w:rPr>
          <w:rFonts w:cstheme="minorHAnsi"/>
        </w:rPr>
        <w:t xml:space="preserve">is 543 hours </w:t>
      </w:r>
      <w:r w:rsidR="00E92993">
        <w:rPr>
          <w:rFonts w:cstheme="minorHAnsi"/>
        </w:rPr>
        <w:t>(</w:t>
      </w:r>
      <w:r w:rsidR="00346DC8">
        <w:rPr>
          <w:rFonts w:cstheme="minorHAnsi"/>
        </w:rPr>
        <w:t xml:space="preserve">equating to $48,956 in labor costs) </w:t>
      </w:r>
      <w:r w:rsidRPr="004A212B" w:rsidR="004A212B">
        <w:rPr>
          <w:rFonts w:cstheme="minorHAnsi"/>
        </w:rPr>
        <w:t xml:space="preserve">and </w:t>
      </w:r>
      <w:r w:rsidR="00346DC8">
        <w:rPr>
          <w:rFonts w:cstheme="minorHAnsi"/>
        </w:rPr>
        <w:t xml:space="preserve">a </w:t>
      </w:r>
      <w:r w:rsidRPr="004A212B" w:rsidR="004A212B">
        <w:rPr>
          <w:rFonts w:cstheme="minorHAnsi"/>
        </w:rPr>
        <w:t>total cost is $</w:t>
      </w:r>
      <w:r w:rsidR="004447EE">
        <w:rPr>
          <w:rFonts w:cstheme="minorHAnsi"/>
        </w:rPr>
        <w:t>68,956</w:t>
      </w:r>
      <w:r w:rsidRPr="004A212B" w:rsidR="004A212B">
        <w:rPr>
          <w:rFonts w:cstheme="minorHAnsi"/>
        </w:rPr>
        <w:t>.</w:t>
      </w:r>
    </w:p>
    <w:p w:rsidR="00133E2C" w:rsidRPr="009A4C11" w:rsidP="00133E2C" w14:paraId="1EA7F865" w14:textId="5C4D7301">
      <w:pPr>
        <w:pBdr>
          <w:top w:val="single" w:sz="6" w:space="0" w:color="FFFFFF"/>
          <w:left w:val="single" w:sz="6" w:space="0" w:color="FFFFFF"/>
          <w:bottom w:val="single" w:sz="6" w:space="0" w:color="FFFFFF"/>
          <w:right w:val="single" w:sz="6" w:space="0" w:color="FFFFFF"/>
        </w:pBdr>
        <w:spacing w:before="60"/>
        <w:rPr>
          <w:rFonts w:ascii="Calibri" w:eastAsia="Times New Roman" w:hAnsi="Calibri" w:cs="Calibri"/>
        </w:rPr>
      </w:pPr>
      <w:r>
        <w:rPr>
          <w:rFonts w:ascii="Calibri" w:eastAsia="Times New Roman" w:hAnsi="Calibri" w:cs="Calibri"/>
        </w:rPr>
        <w:t>A</w:t>
      </w:r>
      <w:r w:rsidRPr="009A4C11">
        <w:rPr>
          <w:rFonts w:ascii="Calibri" w:eastAsia="Times New Roman" w:hAnsi="Calibri" w:cs="Calibri"/>
        </w:rPr>
        <w:t>ll values provided in this section are estimations based on the Agency’s limited present understanding of the specific information collections that it intends to submit under this ICR. Each IC justification document will include a detailed explanation of the labor mixes, labor rates, frequency of collections, number of responses</w:t>
      </w:r>
      <w:r w:rsidR="00D65000">
        <w:rPr>
          <w:rFonts w:ascii="Calibri" w:eastAsia="Times New Roman" w:hAnsi="Calibri" w:cs="Calibri"/>
        </w:rPr>
        <w:t>, and potential non-labor costs</w:t>
      </w:r>
      <w:r w:rsidRPr="009A4C11">
        <w:rPr>
          <w:rFonts w:ascii="Calibri" w:eastAsia="Times New Roman" w:hAnsi="Calibri" w:cs="Calibri"/>
        </w:rPr>
        <w:t xml:space="preserve"> applicable to the </w:t>
      </w:r>
      <w:r w:rsidRPr="00853096">
        <w:rPr>
          <w:rFonts w:ascii="Calibri" w:eastAsia="Times New Roman" w:hAnsi="Calibri" w:cs="Calibri"/>
        </w:rPr>
        <w:t>activities</w:t>
      </w:r>
      <w:r w:rsidRPr="009A4C11">
        <w:rPr>
          <w:rFonts w:ascii="Calibri" w:eastAsia="Times New Roman" w:hAnsi="Calibri" w:cs="Calibri"/>
        </w:rPr>
        <w:t xml:space="preserve"> included in that individual request.   </w:t>
      </w:r>
    </w:p>
    <w:p w:rsidR="004620CA" w:rsidRPr="00163C69" w:rsidP="4BDBF0A0" w14:paraId="3144CC9D" w14:textId="0F36AA3D">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32024C" w:rsidP="00854AAE" w14:paraId="18F76AB6" w14:textId="479E9EF1">
      <w:pPr>
        <w:pBdr>
          <w:top w:val="single" w:sz="6" w:space="0" w:color="FFFFFF"/>
          <w:left w:val="single" w:sz="6" w:space="0" w:color="FFFFFF"/>
          <w:bottom w:val="single" w:sz="6" w:space="0" w:color="FFFFFF"/>
          <w:right w:val="single" w:sz="6" w:space="0" w:color="FFFFFF"/>
        </w:pBdr>
        <w:rPr>
          <w:rFonts w:cstheme="minorHAnsi"/>
        </w:rPr>
      </w:pPr>
      <w:r w:rsidRPr="00DC0616">
        <w:rPr>
          <w:rFonts w:cstheme="minorHAnsi"/>
        </w:rPr>
        <w:t xml:space="preserve">This is a </w:t>
      </w:r>
      <w:r w:rsidR="00346DC8">
        <w:rPr>
          <w:rFonts w:cstheme="minorHAnsi"/>
        </w:rPr>
        <w:t xml:space="preserve">request for a </w:t>
      </w:r>
      <w:r w:rsidRPr="00DC0616">
        <w:rPr>
          <w:rFonts w:cstheme="minorHAnsi"/>
        </w:rPr>
        <w:t>new information collection.</w:t>
      </w:r>
    </w:p>
    <w:p w:rsidR="005D140B" w:rsidRPr="00163C69" w:rsidP="4BDBF0A0" w14:paraId="3604F417" w14:textId="5D0F3160">
      <w:pPr>
        <w:pStyle w:val="ListParagraph"/>
        <w:numPr>
          <w:ilvl w:val="0"/>
          <w:numId w:val="27"/>
        </w:numPr>
        <w:spacing w:before="240" w:after="0"/>
        <w:rPr>
          <w:b/>
          <w:bCs/>
        </w:rPr>
      </w:pPr>
      <w:bookmarkStart w:id="28" w:name="_Toc156593389"/>
      <w:r w:rsidRPr="4BDBF0A0">
        <w:rPr>
          <w:b/>
          <w:bCs/>
        </w:rPr>
        <w:t xml:space="preserve">PUBLICATION OF </w:t>
      </w:r>
      <w:bookmarkStart w:id="29" w:name="_Toc156593390"/>
      <w:bookmarkEnd w:id="28"/>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54155" w:rsidP="00F75373" w14:paraId="79F58459" w14:textId="57B00C7B">
      <w:pPr>
        <w:spacing w:after="0" w:line="240" w:lineRule="auto"/>
        <w:rPr>
          <w:rFonts w:eastAsia="Times New Roman" w:cstheme="minorHAnsi"/>
        </w:rPr>
      </w:pPr>
      <w:r w:rsidRPr="00A54155">
        <w:rPr>
          <w:rFonts w:eastAsia="Times New Roman" w:cstheme="minorHAnsi"/>
        </w:rPr>
        <w:t xml:space="preserve">Information collected under this </w:t>
      </w:r>
      <w:r w:rsidR="00F75373">
        <w:rPr>
          <w:rFonts w:eastAsia="Times New Roman" w:cstheme="minorHAnsi"/>
        </w:rPr>
        <w:t xml:space="preserve">hybrid generic </w:t>
      </w:r>
      <w:r w:rsidRPr="00A54155">
        <w:rPr>
          <w:rFonts w:eastAsia="Times New Roman" w:cstheme="minorHAnsi"/>
        </w:rPr>
        <w:t xml:space="preserve">ICR can support the production of requisite reports and plans listed below. These reflect the target entities and respondent populations, and general data/information elements described in other sections herein. The specific nature (e.g., questionnaires) and timing of these requests may evolve based on the results of initial collections and adapting/implementing requests in a timely manner precludes traditional ICRs for each case. In this way, </w:t>
      </w:r>
      <w:r w:rsidRPr="00A54155">
        <w:rPr>
          <w:rFonts w:eastAsia="Times New Roman" w:cstheme="minorHAnsi"/>
        </w:rPr>
        <w:t>a hybrid</w:t>
      </w:r>
      <w:r w:rsidR="00F75373">
        <w:rPr>
          <w:rFonts w:eastAsia="Times New Roman" w:cstheme="minorHAnsi"/>
        </w:rPr>
        <w:t xml:space="preserve"> g</w:t>
      </w:r>
      <w:r w:rsidRPr="00A54155" w:rsidR="0032024C">
        <w:rPr>
          <w:rFonts w:eastAsia="Times New Roman" w:cstheme="minorHAnsi"/>
        </w:rPr>
        <w:t xml:space="preserve">eneric </w:t>
      </w:r>
      <w:r w:rsidRPr="00A54155">
        <w:rPr>
          <w:rFonts w:eastAsia="Times New Roman" w:cstheme="minorHAnsi"/>
        </w:rPr>
        <w:t xml:space="preserve">approach, which appropriately identifies the general parameters of anticipated collections, but allows for some additional flexibility and timeliness in review and approval, is crucial. </w:t>
      </w:r>
    </w:p>
    <w:p w:rsidR="00A54155" w:rsidRPr="00A54155" w:rsidP="00A54155" w14:paraId="4398418B" w14:textId="77777777">
      <w:pPr>
        <w:spacing w:after="0" w:line="240" w:lineRule="auto"/>
        <w:jc w:val="both"/>
        <w:rPr>
          <w:rFonts w:eastAsia="Times New Roman" w:cstheme="minorHAnsi"/>
        </w:rPr>
      </w:pPr>
    </w:p>
    <w:p w:rsidR="00A54155" w:rsidRPr="00A54155" w:rsidP="00A54155" w14:paraId="5AE34763" w14:textId="77777777">
      <w:pPr>
        <w:numPr>
          <w:ilvl w:val="0"/>
          <w:numId w:val="31"/>
        </w:numPr>
        <w:spacing w:after="0" w:line="240" w:lineRule="auto"/>
        <w:contextualSpacing/>
        <w:jc w:val="both"/>
        <w:rPr>
          <w:rFonts w:eastAsia="Times New Roman" w:cstheme="minorHAnsi"/>
        </w:rPr>
      </w:pPr>
      <w:r w:rsidRPr="00A54155">
        <w:rPr>
          <w:rFonts w:eastAsia="Times New Roman" w:cstheme="minorHAnsi"/>
        </w:rPr>
        <w:t>Facts and Figures 2.0 (National estimates on MSW generation and management)</w:t>
      </w:r>
    </w:p>
    <w:p w:rsidR="00A54155" w:rsidRPr="00A54155" w:rsidP="00A54155" w14:paraId="5C3680F2"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Quarterly and final reporting requirements for grant programs</w:t>
      </w:r>
    </w:p>
    <w:p w:rsidR="00A54155" w:rsidRPr="00A54155" w:rsidP="00A54155" w14:paraId="31FDB7E7"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Annual Reports to Congress on the Solid Waste Infrastructure for Recycling Grant Program under SOS 2.0</w:t>
      </w:r>
    </w:p>
    <w:p w:rsidR="00A54155" w:rsidRPr="00A54155" w:rsidP="00A54155" w14:paraId="6D84F9A6"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Annual Reports to Congress on the REO Grant Program under IIJA</w:t>
      </w:r>
    </w:p>
    <w:p w:rsidR="00A54155" w:rsidRPr="00A54155" w:rsidP="00A54155" w14:paraId="216A4241"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Battery Labeling Guidelines developed under IIJA</w:t>
      </w:r>
    </w:p>
    <w:p w:rsidR="00A54155" w:rsidRPr="00A54155" w:rsidP="00A54155" w14:paraId="047C6F4A"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Battery Collection Best Practices Report to Congress under IIJA</w:t>
      </w:r>
    </w:p>
    <w:p w:rsidR="00A54155" w:rsidRPr="00A54155" w:rsidP="00A54155" w14:paraId="34C61BC9"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Wasted Food Reports (National estimates of Food Waste Generation and Management in the U.S.)</w:t>
      </w:r>
    </w:p>
    <w:p w:rsidR="00A54155" w:rsidRPr="00A54155" w:rsidP="00A54155" w14:paraId="2F24C6D0"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Anerobic Digestion Survey Reports</w:t>
      </w:r>
    </w:p>
    <w:p w:rsidR="00A54155" w:rsidRPr="00A54155" w:rsidP="00A54155" w14:paraId="30EBD668"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National Recycling Strategy Progress Reports</w:t>
      </w:r>
    </w:p>
    <w:p w:rsidR="00A54155" w:rsidRPr="00A54155" w:rsidP="00A54155" w14:paraId="628D1A23" w14:textId="77777777">
      <w:pPr>
        <w:numPr>
          <w:ilvl w:val="0"/>
          <w:numId w:val="32"/>
        </w:numPr>
        <w:spacing w:after="0" w:line="240" w:lineRule="auto"/>
        <w:contextualSpacing/>
        <w:jc w:val="both"/>
        <w:rPr>
          <w:rFonts w:eastAsia="Times New Roman" w:cstheme="minorHAnsi"/>
        </w:rPr>
      </w:pPr>
      <w:r w:rsidRPr="00A54155">
        <w:rPr>
          <w:rFonts w:eastAsia="Times New Roman" w:cstheme="minorHAnsi"/>
        </w:rPr>
        <w:t>National Strategy to Prevent Plastic Pollution Progress Reports</w:t>
      </w:r>
    </w:p>
    <w:p w:rsidR="00A54155" w:rsidRPr="00A54155" w:rsidP="00A54155" w14:paraId="5A30A00F" w14:textId="77777777">
      <w:pPr>
        <w:spacing w:after="0" w:line="240" w:lineRule="auto"/>
        <w:jc w:val="both"/>
        <w:rPr>
          <w:rFonts w:eastAsia="Times New Roman" w:cstheme="minorHAnsi"/>
        </w:rPr>
      </w:pPr>
    </w:p>
    <w:p w:rsidR="0073767D" w:rsidRPr="00A54155" w:rsidP="00A54155" w14:paraId="5CBE5491" w14:textId="45F363AA">
      <w:pPr>
        <w:pBdr>
          <w:top w:val="single" w:sz="6" w:space="0" w:color="FFFFFF"/>
          <w:left w:val="single" w:sz="6" w:space="0" w:color="FFFFFF"/>
          <w:bottom w:val="single" w:sz="6" w:space="0" w:color="FFFFFF"/>
          <w:right w:val="single" w:sz="6" w:space="0" w:color="FFFFFF"/>
        </w:pBdr>
        <w:rPr>
          <w:rFonts w:cstheme="minorHAnsi"/>
        </w:rPr>
      </w:pPr>
      <w:r w:rsidRPr="00A54155">
        <w:rPr>
          <w:rFonts w:eastAsia="Times New Roman" w:cstheme="minorHAnsi"/>
        </w:rPr>
        <w:t xml:space="preserve">All state, territory, </w:t>
      </w:r>
      <w:r w:rsidR="0032024C">
        <w:rPr>
          <w:rFonts w:eastAsia="Times New Roman" w:cstheme="minorHAnsi"/>
        </w:rPr>
        <w:t>T</w:t>
      </w:r>
      <w:r w:rsidRPr="00A54155">
        <w:rPr>
          <w:rFonts w:eastAsia="Times New Roman" w:cstheme="minorHAnsi"/>
        </w:rPr>
        <w:t>ribal, municipal or other appropriate data would be made publicly available through EPA’s Environmental Dataset Gateway (EDG). The EDG provides a one-stop to discover and access EPA’s Open Data resources. The EDG contains metadata records contributed by EPA Regions, Program Offices, and Research Laboratories that links to geospatial and non-geospatial resources (e.g., data, Web services, or applications).</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9"/>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358ADDB6" w14:paraId="38543EA2" w14:textId="71D59855">
      <w:pPr>
        <w:pBdr>
          <w:top w:val="single" w:sz="6" w:space="0" w:color="FFFFFF"/>
          <w:left w:val="single" w:sz="6" w:space="0" w:color="FFFFFF"/>
          <w:bottom w:val="single" w:sz="6" w:space="0" w:color="FFFFFF"/>
          <w:right w:val="single" w:sz="6" w:space="0" w:color="FFFFFF"/>
        </w:pBdr>
      </w:pPr>
      <w:r>
        <w:t xml:space="preserve">All </w:t>
      </w:r>
      <w:r w:rsidR="0099274A">
        <w:t xml:space="preserve">RCSD </w:t>
      </w:r>
      <w:r w:rsidR="1276C613">
        <w:t xml:space="preserve">collection instruments </w:t>
      </w:r>
      <w:r>
        <w:t>will display the expiration date for OMB approval of the information collection.</w:t>
      </w:r>
    </w:p>
    <w:p w:rsidR="00691828" w:rsidRPr="00163C69" w:rsidP="00854AAE" w14:paraId="7CCB26DD" w14:textId="4F62448A">
      <w:pPr>
        <w:pStyle w:val="ListParagraph"/>
        <w:numPr>
          <w:ilvl w:val="0"/>
          <w:numId w:val="27"/>
        </w:numPr>
        <w:spacing w:before="240" w:after="0"/>
        <w:rPr>
          <w:rFonts w:cstheme="minorHAnsi"/>
          <w:b/>
          <w:bCs/>
        </w:rPr>
      </w:pPr>
      <w:bookmarkStart w:id="30" w:name="_Toc156593391"/>
      <w:r w:rsidRPr="00163C69">
        <w:rPr>
          <w:rFonts w:cstheme="minorHAnsi"/>
          <w:b/>
          <w:bCs/>
        </w:rPr>
        <w:t>CERTIFICATION STATEMENT</w:t>
      </w:r>
      <w:bookmarkEnd w:id="30"/>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310A18" w:rsidRPr="00BB3410" w:rsidP="00310A18" w14:paraId="3355DDD1" w14:textId="0305AAD2">
      <w:pPr>
        <w:pBdr>
          <w:top w:val="single" w:sz="6" w:space="0" w:color="FFFFFF"/>
          <w:left w:val="single" w:sz="6" w:space="0" w:color="FFFFFF"/>
          <w:bottom w:val="single" w:sz="6" w:space="0" w:color="FFFFFF"/>
          <w:right w:val="single" w:sz="6" w:space="0" w:color="FFFFFF"/>
        </w:pBdr>
        <w:rPr>
          <w:rFonts w:cstheme="minorHAnsi"/>
          <w:sz w:val="24"/>
          <w:szCs w:val="24"/>
        </w:rPr>
      </w:pPr>
      <w:r w:rsidRPr="00F54CB2">
        <w:t>No exceptions to the certification statement are being sought.</w:t>
      </w:r>
    </w:p>
    <w:sectPr w:rsidSect="009C13D9">
      <w:footerReference w:type="default" r:id="rId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1759" w:rsidP="002335AB" w14:paraId="77FB68DD" w14:textId="77777777">
      <w:pPr>
        <w:spacing w:after="0" w:line="240" w:lineRule="auto"/>
      </w:pPr>
      <w:r>
        <w:separator/>
      </w:r>
    </w:p>
  </w:footnote>
  <w:footnote w:type="continuationSeparator" w:id="1">
    <w:p w:rsidR="00CB1759" w:rsidP="002335AB" w14:paraId="3BF13630" w14:textId="77777777">
      <w:pPr>
        <w:spacing w:after="0" w:line="240" w:lineRule="auto"/>
      </w:pPr>
      <w:r>
        <w:continuationSeparator/>
      </w:r>
    </w:p>
  </w:footnote>
  <w:footnote w:type="continuationNotice" w:id="2">
    <w:p w:rsidR="00CB1759" w14:paraId="5B3186BB" w14:textId="77777777">
      <w:pPr>
        <w:spacing w:after="0" w:line="240" w:lineRule="auto"/>
      </w:pPr>
    </w:p>
  </w:footnote>
  <w:footnote w:id="3">
    <w:p w:rsidR="0047235E" w14:paraId="3E9EAAD1" w14:textId="2A6C143E">
      <w:pPr>
        <w:pStyle w:val="FootnoteText"/>
      </w:pPr>
      <w:r>
        <w:rPr>
          <w:rStyle w:val="FootnoteReference"/>
        </w:rPr>
        <w:footnoteRef/>
      </w:r>
      <w:r>
        <w:t xml:space="preserve"> Total number of respondents are the total number of 2021 SWIFR and REO awardees. Specific awardees are listed here: </w:t>
      </w:r>
      <w:hyperlink r:id="rId1" w:history="1">
        <w:r w:rsidRPr="00AA443D">
          <w:rPr>
            <w:rStyle w:val="Hyperlink"/>
          </w:rPr>
          <w:t>https://www.epa.gov/infrastructure/recycling-grant-selectees-and-recipients</w:t>
        </w:r>
      </w:hyperlink>
      <w:r>
        <w:t xml:space="preserve"> (Accessed 4/23/2024).</w:t>
      </w:r>
    </w:p>
  </w:footnote>
  <w:footnote w:id="4">
    <w:p w:rsidR="000434A2" w14:paraId="2DD56921" w14:textId="3FBEA99A">
      <w:pPr>
        <w:pStyle w:val="FootnoteText"/>
      </w:pPr>
      <w:r>
        <w:rPr>
          <w:rStyle w:val="FootnoteReference"/>
        </w:rPr>
        <w:footnoteRef/>
      </w:r>
      <w:r>
        <w:t xml:space="preserve"> Detailed description of the total number of potential respondents can be found in the supporting statement B document under </w:t>
      </w:r>
      <w:r w:rsidRPr="000434A2">
        <w:t>Table 6</w:t>
      </w:r>
      <w:r>
        <w:t xml:space="preserve">: </w:t>
      </w:r>
      <w:r w:rsidRPr="000434A2">
        <w:t>Total Universe of Potential Responders</w:t>
      </w:r>
      <w:r>
        <w:t xml:space="preserve">. </w:t>
      </w:r>
    </w:p>
    <w:p w:rsidR="000434A2" w14:paraId="37D87913" w14:textId="77777777">
      <w:pPr>
        <w:pStyle w:val="FootnoteText"/>
      </w:pPr>
    </w:p>
  </w:footnote>
  <w:footnote w:id="5">
    <w:p w:rsidR="002E4A75" w:rsidRPr="00833641" w:rsidP="002E4A75" w14:paraId="15F85EB6" w14:textId="1A1D5B3C">
      <w:pPr>
        <w:pStyle w:val="FootnoteText"/>
        <w:rPr>
          <w:rFonts w:cs="Calibri"/>
        </w:rPr>
      </w:pPr>
      <w:r w:rsidRPr="00833641">
        <w:rPr>
          <w:rStyle w:val="FootnoteReference"/>
          <w:rFonts w:cs="Calibri"/>
        </w:rPr>
        <w:footnoteRef/>
      </w:r>
      <w:r w:rsidRPr="00833641">
        <w:rPr>
          <w:rFonts w:cs="Calibri"/>
        </w:rPr>
        <w:t xml:space="preserve"> $51.62 was derived from the median hourly wage for Bureau of Labor Statistics “Occupational Employment and Wages: Management Occupations” available </w:t>
      </w:r>
      <w:r w:rsidRPr="00833641">
        <w:rPr>
          <w:rFonts w:cs="Calibri"/>
          <w:iCs/>
        </w:rPr>
        <w:t xml:space="preserve">at </w:t>
      </w:r>
      <w:hyperlink r:id="rId2" w:history="1">
        <w:r w:rsidRPr="00833641">
          <w:rPr>
            <w:rStyle w:val="Hyperlink"/>
            <w:rFonts w:cs="Calibri"/>
          </w:rPr>
          <w:t>https://www.bls.gov/oes/current/oes110000.htm</w:t>
        </w:r>
      </w:hyperlink>
      <w:r w:rsidRPr="00833641">
        <w:rPr>
          <w:rFonts w:cs="Calibri"/>
        </w:rPr>
        <w:t xml:space="preserve"> (accessed 3/11/2024). </w:t>
      </w:r>
      <w:r w:rsidR="00984190">
        <w:rPr>
          <w:rFonts w:cs="Calibri"/>
        </w:rPr>
        <w:t>A multiplier (in this case</w:t>
      </w:r>
      <w:r w:rsidR="00A231CA">
        <w:rPr>
          <w:rFonts w:cs="Calibri"/>
        </w:rPr>
        <w:t>,</w:t>
      </w:r>
      <w:r w:rsidRPr="00833641">
        <w:rPr>
          <w:rFonts w:cs="Calibri"/>
        </w:rPr>
        <w:t>1.43</w:t>
      </w:r>
      <w:r w:rsidR="00984190">
        <w:rPr>
          <w:rFonts w:cs="Calibri"/>
        </w:rPr>
        <w:t xml:space="preserve">) is </w:t>
      </w:r>
      <w:r w:rsidR="00C072AF">
        <w:rPr>
          <w:rFonts w:cs="Calibri"/>
        </w:rPr>
        <w:t xml:space="preserve">used to “load” </w:t>
      </w:r>
      <w:r w:rsidR="0014512B">
        <w:rPr>
          <w:rFonts w:cs="Calibri"/>
        </w:rPr>
        <w:t>basic wages</w:t>
      </w:r>
      <w:r w:rsidR="00023B4C">
        <w:rPr>
          <w:rFonts w:cs="Calibri"/>
        </w:rPr>
        <w:t xml:space="preserve"> </w:t>
      </w:r>
      <w:r w:rsidR="00465EE1">
        <w:rPr>
          <w:rFonts w:cs="Calibri"/>
        </w:rPr>
        <w:t xml:space="preserve">with the additional </w:t>
      </w:r>
      <w:r w:rsidR="00C11476">
        <w:rPr>
          <w:rFonts w:cs="Calibri"/>
        </w:rPr>
        <w:t xml:space="preserve">costs of </w:t>
      </w:r>
      <w:r w:rsidR="006A60E1">
        <w:rPr>
          <w:rFonts w:cs="Calibri"/>
        </w:rPr>
        <w:t>benefits</w:t>
      </w:r>
      <w:r w:rsidR="00C11476">
        <w:rPr>
          <w:rFonts w:cs="Calibri"/>
        </w:rPr>
        <w:t xml:space="preserve"> and </w:t>
      </w:r>
      <w:r w:rsidR="006A60E1">
        <w:rPr>
          <w:rFonts w:cs="Calibri"/>
        </w:rPr>
        <w:t>overhead</w:t>
      </w:r>
      <w:r w:rsidR="00C11476">
        <w:rPr>
          <w:rFonts w:cs="Calibri"/>
        </w:rPr>
        <w:t xml:space="preserve"> </w:t>
      </w:r>
      <w:r w:rsidR="004B3891">
        <w:rPr>
          <w:rFonts w:cs="Calibri"/>
        </w:rPr>
        <w:t xml:space="preserve">incurred </w:t>
      </w:r>
      <w:r w:rsidR="00EE03CA">
        <w:rPr>
          <w:rFonts w:cs="Calibri"/>
        </w:rPr>
        <w:t xml:space="preserve">by </w:t>
      </w:r>
      <w:r w:rsidR="007D2823">
        <w:rPr>
          <w:rFonts w:cs="Calibri"/>
        </w:rPr>
        <w:t>respondent</w:t>
      </w:r>
      <w:r w:rsidR="00A231CA">
        <w:rPr>
          <w:rFonts w:cs="Calibri"/>
        </w:rPr>
        <w:t>s</w:t>
      </w:r>
      <w:r w:rsidR="00EE03CA">
        <w:rPr>
          <w:rFonts w:cs="Calibri"/>
        </w:rPr>
        <w:t xml:space="preserve"> as part of their overall labor costs.</w:t>
      </w:r>
    </w:p>
  </w:footnote>
  <w:footnote w:id="6">
    <w:p w:rsidR="002E4A75" w:rsidRPr="00833641" w:rsidP="002E4A75" w14:paraId="74563638" w14:textId="2C7C9C3B">
      <w:pPr>
        <w:pStyle w:val="FootnoteText"/>
        <w:rPr>
          <w:rFonts w:cs="Calibri"/>
        </w:rPr>
      </w:pPr>
      <w:r w:rsidRPr="00833641">
        <w:rPr>
          <w:rStyle w:val="FootnoteReference"/>
          <w:rFonts w:cs="Calibri"/>
        </w:rPr>
        <w:footnoteRef/>
      </w:r>
      <w:r w:rsidRPr="00833641">
        <w:rPr>
          <w:rFonts w:cs="Calibri"/>
        </w:rPr>
        <w:t xml:space="preserve"> $21.78 represents the average hourly wage rate of two administrative/clerical positions.    This figure was derived from the median hourly wage for Bureau of Labor Statistics’ Occupational Employment and Wages: Information and Record Clerks” available </w:t>
      </w:r>
      <w:r w:rsidRPr="00833641">
        <w:rPr>
          <w:rFonts w:cs="Calibri"/>
          <w:iCs/>
        </w:rPr>
        <w:t xml:space="preserve">at </w:t>
      </w:r>
      <w:hyperlink r:id="rId3" w:history="1">
        <w:r w:rsidRPr="00833641">
          <w:rPr>
            <w:rStyle w:val="Hyperlink"/>
            <w:rFonts w:cs="Calibri"/>
          </w:rPr>
          <w:t>https://www.bls.gov/oes/current/oes434199.htm</w:t>
        </w:r>
      </w:hyperlink>
      <w:r w:rsidRPr="00833641">
        <w:rPr>
          <w:rFonts w:cs="Calibri"/>
        </w:rPr>
        <w:t xml:space="preserve"> </w:t>
      </w:r>
      <w:r w:rsidRPr="00833641">
        <w:rPr>
          <w:rFonts w:cs="Calibri"/>
          <w:iCs/>
        </w:rPr>
        <w:t xml:space="preserve">($21.50) and </w:t>
      </w:r>
      <w:r w:rsidRPr="00833641">
        <w:rPr>
          <w:rFonts w:cs="Calibri"/>
        </w:rPr>
        <w:t xml:space="preserve">“Occupational Employment and Wages: Bookkeeping, Accounting, and Auditing Clerks” available </w:t>
      </w:r>
      <w:r w:rsidRPr="00833641">
        <w:rPr>
          <w:rFonts w:cs="Calibri"/>
          <w:iCs/>
        </w:rPr>
        <w:t xml:space="preserve">at </w:t>
      </w:r>
      <w:hyperlink r:id="rId4" w:history="1">
        <w:r w:rsidRPr="00833641">
          <w:rPr>
            <w:rStyle w:val="Hyperlink"/>
            <w:rFonts w:cs="Calibri"/>
          </w:rPr>
          <w:t>https://www.bls.gov/oes/current/oes433031.htm</w:t>
        </w:r>
      </w:hyperlink>
      <w:r w:rsidRPr="00833641">
        <w:rPr>
          <w:rFonts w:cs="Calibri"/>
        </w:rPr>
        <w:t xml:space="preserve"> </w:t>
      </w:r>
      <w:r w:rsidRPr="00833641">
        <w:rPr>
          <w:rFonts w:cs="Calibri"/>
          <w:iCs/>
        </w:rPr>
        <w:t>($22.05) (a</w:t>
      </w:r>
      <w:r w:rsidRPr="00833641">
        <w:rPr>
          <w:rFonts w:cs="Calibri"/>
        </w:rPr>
        <w:t>ccessed 3/11/2024).</w:t>
      </w:r>
      <w:r w:rsidRPr="00833641">
        <w:rPr>
          <w:rFonts w:cs="Calibri"/>
          <w:iCs/>
        </w:rPr>
        <w:t xml:space="preserve"> </w:t>
      </w:r>
      <w:r w:rsidR="00503564">
        <w:rPr>
          <w:rFonts w:cs="Calibri"/>
        </w:rPr>
        <w:t>A multiplier (in this case,</w:t>
      </w:r>
      <w:r w:rsidRPr="00833641" w:rsidR="00503564">
        <w:rPr>
          <w:rFonts w:cs="Calibri"/>
        </w:rPr>
        <w:t>1.43</w:t>
      </w:r>
      <w:r w:rsidR="00503564">
        <w:rPr>
          <w:rFonts w:cs="Calibri"/>
        </w:rPr>
        <w:t>) is used to “load” basic wages with the additional costs of benefits and overhead incurred by respondents as part of their overall labor costs</w:t>
      </w:r>
    </w:p>
  </w:footnote>
  <w:footnote w:id="7">
    <w:p w:rsidR="00411286" w14:paraId="184939FC" w14:textId="275E90A2">
      <w:pPr>
        <w:pStyle w:val="FootnoteText"/>
      </w:pPr>
      <w:r>
        <w:rPr>
          <w:rStyle w:val="FootnoteReference"/>
        </w:rPr>
        <w:footnoteRef/>
      </w:r>
      <w:r>
        <w:t xml:space="preserve"> $31.48 </w:t>
      </w:r>
      <w:r w:rsidRPr="00833641">
        <w:rPr>
          <w:rFonts w:cs="Calibri"/>
        </w:rPr>
        <w:t>was derived from the median hourly wage for Bureau of Labor Statistics “</w:t>
      </w:r>
      <w:r>
        <w:rPr>
          <w:rFonts w:cs="Calibri"/>
        </w:rPr>
        <w:t xml:space="preserve">All </w:t>
      </w:r>
      <w:r w:rsidRPr="00833641">
        <w:rPr>
          <w:rFonts w:cs="Calibri"/>
        </w:rPr>
        <w:t xml:space="preserve">Occupations” available </w:t>
      </w:r>
      <w:r w:rsidRPr="00833641">
        <w:rPr>
          <w:rFonts w:cs="Calibri"/>
          <w:iCs/>
        </w:rPr>
        <w:t xml:space="preserve">at </w:t>
      </w:r>
      <w:hyperlink r:id="rId5" w:anchor="00-0000" w:history="1">
        <w:r w:rsidR="00762B4F">
          <w:rPr>
            <w:rStyle w:val="Hyperlink"/>
          </w:rPr>
          <w:t>https://www.bls.gov/oes/current/oes_nat.htm#00-0000</w:t>
        </w:r>
      </w:hyperlink>
      <w:r w:rsidRPr="00833641">
        <w:rPr>
          <w:rFonts w:cs="Calibri"/>
        </w:rPr>
        <w:t xml:space="preserve"> (accessed </w:t>
      </w:r>
      <w:r w:rsidR="00762B4F">
        <w:rPr>
          <w:rFonts w:cs="Calibri"/>
        </w:rPr>
        <w:t>4/16</w:t>
      </w:r>
      <w:r w:rsidRPr="00833641">
        <w:rPr>
          <w:rFonts w:cs="Calibri"/>
        </w:rPr>
        <w:t>/2024).</w:t>
      </w:r>
    </w:p>
  </w:footnote>
  <w:footnote w:id="8">
    <w:p w:rsidR="00784740" w:rsidP="003C6159" w14:paraId="29E57743" w14:textId="438255A1">
      <w:pPr>
        <w:pStyle w:val="FootnoteText"/>
      </w:pPr>
      <w:r w:rsidRPr="00833641">
        <w:rPr>
          <w:rStyle w:val="FootnoteReference"/>
          <w:rFonts w:cs="Calibri"/>
        </w:rPr>
        <w:footnoteRef/>
      </w:r>
      <w:r w:rsidRPr="00833641">
        <w:rPr>
          <w:rFonts w:cs="Calibri"/>
        </w:rPr>
        <w:t xml:space="preserve"> All federal labor costs were based on OMP’s 2024 general scale with Washington D.C. locality adjustments available at </w:t>
      </w:r>
      <w:hyperlink r:id="rId6" w:history="1">
        <w:r w:rsidRPr="00833641">
          <w:rPr>
            <w:rStyle w:val="Hyperlink"/>
            <w:rFonts w:cs="Calibri"/>
          </w:rPr>
          <w:t>https://www.opm.gov/policy-data-oversight/pay-leave/salaries-wages/2023/general-schedule/</w:t>
        </w:r>
      </w:hyperlink>
      <w:r w:rsidRPr="00833641">
        <w:rPr>
          <w:rFonts w:cs="Calibri"/>
        </w:rPr>
        <w:t xml:space="preserve"> (accessed 3/11/2024). </w:t>
      </w:r>
      <w:r>
        <w:rPr>
          <w:rFonts w:cs="Calibri"/>
        </w:rPr>
        <w:t>A multiplier (in this case,</w:t>
      </w:r>
      <w:r w:rsidRPr="00833641">
        <w:rPr>
          <w:rFonts w:cs="Calibri"/>
        </w:rPr>
        <w:t>1.43</w:t>
      </w:r>
      <w:r>
        <w:rPr>
          <w:rFonts w:cs="Calibri"/>
        </w:rPr>
        <w:t>) is used to “load” basic wages with the additional costs of benefits incurred by the Agency as part of its overall labor costs.</w:t>
      </w:r>
    </w:p>
  </w:footnote>
  <w:footnote w:id="9">
    <w:p w:rsidR="00784740" w:rsidP="003C6159" w14:paraId="39925CF8" w14:textId="7D486248">
      <w:pPr>
        <w:pStyle w:val="FootnoteText"/>
      </w:pPr>
      <w:r>
        <w:rPr>
          <w:rStyle w:val="FootnoteReference"/>
        </w:rPr>
        <w:footnoteRef/>
      </w:r>
      <w:r>
        <w:t xml:space="preserve"> Assumes </w:t>
      </w:r>
      <w:r w:rsidR="001C1A82">
        <w:t xml:space="preserve">1 FTE = </w:t>
      </w:r>
      <w:r>
        <w:t>2,080 hours per year.</w:t>
      </w:r>
    </w:p>
  </w:footnote>
  <w:footnote w:id="10">
    <w:p w:rsidR="001B7ABD" w:rsidP="001B7ABD" w14:paraId="6C376EF7" w14:textId="534A6EA6">
      <w:pPr>
        <w:pStyle w:val="FootnoteText"/>
      </w:pPr>
      <w:r>
        <w:rPr>
          <w:rStyle w:val="FootnoteReference"/>
        </w:rPr>
        <w:footnoteRef/>
      </w:r>
      <w:r>
        <w:t xml:space="preserve"> </w:t>
      </w:r>
      <w:r w:rsidR="004604F2">
        <w:rPr>
          <w:rFonts w:cs="Calibri"/>
        </w:rPr>
        <w:t>Labor</w:t>
      </w:r>
      <w:r w:rsidRPr="00833641" w:rsidR="004604F2">
        <w:rPr>
          <w:rFonts w:cs="Calibri"/>
        </w:rPr>
        <w:t xml:space="preserve"> costs were based on </w:t>
      </w:r>
      <w:r w:rsidR="004604F2">
        <w:rPr>
          <w:rFonts w:cs="Calibri"/>
        </w:rPr>
        <w:t xml:space="preserve">a </w:t>
      </w:r>
      <w:r w:rsidR="004604F2">
        <w:t xml:space="preserve">GS 11, Step 9 using </w:t>
      </w:r>
      <w:r w:rsidRPr="00833641" w:rsidR="004604F2">
        <w:rPr>
          <w:rFonts w:cs="Calibri"/>
        </w:rPr>
        <w:t xml:space="preserve">OMP’s 2024 general scale with Washington D.C. locality adjustments available at </w:t>
      </w:r>
      <w:hyperlink r:id="rId7" w:history="1">
        <w:r w:rsidR="004604F2">
          <w:rPr>
            <w:rStyle w:val="Hyperlink"/>
          </w:rPr>
          <w:t>https://www.opm.gov/policy-data-oversight/pay-leave/salaries-wages/salary-tables/23Tables/html/DCB_h.aspx</w:t>
        </w:r>
      </w:hyperlink>
      <w:r w:rsidRPr="00833641" w:rsidR="004604F2">
        <w:rPr>
          <w:rFonts w:cs="Calibri"/>
        </w:rPr>
        <w:t xml:space="preserve"> (accessed 3/11/2024). </w:t>
      </w:r>
      <w:r w:rsidR="004604F2">
        <w:rPr>
          <w:rFonts w:cs="Calibri"/>
        </w:rPr>
        <w:t>The customary multiplier of 1.6 was used to “load” basic wages with the additional costs of benefits incurred by the Agency as part of its overall labor costs.</w:t>
      </w:r>
    </w:p>
    <w:p w:rsidR="00EB6565" w14:paraId="0CC9E78F" w14:textId="25A8D9B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401BF11"/>
    <w:multiLevelType w:val="hybridMultilevel"/>
    <w:tmpl w:val="34D8CB2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474683B"/>
    <w:multiLevelType w:val="hybridMultilevel"/>
    <w:tmpl w:val="E03AD5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046F53"/>
    <w:multiLevelType w:val="hybridMultilevel"/>
    <w:tmpl w:val="3272928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F246C83"/>
    <w:multiLevelType w:val="hybridMultilevel"/>
    <w:tmpl w:val="50D8D5F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131911"/>
    <w:multiLevelType w:val="hybridMultilevel"/>
    <w:tmpl w:val="90E885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6">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5D238B1"/>
    <w:multiLevelType w:val="hybridMultilevel"/>
    <w:tmpl w:val="4F2469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BE609BA"/>
    <w:multiLevelType w:val="hybridMultilevel"/>
    <w:tmpl w:val="9F0616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6"/>
  </w:num>
  <w:num w:numId="2" w16cid:durableId="1032609060">
    <w:abstractNumId w:val="8"/>
  </w:num>
  <w:num w:numId="3" w16cid:durableId="1158494831">
    <w:abstractNumId w:val="2"/>
  </w:num>
  <w:num w:numId="4" w16cid:durableId="493573829">
    <w:abstractNumId w:val="32"/>
  </w:num>
  <w:num w:numId="5" w16cid:durableId="2055687918">
    <w:abstractNumId w:val="21"/>
  </w:num>
  <w:num w:numId="6" w16cid:durableId="1603025219">
    <w:abstractNumId w:val="28"/>
  </w:num>
  <w:num w:numId="7" w16cid:durableId="423957196">
    <w:abstractNumId w:val="19"/>
  </w:num>
  <w:num w:numId="8" w16cid:durableId="2031829208">
    <w:abstractNumId w:val="24"/>
  </w:num>
  <w:num w:numId="9" w16cid:durableId="218439549">
    <w:abstractNumId w:val="11"/>
  </w:num>
  <w:num w:numId="10" w16cid:durableId="1285231924">
    <w:abstractNumId w:val="6"/>
  </w:num>
  <w:num w:numId="11" w16cid:durableId="327370686">
    <w:abstractNumId w:val="10"/>
  </w:num>
  <w:num w:numId="12" w16cid:durableId="1802993385">
    <w:abstractNumId w:val="13"/>
  </w:num>
  <w:num w:numId="13" w16cid:durableId="1792938267">
    <w:abstractNumId w:val="33"/>
  </w:num>
  <w:num w:numId="14" w16cid:durableId="239490726">
    <w:abstractNumId w:val="9"/>
  </w:num>
  <w:num w:numId="15" w16cid:durableId="1395350314">
    <w:abstractNumId w:val="12"/>
  </w:num>
  <w:num w:numId="16" w16cid:durableId="441535906">
    <w:abstractNumId w:val="17"/>
  </w:num>
  <w:num w:numId="17" w16cid:durableId="2008243381">
    <w:abstractNumId w:val="25"/>
  </w:num>
  <w:num w:numId="18" w16cid:durableId="840463183">
    <w:abstractNumId w:val="23"/>
  </w:num>
  <w:num w:numId="19" w16cid:durableId="469980091">
    <w:abstractNumId w:val="27"/>
  </w:num>
  <w:num w:numId="20" w16cid:durableId="2126730031">
    <w:abstractNumId w:val="15"/>
  </w:num>
  <w:num w:numId="21" w16cid:durableId="106124704">
    <w:abstractNumId w:val="1"/>
  </w:num>
  <w:num w:numId="22" w16cid:durableId="1552418013">
    <w:abstractNumId w:val="18"/>
  </w:num>
  <w:num w:numId="23" w16cid:durableId="1598828334">
    <w:abstractNumId w:val="29"/>
  </w:num>
  <w:num w:numId="24" w16cid:durableId="2051031068">
    <w:abstractNumId w:val="0"/>
  </w:num>
  <w:num w:numId="25" w16cid:durableId="258569098">
    <w:abstractNumId w:val="20"/>
  </w:num>
  <w:num w:numId="26" w16cid:durableId="331181582">
    <w:abstractNumId w:val="22"/>
  </w:num>
  <w:num w:numId="27" w16cid:durableId="1015961391">
    <w:abstractNumId w:val="26"/>
  </w:num>
  <w:num w:numId="28" w16cid:durableId="1410998068">
    <w:abstractNumId w:val="14"/>
  </w:num>
  <w:num w:numId="29" w16cid:durableId="1009017823">
    <w:abstractNumId w:val="4"/>
  </w:num>
  <w:num w:numId="30" w16cid:durableId="1952274186">
    <w:abstractNumId w:val="31"/>
  </w:num>
  <w:num w:numId="31" w16cid:durableId="2049719943">
    <w:abstractNumId w:val="3"/>
  </w:num>
  <w:num w:numId="32" w16cid:durableId="60832502">
    <w:abstractNumId w:val="30"/>
  </w:num>
  <w:num w:numId="33" w16cid:durableId="1520968582">
    <w:abstractNumId w:val="5"/>
  </w:num>
  <w:num w:numId="34" w16cid:durableId="513302156">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3EE3"/>
    <w:rsid w:val="00004678"/>
    <w:rsid w:val="00005A06"/>
    <w:rsid w:val="000069C3"/>
    <w:rsid w:val="00006C95"/>
    <w:rsid w:val="00007FB5"/>
    <w:rsid w:val="00010EEE"/>
    <w:rsid w:val="000126B2"/>
    <w:rsid w:val="000129E1"/>
    <w:rsid w:val="00012E9D"/>
    <w:rsid w:val="00013852"/>
    <w:rsid w:val="00013CE8"/>
    <w:rsid w:val="0001483A"/>
    <w:rsid w:val="00014B10"/>
    <w:rsid w:val="00015FF6"/>
    <w:rsid w:val="0001637F"/>
    <w:rsid w:val="00016922"/>
    <w:rsid w:val="00017B90"/>
    <w:rsid w:val="00020791"/>
    <w:rsid w:val="00023B4C"/>
    <w:rsid w:val="00023EFE"/>
    <w:rsid w:val="00024E17"/>
    <w:rsid w:val="000261D8"/>
    <w:rsid w:val="000267E1"/>
    <w:rsid w:val="00030670"/>
    <w:rsid w:val="0003166C"/>
    <w:rsid w:val="00032552"/>
    <w:rsid w:val="00033219"/>
    <w:rsid w:val="00034082"/>
    <w:rsid w:val="00036669"/>
    <w:rsid w:val="00036CF2"/>
    <w:rsid w:val="00036EAB"/>
    <w:rsid w:val="00037107"/>
    <w:rsid w:val="00042F77"/>
    <w:rsid w:val="000434A2"/>
    <w:rsid w:val="0004467E"/>
    <w:rsid w:val="00044B26"/>
    <w:rsid w:val="000452DC"/>
    <w:rsid w:val="000461BA"/>
    <w:rsid w:val="00047160"/>
    <w:rsid w:val="0004718C"/>
    <w:rsid w:val="00050BB4"/>
    <w:rsid w:val="00050C3D"/>
    <w:rsid w:val="00051045"/>
    <w:rsid w:val="00053570"/>
    <w:rsid w:val="000544D0"/>
    <w:rsid w:val="0005561E"/>
    <w:rsid w:val="0005572E"/>
    <w:rsid w:val="0005629D"/>
    <w:rsid w:val="0005783D"/>
    <w:rsid w:val="00060163"/>
    <w:rsid w:val="0006085E"/>
    <w:rsid w:val="0006128A"/>
    <w:rsid w:val="00061A77"/>
    <w:rsid w:val="00061BCE"/>
    <w:rsid w:val="00061BDF"/>
    <w:rsid w:val="00062F08"/>
    <w:rsid w:val="00063CA7"/>
    <w:rsid w:val="00065167"/>
    <w:rsid w:val="00065411"/>
    <w:rsid w:val="00066059"/>
    <w:rsid w:val="00070074"/>
    <w:rsid w:val="000724D0"/>
    <w:rsid w:val="000728E0"/>
    <w:rsid w:val="00073C3D"/>
    <w:rsid w:val="00074917"/>
    <w:rsid w:val="00074E51"/>
    <w:rsid w:val="000758DE"/>
    <w:rsid w:val="00075C7A"/>
    <w:rsid w:val="000762A8"/>
    <w:rsid w:val="00076439"/>
    <w:rsid w:val="00076F0F"/>
    <w:rsid w:val="00077D8A"/>
    <w:rsid w:val="00081180"/>
    <w:rsid w:val="00082A72"/>
    <w:rsid w:val="00083D4A"/>
    <w:rsid w:val="00084BF3"/>
    <w:rsid w:val="00087718"/>
    <w:rsid w:val="00090627"/>
    <w:rsid w:val="00090750"/>
    <w:rsid w:val="00090BD4"/>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A6E50"/>
    <w:rsid w:val="000A79FC"/>
    <w:rsid w:val="000B2E15"/>
    <w:rsid w:val="000B3576"/>
    <w:rsid w:val="000B4229"/>
    <w:rsid w:val="000B461B"/>
    <w:rsid w:val="000B6BC2"/>
    <w:rsid w:val="000B7BBA"/>
    <w:rsid w:val="000C0A7E"/>
    <w:rsid w:val="000C0D21"/>
    <w:rsid w:val="000C3A2E"/>
    <w:rsid w:val="000C41A7"/>
    <w:rsid w:val="000C43C8"/>
    <w:rsid w:val="000C4449"/>
    <w:rsid w:val="000C608D"/>
    <w:rsid w:val="000D1414"/>
    <w:rsid w:val="000D224E"/>
    <w:rsid w:val="000D251E"/>
    <w:rsid w:val="000D2D5D"/>
    <w:rsid w:val="000D3C22"/>
    <w:rsid w:val="000D45B2"/>
    <w:rsid w:val="000D516A"/>
    <w:rsid w:val="000D5863"/>
    <w:rsid w:val="000D6FA4"/>
    <w:rsid w:val="000E0338"/>
    <w:rsid w:val="000E1158"/>
    <w:rsid w:val="000E184B"/>
    <w:rsid w:val="000E19CB"/>
    <w:rsid w:val="000E1FE8"/>
    <w:rsid w:val="000E2D9D"/>
    <w:rsid w:val="000E3298"/>
    <w:rsid w:val="000E348B"/>
    <w:rsid w:val="000E5609"/>
    <w:rsid w:val="000E7DC1"/>
    <w:rsid w:val="000F0186"/>
    <w:rsid w:val="000F29EE"/>
    <w:rsid w:val="000F338A"/>
    <w:rsid w:val="000F3AC3"/>
    <w:rsid w:val="000F43B2"/>
    <w:rsid w:val="000F45D2"/>
    <w:rsid w:val="000F4DBB"/>
    <w:rsid w:val="000F6D04"/>
    <w:rsid w:val="000F70D5"/>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2C5F"/>
    <w:rsid w:val="001141DA"/>
    <w:rsid w:val="00116064"/>
    <w:rsid w:val="001172FE"/>
    <w:rsid w:val="00117FE1"/>
    <w:rsid w:val="00123BD3"/>
    <w:rsid w:val="00125F7A"/>
    <w:rsid w:val="0013006A"/>
    <w:rsid w:val="00130CF9"/>
    <w:rsid w:val="001310E0"/>
    <w:rsid w:val="00131794"/>
    <w:rsid w:val="0013208B"/>
    <w:rsid w:val="00132723"/>
    <w:rsid w:val="00132921"/>
    <w:rsid w:val="001329B3"/>
    <w:rsid w:val="00133E2C"/>
    <w:rsid w:val="0013410C"/>
    <w:rsid w:val="00135EAD"/>
    <w:rsid w:val="00136237"/>
    <w:rsid w:val="001367CD"/>
    <w:rsid w:val="00137EB8"/>
    <w:rsid w:val="0014512B"/>
    <w:rsid w:val="00145DAE"/>
    <w:rsid w:val="00146602"/>
    <w:rsid w:val="00147B68"/>
    <w:rsid w:val="0015084F"/>
    <w:rsid w:val="00152769"/>
    <w:rsid w:val="00152A80"/>
    <w:rsid w:val="001571E9"/>
    <w:rsid w:val="00157320"/>
    <w:rsid w:val="00160461"/>
    <w:rsid w:val="00161846"/>
    <w:rsid w:val="001636DA"/>
    <w:rsid w:val="001639B6"/>
    <w:rsid w:val="00163C69"/>
    <w:rsid w:val="00164169"/>
    <w:rsid w:val="001654BF"/>
    <w:rsid w:val="0016681A"/>
    <w:rsid w:val="00166B27"/>
    <w:rsid w:val="00170329"/>
    <w:rsid w:val="00170689"/>
    <w:rsid w:val="00170EB8"/>
    <w:rsid w:val="00171DC0"/>
    <w:rsid w:val="00173422"/>
    <w:rsid w:val="00173E50"/>
    <w:rsid w:val="00174982"/>
    <w:rsid w:val="00176BA8"/>
    <w:rsid w:val="001775F3"/>
    <w:rsid w:val="00180511"/>
    <w:rsid w:val="00181DFE"/>
    <w:rsid w:val="00184011"/>
    <w:rsid w:val="00184470"/>
    <w:rsid w:val="00185251"/>
    <w:rsid w:val="001878DD"/>
    <w:rsid w:val="0019149E"/>
    <w:rsid w:val="0019182F"/>
    <w:rsid w:val="00191C72"/>
    <w:rsid w:val="001925B3"/>
    <w:rsid w:val="0019580A"/>
    <w:rsid w:val="00195BEB"/>
    <w:rsid w:val="00197A23"/>
    <w:rsid w:val="001A20B0"/>
    <w:rsid w:val="001A21A7"/>
    <w:rsid w:val="001A3351"/>
    <w:rsid w:val="001A53A7"/>
    <w:rsid w:val="001A76B3"/>
    <w:rsid w:val="001A7DEF"/>
    <w:rsid w:val="001B0595"/>
    <w:rsid w:val="001B1685"/>
    <w:rsid w:val="001B1773"/>
    <w:rsid w:val="001B1962"/>
    <w:rsid w:val="001B2D25"/>
    <w:rsid w:val="001B4565"/>
    <w:rsid w:val="001B46D7"/>
    <w:rsid w:val="001B4BEC"/>
    <w:rsid w:val="001B7ABD"/>
    <w:rsid w:val="001B7B47"/>
    <w:rsid w:val="001C0151"/>
    <w:rsid w:val="001C0416"/>
    <w:rsid w:val="001C0AB4"/>
    <w:rsid w:val="001C18BD"/>
    <w:rsid w:val="001C1A82"/>
    <w:rsid w:val="001C260A"/>
    <w:rsid w:val="001C2D48"/>
    <w:rsid w:val="001C3106"/>
    <w:rsid w:val="001C3D5A"/>
    <w:rsid w:val="001C4634"/>
    <w:rsid w:val="001C6741"/>
    <w:rsid w:val="001C6812"/>
    <w:rsid w:val="001C7470"/>
    <w:rsid w:val="001C7D52"/>
    <w:rsid w:val="001D01BB"/>
    <w:rsid w:val="001D294E"/>
    <w:rsid w:val="001D3831"/>
    <w:rsid w:val="001D47BF"/>
    <w:rsid w:val="001D47F8"/>
    <w:rsid w:val="001D4CDC"/>
    <w:rsid w:val="001D4D40"/>
    <w:rsid w:val="001D4F2F"/>
    <w:rsid w:val="001D51D8"/>
    <w:rsid w:val="001D5CED"/>
    <w:rsid w:val="001D6393"/>
    <w:rsid w:val="001E0924"/>
    <w:rsid w:val="001E211E"/>
    <w:rsid w:val="001E25EF"/>
    <w:rsid w:val="001E26C8"/>
    <w:rsid w:val="001E3A31"/>
    <w:rsid w:val="001E43D7"/>
    <w:rsid w:val="001E534A"/>
    <w:rsid w:val="001E548A"/>
    <w:rsid w:val="001E578E"/>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57D0"/>
    <w:rsid w:val="002064A4"/>
    <w:rsid w:val="00210F2E"/>
    <w:rsid w:val="00211627"/>
    <w:rsid w:val="0021345A"/>
    <w:rsid w:val="00213AE6"/>
    <w:rsid w:val="00215D6D"/>
    <w:rsid w:val="00216C6A"/>
    <w:rsid w:val="00220258"/>
    <w:rsid w:val="00222530"/>
    <w:rsid w:val="0022259D"/>
    <w:rsid w:val="002228AF"/>
    <w:rsid w:val="0022301E"/>
    <w:rsid w:val="0022416D"/>
    <w:rsid w:val="00224BB3"/>
    <w:rsid w:val="00224D61"/>
    <w:rsid w:val="00224F14"/>
    <w:rsid w:val="00226D49"/>
    <w:rsid w:val="0022710C"/>
    <w:rsid w:val="002272EE"/>
    <w:rsid w:val="00227759"/>
    <w:rsid w:val="00227F55"/>
    <w:rsid w:val="00230F45"/>
    <w:rsid w:val="00233342"/>
    <w:rsid w:val="002335AB"/>
    <w:rsid w:val="002342E2"/>
    <w:rsid w:val="00234A60"/>
    <w:rsid w:val="00234B8D"/>
    <w:rsid w:val="00235E79"/>
    <w:rsid w:val="002360BC"/>
    <w:rsid w:val="00236AD4"/>
    <w:rsid w:val="00240F23"/>
    <w:rsid w:val="00241312"/>
    <w:rsid w:val="0024175E"/>
    <w:rsid w:val="002420F2"/>
    <w:rsid w:val="002442CE"/>
    <w:rsid w:val="00244D71"/>
    <w:rsid w:val="002455F0"/>
    <w:rsid w:val="0024599B"/>
    <w:rsid w:val="00246710"/>
    <w:rsid w:val="00246A7E"/>
    <w:rsid w:val="00247198"/>
    <w:rsid w:val="0025051F"/>
    <w:rsid w:val="00251151"/>
    <w:rsid w:val="00252A4E"/>
    <w:rsid w:val="0025319A"/>
    <w:rsid w:val="00253685"/>
    <w:rsid w:val="0025617C"/>
    <w:rsid w:val="0026050F"/>
    <w:rsid w:val="00260FB7"/>
    <w:rsid w:val="002621B0"/>
    <w:rsid w:val="002645FF"/>
    <w:rsid w:val="002648CF"/>
    <w:rsid w:val="00265FE7"/>
    <w:rsid w:val="00270940"/>
    <w:rsid w:val="002718D1"/>
    <w:rsid w:val="00273A61"/>
    <w:rsid w:val="00277A03"/>
    <w:rsid w:val="002820CF"/>
    <w:rsid w:val="002826D4"/>
    <w:rsid w:val="0028340E"/>
    <w:rsid w:val="00283764"/>
    <w:rsid w:val="00283AE9"/>
    <w:rsid w:val="00283C66"/>
    <w:rsid w:val="002847BB"/>
    <w:rsid w:val="00285782"/>
    <w:rsid w:val="00285A68"/>
    <w:rsid w:val="00286FA0"/>
    <w:rsid w:val="00287F94"/>
    <w:rsid w:val="002908C6"/>
    <w:rsid w:val="00290BEB"/>
    <w:rsid w:val="00291493"/>
    <w:rsid w:val="00291589"/>
    <w:rsid w:val="0029179D"/>
    <w:rsid w:val="002952B7"/>
    <w:rsid w:val="0029755D"/>
    <w:rsid w:val="002A0AD7"/>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2D05"/>
    <w:rsid w:val="002C4713"/>
    <w:rsid w:val="002C7DDE"/>
    <w:rsid w:val="002D241F"/>
    <w:rsid w:val="002D2C39"/>
    <w:rsid w:val="002D3E1A"/>
    <w:rsid w:val="002D5455"/>
    <w:rsid w:val="002D77BC"/>
    <w:rsid w:val="002E0316"/>
    <w:rsid w:val="002E0999"/>
    <w:rsid w:val="002E1E72"/>
    <w:rsid w:val="002E2569"/>
    <w:rsid w:val="002E4A75"/>
    <w:rsid w:val="002E5BAD"/>
    <w:rsid w:val="002E6047"/>
    <w:rsid w:val="002E6D1D"/>
    <w:rsid w:val="002E6EAA"/>
    <w:rsid w:val="002E79A8"/>
    <w:rsid w:val="002E7BEB"/>
    <w:rsid w:val="002F0614"/>
    <w:rsid w:val="002F077A"/>
    <w:rsid w:val="002F1026"/>
    <w:rsid w:val="002F10BE"/>
    <w:rsid w:val="002F13DA"/>
    <w:rsid w:val="002F15EB"/>
    <w:rsid w:val="002F3264"/>
    <w:rsid w:val="002F3CE0"/>
    <w:rsid w:val="002F55B3"/>
    <w:rsid w:val="002F6A76"/>
    <w:rsid w:val="003005BB"/>
    <w:rsid w:val="00303DE5"/>
    <w:rsid w:val="00304842"/>
    <w:rsid w:val="00307411"/>
    <w:rsid w:val="00310A18"/>
    <w:rsid w:val="00310FDB"/>
    <w:rsid w:val="00312370"/>
    <w:rsid w:val="00312F28"/>
    <w:rsid w:val="003132A5"/>
    <w:rsid w:val="00313941"/>
    <w:rsid w:val="00315197"/>
    <w:rsid w:val="00316194"/>
    <w:rsid w:val="003169B4"/>
    <w:rsid w:val="00316BE6"/>
    <w:rsid w:val="00317844"/>
    <w:rsid w:val="00317A6C"/>
    <w:rsid w:val="00317D89"/>
    <w:rsid w:val="0032024C"/>
    <w:rsid w:val="00320EA2"/>
    <w:rsid w:val="00321AC1"/>
    <w:rsid w:val="00321B0B"/>
    <w:rsid w:val="003224B7"/>
    <w:rsid w:val="00322A16"/>
    <w:rsid w:val="00322A21"/>
    <w:rsid w:val="0032350D"/>
    <w:rsid w:val="00323E74"/>
    <w:rsid w:val="00324A56"/>
    <w:rsid w:val="00324F21"/>
    <w:rsid w:val="003256A4"/>
    <w:rsid w:val="00326736"/>
    <w:rsid w:val="00330B87"/>
    <w:rsid w:val="00331160"/>
    <w:rsid w:val="00331168"/>
    <w:rsid w:val="0033211D"/>
    <w:rsid w:val="00333489"/>
    <w:rsid w:val="00342DB5"/>
    <w:rsid w:val="00343CEF"/>
    <w:rsid w:val="00344CB0"/>
    <w:rsid w:val="003467C8"/>
    <w:rsid w:val="00346DC8"/>
    <w:rsid w:val="00346F7E"/>
    <w:rsid w:val="00347C3C"/>
    <w:rsid w:val="0035079F"/>
    <w:rsid w:val="0035254D"/>
    <w:rsid w:val="003527C1"/>
    <w:rsid w:val="00352977"/>
    <w:rsid w:val="00352C25"/>
    <w:rsid w:val="003565B6"/>
    <w:rsid w:val="00356A66"/>
    <w:rsid w:val="00357418"/>
    <w:rsid w:val="00360B75"/>
    <w:rsid w:val="00361737"/>
    <w:rsid w:val="00362063"/>
    <w:rsid w:val="00362E26"/>
    <w:rsid w:val="00363496"/>
    <w:rsid w:val="00363F41"/>
    <w:rsid w:val="003648C7"/>
    <w:rsid w:val="00364B3F"/>
    <w:rsid w:val="00365D75"/>
    <w:rsid w:val="00366D56"/>
    <w:rsid w:val="00367871"/>
    <w:rsid w:val="00367DAD"/>
    <w:rsid w:val="0037342A"/>
    <w:rsid w:val="00373CC8"/>
    <w:rsid w:val="00374E24"/>
    <w:rsid w:val="00375E2A"/>
    <w:rsid w:val="00376609"/>
    <w:rsid w:val="00376A43"/>
    <w:rsid w:val="00382A0C"/>
    <w:rsid w:val="00382DEE"/>
    <w:rsid w:val="0038330C"/>
    <w:rsid w:val="003856DC"/>
    <w:rsid w:val="003901B8"/>
    <w:rsid w:val="003917CC"/>
    <w:rsid w:val="003943BE"/>
    <w:rsid w:val="0039483E"/>
    <w:rsid w:val="003A1D0D"/>
    <w:rsid w:val="003A2A0A"/>
    <w:rsid w:val="003A38FB"/>
    <w:rsid w:val="003A41A0"/>
    <w:rsid w:val="003A6BEF"/>
    <w:rsid w:val="003A7DCB"/>
    <w:rsid w:val="003B04B9"/>
    <w:rsid w:val="003B0A8F"/>
    <w:rsid w:val="003B153D"/>
    <w:rsid w:val="003B403B"/>
    <w:rsid w:val="003B4D4F"/>
    <w:rsid w:val="003C0DBC"/>
    <w:rsid w:val="003C255F"/>
    <w:rsid w:val="003C2B04"/>
    <w:rsid w:val="003C321D"/>
    <w:rsid w:val="003C4ACC"/>
    <w:rsid w:val="003C5631"/>
    <w:rsid w:val="003C6159"/>
    <w:rsid w:val="003C68C2"/>
    <w:rsid w:val="003C6CE9"/>
    <w:rsid w:val="003D06CD"/>
    <w:rsid w:val="003D0C03"/>
    <w:rsid w:val="003D1457"/>
    <w:rsid w:val="003D21D1"/>
    <w:rsid w:val="003D23D5"/>
    <w:rsid w:val="003D29E8"/>
    <w:rsid w:val="003D2F77"/>
    <w:rsid w:val="003D3498"/>
    <w:rsid w:val="003D39AA"/>
    <w:rsid w:val="003D598C"/>
    <w:rsid w:val="003D7167"/>
    <w:rsid w:val="003D7919"/>
    <w:rsid w:val="003D7B2A"/>
    <w:rsid w:val="003E06E5"/>
    <w:rsid w:val="003E133B"/>
    <w:rsid w:val="003E4B7A"/>
    <w:rsid w:val="003E5AAE"/>
    <w:rsid w:val="003E5D61"/>
    <w:rsid w:val="003E7E56"/>
    <w:rsid w:val="003E7FC0"/>
    <w:rsid w:val="003F0A11"/>
    <w:rsid w:val="003F36DC"/>
    <w:rsid w:val="003F5140"/>
    <w:rsid w:val="003F5429"/>
    <w:rsid w:val="003F5CEB"/>
    <w:rsid w:val="003F5FAB"/>
    <w:rsid w:val="003F639F"/>
    <w:rsid w:val="003F6664"/>
    <w:rsid w:val="003F72BB"/>
    <w:rsid w:val="004010FC"/>
    <w:rsid w:val="00401C79"/>
    <w:rsid w:val="00402990"/>
    <w:rsid w:val="00402C51"/>
    <w:rsid w:val="00403FAB"/>
    <w:rsid w:val="00404886"/>
    <w:rsid w:val="0040643E"/>
    <w:rsid w:val="004064AA"/>
    <w:rsid w:val="004107A2"/>
    <w:rsid w:val="00411286"/>
    <w:rsid w:val="004113CD"/>
    <w:rsid w:val="00412ADF"/>
    <w:rsid w:val="00412B2A"/>
    <w:rsid w:val="00414BB8"/>
    <w:rsid w:val="00415248"/>
    <w:rsid w:val="00415988"/>
    <w:rsid w:val="00416CCA"/>
    <w:rsid w:val="00417612"/>
    <w:rsid w:val="0042183D"/>
    <w:rsid w:val="0042383B"/>
    <w:rsid w:val="0042385C"/>
    <w:rsid w:val="0042409F"/>
    <w:rsid w:val="00424862"/>
    <w:rsid w:val="00424DDE"/>
    <w:rsid w:val="00424F93"/>
    <w:rsid w:val="004252C1"/>
    <w:rsid w:val="0042541E"/>
    <w:rsid w:val="00426E66"/>
    <w:rsid w:val="00427079"/>
    <w:rsid w:val="004306A8"/>
    <w:rsid w:val="00430EDC"/>
    <w:rsid w:val="00431D3F"/>
    <w:rsid w:val="00432AC2"/>
    <w:rsid w:val="0043515D"/>
    <w:rsid w:val="00436FD0"/>
    <w:rsid w:val="00437513"/>
    <w:rsid w:val="00441783"/>
    <w:rsid w:val="004420DA"/>
    <w:rsid w:val="0044210C"/>
    <w:rsid w:val="00442F43"/>
    <w:rsid w:val="004442F2"/>
    <w:rsid w:val="004446C0"/>
    <w:rsid w:val="00444707"/>
    <w:rsid w:val="004447EE"/>
    <w:rsid w:val="004455F6"/>
    <w:rsid w:val="00445751"/>
    <w:rsid w:val="004468C2"/>
    <w:rsid w:val="00446B8D"/>
    <w:rsid w:val="00450C44"/>
    <w:rsid w:val="004510D4"/>
    <w:rsid w:val="00452F64"/>
    <w:rsid w:val="00454B32"/>
    <w:rsid w:val="0045571A"/>
    <w:rsid w:val="00456E33"/>
    <w:rsid w:val="00457113"/>
    <w:rsid w:val="004600ED"/>
    <w:rsid w:val="004604F2"/>
    <w:rsid w:val="004620CA"/>
    <w:rsid w:val="00463285"/>
    <w:rsid w:val="00465846"/>
    <w:rsid w:val="00465EE1"/>
    <w:rsid w:val="00466349"/>
    <w:rsid w:val="00466B43"/>
    <w:rsid w:val="00466C28"/>
    <w:rsid w:val="00470E22"/>
    <w:rsid w:val="0047235E"/>
    <w:rsid w:val="00472D33"/>
    <w:rsid w:val="00475BA6"/>
    <w:rsid w:val="004763A0"/>
    <w:rsid w:val="00476FB1"/>
    <w:rsid w:val="00477C3B"/>
    <w:rsid w:val="00477D70"/>
    <w:rsid w:val="00481574"/>
    <w:rsid w:val="004831CC"/>
    <w:rsid w:val="004844B1"/>
    <w:rsid w:val="00485567"/>
    <w:rsid w:val="004855BE"/>
    <w:rsid w:val="00486860"/>
    <w:rsid w:val="00490B00"/>
    <w:rsid w:val="004916AD"/>
    <w:rsid w:val="00491CC3"/>
    <w:rsid w:val="00491ED9"/>
    <w:rsid w:val="00492537"/>
    <w:rsid w:val="004930BF"/>
    <w:rsid w:val="00493800"/>
    <w:rsid w:val="00495623"/>
    <w:rsid w:val="00496F19"/>
    <w:rsid w:val="0049718B"/>
    <w:rsid w:val="004A0C7A"/>
    <w:rsid w:val="004A212B"/>
    <w:rsid w:val="004A2646"/>
    <w:rsid w:val="004A27BC"/>
    <w:rsid w:val="004A284B"/>
    <w:rsid w:val="004A2961"/>
    <w:rsid w:val="004A2CDE"/>
    <w:rsid w:val="004A3ABF"/>
    <w:rsid w:val="004A4B8D"/>
    <w:rsid w:val="004A5B46"/>
    <w:rsid w:val="004A6B13"/>
    <w:rsid w:val="004B0167"/>
    <w:rsid w:val="004B3891"/>
    <w:rsid w:val="004B623F"/>
    <w:rsid w:val="004B710E"/>
    <w:rsid w:val="004B7222"/>
    <w:rsid w:val="004C17A6"/>
    <w:rsid w:val="004C1AF0"/>
    <w:rsid w:val="004C2FD5"/>
    <w:rsid w:val="004C43EA"/>
    <w:rsid w:val="004C4445"/>
    <w:rsid w:val="004C53AD"/>
    <w:rsid w:val="004C6291"/>
    <w:rsid w:val="004C65F0"/>
    <w:rsid w:val="004C680C"/>
    <w:rsid w:val="004C6EC4"/>
    <w:rsid w:val="004C7205"/>
    <w:rsid w:val="004C7BE7"/>
    <w:rsid w:val="004D0275"/>
    <w:rsid w:val="004D2347"/>
    <w:rsid w:val="004D2A63"/>
    <w:rsid w:val="004D2DDE"/>
    <w:rsid w:val="004D34A9"/>
    <w:rsid w:val="004D59E6"/>
    <w:rsid w:val="004D5E8D"/>
    <w:rsid w:val="004D6404"/>
    <w:rsid w:val="004D6A44"/>
    <w:rsid w:val="004E1414"/>
    <w:rsid w:val="004E336F"/>
    <w:rsid w:val="004E3CB0"/>
    <w:rsid w:val="004E46C3"/>
    <w:rsid w:val="004E5457"/>
    <w:rsid w:val="004E5A83"/>
    <w:rsid w:val="004E5EE9"/>
    <w:rsid w:val="004E6670"/>
    <w:rsid w:val="004E7F0A"/>
    <w:rsid w:val="004F05F2"/>
    <w:rsid w:val="004F106A"/>
    <w:rsid w:val="004F1136"/>
    <w:rsid w:val="004F1426"/>
    <w:rsid w:val="004F20DA"/>
    <w:rsid w:val="004F3C8A"/>
    <w:rsid w:val="004F4CDB"/>
    <w:rsid w:val="004F4FDD"/>
    <w:rsid w:val="004F6CF4"/>
    <w:rsid w:val="0050085E"/>
    <w:rsid w:val="005016D0"/>
    <w:rsid w:val="00501DE1"/>
    <w:rsid w:val="005024CE"/>
    <w:rsid w:val="00502BAA"/>
    <w:rsid w:val="00503564"/>
    <w:rsid w:val="00504949"/>
    <w:rsid w:val="00504A7B"/>
    <w:rsid w:val="0050520E"/>
    <w:rsid w:val="00506171"/>
    <w:rsid w:val="005062F5"/>
    <w:rsid w:val="00507F0B"/>
    <w:rsid w:val="00510C48"/>
    <w:rsid w:val="005119F4"/>
    <w:rsid w:val="00511DDD"/>
    <w:rsid w:val="0051205E"/>
    <w:rsid w:val="00512927"/>
    <w:rsid w:val="00512F2D"/>
    <w:rsid w:val="00513479"/>
    <w:rsid w:val="00515993"/>
    <w:rsid w:val="00516BD7"/>
    <w:rsid w:val="00517F46"/>
    <w:rsid w:val="00520209"/>
    <w:rsid w:val="0052076B"/>
    <w:rsid w:val="0052094F"/>
    <w:rsid w:val="00520A33"/>
    <w:rsid w:val="00524059"/>
    <w:rsid w:val="00525B6F"/>
    <w:rsid w:val="00525F4D"/>
    <w:rsid w:val="005263EC"/>
    <w:rsid w:val="00526DFC"/>
    <w:rsid w:val="00527EB0"/>
    <w:rsid w:val="005303CA"/>
    <w:rsid w:val="00530DF8"/>
    <w:rsid w:val="00531CA7"/>
    <w:rsid w:val="005324A6"/>
    <w:rsid w:val="00533C16"/>
    <w:rsid w:val="005346D7"/>
    <w:rsid w:val="00535D3D"/>
    <w:rsid w:val="00536768"/>
    <w:rsid w:val="005372F7"/>
    <w:rsid w:val="00537322"/>
    <w:rsid w:val="005410EC"/>
    <w:rsid w:val="005420ED"/>
    <w:rsid w:val="00542227"/>
    <w:rsid w:val="005424B5"/>
    <w:rsid w:val="00542CEE"/>
    <w:rsid w:val="00546097"/>
    <w:rsid w:val="00546B65"/>
    <w:rsid w:val="00546FB4"/>
    <w:rsid w:val="005519F6"/>
    <w:rsid w:val="00552A7B"/>
    <w:rsid w:val="00552BE0"/>
    <w:rsid w:val="005544CE"/>
    <w:rsid w:val="00554865"/>
    <w:rsid w:val="00555A2A"/>
    <w:rsid w:val="0055616B"/>
    <w:rsid w:val="005562E8"/>
    <w:rsid w:val="00556D62"/>
    <w:rsid w:val="005579ED"/>
    <w:rsid w:val="00557B2D"/>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0A87"/>
    <w:rsid w:val="005810DF"/>
    <w:rsid w:val="00583101"/>
    <w:rsid w:val="005836B3"/>
    <w:rsid w:val="005836D3"/>
    <w:rsid w:val="00584D72"/>
    <w:rsid w:val="00585E4C"/>
    <w:rsid w:val="00586047"/>
    <w:rsid w:val="0058662D"/>
    <w:rsid w:val="005900C3"/>
    <w:rsid w:val="00590A21"/>
    <w:rsid w:val="005932EC"/>
    <w:rsid w:val="005966D8"/>
    <w:rsid w:val="0059769C"/>
    <w:rsid w:val="005A0F75"/>
    <w:rsid w:val="005A129A"/>
    <w:rsid w:val="005A35B4"/>
    <w:rsid w:val="005A422E"/>
    <w:rsid w:val="005A6EFD"/>
    <w:rsid w:val="005A7235"/>
    <w:rsid w:val="005A7BA6"/>
    <w:rsid w:val="005B00CE"/>
    <w:rsid w:val="005B499E"/>
    <w:rsid w:val="005B6A8D"/>
    <w:rsid w:val="005C195D"/>
    <w:rsid w:val="005C1B63"/>
    <w:rsid w:val="005C2031"/>
    <w:rsid w:val="005C254F"/>
    <w:rsid w:val="005D0ACB"/>
    <w:rsid w:val="005D140B"/>
    <w:rsid w:val="005D1C36"/>
    <w:rsid w:val="005D1F2E"/>
    <w:rsid w:val="005D252F"/>
    <w:rsid w:val="005D2654"/>
    <w:rsid w:val="005D2E6F"/>
    <w:rsid w:val="005D5624"/>
    <w:rsid w:val="005D5865"/>
    <w:rsid w:val="005D5F1D"/>
    <w:rsid w:val="005E03A2"/>
    <w:rsid w:val="005E156C"/>
    <w:rsid w:val="005E1B91"/>
    <w:rsid w:val="005E358F"/>
    <w:rsid w:val="005E35C4"/>
    <w:rsid w:val="005E4A7B"/>
    <w:rsid w:val="005E588F"/>
    <w:rsid w:val="005E5BEC"/>
    <w:rsid w:val="005E5D2D"/>
    <w:rsid w:val="005E6FAB"/>
    <w:rsid w:val="005F1234"/>
    <w:rsid w:val="005F13AA"/>
    <w:rsid w:val="005F2EAE"/>
    <w:rsid w:val="005F484B"/>
    <w:rsid w:val="00600D29"/>
    <w:rsid w:val="00601B3B"/>
    <w:rsid w:val="00601C06"/>
    <w:rsid w:val="00602636"/>
    <w:rsid w:val="006036CD"/>
    <w:rsid w:val="00603CAA"/>
    <w:rsid w:val="00603CC1"/>
    <w:rsid w:val="0060451D"/>
    <w:rsid w:val="00604681"/>
    <w:rsid w:val="00604D35"/>
    <w:rsid w:val="0060549C"/>
    <w:rsid w:val="006071E2"/>
    <w:rsid w:val="0060750F"/>
    <w:rsid w:val="006079C2"/>
    <w:rsid w:val="00611419"/>
    <w:rsid w:val="00611426"/>
    <w:rsid w:val="006124E6"/>
    <w:rsid w:val="00612A2B"/>
    <w:rsid w:val="00613362"/>
    <w:rsid w:val="0061424A"/>
    <w:rsid w:val="006150A3"/>
    <w:rsid w:val="0061515C"/>
    <w:rsid w:val="006161DD"/>
    <w:rsid w:val="0061689C"/>
    <w:rsid w:val="0062042E"/>
    <w:rsid w:val="0062045C"/>
    <w:rsid w:val="006210DF"/>
    <w:rsid w:val="0062163B"/>
    <w:rsid w:val="00622434"/>
    <w:rsid w:val="00622500"/>
    <w:rsid w:val="00622738"/>
    <w:rsid w:val="00623817"/>
    <w:rsid w:val="00624119"/>
    <w:rsid w:val="00624BE7"/>
    <w:rsid w:val="0062570F"/>
    <w:rsid w:val="006262C0"/>
    <w:rsid w:val="006265ED"/>
    <w:rsid w:val="0062737C"/>
    <w:rsid w:val="00627768"/>
    <w:rsid w:val="00630619"/>
    <w:rsid w:val="00635E63"/>
    <w:rsid w:val="006364B9"/>
    <w:rsid w:val="00637244"/>
    <w:rsid w:val="00640646"/>
    <w:rsid w:val="006406C5"/>
    <w:rsid w:val="00640DB6"/>
    <w:rsid w:val="00642467"/>
    <w:rsid w:val="00642D76"/>
    <w:rsid w:val="00643FF8"/>
    <w:rsid w:val="006449F9"/>
    <w:rsid w:val="00644EBE"/>
    <w:rsid w:val="00645B0D"/>
    <w:rsid w:val="00651606"/>
    <w:rsid w:val="0065161C"/>
    <w:rsid w:val="00651A41"/>
    <w:rsid w:val="00652B35"/>
    <w:rsid w:val="00652EE5"/>
    <w:rsid w:val="00653639"/>
    <w:rsid w:val="0065454C"/>
    <w:rsid w:val="00654EF7"/>
    <w:rsid w:val="00660027"/>
    <w:rsid w:val="0066084A"/>
    <w:rsid w:val="00660B98"/>
    <w:rsid w:val="006648EA"/>
    <w:rsid w:val="00665EAF"/>
    <w:rsid w:val="00666566"/>
    <w:rsid w:val="00666B89"/>
    <w:rsid w:val="00666D5A"/>
    <w:rsid w:val="00667C0D"/>
    <w:rsid w:val="00670897"/>
    <w:rsid w:val="00672A20"/>
    <w:rsid w:val="006737EC"/>
    <w:rsid w:val="006739CE"/>
    <w:rsid w:val="00674CA9"/>
    <w:rsid w:val="0068302D"/>
    <w:rsid w:val="0068304A"/>
    <w:rsid w:val="00683207"/>
    <w:rsid w:val="00686D59"/>
    <w:rsid w:val="00687254"/>
    <w:rsid w:val="00687583"/>
    <w:rsid w:val="00691828"/>
    <w:rsid w:val="00691A07"/>
    <w:rsid w:val="00692B88"/>
    <w:rsid w:val="00693D40"/>
    <w:rsid w:val="00694FA6"/>
    <w:rsid w:val="00696781"/>
    <w:rsid w:val="006971C6"/>
    <w:rsid w:val="00697598"/>
    <w:rsid w:val="006A003D"/>
    <w:rsid w:val="006A01ED"/>
    <w:rsid w:val="006A173F"/>
    <w:rsid w:val="006A1AC5"/>
    <w:rsid w:val="006A231D"/>
    <w:rsid w:val="006A29EB"/>
    <w:rsid w:val="006A60E1"/>
    <w:rsid w:val="006A6EDB"/>
    <w:rsid w:val="006B0EE0"/>
    <w:rsid w:val="006B102F"/>
    <w:rsid w:val="006B15F9"/>
    <w:rsid w:val="006B18D6"/>
    <w:rsid w:val="006B20E9"/>
    <w:rsid w:val="006B2749"/>
    <w:rsid w:val="006B30E8"/>
    <w:rsid w:val="006B3F08"/>
    <w:rsid w:val="006B4157"/>
    <w:rsid w:val="006B42B0"/>
    <w:rsid w:val="006B490F"/>
    <w:rsid w:val="006B57A3"/>
    <w:rsid w:val="006B58DB"/>
    <w:rsid w:val="006B6448"/>
    <w:rsid w:val="006B6B7D"/>
    <w:rsid w:val="006B738C"/>
    <w:rsid w:val="006B770D"/>
    <w:rsid w:val="006C1677"/>
    <w:rsid w:val="006C26ED"/>
    <w:rsid w:val="006C379D"/>
    <w:rsid w:val="006C4CAA"/>
    <w:rsid w:val="006C68A7"/>
    <w:rsid w:val="006C7309"/>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59CA"/>
    <w:rsid w:val="006E6819"/>
    <w:rsid w:val="006E6A2C"/>
    <w:rsid w:val="006E6C7E"/>
    <w:rsid w:val="006E7D37"/>
    <w:rsid w:val="006F152E"/>
    <w:rsid w:val="006F1F1D"/>
    <w:rsid w:val="006F36DC"/>
    <w:rsid w:val="006F4312"/>
    <w:rsid w:val="006F4946"/>
    <w:rsid w:val="00700983"/>
    <w:rsid w:val="007020F8"/>
    <w:rsid w:val="007029CB"/>
    <w:rsid w:val="00702E91"/>
    <w:rsid w:val="00702F36"/>
    <w:rsid w:val="007034DF"/>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3D3D"/>
    <w:rsid w:val="00724442"/>
    <w:rsid w:val="00724815"/>
    <w:rsid w:val="00726EFA"/>
    <w:rsid w:val="007279D9"/>
    <w:rsid w:val="00732759"/>
    <w:rsid w:val="00732A40"/>
    <w:rsid w:val="00735197"/>
    <w:rsid w:val="00735C37"/>
    <w:rsid w:val="0073767D"/>
    <w:rsid w:val="0074077E"/>
    <w:rsid w:val="00741CD7"/>
    <w:rsid w:val="007422BE"/>
    <w:rsid w:val="00742631"/>
    <w:rsid w:val="00742DE0"/>
    <w:rsid w:val="007431CC"/>
    <w:rsid w:val="00743A10"/>
    <w:rsid w:val="00743BAD"/>
    <w:rsid w:val="00745A5F"/>
    <w:rsid w:val="00746458"/>
    <w:rsid w:val="00746BCA"/>
    <w:rsid w:val="00746F8F"/>
    <w:rsid w:val="00747678"/>
    <w:rsid w:val="00750796"/>
    <w:rsid w:val="007529E7"/>
    <w:rsid w:val="007534F8"/>
    <w:rsid w:val="0075404F"/>
    <w:rsid w:val="007558ED"/>
    <w:rsid w:val="007560F1"/>
    <w:rsid w:val="00756A28"/>
    <w:rsid w:val="007575FA"/>
    <w:rsid w:val="00762228"/>
    <w:rsid w:val="00762490"/>
    <w:rsid w:val="00762929"/>
    <w:rsid w:val="00762A6A"/>
    <w:rsid w:val="00762B4F"/>
    <w:rsid w:val="00763E34"/>
    <w:rsid w:val="00764EF9"/>
    <w:rsid w:val="00770A34"/>
    <w:rsid w:val="00770FC4"/>
    <w:rsid w:val="007711BC"/>
    <w:rsid w:val="007713C7"/>
    <w:rsid w:val="00772C87"/>
    <w:rsid w:val="00772D61"/>
    <w:rsid w:val="00774E4B"/>
    <w:rsid w:val="00775025"/>
    <w:rsid w:val="00776C0D"/>
    <w:rsid w:val="00777315"/>
    <w:rsid w:val="0077747C"/>
    <w:rsid w:val="00780787"/>
    <w:rsid w:val="007837C6"/>
    <w:rsid w:val="007838DA"/>
    <w:rsid w:val="0078463B"/>
    <w:rsid w:val="00784740"/>
    <w:rsid w:val="007853D4"/>
    <w:rsid w:val="00785E10"/>
    <w:rsid w:val="007860F8"/>
    <w:rsid w:val="00786880"/>
    <w:rsid w:val="00786A5B"/>
    <w:rsid w:val="00787B44"/>
    <w:rsid w:val="00791DFE"/>
    <w:rsid w:val="007927B8"/>
    <w:rsid w:val="007937AD"/>
    <w:rsid w:val="00794978"/>
    <w:rsid w:val="00796ED4"/>
    <w:rsid w:val="007975D8"/>
    <w:rsid w:val="007A0115"/>
    <w:rsid w:val="007A2883"/>
    <w:rsid w:val="007A3403"/>
    <w:rsid w:val="007A3539"/>
    <w:rsid w:val="007A3C78"/>
    <w:rsid w:val="007A4ADE"/>
    <w:rsid w:val="007A5160"/>
    <w:rsid w:val="007A5180"/>
    <w:rsid w:val="007A597B"/>
    <w:rsid w:val="007A5A6C"/>
    <w:rsid w:val="007A5EE5"/>
    <w:rsid w:val="007A65E1"/>
    <w:rsid w:val="007A7543"/>
    <w:rsid w:val="007B00E3"/>
    <w:rsid w:val="007B14AA"/>
    <w:rsid w:val="007B22C1"/>
    <w:rsid w:val="007B2A30"/>
    <w:rsid w:val="007B41DD"/>
    <w:rsid w:val="007B5199"/>
    <w:rsid w:val="007B633F"/>
    <w:rsid w:val="007B74AA"/>
    <w:rsid w:val="007C285F"/>
    <w:rsid w:val="007C3A41"/>
    <w:rsid w:val="007C64E1"/>
    <w:rsid w:val="007C6D67"/>
    <w:rsid w:val="007C7191"/>
    <w:rsid w:val="007C7392"/>
    <w:rsid w:val="007C77E1"/>
    <w:rsid w:val="007C799D"/>
    <w:rsid w:val="007D1451"/>
    <w:rsid w:val="007D1B8B"/>
    <w:rsid w:val="007D2823"/>
    <w:rsid w:val="007D2824"/>
    <w:rsid w:val="007D3C4B"/>
    <w:rsid w:val="007D4381"/>
    <w:rsid w:val="007D47D8"/>
    <w:rsid w:val="007D58A8"/>
    <w:rsid w:val="007E0597"/>
    <w:rsid w:val="007E0985"/>
    <w:rsid w:val="007E1BD7"/>
    <w:rsid w:val="007E1DEB"/>
    <w:rsid w:val="007E233E"/>
    <w:rsid w:val="007E2512"/>
    <w:rsid w:val="007E2E4D"/>
    <w:rsid w:val="007E403E"/>
    <w:rsid w:val="007E4B86"/>
    <w:rsid w:val="007E6E0D"/>
    <w:rsid w:val="007F1289"/>
    <w:rsid w:val="007F1FD4"/>
    <w:rsid w:val="007F246C"/>
    <w:rsid w:val="007F2944"/>
    <w:rsid w:val="007F2A90"/>
    <w:rsid w:val="007F5265"/>
    <w:rsid w:val="007F60B7"/>
    <w:rsid w:val="007F7757"/>
    <w:rsid w:val="0080187D"/>
    <w:rsid w:val="00802495"/>
    <w:rsid w:val="0080293D"/>
    <w:rsid w:val="00803457"/>
    <w:rsid w:val="008042DB"/>
    <w:rsid w:val="00806D50"/>
    <w:rsid w:val="00806E15"/>
    <w:rsid w:val="008078E0"/>
    <w:rsid w:val="00807B4F"/>
    <w:rsid w:val="00810C02"/>
    <w:rsid w:val="00811D22"/>
    <w:rsid w:val="00811FC2"/>
    <w:rsid w:val="008144DD"/>
    <w:rsid w:val="0081485B"/>
    <w:rsid w:val="00815A4C"/>
    <w:rsid w:val="00816010"/>
    <w:rsid w:val="008201BE"/>
    <w:rsid w:val="008202C9"/>
    <w:rsid w:val="00820587"/>
    <w:rsid w:val="008208CD"/>
    <w:rsid w:val="008219AA"/>
    <w:rsid w:val="008240E3"/>
    <w:rsid w:val="008241FD"/>
    <w:rsid w:val="00824837"/>
    <w:rsid w:val="00827596"/>
    <w:rsid w:val="0082798D"/>
    <w:rsid w:val="00830D65"/>
    <w:rsid w:val="00830F44"/>
    <w:rsid w:val="008310D5"/>
    <w:rsid w:val="008316D7"/>
    <w:rsid w:val="00831944"/>
    <w:rsid w:val="00831B47"/>
    <w:rsid w:val="00833641"/>
    <w:rsid w:val="008343F1"/>
    <w:rsid w:val="0083599A"/>
    <w:rsid w:val="00835D03"/>
    <w:rsid w:val="008366EC"/>
    <w:rsid w:val="00836EBB"/>
    <w:rsid w:val="00840936"/>
    <w:rsid w:val="00840AE4"/>
    <w:rsid w:val="0084105B"/>
    <w:rsid w:val="008416DF"/>
    <w:rsid w:val="00841B06"/>
    <w:rsid w:val="008443B3"/>
    <w:rsid w:val="008444CB"/>
    <w:rsid w:val="00846433"/>
    <w:rsid w:val="0084668A"/>
    <w:rsid w:val="00850DF4"/>
    <w:rsid w:val="008510C7"/>
    <w:rsid w:val="0085150A"/>
    <w:rsid w:val="0085160F"/>
    <w:rsid w:val="00851BE7"/>
    <w:rsid w:val="008523A4"/>
    <w:rsid w:val="00852607"/>
    <w:rsid w:val="00853096"/>
    <w:rsid w:val="0085327B"/>
    <w:rsid w:val="008534BC"/>
    <w:rsid w:val="00853B1E"/>
    <w:rsid w:val="00853EDF"/>
    <w:rsid w:val="00854AAE"/>
    <w:rsid w:val="00856CDB"/>
    <w:rsid w:val="00860243"/>
    <w:rsid w:val="008619A4"/>
    <w:rsid w:val="00862ACA"/>
    <w:rsid w:val="00863B5C"/>
    <w:rsid w:val="00863E35"/>
    <w:rsid w:val="0086480C"/>
    <w:rsid w:val="0086680C"/>
    <w:rsid w:val="00866A4F"/>
    <w:rsid w:val="00866F44"/>
    <w:rsid w:val="00870F86"/>
    <w:rsid w:val="0087232E"/>
    <w:rsid w:val="00873EFF"/>
    <w:rsid w:val="008749E8"/>
    <w:rsid w:val="00876774"/>
    <w:rsid w:val="00876C6F"/>
    <w:rsid w:val="00876EED"/>
    <w:rsid w:val="008803DA"/>
    <w:rsid w:val="00881794"/>
    <w:rsid w:val="00881942"/>
    <w:rsid w:val="00881CAD"/>
    <w:rsid w:val="00883A58"/>
    <w:rsid w:val="00885B8F"/>
    <w:rsid w:val="00885FE0"/>
    <w:rsid w:val="0089174A"/>
    <w:rsid w:val="00892E2A"/>
    <w:rsid w:val="0089326A"/>
    <w:rsid w:val="0089358E"/>
    <w:rsid w:val="00893F67"/>
    <w:rsid w:val="00895E6F"/>
    <w:rsid w:val="00896BAA"/>
    <w:rsid w:val="00897168"/>
    <w:rsid w:val="008974FC"/>
    <w:rsid w:val="008A0297"/>
    <w:rsid w:val="008A034D"/>
    <w:rsid w:val="008A0A5C"/>
    <w:rsid w:val="008A1004"/>
    <w:rsid w:val="008A15C2"/>
    <w:rsid w:val="008A1737"/>
    <w:rsid w:val="008A2F96"/>
    <w:rsid w:val="008A34CB"/>
    <w:rsid w:val="008A431A"/>
    <w:rsid w:val="008A474D"/>
    <w:rsid w:val="008A60AA"/>
    <w:rsid w:val="008A6835"/>
    <w:rsid w:val="008A6A1C"/>
    <w:rsid w:val="008B0300"/>
    <w:rsid w:val="008B170E"/>
    <w:rsid w:val="008B216C"/>
    <w:rsid w:val="008B37A1"/>
    <w:rsid w:val="008B423B"/>
    <w:rsid w:val="008B4625"/>
    <w:rsid w:val="008B467F"/>
    <w:rsid w:val="008B4FA8"/>
    <w:rsid w:val="008B561F"/>
    <w:rsid w:val="008B57B0"/>
    <w:rsid w:val="008B59DD"/>
    <w:rsid w:val="008B5A04"/>
    <w:rsid w:val="008B6A08"/>
    <w:rsid w:val="008C06CB"/>
    <w:rsid w:val="008C0C83"/>
    <w:rsid w:val="008C582D"/>
    <w:rsid w:val="008C6A5F"/>
    <w:rsid w:val="008C7F35"/>
    <w:rsid w:val="008D2A1E"/>
    <w:rsid w:val="008D2CA0"/>
    <w:rsid w:val="008D3B33"/>
    <w:rsid w:val="008D4703"/>
    <w:rsid w:val="008D6556"/>
    <w:rsid w:val="008D659E"/>
    <w:rsid w:val="008D6656"/>
    <w:rsid w:val="008D6BE1"/>
    <w:rsid w:val="008E2B3A"/>
    <w:rsid w:val="008E3EF5"/>
    <w:rsid w:val="008E4DC6"/>
    <w:rsid w:val="008E4EDE"/>
    <w:rsid w:val="008E5DFF"/>
    <w:rsid w:val="008E623E"/>
    <w:rsid w:val="008E6B14"/>
    <w:rsid w:val="008E6FC3"/>
    <w:rsid w:val="008F0A00"/>
    <w:rsid w:val="008F0EEB"/>
    <w:rsid w:val="008F1F04"/>
    <w:rsid w:val="008F2C24"/>
    <w:rsid w:val="008F2E85"/>
    <w:rsid w:val="008F3532"/>
    <w:rsid w:val="008F48A5"/>
    <w:rsid w:val="008F495E"/>
    <w:rsid w:val="008F4B28"/>
    <w:rsid w:val="008F58FB"/>
    <w:rsid w:val="008F5FAF"/>
    <w:rsid w:val="008F74C2"/>
    <w:rsid w:val="008F7CEE"/>
    <w:rsid w:val="0090010D"/>
    <w:rsid w:val="00900E6F"/>
    <w:rsid w:val="00901C53"/>
    <w:rsid w:val="00902767"/>
    <w:rsid w:val="00902BB7"/>
    <w:rsid w:val="009048BF"/>
    <w:rsid w:val="00911E06"/>
    <w:rsid w:val="009124E7"/>
    <w:rsid w:val="00912F15"/>
    <w:rsid w:val="00916658"/>
    <w:rsid w:val="00916674"/>
    <w:rsid w:val="00916D23"/>
    <w:rsid w:val="0091768B"/>
    <w:rsid w:val="00920648"/>
    <w:rsid w:val="00922AA7"/>
    <w:rsid w:val="00922C6F"/>
    <w:rsid w:val="00922D6B"/>
    <w:rsid w:val="00923068"/>
    <w:rsid w:val="00923155"/>
    <w:rsid w:val="009248A0"/>
    <w:rsid w:val="00925391"/>
    <w:rsid w:val="009254E0"/>
    <w:rsid w:val="00925CEA"/>
    <w:rsid w:val="00927A0F"/>
    <w:rsid w:val="00927A30"/>
    <w:rsid w:val="00927DC6"/>
    <w:rsid w:val="00930533"/>
    <w:rsid w:val="00930550"/>
    <w:rsid w:val="00931E9D"/>
    <w:rsid w:val="00932360"/>
    <w:rsid w:val="009328B3"/>
    <w:rsid w:val="00933BD8"/>
    <w:rsid w:val="00936A54"/>
    <w:rsid w:val="00936CD7"/>
    <w:rsid w:val="00937543"/>
    <w:rsid w:val="00937AC9"/>
    <w:rsid w:val="00940B0E"/>
    <w:rsid w:val="00940F81"/>
    <w:rsid w:val="00941552"/>
    <w:rsid w:val="00942B82"/>
    <w:rsid w:val="00943C5A"/>
    <w:rsid w:val="00944273"/>
    <w:rsid w:val="00944C1D"/>
    <w:rsid w:val="00945D12"/>
    <w:rsid w:val="00946349"/>
    <w:rsid w:val="009463DF"/>
    <w:rsid w:val="00946C58"/>
    <w:rsid w:val="0094709A"/>
    <w:rsid w:val="0095089C"/>
    <w:rsid w:val="0095227C"/>
    <w:rsid w:val="009523A7"/>
    <w:rsid w:val="009523F2"/>
    <w:rsid w:val="00953FB7"/>
    <w:rsid w:val="00954053"/>
    <w:rsid w:val="009551C5"/>
    <w:rsid w:val="00955F36"/>
    <w:rsid w:val="00956141"/>
    <w:rsid w:val="00956636"/>
    <w:rsid w:val="00957C62"/>
    <w:rsid w:val="0096023C"/>
    <w:rsid w:val="0096116D"/>
    <w:rsid w:val="00961D63"/>
    <w:rsid w:val="00961FE9"/>
    <w:rsid w:val="009620C0"/>
    <w:rsid w:val="009628DB"/>
    <w:rsid w:val="00963312"/>
    <w:rsid w:val="0096386A"/>
    <w:rsid w:val="0096508A"/>
    <w:rsid w:val="00965ABF"/>
    <w:rsid w:val="0097012F"/>
    <w:rsid w:val="009710DB"/>
    <w:rsid w:val="00971A41"/>
    <w:rsid w:val="00975BE8"/>
    <w:rsid w:val="00976A58"/>
    <w:rsid w:val="0097724C"/>
    <w:rsid w:val="00977AA1"/>
    <w:rsid w:val="00980058"/>
    <w:rsid w:val="00981F52"/>
    <w:rsid w:val="00982445"/>
    <w:rsid w:val="00982777"/>
    <w:rsid w:val="00982C40"/>
    <w:rsid w:val="0098375D"/>
    <w:rsid w:val="00984190"/>
    <w:rsid w:val="00986137"/>
    <w:rsid w:val="00986389"/>
    <w:rsid w:val="009869F9"/>
    <w:rsid w:val="009872CD"/>
    <w:rsid w:val="00987A8B"/>
    <w:rsid w:val="00990A46"/>
    <w:rsid w:val="00990AB9"/>
    <w:rsid w:val="009912BB"/>
    <w:rsid w:val="009920E2"/>
    <w:rsid w:val="0099274A"/>
    <w:rsid w:val="00994217"/>
    <w:rsid w:val="00994618"/>
    <w:rsid w:val="00994DC2"/>
    <w:rsid w:val="00996CD5"/>
    <w:rsid w:val="00997E71"/>
    <w:rsid w:val="009A09EC"/>
    <w:rsid w:val="009A0E02"/>
    <w:rsid w:val="009A151F"/>
    <w:rsid w:val="009A24BC"/>
    <w:rsid w:val="009A442C"/>
    <w:rsid w:val="009A4C11"/>
    <w:rsid w:val="009A5C07"/>
    <w:rsid w:val="009A6AF8"/>
    <w:rsid w:val="009A7415"/>
    <w:rsid w:val="009A7EF0"/>
    <w:rsid w:val="009B0812"/>
    <w:rsid w:val="009B2A92"/>
    <w:rsid w:val="009B3C05"/>
    <w:rsid w:val="009B46F6"/>
    <w:rsid w:val="009B5CB4"/>
    <w:rsid w:val="009B5E96"/>
    <w:rsid w:val="009B76F3"/>
    <w:rsid w:val="009B7753"/>
    <w:rsid w:val="009C13D9"/>
    <w:rsid w:val="009C2087"/>
    <w:rsid w:val="009C24FF"/>
    <w:rsid w:val="009C2DE1"/>
    <w:rsid w:val="009C3712"/>
    <w:rsid w:val="009C3901"/>
    <w:rsid w:val="009C3BA8"/>
    <w:rsid w:val="009C3C64"/>
    <w:rsid w:val="009C594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47A5"/>
    <w:rsid w:val="009E5EDB"/>
    <w:rsid w:val="009E7901"/>
    <w:rsid w:val="009F06DE"/>
    <w:rsid w:val="009F1184"/>
    <w:rsid w:val="009F1E00"/>
    <w:rsid w:val="009F3011"/>
    <w:rsid w:val="009F34B0"/>
    <w:rsid w:val="009F438A"/>
    <w:rsid w:val="009F45ED"/>
    <w:rsid w:val="00A001A8"/>
    <w:rsid w:val="00A02D1A"/>
    <w:rsid w:val="00A03078"/>
    <w:rsid w:val="00A04B7C"/>
    <w:rsid w:val="00A0627A"/>
    <w:rsid w:val="00A07567"/>
    <w:rsid w:val="00A10781"/>
    <w:rsid w:val="00A10C30"/>
    <w:rsid w:val="00A12BD8"/>
    <w:rsid w:val="00A141E8"/>
    <w:rsid w:val="00A14A58"/>
    <w:rsid w:val="00A15F64"/>
    <w:rsid w:val="00A16743"/>
    <w:rsid w:val="00A168CE"/>
    <w:rsid w:val="00A211DF"/>
    <w:rsid w:val="00A231CA"/>
    <w:rsid w:val="00A233E0"/>
    <w:rsid w:val="00A24F5B"/>
    <w:rsid w:val="00A26353"/>
    <w:rsid w:val="00A26E89"/>
    <w:rsid w:val="00A274B4"/>
    <w:rsid w:val="00A27E5C"/>
    <w:rsid w:val="00A306EB"/>
    <w:rsid w:val="00A31484"/>
    <w:rsid w:val="00A3298F"/>
    <w:rsid w:val="00A352DB"/>
    <w:rsid w:val="00A358CC"/>
    <w:rsid w:val="00A35BC3"/>
    <w:rsid w:val="00A35F5B"/>
    <w:rsid w:val="00A361CE"/>
    <w:rsid w:val="00A4562F"/>
    <w:rsid w:val="00A45770"/>
    <w:rsid w:val="00A45865"/>
    <w:rsid w:val="00A46430"/>
    <w:rsid w:val="00A50498"/>
    <w:rsid w:val="00A5226D"/>
    <w:rsid w:val="00A53BD4"/>
    <w:rsid w:val="00A53C9A"/>
    <w:rsid w:val="00A54155"/>
    <w:rsid w:val="00A55346"/>
    <w:rsid w:val="00A55764"/>
    <w:rsid w:val="00A56C84"/>
    <w:rsid w:val="00A57317"/>
    <w:rsid w:val="00A60384"/>
    <w:rsid w:val="00A6282F"/>
    <w:rsid w:val="00A62AFA"/>
    <w:rsid w:val="00A64B54"/>
    <w:rsid w:val="00A66F30"/>
    <w:rsid w:val="00A67B38"/>
    <w:rsid w:val="00A67FC6"/>
    <w:rsid w:val="00A68791"/>
    <w:rsid w:val="00A71397"/>
    <w:rsid w:val="00A71F84"/>
    <w:rsid w:val="00A72623"/>
    <w:rsid w:val="00A768D2"/>
    <w:rsid w:val="00A80A27"/>
    <w:rsid w:val="00A816BC"/>
    <w:rsid w:val="00A82647"/>
    <w:rsid w:val="00A827A0"/>
    <w:rsid w:val="00A82EF8"/>
    <w:rsid w:val="00A8542E"/>
    <w:rsid w:val="00A8593A"/>
    <w:rsid w:val="00A87342"/>
    <w:rsid w:val="00A9188B"/>
    <w:rsid w:val="00A91EFC"/>
    <w:rsid w:val="00A955EC"/>
    <w:rsid w:val="00A95841"/>
    <w:rsid w:val="00A9734E"/>
    <w:rsid w:val="00A975AC"/>
    <w:rsid w:val="00A97EE9"/>
    <w:rsid w:val="00A97FF0"/>
    <w:rsid w:val="00AA26C8"/>
    <w:rsid w:val="00AA2AE3"/>
    <w:rsid w:val="00AA3857"/>
    <w:rsid w:val="00AA3995"/>
    <w:rsid w:val="00AA443D"/>
    <w:rsid w:val="00AA4A5E"/>
    <w:rsid w:val="00AA4F24"/>
    <w:rsid w:val="00AA5BD7"/>
    <w:rsid w:val="00AA67A0"/>
    <w:rsid w:val="00AA74E9"/>
    <w:rsid w:val="00AB130C"/>
    <w:rsid w:val="00AB58D2"/>
    <w:rsid w:val="00AB5E37"/>
    <w:rsid w:val="00AB665D"/>
    <w:rsid w:val="00AC105E"/>
    <w:rsid w:val="00AC1131"/>
    <w:rsid w:val="00AC147F"/>
    <w:rsid w:val="00AC1AC4"/>
    <w:rsid w:val="00AC2D54"/>
    <w:rsid w:val="00AC4779"/>
    <w:rsid w:val="00AC5472"/>
    <w:rsid w:val="00AC59CC"/>
    <w:rsid w:val="00AC5B56"/>
    <w:rsid w:val="00AD15AC"/>
    <w:rsid w:val="00AD1B66"/>
    <w:rsid w:val="00AD1CFF"/>
    <w:rsid w:val="00AD2447"/>
    <w:rsid w:val="00AD3F78"/>
    <w:rsid w:val="00AD46F7"/>
    <w:rsid w:val="00AE026A"/>
    <w:rsid w:val="00AE1346"/>
    <w:rsid w:val="00AE187B"/>
    <w:rsid w:val="00AE2594"/>
    <w:rsid w:val="00AE274D"/>
    <w:rsid w:val="00AE3624"/>
    <w:rsid w:val="00AE3760"/>
    <w:rsid w:val="00AE3F7E"/>
    <w:rsid w:val="00AE63B1"/>
    <w:rsid w:val="00AE7BE7"/>
    <w:rsid w:val="00AE7FC5"/>
    <w:rsid w:val="00AF0337"/>
    <w:rsid w:val="00AF1E44"/>
    <w:rsid w:val="00AF2486"/>
    <w:rsid w:val="00AF3D20"/>
    <w:rsid w:val="00AF4218"/>
    <w:rsid w:val="00AF6F5C"/>
    <w:rsid w:val="00AF75CC"/>
    <w:rsid w:val="00B027C5"/>
    <w:rsid w:val="00B02874"/>
    <w:rsid w:val="00B04655"/>
    <w:rsid w:val="00B04F9F"/>
    <w:rsid w:val="00B06750"/>
    <w:rsid w:val="00B07337"/>
    <w:rsid w:val="00B11B2A"/>
    <w:rsid w:val="00B13545"/>
    <w:rsid w:val="00B13DEC"/>
    <w:rsid w:val="00B13FB5"/>
    <w:rsid w:val="00B15AEE"/>
    <w:rsid w:val="00B15B9E"/>
    <w:rsid w:val="00B20167"/>
    <w:rsid w:val="00B222EC"/>
    <w:rsid w:val="00B22810"/>
    <w:rsid w:val="00B22F84"/>
    <w:rsid w:val="00B2326A"/>
    <w:rsid w:val="00B23E0D"/>
    <w:rsid w:val="00B246A8"/>
    <w:rsid w:val="00B24852"/>
    <w:rsid w:val="00B26757"/>
    <w:rsid w:val="00B30D4D"/>
    <w:rsid w:val="00B30EA4"/>
    <w:rsid w:val="00B31C31"/>
    <w:rsid w:val="00B3419E"/>
    <w:rsid w:val="00B366BE"/>
    <w:rsid w:val="00B37C28"/>
    <w:rsid w:val="00B400AE"/>
    <w:rsid w:val="00B434D7"/>
    <w:rsid w:val="00B45BC7"/>
    <w:rsid w:val="00B45BEF"/>
    <w:rsid w:val="00B47058"/>
    <w:rsid w:val="00B47150"/>
    <w:rsid w:val="00B505B9"/>
    <w:rsid w:val="00B5068E"/>
    <w:rsid w:val="00B51024"/>
    <w:rsid w:val="00B524A9"/>
    <w:rsid w:val="00B5689F"/>
    <w:rsid w:val="00B603E4"/>
    <w:rsid w:val="00B62988"/>
    <w:rsid w:val="00B63B97"/>
    <w:rsid w:val="00B65237"/>
    <w:rsid w:val="00B666CD"/>
    <w:rsid w:val="00B67894"/>
    <w:rsid w:val="00B72371"/>
    <w:rsid w:val="00B72873"/>
    <w:rsid w:val="00B737EF"/>
    <w:rsid w:val="00B74D25"/>
    <w:rsid w:val="00B7519D"/>
    <w:rsid w:val="00B75F92"/>
    <w:rsid w:val="00B76293"/>
    <w:rsid w:val="00B77C81"/>
    <w:rsid w:val="00B80F76"/>
    <w:rsid w:val="00B818B8"/>
    <w:rsid w:val="00B81A2E"/>
    <w:rsid w:val="00B83587"/>
    <w:rsid w:val="00B8407F"/>
    <w:rsid w:val="00B8491D"/>
    <w:rsid w:val="00B857C7"/>
    <w:rsid w:val="00B85B34"/>
    <w:rsid w:val="00B872A5"/>
    <w:rsid w:val="00B8742C"/>
    <w:rsid w:val="00B90437"/>
    <w:rsid w:val="00B90792"/>
    <w:rsid w:val="00B91BDA"/>
    <w:rsid w:val="00B92284"/>
    <w:rsid w:val="00B9379D"/>
    <w:rsid w:val="00B93F50"/>
    <w:rsid w:val="00B9424F"/>
    <w:rsid w:val="00B9504D"/>
    <w:rsid w:val="00B957FA"/>
    <w:rsid w:val="00B95BD0"/>
    <w:rsid w:val="00B9602F"/>
    <w:rsid w:val="00BA03A5"/>
    <w:rsid w:val="00BA1A18"/>
    <w:rsid w:val="00BA45E6"/>
    <w:rsid w:val="00BA5E6F"/>
    <w:rsid w:val="00BA7790"/>
    <w:rsid w:val="00BA7DE2"/>
    <w:rsid w:val="00BB0AF2"/>
    <w:rsid w:val="00BB0D04"/>
    <w:rsid w:val="00BB262C"/>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7CC"/>
    <w:rsid w:val="00BC38C2"/>
    <w:rsid w:val="00BC3DD2"/>
    <w:rsid w:val="00BD12E4"/>
    <w:rsid w:val="00BD4923"/>
    <w:rsid w:val="00BD56E6"/>
    <w:rsid w:val="00BD6B16"/>
    <w:rsid w:val="00BE12E1"/>
    <w:rsid w:val="00BE1B26"/>
    <w:rsid w:val="00BE1F44"/>
    <w:rsid w:val="00BE204F"/>
    <w:rsid w:val="00BE2647"/>
    <w:rsid w:val="00BE3153"/>
    <w:rsid w:val="00BE3D6F"/>
    <w:rsid w:val="00BE4548"/>
    <w:rsid w:val="00BE53BF"/>
    <w:rsid w:val="00BE63D7"/>
    <w:rsid w:val="00BE7DFD"/>
    <w:rsid w:val="00BF048B"/>
    <w:rsid w:val="00BF0CAD"/>
    <w:rsid w:val="00BF1193"/>
    <w:rsid w:val="00BF2700"/>
    <w:rsid w:val="00BF2A34"/>
    <w:rsid w:val="00BF2DF6"/>
    <w:rsid w:val="00BF30B0"/>
    <w:rsid w:val="00BF5699"/>
    <w:rsid w:val="00BF6721"/>
    <w:rsid w:val="00C003BD"/>
    <w:rsid w:val="00C02D9A"/>
    <w:rsid w:val="00C033E9"/>
    <w:rsid w:val="00C0389F"/>
    <w:rsid w:val="00C04326"/>
    <w:rsid w:val="00C046AD"/>
    <w:rsid w:val="00C054E3"/>
    <w:rsid w:val="00C05D41"/>
    <w:rsid w:val="00C066B7"/>
    <w:rsid w:val="00C072AF"/>
    <w:rsid w:val="00C07AAE"/>
    <w:rsid w:val="00C07D74"/>
    <w:rsid w:val="00C11476"/>
    <w:rsid w:val="00C11861"/>
    <w:rsid w:val="00C11ED5"/>
    <w:rsid w:val="00C12CF2"/>
    <w:rsid w:val="00C13B84"/>
    <w:rsid w:val="00C14B7B"/>
    <w:rsid w:val="00C14D9D"/>
    <w:rsid w:val="00C1628D"/>
    <w:rsid w:val="00C20372"/>
    <w:rsid w:val="00C2356F"/>
    <w:rsid w:val="00C24C6C"/>
    <w:rsid w:val="00C255D7"/>
    <w:rsid w:val="00C25809"/>
    <w:rsid w:val="00C25A7A"/>
    <w:rsid w:val="00C27150"/>
    <w:rsid w:val="00C30469"/>
    <w:rsid w:val="00C3183C"/>
    <w:rsid w:val="00C32359"/>
    <w:rsid w:val="00C32D5B"/>
    <w:rsid w:val="00C33E98"/>
    <w:rsid w:val="00C347F1"/>
    <w:rsid w:val="00C34842"/>
    <w:rsid w:val="00C35C14"/>
    <w:rsid w:val="00C36AEE"/>
    <w:rsid w:val="00C36E61"/>
    <w:rsid w:val="00C375CA"/>
    <w:rsid w:val="00C4298A"/>
    <w:rsid w:val="00C42F7B"/>
    <w:rsid w:val="00C43AC7"/>
    <w:rsid w:val="00C441E0"/>
    <w:rsid w:val="00C44A9E"/>
    <w:rsid w:val="00C457F1"/>
    <w:rsid w:val="00C45979"/>
    <w:rsid w:val="00C51D4B"/>
    <w:rsid w:val="00C538F7"/>
    <w:rsid w:val="00C5418D"/>
    <w:rsid w:val="00C541C4"/>
    <w:rsid w:val="00C54E17"/>
    <w:rsid w:val="00C54FDB"/>
    <w:rsid w:val="00C554F8"/>
    <w:rsid w:val="00C56F64"/>
    <w:rsid w:val="00C573BC"/>
    <w:rsid w:val="00C57946"/>
    <w:rsid w:val="00C60DDA"/>
    <w:rsid w:val="00C6228D"/>
    <w:rsid w:val="00C6358A"/>
    <w:rsid w:val="00C63846"/>
    <w:rsid w:val="00C645C5"/>
    <w:rsid w:val="00C67D9C"/>
    <w:rsid w:val="00C706D7"/>
    <w:rsid w:val="00C72590"/>
    <w:rsid w:val="00C72C65"/>
    <w:rsid w:val="00C72CCD"/>
    <w:rsid w:val="00C733F7"/>
    <w:rsid w:val="00C73C5C"/>
    <w:rsid w:val="00C754FD"/>
    <w:rsid w:val="00C76FDB"/>
    <w:rsid w:val="00C80081"/>
    <w:rsid w:val="00C80E50"/>
    <w:rsid w:val="00C817DF"/>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975E5"/>
    <w:rsid w:val="00CA27B9"/>
    <w:rsid w:val="00CA32FE"/>
    <w:rsid w:val="00CA356D"/>
    <w:rsid w:val="00CA4137"/>
    <w:rsid w:val="00CA5AE4"/>
    <w:rsid w:val="00CA5F4A"/>
    <w:rsid w:val="00CA6905"/>
    <w:rsid w:val="00CA6D14"/>
    <w:rsid w:val="00CA7D74"/>
    <w:rsid w:val="00CB02A1"/>
    <w:rsid w:val="00CB038B"/>
    <w:rsid w:val="00CB1759"/>
    <w:rsid w:val="00CB1797"/>
    <w:rsid w:val="00CB487B"/>
    <w:rsid w:val="00CB4B04"/>
    <w:rsid w:val="00CB4BFB"/>
    <w:rsid w:val="00CB6AD7"/>
    <w:rsid w:val="00CC03C4"/>
    <w:rsid w:val="00CC2643"/>
    <w:rsid w:val="00CC2B5E"/>
    <w:rsid w:val="00CC338D"/>
    <w:rsid w:val="00CC372E"/>
    <w:rsid w:val="00CC3C26"/>
    <w:rsid w:val="00CC43C3"/>
    <w:rsid w:val="00CC43C5"/>
    <w:rsid w:val="00CC43CD"/>
    <w:rsid w:val="00CC4618"/>
    <w:rsid w:val="00CC73D6"/>
    <w:rsid w:val="00CD1614"/>
    <w:rsid w:val="00CD1836"/>
    <w:rsid w:val="00CD275E"/>
    <w:rsid w:val="00CD2EF7"/>
    <w:rsid w:val="00CD2F79"/>
    <w:rsid w:val="00CD38AB"/>
    <w:rsid w:val="00CD4100"/>
    <w:rsid w:val="00CD4338"/>
    <w:rsid w:val="00CD4809"/>
    <w:rsid w:val="00CD4B4F"/>
    <w:rsid w:val="00CD5A92"/>
    <w:rsid w:val="00CD66E6"/>
    <w:rsid w:val="00CE00F2"/>
    <w:rsid w:val="00CE0942"/>
    <w:rsid w:val="00CE18A7"/>
    <w:rsid w:val="00CE1C9B"/>
    <w:rsid w:val="00CE1EF9"/>
    <w:rsid w:val="00CE2CB1"/>
    <w:rsid w:val="00CE3ACF"/>
    <w:rsid w:val="00CE4292"/>
    <w:rsid w:val="00CE4DEB"/>
    <w:rsid w:val="00CE4F47"/>
    <w:rsid w:val="00CE5752"/>
    <w:rsid w:val="00CE6F2D"/>
    <w:rsid w:val="00CE6F8D"/>
    <w:rsid w:val="00CF23B4"/>
    <w:rsid w:val="00CF242E"/>
    <w:rsid w:val="00CF413A"/>
    <w:rsid w:val="00CF4631"/>
    <w:rsid w:val="00CF5A3C"/>
    <w:rsid w:val="00CF5EFF"/>
    <w:rsid w:val="00D00106"/>
    <w:rsid w:val="00D00D33"/>
    <w:rsid w:val="00D01A8F"/>
    <w:rsid w:val="00D04072"/>
    <w:rsid w:val="00D043F3"/>
    <w:rsid w:val="00D04CD1"/>
    <w:rsid w:val="00D063D9"/>
    <w:rsid w:val="00D07323"/>
    <w:rsid w:val="00D10A8F"/>
    <w:rsid w:val="00D10B82"/>
    <w:rsid w:val="00D12C85"/>
    <w:rsid w:val="00D12D20"/>
    <w:rsid w:val="00D14A68"/>
    <w:rsid w:val="00D15B1C"/>
    <w:rsid w:val="00D163B0"/>
    <w:rsid w:val="00D177B0"/>
    <w:rsid w:val="00D17BB9"/>
    <w:rsid w:val="00D20B5F"/>
    <w:rsid w:val="00D210DB"/>
    <w:rsid w:val="00D225E2"/>
    <w:rsid w:val="00D234AD"/>
    <w:rsid w:val="00D24AC0"/>
    <w:rsid w:val="00D26124"/>
    <w:rsid w:val="00D306C7"/>
    <w:rsid w:val="00D31DCE"/>
    <w:rsid w:val="00D333CB"/>
    <w:rsid w:val="00D33817"/>
    <w:rsid w:val="00D351BD"/>
    <w:rsid w:val="00D36464"/>
    <w:rsid w:val="00D37D03"/>
    <w:rsid w:val="00D37D3F"/>
    <w:rsid w:val="00D414EB"/>
    <w:rsid w:val="00D4260C"/>
    <w:rsid w:val="00D43278"/>
    <w:rsid w:val="00D432B7"/>
    <w:rsid w:val="00D437E5"/>
    <w:rsid w:val="00D4483E"/>
    <w:rsid w:val="00D451FC"/>
    <w:rsid w:val="00D4591C"/>
    <w:rsid w:val="00D45C8A"/>
    <w:rsid w:val="00D45F9B"/>
    <w:rsid w:val="00D47C16"/>
    <w:rsid w:val="00D47C2B"/>
    <w:rsid w:val="00D47CB3"/>
    <w:rsid w:val="00D50C3C"/>
    <w:rsid w:val="00D51356"/>
    <w:rsid w:val="00D517F0"/>
    <w:rsid w:val="00D5260D"/>
    <w:rsid w:val="00D52C25"/>
    <w:rsid w:val="00D54334"/>
    <w:rsid w:val="00D544EC"/>
    <w:rsid w:val="00D55209"/>
    <w:rsid w:val="00D55926"/>
    <w:rsid w:val="00D55EB1"/>
    <w:rsid w:val="00D57716"/>
    <w:rsid w:val="00D601A1"/>
    <w:rsid w:val="00D61EDC"/>
    <w:rsid w:val="00D64254"/>
    <w:rsid w:val="00D64C2A"/>
    <w:rsid w:val="00D65000"/>
    <w:rsid w:val="00D6730B"/>
    <w:rsid w:val="00D73509"/>
    <w:rsid w:val="00D73DBE"/>
    <w:rsid w:val="00D73E09"/>
    <w:rsid w:val="00D74290"/>
    <w:rsid w:val="00D7680B"/>
    <w:rsid w:val="00D76DB3"/>
    <w:rsid w:val="00D7727C"/>
    <w:rsid w:val="00D77C8D"/>
    <w:rsid w:val="00D80BE3"/>
    <w:rsid w:val="00D831AF"/>
    <w:rsid w:val="00D87764"/>
    <w:rsid w:val="00D90390"/>
    <w:rsid w:val="00D90653"/>
    <w:rsid w:val="00D92ED6"/>
    <w:rsid w:val="00D93A9D"/>
    <w:rsid w:val="00D9599C"/>
    <w:rsid w:val="00D96E3B"/>
    <w:rsid w:val="00DA1A9A"/>
    <w:rsid w:val="00DA3E92"/>
    <w:rsid w:val="00DA4019"/>
    <w:rsid w:val="00DA4E0C"/>
    <w:rsid w:val="00DA53F8"/>
    <w:rsid w:val="00DA7843"/>
    <w:rsid w:val="00DA7E80"/>
    <w:rsid w:val="00DB0E66"/>
    <w:rsid w:val="00DB13CB"/>
    <w:rsid w:val="00DB1EBF"/>
    <w:rsid w:val="00DB523F"/>
    <w:rsid w:val="00DB52E0"/>
    <w:rsid w:val="00DB5E95"/>
    <w:rsid w:val="00DB6062"/>
    <w:rsid w:val="00DB7775"/>
    <w:rsid w:val="00DB799B"/>
    <w:rsid w:val="00DC0616"/>
    <w:rsid w:val="00DC1889"/>
    <w:rsid w:val="00DC1EEC"/>
    <w:rsid w:val="00DC2D99"/>
    <w:rsid w:val="00DC3B4C"/>
    <w:rsid w:val="00DC57CD"/>
    <w:rsid w:val="00DC6593"/>
    <w:rsid w:val="00DD1A7E"/>
    <w:rsid w:val="00DD2682"/>
    <w:rsid w:val="00DD35B0"/>
    <w:rsid w:val="00DD3653"/>
    <w:rsid w:val="00DD4147"/>
    <w:rsid w:val="00DD4E7A"/>
    <w:rsid w:val="00DD6533"/>
    <w:rsid w:val="00DD718B"/>
    <w:rsid w:val="00DE15D8"/>
    <w:rsid w:val="00DE26D9"/>
    <w:rsid w:val="00DE3DF8"/>
    <w:rsid w:val="00DE4E0C"/>
    <w:rsid w:val="00DE50FF"/>
    <w:rsid w:val="00DE60DC"/>
    <w:rsid w:val="00DE68CB"/>
    <w:rsid w:val="00DF0955"/>
    <w:rsid w:val="00DF1489"/>
    <w:rsid w:val="00DF3AA1"/>
    <w:rsid w:val="00DF4973"/>
    <w:rsid w:val="00DF6030"/>
    <w:rsid w:val="00DF742A"/>
    <w:rsid w:val="00DF7E5D"/>
    <w:rsid w:val="00E0008B"/>
    <w:rsid w:val="00E00589"/>
    <w:rsid w:val="00E00B2D"/>
    <w:rsid w:val="00E00CD0"/>
    <w:rsid w:val="00E0220E"/>
    <w:rsid w:val="00E02670"/>
    <w:rsid w:val="00E034D9"/>
    <w:rsid w:val="00E03FC8"/>
    <w:rsid w:val="00E04947"/>
    <w:rsid w:val="00E076DF"/>
    <w:rsid w:val="00E10927"/>
    <w:rsid w:val="00E1198B"/>
    <w:rsid w:val="00E1289A"/>
    <w:rsid w:val="00E128B1"/>
    <w:rsid w:val="00E137A4"/>
    <w:rsid w:val="00E14467"/>
    <w:rsid w:val="00E14BF3"/>
    <w:rsid w:val="00E16410"/>
    <w:rsid w:val="00E16475"/>
    <w:rsid w:val="00E205A3"/>
    <w:rsid w:val="00E20A5C"/>
    <w:rsid w:val="00E2389F"/>
    <w:rsid w:val="00E25157"/>
    <w:rsid w:val="00E258AC"/>
    <w:rsid w:val="00E25CC7"/>
    <w:rsid w:val="00E25EDA"/>
    <w:rsid w:val="00E278D5"/>
    <w:rsid w:val="00E27F78"/>
    <w:rsid w:val="00E30F8E"/>
    <w:rsid w:val="00E3122D"/>
    <w:rsid w:val="00E32A49"/>
    <w:rsid w:val="00E33FC1"/>
    <w:rsid w:val="00E3432D"/>
    <w:rsid w:val="00E3443C"/>
    <w:rsid w:val="00E3518D"/>
    <w:rsid w:val="00E3579A"/>
    <w:rsid w:val="00E35BF8"/>
    <w:rsid w:val="00E36F17"/>
    <w:rsid w:val="00E37A2B"/>
    <w:rsid w:val="00E40D81"/>
    <w:rsid w:val="00E42EA6"/>
    <w:rsid w:val="00E439D8"/>
    <w:rsid w:val="00E44C0A"/>
    <w:rsid w:val="00E45666"/>
    <w:rsid w:val="00E463E4"/>
    <w:rsid w:val="00E47562"/>
    <w:rsid w:val="00E50CD6"/>
    <w:rsid w:val="00E519DF"/>
    <w:rsid w:val="00E52EAE"/>
    <w:rsid w:val="00E5311D"/>
    <w:rsid w:val="00E5352A"/>
    <w:rsid w:val="00E5475A"/>
    <w:rsid w:val="00E54B97"/>
    <w:rsid w:val="00E54D7D"/>
    <w:rsid w:val="00E55F68"/>
    <w:rsid w:val="00E56816"/>
    <w:rsid w:val="00E604E8"/>
    <w:rsid w:val="00E63258"/>
    <w:rsid w:val="00E63B7C"/>
    <w:rsid w:val="00E64357"/>
    <w:rsid w:val="00E64935"/>
    <w:rsid w:val="00E64F9E"/>
    <w:rsid w:val="00E663AF"/>
    <w:rsid w:val="00E6714A"/>
    <w:rsid w:val="00E671A5"/>
    <w:rsid w:val="00E67AA0"/>
    <w:rsid w:val="00E70098"/>
    <w:rsid w:val="00E70167"/>
    <w:rsid w:val="00E705EC"/>
    <w:rsid w:val="00E71E8B"/>
    <w:rsid w:val="00E72522"/>
    <w:rsid w:val="00E72726"/>
    <w:rsid w:val="00E72DB0"/>
    <w:rsid w:val="00E73765"/>
    <w:rsid w:val="00E73E81"/>
    <w:rsid w:val="00E74511"/>
    <w:rsid w:val="00E75438"/>
    <w:rsid w:val="00E75DBD"/>
    <w:rsid w:val="00E76576"/>
    <w:rsid w:val="00E777B0"/>
    <w:rsid w:val="00E77E40"/>
    <w:rsid w:val="00E815E1"/>
    <w:rsid w:val="00E82E58"/>
    <w:rsid w:val="00E833F8"/>
    <w:rsid w:val="00E83D5C"/>
    <w:rsid w:val="00E84CD9"/>
    <w:rsid w:val="00E85622"/>
    <w:rsid w:val="00E87188"/>
    <w:rsid w:val="00E87F99"/>
    <w:rsid w:val="00E87FCD"/>
    <w:rsid w:val="00E9180A"/>
    <w:rsid w:val="00E91C6A"/>
    <w:rsid w:val="00E92291"/>
    <w:rsid w:val="00E92993"/>
    <w:rsid w:val="00E936B0"/>
    <w:rsid w:val="00E94E34"/>
    <w:rsid w:val="00E957A4"/>
    <w:rsid w:val="00E95FB0"/>
    <w:rsid w:val="00E97093"/>
    <w:rsid w:val="00EA0CF2"/>
    <w:rsid w:val="00EA0D0A"/>
    <w:rsid w:val="00EA0D20"/>
    <w:rsid w:val="00EA1743"/>
    <w:rsid w:val="00EA3AE4"/>
    <w:rsid w:val="00EA4A33"/>
    <w:rsid w:val="00EA58E6"/>
    <w:rsid w:val="00EA5D83"/>
    <w:rsid w:val="00EA6184"/>
    <w:rsid w:val="00EA6A21"/>
    <w:rsid w:val="00EA6BDC"/>
    <w:rsid w:val="00EA7D8D"/>
    <w:rsid w:val="00EB0C83"/>
    <w:rsid w:val="00EB1912"/>
    <w:rsid w:val="00EB1C08"/>
    <w:rsid w:val="00EB2A3A"/>
    <w:rsid w:val="00EB34A6"/>
    <w:rsid w:val="00EB440D"/>
    <w:rsid w:val="00EB4C2F"/>
    <w:rsid w:val="00EB6565"/>
    <w:rsid w:val="00EC04E3"/>
    <w:rsid w:val="00EC0D68"/>
    <w:rsid w:val="00EC1141"/>
    <w:rsid w:val="00EC11F9"/>
    <w:rsid w:val="00EC122D"/>
    <w:rsid w:val="00EC1701"/>
    <w:rsid w:val="00EC1979"/>
    <w:rsid w:val="00EC230D"/>
    <w:rsid w:val="00EC516A"/>
    <w:rsid w:val="00EC6B27"/>
    <w:rsid w:val="00EC700B"/>
    <w:rsid w:val="00EC7AEE"/>
    <w:rsid w:val="00ED0082"/>
    <w:rsid w:val="00ED018C"/>
    <w:rsid w:val="00ED1842"/>
    <w:rsid w:val="00ED1C59"/>
    <w:rsid w:val="00ED2C2E"/>
    <w:rsid w:val="00ED3018"/>
    <w:rsid w:val="00ED31BD"/>
    <w:rsid w:val="00ED3C90"/>
    <w:rsid w:val="00ED41CF"/>
    <w:rsid w:val="00ED4385"/>
    <w:rsid w:val="00ED44A3"/>
    <w:rsid w:val="00ED57A4"/>
    <w:rsid w:val="00ED6496"/>
    <w:rsid w:val="00ED6648"/>
    <w:rsid w:val="00ED6888"/>
    <w:rsid w:val="00EE038B"/>
    <w:rsid w:val="00EE03CA"/>
    <w:rsid w:val="00EE2072"/>
    <w:rsid w:val="00EE2403"/>
    <w:rsid w:val="00EE2B2F"/>
    <w:rsid w:val="00EE5AC9"/>
    <w:rsid w:val="00EE68B7"/>
    <w:rsid w:val="00EE6EBE"/>
    <w:rsid w:val="00EE7609"/>
    <w:rsid w:val="00EE782C"/>
    <w:rsid w:val="00EE7949"/>
    <w:rsid w:val="00EF085F"/>
    <w:rsid w:val="00EF2E9D"/>
    <w:rsid w:val="00EF3B34"/>
    <w:rsid w:val="00EF71E8"/>
    <w:rsid w:val="00EF7A31"/>
    <w:rsid w:val="00EF7B2E"/>
    <w:rsid w:val="00EF7F98"/>
    <w:rsid w:val="00F0015C"/>
    <w:rsid w:val="00F019D1"/>
    <w:rsid w:val="00F02003"/>
    <w:rsid w:val="00F049AE"/>
    <w:rsid w:val="00F0705E"/>
    <w:rsid w:val="00F071BE"/>
    <w:rsid w:val="00F07CEC"/>
    <w:rsid w:val="00F10391"/>
    <w:rsid w:val="00F10905"/>
    <w:rsid w:val="00F10CF0"/>
    <w:rsid w:val="00F133A9"/>
    <w:rsid w:val="00F13918"/>
    <w:rsid w:val="00F13C42"/>
    <w:rsid w:val="00F15CFE"/>
    <w:rsid w:val="00F171C6"/>
    <w:rsid w:val="00F174B1"/>
    <w:rsid w:val="00F1773A"/>
    <w:rsid w:val="00F17E88"/>
    <w:rsid w:val="00F17F8C"/>
    <w:rsid w:val="00F229AC"/>
    <w:rsid w:val="00F23E01"/>
    <w:rsid w:val="00F252CD"/>
    <w:rsid w:val="00F2554C"/>
    <w:rsid w:val="00F27BD2"/>
    <w:rsid w:val="00F302B0"/>
    <w:rsid w:val="00F3030A"/>
    <w:rsid w:val="00F31464"/>
    <w:rsid w:val="00F31DEE"/>
    <w:rsid w:val="00F32BF6"/>
    <w:rsid w:val="00F33388"/>
    <w:rsid w:val="00F33E4D"/>
    <w:rsid w:val="00F34178"/>
    <w:rsid w:val="00F34BCA"/>
    <w:rsid w:val="00F36723"/>
    <w:rsid w:val="00F37D13"/>
    <w:rsid w:val="00F405E9"/>
    <w:rsid w:val="00F416A0"/>
    <w:rsid w:val="00F42131"/>
    <w:rsid w:val="00F430EC"/>
    <w:rsid w:val="00F43533"/>
    <w:rsid w:val="00F440BC"/>
    <w:rsid w:val="00F462DB"/>
    <w:rsid w:val="00F47EAC"/>
    <w:rsid w:val="00F5019F"/>
    <w:rsid w:val="00F50C29"/>
    <w:rsid w:val="00F51F05"/>
    <w:rsid w:val="00F532D6"/>
    <w:rsid w:val="00F54CB2"/>
    <w:rsid w:val="00F56114"/>
    <w:rsid w:val="00F573CC"/>
    <w:rsid w:val="00F57EAD"/>
    <w:rsid w:val="00F601B4"/>
    <w:rsid w:val="00F60A88"/>
    <w:rsid w:val="00F62C65"/>
    <w:rsid w:val="00F63290"/>
    <w:rsid w:val="00F652A6"/>
    <w:rsid w:val="00F6635B"/>
    <w:rsid w:val="00F66728"/>
    <w:rsid w:val="00F67649"/>
    <w:rsid w:val="00F67C9A"/>
    <w:rsid w:val="00F7072E"/>
    <w:rsid w:val="00F71C27"/>
    <w:rsid w:val="00F7283C"/>
    <w:rsid w:val="00F741CB"/>
    <w:rsid w:val="00F74443"/>
    <w:rsid w:val="00F74FF8"/>
    <w:rsid w:val="00F75373"/>
    <w:rsid w:val="00F7776D"/>
    <w:rsid w:val="00F8150A"/>
    <w:rsid w:val="00F8161A"/>
    <w:rsid w:val="00F81714"/>
    <w:rsid w:val="00F81871"/>
    <w:rsid w:val="00F81CB8"/>
    <w:rsid w:val="00F823FF"/>
    <w:rsid w:val="00F84AF9"/>
    <w:rsid w:val="00F85BB1"/>
    <w:rsid w:val="00F8697C"/>
    <w:rsid w:val="00F904F9"/>
    <w:rsid w:val="00F90ACE"/>
    <w:rsid w:val="00F91376"/>
    <w:rsid w:val="00F9157A"/>
    <w:rsid w:val="00F916E8"/>
    <w:rsid w:val="00F91707"/>
    <w:rsid w:val="00F919C9"/>
    <w:rsid w:val="00F91EF0"/>
    <w:rsid w:val="00F92596"/>
    <w:rsid w:val="00F95973"/>
    <w:rsid w:val="00F971F7"/>
    <w:rsid w:val="00FA0F0D"/>
    <w:rsid w:val="00FA150B"/>
    <w:rsid w:val="00FA23E6"/>
    <w:rsid w:val="00FA243A"/>
    <w:rsid w:val="00FA4C93"/>
    <w:rsid w:val="00FA5FC1"/>
    <w:rsid w:val="00FA600A"/>
    <w:rsid w:val="00FA630E"/>
    <w:rsid w:val="00FA7931"/>
    <w:rsid w:val="00FB012C"/>
    <w:rsid w:val="00FB1879"/>
    <w:rsid w:val="00FB1E01"/>
    <w:rsid w:val="00FB2200"/>
    <w:rsid w:val="00FB37E2"/>
    <w:rsid w:val="00FB38ED"/>
    <w:rsid w:val="00FB5211"/>
    <w:rsid w:val="00FB6186"/>
    <w:rsid w:val="00FB6DC4"/>
    <w:rsid w:val="00FB6E02"/>
    <w:rsid w:val="00FB72D9"/>
    <w:rsid w:val="00FB7E9F"/>
    <w:rsid w:val="00FC02BD"/>
    <w:rsid w:val="00FC0F42"/>
    <w:rsid w:val="00FC2365"/>
    <w:rsid w:val="00FC31D0"/>
    <w:rsid w:val="00FC4CC6"/>
    <w:rsid w:val="00FC4FBB"/>
    <w:rsid w:val="00FC53C7"/>
    <w:rsid w:val="00FC601F"/>
    <w:rsid w:val="00FC6545"/>
    <w:rsid w:val="00FC7E37"/>
    <w:rsid w:val="00FD0324"/>
    <w:rsid w:val="00FD071A"/>
    <w:rsid w:val="00FD11FE"/>
    <w:rsid w:val="00FD24AD"/>
    <w:rsid w:val="00FD2673"/>
    <w:rsid w:val="00FD3EF8"/>
    <w:rsid w:val="00FD4EF2"/>
    <w:rsid w:val="00FD52DF"/>
    <w:rsid w:val="00FD54EB"/>
    <w:rsid w:val="00FD6EDE"/>
    <w:rsid w:val="00FD6FA9"/>
    <w:rsid w:val="00FD7196"/>
    <w:rsid w:val="00FE0BEA"/>
    <w:rsid w:val="00FE0D6A"/>
    <w:rsid w:val="00FE28F1"/>
    <w:rsid w:val="00FE2C1F"/>
    <w:rsid w:val="00FE4665"/>
    <w:rsid w:val="00FE539F"/>
    <w:rsid w:val="00FF04B1"/>
    <w:rsid w:val="00FF0CC3"/>
    <w:rsid w:val="00FF0DE8"/>
    <w:rsid w:val="00FF11A9"/>
    <w:rsid w:val="00FF165F"/>
    <w:rsid w:val="00FF16DB"/>
    <w:rsid w:val="00FF3DDF"/>
    <w:rsid w:val="00FF5265"/>
    <w:rsid w:val="00FF55F1"/>
    <w:rsid w:val="00FF5D75"/>
    <w:rsid w:val="00FF7F04"/>
    <w:rsid w:val="01AFBD83"/>
    <w:rsid w:val="01DBE774"/>
    <w:rsid w:val="01EE46BA"/>
    <w:rsid w:val="01EF6AF3"/>
    <w:rsid w:val="02369EEC"/>
    <w:rsid w:val="0248A40C"/>
    <w:rsid w:val="025EBAC4"/>
    <w:rsid w:val="02AC709B"/>
    <w:rsid w:val="02D22C48"/>
    <w:rsid w:val="02FFC142"/>
    <w:rsid w:val="03324726"/>
    <w:rsid w:val="0340C7B5"/>
    <w:rsid w:val="03526008"/>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BCD0B6A"/>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76C613"/>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0ED0083"/>
    <w:rsid w:val="31099FF3"/>
    <w:rsid w:val="3121CC31"/>
    <w:rsid w:val="320B6F4B"/>
    <w:rsid w:val="326B2CC6"/>
    <w:rsid w:val="329F570B"/>
    <w:rsid w:val="32E3142D"/>
    <w:rsid w:val="331FED17"/>
    <w:rsid w:val="3343CE0C"/>
    <w:rsid w:val="33446247"/>
    <w:rsid w:val="337291F6"/>
    <w:rsid w:val="3432FB36"/>
    <w:rsid w:val="34573AA0"/>
    <w:rsid w:val="35871221"/>
    <w:rsid w:val="358ADDB6"/>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91C4FF"/>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46D8E"/>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link w:val="ListParagraphChar"/>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iPriority w:val="99"/>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ListParagraphChar">
    <w:name w:val="List Paragraph Char"/>
    <w:link w:val="ListParagraph"/>
    <w:uiPriority w:val="34"/>
    <w:rsid w:val="005F2EAE"/>
  </w:style>
  <w:style w:type="paragraph" w:customStyle="1" w:styleId="TH-TableHeading">
    <w:name w:val="TH-Table Heading"/>
    <w:basedOn w:val="Heading1"/>
    <w:rsid w:val="00E258AC"/>
    <w:pPr>
      <w:keepLines w:val="0"/>
      <w:tabs>
        <w:tab w:val="left" w:pos="1152"/>
      </w:tabs>
      <w:spacing w:before="0" w:line="240" w:lineRule="atLeast"/>
      <w:jc w:val="center"/>
    </w:pPr>
    <w:rPr>
      <w:rFonts w:ascii="Franklin Gothic Medium" w:eastAsia="Times New Roman" w:hAnsi="Franklin Gothic Medium" w:cs="Times New Roman"/>
      <w:b/>
      <w:color w:val="auto"/>
      <w:sz w:val="20"/>
      <w:szCs w:val="20"/>
    </w:rPr>
  </w:style>
  <w:style w:type="paragraph" w:customStyle="1" w:styleId="TX-TableText">
    <w:name w:val="TX-Table Text"/>
    <w:basedOn w:val="Normal"/>
    <w:rsid w:val="00E258AC"/>
    <w:pPr>
      <w:spacing w:after="0" w:line="240" w:lineRule="atLeast"/>
    </w:pPr>
    <w:rPr>
      <w:rFonts w:ascii="Franklin Gothic Medium" w:eastAsia="Times New Roman" w:hAnsi="Franklin Gothic Medium" w:cs="Times New Roman"/>
      <w:sz w:val="20"/>
      <w:szCs w:val="20"/>
    </w:rPr>
  </w:style>
  <w:style w:type="table" w:customStyle="1" w:styleId="TableGrid1">
    <w:name w:val="Table Grid1"/>
    <w:basedOn w:val="TableNormal"/>
    <w:next w:val="TableGrid"/>
    <w:uiPriority w:val="39"/>
    <w:rsid w:val="0083364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f0">
    <w:name w:val="pf0"/>
    <w:basedOn w:val="Normal"/>
    <w:rsid w:val="002342E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342E2"/>
    <w:rPr>
      <w:rFonts w:ascii="Segoe UI" w:hAnsi="Segoe UI" w:cs="Segoe UI" w:hint="default"/>
      <w:sz w:val="18"/>
      <w:szCs w:val="18"/>
    </w:rPr>
  </w:style>
  <w:style w:type="character" w:styleId="Mention">
    <w:name w:val="Mention"/>
    <w:basedOn w:val="DefaultParagraphFont"/>
    <w:uiPriority w:val="99"/>
    <w:unhideWhenUsed/>
    <w:rsid w:val="00BD49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congress.gov/116/plaws/publ224/PLAW-116publ224.pdf" TargetMode="External" /><Relationship Id="rId11" Type="http://schemas.openxmlformats.org/officeDocument/2006/relationships/hyperlink" Target="https://www.epa.gov/infrastructure/solid-waste-infrastructure-recycling-grant-program" TargetMode="External" /><Relationship Id="rId12" Type="http://schemas.openxmlformats.org/officeDocument/2006/relationships/hyperlink" Target="https://www.epa.gov/infrastructure" TargetMode="External" /><Relationship Id="rId13" Type="http://schemas.openxmlformats.org/officeDocument/2006/relationships/hyperlink" Target="https://www.epa.gov/infrastructure/consumer-recycling-education-and-outreach-grant-program" TargetMode="External" /><Relationship Id="rId14" Type="http://schemas.openxmlformats.org/officeDocument/2006/relationships/hyperlink" Target="https://www.epa.gov/fedfacts/resource-conservation-and-recovery-act" TargetMode="External" /><Relationship Id="rId15" Type="http://schemas.openxmlformats.org/officeDocument/2006/relationships/hyperlink" Target="https://www.whitehouse.gov/wp-content/uploads/legacy_drupal_files/omb/assets/inforeg/PRA_Gen_ICRs_5-28-2010.pdf" TargetMode="Externa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infrastructure/recycling-grant-selectees-and-recipients" TargetMode="External" /><Relationship Id="rId2" Type="http://schemas.openxmlformats.org/officeDocument/2006/relationships/hyperlink" Target="https://www.bls.gov/oes/current/oes110000.htm" TargetMode="External" /><Relationship Id="rId3" Type="http://schemas.openxmlformats.org/officeDocument/2006/relationships/hyperlink" Target="https://www.bls.gov/oes/current/oes434199.htm" TargetMode="External" /><Relationship Id="rId4" Type="http://schemas.openxmlformats.org/officeDocument/2006/relationships/hyperlink" Target="https://www.bls.gov/oes/current/oes433031.htm" TargetMode="Externa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2023/general-schedule/" TargetMode="External" /><Relationship Id="rId7" Type="http://schemas.openxmlformats.org/officeDocument/2006/relationships/hyperlink" Target="https://www.opm.gov/policy-data-oversighttps:/www.opm.gov/policy-data-oversight/pay-leave/salaries-wages/salary-tables/23Tables/html/DCB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CD9FA56227444F82B5527B419A1BA5" ma:contentTypeVersion="41" ma:contentTypeDescription="Create a new document." ma:contentTypeScope="" ma:versionID="e99b4176edc2f5628c46a730bdbd53c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45247b5e-ffbd-4f0c-88fc-bd54b4f5e0ea" xmlns:ns7="ca497fff-9786-4e82-a531-681128f534e2" targetNamespace="http://schemas.microsoft.com/office/2006/metadata/properties" ma:root="true" ma:fieldsID="f5c5b1d17bffc4c59066828c91f0d17c" ns1:_="" ns3:_="" ns4:_="" ns5:_="" ns6:_="" ns7:_="">
    <xsd:import namespace="http://schemas.microsoft.com/sharepoint/v3"/>
    <xsd:import namespace="4ffa91fb-a0ff-4ac5-b2db-65c790d184a4"/>
    <xsd:import namespace="http://schemas.microsoft.com/sharepoint.v3"/>
    <xsd:import namespace="http://schemas.microsoft.com/sharepoint/v3/fields"/>
    <xsd:import namespace="45247b5e-ffbd-4f0c-88fc-bd54b4f5e0ea"/>
    <xsd:import namespace="ca497fff-9786-4e82-a531-681128f534e2"/>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6:LastSharedByUser" minOccurs="0"/>
                <xsd:element ref="ns6:LastSharedByTime" minOccurs="0"/>
                <xsd:element ref="ns7:MediaServiceMetadata" minOccurs="0"/>
                <xsd:element ref="ns7:MediaServiceFastMetadata" minOccurs="0"/>
                <xsd:element ref="ns6:Records_x0020_Status" minOccurs="0"/>
                <xsd:element ref="ns6:Records_x0020_Date" minOccurs="0"/>
                <xsd:element ref="ns7:MediaServiceAutoTags" minOccurs="0"/>
                <xsd:element ref="ns7:MediaServiceOCR" minOccurs="0"/>
                <xsd:element ref="ns7:MediaServiceGenerationTime" minOccurs="0"/>
                <xsd:element ref="ns7:MediaServiceEventHashCode" minOccurs="0"/>
                <xsd:element ref="ns7:MediaServiceDateTaken" minOccurs="0"/>
                <xsd:element ref="ns7:MediaServiceLocation" minOccurs="0"/>
                <xsd:element ref="ns7:MediaLengthInSeconds" minOccurs="0"/>
                <xsd:element ref="ns1:_ip_UnifiedCompliancePolicyProperties" minOccurs="0"/>
                <xsd:element ref="ns1:_ip_UnifiedCompliancePolicyUIAction" minOccurs="0"/>
                <xsd:element ref="ns7:_activity" minOccurs="0"/>
                <xsd:element ref="ns7:MediaServiceObjectDetectorVersions" minOccurs="0"/>
                <xsd:element ref="ns7:MediaServiceSystemTag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f0ce704-f78d-4157-9c5d-47e9057648bd}" ma:internalName="TaxCatchAllLabel" ma:readOnly="true" ma:showField="CatchAllDataLabel" ma:web="45247b5e-ffbd-4f0c-88fc-bd54b4f5e0e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f0ce704-f78d-4157-9c5d-47e9057648bd}" ma:internalName="TaxCatchAll" ma:showField="CatchAllData" ma:web="45247b5e-ffbd-4f0c-88fc-bd54b4f5e0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247b5e-ffbd-4f0c-88fc-bd54b4f5e0ea"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LastSharedByUser" ma:index="31" nillable="true" ma:displayName="Last Shared By User" ma:description="" ma:internalName="LastSharedByUser" ma:readOnly="true">
      <xsd:simpleType>
        <xsd:restriction base="dms:Note">
          <xsd:maxLength value="255"/>
        </xsd:restriction>
      </xsd:simpleType>
    </xsd:element>
    <xsd:element name="LastSharedByTime" ma:index="32" nillable="true" ma:displayName="Last Shared By Time" ma:description="" ma:internalName="LastSharedByTime" ma:readOnly="true">
      <xsd:simpleType>
        <xsd:restriction base="dms:DateTime"/>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497fff-9786-4e82-a531-681128f534e2" elementFormDefault="qualified">
    <xsd:import namespace="http://schemas.microsoft.com/office/2006/documentManagement/types"/>
    <xsd:import namespace="http://schemas.microsoft.com/office/infopath/2007/PartnerControls"/>
    <xsd:element name="MediaServiceMetadata" ma:index="33" nillable="true" ma:displayName="MediaServiceMetadata" ma:description="" ma:hidden="true" ma:internalName="MediaServiceMetadata" ma:readOnly="true">
      <xsd:simpleType>
        <xsd:restriction base="dms:Note"/>
      </xsd:simpleType>
    </xsd:element>
    <xsd:element name="MediaServiceFastMetadata" ma:index="34" nillable="true" ma:displayName="MediaServiceFastMetadata" ma:description="" ma:hidden="true" ma:internalName="MediaServiceFastMetadata" ma:readOnly="true">
      <xsd:simpleType>
        <xsd:restriction base="dms:Note"/>
      </xsd:simpleType>
    </xsd:element>
    <xsd:element name="MediaServiceAutoTags" ma:index="37" nillable="true" ma:displayName="Tags" ma:internalName="MediaServiceAutoTags" ma:readOnly="true">
      <xsd:simpleType>
        <xsd:restriction base="dms:Text"/>
      </xsd:simple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_activity" ma:index="46" nillable="true" ma:displayName="_activity" ma:hidden="true" ma:internalName="_activity">
      <xsd:simpleType>
        <xsd:restriction base="dms:Note"/>
      </xsd:simpleType>
    </xsd:element>
    <xsd:element name="MediaServiceObjectDetectorVersions" ma:index="47" nillable="true" ma:displayName="MediaServiceObjectDetectorVersions" ma:hidden="true" ma:indexed="true" ma:internalName="MediaServiceObjectDetectorVersions" ma:readOnly="true">
      <xsd:simpleType>
        <xsd:restriction base="dms:Text"/>
      </xsd:simpleType>
    </xsd:element>
    <xsd:element name="MediaServiceSystemTags" ma:index="48" nillable="true" ma:displayName="MediaServiceSystemTags" ma:hidden="true" ma:internalName="MediaServiceSystemTags" ma:readOnly="true">
      <xsd:simpleType>
        <xsd:restriction base="dms:Note"/>
      </xsd:simpleType>
    </xsd:element>
    <xsd:element name="MediaServiceSearchProperties" ma:index="4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45247b5e-ffbd-4f0c-88fc-bd54b4f5e0ea">
      <UserInfo>
        <DisplayName>Blaufuss, Hannah (she/her/hers)</DisplayName>
        <AccountId>29</AccountId>
        <AccountType/>
      </UserInfo>
      <UserInfo>
        <DisplayName>Suarez, Lana (she/her/hers)</DisplayName>
        <AccountId>46</AccountId>
        <AccountType/>
      </UserInfo>
      <UserInfo>
        <DisplayName>Vance, Ronald (he/him/his)</DisplayName>
        <AccountId>853</AccountId>
        <AccountType/>
      </UserInfo>
      <UserInfo>
        <DisplayName>Robert Paterson</DisplayName>
        <AccountId>1538</AccountId>
        <AccountType/>
      </UserInfo>
      <UserInfo>
        <DisplayName>Sims, JaniceHQ (she/her/hers)</DisplayName>
        <AccountId>2909</AccountId>
        <AccountType/>
      </UserInfo>
      <UserInfo>
        <DisplayName>McGrath, Daniel (he/him/his)</DisplayName>
        <AccountId>2564</AccountId>
        <AccountType/>
      </UserInfo>
      <UserInfo>
        <DisplayName>Schultz, Eric</DisplayName>
        <AccountId>2375</AccountId>
        <AccountType/>
      </UserInfo>
      <UserInfo>
        <DisplayName>Kerwin, Courtney</DisplayName>
        <AccountId>1435</AccountId>
        <AccountType/>
      </UserInfo>
      <UserInfo>
        <DisplayName>Cedeno-Zambrano, Lorena</DisplayName>
        <AccountId>779</AccountId>
        <AccountType/>
      </UserInfo>
      <UserInfo>
        <DisplayName>Shaw, Nena</DisplayName>
        <AccountId>27</AccountId>
        <AccountType/>
      </UserInfo>
      <UserInfo>
        <DisplayName>Iyer, Aarti (she/her/hers)</DisplayName>
        <AccountId>1507</AccountId>
        <AccountType/>
      </UserInfo>
    </SharedWithUsers>
    <Records_x0020_Date xmlns="45247b5e-ffbd-4f0c-88fc-bd54b4f5e0ea" xsi:nil="true"/>
    <_ip_UnifiedCompliancePolicyUIAction xmlns="http://schemas.microsoft.com/sharepoint/v3" xsi:nil="true"/>
    <_ip_UnifiedCompliancePolicyProperties xmlns="http://schemas.microsoft.com/sharepoint/v3" xsi:nil="true"/>
    <_activity xmlns="ca497fff-9786-4e82-a531-681128f534e2" xsi:nil="true"/>
    <Records_x0020_Status xmlns="45247b5e-ffbd-4f0c-88fc-bd54b4f5e0ea">Pending</Records_x0020_Statu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0918A1-A6AE-4F2A-9188-9BA7C02AB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45247b5e-ffbd-4f0c-88fc-bd54b4f5e0ea"/>
    <ds:schemaRef ds:uri="ca497fff-9786-4e82-a531-681128f53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033098-BF7F-4D78-8529-0AFBF5D8899C}">
  <ds:schemaRefs>
    <ds:schemaRef ds:uri="http://schemas.openxmlformats.org/package/2006/metadata/core-properties"/>
    <ds:schemaRef ds:uri="http://schemas.microsoft.com/sharepoint/v3/fields"/>
    <ds:schemaRef ds:uri="4ffa91fb-a0ff-4ac5-b2db-65c790d184a4"/>
    <ds:schemaRef ds:uri="http://schemas.microsoft.com/sharepoint/v3"/>
    <ds:schemaRef ds:uri="http://purl.org/dc/terms/"/>
    <ds:schemaRef ds:uri="http://schemas.microsoft.com/sharepoint.v3"/>
    <ds:schemaRef ds:uri="http://schemas.microsoft.com/office/2006/metadata/properties"/>
    <ds:schemaRef ds:uri="http://purl.org/dc/elements/1.1/"/>
    <ds:schemaRef ds:uri="http://schemas.microsoft.com/office/infopath/2007/PartnerControls"/>
    <ds:schemaRef ds:uri="ca497fff-9786-4e82-a531-681128f534e2"/>
    <ds:schemaRef ds:uri="http://schemas.microsoft.com/office/2006/documentManagement/types"/>
    <ds:schemaRef ds:uri="45247b5e-ffbd-4f0c-88fc-bd54b4f5e0ea"/>
    <ds:schemaRef ds:uri="http://www.w3.org/XML/1998/namespace"/>
    <ds:schemaRef ds:uri="http://purl.org/dc/dcmitype/"/>
  </ds:schemaRefs>
</ds:datastoreItem>
</file>

<file path=customXml/itemProps3.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4.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5.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4458</Words>
  <Characters>25524</Characters>
  <Application>Microsoft Office Word</Application>
  <DocSecurity>0</DocSecurity>
  <Lines>524</Lines>
  <Paragraphs>268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29778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3</cp:revision>
  <dcterms:created xsi:type="dcterms:W3CDTF">2024-05-20T21:21:00Z</dcterms:created>
  <dcterms:modified xsi:type="dcterms:W3CDTF">2024-05-22T19:43:00Z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0x01010057CD9FA56227444F82B5527B419A1BA5</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MediaServiceImageTags">
    <vt:lpwstr/>
  </property>
  <property fmtid="{D5CDD505-2E9C-101B-9397-08002B2CF9AE}" pid="8" name="TaxKeyword">
    <vt:lpwstr/>
  </property>
  <property fmtid="{D5CDD505-2E9C-101B-9397-08002B2CF9AE}" pid="9" name="_ExtendedDescription">
    <vt:lpwstr/>
  </property>
</Properties>
</file>