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628E" w14:paraId="19DA58AE" w14:textId="77777777">
      <w:pPr>
        <w:pStyle w:val="Heading1"/>
        <w:spacing w:before="80" w:line="259" w:lineRule="auto"/>
      </w:pPr>
      <w:r>
        <w:t>Responses</w:t>
      </w:r>
      <w:r>
        <w:rPr>
          <w:spacing w:val="-5"/>
        </w:rPr>
        <w:t xml:space="preserve"> </w:t>
      </w:r>
      <w:r>
        <w:t>to</w:t>
      </w:r>
      <w:r>
        <w:rPr>
          <w:spacing w:val="-5"/>
        </w:rPr>
        <w:t xml:space="preserve"> </w:t>
      </w:r>
      <w:r>
        <w:t>Comments</w:t>
      </w:r>
      <w:r>
        <w:rPr>
          <w:spacing w:val="-5"/>
        </w:rPr>
        <w:t xml:space="preserve"> </w:t>
      </w:r>
      <w:r>
        <w:t>Received</w:t>
      </w:r>
      <w:r>
        <w:rPr>
          <w:spacing w:val="-5"/>
        </w:rPr>
        <w:t xml:space="preserve"> </w:t>
      </w:r>
      <w:r>
        <w:t>on</w:t>
      </w:r>
      <w:r>
        <w:rPr>
          <w:spacing w:val="-4"/>
        </w:rPr>
        <w:t xml:space="preserve"> </w:t>
      </w:r>
      <w:r>
        <w:t>Proposed</w:t>
      </w:r>
      <w:r>
        <w:rPr>
          <w:spacing w:val="-2"/>
        </w:rPr>
        <w:t xml:space="preserve"> </w:t>
      </w:r>
      <w:r>
        <w:t>Renewal</w:t>
      </w:r>
      <w:r>
        <w:rPr>
          <w:spacing w:val="-5"/>
        </w:rPr>
        <w:t xml:space="preserve"> </w:t>
      </w:r>
      <w:r>
        <w:t>of</w:t>
      </w:r>
      <w:r>
        <w:rPr>
          <w:spacing w:val="-6"/>
        </w:rPr>
        <w:t xml:space="preserve"> </w:t>
      </w:r>
      <w:r>
        <w:t>the</w:t>
      </w:r>
      <w:r>
        <w:rPr>
          <w:spacing w:val="-5"/>
        </w:rPr>
        <w:t xml:space="preserve"> </w:t>
      </w:r>
      <w:r>
        <w:t>Information</w:t>
      </w:r>
      <w:r>
        <w:rPr>
          <w:spacing w:val="-5"/>
        </w:rPr>
        <w:t xml:space="preserve"> </w:t>
      </w:r>
      <w:r>
        <w:t xml:space="preserve">Collection Request (ICR) for the Toxic Substances Control Act (TSCA) Section 12(b) Export </w:t>
      </w:r>
      <w:r>
        <w:rPr>
          <w:spacing w:val="-2"/>
        </w:rPr>
        <w:t>Notifications</w:t>
      </w:r>
    </w:p>
    <w:p w:rsidR="0087628E" w14:paraId="19DA58AF" w14:textId="77777777">
      <w:pPr>
        <w:spacing w:before="159"/>
        <w:ind w:left="100"/>
        <w:rPr>
          <w:b/>
          <w:sz w:val="24"/>
        </w:rPr>
      </w:pPr>
      <w:r>
        <w:rPr>
          <w:b/>
          <w:spacing w:val="-2"/>
          <w:sz w:val="24"/>
          <w:u w:val="single"/>
        </w:rPr>
        <w:t>Background</w:t>
      </w:r>
    </w:p>
    <w:p w:rsidR="0087628E" w14:paraId="19DA58B0" w14:textId="77777777">
      <w:pPr>
        <w:pStyle w:val="BodyText"/>
        <w:spacing w:before="2"/>
        <w:ind w:left="0"/>
        <w:rPr>
          <w:b/>
          <w:sz w:val="16"/>
        </w:rPr>
      </w:pPr>
    </w:p>
    <w:p w:rsidR="0087628E" w14:paraId="19DA58B1" w14:textId="755A5B5C">
      <w:pPr>
        <w:pStyle w:val="BodyText"/>
        <w:spacing w:before="90"/>
        <w:ind w:right="148"/>
      </w:pPr>
      <w:r>
        <w:t>On</w:t>
      </w:r>
      <w:r>
        <w:rPr>
          <w:spacing w:val="-3"/>
        </w:rPr>
        <w:t xml:space="preserve"> </w:t>
      </w:r>
      <w:r w:rsidR="009E692F">
        <w:t>September 22</w:t>
      </w:r>
      <w:r>
        <w:t>,</w:t>
      </w:r>
      <w:r>
        <w:rPr>
          <w:spacing w:val="-2"/>
        </w:rPr>
        <w:t xml:space="preserve"> </w:t>
      </w:r>
      <w:r>
        <w:t>202</w:t>
      </w:r>
      <w:r w:rsidR="12970DD3">
        <w:t>3</w:t>
      </w:r>
      <w:r>
        <w:t xml:space="preserve"> (8</w:t>
      </w:r>
      <w:r w:rsidR="009E692F">
        <w:t>8</w:t>
      </w:r>
      <w:r>
        <w:rPr>
          <w:spacing w:val="-2"/>
        </w:rPr>
        <w:t xml:space="preserve"> </w:t>
      </w:r>
      <w:r>
        <w:t>FR</w:t>
      </w:r>
      <w:r>
        <w:rPr>
          <w:spacing w:val="-1"/>
        </w:rPr>
        <w:t xml:space="preserve"> </w:t>
      </w:r>
      <w:r w:rsidR="009E692F">
        <w:t>65390</w:t>
      </w:r>
      <w:r>
        <w:t>),</w:t>
      </w:r>
      <w:r>
        <w:rPr>
          <w:spacing w:val="-2"/>
        </w:rPr>
        <w:t xml:space="preserve"> </w:t>
      </w:r>
      <w:r>
        <w:t>the</w:t>
      </w:r>
      <w:r>
        <w:rPr>
          <w:spacing w:val="-4"/>
        </w:rPr>
        <w:t xml:space="preserve"> </w:t>
      </w:r>
      <w:r>
        <w:t>U.S.</w:t>
      </w:r>
      <w:r>
        <w:rPr>
          <w:spacing w:val="-2"/>
        </w:rPr>
        <w:t xml:space="preserve"> </w:t>
      </w:r>
      <w:r>
        <w:t>Environmental</w:t>
      </w:r>
      <w:r>
        <w:rPr>
          <w:spacing w:val="-2"/>
        </w:rPr>
        <w:t xml:space="preserve"> </w:t>
      </w:r>
      <w:r>
        <w:t>Protection</w:t>
      </w:r>
      <w:r>
        <w:rPr>
          <w:spacing w:val="-2"/>
        </w:rPr>
        <w:t xml:space="preserve"> </w:t>
      </w:r>
      <w:r>
        <w:t>Agency</w:t>
      </w:r>
      <w:r>
        <w:rPr>
          <w:spacing w:val="-1"/>
        </w:rPr>
        <w:t xml:space="preserve"> </w:t>
      </w:r>
      <w:r>
        <w:t>(EPA)</w:t>
      </w:r>
      <w:r>
        <w:rPr>
          <w:spacing w:val="-3"/>
        </w:rPr>
        <w:t xml:space="preserve"> </w:t>
      </w:r>
      <w:r>
        <w:t>published a</w:t>
      </w:r>
      <w:r>
        <w:rPr>
          <w:spacing w:val="-4"/>
        </w:rPr>
        <w:t xml:space="preserve"> </w:t>
      </w:r>
      <w:r>
        <w:t>notice</w:t>
      </w:r>
      <w:r>
        <w:rPr>
          <w:spacing w:val="-4"/>
        </w:rPr>
        <w:t xml:space="preserve"> </w:t>
      </w:r>
      <w:r>
        <w:t>in</w:t>
      </w:r>
      <w:r>
        <w:rPr>
          <w:spacing w:val="-3"/>
        </w:rPr>
        <w:t xml:space="preserve"> </w:t>
      </w:r>
      <w:r>
        <w:t>the</w:t>
      </w:r>
      <w:r>
        <w:rPr>
          <w:spacing w:val="-4"/>
        </w:rPr>
        <w:t xml:space="preserve"> </w:t>
      </w:r>
      <w:r w:rsidRPr="74381D10">
        <w:rPr>
          <w:i/>
          <w:iCs/>
        </w:rPr>
        <w:t>Federal</w:t>
      </w:r>
      <w:r w:rsidRPr="74381D10">
        <w:rPr>
          <w:i/>
          <w:iCs/>
          <w:spacing w:val="-3"/>
        </w:rPr>
        <w:t xml:space="preserve"> </w:t>
      </w:r>
      <w:r w:rsidRPr="74381D10">
        <w:rPr>
          <w:i/>
          <w:iCs/>
        </w:rPr>
        <w:t>Register</w:t>
      </w:r>
      <w:r>
        <w:rPr>
          <w:spacing w:val="-2"/>
        </w:rPr>
        <w:t xml:space="preserve"> </w:t>
      </w:r>
      <w:r>
        <w:t>and</w:t>
      </w:r>
      <w:r>
        <w:rPr>
          <w:spacing w:val="-3"/>
        </w:rPr>
        <w:t xml:space="preserve"> </w:t>
      </w:r>
      <w:r>
        <w:t>sent</w:t>
      </w:r>
      <w:r>
        <w:rPr>
          <w:spacing w:val="-3"/>
        </w:rPr>
        <w:t xml:space="preserve"> </w:t>
      </w:r>
      <w:r>
        <w:t>consultation</w:t>
      </w:r>
      <w:r>
        <w:rPr>
          <w:spacing w:val="-3"/>
        </w:rPr>
        <w:t xml:space="preserve"> </w:t>
      </w:r>
      <w:r>
        <w:t>emails</w:t>
      </w:r>
      <w:r>
        <w:rPr>
          <w:spacing w:val="-3"/>
        </w:rPr>
        <w:t xml:space="preserve"> </w:t>
      </w:r>
      <w:r>
        <w:t>to</w:t>
      </w:r>
      <w:r>
        <w:rPr>
          <w:spacing w:val="-3"/>
        </w:rPr>
        <w:t xml:space="preserve"> </w:t>
      </w:r>
      <w:r>
        <w:t>nine</w:t>
      </w:r>
      <w:r>
        <w:rPr>
          <w:spacing w:val="-3"/>
        </w:rPr>
        <w:t xml:space="preserve"> </w:t>
      </w:r>
      <w:r>
        <w:t>recipients announcing</w:t>
      </w:r>
      <w:r>
        <w:rPr>
          <w:spacing w:val="-3"/>
        </w:rPr>
        <w:t xml:space="preserve"> </w:t>
      </w:r>
      <w:r>
        <w:t>that</w:t>
      </w:r>
      <w:r>
        <w:rPr>
          <w:spacing w:val="-3"/>
        </w:rPr>
        <w:t xml:space="preserve"> </w:t>
      </w:r>
      <w:r>
        <w:t>it was planning to submit an Information Collection Request (ICR) to the Office of Management and Budget (OMB) for renewal of the collection of information under TSCA section 12(b). The public comment period closed on</w:t>
      </w:r>
      <w:r w:rsidR="009E692F">
        <w:t xml:space="preserve"> November</w:t>
      </w:r>
      <w:r>
        <w:t xml:space="preserve"> </w:t>
      </w:r>
      <w:r w:rsidR="009E692F">
        <w:t>21</w:t>
      </w:r>
      <w:r>
        <w:t>, 202</w:t>
      </w:r>
      <w:r w:rsidR="00DE6DDC">
        <w:t>3</w:t>
      </w:r>
      <w:r>
        <w:t xml:space="preserve">. The Agency received </w:t>
      </w:r>
      <w:r w:rsidR="00DE6DDC">
        <w:t xml:space="preserve">a </w:t>
      </w:r>
      <w:r>
        <w:t>comment from the American Petroleum Institute (API) in response to this notice.</w:t>
      </w:r>
    </w:p>
    <w:p w:rsidR="0087628E" w14:paraId="19DA58B2" w14:textId="77777777">
      <w:pPr>
        <w:pStyle w:val="BodyText"/>
        <w:spacing w:before="1"/>
        <w:ind w:left="0"/>
      </w:pPr>
    </w:p>
    <w:p w:rsidR="0087628E" w14:paraId="19DA58B3" w14:textId="77777777">
      <w:pPr>
        <w:pStyle w:val="Heading1"/>
      </w:pPr>
      <w:r>
        <w:rPr>
          <w:u w:val="single"/>
        </w:rPr>
        <w:t>Public</w:t>
      </w:r>
      <w:r>
        <w:rPr>
          <w:spacing w:val="-2"/>
          <w:u w:val="single"/>
        </w:rPr>
        <w:t xml:space="preserve"> </w:t>
      </w:r>
      <w:r>
        <w:rPr>
          <w:u w:val="single"/>
        </w:rPr>
        <w:t>Comments and</w:t>
      </w:r>
      <w:r>
        <w:rPr>
          <w:spacing w:val="-3"/>
          <w:u w:val="single"/>
        </w:rPr>
        <w:t xml:space="preserve"> </w:t>
      </w:r>
      <w:r>
        <w:rPr>
          <w:u w:val="single"/>
        </w:rPr>
        <w:t>EPA</w:t>
      </w:r>
      <w:r>
        <w:rPr>
          <w:spacing w:val="-1"/>
          <w:u w:val="single"/>
        </w:rPr>
        <w:t xml:space="preserve"> </w:t>
      </w:r>
      <w:r>
        <w:rPr>
          <w:spacing w:val="-2"/>
          <w:u w:val="single"/>
        </w:rPr>
        <w:t>Responses</w:t>
      </w:r>
    </w:p>
    <w:p w:rsidR="0087628E" w14:paraId="19DA58B4" w14:textId="77777777">
      <w:pPr>
        <w:pStyle w:val="BodyText"/>
        <w:spacing w:before="2"/>
        <w:ind w:left="0"/>
        <w:rPr>
          <w:b/>
          <w:sz w:val="16"/>
        </w:rPr>
      </w:pPr>
    </w:p>
    <w:p w:rsidR="0087628E" w14:paraId="19DA58B5" w14:textId="524F668B">
      <w:pPr>
        <w:pStyle w:val="BodyText"/>
        <w:spacing w:before="90"/>
        <w:ind w:right="148"/>
      </w:pPr>
      <w:r>
        <w:rPr>
          <w:i/>
        </w:rPr>
        <w:t>Comment 1</w:t>
      </w:r>
      <w:r>
        <w:t xml:space="preserve">: API commented that the information collection under the TSCA section 12(b) export notification requirement is an outdated paperwork requirement and </w:t>
      </w:r>
      <w:r w:rsidR="00697F46">
        <w:t>has no practical utility for foreign countries. T</w:t>
      </w:r>
      <w:r>
        <w:t>he information provided</w:t>
      </w:r>
      <w:r>
        <w:rPr>
          <w:spacing w:val="-3"/>
        </w:rPr>
        <w:t xml:space="preserve"> </w:t>
      </w:r>
      <w:r>
        <w:t>to</w:t>
      </w:r>
      <w:r>
        <w:rPr>
          <w:spacing w:val="-3"/>
        </w:rPr>
        <w:t xml:space="preserve"> </w:t>
      </w:r>
      <w:r>
        <w:t>EPA</w:t>
      </w:r>
      <w:r>
        <w:rPr>
          <w:spacing w:val="-3"/>
        </w:rPr>
        <w:t xml:space="preserve"> </w:t>
      </w:r>
      <w:r>
        <w:t>in</w:t>
      </w:r>
      <w:r>
        <w:rPr>
          <w:spacing w:val="-3"/>
        </w:rPr>
        <w:t xml:space="preserve"> </w:t>
      </w:r>
      <w:r>
        <w:t>a</w:t>
      </w:r>
      <w:r>
        <w:rPr>
          <w:spacing w:val="-4"/>
        </w:rPr>
        <w:t xml:space="preserve"> </w:t>
      </w:r>
      <w:r>
        <w:t>notice</w:t>
      </w:r>
      <w:r>
        <w:rPr>
          <w:spacing w:val="-4"/>
        </w:rPr>
        <w:t xml:space="preserve"> </w:t>
      </w:r>
      <w:r>
        <w:t>from</w:t>
      </w:r>
      <w:r>
        <w:rPr>
          <w:spacing w:val="-3"/>
        </w:rPr>
        <w:t xml:space="preserve"> </w:t>
      </w:r>
      <w:r>
        <w:t>an</w:t>
      </w:r>
      <w:r>
        <w:rPr>
          <w:spacing w:val="-2"/>
        </w:rPr>
        <w:t xml:space="preserve"> </w:t>
      </w:r>
      <w:r>
        <w:t>exporter</w:t>
      </w:r>
      <w:r>
        <w:rPr>
          <w:spacing w:val="-3"/>
        </w:rPr>
        <w:t xml:space="preserve"> </w:t>
      </w:r>
      <w:r>
        <w:t>is</w:t>
      </w:r>
      <w:r>
        <w:rPr>
          <w:spacing w:val="-3"/>
        </w:rPr>
        <w:t xml:space="preserve"> </w:t>
      </w:r>
      <w:r>
        <w:t>available</w:t>
      </w:r>
      <w:r>
        <w:rPr>
          <w:spacing w:val="-3"/>
        </w:rPr>
        <w:t xml:space="preserve"> </w:t>
      </w:r>
      <w:r>
        <w:t>to</w:t>
      </w:r>
      <w:r>
        <w:rPr>
          <w:spacing w:val="-3"/>
        </w:rPr>
        <w:t xml:space="preserve"> </w:t>
      </w:r>
      <w:r>
        <w:t>foreign</w:t>
      </w:r>
      <w:r>
        <w:rPr>
          <w:spacing w:val="-3"/>
        </w:rPr>
        <w:t xml:space="preserve"> </w:t>
      </w:r>
      <w:r>
        <w:t>governments</w:t>
      </w:r>
      <w:r>
        <w:rPr>
          <w:spacing w:val="-3"/>
        </w:rPr>
        <w:t xml:space="preserve"> </w:t>
      </w:r>
      <w:r>
        <w:t>on</w:t>
      </w:r>
      <w:r>
        <w:rPr>
          <w:spacing w:val="-3"/>
        </w:rPr>
        <w:t xml:space="preserve"> </w:t>
      </w:r>
      <w:r>
        <w:t>the</w:t>
      </w:r>
      <w:r>
        <w:rPr>
          <w:spacing w:val="-4"/>
        </w:rPr>
        <w:t xml:space="preserve"> </w:t>
      </w:r>
      <w:r>
        <w:t>Internet, including EPA’s databases</w:t>
      </w:r>
      <w:r w:rsidR="00697F46">
        <w:t xml:space="preserve">, such as </w:t>
      </w:r>
      <w:r w:rsidR="00697F46">
        <w:t>ChemView</w:t>
      </w:r>
      <w:r w:rsidR="00697F46">
        <w:t>.</w:t>
      </w:r>
      <w:r w:rsidR="00EB1D7D">
        <w:t xml:space="preserve"> </w:t>
      </w:r>
      <w:r>
        <w:t xml:space="preserve"> </w:t>
      </w:r>
      <w:r w:rsidR="00EB1D7D">
        <w:t xml:space="preserve">API also commented that the export notification requirements should be retired permanently because they are obsolete, redundant, and impose a burden while providing no benefit to human health and the environment.  </w:t>
      </w:r>
      <w:r>
        <w:t>API commented that even if notification could be useful to the foreign country, there is no benefit in multiple companies providing export notifications to EPA for each chemical shipment to a particular country on an ongoing and repetitive basis.</w:t>
      </w:r>
      <w:r w:rsidR="00A1143D">
        <w:t xml:space="preserve">  </w:t>
      </w:r>
    </w:p>
    <w:p w:rsidR="0087628E" w14:paraId="19DA58B6" w14:textId="77777777">
      <w:pPr>
        <w:pStyle w:val="BodyText"/>
        <w:ind w:left="0"/>
      </w:pPr>
    </w:p>
    <w:p w:rsidR="0087628E" w14:paraId="19DA58B7" w14:textId="33D912A9">
      <w:pPr>
        <w:pStyle w:val="BodyText"/>
        <w:ind w:right="148"/>
      </w:pPr>
      <w:r>
        <w:rPr>
          <w:i/>
        </w:rPr>
        <w:t>Response</w:t>
      </w:r>
      <w:r>
        <w:t xml:space="preserve">: </w:t>
      </w:r>
      <w:r w:rsidR="00A1143D">
        <w:t xml:space="preserve">While EPA disagrees with the commenter as to the utility of TSCA section 12(b) requirements, the fact remains that 12(b) notice of export is and remains a statutory requirement.  </w:t>
      </w:r>
      <w:r>
        <w:t>TSCA section 12(b), 15 U.S.C. 2611(b), requires that “[i]f any person exports or intends</w:t>
      </w:r>
      <w:r>
        <w:rPr>
          <w:spacing w:val="-3"/>
        </w:rPr>
        <w:t xml:space="preserve"> </w:t>
      </w:r>
      <w:r>
        <w:t>to</w:t>
      </w:r>
      <w:r>
        <w:rPr>
          <w:spacing w:val="-3"/>
        </w:rPr>
        <w:t xml:space="preserve"> </w:t>
      </w:r>
      <w:r>
        <w:t>export</w:t>
      </w:r>
      <w:r>
        <w:rPr>
          <w:spacing w:val="-3"/>
        </w:rPr>
        <w:t xml:space="preserve"> </w:t>
      </w:r>
      <w:r>
        <w:t>to</w:t>
      </w:r>
      <w:r>
        <w:rPr>
          <w:spacing w:val="-3"/>
        </w:rPr>
        <w:t xml:space="preserve"> </w:t>
      </w:r>
      <w:r>
        <w:t>a</w:t>
      </w:r>
      <w:r>
        <w:rPr>
          <w:spacing w:val="-4"/>
        </w:rPr>
        <w:t xml:space="preserve"> </w:t>
      </w:r>
      <w:r>
        <w:t>foreign</w:t>
      </w:r>
      <w:r>
        <w:rPr>
          <w:spacing w:val="-3"/>
        </w:rPr>
        <w:t xml:space="preserve"> </w:t>
      </w:r>
      <w:r>
        <w:t>country</w:t>
      </w:r>
      <w:r>
        <w:rPr>
          <w:spacing w:val="-3"/>
        </w:rPr>
        <w:t xml:space="preserve"> </w:t>
      </w:r>
      <w:r>
        <w:t>a</w:t>
      </w:r>
      <w:r>
        <w:rPr>
          <w:spacing w:val="-4"/>
        </w:rPr>
        <w:t xml:space="preserve"> </w:t>
      </w:r>
      <w:r>
        <w:t>chemical</w:t>
      </w:r>
      <w:r>
        <w:rPr>
          <w:spacing w:val="-3"/>
        </w:rPr>
        <w:t xml:space="preserve"> </w:t>
      </w:r>
      <w:r>
        <w:t>substance</w:t>
      </w:r>
      <w:r>
        <w:rPr>
          <w:spacing w:val="-4"/>
        </w:rPr>
        <w:t xml:space="preserve"> </w:t>
      </w:r>
      <w:r>
        <w:t>or</w:t>
      </w:r>
      <w:r>
        <w:rPr>
          <w:spacing w:val="-3"/>
        </w:rPr>
        <w:t xml:space="preserve"> </w:t>
      </w:r>
      <w:r>
        <w:t>mixture</w:t>
      </w:r>
      <w:r>
        <w:rPr>
          <w:spacing w:val="-3"/>
        </w:rPr>
        <w:t xml:space="preserve"> </w:t>
      </w:r>
      <w:r>
        <w:t>for</w:t>
      </w:r>
      <w:r>
        <w:rPr>
          <w:spacing w:val="-3"/>
        </w:rPr>
        <w:t xml:space="preserve"> </w:t>
      </w:r>
      <w:r>
        <w:t>which</w:t>
      </w:r>
      <w:r>
        <w:rPr>
          <w:spacing w:val="-3"/>
        </w:rPr>
        <w:t xml:space="preserve"> </w:t>
      </w:r>
      <w:r>
        <w:t>information</w:t>
      </w:r>
      <w:r>
        <w:rPr>
          <w:spacing w:val="-3"/>
        </w:rPr>
        <w:t xml:space="preserve"> </w:t>
      </w:r>
      <w:r>
        <w:t>is</w:t>
      </w:r>
    </w:p>
    <w:p w:rsidR="0087628E" w14:paraId="19DA58B8" w14:textId="7255C845">
      <w:pPr>
        <w:pStyle w:val="BodyText"/>
        <w:ind w:right="116"/>
      </w:pPr>
      <w:r>
        <w:t>required</w:t>
      </w:r>
      <w:r>
        <w:rPr>
          <w:spacing w:val="-2"/>
        </w:rPr>
        <w:t xml:space="preserve"> </w:t>
      </w:r>
      <w:r>
        <w:t>under</w:t>
      </w:r>
      <w:r>
        <w:rPr>
          <w:spacing w:val="-2"/>
        </w:rPr>
        <w:t xml:space="preserve"> </w:t>
      </w:r>
      <w:r>
        <w:t>section</w:t>
      </w:r>
      <w:r>
        <w:rPr>
          <w:spacing w:val="-2"/>
        </w:rPr>
        <w:t xml:space="preserve"> </w:t>
      </w:r>
      <w:r>
        <w:t>4</w:t>
      </w:r>
      <w:r>
        <w:rPr>
          <w:spacing w:val="-2"/>
        </w:rPr>
        <w:t xml:space="preserve"> </w:t>
      </w:r>
      <w:r>
        <w:t>or</w:t>
      </w:r>
      <w:r>
        <w:rPr>
          <w:spacing w:val="-3"/>
        </w:rPr>
        <w:t xml:space="preserve"> </w:t>
      </w:r>
      <w:r>
        <w:t>5(b)</w:t>
      </w:r>
      <w:r>
        <w:rPr>
          <w:spacing w:val="-4"/>
        </w:rPr>
        <w:t xml:space="preserve"> </w:t>
      </w:r>
      <w:r>
        <w:t>[of</w:t>
      </w:r>
      <w:r>
        <w:rPr>
          <w:spacing w:val="-2"/>
        </w:rPr>
        <w:t xml:space="preserve"> </w:t>
      </w:r>
      <w:r>
        <w:t>TSCA]”</w:t>
      </w:r>
      <w:r>
        <w:rPr>
          <w:spacing w:val="-3"/>
        </w:rPr>
        <w:t xml:space="preserve"> </w:t>
      </w:r>
      <w:r>
        <w:t>or</w:t>
      </w:r>
      <w:r>
        <w:rPr>
          <w:spacing w:val="-1"/>
        </w:rPr>
        <w:t xml:space="preserve"> </w:t>
      </w:r>
      <w:r>
        <w:t>“for</w:t>
      </w:r>
      <w:r>
        <w:rPr>
          <w:spacing w:val="-2"/>
        </w:rPr>
        <w:t xml:space="preserve"> </w:t>
      </w:r>
      <w:r>
        <w:t>which</w:t>
      </w:r>
      <w:r>
        <w:rPr>
          <w:spacing w:val="-2"/>
        </w:rPr>
        <w:t xml:space="preserve"> </w:t>
      </w:r>
      <w:r>
        <w:t>an</w:t>
      </w:r>
      <w:r>
        <w:rPr>
          <w:spacing w:val="-2"/>
        </w:rPr>
        <w:t xml:space="preserve"> </w:t>
      </w:r>
      <w:r>
        <w:t>order</w:t>
      </w:r>
      <w:r>
        <w:rPr>
          <w:spacing w:val="-2"/>
        </w:rPr>
        <w:t xml:space="preserve"> </w:t>
      </w:r>
      <w:r>
        <w:t>has</w:t>
      </w:r>
      <w:r>
        <w:rPr>
          <w:spacing w:val="-3"/>
        </w:rPr>
        <w:t xml:space="preserve"> </w:t>
      </w:r>
      <w:r>
        <w:t>been</w:t>
      </w:r>
      <w:r>
        <w:rPr>
          <w:spacing w:val="-2"/>
        </w:rPr>
        <w:t xml:space="preserve"> </w:t>
      </w:r>
      <w:r>
        <w:t>issued</w:t>
      </w:r>
      <w:r>
        <w:rPr>
          <w:spacing w:val="-2"/>
        </w:rPr>
        <w:t xml:space="preserve"> </w:t>
      </w:r>
      <w:r>
        <w:t>under</w:t>
      </w:r>
      <w:r>
        <w:rPr>
          <w:spacing w:val="-2"/>
        </w:rPr>
        <w:t xml:space="preserve"> </w:t>
      </w:r>
      <w:r>
        <w:t xml:space="preserve">section 5 or a rule has been proposed or promulgated under section 5 or 6, or with respect to which an action is pending, or relief has been granted under section 5 or 7,” then such person must submit notification to EPA of such export or intent to export. TSCA was enacted in 1976 and significantly amended by the Frank R. Lautenberg Chemical Safety for the 21st Century Act on June 22, 2016. However, the export notification process under TSCA section 12(b) was not repealed or altered </w:t>
      </w:r>
      <w:r w:rsidR="00A1143D">
        <w:t xml:space="preserve">in 2016 </w:t>
      </w:r>
      <w:r>
        <w:t>to indicate that the statutory requirements under section 12(b) should be</w:t>
      </w:r>
      <w:r>
        <w:rPr>
          <w:spacing w:val="40"/>
        </w:rPr>
        <w:t xml:space="preserve"> </w:t>
      </w:r>
      <w:r>
        <w:t>ended or changed. Therefore, EPA is statutorily obligated to continue requiring export notifications from each exporter, as applicable.</w:t>
      </w:r>
    </w:p>
    <w:p w:rsidR="004655F1" w14:paraId="7E5542EE" w14:textId="5B3DD284">
      <w:pPr>
        <w:pStyle w:val="BodyText"/>
        <w:ind w:right="116"/>
      </w:pPr>
    </w:p>
    <w:p w:rsidR="004655F1" w14:paraId="6DC1F561" w14:textId="7041D499">
      <w:pPr>
        <w:pStyle w:val="BodyText"/>
        <w:ind w:right="116"/>
      </w:pPr>
      <w:r>
        <w:t xml:space="preserve">In theory, EPA could </w:t>
      </w:r>
      <w:r w:rsidR="00EB1D7D">
        <w:t>propose to</w:t>
      </w:r>
      <w:r w:rsidR="007D479D">
        <w:t xml:space="preserve"> </w:t>
      </w:r>
      <w:r>
        <w:t xml:space="preserve">exempt </w:t>
      </w:r>
      <w:r w:rsidR="00EB1D7D">
        <w:t xml:space="preserve">by rule </w:t>
      </w:r>
      <w:r>
        <w:t>duplicative export reports (e.g., for the same chemical to the same country in the same year) from 12(b) reporting requirements, but EPA is often not able to make 12(b) data publicly available due to CBI claims for country of export</w:t>
      </w:r>
      <w:r w:rsidR="007D479D">
        <w:t xml:space="preserve"> or other information</w:t>
      </w:r>
      <w:r>
        <w:t xml:space="preserve">.  No system or practice of </w:t>
      </w:r>
      <w:r w:rsidR="007D479D">
        <w:t>publishing</w:t>
      </w:r>
      <w:r>
        <w:t xml:space="preserve"> non-CBI 12(b) export data is currently in place, as there has historically been little demand for such data.</w:t>
      </w:r>
      <w:r w:rsidR="007D479D">
        <w:t xml:space="preserve">  EPA would have to develop a new system or expand existing public databases in order to make non-CBI 12(b) data available for lookup on a given chemical, and it is not clear that 12(b) exporters would be likely to find such a system less burdensome to use than simply filing a 12(b) report, even if the resources did exist for EPA to build such a system.  </w:t>
      </w:r>
    </w:p>
    <w:p w:rsidR="00A1143D" w14:paraId="7245B753" w14:textId="72258AC1">
      <w:pPr>
        <w:pStyle w:val="BodyText"/>
        <w:ind w:right="116"/>
      </w:pPr>
    </w:p>
    <w:p w:rsidR="00A1143D" w14:paraId="2548F5AB" w14:textId="77777777">
      <w:pPr>
        <w:pStyle w:val="BodyText"/>
        <w:ind w:right="116"/>
      </w:pPr>
    </w:p>
    <w:p w:rsidR="0087628E" w14:paraId="19DA58B9" w14:textId="77777777">
      <w:pPr>
        <w:pStyle w:val="BodyText"/>
        <w:spacing w:before="1"/>
        <w:ind w:left="0"/>
      </w:pPr>
    </w:p>
    <w:p w:rsidR="0087628E" w14:paraId="19DA58BA" w14:textId="77777777">
      <w:pPr>
        <w:pStyle w:val="BodyText"/>
      </w:pPr>
      <w:r>
        <w:rPr>
          <w:i/>
        </w:rPr>
        <w:t>Comment 2</w:t>
      </w:r>
      <w:r>
        <w:t>: API also commented that the current TSCA section 12(b) export notification regulations are burdensome on businesses because the exporter must develop and maintain compliance</w:t>
      </w:r>
      <w:r>
        <w:rPr>
          <w:spacing w:val="-4"/>
        </w:rPr>
        <w:t xml:space="preserve"> </w:t>
      </w:r>
      <w:r>
        <w:t>systems</w:t>
      </w:r>
      <w:r>
        <w:rPr>
          <w:spacing w:val="-3"/>
        </w:rPr>
        <w:t xml:space="preserve"> </w:t>
      </w:r>
      <w:r>
        <w:t>to</w:t>
      </w:r>
      <w:r>
        <w:rPr>
          <w:spacing w:val="-3"/>
        </w:rPr>
        <w:t xml:space="preserve"> </w:t>
      </w:r>
      <w:r>
        <w:t>track</w:t>
      </w:r>
      <w:r>
        <w:rPr>
          <w:spacing w:val="-3"/>
        </w:rPr>
        <w:t xml:space="preserve"> </w:t>
      </w:r>
      <w:r>
        <w:t>exports,</w:t>
      </w:r>
      <w:r>
        <w:rPr>
          <w:spacing w:val="-2"/>
        </w:rPr>
        <w:t xml:space="preserve"> </w:t>
      </w:r>
      <w:r>
        <w:t>continually</w:t>
      </w:r>
      <w:r>
        <w:rPr>
          <w:spacing w:val="-3"/>
        </w:rPr>
        <w:t xml:space="preserve"> </w:t>
      </w:r>
      <w:r>
        <w:t>track</w:t>
      </w:r>
      <w:r>
        <w:rPr>
          <w:spacing w:val="-3"/>
        </w:rPr>
        <w:t xml:space="preserve"> </w:t>
      </w:r>
      <w:r>
        <w:t>TSCA</w:t>
      </w:r>
      <w:r>
        <w:rPr>
          <w:spacing w:val="-3"/>
        </w:rPr>
        <w:t xml:space="preserve"> </w:t>
      </w:r>
      <w:r>
        <w:t>section</w:t>
      </w:r>
      <w:r>
        <w:rPr>
          <w:spacing w:val="-3"/>
        </w:rPr>
        <w:t xml:space="preserve"> </w:t>
      </w:r>
      <w:r>
        <w:t>4,</w:t>
      </w:r>
      <w:r>
        <w:rPr>
          <w:spacing w:val="-3"/>
        </w:rPr>
        <w:t xml:space="preserve"> </w:t>
      </w:r>
      <w:r>
        <w:t>5,</w:t>
      </w:r>
      <w:r>
        <w:rPr>
          <w:spacing w:val="-2"/>
        </w:rPr>
        <w:t xml:space="preserve"> </w:t>
      </w:r>
      <w:r>
        <w:t>6</w:t>
      </w:r>
      <w:r>
        <w:rPr>
          <w:spacing w:val="-3"/>
        </w:rPr>
        <w:t xml:space="preserve"> </w:t>
      </w:r>
      <w:r>
        <w:t>and</w:t>
      </w:r>
      <w:r>
        <w:rPr>
          <w:spacing w:val="-3"/>
        </w:rPr>
        <w:t xml:space="preserve"> </w:t>
      </w:r>
      <w:r>
        <w:t>[7]</w:t>
      </w:r>
      <w:r>
        <w:rPr>
          <w:spacing w:val="-3"/>
        </w:rPr>
        <w:t xml:space="preserve"> </w:t>
      </w:r>
      <w:r>
        <w:t>actions</w:t>
      </w:r>
      <w:r>
        <w:rPr>
          <w:spacing w:val="-3"/>
        </w:rPr>
        <w:t xml:space="preserve"> </w:t>
      </w:r>
      <w:r>
        <w:t>that trigger</w:t>
      </w:r>
      <w:r>
        <w:rPr>
          <w:spacing w:val="-3"/>
        </w:rPr>
        <w:t xml:space="preserve"> </w:t>
      </w:r>
      <w:r>
        <w:t>12(b)</w:t>
      </w:r>
      <w:r>
        <w:rPr>
          <w:spacing w:val="-3"/>
        </w:rPr>
        <w:t xml:space="preserve"> </w:t>
      </w:r>
      <w:r>
        <w:t>requirements,</w:t>
      </w:r>
      <w:r>
        <w:rPr>
          <w:spacing w:val="-3"/>
        </w:rPr>
        <w:t xml:space="preserve"> </w:t>
      </w:r>
      <w:r>
        <w:t>determine</w:t>
      </w:r>
      <w:r>
        <w:rPr>
          <w:spacing w:val="-4"/>
        </w:rPr>
        <w:t xml:space="preserve"> </w:t>
      </w:r>
      <w:r>
        <w:t>whether</w:t>
      </w:r>
      <w:r>
        <w:rPr>
          <w:spacing w:val="-2"/>
        </w:rPr>
        <w:t xml:space="preserve"> </w:t>
      </w:r>
      <w:r>
        <w:t>chemical</w:t>
      </w:r>
      <w:r>
        <w:rPr>
          <w:spacing w:val="-3"/>
        </w:rPr>
        <w:t xml:space="preserve"> </w:t>
      </w:r>
      <w:r>
        <w:t>exports</w:t>
      </w:r>
      <w:r>
        <w:rPr>
          <w:spacing w:val="-3"/>
        </w:rPr>
        <w:t xml:space="preserve"> </w:t>
      </w:r>
      <w:r>
        <w:t>are</w:t>
      </w:r>
      <w:r>
        <w:rPr>
          <w:spacing w:val="-4"/>
        </w:rPr>
        <w:t xml:space="preserve"> </w:t>
      </w:r>
      <w:r>
        <w:t>subject</w:t>
      </w:r>
      <w:r>
        <w:rPr>
          <w:spacing w:val="-1"/>
        </w:rPr>
        <w:t xml:space="preserve"> </w:t>
      </w:r>
      <w:r>
        <w:t>to</w:t>
      </w:r>
      <w:r>
        <w:rPr>
          <w:spacing w:val="-3"/>
        </w:rPr>
        <w:t xml:space="preserve"> </w:t>
      </w:r>
      <w:r>
        <w:t>those</w:t>
      </w:r>
      <w:r>
        <w:rPr>
          <w:spacing w:val="-4"/>
        </w:rPr>
        <w:t xml:space="preserve"> </w:t>
      </w:r>
      <w:r>
        <w:t>actions</w:t>
      </w:r>
      <w:r>
        <w:rPr>
          <w:spacing w:val="-3"/>
        </w:rPr>
        <w:t xml:space="preserve"> </w:t>
      </w:r>
      <w:r>
        <w:t>and 12(b) requirements, determine if annual or one-time notification is required, and submit notifications to EPA within seven days of forming the intent to export or on the date of export, whichever is earlier. API also commented that implementation of the TSCA export notification program at EPA involves a complex process for routing notices and maintaining hundreds of thousands of records, a process the commenter claims is not necessary to carry out the proper performance of EPA functions.</w:t>
      </w:r>
    </w:p>
    <w:p w:rsidR="0087628E" w14:paraId="19DA58BB" w14:textId="77777777">
      <w:pPr>
        <w:pStyle w:val="BodyText"/>
        <w:spacing w:before="1"/>
        <w:ind w:left="0"/>
      </w:pPr>
    </w:p>
    <w:p w:rsidR="0087628E" w14:paraId="19DA58BC" w14:textId="77777777">
      <w:pPr>
        <w:pStyle w:val="BodyText"/>
      </w:pPr>
      <w:r>
        <w:rPr>
          <w:i/>
        </w:rPr>
        <w:t>Response</w:t>
      </w:r>
      <w:r>
        <w:t>: TSCA section 12(b) export notification requirements are triggered by underlying regulatory</w:t>
      </w:r>
      <w:r>
        <w:rPr>
          <w:spacing w:val="-5"/>
        </w:rPr>
        <w:t xml:space="preserve"> </w:t>
      </w:r>
      <w:r>
        <w:t>actions</w:t>
      </w:r>
      <w:r>
        <w:rPr>
          <w:spacing w:val="-5"/>
        </w:rPr>
        <w:t xml:space="preserve"> </w:t>
      </w:r>
      <w:r>
        <w:t>under</w:t>
      </w:r>
      <w:r>
        <w:rPr>
          <w:spacing w:val="-4"/>
        </w:rPr>
        <w:t xml:space="preserve"> </w:t>
      </w:r>
      <w:r>
        <w:t>TSCA.</w:t>
      </w:r>
      <w:r>
        <w:rPr>
          <w:spacing w:val="-5"/>
        </w:rPr>
        <w:t xml:space="preserve"> </w:t>
      </w:r>
      <w:r>
        <w:t>Persons</w:t>
      </w:r>
      <w:r>
        <w:rPr>
          <w:spacing w:val="-5"/>
        </w:rPr>
        <w:t xml:space="preserve"> </w:t>
      </w:r>
      <w:r>
        <w:t>exporting</w:t>
      </w:r>
      <w:r>
        <w:rPr>
          <w:spacing w:val="-5"/>
        </w:rPr>
        <w:t xml:space="preserve"> </w:t>
      </w:r>
      <w:r>
        <w:t>particular</w:t>
      </w:r>
      <w:r>
        <w:rPr>
          <w:spacing w:val="-5"/>
        </w:rPr>
        <w:t xml:space="preserve"> </w:t>
      </w:r>
      <w:r>
        <w:t>chemical</w:t>
      </w:r>
      <w:r>
        <w:rPr>
          <w:spacing w:val="-5"/>
        </w:rPr>
        <w:t xml:space="preserve"> </w:t>
      </w:r>
      <w:r>
        <w:t>substances</w:t>
      </w:r>
      <w:r>
        <w:rPr>
          <w:spacing w:val="-5"/>
        </w:rPr>
        <w:t xml:space="preserve"> </w:t>
      </w:r>
      <w:r>
        <w:t>or</w:t>
      </w:r>
      <w:r>
        <w:rPr>
          <w:spacing w:val="-5"/>
        </w:rPr>
        <w:t xml:space="preserve"> </w:t>
      </w:r>
      <w:r>
        <w:t>mixtures</w:t>
      </w:r>
    </w:p>
    <w:p w:rsidR="0087628E" w14:paraId="19DA58BE" w14:textId="75686296">
      <w:pPr>
        <w:pStyle w:val="BodyText"/>
        <w:spacing w:before="80"/>
        <w:ind w:right="175"/>
      </w:pPr>
      <w:r>
        <w:t xml:space="preserve">that are subject to </w:t>
      </w:r>
      <w:r w:rsidR="005F1A87">
        <w:t>such</w:t>
      </w:r>
      <w:r>
        <w:t xml:space="preserve"> TSCA regulatory actions should have an awareness of those regulatory actions. To assist the regulated community, EPA maintains a list of chemical substances and mixtures subject to</w:t>
      </w:r>
      <w:r w:rsidR="005F1A87">
        <w:t xml:space="preserve"> export notification requirements under 12(b)</w:t>
      </w:r>
      <w:r>
        <w:t xml:space="preserve">. Furthermore, as indicated by the commenter, EPA has reduced the </w:t>
      </w:r>
      <w:r w:rsidR="005F1A87">
        <w:t xml:space="preserve">number and </w:t>
      </w:r>
      <w:r>
        <w:t xml:space="preserve">frequency of </w:t>
      </w:r>
      <w:r w:rsidR="005F1A87">
        <w:t xml:space="preserve">required </w:t>
      </w:r>
      <w:r>
        <w:t>notices since</w:t>
      </w:r>
      <w:r>
        <w:rPr>
          <w:spacing w:val="-2"/>
        </w:rPr>
        <w:t xml:space="preserve"> </w:t>
      </w:r>
      <w:r>
        <w:t>the</w:t>
      </w:r>
      <w:r>
        <w:rPr>
          <w:spacing w:val="-1"/>
        </w:rPr>
        <w:t xml:space="preserve"> </w:t>
      </w:r>
      <w:r>
        <w:t>TSCA</w:t>
      </w:r>
      <w:r>
        <w:rPr>
          <w:spacing w:val="-1"/>
        </w:rPr>
        <w:t xml:space="preserve"> </w:t>
      </w:r>
      <w:r>
        <w:t>section</w:t>
      </w:r>
      <w:r>
        <w:rPr>
          <w:spacing w:val="-1"/>
        </w:rPr>
        <w:t xml:space="preserve"> </w:t>
      </w:r>
      <w:r>
        <w:t>12(b)</w:t>
      </w:r>
      <w:r>
        <w:rPr>
          <w:spacing w:val="-1"/>
        </w:rPr>
        <w:t xml:space="preserve"> </w:t>
      </w:r>
      <w:r>
        <w:t>regulations</w:t>
      </w:r>
      <w:r>
        <w:rPr>
          <w:spacing w:val="-1"/>
        </w:rPr>
        <w:t xml:space="preserve"> </w:t>
      </w:r>
      <w:r>
        <w:t>were</w:t>
      </w:r>
      <w:r>
        <w:rPr>
          <w:spacing w:val="-1"/>
        </w:rPr>
        <w:t xml:space="preserve"> </w:t>
      </w:r>
      <w:r>
        <w:t>first</w:t>
      </w:r>
      <w:r>
        <w:rPr>
          <w:spacing w:val="-1"/>
        </w:rPr>
        <w:t xml:space="preserve"> </w:t>
      </w:r>
      <w:r>
        <w:t>promulgated</w:t>
      </w:r>
      <w:r>
        <w:rPr>
          <w:spacing w:val="-1"/>
        </w:rPr>
        <w:t xml:space="preserve"> </w:t>
      </w:r>
      <w:r>
        <w:t>in 1980.</w:t>
      </w:r>
      <w:r>
        <w:rPr>
          <w:spacing w:val="-1"/>
        </w:rPr>
        <w:t xml:space="preserve"> </w:t>
      </w:r>
      <w:r>
        <w:t>For</w:t>
      </w:r>
      <w:r>
        <w:rPr>
          <w:spacing w:val="-1"/>
        </w:rPr>
        <w:t xml:space="preserve"> </w:t>
      </w:r>
      <w:r>
        <w:t xml:space="preserve">example, </w:t>
      </w:r>
      <w:r w:rsidR="005F1A87">
        <w:t xml:space="preserve">depending on the type of underlying regulation, </w:t>
      </w:r>
      <w:r>
        <w:t>the</w:t>
      </w:r>
      <w:r>
        <w:rPr>
          <w:spacing w:val="-3"/>
        </w:rPr>
        <w:t xml:space="preserve"> </w:t>
      </w:r>
      <w:r>
        <w:t>current</w:t>
      </w:r>
      <w:r>
        <w:rPr>
          <w:spacing w:val="-3"/>
        </w:rPr>
        <w:t xml:space="preserve"> </w:t>
      </w:r>
      <w:r w:rsidR="005F1A87">
        <w:rPr>
          <w:spacing w:val="-3"/>
        </w:rPr>
        <w:t xml:space="preserve">12(b) </w:t>
      </w:r>
      <w:r>
        <w:t>regulations</w:t>
      </w:r>
      <w:r>
        <w:rPr>
          <w:spacing w:val="-3"/>
        </w:rPr>
        <w:t xml:space="preserve"> </w:t>
      </w:r>
      <w:r>
        <w:t>require</w:t>
      </w:r>
      <w:r>
        <w:rPr>
          <w:spacing w:val="-5"/>
        </w:rPr>
        <w:t xml:space="preserve"> </w:t>
      </w:r>
      <w:r>
        <w:t>a</w:t>
      </w:r>
      <w:r>
        <w:rPr>
          <w:spacing w:val="-4"/>
        </w:rPr>
        <w:t xml:space="preserve"> </w:t>
      </w:r>
      <w:r>
        <w:t>notice</w:t>
      </w:r>
      <w:r>
        <w:rPr>
          <w:spacing w:val="-4"/>
        </w:rPr>
        <w:t xml:space="preserve"> </w:t>
      </w:r>
      <w:r>
        <w:t>only</w:t>
      </w:r>
      <w:r>
        <w:rPr>
          <w:spacing w:val="-3"/>
        </w:rPr>
        <w:t xml:space="preserve"> </w:t>
      </w:r>
      <w:r>
        <w:t>for</w:t>
      </w:r>
      <w:r>
        <w:rPr>
          <w:spacing w:val="-3"/>
        </w:rPr>
        <w:t xml:space="preserve"> </w:t>
      </w:r>
      <w:r w:rsidR="005F1A87">
        <w:rPr>
          <w:spacing w:val="-3"/>
        </w:rPr>
        <w:t xml:space="preserve">either </w:t>
      </w:r>
      <w:r>
        <w:t>the</w:t>
      </w:r>
      <w:r>
        <w:rPr>
          <w:spacing w:val="-5"/>
        </w:rPr>
        <w:t xml:space="preserve"> </w:t>
      </w:r>
      <w:r>
        <w:t>first</w:t>
      </w:r>
      <w:r>
        <w:rPr>
          <w:spacing w:val="-3"/>
        </w:rPr>
        <w:t xml:space="preserve"> </w:t>
      </w:r>
      <w:r>
        <w:t>export</w:t>
      </w:r>
      <w:r>
        <w:rPr>
          <w:spacing w:val="-3"/>
        </w:rPr>
        <w:t xml:space="preserve"> </w:t>
      </w:r>
      <w:r>
        <w:t>or</w:t>
      </w:r>
      <w:r>
        <w:rPr>
          <w:spacing w:val="-3"/>
        </w:rPr>
        <w:t xml:space="preserve"> </w:t>
      </w:r>
      <w:r>
        <w:t>intended</w:t>
      </w:r>
      <w:r>
        <w:rPr>
          <w:spacing w:val="-1"/>
        </w:rPr>
        <w:t xml:space="preserve"> </w:t>
      </w:r>
      <w:r>
        <w:t>export</w:t>
      </w:r>
      <w:r>
        <w:rPr>
          <w:spacing w:val="-3"/>
        </w:rPr>
        <w:t xml:space="preserve"> </w:t>
      </w:r>
      <w:r>
        <w:t>to a particular country</w:t>
      </w:r>
      <w:r w:rsidR="005F1A87">
        <w:t>,</w:t>
      </w:r>
      <w:r>
        <w:t xml:space="preserve"> </w:t>
      </w:r>
      <w:r w:rsidR="005F1A87">
        <w:t xml:space="preserve">or </w:t>
      </w:r>
      <w:r>
        <w:t>for the</w:t>
      </w:r>
      <w:r>
        <w:rPr>
          <w:spacing w:val="-1"/>
        </w:rPr>
        <w:t xml:space="preserve"> </w:t>
      </w:r>
      <w:r>
        <w:t>first export or intended export to</w:t>
      </w:r>
      <w:r>
        <w:rPr>
          <w:spacing w:val="-2"/>
        </w:rPr>
        <w:t xml:space="preserve"> </w:t>
      </w:r>
      <w:r>
        <w:t>a</w:t>
      </w:r>
      <w:r>
        <w:rPr>
          <w:spacing w:val="-4"/>
        </w:rPr>
        <w:t xml:space="preserve"> </w:t>
      </w:r>
      <w:r>
        <w:t>particular</w:t>
      </w:r>
      <w:r>
        <w:rPr>
          <w:spacing w:val="-2"/>
        </w:rPr>
        <w:t xml:space="preserve"> </w:t>
      </w:r>
      <w:r>
        <w:t>country</w:t>
      </w:r>
      <w:r>
        <w:rPr>
          <w:spacing w:val="-2"/>
        </w:rPr>
        <w:t xml:space="preserve"> </w:t>
      </w:r>
      <w:r>
        <w:t>in</w:t>
      </w:r>
      <w:r>
        <w:rPr>
          <w:spacing w:val="-2"/>
        </w:rPr>
        <w:t xml:space="preserve"> </w:t>
      </w:r>
      <w:r>
        <w:t>a</w:t>
      </w:r>
      <w:r>
        <w:rPr>
          <w:spacing w:val="-3"/>
        </w:rPr>
        <w:t xml:space="preserve"> </w:t>
      </w:r>
      <w:r>
        <w:t>calendar</w:t>
      </w:r>
      <w:r>
        <w:rPr>
          <w:spacing w:val="-2"/>
        </w:rPr>
        <w:t xml:space="preserve"> </w:t>
      </w:r>
      <w:r>
        <w:t>year.</w:t>
      </w:r>
      <w:r>
        <w:rPr>
          <w:spacing w:val="-2"/>
        </w:rPr>
        <w:t xml:space="preserve"> </w:t>
      </w:r>
      <w:r>
        <w:t>Under</w:t>
      </w:r>
      <w:r>
        <w:rPr>
          <w:spacing w:val="-2"/>
        </w:rPr>
        <w:t xml:space="preserve"> </w:t>
      </w:r>
      <w:r>
        <w:t>this</w:t>
      </w:r>
      <w:r>
        <w:rPr>
          <w:spacing w:val="-2"/>
        </w:rPr>
        <w:t xml:space="preserve"> </w:t>
      </w:r>
      <w:r>
        <w:t xml:space="preserve">ICR renewal, EPA </w:t>
      </w:r>
      <w:r w:rsidR="005F1A87">
        <w:t xml:space="preserve">is </w:t>
      </w:r>
      <w:r w:rsidR="00D218D3">
        <w:t xml:space="preserve">continuing to implement OMB’s prior approval of electronic submission requirements for 12(b) notices, further reducing </w:t>
      </w:r>
      <w:r w:rsidR="00D218D3">
        <w:t>exporters’</w:t>
      </w:r>
      <w:r w:rsidR="00D218D3">
        <w:t xml:space="preserve"> and EPA’s burden hours associated with TSCA section 12(b) requirements</w:t>
      </w:r>
      <w:r>
        <w:t>.</w:t>
      </w:r>
    </w:p>
    <w:p w:rsidR="003779AC" w14:paraId="409AFB38" w14:textId="688C3450">
      <w:pPr>
        <w:pStyle w:val="BodyText"/>
        <w:spacing w:before="80"/>
        <w:ind w:right="175"/>
      </w:pPr>
    </w:p>
    <w:p w:rsidR="003779AC" w14:paraId="65BFE0BD" w14:textId="7BC42CBE">
      <w:pPr>
        <w:pStyle w:val="BodyText"/>
        <w:spacing w:before="80"/>
        <w:ind w:right="175"/>
      </w:pPr>
      <w:r>
        <w:t>The commenter overestimates the number of 12(b) export notices EPA receives, at least in any given year, and understandably misunderstands EPA’s internal process for handling the notice and forwarding notice to other countries.  For example, this process is now almost entirely electronic, virtually eliminating the need for handling physical documents, and utilizes an electronic workflow and templates that help automate the process of generating and sending notices from EPA to the pertinent foreign governments.</w:t>
      </w:r>
    </w:p>
    <w:p w:rsidR="0087628E" w14:paraId="19DA58BF" w14:textId="77777777">
      <w:pPr>
        <w:pStyle w:val="BodyText"/>
        <w:spacing w:before="1"/>
        <w:ind w:left="0"/>
      </w:pPr>
    </w:p>
    <w:p w:rsidR="0087628E" w14:paraId="19DA58C0" w14:textId="35FE8DD3">
      <w:pPr>
        <w:pStyle w:val="BodyText"/>
        <w:ind w:right="175"/>
      </w:pPr>
      <w:r>
        <w:rPr>
          <w:i/>
        </w:rPr>
        <w:t xml:space="preserve">Comment 3: </w:t>
      </w:r>
      <w:r w:rsidRPr="00724ACB">
        <w:rPr>
          <w:iCs/>
        </w:rPr>
        <w:t>API notes that although TSCA section 12(b) is mandated under the statute it does not mandate that the Agency conduct the</w:t>
      </w:r>
      <w:r w:rsidR="00F27F45">
        <w:rPr>
          <w:iCs/>
        </w:rPr>
        <w:t>se</w:t>
      </w:r>
      <w:r w:rsidRPr="00724ACB">
        <w:rPr>
          <w:iCs/>
        </w:rPr>
        <w:t xml:space="preserve"> obligations in a particular manner. The Agency should consider revising its regulations under 40 CFR part 707 subpart D. For instance, API suggests that the EPA</w:t>
      </w:r>
      <w:r>
        <w:rPr>
          <w:i/>
        </w:rPr>
        <w:t xml:space="preserve"> </w:t>
      </w:r>
      <w:r w:rsidR="00F27F45">
        <w:t>rely on information collected under the TSCA Chemical Data Reporting (CDR) rule to serve as notice of export in lieu of collecting information under the current TSCA section 12(b) regulations because API commented that export</w:t>
      </w:r>
      <w:r w:rsidR="00F27F45">
        <w:rPr>
          <w:spacing w:val="-4"/>
        </w:rPr>
        <w:t xml:space="preserve"> </w:t>
      </w:r>
      <w:r w:rsidR="00F27F45">
        <w:t>information</w:t>
      </w:r>
      <w:r w:rsidR="00F27F45">
        <w:rPr>
          <w:spacing w:val="-4"/>
        </w:rPr>
        <w:t xml:space="preserve"> </w:t>
      </w:r>
      <w:r w:rsidR="00F27F45">
        <w:t>collected</w:t>
      </w:r>
      <w:r w:rsidR="00F27F45">
        <w:rPr>
          <w:spacing w:val="-4"/>
        </w:rPr>
        <w:t xml:space="preserve"> </w:t>
      </w:r>
      <w:r w:rsidR="00F27F45">
        <w:t>under</w:t>
      </w:r>
      <w:r w:rsidR="00F27F45">
        <w:rPr>
          <w:spacing w:val="-4"/>
        </w:rPr>
        <w:t xml:space="preserve"> </w:t>
      </w:r>
      <w:r w:rsidR="00F27F45">
        <w:t>the</w:t>
      </w:r>
      <w:r w:rsidR="00F27F45">
        <w:rPr>
          <w:spacing w:val="-6"/>
        </w:rPr>
        <w:t xml:space="preserve"> </w:t>
      </w:r>
      <w:r w:rsidR="00F27F45">
        <w:t>CDR</w:t>
      </w:r>
      <w:r w:rsidR="00F27F45">
        <w:rPr>
          <w:spacing w:val="-4"/>
        </w:rPr>
        <w:t xml:space="preserve"> </w:t>
      </w:r>
      <w:r w:rsidR="00F27F45">
        <w:t>rule</w:t>
      </w:r>
      <w:r w:rsidR="00F27F45">
        <w:rPr>
          <w:spacing w:val="-5"/>
        </w:rPr>
        <w:t xml:space="preserve"> </w:t>
      </w:r>
      <w:r w:rsidR="00F27F45">
        <w:t>provides</w:t>
      </w:r>
      <w:r w:rsidR="00F27F45">
        <w:rPr>
          <w:spacing w:val="-4"/>
        </w:rPr>
        <w:t xml:space="preserve"> </w:t>
      </w:r>
      <w:r w:rsidR="00F27F45">
        <w:t>EPA</w:t>
      </w:r>
      <w:r w:rsidR="00F27F45">
        <w:rPr>
          <w:spacing w:val="-4"/>
        </w:rPr>
        <w:t xml:space="preserve"> </w:t>
      </w:r>
      <w:r w:rsidR="00F27F45">
        <w:t>with</w:t>
      </w:r>
      <w:r w:rsidR="00F27F45">
        <w:rPr>
          <w:spacing w:val="-4"/>
        </w:rPr>
        <w:t xml:space="preserve"> </w:t>
      </w:r>
      <w:r w:rsidR="00F27F45">
        <w:t>sufficient</w:t>
      </w:r>
      <w:r w:rsidR="00F27F45">
        <w:rPr>
          <w:spacing w:val="-4"/>
        </w:rPr>
        <w:t xml:space="preserve"> </w:t>
      </w:r>
      <w:r w:rsidR="00F27F45">
        <w:t>information</w:t>
      </w:r>
      <w:r w:rsidR="00F27F45">
        <w:rPr>
          <w:spacing w:val="-4"/>
        </w:rPr>
        <w:t xml:space="preserve"> </w:t>
      </w:r>
      <w:r w:rsidR="00F27F45">
        <w:t>for the Agency to notify foreign governments to fulfill its statutory obligations and that the CDR rule would not need to be adjusted in any way to serve that purpose.</w:t>
      </w:r>
      <w:r>
        <w:t xml:space="preserve"> EPA could also require or request </w:t>
      </w:r>
      <w:r w:rsidR="00F27F45">
        <w:t xml:space="preserve">information on exports under TSCA section 4, </w:t>
      </w:r>
      <w:r>
        <w:t>TSCA section 5 for premanufacture notices or significant new use notifications</w:t>
      </w:r>
      <w:r w:rsidR="00F27F45">
        <w:t xml:space="preserve">, </w:t>
      </w:r>
      <w:r>
        <w:t xml:space="preserve">or </w:t>
      </w:r>
      <w:r w:rsidR="00F27F45">
        <w:t xml:space="preserve">information could be gathered under </w:t>
      </w:r>
      <w:r>
        <w:t xml:space="preserve">TSCA section 6 rules. Finally, EPA could use enforcement discretion under a No Action Assurance to stop implementing TSCA section 12(b). </w:t>
      </w:r>
    </w:p>
    <w:p w:rsidR="0087628E" w14:paraId="19DA58C1" w14:textId="77777777">
      <w:pPr>
        <w:pStyle w:val="BodyText"/>
        <w:ind w:left="0"/>
      </w:pPr>
    </w:p>
    <w:p w:rsidR="0087628E" w14:paraId="19DA58C2" w14:textId="77777777">
      <w:pPr>
        <w:pStyle w:val="BodyText"/>
      </w:pPr>
      <w:r>
        <w:rPr>
          <w:i/>
        </w:rPr>
        <w:t>Response</w:t>
      </w:r>
      <w:r>
        <w:t>:</w:t>
      </w:r>
      <w:r>
        <w:rPr>
          <w:spacing w:val="-4"/>
        </w:rPr>
        <w:t xml:space="preserve"> </w:t>
      </w:r>
      <w:r>
        <w:t>The</w:t>
      </w:r>
      <w:r>
        <w:rPr>
          <w:spacing w:val="-5"/>
        </w:rPr>
        <w:t xml:space="preserve"> </w:t>
      </w:r>
      <w:r>
        <w:t>CDR</w:t>
      </w:r>
      <w:r>
        <w:rPr>
          <w:spacing w:val="-4"/>
        </w:rPr>
        <w:t xml:space="preserve"> </w:t>
      </w:r>
      <w:r>
        <w:t>rule,</w:t>
      </w:r>
      <w:r>
        <w:rPr>
          <w:spacing w:val="-2"/>
        </w:rPr>
        <w:t xml:space="preserve"> </w:t>
      </w:r>
      <w:r>
        <w:t>pursuant</w:t>
      </w:r>
      <w:r>
        <w:rPr>
          <w:spacing w:val="-4"/>
        </w:rPr>
        <w:t xml:space="preserve"> </w:t>
      </w:r>
      <w:r>
        <w:t>to</w:t>
      </w:r>
      <w:r>
        <w:rPr>
          <w:spacing w:val="-4"/>
        </w:rPr>
        <w:t xml:space="preserve"> </w:t>
      </w:r>
      <w:r>
        <w:t>the</w:t>
      </w:r>
      <w:r>
        <w:rPr>
          <w:spacing w:val="-4"/>
        </w:rPr>
        <w:t xml:space="preserve"> </w:t>
      </w:r>
      <w:r>
        <w:t>information</w:t>
      </w:r>
      <w:r>
        <w:rPr>
          <w:spacing w:val="-4"/>
        </w:rPr>
        <w:t xml:space="preserve"> </w:t>
      </w:r>
      <w:r>
        <w:t>collection</w:t>
      </w:r>
      <w:r>
        <w:rPr>
          <w:spacing w:val="-4"/>
        </w:rPr>
        <w:t xml:space="preserve"> </w:t>
      </w:r>
      <w:r>
        <w:t>authority</w:t>
      </w:r>
      <w:r>
        <w:rPr>
          <w:spacing w:val="-4"/>
        </w:rPr>
        <w:t xml:space="preserve"> </w:t>
      </w:r>
      <w:r>
        <w:t>under</w:t>
      </w:r>
      <w:r>
        <w:rPr>
          <w:spacing w:val="-4"/>
        </w:rPr>
        <w:t xml:space="preserve"> </w:t>
      </w:r>
      <w:r>
        <w:t>TSCA</w:t>
      </w:r>
      <w:r>
        <w:rPr>
          <w:spacing w:val="-4"/>
        </w:rPr>
        <w:t xml:space="preserve"> </w:t>
      </w:r>
      <w:r>
        <w:t>section</w:t>
      </w:r>
      <w:r>
        <w:rPr>
          <w:spacing w:val="-4"/>
        </w:rPr>
        <w:t xml:space="preserve"> </w:t>
      </w:r>
      <w:r>
        <w:t xml:space="preserve">8 </w:t>
      </w:r>
      <w:r>
        <w:t xml:space="preserve">and codified at 40 CFR part 711, does not provide EPA with the relevant and necessary information to fulfill the </w:t>
      </w:r>
      <w:r>
        <w:t>exporter’s</w:t>
      </w:r>
      <w:r>
        <w:t xml:space="preserve"> or the Agency’s statutory obligations under TSCA section</w:t>
      </w:r>
    </w:p>
    <w:p w:rsidR="0087628E" w14:paraId="528620F5" w14:textId="2893C4F5">
      <w:pPr>
        <w:pStyle w:val="BodyText"/>
        <w:spacing w:before="1"/>
        <w:ind w:right="109"/>
      </w:pPr>
      <w:r>
        <w:t xml:space="preserve">12(b). The CDR rule retroactively collects production volume and certain related information from manufacturers (including, statutorily, importers); the only export-related information collected is the volume of a chemical that is directly exported from the manufacturing site. The CDR rule </w:t>
      </w:r>
      <w:r w:rsidR="00D218D3">
        <w:t xml:space="preserve">also </w:t>
      </w:r>
      <w:r>
        <w:t>does not collect export information from all potential exporters covered by TSCA section</w:t>
      </w:r>
      <w:r>
        <w:rPr>
          <w:spacing w:val="-3"/>
        </w:rPr>
        <w:t xml:space="preserve"> </w:t>
      </w:r>
      <w:r>
        <w:t>12(b)</w:t>
      </w:r>
      <w:r>
        <w:rPr>
          <w:spacing w:val="-3"/>
        </w:rPr>
        <w:t xml:space="preserve"> </w:t>
      </w:r>
      <w:r>
        <w:t>and</w:t>
      </w:r>
      <w:r>
        <w:rPr>
          <w:spacing w:val="-3"/>
        </w:rPr>
        <w:t xml:space="preserve"> </w:t>
      </w:r>
      <w:r>
        <w:t>the</w:t>
      </w:r>
      <w:r>
        <w:rPr>
          <w:spacing w:val="-3"/>
        </w:rPr>
        <w:t xml:space="preserve"> </w:t>
      </w:r>
      <w:r>
        <w:t>CDR</w:t>
      </w:r>
      <w:r>
        <w:rPr>
          <w:spacing w:val="-3"/>
        </w:rPr>
        <w:t xml:space="preserve"> </w:t>
      </w:r>
      <w:r>
        <w:t>rule</w:t>
      </w:r>
      <w:r>
        <w:rPr>
          <w:spacing w:val="-5"/>
        </w:rPr>
        <w:t xml:space="preserve"> </w:t>
      </w:r>
      <w:r>
        <w:t>does</w:t>
      </w:r>
      <w:r>
        <w:rPr>
          <w:spacing w:val="-3"/>
        </w:rPr>
        <w:t xml:space="preserve"> </w:t>
      </w:r>
      <w:r>
        <w:t>not</w:t>
      </w:r>
      <w:r>
        <w:rPr>
          <w:spacing w:val="-3"/>
        </w:rPr>
        <w:t xml:space="preserve"> </w:t>
      </w:r>
      <w:r>
        <w:t>collect</w:t>
      </w:r>
      <w:r>
        <w:rPr>
          <w:spacing w:val="-3"/>
        </w:rPr>
        <w:t xml:space="preserve"> </w:t>
      </w:r>
      <w:r>
        <w:t>information</w:t>
      </w:r>
      <w:r>
        <w:rPr>
          <w:spacing w:val="-3"/>
        </w:rPr>
        <w:t xml:space="preserve"> </w:t>
      </w:r>
      <w:r>
        <w:t>about</w:t>
      </w:r>
      <w:r>
        <w:rPr>
          <w:spacing w:val="-3"/>
        </w:rPr>
        <w:t xml:space="preserve"> </w:t>
      </w:r>
      <w:r>
        <w:t>what</w:t>
      </w:r>
      <w:r>
        <w:rPr>
          <w:spacing w:val="-3"/>
        </w:rPr>
        <w:t xml:space="preserve"> </w:t>
      </w:r>
      <w:r>
        <w:t>foreign</w:t>
      </w:r>
      <w:r>
        <w:rPr>
          <w:spacing w:val="-3"/>
        </w:rPr>
        <w:t xml:space="preserve"> </w:t>
      </w:r>
      <w:r>
        <w:t>countries</w:t>
      </w:r>
      <w:r>
        <w:rPr>
          <w:spacing w:val="-3"/>
        </w:rPr>
        <w:t xml:space="preserve"> </w:t>
      </w:r>
      <w:r>
        <w:t>receive the exports, and therefore there is no way for EPA to notify the foreign country accordingly. Also, information about exports under the CDR rule relate to past export volumes. For example, under the current CDR regulations, manufacturers meeting production volume thresholds are required to submit information in 2020 on their</w:t>
      </w:r>
      <w:r>
        <w:rPr>
          <w:spacing w:val="-1"/>
        </w:rPr>
        <w:t xml:space="preserve"> </w:t>
      </w:r>
      <w:r>
        <w:t>production during the</w:t>
      </w:r>
      <w:r>
        <w:rPr>
          <w:spacing w:val="-1"/>
        </w:rPr>
        <w:t xml:space="preserve"> </w:t>
      </w:r>
      <w:r>
        <w:t>2016-2019 calendar years. This means if we relied only on CDR then EPA may not receive notice about export volumes until a few years after export occurred.</w:t>
      </w:r>
    </w:p>
    <w:p w:rsidR="00A939F5" w:rsidP="00A939F5" w14:paraId="0BC21A83" w14:textId="77777777">
      <w:pPr>
        <w:pStyle w:val="BodyText"/>
        <w:spacing w:before="1"/>
        <w:ind w:right="109"/>
      </w:pPr>
    </w:p>
    <w:p w:rsidR="00A939F5" w14:paraId="286A915B" w14:textId="633B6561">
      <w:pPr>
        <w:pStyle w:val="BodyText"/>
        <w:spacing w:before="1"/>
        <w:ind w:right="109"/>
      </w:pPr>
      <w:r w:rsidRPr="00B50BAB">
        <w:rPr>
          <w:rFonts w:cs="Arial"/>
        </w:rPr>
        <w:t xml:space="preserve">This information collection is necessary to implement statutory requirements of export notification pursuant to section 12(b) of TSCA and is consistent with the requirements of 5 CFR 1320.6.TSCA section 12(b) requires exporters to submit a notice to EPA for each country to which a chemical subject to TSCA section 12(b) requirements is exported. Specifically, TSCA section 12(b) states, in part, that any person who exports or intends to export to a foreign country a chemical substance or mixture for which submission of information 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of the notice and of EPA’s regulatory action with respect to the substance. </w:t>
      </w:r>
    </w:p>
    <w:p w:rsidR="00724ACB" w14:paraId="214C4D8B" w14:textId="07479787">
      <w:pPr>
        <w:pStyle w:val="BodyText"/>
        <w:spacing w:before="1"/>
        <w:ind w:right="109"/>
      </w:pPr>
    </w:p>
    <w:p w:rsidR="0038758D" w:rsidRPr="007517EF" w14:paraId="0BC38913" w14:textId="77777777">
      <w:pPr>
        <w:pStyle w:val="BodyText"/>
        <w:spacing w:before="1"/>
        <w:ind w:right="109"/>
      </w:pPr>
      <w:r w:rsidRPr="007517EF">
        <w:t xml:space="preserve">While some information pertinent to carrying out EPA’s responsibilities under section 12(b) could be collected </w:t>
      </w:r>
      <w:r w:rsidRPr="007517EF">
        <w:t>alongside the collection of information under</w:t>
      </w:r>
      <w:r w:rsidRPr="007517EF">
        <w:t xml:space="preserve"> other information collection authorities</w:t>
      </w:r>
      <w:r w:rsidRPr="007517EF">
        <w:t>, existing rules do not presently collect all of the same information at a similar frequency or duration, and new rules could be expected to more or less duplicate the existing 12(b) rule in substance, just placing the requirements in a different location in the CFR.</w:t>
      </w:r>
    </w:p>
    <w:p w:rsidR="0038758D" w:rsidRPr="007517EF" w14:paraId="4C5FCCA9" w14:textId="77777777">
      <w:pPr>
        <w:pStyle w:val="BodyText"/>
        <w:spacing w:before="1"/>
        <w:ind w:right="109"/>
      </w:pPr>
    </w:p>
    <w:p w:rsidR="0038758D" w:rsidRPr="007517EF" w14:paraId="0F357199" w14:textId="3ECE5CEA">
      <w:pPr>
        <w:pStyle w:val="BodyText"/>
        <w:spacing w:before="1"/>
        <w:ind w:right="109"/>
      </w:pPr>
      <w:r w:rsidRPr="007517EF">
        <w:t>E</w:t>
      </w:r>
      <w:r w:rsidRPr="007517EF">
        <w:t xml:space="preserve">nforcement discretion may not be used to nullify a statutory </w:t>
      </w:r>
      <w:r w:rsidRPr="007517EF" w:rsidR="00EC1B33">
        <w:t xml:space="preserve">reporting </w:t>
      </w:r>
      <w:r w:rsidRPr="007517EF">
        <w:t>requirement</w:t>
      </w:r>
      <w:r w:rsidRPr="007517EF" w:rsidR="00104B56">
        <w:t xml:space="preserve">. </w:t>
      </w:r>
      <w:r w:rsidRPr="007517EF" w:rsidR="001B00A5">
        <w:t>Additionally,</w:t>
      </w:r>
      <w:r w:rsidRPr="007517EF" w:rsidR="00104B56">
        <w:t xml:space="preserve"> a </w:t>
      </w:r>
      <w:r w:rsidRPr="007517EF" w:rsidR="001B00A5">
        <w:t xml:space="preserve">categorical </w:t>
      </w:r>
      <w:r w:rsidRPr="007517EF" w:rsidR="00104B56">
        <w:t xml:space="preserve">use of enforcement discretion </w:t>
      </w:r>
      <w:r w:rsidRPr="007517EF" w:rsidR="001B00A5">
        <w:t>may</w:t>
      </w:r>
      <w:r w:rsidRPr="007517EF" w:rsidR="00104B56">
        <w:t xml:space="preserve"> constitute rulemaking. </w:t>
      </w:r>
      <w:r w:rsidRPr="007517EF">
        <w:t xml:space="preserve"> </w:t>
      </w:r>
      <w:r w:rsidRPr="007517EF" w:rsidR="00D11567">
        <w:t>Making</w:t>
      </w:r>
      <w:r w:rsidRPr="007517EF" w:rsidR="00182EA7">
        <w:t xml:space="preserve"> 12(b) enforcement a low priority</w:t>
      </w:r>
      <w:r w:rsidRPr="007517EF" w:rsidR="00D11567">
        <w:t xml:space="preserve"> would not relieve</w:t>
      </w:r>
      <w:r w:rsidRPr="007517EF" w:rsidR="004A5E96">
        <w:t xml:space="preserve"> companies of their 12(b) obligations or</w:t>
      </w:r>
      <w:r w:rsidRPr="007517EF">
        <w:t xml:space="preserve"> EPA </w:t>
      </w:r>
      <w:r w:rsidRPr="007517EF" w:rsidR="00EC1B33">
        <w:t xml:space="preserve">of its </w:t>
      </w:r>
      <w:r w:rsidRPr="007517EF">
        <w:t>own statutory obligation to provide notice of export to other countries.</w:t>
      </w:r>
    </w:p>
    <w:p w:rsidR="0038758D" w:rsidRPr="007517EF" w14:paraId="0C573139" w14:textId="77777777">
      <w:pPr>
        <w:pStyle w:val="BodyText"/>
        <w:spacing w:before="1"/>
        <w:ind w:right="109"/>
      </w:pPr>
    </w:p>
    <w:p w:rsidR="0087628E" w14:paraId="19DA58C4" w14:textId="77777777">
      <w:pPr>
        <w:pStyle w:val="BodyText"/>
        <w:ind w:left="0"/>
      </w:pPr>
    </w:p>
    <w:p w:rsidR="5CBF7E13" w:rsidP="5CBF7E13" w14:paraId="3E701B37" w14:textId="4F797D1F">
      <w:pPr>
        <w:pStyle w:val="BodyText"/>
        <w:ind w:right="116"/>
      </w:pPr>
    </w:p>
    <w:p w:rsidR="00724ACB" w:rsidP="0087581B" w14:paraId="345B3DF6" w14:textId="2B64D305">
      <w:pPr>
        <w:pStyle w:val="BodyText"/>
      </w:pPr>
    </w:p>
    <w:p w:rsidR="0087628E" w:rsidP="0087581B" w14:paraId="560039B0" w14:textId="17866F5E">
      <w:pPr>
        <w:pStyle w:val="BodyText"/>
      </w:pPr>
    </w:p>
    <w:sectPr>
      <w:footerReference w:type="default" r:id="rId8"/>
      <w:pgSz w:w="12240" w:h="15840"/>
      <w:pgMar w:top="1340" w:right="1340" w:bottom="940" w:left="1340" w:header="763" w:footer="7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28E" w14:paraId="19DA58CB"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3560190</wp:posOffset>
              </wp:positionH>
              <wp:positionV relativeFrom="page">
                <wp:posOffset>9446462</wp:posOffset>
              </wp:positionV>
              <wp:extent cx="652780" cy="16573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780" cy="165735"/>
                      </a:xfrm>
                      <a:prstGeom prst="rect">
                        <a:avLst/>
                      </a:prstGeom>
                    </wps:spPr>
                    <wps:txbx>
                      <w:txbxContent>
                        <w:p w:rsidR="0087628E" w14:textId="77777777">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3</w:t>
                          </w:r>
                          <w:r>
                            <w:rPr>
                              <w:rFonts w:ascii="Calibri"/>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3" o:spid="_x0000_s2049" type="#_x0000_t202" style="width:51.4pt;height:13.05pt;margin-top:743.8pt;margin-left:280.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7628E" w14:paraId="19DA58D4" w14:textId="77777777">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3</w:t>
                    </w:r>
                    <w:r>
                      <w:rPr>
                        <w:rFonts w:ascii="Calibri"/>
                        <w:b/>
                        <w:spacing w:val="-1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8E"/>
    <w:rsid w:val="000A79E7"/>
    <w:rsid w:val="000D321D"/>
    <w:rsid w:val="000F29A1"/>
    <w:rsid w:val="00104B56"/>
    <w:rsid w:val="00182EA7"/>
    <w:rsid w:val="001B00A5"/>
    <w:rsid w:val="002211D3"/>
    <w:rsid w:val="00244EF2"/>
    <w:rsid w:val="0028544E"/>
    <w:rsid w:val="00286A53"/>
    <w:rsid w:val="002D0669"/>
    <w:rsid w:val="0030613F"/>
    <w:rsid w:val="0032080D"/>
    <w:rsid w:val="00336DA7"/>
    <w:rsid w:val="003779AC"/>
    <w:rsid w:val="0038758D"/>
    <w:rsid w:val="003A1C31"/>
    <w:rsid w:val="004024C0"/>
    <w:rsid w:val="00405B4C"/>
    <w:rsid w:val="0046170F"/>
    <w:rsid w:val="00463A48"/>
    <w:rsid w:val="004655F1"/>
    <w:rsid w:val="00497634"/>
    <w:rsid w:val="004A5E96"/>
    <w:rsid w:val="004D161B"/>
    <w:rsid w:val="005156D4"/>
    <w:rsid w:val="005405EA"/>
    <w:rsid w:val="00551790"/>
    <w:rsid w:val="00581A5F"/>
    <w:rsid w:val="005B5B9C"/>
    <w:rsid w:val="005D6B41"/>
    <w:rsid w:val="005E7A51"/>
    <w:rsid w:val="005F1A87"/>
    <w:rsid w:val="00635B32"/>
    <w:rsid w:val="00641E6D"/>
    <w:rsid w:val="00667B90"/>
    <w:rsid w:val="00697F46"/>
    <w:rsid w:val="006A1BD2"/>
    <w:rsid w:val="007174BF"/>
    <w:rsid w:val="00724ACB"/>
    <w:rsid w:val="007517EF"/>
    <w:rsid w:val="00792350"/>
    <w:rsid w:val="007A4070"/>
    <w:rsid w:val="007A6C54"/>
    <w:rsid w:val="007D479D"/>
    <w:rsid w:val="008201DD"/>
    <w:rsid w:val="00871572"/>
    <w:rsid w:val="0087581B"/>
    <w:rsid w:val="0087628E"/>
    <w:rsid w:val="00892CBD"/>
    <w:rsid w:val="008B2537"/>
    <w:rsid w:val="008C7270"/>
    <w:rsid w:val="0097385D"/>
    <w:rsid w:val="009765AD"/>
    <w:rsid w:val="009D674B"/>
    <w:rsid w:val="009E692F"/>
    <w:rsid w:val="00A1143D"/>
    <w:rsid w:val="00A258C7"/>
    <w:rsid w:val="00A939F5"/>
    <w:rsid w:val="00B3395A"/>
    <w:rsid w:val="00B35564"/>
    <w:rsid w:val="00B50BAB"/>
    <w:rsid w:val="00B70CBF"/>
    <w:rsid w:val="00BE108A"/>
    <w:rsid w:val="00BF3DED"/>
    <w:rsid w:val="00C152B6"/>
    <w:rsid w:val="00C522A8"/>
    <w:rsid w:val="00C77DB6"/>
    <w:rsid w:val="00C9258D"/>
    <w:rsid w:val="00CB1BB3"/>
    <w:rsid w:val="00CD1AB0"/>
    <w:rsid w:val="00CF7A3D"/>
    <w:rsid w:val="00D11567"/>
    <w:rsid w:val="00D218D3"/>
    <w:rsid w:val="00D942E5"/>
    <w:rsid w:val="00DD2EDF"/>
    <w:rsid w:val="00DD64C5"/>
    <w:rsid w:val="00DE554B"/>
    <w:rsid w:val="00DE6DDC"/>
    <w:rsid w:val="00E277A8"/>
    <w:rsid w:val="00EB1D7D"/>
    <w:rsid w:val="00EC1B33"/>
    <w:rsid w:val="00EF0263"/>
    <w:rsid w:val="00F10686"/>
    <w:rsid w:val="00F154D3"/>
    <w:rsid w:val="00F27F45"/>
    <w:rsid w:val="00F72715"/>
    <w:rsid w:val="00F8759F"/>
    <w:rsid w:val="12970DD3"/>
    <w:rsid w:val="3A937E7F"/>
    <w:rsid w:val="43236362"/>
    <w:rsid w:val="4ECB2440"/>
    <w:rsid w:val="4FF8C1A7"/>
    <w:rsid w:val="5CBF7E13"/>
    <w:rsid w:val="7147650E"/>
    <w:rsid w:val="74381D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DA58AE"/>
  <w15:docId w15:val="{E10E0B2F-144E-4A2D-B4F4-757BB36A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692F"/>
    <w:pPr>
      <w:tabs>
        <w:tab w:val="center" w:pos="4680"/>
        <w:tab w:val="right" w:pos="9360"/>
      </w:tabs>
    </w:pPr>
  </w:style>
  <w:style w:type="character" w:customStyle="1" w:styleId="HeaderChar">
    <w:name w:val="Header Char"/>
    <w:basedOn w:val="DefaultParagraphFont"/>
    <w:link w:val="Header"/>
    <w:uiPriority w:val="99"/>
    <w:rsid w:val="009E692F"/>
    <w:rPr>
      <w:rFonts w:ascii="Times New Roman" w:eastAsia="Times New Roman" w:hAnsi="Times New Roman" w:cs="Times New Roman"/>
    </w:rPr>
  </w:style>
  <w:style w:type="paragraph" w:styleId="Footer">
    <w:name w:val="footer"/>
    <w:basedOn w:val="Normal"/>
    <w:link w:val="FooterChar"/>
    <w:uiPriority w:val="99"/>
    <w:unhideWhenUsed/>
    <w:rsid w:val="009E692F"/>
    <w:pPr>
      <w:tabs>
        <w:tab w:val="center" w:pos="4680"/>
        <w:tab w:val="right" w:pos="9360"/>
      </w:tabs>
    </w:pPr>
  </w:style>
  <w:style w:type="character" w:customStyle="1" w:styleId="FooterChar">
    <w:name w:val="Footer Char"/>
    <w:basedOn w:val="DefaultParagraphFont"/>
    <w:link w:val="Footer"/>
    <w:uiPriority w:val="99"/>
    <w:rsid w:val="009E692F"/>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F1A87"/>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F1A87"/>
    <w:rPr>
      <w:b/>
      <w:bCs/>
    </w:rPr>
  </w:style>
  <w:style w:type="character" w:customStyle="1" w:styleId="CommentSubjectChar">
    <w:name w:val="Comment Subject Char"/>
    <w:basedOn w:val="CommentTextChar"/>
    <w:link w:val="CommentSubject"/>
    <w:uiPriority w:val="99"/>
    <w:semiHidden/>
    <w:rsid w:val="005F1A87"/>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218D3"/>
    <w:rPr>
      <w:color w:val="2B579A"/>
      <w:shd w:val="clear" w:color="auto" w:fill="E1DFDD"/>
    </w:rPr>
  </w:style>
  <w:style w:type="character" w:customStyle="1" w:styleId="BodyTextChar">
    <w:name w:val="Body Text Char"/>
    <w:basedOn w:val="DefaultParagraphFont"/>
    <w:link w:val="BodyText"/>
    <w:uiPriority w:val="1"/>
    <w:rsid w:val="00EC1B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5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2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4585</FRN_x0020_List_x0020_Item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F6A71-CCCE-4124-ABA9-F086A6D57091}">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3"/>
    <ds:schemaRef ds:uri="4ffa91fb-a0ff-4ac5-b2db-65c790d184a4"/>
    <ds:schemaRef ds:uri="118f882f-1e32-4cf2-ad69-9de43d57f4c6"/>
    <ds:schemaRef ds:uri="http://www.w3.org/XML/1998/namespace"/>
    <ds:schemaRef ds:uri="http://purl.org/dc/terms/"/>
    <ds:schemaRef ds:uri="http://schemas.microsoft.com/office/2006/documentManagement/types"/>
    <ds:schemaRef ds:uri="http://schemas.microsoft.com/office/infopath/2007/PartnerControls"/>
    <ds:schemaRef ds:uri="a5d1ca4e-0a3f-4119-b619-e20b93ebd1aa"/>
    <ds:schemaRef ds:uri="http://schemas.microsoft.com/sharepoint/v3"/>
  </ds:schemaRefs>
</ds:datastoreItem>
</file>

<file path=customXml/itemProps2.xml><?xml version="1.0" encoding="utf-8"?>
<ds:datastoreItem xmlns:ds="http://schemas.openxmlformats.org/officeDocument/2006/customXml" ds:itemID="{DDE1537D-0D3B-4DCF-852B-B4E384367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47D93-7242-4718-9D27-92D36314A30F}">
  <ds:schemaRefs>
    <ds:schemaRef ds:uri="Microsoft.SharePoint.Taxonomy.ContentTypeSync"/>
  </ds:schemaRefs>
</ds:datastoreItem>
</file>

<file path=customXml/itemProps4.xml><?xml version="1.0" encoding="utf-8"?>
<ds:datastoreItem xmlns:ds="http://schemas.openxmlformats.org/officeDocument/2006/customXml" ds:itemID="{9ABCF4BB-DB8C-4A42-AE28-760689C8B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Barkas</dc:creator>
  <cp:lastModifiedBy>Johnson, Amaris</cp:lastModifiedBy>
  <cp:revision>2</cp:revision>
  <dcterms:created xsi:type="dcterms:W3CDTF">2024-02-14T21:53:00Z</dcterms:created>
  <dcterms:modified xsi:type="dcterms:W3CDTF">2024-02-14T21:53:00Z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Created">
    <vt:filetime>2020-10-01T00:00:00Z</vt:filetime>
  </property>
  <property fmtid="{D5CDD505-2E9C-101B-9397-08002B2CF9AE}" pid="4" name="Creator">
    <vt:lpwstr>Microsoft® Word for Office 365</vt:lpwstr>
  </property>
  <property fmtid="{D5CDD505-2E9C-101B-9397-08002B2CF9AE}" pid="5" name="LastSaved">
    <vt:filetime>2023-11-21T00:00:00Z</vt:filetime>
  </property>
  <property fmtid="{D5CDD505-2E9C-101B-9397-08002B2CF9AE}" pid="6" name="Producer">
    <vt:lpwstr>Microsoft® Word for Office 365</vt:lpwstr>
  </property>
  <property fmtid="{D5CDD505-2E9C-101B-9397-08002B2CF9AE}" pid="7" name="TaxKeyword">
    <vt:lpwstr/>
  </property>
</Properties>
</file>