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D00" w:rsidRPr="001F5B55" w:rsidP="00967D00" w14:paraId="22BD1F67" w14:textId="77777777">
      <w:pPr>
        <w:jc w:val="center"/>
        <w:outlineLvl w:val="0"/>
        <w:rPr>
          <w:b/>
          <w:sz w:val="32"/>
          <w:szCs w:val="32"/>
        </w:rPr>
      </w:pPr>
      <w:r w:rsidRPr="001F5B55">
        <w:rPr>
          <w:b/>
          <w:sz w:val="32"/>
          <w:szCs w:val="32"/>
        </w:rPr>
        <w:t>Department of Transportation</w:t>
      </w:r>
    </w:p>
    <w:p w:rsidR="00967D00" w:rsidRPr="001F5B55" w:rsidP="00967D00" w14:paraId="4C6A72EE" w14:textId="77777777">
      <w:pPr>
        <w:jc w:val="center"/>
        <w:outlineLvl w:val="0"/>
        <w:rPr>
          <w:b/>
          <w:sz w:val="32"/>
          <w:szCs w:val="32"/>
        </w:rPr>
      </w:pPr>
      <w:r w:rsidRPr="001F5B55">
        <w:rPr>
          <w:b/>
          <w:sz w:val="32"/>
          <w:szCs w:val="32"/>
        </w:rPr>
        <w:t>Office of the Chief Information Officer</w:t>
      </w:r>
    </w:p>
    <w:p w:rsidR="00967D00" w:rsidRPr="001F5B55" w:rsidP="00B75DDA" w14:paraId="7AA303DB" w14:textId="77777777">
      <w:pPr>
        <w:outlineLvl w:val="0"/>
        <w:rPr>
          <w:b/>
        </w:rPr>
      </w:pPr>
    </w:p>
    <w:p w:rsidR="00967D00" w:rsidP="00967D00" w14:paraId="2914A67C" w14:textId="66F89509">
      <w:pPr>
        <w:jc w:val="center"/>
        <w:rPr>
          <w:b/>
        </w:rPr>
      </w:pPr>
      <w:r w:rsidRPr="002F187A">
        <w:rPr>
          <w:b/>
        </w:rPr>
        <w:t>SUPPORTING STATEMENT</w:t>
      </w:r>
    </w:p>
    <w:p w:rsidR="00B75DDA" w:rsidRPr="002F187A" w:rsidP="00967D00" w14:paraId="697A6C88" w14:textId="77777777">
      <w:pPr>
        <w:jc w:val="center"/>
        <w:rPr>
          <w:b/>
        </w:rPr>
      </w:pPr>
    </w:p>
    <w:p w:rsidR="009514F8" w:rsidRPr="009514F8" w:rsidP="007D085F" w14:paraId="1DF29D3A" w14:textId="77777777">
      <w:pPr>
        <w:jc w:val="center"/>
        <w:rPr>
          <w:b/>
          <w:bCs/>
        </w:rPr>
      </w:pPr>
      <w:r w:rsidRPr="009514F8">
        <w:rPr>
          <w:rStyle w:val="cf01"/>
          <w:rFonts w:ascii="Times New Roman" w:hAnsi="Times New Roman" w:cs="Times New Roman"/>
          <w:b/>
          <w:bCs/>
          <w:sz w:val="24"/>
          <w:szCs w:val="24"/>
        </w:rPr>
        <w:t>Documentation Provided by Airline Passengers as a Condition to Receive Travel Credits or Vouchers in Relation to a Serious Communicable Disease</w:t>
      </w:r>
      <w:r w:rsidRPr="009514F8">
        <w:rPr>
          <w:rStyle w:val="cf01"/>
          <w:rFonts w:ascii="Times New Roman" w:hAnsi="Times New Roman" w:cs="Times New Roman"/>
          <w:b/>
          <w:bCs/>
          <w:sz w:val="24"/>
          <w:szCs w:val="24"/>
        </w:rPr>
        <w:t xml:space="preserve"> </w:t>
      </w:r>
    </w:p>
    <w:p w:rsidR="00CA29A7" w:rsidP="007D085F" w14:paraId="65C38908" w14:textId="020892C1">
      <w:pPr>
        <w:jc w:val="center"/>
        <w:rPr>
          <w:b/>
        </w:rPr>
      </w:pPr>
      <w:r>
        <w:rPr>
          <w:b/>
        </w:rPr>
        <w:t>OMB Control No. 2105-</w:t>
      </w:r>
      <w:r w:rsidR="00134A57">
        <w:rPr>
          <w:b/>
        </w:rPr>
        <w:t>0587</w:t>
      </w:r>
    </w:p>
    <w:p w:rsidR="00967D00" w:rsidRPr="001F5B55" w:rsidP="00967D00" w14:paraId="0ADDF3D6" w14:textId="77777777">
      <w:pPr>
        <w:jc w:val="center"/>
        <w:outlineLvl w:val="0"/>
        <w:rPr>
          <w:b/>
          <w:u w:val="single"/>
        </w:rPr>
      </w:pPr>
    </w:p>
    <w:p w:rsidR="00B3367A" w:rsidRPr="00B3367A" w:rsidP="002615CA" w14:paraId="4FAC4440" w14:textId="77777777">
      <w:pPr>
        <w:outlineLvl w:val="0"/>
        <w:rPr>
          <w:b/>
        </w:rPr>
      </w:pPr>
      <w:r w:rsidRPr="001F5B55">
        <w:rPr>
          <w:b/>
        </w:rPr>
        <w:t>JUSTIFICATION</w:t>
      </w:r>
    </w:p>
    <w:p w:rsidR="00B3367A" w:rsidP="008A721E" w14:paraId="1EC32A56" w14:textId="77777777"/>
    <w:p w:rsidR="003A3DB4" w:rsidP="00595E09" w14:paraId="55D89B47" w14:textId="595AF3D2">
      <w:pPr>
        <w:rPr>
          <w:rFonts w:ascii="Times" w:eastAsia="Times" w:hAnsi="Times"/>
          <w:szCs w:val="20"/>
        </w:rPr>
      </w:pPr>
      <w:r w:rsidRPr="00052D4A">
        <w:t xml:space="preserve">This </w:t>
      </w:r>
      <w:r>
        <w:t xml:space="preserve">is a </w:t>
      </w:r>
      <w:r w:rsidRPr="00052D4A">
        <w:t xml:space="preserve">request </w:t>
      </w:r>
      <w:r>
        <w:t xml:space="preserve">for </w:t>
      </w:r>
      <w:r w:rsidRPr="00052D4A">
        <w:t xml:space="preserve">OMB </w:t>
      </w:r>
      <w:r w:rsidR="00A00B2A">
        <w:t xml:space="preserve">to </w:t>
      </w:r>
      <w:r w:rsidR="00595E09">
        <w:t>approve</w:t>
      </w:r>
      <w:r>
        <w:t xml:space="preserve"> </w:t>
      </w:r>
      <w:r w:rsidR="00595E09">
        <w:t>a</w:t>
      </w:r>
      <w:r w:rsidR="001730C5">
        <w:t xml:space="preserve"> new</w:t>
      </w:r>
      <w:r w:rsidR="00595E09">
        <w:t xml:space="preserve"> </w:t>
      </w:r>
      <w:r>
        <w:t>control number</w:t>
      </w:r>
      <w:r w:rsidR="00134A57">
        <w:t>, 2105-0587,</w:t>
      </w:r>
      <w:r>
        <w:t xml:space="preserve"> </w:t>
      </w:r>
      <w:r w:rsidR="00595E09">
        <w:t xml:space="preserve">for the collection of information by airlines </w:t>
      </w:r>
      <w:r w:rsidRPr="00595E09">
        <w:rPr>
          <w:rFonts w:ascii="Times" w:eastAsia="Times" w:hAnsi="Times"/>
          <w:szCs w:val="20"/>
        </w:rPr>
        <w:t xml:space="preserve">as related to </w:t>
      </w:r>
      <w:r w:rsidRPr="00595E09" w:rsidR="00595E09">
        <w:rPr>
          <w:rFonts w:ascii="Times" w:eastAsia="Times" w:hAnsi="Times"/>
          <w:szCs w:val="20"/>
        </w:rPr>
        <w:t xml:space="preserve">proving a passenger’s eligibility to a travel credit or voucher when the passenger’s travel is affected by a serious communicable disease.  </w:t>
      </w:r>
    </w:p>
    <w:p w:rsidR="00595E09" w:rsidRPr="00B3367A" w:rsidP="00595E09" w14:paraId="5FAC2284" w14:textId="77777777"/>
    <w:p w:rsidR="00A713CB" w:rsidP="00A713CB" w14:paraId="71C9DB3E" w14:textId="77777777">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E352F3" w:rsidP="00A713CB" w14:paraId="67ECBB4E" w14:textId="77777777"/>
    <w:p w:rsidR="00595E09" w:rsidP="00595E09" w14:paraId="22E27B29" w14:textId="63E0995C">
      <w:r>
        <w:t xml:space="preserve">The </w:t>
      </w:r>
      <w:r w:rsidR="007602D4">
        <w:t>Department</w:t>
      </w:r>
      <w:r>
        <w:t xml:space="preserve"> of Transportation’</w:t>
      </w:r>
      <w:r w:rsidR="007602D4">
        <w:t xml:space="preserve">s </w:t>
      </w:r>
      <w:r>
        <w:t>(the Department) final rule</w:t>
      </w:r>
      <w:r w:rsidR="00134A57">
        <w:t xml:space="preserve"> </w:t>
      </w:r>
      <w:r>
        <w:t>titled “</w:t>
      </w:r>
      <w:r w:rsidR="00134A57">
        <w:t>Refunds</w:t>
      </w:r>
      <w:r>
        <w:t xml:space="preserve"> and </w:t>
      </w:r>
      <w:r w:rsidR="00134A57">
        <w:t xml:space="preserve">Other </w:t>
      </w:r>
      <w:r>
        <w:t>Consumer Protection</w:t>
      </w:r>
      <w:r w:rsidR="00134A57">
        <w:t>s</w:t>
      </w:r>
      <w:r>
        <w:t>”</w:t>
      </w:r>
      <w:r w:rsidR="00900A62">
        <w:t xml:space="preserve">, which published in the </w:t>
      </w:r>
      <w:r w:rsidRPr="008D1921" w:rsidR="00900A62">
        <w:rPr>
          <w:i/>
          <w:iCs/>
        </w:rPr>
        <w:t>Federal Register</w:t>
      </w:r>
      <w:r w:rsidR="00900A62">
        <w:t xml:space="preserve"> on April 26, 2024,</w:t>
      </w:r>
      <w:r>
        <w:t xml:space="preserve"> requires that airlines provide travel credits or vouchers to eligible passengers who are affected by a serious communicable disease.  Eligible passengers are (1)</w:t>
      </w:r>
      <w:r w:rsidRPr="00595E09">
        <w:t xml:space="preserve"> </w:t>
      </w:r>
      <w:r>
        <w:rPr>
          <w:bCs/>
        </w:rPr>
        <w:t>passengers who are</w:t>
      </w:r>
      <w:r>
        <w:t xml:space="preserve"> p</w:t>
      </w:r>
      <w:r w:rsidRPr="00623B19">
        <w:t xml:space="preserve">rohibited from </w:t>
      </w:r>
      <w:r>
        <w:t>t</w:t>
      </w:r>
      <w:r w:rsidRPr="00623B19">
        <w:t>ravel</w:t>
      </w:r>
      <w:r>
        <w:t xml:space="preserve"> </w:t>
      </w:r>
      <w:r w:rsidRPr="00623B19">
        <w:t>or</w:t>
      </w:r>
      <w:r>
        <w:t xml:space="preserve"> required to </w:t>
      </w:r>
      <w:r w:rsidRPr="00084C9F">
        <w:t xml:space="preserve">quarantine </w:t>
      </w:r>
      <w:r>
        <w:t xml:space="preserve">for a substantial portion of the trip </w:t>
      </w:r>
      <w:r w:rsidRPr="00623B19">
        <w:t xml:space="preserve">by a governmental entity in relation to a serious </w:t>
      </w:r>
      <w:r w:rsidRPr="002E2201">
        <w:t>communicable disease</w:t>
      </w:r>
      <w:r>
        <w:t xml:space="preserve">; </w:t>
      </w:r>
      <w:r>
        <w:rPr>
          <w:bCs/>
        </w:rPr>
        <w:t>(2)</w:t>
      </w:r>
      <w:r w:rsidRPr="00595E09">
        <w:t xml:space="preserve"> </w:t>
      </w:r>
      <w:r>
        <w:t>passengers who are</w:t>
      </w:r>
      <w:r w:rsidRPr="00F45FA0">
        <w:t xml:space="preserve"> advised by </w:t>
      </w:r>
      <w:r>
        <w:t xml:space="preserve">a licensed </w:t>
      </w:r>
      <w:r w:rsidRPr="00F45FA0">
        <w:t>treating medical professional</w:t>
      </w:r>
      <w:r w:rsidRPr="54097E3C">
        <w:t xml:space="preserve"> not to travel during a public health </w:t>
      </w:r>
      <w:r w:rsidRPr="4C4B82A2">
        <w:t>emergency</w:t>
      </w:r>
      <w:r w:rsidRPr="00F45FA0">
        <w:t xml:space="preserve"> to protect </w:t>
      </w:r>
      <w:r>
        <w:t xml:space="preserve">themselves </w:t>
      </w:r>
      <w:r w:rsidRPr="00F45FA0">
        <w:t>from a serious communicable disease</w:t>
      </w:r>
      <w:r w:rsidRPr="002E2201">
        <w:t>;</w:t>
      </w:r>
      <w:r>
        <w:t xml:space="preserve"> and (3) passengers who are</w:t>
      </w:r>
      <w:r w:rsidRPr="002E2201">
        <w:t xml:space="preserve"> advised by a licensed treating medical professional not to travel, irrespective of a public health emergency, because the consumer has or is likely to have contracted a serious communicable disease and would pose a direct threat to the health of others.</w:t>
      </w:r>
      <w:r>
        <w:t xml:space="preserve"> The final rule further allows airline to require passengers wishing to cancel a flight itinerary that is still operated</w:t>
      </w:r>
      <w:r w:rsidR="00B75DDA">
        <w:t xml:space="preserve"> and receive a travel credit or voucher</w:t>
      </w:r>
      <w:r>
        <w:t xml:space="preserve"> to provide documentation demonstrating that they are prohibited from </w:t>
      </w:r>
      <w:r w:rsidRPr="00BF14FD">
        <w:t>trave</w:t>
      </w:r>
      <w:r>
        <w:t>l</w:t>
      </w:r>
      <w:r w:rsidRPr="00BF14FD">
        <w:t xml:space="preserve"> </w:t>
      </w:r>
      <w:r w:rsidRPr="0072243E">
        <w:t>or required to quarantine for a substantial portion of the trip by a governmental entity in relation to a serious communicable disease</w:t>
      </w:r>
      <w:r>
        <w:t>, or that they are advised by a licensed treating medical professional not to travel to protect themselves or others from a serious communicable disease.</w:t>
      </w:r>
      <w:r>
        <w:rPr>
          <w:rStyle w:val="FootnoteReference"/>
        </w:rPr>
        <w:footnoteReference w:id="2"/>
      </w:r>
      <w:r>
        <w:t xml:space="preserve"> The collection of this information by airlines is necessary to ensure that only eligible passengers may receive the travel credits or vouchers, thereby reducing the likelihood of fraud and abuse by passengers who do not qualify.  </w:t>
      </w:r>
    </w:p>
    <w:p w:rsidR="00595E09" w:rsidRPr="002E2201" w:rsidP="00595E09" w14:paraId="542877AC" w14:textId="2D39F115">
      <w:r>
        <w:t xml:space="preserve"> </w:t>
      </w:r>
    </w:p>
    <w:p w:rsidR="00132B12" w:rsidP="00A713CB" w14:paraId="6E67B96C" w14:textId="25167979">
      <w:r w:rsidRPr="001F5B55">
        <w:t xml:space="preserve">2. </w:t>
      </w:r>
      <w:r w:rsidRPr="001F5B55">
        <w:rPr>
          <w:u w:val="single"/>
        </w:rPr>
        <w:t>How, by whom, and for what purpose is the information used</w:t>
      </w:r>
      <w:r w:rsidR="00495950">
        <w:t>?</w:t>
      </w:r>
      <w:r w:rsidRPr="001F5B55">
        <w:rPr>
          <w:b/>
          <w:bCs/>
          <w:i/>
          <w:iCs/>
        </w:rPr>
        <w:t xml:space="preserve"> Indicate how, by whom, and for what purpose the information is to be used</w:t>
      </w:r>
      <w:r w:rsidRPr="001F5B55">
        <w:t>.</w:t>
      </w:r>
    </w:p>
    <w:p w:rsidR="00A713CB" w:rsidRPr="00A713CB" w:rsidP="00A713CB" w14:paraId="1C415980" w14:textId="77777777"/>
    <w:p w:rsidR="00595E09" w:rsidP="00595E09" w14:paraId="68AA6AF1" w14:textId="6D258EF5">
      <w:r>
        <w:t xml:space="preserve">In the absence of a determination by HHS that requiring the documentation is not in the public interest, airlines may require (1) a consumer requesting a travel credit or voucher </w:t>
      </w:r>
      <w:r w:rsidRPr="03EDFE1B">
        <w:rPr>
          <w:color w:val="333333"/>
        </w:rPr>
        <w:t xml:space="preserve">because of a government restriction or prohibition </w:t>
      </w:r>
      <w:r>
        <w:t xml:space="preserve">to provide </w:t>
      </w:r>
      <w:r w:rsidRPr="00595E09">
        <w:t xml:space="preserve">the applicable current government order or other document demonstrating how the government order prohibits </w:t>
      </w:r>
      <w:r>
        <w:t xml:space="preserve">or substantially restricts </w:t>
      </w:r>
      <w:r w:rsidRPr="00595E09">
        <w:t>the consumer from travel</w:t>
      </w:r>
      <w:r>
        <w:t>; (2) a consumer requesting a travel credit or voucher to protect his or her health during a public health emergency to provide a medical certificate issued by a</w:t>
      </w:r>
      <w:r w:rsidRPr="00595E09">
        <w:t xml:space="preserve"> </w:t>
      </w:r>
      <w:r w:rsidRPr="003C7107">
        <w:t>licensed treating medical professional s</w:t>
      </w:r>
      <w:r>
        <w:t>tating</w:t>
      </w:r>
      <w:r w:rsidRPr="003C7107">
        <w:t xml:space="preserve"> that it is his/her </w:t>
      </w:r>
      <w:r>
        <w:t>professional</w:t>
      </w:r>
      <w:r w:rsidRPr="003C7107">
        <w:t xml:space="preserve"> opinion</w:t>
      </w:r>
      <w:r>
        <w:t xml:space="preserve">, based on the medical condition of the individual and </w:t>
      </w:r>
      <w:r w:rsidRPr="003C7107">
        <w:t>current medical knowledge on the relevant serious communicable disease</w:t>
      </w:r>
      <w:r>
        <w:t>,</w:t>
      </w:r>
      <w:r w:rsidRPr="003C7107">
        <w:t xml:space="preserve"> </w:t>
      </w:r>
      <w:r>
        <w:t xml:space="preserve">including public health guidance </w:t>
      </w:r>
      <w:r w:rsidRPr="00914327">
        <w:t xml:space="preserve">by </w:t>
      </w:r>
      <w:r w:rsidRPr="000F2D0C">
        <w:rPr>
          <w:color w:val="333333"/>
        </w:rPr>
        <w:t>CDC</w:t>
      </w:r>
      <w:r>
        <w:rPr>
          <w:color w:val="333333"/>
        </w:rPr>
        <w:t xml:space="preserve"> or </w:t>
      </w:r>
      <w:r w:rsidRPr="00914327">
        <w:t>WHO</w:t>
      </w:r>
      <w:r>
        <w:t>,</w:t>
      </w:r>
      <w:r>
        <w:rPr>
          <w:color w:val="333333"/>
        </w:rPr>
        <w:t xml:space="preserve"> </w:t>
      </w:r>
      <w:r>
        <w:t>if available</w:t>
      </w:r>
      <w:bookmarkStart w:id="0" w:name="_Hlk159493566"/>
      <w:r>
        <w:t xml:space="preserve">, that the individual </w:t>
      </w:r>
      <w:r w:rsidRPr="003C7107">
        <w:t xml:space="preserve">should not travel </w:t>
      </w:r>
      <w:r>
        <w:t xml:space="preserve">during the current public health emergency </w:t>
      </w:r>
      <w:r w:rsidRPr="003C7107">
        <w:t>by commercial air transportation</w:t>
      </w:r>
      <w:r>
        <w:t xml:space="preserve"> to protect his or her health from a serious communicable disease</w:t>
      </w:r>
      <w:bookmarkEnd w:id="0"/>
      <w:r>
        <w:t>; and (3) a consumer requesting a travel credit or voucher because the consumer has or is likely to have contracted a serious communicable disease to provide a medical certificate issued by a licensed treating</w:t>
      </w:r>
      <w:r w:rsidRPr="00595E09">
        <w:t xml:space="preserve"> medical professional stating that it is his/her professional opinion, based on current medical knowledge of the relevant serious communicable disease, including public health guidance issued by CDC or WHO, if available, that the individual should not travel by commercial air transportation on the date of the scheduled travel to protect the health of others from a serious communicable disease because the individual has or is likely to have contracted a serious communicable disease.</w:t>
      </w:r>
    </w:p>
    <w:p w:rsidR="00595E09" w:rsidP="00595E09" w14:paraId="54EA3D8C" w14:textId="3947F71B"/>
    <w:p w:rsidR="00595E09" w:rsidRPr="00595E09" w:rsidP="00595E09" w14:paraId="18DF9915" w14:textId="380CAE56">
      <w:r>
        <w:t>After receiving the documentation</w:t>
      </w:r>
      <w:r w:rsidR="000809FA">
        <w:t xml:space="preserve"> as described above</w:t>
      </w:r>
      <w:r>
        <w:t>, airlines will review the information</w:t>
      </w:r>
      <w:r w:rsidR="00B75DDA">
        <w:t xml:space="preserve"> (</w:t>
      </w:r>
      <w:r>
        <w:t>including, as applicable, the dates of the government orders in relation to the consumer’s travel date, the date and the content of the medical certificate and the qualification of the medical professional issuing the medical certificate</w:t>
      </w:r>
      <w:r w:rsidR="00B35BD1">
        <w:t>) and</w:t>
      </w:r>
      <w:r>
        <w:t xml:space="preserve"> determine whether the consumer is eligible to </w:t>
      </w:r>
      <w:r w:rsidR="00B75DDA">
        <w:t xml:space="preserve">receive </w:t>
      </w:r>
      <w:r>
        <w:t xml:space="preserve">the travel credit or voucher under the regulation.  </w:t>
      </w:r>
    </w:p>
    <w:p w:rsidR="00595E09" w:rsidRPr="00595E09" w:rsidP="00595E09" w14:paraId="61C392CF" w14:textId="03BA98CE">
      <w:r>
        <w:t xml:space="preserve"> </w:t>
      </w:r>
      <w:r w:rsidRPr="00595E09">
        <w:t xml:space="preserve">  </w:t>
      </w:r>
    </w:p>
    <w:p w:rsidR="00A713CB" w:rsidRPr="001F5B55" w:rsidP="00A713CB" w14:paraId="79553DDF" w14:textId="77777777">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A713CB" w:rsidP="008A721E" w14:paraId="56338886" w14:textId="77777777">
      <w:pPr>
        <w:rPr>
          <w:b/>
        </w:rPr>
      </w:pPr>
    </w:p>
    <w:p w:rsidR="00AD7522" w:rsidP="008A721E" w14:paraId="120967E8" w14:textId="7101D918">
      <w:r>
        <w:t>To the Department’s knowledge, all</w:t>
      </w:r>
      <w:r w:rsidR="007100D3">
        <w:t xml:space="preserve"> a</w:t>
      </w:r>
      <w:r w:rsidR="00595E09">
        <w:t>irlines</w:t>
      </w:r>
      <w:r w:rsidR="007100D3">
        <w:t xml:space="preserve"> </w:t>
      </w:r>
      <w:r w:rsidR="00595E09">
        <w:t xml:space="preserve">already have the capacity to receive required information from passengers electronically, including complaints, mishandled baggage reports, and disability accommodation requests.  The Department expects </w:t>
      </w:r>
      <w:r w:rsidR="007100D3">
        <w:t xml:space="preserve">that those </w:t>
      </w:r>
      <w:r w:rsidR="00595E09">
        <w:t xml:space="preserve">airlines will use the same methodology to allow passengers to submit the documentations under this collection electronically.   </w:t>
      </w:r>
    </w:p>
    <w:p w:rsidR="007602D4" w:rsidRPr="002F187A" w:rsidP="008A721E" w14:paraId="0DE3DFFD" w14:textId="77777777"/>
    <w:p w:rsidR="00A713CB" w:rsidRPr="001F5B55" w:rsidP="00A713CB" w14:paraId="7A14A2EE" w14:textId="77777777">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00AD7522" w:rsidRPr="00CA29A7" w:rsidP="0011456C" w14:paraId="04BB833E" w14:textId="77777777">
      <w:pPr>
        <w:spacing w:after="120"/>
        <w:rPr>
          <w:bCs/>
        </w:rPr>
      </w:pPr>
    </w:p>
    <w:p w:rsidR="009038D4" w:rsidP="008A721E" w14:paraId="28A6A1E3" w14:textId="440AB759">
      <w:r>
        <w:t xml:space="preserve">The information covered under this collection is unique and airlines currently are not receiving the same information for other purposes.  </w:t>
      </w:r>
    </w:p>
    <w:p w:rsidR="00A713CB" w:rsidRPr="001F5B55" w:rsidP="00A713CB" w14:paraId="7EEFAF10" w14:textId="77777777">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r w:rsidRPr="001F5B55">
        <w:br/>
      </w:r>
    </w:p>
    <w:p w:rsidR="00B33613" w:rsidP="008A721E" w14:paraId="4C1C077A" w14:textId="5B03C63F">
      <w:r>
        <w:t xml:space="preserve">Some carriers that qualify as small businesses operate flights for large carriers as codeshare partners.  In those circumstances, the large partner airlines are the entities that handle customer services, including receiving and reviewing information submitted by passengers under this collection.  For small business carriers that handle customer services on their own, the Department estimates an airline would need an average of 5 minutes to review </w:t>
      </w:r>
      <w:r w:rsidR="007100D3">
        <w:t xml:space="preserve">each </w:t>
      </w:r>
      <w:r>
        <w:t>documentation.</w:t>
      </w:r>
      <w:r w:rsidRPr="007602D4" w:rsidR="007602D4">
        <w:t xml:space="preserve">  </w:t>
      </w:r>
      <w:r>
        <w:t xml:space="preserve">The Department further notes that </w:t>
      </w:r>
      <w:r w:rsidR="007100D3">
        <w:t xml:space="preserve">the </w:t>
      </w:r>
      <w:r>
        <w:t xml:space="preserve">need to collect this information typically arise during a public health emergency.  Outside of public health emergencies, carriers may receive request for travel credits or vouchers from passengers claiming that they have or are likely to have contracted a serious communicable </w:t>
      </w:r>
      <w:r w:rsidR="007100D3">
        <w:t>disease,</w:t>
      </w:r>
      <w:r>
        <w:t xml:space="preserve"> but the Department expects these requests to be infrequent.   </w:t>
      </w:r>
      <w:r w:rsidR="007100D3">
        <w:t xml:space="preserve">The Department certifies that this information collection does not impact a substantial number of small businesses or other small entities.  </w:t>
      </w:r>
    </w:p>
    <w:p w:rsidR="007602D4" w:rsidRPr="002F187A" w:rsidP="008A721E" w14:paraId="6A57A72A" w14:textId="77777777"/>
    <w:p w:rsidR="009038D4" w:rsidP="00A713CB" w14:paraId="3FB4D9EA" w14:textId="77777777">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00A713CB" w:rsidRPr="00A713CB" w:rsidP="00A713CB" w14:paraId="1818AFD1" w14:textId="77777777"/>
    <w:p w:rsidR="00DE6074" w:rsidRPr="002F187A" w:rsidP="008A721E" w14:paraId="061D952F" w14:textId="7EDB6989">
      <w:r>
        <w:t xml:space="preserve">The Department permits airlines to require documentation from passengers who claim that their travel is significantly impacted by a situation related to a serious communicable disease under the specific circumstances described in the rule.  </w:t>
      </w:r>
      <w:r w:rsidR="001730C5">
        <w:t>In many cases, a</w:t>
      </w:r>
      <w:r w:rsidR="007100D3">
        <w:t xml:space="preserve">irlines requiring passengers to provide the information covered under this collection need to review and evaluate the information submitted on a per-trip basis.  </w:t>
      </w:r>
      <w:r>
        <w:t xml:space="preserve">Passengers </w:t>
      </w:r>
      <w:r w:rsidR="000809FA">
        <w:t xml:space="preserve">who </w:t>
      </w:r>
      <w:r>
        <w:t xml:space="preserve">could not travel due to a government order prohibiting or restricting travel may not need to submit additional documentation if the government order is already available to the airlines. </w:t>
      </w:r>
      <w:r w:rsidR="007100D3">
        <w:t xml:space="preserve">Passengers submitting the information need to show how the particular itinerary for which they are requesting a travel credit or voucher is impacted by a legitimate reason relating to a serious communicable disease, as demonstrated by the relevant documentation.  However, for passengers who are advised </w:t>
      </w:r>
      <w:r w:rsidRPr="003C7107" w:rsidR="007100D3">
        <w:t>not</w:t>
      </w:r>
      <w:r w:rsidR="007100D3">
        <w:t xml:space="preserve"> to</w:t>
      </w:r>
      <w:r w:rsidRPr="003C7107" w:rsidR="007100D3">
        <w:t xml:space="preserve"> travel </w:t>
      </w:r>
      <w:r w:rsidR="007100D3">
        <w:t xml:space="preserve">during a public health emergency </w:t>
      </w:r>
      <w:r w:rsidRPr="003C7107" w:rsidR="007100D3">
        <w:t>by commercial air transportation</w:t>
      </w:r>
      <w:r w:rsidR="007100D3">
        <w:t xml:space="preserve"> to protect their own health from a serious communicable disease, the medical certificate they submitted for a previous trip may be used again for another trip if the relevant public health emergency is still ongoing during the second trip, and the medical certificate is dated within one year of the date of the subsequent trip. In those situations, passengers should not be required to submit a new medical certificate.  </w:t>
      </w:r>
    </w:p>
    <w:p w:rsidR="007602D4" w:rsidP="006B799D" w14:paraId="37F0DEA7" w14:textId="77777777"/>
    <w:p w:rsidR="00DE6074" w:rsidP="006B799D" w14:paraId="2E9A7773" w14:textId="77777777">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p>
    <w:p w:rsidR="006B799D" w:rsidRPr="006B799D" w:rsidP="006B799D" w14:paraId="76E534E4" w14:textId="77777777"/>
    <w:p w:rsidR="003A3DB4" w:rsidRPr="003A3DB4" w:rsidP="003A3DB4" w14:paraId="522AFEEC" w14:textId="77777777">
      <w:r w:rsidRPr="001F5B55">
        <w:t>The collection of information is consistent with 5 CFR 1320.5(d)(2)(i)-(viii).</w:t>
      </w:r>
    </w:p>
    <w:p w:rsidR="003A3DB4" w:rsidP="008A721E" w14:paraId="56827362" w14:textId="77777777">
      <w:pPr>
        <w:rPr>
          <w:b/>
        </w:rPr>
      </w:pPr>
    </w:p>
    <w:p w:rsidR="003A3DB4" w:rsidP="003A3DB4" w14:paraId="659153A9" w14:textId="77777777">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3A3DB4" w:rsidP="003A3DB4" w14:paraId="13436B2A" w14:textId="77777777">
      <w:pPr>
        <w:rPr>
          <w:bCs/>
          <w:iCs/>
        </w:rPr>
      </w:pPr>
    </w:p>
    <w:p w:rsidR="00685D70" w:rsidRPr="00225DFA" w:rsidP="008A721E" w14:paraId="1C72EBE6" w14:textId="105D2530">
      <w:pPr>
        <w:rPr>
          <w:b/>
          <w:i/>
        </w:rPr>
      </w:pPr>
      <w:r w:rsidRPr="002F187A">
        <w:t xml:space="preserve">In accordance with the Paperwork Reduction Act of 1995, </w:t>
      </w:r>
      <w:r w:rsidR="00141450">
        <w:t xml:space="preserve">on </w:t>
      </w:r>
      <w:r w:rsidR="00595E09">
        <w:t>August 22</w:t>
      </w:r>
      <w:r w:rsidR="00141450">
        <w:t>, 202</w:t>
      </w:r>
      <w:r w:rsidR="00595E09">
        <w:t>2</w:t>
      </w:r>
      <w:r w:rsidR="00141450">
        <w:t>, the Department</w:t>
      </w:r>
      <w:r w:rsidRPr="00F83757" w:rsidR="00141450">
        <w:t xml:space="preserve"> published </w:t>
      </w:r>
      <w:r w:rsidRPr="00F83757" w:rsidR="00595E09">
        <w:t xml:space="preserve">in the </w:t>
      </w:r>
      <w:r w:rsidRPr="00B35BD1" w:rsidR="00595E09">
        <w:rPr>
          <w:i/>
          <w:iCs/>
        </w:rPr>
        <w:t>Federal Register</w:t>
      </w:r>
      <w:r w:rsidR="00595E09">
        <w:t xml:space="preserve"> </w:t>
      </w:r>
      <w:r w:rsidR="00C6408B">
        <w:t>a</w:t>
      </w:r>
      <w:r w:rsidR="00595E09">
        <w:t xml:space="preserve"> Notice of Proposed Rulemaking (87 FR 51550)</w:t>
      </w:r>
      <w:r w:rsidR="00C6408B">
        <w:t xml:space="preserve"> that sought comment on this information collection</w:t>
      </w:r>
      <w:r w:rsidR="00595E09">
        <w:t xml:space="preserve">.  The Department received one comment on the information collection.  The commenter states that the estimated burden in the 60-day notice does not include the burden on health care providers, who are more likely to be burdened during a public health emergency.  Accordingly, the commenter suggests that the Department should consider the cost on small entities that are health care providers in its Final Regulatory Flexibility Analysis. </w:t>
      </w:r>
      <w:r w:rsidR="007100D3">
        <w:t xml:space="preserve">The Department </w:t>
      </w:r>
      <w:r w:rsidR="004963D2">
        <w:t>has revised the cost estimate in the 60-day notice to include</w:t>
      </w:r>
      <w:r w:rsidR="00134A57">
        <w:t xml:space="preserve"> the final rule’s estimate</w:t>
      </w:r>
      <w:r w:rsidR="00900A62">
        <w:t>d</w:t>
      </w:r>
      <w:r w:rsidR="00134A57">
        <w:t xml:space="preserve"> </w:t>
      </w:r>
      <w:r w:rsidR="004963D2">
        <w:t xml:space="preserve">costs for medical assistants for preparing the documentations (0.25 hours per document).  The Department does not </w:t>
      </w:r>
      <w:r w:rsidR="00C6408B">
        <w:t>include these costs in</w:t>
      </w:r>
      <w:r w:rsidR="004963D2">
        <w:t xml:space="preserve"> the Regulatory Flexibility Analysis because health care providers that are small businesses are not regulated entities under this final rule</w:t>
      </w:r>
      <w:r w:rsidR="00C6408B">
        <w:t xml:space="preserve">.  The Department notes that because health care providers are paid for any services provided </w:t>
      </w:r>
      <w:r w:rsidR="00900A62">
        <w:t xml:space="preserve">due to consumer actions taken pursuant to </w:t>
      </w:r>
      <w:r w:rsidR="00C6408B">
        <w:t xml:space="preserve">the rule, any potential impacts of the rule on health care providers would likely be positive.  </w:t>
      </w:r>
      <w:r w:rsidR="004963D2">
        <w:t xml:space="preserve">  </w:t>
      </w:r>
      <w:r w:rsidR="007100D3">
        <w:t xml:space="preserve">  </w:t>
      </w:r>
    </w:p>
    <w:p w:rsidR="00685D70" w:rsidRPr="002F187A" w:rsidP="008A721E" w14:paraId="7FD08E86" w14:textId="77777777"/>
    <w:p w:rsidR="00E71C94" w:rsidRPr="001F5B55" w:rsidP="00E71C94" w14:paraId="7EF89ED1" w14:textId="77777777">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E71C94" w:rsidP="00F31CA5" w14:paraId="22F1A6BF" w14:textId="77777777">
      <w:pPr>
        <w:outlineLvl w:val="0"/>
        <w:rPr>
          <w:b/>
        </w:rPr>
      </w:pPr>
    </w:p>
    <w:p w:rsidR="00F31CA5" w:rsidRPr="001F5B55" w:rsidP="00F31CA5" w14:paraId="2B96B9BD" w14:textId="77777777">
      <w:pPr>
        <w:outlineLvl w:val="0"/>
      </w:pPr>
      <w:r w:rsidRPr="001F5B55">
        <w:t>There are no payments or gifts in this rule.</w:t>
      </w:r>
    </w:p>
    <w:p w:rsidR="00685D70" w:rsidRPr="002F187A" w:rsidP="008A721E" w14:paraId="50606505" w14:textId="77777777"/>
    <w:p w:rsidR="00E71C94" w:rsidRPr="001F5B55" w:rsidP="00E71C94" w14:paraId="1D105719" w14:textId="77777777">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00E71C94" w:rsidRPr="001F5B55" w:rsidP="00E71C94" w14:paraId="16EA0B3D" w14:textId="77777777"/>
    <w:p w:rsidR="00F31CA5" w:rsidRPr="00E71C94" w:rsidP="00E71C94" w14:paraId="2BBDDCA2" w14:textId="77777777">
      <w:pPr>
        <w:spacing w:after="120"/>
        <w:rPr>
          <w:b/>
        </w:rPr>
      </w:pPr>
      <w:r w:rsidRPr="001F5B55">
        <w:t>There are no such assurances in this rule.</w:t>
      </w:r>
    </w:p>
    <w:p w:rsidR="00685D70" w:rsidRPr="002F187A" w:rsidP="008A721E" w14:paraId="2DC5F28B" w14:textId="77777777"/>
    <w:p w:rsidR="00E71C94" w:rsidRPr="001F5B55" w:rsidP="00E71C94" w14:paraId="1DF6811C" w14:textId="77777777">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00F03860" w:rsidP="00F31CA5" w14:paraId="14C3D502" w14:textId="77777777">
      <w:pPr>
        <w:outlineLvl w:val="0"/>
        <w:rPr>
          <w:b/>
        </w:rPr>
      </w:pPr>
    </w:p>
    <w:p w:rsidR="007100D3" w:rsidRPr="007100D3" w:rsidP="007100D3" w14:paraId="4A709681" w14:textId="21CC0C3C">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There could be sensitive information contained in medical documentation stating a medical reason for which a passenger is advised not to travel.  The sensitive information being collected is necessary to show that a passenger is eligible to receive travel credits or vouchers under the regulation and to prevent fraud and abuse.  </w:t>
      </w:r>
      <w:r w:rsidRPr="007100D3">
        <w:rPr>
          <w:rFonts w:ascii="Times New Roman" w:hAnsi="Times New Roman" w:cs="Times New Roman"/>
          <w:color w:val="auto"/>
        </w:rPr>
        <w:t xml:space="preserve">  </w:t>
      </w:r>
    </w:p>
    <w:p w:rsidR="00BB2DE3" w:rsidRPr="002F187A" w:rsidP="008A721E" w14:paraId="2B7A466C" w14:textId="77777777"/>
    <w:p w:rsidR="00F31CA5" w:rsidRPr="001F5B55" w:rsidP="00F31CA5" w14:paraId="0CEC7A86" w14:textId="77777777">
      <w:r w:rsidRPr="001F5B55">
        <w:t>12.</w:t>
      </w:r>
      <w:r w:rsidR="007F4EA8">
        <w:t xml:space="preserve"> </w:t>
      </w:r>
      <w:r w:rsidRPr="001F5B55">
        <w:rPr>
          <w:u w:val="single"/>
        </w:rPr>
        <w:t>Estimate of burden hours for information requested</w:t>
      </w:r>
      <w:r w:rsidRPr="001F5B55">
        <w:t xml:space="preserve">.  </w:t>
      </w:r>
      <w:r w:rsidRPr="001F5B55">
        <w:rPr>
          <w:b/>
          <w:bCs/>
          <w:i/>
          <w:iCs/>
        </w:rPr>
        <w:t>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p>
    <w:p w:rsidR="00F31CA5" w:rsidP="00F31CA5" w14:paraId="67251FA0" w14:textId="77777777"/>
    <w:p w:rsidR="007100D3" w:rsidRPr="007100D3" w:rsidP="007100D3" w14:paraId="02BF9F3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rPr>
          <w:b/>
          <w:bCs/>
        </w:rPr>
        <w:t>Respondents</w:t>
      </w:r>
      <w:r w:rsidRPr="007100D3">
        <w:t xml:space="preserve">: Passengers prohibited </w:t>
      </w:r>
      <w:r w:rsidRPr="007100D3">
        <w:rPr>
          <w:rFonts w:cs="Courier New"/>
        </w:rPr>
        <w:t>or is required to quarantine for a substantial portion of the trip by a governmental entity in relation to a serious communicable disease</w:t>
      </w:r>
      <w:r w:rsidRPr="007100D3">
        <w:t>, passengers advised by a licensed treating medical professional not to travel by air because they have or may have contracted a serious communicable disease such that their travel would pose a threat to the health of others, and passengers advised by a licensed treating medical professional not to travel to protect themselves from a serious communicable disease during a public health emergency.</w:t>
      </w:r>
    </w:p>
    <w:p w:rsidR="007100D3" w:rsidP="007100D3" w14:paraId="7D8EA8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7100D3" w:rsidRPr="007100D3" w:rsidP="007100D3" w14:paraId="0C4C1112" w14:textId="1952F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rPr>
          <w:b/>
          <w:bCs/>
        </w:rPr>
        <w:t>Number of Respondents</w:t>
      </w:r>
      <w:r w:rsidRPr="007100D3">
        <w:t>: The number of respondents would vary greatly depending on whether there is a public health emergency and the magnitude of that public health emergency. When there is a public health emergency with a similar magnitude of the COVID-19 pandemic, the number of respondents could potentially be very high. The Department</w:t>
      </w:r>
      <w:r w:rsidR="008459BF">
        <w:t xml:space="preserve"> used data provided by Airlines for America (A4A) showing that major U.S. airlines provided exchanges of tickets to about 180 million passengers between March 2020 and February 2021.  Industry suggests in comments on the proposed rule that about 15 percent of consumers who need to make ticket changes might opt for a travel credit.  Thus, the Department estimates that of the 180 million consumers provided ticket changes in the baseline, 27 million would submit the needed documentation to receive the five-year travel credit under the final rule.  As such, the Department estimates that the number of respondents would be approximately 27 million per year when there is a public health emergency.</w:t>
      </w:r>
      <w:r w:rsidRPr="00365CEB" w:rsidR="00365CEB">
        <w:rPr>
          <w:rStyle w:val="FootnoteReference"/>
        </w:rPr>
        <w:t xml:space="preserve"> </w:t>
      </w:r>
      <w:r>
        <w:rPr>
          <w:rStyle w:val="FootnoteReference"/>
        </w:rPr>
        <w:footnoteReference w:id="3"/>
      </w:r>
      <w:r w:rsidR="008459BF">
        <w:t xml:space="preserve">  The number of respondents per year when there is not a public emergency is difficult to estimate but will be substantially smaller than the 27 million number during a public health emergency</w:t>
      </w:r>
      <w:r w:rsidRPr="007100D3">
        <w:t xml:space="preserve">.  </w:t>
      </w:r>
    </w:p>
    <w:p w:rsidR="007100D3" w:rsidP="007100D3" w14:paraId="1775BE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7100D3" w:rsidP="007100D3" w14:paraId="5D379E54" w14:textId="64B18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rPr>
          <w:b/>
          <w:bCs/>
        </w:rPr>
        <w:t>Estimated Annual Burden on Respondents:</w:t>
      </w:r>
      <w:r w:rsidRPr="007100D3">
        <w:t xml:space="preserve"> </w:t>
      </w:r>
      <w:r>
        <w:t>The Department estimates</w:t>
      </w:r>
      <w:r w:rsidRPr="007100D3">
        <w:t xml:space="preserve"> that each respondent would need 30 minutes (0.5 hours) to obtain a documentation from a medical professional per response, per year. </w:t>
      </w:r>
      <w:r>
        <w:t>The Department also estimates</w:t>
      </w:r>
      <w:r w:rsidRPr="007100D3">
        <w:t xml:space="preserve"> that </w:t>
      </w:r>
      <w:r w:rsidR="008459BF">
        <w:t xml:space="preserve">a medical assistant will need 15 minutes (0.25 hours) to consult with the passenger or to prepare the medical documentation.  The Department further estimates that </w:t>
      </w:r>
      <w:r w:rsidRPr="007100D3">
        <w:t xml:space="preserve">a customer service representative working for an airline would need an average of 5 minutes (0.083 hours) to review the documentation and request additional documentation if needed. </w:t>
      </w:r>
      <w:r w:rsidR="008459BF">
        <w:t>During a public health emergency, p</w:t>
      </w:r>
      <w:r w:rsidRPr="007100D3">
        <w:t xml:space="preserve">assengers would spend a total of approximately </w:t>
      </w:r>
      <w:r w:rsidR="008459BF">
        <w:t>13.5</w:t>
      </w:r>
      <w:r w:rsidRPr="007100D3">
        <w:t xml:space="preserve"> million hours per year (0.5 hours × </w:t>
      </w:r>
      <w:r w:rsidR="008459BF">
        <w:t>27</w:t>
      </w:r>
      <w:r w:rsidRPr="007100D3">
        <w:t xml:space="preserve"> million passengers) to obtain the documentation. </w:t>
      </w:r>
      <w:r w:rsidR="008459BF">
        <w:t xml:space="preserve">Medical assistants would spend a total of 6.75 million hours to prepare the documentations (0.25 </w:t>
      </w:r>
      <w:r w:rsidR="008459BF">
        <w:t xml:space="preserve">hours </w:t>
      </w:r>
      <w:r w:rsidRPr="007100D3" w:rsidR="008459BF">
        <w:t xml:space="preserve">× </w:t>
      </w:r>
      <w:r w:rsidR="008459BF">
        <w:t>27</w:t>
      </w:r>
      <w:r w:rsidRPr="007100D3" w:rsidR="008459BF">
        <w:t xml:space="preserve"> million </w:t>
      </w:r>
      <w:r w:rsidR="008459BF">
        <w:t>documentations).</w:t>
      </w:r>
      <w:r>
        <w:rPr>
          <w:rStyle w:val="FootnoteReference"/>
        </w:rPr>
        <w:footnoteReference w:id="4"/>
      </w:r>
      <w:r w:rsidR="008459BF">
        <w:t xml:space="preserve">  </w:t>
      </w:r>
      <w:r w:rsidRPr="007100D3">
        <w:t xml:space="preserve">Airline customer service representatives would spend approximately </w:t>
      </w:r>
      <w:r w:rsidR="008459BF">
        <w:t>2.241 million</w:t>
      </w:r>
      <w:r w:rsidRPr="007100D3">
        <w:t xml:space="preserve"> hours (0.083 hours x </w:t>
      </w:r>
      <w:r w:rsidR="008459BF">
        <w:t>27</w:t>
      </w:r>
      <w:r w:rsidRPr="007100D3">
        <w:t xml:space="preserve"> million forms) per year to review the documentation.  </w:t>
      </w:r>
    </w:p>
    <w:p w:rsidR="00CA29A7" w:rsidP="007100D3" w14:paraId="090FC0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7820" w:type="dxa"/>
        <w:tblLook w:val="04A0"/>
      </w:tblPr>
      <w:tblGrid>
        <w:gridCol w:w="2871"/>
        <w:gridCol w:w="1580"/>
        <w:gridCol w:w="1872"/>
        <w:gridCol w:w="1497"/>
      </w:tblGrid>
      <w:tr w14:paraId="507729B2" w14:textId="77777777" w:rsidTr="005C44BA">
        <w:tblPrEx>
          <w:tblW w:w="7820" w:type="dxa"/>
          <w:tblLook w:val="04A0"/>
        </w:tblPrEx>
        <w:trPr>
          <w:trHeight w:val="600"/>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44BA" w14:paraId="70DA0C55" w14:textId="77777777">
            <w:pPr>
              <w:jc w:val="center"/>
              <w:rPr>
                <w:rFonts w:ascii="Calibri" w:hAnsi="Calibri" w:cs="Calibri"/>
                <w:color w:val="000000"/>
                <w:sz w:val="22"/>
                <w:szCs w:val="22"/>
              </w:rPr>
            </w:pPr>
            <w:r>
              <w:rPr>
                <w:rFonts w:ascii="Calibri" w:hAnsi="Calibri" w:cs="Calibri"/>
                <w:color w:val="000000"/>
                <w:sz w:val="22"/>
                <w:szCs w:val="22"/>
              </w:rPr>
              <w:t>Respondent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5C44BA" w14:paraId="78180F1D" w14:textId="77777777">
            <w:pPr>
              <w:jc w:val="center"/>
              <w:rPr>
                <w:rFonts w:ascii="Calibri" w:hAnsi="Calibri" w:cs="Calibri"/>
                <w:color w:val="000000"/>
                <w:sz w:val="22"/>
                <w:szCs w:val="22"/>
              </w:rPr>
            </w:pPr>
            <w:r>
              <w:rPr>
                <w:rFonts w:ascii="Calibri" w:hAnsi="Calibri" w:cs="Calibri"/>
                <w:color w:val="000000"/>
                <w:sz w:val="22"/>
                <w:szCs w:val="22"/>
              </w:rPr>
              <w:t># of responses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5C44BA" w14:paraId="4E08BDA7" w14:textId="77777777">
            <w:pPr>
              <w:jc w:val="center"/>
              <w:rPr>
                <w:rFonts w:ascii="Calibri" w:hAnsi="Calibri" w:cs="Calibri"/>
                <w:color w:val="000000"/>
                <w:sz w:val="22"/>
                <w:szCs w:val="22"/>
              </w:rPr>
            </w:pPr>
            <w:r>
              <w:rPr>
                <w:rFonts w:ascii="Calibri" w:hAnsi="Calibri" w:cs="Calibri"/>
                <w:color w:val="000000"/>
                <w:sz w:val="22"/>
                <w:szCs w:val="22"/>
              </w:rPr>
              <w:t>Time per response (hours)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5C44BA" w14:paraId="40607BB8" w14:textId="77777777">
            <w:pPr>
              <w:jc w:val="center"/>
              <w:rPr>
                <w:rFonts w:ascii="Calibri" w:hAnsi="Calibri" w:cs="Calibri"/>
                <w:color w:val="000000"/>
                <w:sz w:val="22"/>
                <w:szCs w:val="22"/>
              </w:rPr>
            </w:pPr>
            <w:r>
              <w:rPr>
                <w:rFonts w:ascii="Calibri" w:hAnsi="Calibri" w:cs="Calibri"/>
                <w:color w:val="000000"/>
                <w:sz w:val="22"/>
                <w:szCs w:val="22"/>
              </w:rPr>
              <w:t>Total Hours</w:t>
            </w:r>
          </w:p>
        </w:tc>
      </w:tr>
      <w:tr w14:paraId="7699F985"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06876211" w14:textId="77777777">
            <w:pPr>
              <w:rPr>
                <w:rFonts w:ascii="Calibri" w:hAnsi="Calibri" w:cs="Calibri"/>
                <w:color w:val="000000"/>
                <w:sz w:val="22"/>
                <w:szCs w:val="22"/>
              </w:rPr>
            </w:pPr>
            <w:r>
              <w:rPr>
                <w:rFonts w:ascii="Calibri" w:hAnsi="Calibri" w:cs="Calibri"/>
                <w:color w:val="000000"/>
                <w:sz w:val="22"/>
                <w:szCs w:val="22"/>
              </w:rPr>
              <w:t>Passenger</w:t>
            </w:r>
          </w:p>
        </w:tc>
        <w:tc>
          <w:tcPr>
            <w:tcW w:w="1600" w:type="dxa"/>
            <w:tcBorders>
              <w:top w:val="nil"/>
              <w:left w:val="nil"/>
              <w:bottom w:val="single" w:sz="4" w:space="0" w:color="auto"/>
              <w:right w:val="single" w:sz="4" w:space="0" w:color="auto"/>
            </w:tcBorders>
            <w:shd w:val="clear" w:color="auto" w:fill="auto"/>
            <w:hideMark/>
          </w:tcPr>
          <w:p w:rsidR="005C44BA" w14:paraId="12C9D5D5" w14:textId="77777777">
            <w:pPr>
              <w:jc w:val="right"/>
              <w:rPr>
                <w:rFonts w:ascii="Calibri" w:hAnsi="Calibri" w:cs="Calibri"/>
                <w:color w:val="000000"/>
                <w:sz w:val="22"/>
                <w:szCs w:val="22"/>
              </w:rPr>
            </w:pPr>
            <w:r>
              <w:rPr>
                <w:rFonts w:ascii="Calibri" w:hAnsi="Calibri" w:cs="Calibri"/>
                <w:color w:val="000000"/>
                <w:sz w:val="22"/>
                <w:szCs w:val="22"/>
              </w:rPr>
              <w:t>27,000,000</w:t>
            </w:r>
          </w:p>
        </w:tc>
        <w:tc>
          <w:tcPr>
            <w:tcW w:w="1920" w:type="dxa"/>
            <w:tcBorders>
              <w:top w:val="nil"/>
              <w:left w:val="nil"/>
              <w:bottom w:val="single" w:sz="4" w:space="0" w:color="auto"/>
              <w:right w:val="single" w:sz="4" w:space="0" w:color="auto"/>
            </w:tcBorders>
            <w:shd w:val="clear" w:color="auto" w:fill="auto"/>
            <w:hideMark/>
          </w:tcPr>
          <w:p w:rsidR="005C44BA" w14:paraId="641D13EF" w14:textId="77777777">
            <w:pPr>
              <w:jc w:val="right"/>
              <w:rPr>
                <w:rFonts w:ascii="Calibri" w:hAnsi="Calibri" w:cs="Calibri"/>
                <w:color w:val="000000"/>
                <w:sz w:val="22"/>
                <w:szCs w:val="22"/>
              </w:rPr>
            </w:pPr>
            <w:r>
              <w:rPr>
                <w:rFonts w:ascii="Calibri" w:hAnsi="Calibri" w:cs="Calibri"/>
                <w:color w:val="000000"/>
                <w:sz w:val="22"/>
                <w:szCs w:val="22"/>
              </w:rPr>
              <w:t>0.5</w:t>
            </w:r>
          </w:p>
        </w:tc>
        <w:tc>
          <w:tcPr>
            <w:tcW w:w="1340" w:type="dxa"/>
            <w:tcBorders>
              <w:top w:val="nil"/>
              <w:left w:val="nil"/>
              <w:bottom w:val="single" w:sz="4" w:space="0" w:color="auto"/>
              <w:right w:val="single" w:sz="4" w:space="0" w:color="auto"/>
            </w:tcBorders>
            <w:shd w:val="clear" w:color="auto" w:fill="auto"/>
            <w:hideMark/>
          </w:tcPr>
          <w:p w:rsidR="005C44BA" w14:paraId="4A92A392" w14:textId="77777777">
            <w:pPr>
              <w:jc w:val="right"/>
              <w:rPr>
                <w:rFonts w:ascii="Calibri" w:hAnsi="Calibri" w:cs="Calibri"/>
                <w:color w:val="000000"/>
                <w:sz w:val="22"/>
                <w:szCs w:val="22"/>
              </w:rPr>
            </w:pPr>
            <w:r>
              <w:rPr>
                <w:rFonts w:ascii="Calibri" w:hAnsi="Calibri" w:cs="Calibri"/>
                <w:color w:val="000000"/>
                <w:sz w:val="22"/>
                <w:szCs w:val="22"/>
              </w:rPr>
              <w:t>13,500,000.00</w:t>
            </w:r>
          </w:p>
        </w:tc>
      </w:tr>
      <w:tr w14:paraId="182EC6C4"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0C064939" w14:textId="77777777">
            <w:pPr>
              <w:rPr>
                <w:rFonts w:ascii="Calibri" w:hAnsi="Calibri" w:cs="Calibri"/>
                <w:color w:val="000000"/>
                <w:sz w:val="22"/>
                <w:szCs w:val="22"/>
              </w:rPr>
            </w:pPr>
            <w:r>
              <w:rPr>
                <w:rFonts w:ascii="Calibri" w:hAnsi="Calibri" w:cs="Calibri"/>
                <w:color w:val="000000"/>
                <w:sz w:val="22"/>
                <w:szCs w:val="22"/>
              </w:rPr>
              <w:t>Medical Assistant</w:t>
            </w:r>
          </w:p>
        </w:tc>
        <w:tc>
          <w:tcPr>
            <w:tcW w:w="1600" w:type="dxa"/>
            <w:tcBorders>
              <w:top w:val="nil"/>
              <w:left w:val="nil"/>
              <w:bottom w:val="single" w:sz="4" w:space="0" w:color="auto"/>
              <w:right w:val="single" w:sz="4" w:space="0" w:color="auto"/>
            </w:tcBorders>
            <w:shd w:val="clear" w:color="auto" w:fill="auto"/>
            <w:hideMark/>
          </w:tcPr>
          <w:p w:rsidR="005C44BA" w14:paraId="6833C461" w14:textId="77777777">
            <w:pPr>
              <w:jc w:val="right"/>
              <w:rPr>
                <w:rFonts w:ascii="Calibri" w:hAnsi="Calibri" w:cs="Calibri"/>
                <w:color w:val="000000"/>
                <w:sz w:val="22"/>
                <w:szCs w:val="22"/>
              </w:rPr>
            </w:pPr>
            <w:r>
              <w:rPr>
                <w:rFonts w:ascii="Calibri" w:hAnsi="Calibri" w:cs="Calibri"/>
                <w:color w:val="000000"/>
                <w:sz w:val="22"/>
                <w:szCs w:val="22"/>
              </w:rPr>
              <w:t>27,000,000</w:t>
            </w:r>
          </w:p>
        </w:tc>
        <w:tc>
          <w:tcPr>
            <w:tcW w:w="1920" w:type="dxa"/>
            <w:tcBorders>
              <w:top w:val="nil"/>
              <w:left w:val="nil"/>
              <w:bottom w:val="single" w:sz="4" w:space="0" w:color="auto"/>
              <w:right w:val="single" w:sz="4" w:space="0" w:color="auto"/>
            </w:tcBorders>
            <w:shd w:val="clear" w:color="auto" w:fill="auto"/>
            <w:hideMark/>
          </w:tcPr>
          <w:p w:rsidR="005C44BA" w14:paraId="2501B1AE" w14:textId="77777777">
            <w:pPr>
              <w:jc w:val="right"/>
              <w:rPr>
                <w:rFonts w:ascii="Calibri" w:hAnsi="Calibri" w:cs="Calibri"/>
                <w:color w:val="000000"/>
                <w:sz w:val="22"/>
                <w:szCs w:val="22"/>
              </w:rPr>
            </w:pPr>
            <w:r>
              <w:rPr>
                <w:rFonts w:ascii="Calibri" w:hAnsi="Calibri" w:cs="Calibri"/>
                <w:color w:val="000000"/>
                <w:sz w:val="22"/>
                <w:szCs w:val="22"/>
              </w:rPr>
              <w:t>0.25</w:t>
            </w:r>
          </w:p>
        </w:tc>
        <w:tc>
          <w:tcPr>
            <w:tcW w:w="1340" w:type="dxa"/>
            <w:tcBorders>
              <w:top w:val="nil"/>
              <w:left w:val="nil"/>
              <w:bottom w:val="single" w:sz="4" w:space="0" w:color="auto"/>
              <w:right w:val="single" w:sz="4" w:space="0" w:color="auto"/>
            </w:tcBorders>
            <w:shd w:val="clear" w:color="auto" w:fill="auto"/>
            <w:hideMark/>
          </w:tcPr>
          <w:p w:rsidR="005C44BA" w14:paraId="4D0A1E07" w14:textId="77777777">
            <w:pPr>
              <w:jc w:val="right"/>
              <w:rPr>
                <w:rFonts w:ascii="Calibri" w:hAnsi="Calibri" w:cs="Calibri"/>
                <w:color w:val="000000"/>
                <w:sz w:val="22"/>
                <w:szCs w:val="22"/>
              </w:rPr>
            </w:pPr>
            <w:r>
              <w:rPr>
                <w:rFonts w:ascii="Calibri" w:hAnsi="Calibri" w:cs="Calibri"/>
                <w:color w:val="000000"/>
                <w:sz w:val="22"/>
                <w:szCs w:val="22"/>
              </w:rPr>
              <w:t>6,750,000.00</w:t>
            </w:r>
          </w:p>
        </w:tc>
      </w:tr>
      <w:tr w14:paraId="357069B2"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558C06F9" w14:textId="77777777">
            <w:pPr>
              <w:rPr>
                <w:rFonts w:ascii="Calibri" w:hAnsi="Calibri" w:cs="Calibri"/>
                <w:color w:val="000000"/>
                <w:sz w:val="22"/>
                <w:szCs w:val="22"/>
              </w:rPr>
            </w:pPr>
            <w:r>
              <w:rPr>
                <w:rFonts w:ascii="Calibri" w:hAnsi="Calibri" w:cs="Calibri"/>
                <w:color w:val="000000"/>
                <w:sz w:val="22"/>
                <w:szCs w:val="22"/>
              </w:rPr>
              <w:t>Airline Customer Service Rep</w:t>
            </w:r>
          </w:p>
        </w:tc>
        <w:tc>
          <w:tcPr>
            <w:tcW w:w="1600" w:type="dxa"/>
            <w:tcBorders>
              <w:top w:val="nil"/>
              <w:left w:val="nil"/>
              <w:bottom w:val="single" w:sz="4" w:space="0" w:color="auto"/>
              <w:right w:val="single" w:sz="4" w:space="0" w:color="auto"/>
            </w:tcBorders>
            <w:shd w:val="clear" w:color="auto" w:fill="auto"/>
            <w:hideMark/>
          </w:tcPr>
          <w:p w:rsidR="005C44BA" w14:paraId="77F45A04" w14:textId="77777777">
            <w:pPr>
              <w:jc w:val="right"/>
              <w:rPr>
                <w:rFonts w:ascii="Calibri" w:hAnsi="Calibri" w:cs="Calibri"/>
                <w:color w:val="000000"/>
                <w:sz w:val="22"/>
                <w:szCs w:val="22"/>
              </w:rPr>
            </w:pPr>
            <w:r>
              <w:rPr>
                <w:rFonts w:ascii="Calibri" w:hAnsi="Calibri" w:cs="Calibri"/>
                <w:color w:val="000000"/>
                <w:sz w:val="22"/>
                <w:szCs w:val="22"/>
              </w:rPr>
              <w:t>27,000,000</w:t>
            </w:r>
          </w:p>
        </w:tc>
        <w:tc>
          <w:tcPr>
            <w:tcW w:w="1920" w:type="dxa"/>
            <w:tcBorders>
              <w:top w:val="nil"/>
              <w:left w:val="nil"/>
              <w:bottom w:val="single" w:sz="4" w:space="0" w:color="auto"/>
              <w:right w:val="single" w:sz="4" w:space="0" w:color="auto"/>
            </w:tcBorders>
            <w:shd w:val="clear" w:color="auto" w:fill="auto"/>
            <w:hideMark/>
          </w:tcPr>
          <w:p w:rsidR="005C44BA" w14:paraId="742E4A4E" w14:textId="566C5E2A">
            <w:pPr>
              <w:jc w:val="right"/>
              <w:rPr>
                <w:rFonts w:ascii="Calibri" w:hAnsi="Calibri" w:cs="Calibri"/>
                <w:color w:val="000000"/>
                <w:sz w:val="22"/>
                <w:szCs w:val="22"/>
              </w:rPr>
            </w:pPr>
            <w:r>
              <w:rPr>
                <w:rFonts w:ascii="Calibri" w:hAnsi="Calibri" w:cs="Calibri"/>
                <w:color w:val="000000"/>
                <w:sz w:val="22"/>
                <w:szCs w:val="22"/>
              </w:rPr>
              <w:t>0.083</w:t>
            </w:r>
          </w:p>
        </w:tc>
        <w:tc>
          <w:tcPr>
            <w:tcW w:w="1340" w:type="dxa"/>
            <w:tcBorders>
              <w:top w:val="nil"/>
              <w:left w:val="nil"/>
              <w:bottom w:val="single" w:sz="4" w:space="0" w:color="auto"/>
              <w:right w:val="single" w:sz="4" w:space="0" w:color="auto"/>
            </w:tcBorders>
            <w:shd w:val="clear" w:color="auto" w:fill="auto"/>
            <w:hideMark/>
          </w:tcPr>
          <w:p w:rsidR="005C44BA" w14:paraId="2EE5801B" w14:textId="08DAC90F">
            <w:pPr>
              <w:jc w:val="right"/>
              <w:rPr>
                <w:rFonts w:ascii="Calibri" w:hAnsi="Calibri" w:cs="Calibri"/>
                <w:color w:val="000000"/>
                <w:sz w:val="22"/>
                <w:szCs w:val="22"/>
              </w:rPr>
            </w:pPr>
            <w:r>
              <w:rPr>
                <w:rFonts w:ascii="Calibri" w:hAnsi="Calibri" w:cs="Calibri"/>
                <w:color w:val="000000"/>
                <w:sz w:val="22"/>
                <w:szCs w:val="22"/>
              </w:rPr>
              <w:t>2,24</w:t>
            </w:r>
            <w:r w:rsidR="00365CEB">
              <w:rPr>
                <w:rFonts w:ascii="Calibri" w:hAnsi="Calibri" w:cs="Calibri"/>
                <w:color w:val="000000"/>
                <w:sz w:val="22"/>
                <w:szCs w:val="22"/>
              </w:rPr>
              <w:t>1</w:t>
            </w:r>
            <w:r>
              <w:rPr>
                <w:rFonts w:ascii="Calibri" w:hAnsi="Calibri" w:cs="Calibri"/>
                <w:color w:val="000000"/>
                <w:sz w:val="22"/>
                <w:szCs w:val="22"/>
              </w:rPr>
              <w:t>,</w:t>
            </w:r>
            <w:r w:rsidR="00365CEB">
              <w:rPr>
                <w:rFonts w:ascii="Calibri" w:hAnsi="Calibri" w:cs="Calibri"/>
                <w:color w:val="000000"/>
                <w:sz w:val="22"/>
                <w:szCs w:val="22"/>
              </w:rPr>
              <w:t>0</w:t>
            </w:r>
            <w:r>
              <w:rPr>
                <w:rFonts w:ascii="Calibri" w:hAnsi="Calibri" w:cs="Calibri"/>
                <w:color w:val="000000"/>
                <w:sz w:val="22"/>
                <w:szCs w:val="22"/>
              </w:rPr>
              <w:t>00.00</w:t>
            </w:r>
          </w:p>
        </w:tc>
      </w:tr>
      <w:tr w14:paraId="637614B5" w14:textId="77777777" w:rsidTr="005C44BA">
        <w:tblPrEx>
          <w:tblW w:w="7820" w:type="dxa"/>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hideMark/>
          </w:tcPr>
          <w:p w:rsidR="005C44BA" w14:paraId="34939BFE" w14:textId="77777777">
            <w:pPr>
              <w:rPr>
                <w:rFonts w:ascii="Calibri" w:hAnsi="Calibri" w:cs="Calibri"/>
                <w:color w:val="000000"/>
                <w:sz w:val="22"/>
                <w:szCs w:val="22"/>
              </w:rPr>
            </w:pPr>
            <w:r>
              <w:rPr>
                <w:rFonts w:ascii="Calibri" w:hAnsi="Calibri" w:cs="Calibri"/>
                <w:color w:val="000000"/>
                <w:sz w:val="22"/>
                <w:szCs w:val="22"/>
              </w:rPr>
              <w:t>Total</w:t>
            </w:r>
          </w:p>
        </w:tc>
        <w:tc>
          <w:tcPr>
            <w:tcW w:w="1600" w:type="dxa"/>
            <w:tcBorders>
              <w:top w:val="nil"/>
              <w:left w:val="nil"/>
              <w:bottom w:val="single" w:sz="4" w:space="0" w:color="auto"/>
              <w:right w:val="single" w:sz="4" w:space="0" w:color="auto"/>
            </w:tcBorders>
            <w:shd w:val="clear" w:color="auto" w:fill="auto"/>
            <w:hideMark/>
          </w:tcPr>
          <w:p w:rsidR="005C44BA" w14:paraId="1DD4404F" w14:textId="77777777">
            <w:pPr>
              <w:rPr>
                <w:rFonts w:ascii="Calibri" w:hAnsi="Calibri" w:cs="Calibri"/>
                <w:color w:val="000000"/>
                <w:sz w:val="22"/>
                <w:szCs w:val="22"/>
              </w:rPr>
            </w:pPr>
            <w:r>
              <w:rPr>
                <w:rFonts w:ascii="Calibri" w:hAnsi="Calibri" w:cs="Calibri"/>
                <w:color w:val="000000"/>
                <w:sz w:val="22"/>
                <w:szCs w:val="22"/>
              </w:rPr>
              <w:t> </w:t>
            </w:r>
          </w:p>
        </w:tc>
        <w:tc>
          <w:tcPr>
            <w:tcW w:w="1920" w:type="dxa"/>
            <w:tcBorders>
              <w:top w:val="nil"/>
              <w:left w:val="nil"/>
              <w:bottom w:val="single" w:sz="4" w:space="0" w:color="auto"/>
              <w:right w:val="single" w:sz="4" w:space="0" w:color="auto"/>
            </w:tcBorders>
            <w:shd w:val="clear" w:color="auto" w:fill="auto"/>
            <w:hideMark/>
          </w:tcPr>
          <w:p w:rsidR="005C44BA" w14:paraId="72B3D2CA" w14:textId="77777777">
            <w:pPr>
              <w:rPr>
                <w:rFonts w:ascii="Calibri" w:hAnsi="Calibri" w:cs="Calibri"/>
                <w:color w:val="000000"/>
                <w:sz w:val="22"/>
                <w:szCs w:val="22"/>
              </w:rPr>
            </w:pPr>
            <w:r>
              <w:rPr>
                <w:rFonts w:ascii="Calibri" w:hAnsi="Calibri" w:cs="Calibri"/>
                <w:color w:val="000000"/>
                <w:sz w:val="22"/>
                <w:szCs w:val="22"/>
              </w:rPr>
              <w:t xml:space="preserve"> </w:t>
            </w:r>
          </w:p>
        </w:tc>
        <w:tc>
          <w:tcPr>
            <w:tcW w:w="1340" w:type="dxa"/>
            <w:tcBorders>
              <w:top w:val="nil"/>
              <w:left w:val="nil"/>
              <w:bottom w:val="single" w:sz="4" w:space="0" w:color="auto"/>
              <w:right w:val="single" w:sz="4" w:space="0" w:color="auto"/>
            </w:tcBorders>
            <w:shd w:val="clear" w:color="auto" w:fill="auto"/>
            <w:hideMark/>
          </w:tcPr>
          <w:p w:rsidR="005C44BA" w14:paraId="77AA8325" w14:textId="77777777">
            <w:pPr>
              <w:jc w:val="right"/>
              <w:rPr>
                <w:rFonts w:ascii="Calibri" w:hAnsi="Calibri" w:cs="Calibri"/>
                <w:color w:val="000000"/>
                <w:sz w:val="22"/>
                <w:szCs w:val="22"/>
              </w:rPr>
            </w:pPr>
            <w:r>
              <w:rPr>
                <w:rFonts w:ascii="Calibri" w:hAnsi="Calibri" w:cs="Calibri"/>
                <w:color w:val="000000"/>
                <w:sz w:val="22"/>
                <w:szCs w:val="22"/>
              </w:rPr>
              <w:t>22,499,100.00</w:t>
            </w:r>
          </w:p>
        </w:tc>
      </w:tr>
    </w:tbl>
    <w:p w:rsidR="007100D3" w:rsidP="007100D3" w14:paraId="7E59176E" w14:textId="7B06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F6F6B" w:rsidRPr="001F5B55" w:rsidP="003F6F6B" w14:paraId="6E97D524" w14:textId="77777777">
      <w:r w:rsidRPr="0049783F">
        <w:t xml:space="preserve">13. </w:t>
      </w:r>
      <w:r w:rsidRPr="0049783F">
        <w:rPr>
          <w:u w:val="single"/>
        </w:rPr>
        <w:t>Estimate of total annual costs to respondents</w:t>
      </w:r>
      <w:r w:rsidRPr="0049783F">
        <w:t xml:space="preserve">.  </w:t>
      </w:r>
      <w:r w:rsidRPr="0049783F">
        <w:rPr>
          <w:b/>
          <w:bCs/>
          <w:i/>
          <w:iCs/>
        </w:rPr>
        <w:t>Provide an estimate of the total annual cost burden to respondents or recordkeepers resulting from the collection of information</w:t>
      </w:r>
      <w:r w:rsidRPr="0049783F">
        <w:rPr>
          <w:bCs/>
          <w:iCs/>
        </w:rPr>
        <w:t>.</w:t>
      </w:r>
      <w:r w:rsidRPr="001F5B55">
        <w:rPr>
          <w:bCs/>
          <w:iCs/>
        </w:rPr>
        <w:t xml:space="preserve"> </w:t>
      </w:r>
    </w:p>
    <w:p w:rsidR="003F6F6B" w:rsidP="00B72948" w14:paraId="51D8B5CC" w14:textId="77777777">
      <w:pPr>
        <w:rPr>
          <w:bCs/>
          <w:iCs/>
        </w:rPr>
      </w:pPr>
    </w:p>
    <w:p w:rsidR="007100D3" w:rsidP="007100D3" w14:paraId="56CF54F7" w14:textId="024A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00D3">
        <w:t xml:space="preserve">To calculate the hourly value of time spent on the documentation, </w:t>
      </w:r>
      <w:r>
        <w:t>the Department uses</w:t>
      </w:r>
      <w:r w:rsidRPr="007100D3">
        <w:t xml:space="preserve"> median wage data from the Bureau of Labor Statistics as of May 202</w:t>
      </w:r>
      <w:r w:rsidR="0070124D">
        <w:t>2</w:t>
      </w:r>
      <w:r w:rsidRPr="007100D3">
        <w:t>.</w:t>
      </w:r>
      <w:r>
        <w:rPr>
          <w:rStyle w:val="FootnoteReference"/>
        </w:rPr>
        <w:footnoteReference w:id="5"/>
      </w:r>
      <w:r w:rsidRPr="007100D3">
        <w:t xml:space="preserve"> Respondents would obtain, present, and submit the documentation on their own time without pay and we estimate the value of this uncompensated activity using a post-tax wage estimate of $</w:t>
      </w:r>
      <w:r w:rsidR="0070124D">
        <w:t>18.48</w:t>
      </w:r>
      <w:r w:rsidRPr="007100D3">
        <w:t xml:space="preserve"> per hour ($</w:t>
      </w:r>
      <w:r w:rsidR="0070124D">
        <w:t>22.26</w:t>
      </w:r>
      <w:r w:rsidRPr="007100D3">
        <w:t xml:space="preserve"> median hourly wage for all occupations minus a 17% estimated tax rate). For </w:t>
      </w:r>
      <w:r w:rsidR="0070124D">
        <w:t>medical assistants, the Department uses an estimate of $25.94 per hour ($18.40 hourly wage multiplied by 1.41 to account for employer benefit costs.) For airline</w:t>
      </w:r>
      <w:r w:rsidRPr="007100D3" w:rsidR="0070124D">
        <w:t xml:space="preserve"> </w:t>
      </w:r>
      <w:r w:rsidRPr="007100D3">
        <w:t xml:space="preserve">customer service representatives, </w:t>
      </w:r>
      <w:r>
        <w:t>the Department uses</w:t>
      </w:r>
      <w:r w:rsidRPr="007100D3">
        <w:t xml:space="preserve"> an estimate of $</w:t>
      </w:r>
      <w:r w:rsidR="0070124D">
        <w:t>25.61</w:t>
      </w:r>
      <w:r w:rsidRPr="007100D3">
        <w:t xml:space="preserve"> per hour ($</w:t>
      </w:r>
      <w:r w:rsidR="0070124D">
        <w:t>18.16</w:t>
      </w:r>
      <w:r w:rsidRPr="007100D3">
        <w:t xml:space="preserve"> median hourly wage times a wage multiplier of 1.4</w:t>
      </w:r>
      <w:r w:rsidR="0070124D">
        <w:t>1</w:t>
      </w:r>
      <w:r w:rsidRPr="007100D3">
        <w:t>). In this scenario, the total annual estimated documentation costs of the forms would be approximately $</w:t>
      </w:r>
      <w:r w:rsidR="0070124D">
        <w:t>482</w:t>
      </w:r>
      <w:r w:rsidRPr="007100D3">
        <w:t xml:space="preserve"> million (Table I).</w:t>
      </w:r>
      <w:r>
        <w:rPr>
          <w:rStyle w:val="FootnoteReference"/>
        </w:rPr>
        <w:footnoteReference w:id="6"/>
      </w:r>
    </w:p>
    <w:p w:rsidR="00B35BD1" w:rsidRPr="007100D3" w:rsidP="007100D3" w14:paraId="05899D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100D3" w:rsidRPr="007100D3" w:rsidP="007100D3" w14:paraId="6AFB7C8B" w14:textId="77777777">
      <w:pPr>
        <w:keepNext/>
        <w:jc w:val="center"/>
        <w:rPr>
          <w:rFonts w:eastAsiaTheme="minorEastAsia"/>
          <w:b/>
          <w:bCs/>
        </w:rPr>
      </w:pPr>
      <w:bookmarkStart w:id="1" w:name="_Ref89060636"/>
      <w:r w:rsidRPr="007100D3">
        <w:rPr>
          <w:rFonts w:eastAsiaTheme="minorEastAsia"/>
          <w:b/>
          <w:bCs/>
        </w:rPr>
        <w:t xml:space="preserve">Table </w:t>
      </w:r>
      <w:bookmarkEnd w:id="1"/>
      <w:r w:rsidRPr="007100D3">
        <w:rPr>
          <w:rFonts w:eastAsiaTheme="minorEastAsia"/>
          <w:b/>
          <w:bCs/>
        </w:rPr>
        <w:t>I: Example annual cost estimate for documentation</w:t>
      </w:r>
    </w:p>
    <w:p w:rsidR="0070124D" w:rsidRPr="00F37B2B" w:rsidP="0070124D" w14:paraId="11C87E08" w14:textId="4E0C4D05">
      <w:pPr>
        <w:keepNext/>
        <w:jc w:val="center"/>
        <w:rPr>
          <w:rFonts w:eastAsiaTheme="minorEastAsia"/>
          <w:b/>
          <w:bCs/>
          <w:sz w:val="22"/>
          <w:szCs w:val="22"/>
        </w:rPr>
      </w:pPr>
    </w:p>
    <w:tbl>
      <w:tblPr>
        <w:tblStyle w:val="PlainTable2"/>
        <w:tblW w:w="5910" w:type="pct"/>
        <w:jc w:val="center"/>
        <w:tblLayout w:type="fixed"/>
        <w:tblLook w:val="0420"/>
      </w:tblPr>
      <w:tblGrid>
        <w:gridCol w:w="2156"/>
        <w:gridCol w:w="1391"/>
        <w:gridCol w:w="1225"/>
        <w:gridCol w:w="1434"/>
        <w:gridCol w:w="1712"/>
        <w:gridCol w:w="2294"/>
      </w:tblGrid>
      <w:tr w14:paraId="58E2B903" w14:textId="77777777" w:rsidTr="003D286D">
        <w:tblPrEx>
          <w:tblW w:w="5910" w:type="pct"/>
          <w:jc w:val="center"/>
          <w:tblLayout w:type="fixed"/>
          <w:tblLook w:val="0420"/>
        </w:tblPrEx>
        <w:trPr>
          <w:jc w:val="center"/>
        </w:trPr>
        <w:tc>
          <w:tcPr>
            <w:tcW w:w="1056" w:type="pct"/>
            <w:tcBorders>
              <w:top w:val="nil"/>
              <w:left w:val="nil"/>
              <w:right w:val="nil"/>
            </w:tcBorders>
            <w:hideMark/>
          </w:tcPr>
          <w:p w:rsidR="0070124D" w:rsidRPr="00CA29A7" w:rsidP="00D41AD8" w14:paraId="5397A231" w14:textId="77777777">
            <w:pPr>
              <w:rPr>
                <w:sz w:val="20"/>
                <w:szCs w:val="20"/>
              </w:rPr>
            </w:pPr>
            <w:r w:rsidRPr="00CA29A7">
              <w:rPr>
                <w:sz w:val="20"/>
                <w:szCs w:val="20"/>
              </w:rPr>
              <w:t>Group</w:t>
            </w:r>
          </w:p>
        </w:tc>
        <w:tc>
          <w:tcPr>
            <w:tcW w:w="681" w:type="pct"/>
            <w:tcBorders>
              <w:top w:val="nil"/>
              <w:left w:val="nil"/>
              <w:right w:val="nil"/>
            </w:tcBorders>
            <w:hideMark/>
          </w:tcPr>
          <w:p w:rsidR="0070124D" w:rsidRPr="00CA29A7" w:rsidP="00D41AD8" w14:paraId="7B360EDC" w14:textId="33771481">
            <w:pPr>
              <w:rPr>
                <w:sz w:val="20"/>
                <w:szCs w:val="20"/>
              </w:rPr>
            </w:pPr>
            <w:r w:rsidRPr="00CA29A7">
              <w:rPr>
                <w:sz w:val="20"/>
                <w:szCs w:val="20"/>
              </w:rPr>
              <w:t># of Responses</w:t>
            </w:r>
          </w:p>
        </w:tc>
        <w:tc>
          <w:tcPr>
            <w:tcW w:w="600" w:type="pct"/>
            <w:tcBorders>
              <w:top w:val="nil"/>
              <w:left w:val="nil"/>
              <w:right w:val="nil"/>
            </w:tcBorders>
            <w:hideMark/>
          </w:tcPr>
          <w:p w:rsidR="0070124D" w:rsidRPr="00CA29A7" w:rsidP="00D41AD8" w14:paraId="63E4FEB0" w14:textId="7A5A59D3">
            <w:pPr>
              <w:rPr>
                <w:sz w:val="20"/>
                <w:szCs w:val="20"/>
              </w:rPr>
            </w:pPr>
            <w:r w:rsidRPr="00CA29A7">
              <w:rPr>
                <w:sz w:val="20"/>
                <w:szCs w:val="20"/>
              </w:rPr>
              <w:t xml:space="preserve">Hours per </w:t>
            </w:r>
            <w:r w:rsidRPr="00CA29A7" w:rsidR="00F37B2B">
              <w:rPr>
                <w:sz w:val="20"/>
                <w:szCs w:val="20"/>
              </w:rPr>
              <w:t>Response</w:t>
            </w:r>
          </w:p>
        </w:tc>
        <w:tc>
          <w:tcPr>
            <w:tcW w:w="702" w:type="pct"/>
            <w:tcBorders>
              <w:top w:val="nil"/>
              <w:left w:val="nil"/>
              <w:right w:val="nil"/>
            </w:tcBorders>
            <w:hideMark/>
          </w:tcPr>
          <w:p w:rsidR="0070124D" w:rsidRPr="00CA29A7" w:rsidP="00D41AD8" w14:paraId="630B8E03" w14:textId="77777777">
            <w:pPr>
              <w:rPr>
                <w:sz w:val="20"/>
                <w:szCs w:val="20"/>
              </w:rPr>
            </w:pPr>
            <w:r w:rsidRPr="00CA29A7">
              <w:rPr>
                <w:sz w:val="20"/>
                <w:szCs w:val="20"/>
              </w:rPr>
              <w:t>Total hours</w:t>
            </w:r>
          </w:p>
        </w:tc>
        <w:tc>
          <w:tcPr>
            <w:tcW w:w="838" w:type="pct"/>
            <w:tcBorders>
              <w:top w:val="nil"/>
              <w:left w:val="nil"/>
              <w:right w:val="nil"/>
            </w:tcBorders>
            <w:hideMark/>
          </w:tcPr>
          <w:p w:rsidR="0070124D" w:rsidRPr="00CA29A7" w:rsidP="00D41AD8" w14:paraId="4D53EE64" w14:textId="77777777">
            <w:pPr>
              <w:rPr>
                <w:sz w:val="20"/>
                <w:szCs w:val="20"/>
              </w:rPr>
            </w:pPr>
            <w:r w:rsidRPr="00CA29A7">
              <w:rPr>
                <w:sz w:val="20"/>
                <w:szCs w:val="20"/>
              </w:rPr>
              <w:t>Hourly time value</w:t>
            </w:r>
          </w:p>
        </w:tc>
        <w:tc>
          <w:tcPr>
            <w:tcW w:w="1123" w:type="pct"/>
            <w:tcBorders>
              <w:top w:val="nil"/>
              <w:left w:val="nil"/>
              <w:right w:val="nil"/>
            </w:tcBorders>
            <w:hideMark/>
          </w:tcPr>
          <w:p w:rsidR="0070124D" w:rsidRPr="00CA29A7" w:rsidP="00D41AD8" w14:paraId="27ED6259" w14:textId="77777777">
            <w:pPr>
              <w:rPr>
                <w:sz w:val="20"/>
                <w:szCs w:val="20"/>
              </w:rPr>
            </w:pPr>
            <w:r w:rsidRPr="00CA29A7">
              <w:rPr>
                <w:sz w:val="20"/>
                <w:szCs w:val="20"/>
              </w:rPr>
              <w:t>Estimated costs (millions)</w:t>
            </w:r>
          </w:p>
        </w:tc>
      </w:tr>
      <w:tr w14:paraId="7A785B46" w14:textId="77777777" w:rsidTr="003D286D">
        <w:tblPrEx>
          <w:tblW w:w="5910" w:type="pct"/>
          <w:jc w:val="center"/>
          <w:tblLayout w:type="fixed"/>
          <w:tblLook w:val="0420"/>
        </w:tblPrEx>
        <w:trPr>
          <w:jc w:val="center"/>
        </w:trPr>
        <w:tc>
          <w:tcPr>
            <w:tcW w:w="1056" w:type="pct"/>
            <w:tcBorders>
              <w:left w:val="nil"/>
              <w:right w:val="nil"/>
            </w:tcBorders>
            <w:hideMark/>
          </w:tcPr>
          <w:p w:rsidR="0070124D" w:rsidRPr="00CA29A7" w:rsidP="00D41AD8" w14:paraId="0CE08946" w14:textId="7734DFFF">
            <w:pPr>
              <w:rPr>
                <w:sz w:val="20"/>
                <w:szCs w:val="20"/>
              </w:rPr>
            </w:pPr>
            <w:r w:rsidRPr="00CA29A7">
              <w:rPr>
                <w:sz w:val="20"/>
                <w:szCs w:val="20"/>
              </w:rPr>
              <w:t>Passengers</w:t>
            </w:r>
          </w:p>
        </w:tc>
        <w:tc>
          <w:tcPr>
            <w:tcW w:w="681" w:type="pct"/>
            <w:tcBorders>
              <w:left w:val="nil"/>
              <w:right w:val="nil"/>
            </w:tcBorders>
            <w:hideMark/>
          </w:tcPr>
          <w:p w:rsidR="0070124D" w:rsidRPr="00CA29A7" w:rsidP="00D41AD8" w14:paraId="1CFF0C76" w14:textId="77777777">
            <w:pPr>
              <w:rPr>
                <w:sz w:val="20"/>
                <w:szCs w:val="20"/>
              </w:rPr>
            </w:pPr>
            <w:r w:rsidRPr="00CA29A7">
              <w:rPr>
                <w:sz w:val="20"/>
                <w:szCs w:val="20"/>
              </w:rPr>
              <w:t>27,000,000</w:t>
            </w:r>
          </w:p>
        </w:tc>
        <w:tc>
          <w:tcPr>
            <w:tcW w:w="600" w:type="pct"/>
            <w:tcBorders>
              <w:left w:val="nil"/>
              <w:right w:val="nil"/>
            </w:tcBorders>
            <w:hideMark/>
          </w:tcPr>
          <w:p w:rsidR="0070124D" w:rsidRPr="00CA29A7" w:rsidP="00D41AD8" w14:paraId="7F8DD006" w14:textId="05155DA3">
            <w:pPr>
              <w:rPr>
                <w:sz w:val="20"/>
                <w:szCs w:val="20"/>
              </w:rPr>
            </w:pPr>
            <w:r w:rsidRPr="00CA29A7">
              <w:rPr>
                <w:sz w:val="20"/>
                <w:szCs w:val="20"/>
              </w:rPr>
              <w:t>0.5</w:t>
            </w:r>
          </w:p>
        </w:tc>
        <w:tc>
          <w:tcPr>
            <w:tcW w:w="702" w:type="pct"/>
            <w:tcBorders>
              <w:left w:val="nil"/>
              <w:right w:val="nil"/>
            </w:tcBorders>
            <w:hideMark/>
          </w:tcPr>
          <w:p w:rsidR="0070124D" w:rsidRPr="00CA29A7" w:rsidP="00D41AD8" w14:paraId="7E72691E" w14:textId="77777777">
            <w:pPr>
              <w:rPr>
                <w:sz w:val="20"/>
                <w:szCs w:val="20"/>
              </w:rPr>
            </w:pPr>
            <w:r w:rsidRPr="00CA29A7">
              <w:rPr>
                <w:sz w:val="20"/>
                <w:szCs w:val="20"/>
              </w:rPr>
              <w:t>13,500,000</w:t>
            </w:r>
          </w:p>
        </w:tc>
        <w:tc>
          <w:tcPr>
            <w:tcW w:w="838" w:type="pct"/>
            <w:tcBorders>
              <w:left w:val="nil"/>
              <w:right w:val="nil"/>
            </w:tcBorders>
            <w:hideMark/>
          </w:tcPr>
          <w:p w:rsidR="0070124D" w:rsidRPr="00CA29A7" w:rsidP="00D41AD8" w14:paraId="06379651" w14:textId="77777777">
            <w:pPr>
              <w:rPr>
                <w:sz w:val="20"/>
                <w:szCs w:val="20"/>
              </w:rPr>
            </w:pPr>
            <w:r w:rsidRPr="00CA29A7">
              <w:rPr>
                <w:sz w:val="20"/>
                <w:szCs w:val="20"/>
              </w:rPr>
              <w:t xml:space="preserve">$18.48 </w:t>
            </w:r>
          </w:p>
        </w:tc>
        <w:tc>
          <w:tcPr>
            <w:tcW w:w="1123" w:type="pct"/>
            <w:tcBorders>
              <w:left w:val="nil"/>
              <w:right w:val="nil"/>
            </w:tcBorders>
            <w:hideMark/>
          </w:tcPr>
          <w:p w:rsidR="0070124D" w:rsidRPr="00CA29A7" w:rsidP="00D41AD8" w14:paraId="1D8E62FE" w14:textId="77777777">
            <w:pPr>
              <w:rPr>
                <w:sz w:val="20"/>
                <w:szCs w:val="20"/>
              </w:rPr>
            </w:pPr>
            <w:r w:rsidRPr="00CA29A7">
              <w:rPr>
                <w:sz w:val="20"/>
                <w:szCs w:val="20"/>
              </w:rPr>
              <w:t xml:space="preserve">$249,480,000 </w:t>
            </w:r>
          </w:p>
        </w:tc>
      </w:tr>
      <w:tr w14:paraId="61CAF840" w14:textId="77777777" w:rsidTr="003D286D">
        <w:tblPrEx>
          <w:tblW w:w="5910" w:type="pct"/>
          <w:jc w:val="center"/>
          <w:tblLayout w:type="fixed"/>
          <w:tblLook w:val="0420"/>
        </w:tblPrEx>
        <w:trPr>
          <w:trHeight w:val="350"/>
          <w:jc w:val="center"/>
        </w:trPr>
        <w:tc>
          <w:tcPr>
            <w:tcW w:w="1056" w:type="pct"/>
            <w:tcBorders>
              <w:left w:val="nil"/>
              <w:right w:val="nil"/>
            </w:tcBorders>
            <w:hideMark/>
          </w:tcPr>
          <w:p w:rsidR="0070124D" w:rsidRPr="00CA29A7" w:rsidP="00D41AD8" w14:paraId="56B9424E" w14:textId="49EC9B01">
            <w:pPr>
              <w:rPr>
                <w:sz w:val="20"/>
                <w:szCs w:val="20"/>
              </w:rPr>
            </w:pPr>
            <w:r w:rsidRPr="00CA29A7">
              <w:rPr>
                <w:sz w:val="20"/>
                <w:szCs w:val="20"/>
              </w:rPr>
              <w:t xml:space="preserve">Medical </w:t>
            </w:r>
            <w:r w:rsidRPr="00CA29A7" w:rsidR="00F37B2B">
              <w:rPr>
                <w:sz w:val="20"/>
                <w:szCs w:val="20"/>
              </w:rPr>
              <w:t>A</w:t>
            </w:r>
            <w:r w:rsidRPr="00CA29A7">
              <w:rPr>
                <w:sz w:val="20"/>
                <w:szCs w:val="20"/>
              </w:rPr>
              <w:t>ssistant</w:t>
            </w:r>
          </w:p>
        </w:tc>
        <w:tc>
          <w:tcPr>
            <w:tcW w:w="681" w:type="pct"/>
            <w:tcBorders>
              <w:left w:val="nil"/>
              <w:right w:val="nil"/>
            </w:tcBorders>
            <w:hideMark/>
          </w:tcPr>
          <w:p w:rsidR="0070124D" w:rsidRPr="00CA29A7" w:rsidP="00D41AD8" w14:paraId="1C31999B" w14:textId="77777777">
            <w:pPr>
              <w:rPr>
                <w:sz w:val="20"/>
                <w:szCs w:val="20"/>
              </w:rPr>
            </w:pPr>
            <w:r w:rsidRPr="00CA29A7">
              <w:rPr>
                <w:sz w:val="20"/>
                <w:szCs w:val="20"/>
              </w:rPr>
              <w:t>27,000,000</w:t>
            </w:r>
          </w:p>
          <w:p w:rsidR="0070124D" w:rsidRPr="00CA29A7" w:rsidP="00D41AD8" w14:paraId="35DE9F09" w14:textId="04551332">
            <w:pPr>
              <w:rPr>
                <w:sz w:val="20"/>
                <w:szCs w:val="20"/>
              </w:rPr>
            </w:pPr>
          </w:p>
        </w:tc>
        <w:tc>
          <w:tcPr>
            <w:tcW w:w="600" w:type="pct"/>
            <w:tcBorders>
              <w:left w:val="nil"/>
              <w:right w:val="nil"/>
            </w:tcBorders>
            <w:hideMark/>
          </w:tcPr>
          <w:p w:rsidR="0070124D" w:rsidRPr="00CA29A7" w:rsidP="00D41AD8" w14:paraId="3887D9F0" w14:textId="1FB5E1AD">
            <w:pPr>
              <w:rPr>
                <w:sz w:val="20"/>
                <w:szCs w:val="20"/>
              </w:rPr>
            </w:pPr>
            <w:r w:rsidRPr="00CA29A7">
              <w:rPr>
                <w:sz w:val="20"/>
                <w:szCs w:val="20"/>
              </w:rPr>
              <w:t>0.25</w:t>
            </w:r>
          </w:p>
          <w:p w:rsidR="0070124D" w:rsidRPr="00CA29A7" w:rsidP="00D41AD8" w14:paraId="4EC09278" w14:textId="4ECE15A4">
            <w:pPr>
              <w:rPr>
                <w:sz w:val="20"/>
                <w:szCs w:val="20"/>
              </w:rPr>
            </w:pPr>
          </w:p>
        </w:tc>
        <w:tc>
          <w:tcPr>
            <w:tcW w:w="702" w:type="pct"/>
            <w:tcBorders>
              <w:left w:val="nil"/>
              <w:right w:val="nil"/>
            </w:tcBorders>
            <w:hideMark/>
          </w:tcPr>
          <w:p w:rsidR="0070124D" w:rsidRPr="00CA29A7" w:rsidP="00D41AD8" w14:paraId="4CBFEDF8" w14:textId="77777777">
            <w:pPr>
              <w:rPr>
                <w:sz w:val="20"/>
                <w:szCs w:val="20"/>
              </w:rPr>
            </w:pPr>
            <w:r w:rsidRPr="00CA29A7">
              <w:rPr>
                <w:sz w:val="20"/>
                <w:szCs w:val="20"/>
              </w:rPr>
              <w:t>6,750,000</w:t>
            </w:r>
          </w:p>
          <w:p w:rsidR="0070124D" w:rsidRPr="00CA29A7" w:rsidP="00D41AD8" w14:paraId="7A191DE7" w14:textId="5321226C">
            <w:pPr>
              <w:rPr>
                <w:sz w:val="20"/>
                <w:szCs w:val="20"/>
              </w:rPr>
            </w:pPr>
          </w:p>
        </w:tc>
        <w:tc>
          <w:tcPr>
            <w:tcW w:w="838" w:type="pct"/>
            <w:tcBorders>
              <w:left w:val="nil"/>
              <w:right w:val="nil"/>
            </w:tcBorders>
            <w:hideMark/>
          </w:tcPr>
          <w:p w:rsidR="0070124D" w:rsidRPr="00CA29A7" w:rsidP="00D41AD8" w14:paraId="309D2CD1" w14:textId="77777777">
            <w:pPr>
              <w:rPr>
                <w:sz w:val="20"/>
                <w:szCs w:val="20"/>
              </w:rPr>
            </w:pPr>
            <w:r w:rsidRPr="00CA29A7">
              <w:rPr>
                <w:sz w:val="20"/>
                <w:szCs w:val="20"/>
              </w:rPr>
              <w:t>$25.94</w:t>
            </w:r>
          </w:p>
          <w:p w:rsidR="0070124D" w:rsidRPr="00CA29A7" w:rsidP="00D41AD8" w14:paraId="18CD182F" w14:textId="1FDEC1D5">
            <w:pPr>
              <w:rPr>
                <w:sz w:val="20"/>
                <w:szCs w:val="20"/>
              </w:rPr>
            </w:pPr>
          </w:p>
        </w:tc>
        <w:tc>
          <w:tcPr>
            <w:tcW w:w="1123" w:type="pct"/>
            <w:tcBorders>
              <w:left w:val="nil"/>
              <w:right w:val="nil"/>
            </w:tcBorders>
            <w:hideMark/>
          </w:tcPr>
          <w:p w:rsidR="0070124D" w:rsidRPr="00CA29A7" w:rsidP="00F37B2B" w14:paraId="2B4A7082" w14:textId="1503477D">
            <w:pPr>
              <w:rPr>
                <w:sz w:val="20"/>
                <w:szCs w:val="20"/>
              </w:rPr>
            </w:pPr>
            <w:r w:rsidRPr="00CA29A7">
              <w:rPr>
                <w:sz w:val="20"/>
                <w:szCs w:val="20"/>
              </w:rPr>
              <w:t>$175,095,000</w:t>
            </w:r>
          </w:p>
        </w:tc>
      </w:tr>
      <w:tr w14:paraId="1297478D" w14:textId="77777777" w:rsidTr="003D286D">
        <w:tblPrEx>
          <w:tblW w:w="5910" w:type="pct"/>
          <w:jc w:val="center"/>
          <w:tblLayout w:type="fixed"/>
          <w:tblLook w:val="0420"/>
        </w:tblPrEx>
        <w:trPr>
          <w:jc w:val="center"/>
        </w:trPr>
        <w:tc>
          <w:tcPr>
            <w:tcW w:w="1056" w:type="pct"/>
            <w:tcBorders>
              <w:left w:val="nil"/>
              <w:right w:val="nil"/>
            </w:tcBorders>
          </w:tcPr>
          <w:p w:rsidR="0003200D" w:rsidRPr="00CA29A7" w:rsidP="00D41AD8" w14:paraId="375E557C" w14:textId="394622BB">
            <w:pPr>
              <w:rPr>
                <w:sz w:val="20"/>
                <w:szCs w:val="20"/>
              </w:rPr>
            </w:pPr>
            <w:r w:rsidRPr="00CA29A7">
              <w:rPr>
                <w:sz w:val="20"/>
                <w:szCs w:val="20"/>
              </w:rPr>
              <w:t xml:space="preserve">Customer </w:t>
            </w:r>
            <w:r w:rsidRPr="00CA29A7" w:rsidR="00F37B2B">
              <w:rPr>
                <w:sz w:val="20"/>
                <w:szCs w:val="20"/>
              </w:rPr>
              <w:t>S</w:t>
            </w:r>
            <w:r w:rsidRPr="00CA29A7">
              <w:rPr>
                <w:sz w:val="20"/>
                <w:szCs w:val="20"/>
              </w:rPr>
              <w:t>ervice</w:t>
            </w:r>
            <w:r w:rsidRPr="00CA29A7" w:rsidR="00F37B2B">
              <w:rPr>
                <w:sz w:val="20"/>
                <w:szCs w:val="20"/>
              </w:rPr>
              <w:t xml:space="preserve"> R</w:t>
            </w:r>
            <w:r w:rsidRPr="00CA29A7">
              <w:rPr>
                <w:sz w:val="20"/>
                <w:szCs w:val="20"/>
              </w:rPr>
              <w:t>epresentatives</w:t>
            </w:r>
          </w:p>
        </w:tc>
        <w:tc>
          <w:tcPr>
            <w:tcW w:w="681" w:type="pct"/>
            <w:tcBorders>
              <w:left w:val="nil"/>
              <w:right w:val="nil"/>
            </w:tcBorders>
          </w:tcPr>
          <w:p w:rsidR="0003200D" w:rsidRPr="00CA29A7" w:rsidP="00D41AD8" w14:paraId="39023D28" w14:textId="74972D77">
            <w:pPr>
              <w:rPr>
                <w:sz w:val="20"/>
                <w:szCs w:val="20"/>
              </w:rPr>
            </w:pPr>
            <w:r w:rsidRPr="00CA29A7">
              <w:rPr>
                <w:sz w:val="20"/>
                <w:szCs w:val="20"/>
              </w:rPr>
              <w:t>27,000,000</w:t>
            </w:r>
          </w:p>
        </w:tc>
        <w:tc>
          <w:tcPr>
            <w:tcW w:w="600" w:type="pct"/>
            <w:tcBorders>
              <w:left w:val="nil"/>
              <w:right w:val="nil"/>
            </w:tcBorders>
          </w:tcPr>
          <w:p w:rsidR="0003200D" w:rsidRPr="00CA29A7" w:rsidP="00D41AD8" w14:paraId="25F0E978" w14:textId="059F0D09">
            <w:pPr>
              <w:rPr>
                <w:sz w:val="20"/>
                <w:szCs w:val="20"/>
              </w:rPr>
            </w:pPr>
            <w:r w:rsidRPr="00CA29A7">
              <w:rPr>
                <w:sz w:val="20"/>
                <w:szCs w:val="20"/>
              </w:rPr>
              <w:t>0.083</w:t>
            </w:r>
          </w:p>
        </w:tc>
        <w:tc>
          <w:tcPr>
            <w:tcW w:w="702" w:type="pct"/>
            <w:tcBorders>
              <w:left w:val="nil"/>
              <w:right w:val="nil"/>
            </w:tcBorders>
          </w:tcPr>
          <w:p w:rsidR="0003200D" w:rsidRPr="00CA29A7" w:rsidP="00D41AD8" w14:paraId="26397471" w14:textId="5D8166EF">
            <w:pPr>
              <w:rPr>
                <w:sz w:val="20"/>
                <w:szCs w:val="20"/>
              </w:rPr>
            </w:pPr>
            <w:r w:rsidRPr="00CA29A7">
              <w:rPr>
                <w:sz w:val="20"/>
                <w:szCs w:val="20"/>
              </w:rPr>
              <w:t>2,241,000</w:t>
            </w:r>
          </w:p>
        </w:tc>
        <w:tc>
          <w:tcPr>
            <w:tcW w:w="838" w:type="pct"/>
            <w:tcBorders>
              <w:left w:val="nil"/>
              <w:right w:val="nil"/>
            </w:tcBorders>
          </w:tcPr>
          <w:p w:rsidR="0003200D" w:rsidRPr="00CA29A7" w:rsidP="00D41AD8" w14:paraId="0534D059" w14:textId="55D49BE2">
            <w:pPr>
              <w:rPr>
                <w:sz w:val="20"/>
                <w:szCs w:val="20"/>
              </w:rPr>
            </w:pPr>
            <w:r w:rsidRPr="00CA29A7">
              <w:rPr>
                <w:sz w:val="20"/>
                <w:szCs w:val="20"/>
              </w:rPr>
              <w:t>$25.61</w:t>
            </w:r>
          </w:p>
        </w:tc>
        <w:tc>
          <w:tcPr>
            <w:tcW w:w="1123" w:type="pct"/>
            <w:tcBorders>
              <w:left w:val="nil"/>
              <w:right w:val="nil"/>
            </w:tcBorders>
          </w:tcPr>
          <w:p w:rsidR="0003200D" w:rsidRPr="00CA29A7" w:rsidP="00D41AD8" w14:paraId="562989C6" w14:textId="4856C6E6">
            <w:pPr>
              <w:rPr>
                <w:sz w:val="20"/>
                <w:szCs w:val="20"/>
              </w:rPr>
            </w:pPr>
            <w:r w:rsidRPr="00CA29A7">
              <w:rPr>
                <w:sz w:val="20"/>
                <w:szCs w:val="20"/>
              </w:rPr>
              <w:t>$57,392,010</w:t>
            </w:r>
          </w:p>
        </w:tc>
      </w:tr>
      <w:tr w14:paraId="4D7BA40E" w14:textId="77777777" w:rsidTr="003D286D">
        <w:tblPrEx>
          <w:tblW w:w="5910" w:type="pct"/>
          <w:jc w:val="center"/>
          <w:tblLayout w:type="fixed"/>
          <w:tblLook w:val="0420"/>
        </w:tblPrEx>
        <w:trPr>
          <w:jc w:val="center"/>
        </w:trPr>
        <w:tc>
          <w:tcPr>
            <w:tcW w:w="1056" w:type="pct"/>
            <w:hideMark/>
          </w:tcPr>
          <w:p w:rsidR="0070124D" w:rsidRPr="00CA29A7" w:rsidP="00D41AD8" w14:paraId="42A2A4F6" w14:textId="77777777">
            <w:pPr>
              <w:spacing w:line="264" w:lineRule="auto"/>
              <w:rPr>
                <w:rFonts w:eastAsiaTheme="minorEastAsia"/>
                <w:b/>
                <w:bCs/>
                <w:sz w:val="20"/>
                <w:szCs w:val="20"/>
              </w:rPr>
            </w:pPr>
            <w:r w:rsidRPr="00CA29A7">
              <w:rPr>
                <w:rFonts w:eastAsiaTheme="minorEastAsia"/>
                <w:b/>
                <w:bCs/>
                <w:sz w:val="20"/>
                <w:szCs w:val="20"/>
              </w:rPr>
              <w:t>Total</w:t>
            </w:r>
          </w:p>
        </w:tc>
        <w:tc>
          <w:tcPr>
            <w:tcW w:w="681" w:type="pct"/>
          </w:tcPr>
          <w:p w:rsidR="0070124D" w:rsidRPr="00CA29A7" w:rsidP="00D41AD8" w14:paraId="749F58EA" w14:textId="77777777">
            <w:pPr>
              <w:spacing w:line="264" w:lineRule="auto"/>
              <w:rPr>
                <w:rFonts w:eastAsiaTheme="minorEastAsia"/>
                <w:b/>
                <w:bCs/>
                <w:sz w:val="20"/>
                <w:szCs w:val="20"/>
              </w:rPr>
            </w:pPr>
          </w:p>
        </w:tc>
        <w:tc>
          <w:tcPr>
            <w:tcW w:w="600" w:type="pct"/>
          </w:tcPr>
          <w:p w:rsidR="0070124D" w:rsidRPr="00CA29A7" w:rsidP="00D41AD8" w14:paraId="20230A43" w14:textId="77777777">
            <w:pPr>
              <w:spacing w:line="264" w:lineRule="auto"/>
              <w:rPr>
                <w:rFonts w:eastAsiaTheme="minorEastAsia"/>
                <w:b/>
                <w:bCs/>
                <w:sz w:val="20"/>
                <w:szCs w:val="20"/>
              </w:rPr>
            </w:pPr>
          </w:p>
        </w:tc>
        <w:tc>
          <w:tcPr>
            <w:tcW w:w="702" w:type="pct"/>
            <w:hideMark/>
          </w:tcPr>
          <w:p w:rsidR="0070124D" w:rsidRPr="00CA29A7" w:rsidP="00D41AD8" w14:paraId="7B4D6C8D" w14:textId="77777777">
            <w:pPr>
              <w:spacing w:line="264" w:lineRule="auto"/>
              <w:rPr>
                <w:rFonts w:eastAsiaTheme="minorEastAsia"/>
                <w:b/>
                <w:bCs/>
                <w:sz w:val="20"/>
                <w:szCs w:val="20"/>
              </w:rPr>
            </w:pPr>
            <w:r w:rsidRPr="00CA29A7">
              <w:rPr>
                <w:rFonts w:eastAsiaTheme="minorEastAsia"/>
                <w:b/>
                <w:bCs/>
                <w:sz w:val="20"/>
                <w:szCs w:val="20"/>
              </w:rPr>
              <w:t>22,491,000</w:t>
            </w:r>
          </w:p>
        </w:tc>
        <w:tc>
          <w:tcPr>
            <w:tcW w:w="838" w:type="pct"/>
          </w:tcPr>
          <w:p w:rsidR="0070124D" w:rsidRPr="00CA29A7" w:rsidP="00D41AD8" w14:paraId="644A509C" w14:textId="77777777">
            <w:pPr>
              <w:spacing w:line="264" w:lineRule="auto"/>
              <w:rPr>
                <w:rFonts w:eastAsiaTheme="minorEastAsia"/>
                <w:b/>
                <w:bCs/>
                <w:sz w:val="20"/>
                <w:szCs w:val="20"/>
              </w:rPr>
            </w:pPr>
          </w:p>
        </w:tc>
        <w:tc>
          <w:tcPr>
            <w:tcW w:w="1123" w:type="pct"/>
            <w:hideMark/>
          </w:tcPr>
          <w:p w:rsidR="0070124D" w:rsidRPr="00CA29A7" w:rsidP="00701723" w14:paraId="12036663" w14:textId="1959A394">
            <w:pPr>
              <w:spacing w:line="264" w:lineRule="auto"/>
              <w:rPr>
                <w:rFonts w:eastAsiaTheme="minorEastAsia"/>
                <w:b/>
                <w:bCs/>
                <w:sz w:val="20"/>
                <w:szCs w:val="20"/>
              </w:rPr>
            </w:pPr>
            <w:r w:rsidRPr="00CA29A7">
              <w:rPr>
                <w:rFonts w:eastAsiaTheme="minorEastAsia"/>
                <w:b/>
                <w:bCs/>
                <w:sz w:val="20"/>
                <w:szCs w:val="20"/>
              </w:rPr>
              <w:t>$481,967,010</w:t>
            </w:r>
          </w:p>
          <w:p w:rsidR="0070124D" w:rsidRPr="00CA29A7" w:rsidP="00701723" w14:paraId="277BA527" w14:textId="6A470D3D">
            <w:pPr>
              <w:spacing w:line="264" w:lineRule="auto"/>
              <w:rPr>
                <w:rFonts w:eastAsiaTheme="minorEastAsia"/>
                <w:b/>
                <w:bCs/>
                <w:sz w:val="20"/>
                <w:szCs w:val="20"/>
              </w:rPr>
            </w:pPr>
          </w:p>
        </w:tc>
      </w:tr>
    </w:tbl>
    <w:p w:rsidR="00707B46" w:rsidRPr="001F5B55" w:rsidP="00707B46" w14:paraId="1008FCA3" w14:textId="77777777">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707B46" w:rsidRPr="001F5B55" w:rsidP="00707B46" w14:paraId="43D0AF63" w14:textId="77777777"/>
    <w:p w:rsidR="00707B46" w:rsidRPr="001F5B55" w:rsidP="00707B46" w14:paraId="37E54F51" w14:textId="77777777">
      <w:pPr>
        <w:outlineLvl w:val="0"/>
      </w:pPr>
      <w:r w:rsidRPr="001F5B55">
        <w:t xml:space="preserve">There is no annualized cost to the federal government. </w:t>
      </w:r>
    </w:p>
    <w:p w:rsidR="00707B46" w:rsidRPr="001F5B55" w:rsidP="00707B46" w14:paraId="7320B4E8" w14:textId="77777777"/>
    <w:p w:rsidR="00707B46" w:rsidRPr="001F5B55" w:rsidP="00707B46" w14:paraId="48C92A5B" w14:textId="77777777">
      <w:r w:rsidRPr="001F5B55">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00707B46" w:rsidRPr="001F5B55" w:rsidP="00707B46" w14:paraId="686ACB7C" w14:textId="77777777"/>
    <w:p w:rsidR="0071737C" w:rsidP="00707B46" w14:paraId="6A63BB17" w14:textId="58D65FBE">
      <w:r>
        <w:t>There is no program change, as this is a new information collection</w:t>
      </w:r>
    </w:p>
    <w:p w:rsidR="00CA29A7" w:rsidP="00707B46" w14:paraId="3323F0D6" w14:textId="77777777"/>
    <w:p w:rsidR="00707B46" w:rsidRPr="00383B23" w:rsidP="00707B46" w14:paraId="0F0D4829" w14:textId="77777777">
      <w:r w:rsidRPr="00383B23">
        <w:t xml:space="preserve">16. </w:t>
      </w:r>
      <w:r w:rsidRPr="00383B23">
        <w:rPr>
          <w:u w:val="single"/>
        </w:rPr>
        <w:t>Publication of results of data collection</w:t>
      </w:r>
      <w:r w:rsidRPr="00383B23">
        <w:t xml:space="preserve">.  </w:t>
      </w:r>
      <w:r w:rsidRPr="00383B23">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3B23">
        <w:t>.</w:t>
      </w:r>
    </w:p>
    <w:p w:rsidR="00707B46" w:rsidRPr="0071466F" w:rsidP="00707B46" w14:paraId="0B960877" w14:textId="77777777">
      <w:pPr>
        <w:rPr>
          <w:highlight w:val="yellow"/>
        </w:rPr>
      </w:pPr>
    </w:p>
    <w:p w:rsidR="00175967" w:rsidP="00175967" w14:paraId="287879E5" w14:textId="3D4B3953">
      <w:r>
        <w:t xml:space="preserve">The Department does not intend to publish the results of information collected from respondents. </w:t>
      </w:r>
    </w:p>
    <w:p w:rsidR="00F46BC2" w:rsidRPr="001F5B55" w:rsidP="00175967" w14:paraId="0429BB6B" w14:textId="51D3B0A8"/>
    <w:p w:rsidR="00707B46" w:rsidRPr="001F5B55" w:rsidP="00707B46" w14:paraId="79A42E67" w14:textId="77777777">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00707B46" w:rsidRPr="001F5B55" w:rsidP="00707B46" w14:paraId="2A952B77" w14:textId="77777777"/>
    <w:p w:rsidR="00707B46" w:rsidP="007100D3" w14:paraId="27CD9D0F" w14:textId="6EA2197D">
      <w:pPr>
        <w:outlineLvl w:val="0"/>
      </w:pPr>
      <w:r w:rsidRPr="001F5B55">
        <w:t>Not applicable.</w:t>
      </w:r>
    </w:p>
    <w:p w:rsidR="005F4511" w:rsidRPr="001F5B55" w:rsidP="00707B46" w14:paraId="07F25BA7" w14:textId="77777777"/>
    <w:p w:rsidR="00707B46" w:rsidRPr="001F5B55" w:rsidP="00707B46" w14:paraId="160F096A" w14:textId="77777777">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F46BC2" w:rsidP="00707B46" w14:paraId="301768CD" w14:textId="77777777">
      <w:pPr>
        <w:outlineLvl w:val="0"/>
      </w:pPr>
    </w:p>
    <w:p w:rsidR="00707B46" w:rsidRPr="001F5B55" w:rsidP="00707B46" w14:paraId="57EBC746" w14:textId="67EAA70C">
      <w:pPr>
        <w:outlineLvl w:val="0"/>
      </w:pPr>
      <w:r w:rsidRPr="001F5B55">
        <w:t>Not applicable.</w:t>
      </w:r>
    </w:p>
    <w:p w:rsidR="00AC30CE" w:rsidRPr="002F187A" w:rsidP="008A721E" w14:paraId="20177575" w14:textId="77777777"/>
    <w:sectPr w:rsidSect="00B3367A">
      <w:headerReference w:type="even" r:id="rId6"/>
      <w:headerReference w:type="default" r:id="rId7"/>
      <w:headerReference w:type="first" r:id="rId8"/>
      <w:footerReference w:type="first" r:id="rId9"/>
      <w:pgSz w:w="12240" w:h="15840" w:code="1"/>
      <w:pgMar w:top="180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14:paraId="2AE725A8" w14:textId="68B656B0">
    <w:pPr>
      <w:pStyle w:val="Footer"/>
      <w:jc w:val="center"/>
    </w:pPr>
    <w:r>
      <w:fldChar w:fldCharType="begin"/>
    </w:r>
    <w:r>
      <w:instrText xml:space="preserve"> PAGE   \* MERGEFORMAT </w:instrText>
    </w:r>
    <w:r>
      <w:fldChar w:fldCharType="separate"/>
    </w:r>
    <w:r w:rsidR="005B64D5">
      <w:rPr>
        <w:noProof/>
      </w:rPr>
      <w:t>1</w:t>
    </w:r>
    <w:r>
      <w:rPr>
        <w:noProof/>
      </w:rPr>
      <w:fldChar w:fldCharType="end"/>
    </w:r>
  </w:p>
  <w:p w:rsidR="00AC19E8" w14:paraId="009C6E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55D8" w14:paraId="1A00450C" w14:textId="77777777">
      <w:r>
        <w:separator/>
      </w:r>
    </w:p>
  </w:footnote>
  <w:footnote w:type="continuationSeparator" w:id="1">
    <w:p w:rsidR="008655D8" w14:paraId="309FDA53" w14:textId="77777777">
      <w:r>
        <w:continuationSeparator/>
      </w:r>
    </w:p>
  </w:footnote>
  <w:footnote w:id="2">
    <w:p w:rsidR="00595E09" w14:paraId="1EC8E580" w14:textId="66D6D812">
      <w:pPr>
        <w:pStyle w:val="FootnoteText"/>
      </w:pPr>
      <w:r>
        <w:rPr>
          <w:rStyle w:val="FootnoteReference"/>
        </w:rPr>
        <w:footnoteRef/>
      </w:r>
      <w:r>
        <w:t xml:space="preserve"> Airlines are prohibited from requiring th</w:t>
      </w:r>
      <w:r w:rsidR="000809FA">
        <w:t>is</w:t>
      </w:r>
      <w:r>
        <w:t xml:space="preserve"> documentation if the Department of Health &amp; Human Services (HHS) determines that requiring documentation </w:t>
      </w:r>
      <w:r w:rsidR="000809FA">
        <w:t>is</w:t>
      </w:r>
      <w:r>
        <w:t xml:space="preserve"> not in the public interest.    </w:t>
      </w:r>
    </w:p>
  </w:footnote>
  <w:footnote w:id="3">
    <w:p w:rsidR="00365CEB" w:rsidP="00365CEB" w14:paraId="53F5D757" w14:textId="287E1BA9">
      <w:pPr>
        <w:pStyle w:val="FootnoteText"/>
      </w:pPr>
      <w:r>
        <w:rPr>
          <w:rStyle w:val="FootnoteReference"/>
        </w:rPr>
        <w:footnoteRef/>
      </w:r>
      <w:r>
        <w:t xml:space="preserve"> The number of respondents estimated in the </w:t>
      </w:r>
      <w:r w:rsidR="002E194E">
        <w:t>proposed rule</w:t>
      </w:r>
      <w:r>
        <w:t xml:space="preserve"> was 5,580,000.  Based on this information</w:t>
      </w:r>
      <w:r w:rsidR="002E194E">
        <w:t xml:space="preserve"> provided by </w:t>
      </w:r>
      <w:r w:rsidR="00EF6353">
        <w:t>A4A</w:t>
      </w:r>
      <w:r>
        <w:t xml:space="preserve">, the estimated respondent number has been adjusted to 27,000,000. </w:t>
      </w:r>
    </w:p>
  </w:footnote>
  <w:footnote w:id="4">
    <w:p w:rsidR="00365CEB" w14:paraId="47D8E9DF" w14:textId="728954C9">
      <w:pPr>
        <w:pStyle w:val="FootnoteText"/>
      </w:pPr>
      <w:r>
        <w:rPr>
          <w:rStyle w:val="FootnoteReference"/>
        </w:rPr>
        <w:footnoteRef/>
      </w:r>
      <w:r>
        <w:t xml:space="preserve"> The </w:t>
      </w:r>
      <w:r w:rsidR="002E194E">
        <w:t>proposed rule</w:t>
      </w:r>
      <w:r>
        <w:t xml:space="preserve"> did not include an estimated cost for medical assistants to prepare the documentation.  </w:t>
      </w:r>
      <w:r w:rsidR="00765AE7">
        <w:t xml:space="preserve">The Department has revised its estimate to include this cost.  </w:t>
      </w:r>
    </w:p>
  </w:footnote>
  <w:footnote w:id="5">
    <w:p w:rsidR="00765AE7" w14:paraId="7064FAFC" w14:textId="26C0635D">
      <w:pPr>
        <w:pStyle w:val="FootnoteText"/>
      </w:pPr>
      <w:r>
        <w:rPr>
          <w:rStyle w:val="FootnoteReference"/>
        </w:rPr>
        <w:footnoteRef/>
      </w:r>
      <w:r>
        <w:t xml:space="preserve"> The </w:t>
      </w:r>
      <w:r w:rsidR="002E194E">
        <w:t>proposed rule</w:t>
      </w:r>
      <w:r>
        <w:t xml:space="preserve"> uses median wage data from the Bureau of Labor Statistics as of 2021.  The hourly rate has been updated with 2022 data. </w:t>
      </w:r>
    </w:p>
  </w:footnote>
  <w:footnote w:id="6">
    <w:p w:rsidR="004963D2" w:rsidRPr="004963D2" w:rsidP="004963D2" w14:paraId="19304E76" w14:textId="208048D1">
      <w:pPr>
        <w:pStyle w:val="FootnoteText"/>
        <w:rPr>
          <w:i/>
          <w:iCs/>
        </w:rPr>
      </w:pPr>
      <w:r>
        <w:rPr>
          <w:rStyle w:val="FootnoteReference"/>
        </w:rPr>
        <w:footnoteRef/>
      </w:r>
      <w:r>
        <w:t xml:space="preserve"> Details regarding the source of information from the Department of Labor and the calculations are provided in the </w:t>
      </w:r>
      <w:r w:rsidRPr="004963D2">
        <w:rPr>
          <w:i/>
          <w:iCs/>
        </w:rPr>
        <w:t>Refunding Airline Tickets and Ancillary Service Fees</w:t>
      </w:r>
      <w:r>
        <w:rPr>
          <w:i/>
          <w:iCs/>
        </w:rPr>
        <w:t xml:space="preserve"> </w:t>
      </w:r>
      <w:r w:rsidRPr="004963D2">
        <w:rPr>
          <w:i/>
          <w:iCs/>
        </w:rPr>
        <w:t>Regulatory Impact Analysis</w:t>
      </w:r>
      <w:r w:rsidR="00892CD7">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rsidP="0096366F" w14:paraId="75A18DC0" w14:textId="743471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9A7">
      <w:rPr>
        <w:rStyle w:val="PageNumber"/>
        <w:noProof/>
      </w:rPr>
      <w:t>2</w:t>
    </w:r>
    <w:r>
      <w:rPr>
        <w:rStyle w:val="PageNumber"/>
      </w:rPr>
      <w:fldChar w:fldCharType="end"/>
    </w:r>
  </w:p>
  <w:p w:rsidR="00AC19E8" w:rsidP="00832CFA" w14:paraId="51C805E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rsidP="0068593E" w14:paraId="3EB65649" w14:textId="06AFA923">
    <w:pPr>
      <w:pStyle w:val="Header"/>
      <w:pBdr>
        <w:bottom w:val="single" w:sz="4" w:space="1" w:color="auto"/>
      </w:pBdr>
      <w:ind w:left="360"/>
      <w:jc w:val="right"/>
      <w:rPr>
        <w:rStyle w:val="PageNumber"/>
        <w:sz w:val="18"/>
        <w:szCs w:val="18"/>
      </w:rPr>
    </w:pPr>
    <w:r w:rsidRPr="00B3367A">
      <w:rPr>
        <w:sz w:val="18"/>
        <w:szCs w:val="18"/>
      </w:rPr>
      <w:fldChar w:fldCharType="begin"/>
    </w:r>
    <w:r w:rsidRPr="00B3367A">
      <w:rPr>
        <w:sz w:val="18"/>
        <w:szCs w:val="18"/>
      </w:rPr>
      <w:instrText xml:space="preserve"> PAGE   \* MERGEFORMAT </w:instrText>
    </w:r>
    <w:r w:rsidRPr="00B3367A">
      <w:rPr>
        <w:sz w:val="18"/>
        <w:szCs w:val="18"/>
      </w:rPr>
      <w:fldChar w:fldCharType="separate"/>
    </w:r>
    <w:r w:rsidR="005B64D5">
      <w:rPr>
        <w:noProof/>
        <w:sz w:val="18"/>
        <w:szCs w:val="18"/>
      </w:rPr>
      <w:t>6</w:t>
    </w:r>
    <w:r w:rsidRPr="00B3367A">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E8" w:rsidRPr="00AC30CE" w:rsidP="00AC30CE" w14:paraId="7D1DE8AE" w14:textId="77777777">
    <w:pPr>
      <w:pStyle w:val="Header"/>
      <w:ind w:left="36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270EE"/>
    <w:multiLevelType w:val="hybridMultilevel"/>
    <w:tmpl w:val="4D820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22264"/>
    <w:multiLevelType w:val="hybridMultilevel"/>
    <w:tmpl w:val="BC6C32D6"/>
    <w:lvl w:ilvl="0">
      <w:start w:val="1"/>
      <w:numFmt w:val="decimal"/>
      <w:lvlText w:val="(%1)"/>
      <w:lvlJc w:val="left"/>
      <w:pPr>
        <w:ind w:left="540" w:hanging="360"/>
      </w:pPr>
      <w:rPr>
        <w:rFonts w:ascii="Times New Roman" w:hAnsi="Times New Roman" w:cs="Times New Roman" w:hint="default"/>
        <w:b w:val="0"/>
        <w:bCs w:val="0"/>
        <w:i w:val="0"/>
        <w:i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C4F577D"/>
    <w:multiLevelType w:val="hybridMultilevel"/>
    <w:tmpl w:val="34B455FC"/>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B76C2B"/>
    <w:multiLevelType w:val="multilevel"/>
    <w:tmpl w:val="CBBCA75C"/>
    <w:lvl w:ilvl="0">
      <w:start w:val="9"/>
      <w:numFmt w:val="decimal"/>
      <w:lvlText w:val="%1."/>
      <w:lvlJc w:val="left"/>
      <w:pPr>
        <w:tabs>
          <w:tab w:val="num" w:pos="720"/>
        </w:tabs>
        <w:ind w:left="720" w:hanging="360"/>
      </w:pPr>
      <w:rPr>
        <w:rFonts w:hint="default"/>
      </w:rPr>
    </w:lvl>
    <w:lvl w:ilvl="1">
      <w:start w:val="1"/>
      <w:numFmt w:val="bullet"/>
      <w:lvlText w:val=""/>
      <w:lvlJc w:val="left"/>
      <w:pPr>
        <w:tabs>
          <w:tab w:val="num" w:pos="1296"/>
        </w:tabs>
        <w:ind w:left="1296" w:hanging="216"/>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2F353F"/>
    <w:multiLevelType w:val="multilevel"/>
    <w:tmpl w:val="34B455FC"/>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2560033"/>
    <w:multiLevelType w:val="multilevel"/>
    <w:tmpl w:val="6FF0C810"/>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2930893"/>
    <w:multiLevelType w:val="hybridMultilevel"/>
    <w:tmpl w:val="12F0ED7C"/>
    <w:lvl w:ilvl="0">
      <w:start w:val="1"/>
      <w:numFmt w:val="decimal"/>
      <w:lvlText w:val="%1."/>
      <w:lvlJc w:val="left"/>
      <w:pPr>
        <w:tabs>
          <w:tab w:val="num" w:pos="750"/>
        </w:tabs>
        <w:ind w:left="750" w:hanging="39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97C69FD"/>
    <w:multiLevelType w:val="hybridMultilevel"/>
    <w:tmpl w:val="AAE6E07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B10780A"/>
    <w:multiLevelType w:val="hybridMultilevel"/>
    <w:tmpl w:val="77383CAA"/>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984E7E"/>
    <w:multiLevelType w:val="hybridMultilevel"/>
    <w:tmpl w:val="125256B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2280DCC"/>
    <w:multiLevelType w:val="multilevel"/>
    <w:tmpl w:val="FB5ED7E6"/>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3337FC"/>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A787722"/>
    <w:multiLevelType w:val="hybridMultilevel"/>
    <w:tmpl w:val="332A5432"/>
    <w:lvl w:ilvl="0">
      <w:start w:val="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BD829DE"/>
    <w:multiLevelType w:val="hybridMultilevel"/>
    <w:tmpl w:val="26C6CF82"/>
    <w:lvl w:ilvl="0">
      <w:start w:val="9"/>
      <w:numFmt w:val="decimal"/>
      <w:lvlText w:val="%1."/>
      <w:lvlJc w:val="left"/>
      <w:pPr>
        <w:tabs>
          <w:tab w:val="num" w:pos="720"/>
        </w:tabs>
        <w:ind w:left="720" w:hanging="360"/>
      </w:pPr>
      <w:rPr>
        <w:rFonts w:hint="default"/>
        <w:b w:val="0"/>
      </w:rPr>
    </w:lvl>
    <w:lvl w:ilvl="1">
      <w:start w:val="1"/>
      <w:numFmt w:val="bullet"/>
      <w:lvlText w:val=""/>
      <w:lvlJc w:val="left"/>
      <w:pPr>
        <w:tabs>
          <w:tab w:val="num" w:pos="1296"/>
        </w:tabs>
        <w:ind w:left="1296" w:hanging="216"/>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03A691A"/>
    <w:multiLevelType w:val="hybridMultilevel"/>
    <w:tmpl w:val="6B4CC00E"/>
    <w:lvl w:ilvl="0">
      <w:start w:val="1"/>
      <w:numFmt w:val="upperLetter"/>
      <w:lvlText w:val="%1."/>
      <w:lvlJc w:val="left"/>
      <w:pPr>
        <w:tabs>
          <w:tab w:val="num" w:pos="1080"/>
        </w:tabs>
        <w:ind w:left="1080" w:hanging="72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85E2D28"/>
    <w:multiLevelType w:val="multilevel"/>
    <w:tmpl w:val="E6607C3A"/>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D8147A6"/>
    <w:multiLevelType w:val="hybridMultilevel"/>
    <w:tmpl w:val="E6607C3A"/>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F4B540B"/>
    <w:multiLevelType w:val="hybridMultilevel"/>
    <w:tmpl w:val="FB5ED7E6"/>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FD37C75"/>
    <w:multiLevelType w:val="hybridMultilevel"/>
    <w:tmpl w:val="C7810D0E"/>
    <w:lvl w:ilvl="0">
      <w:start w:val="1"/>
      <w:numFmt w:val="decimal"/>
      <w:suff w:val="nothing"/>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9">
    <w:nsid w:val="70984963"/>
    <w:multiLevelType w:val="hybridMultilevel"/>
    <w:tmpl w:val="4BE4C928"/>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20215DB"/>
    <w:multiLevelType w:val="hybridMultilevel"/>
    <w:tmpl w:val="6FF0C810"/>
    <w:lvl w:ilvl="0">
      <w:start w:val="1"/>
      <w:numFmt w:val="bullet"/>
      <w:lvlText w:val=""/>
      <w:lvlJc w:val="left"/>
      <w:pPr>
        <w:tabs>
          <w:tab w:val="num" w:pos="648"/>
        </w:tabs>
        <w:ind w:left="648"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5591D62"/>
    <w:multiLevelType w:val="hybridMultilevel"/>
    <w:tmpl w:val="CB1EBB04"/>
    <w:lvl w:ilvl="0">
      <w:start w:val="1"/>
      <w:numFmt w:val="bullet"/>
      <w:lvlText w:val=""/>
      <w:lvlJc w:val="left"/>
      <w:pPr>
        <w:tabs>
          <w:tab w:val="num" w:pos="648"/>
        </w:tabs>
        <w:ind w:left="648"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F1349A5"/>
    <w:multiLevelType w:val="hybridMultilevel"/>
    <w:tmpl w:val="074C3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721593">
    <w:abstractNumId w:val="14"/>
  </w:num>
  <w:num w:numId="2" w16cid:durableId="1363441031">
    <w:abstractNumId w:val="6"/>
  </w:num>
  <w:num w:numId="3" w16cid:durableId="1638607643">
    <w:abstractNumId w:val="12"/>
  </w:num>
  <w:num w:numId="4" w16cid:durableId="824397309">
    <w:abstractNumId w:val="13"/>
  </w:num>
  <w:num w:numId="5" w16cid:durableId="514076466">
    <w:abstractNumId w:val="16"/>
  </w:num>
  <w:num w:numId="6" w16cid:durableId="624191949">
    <w:abstractNumId w:val="15"/>
  </w:num>
  <w:num w:numId="7" w16cid:durableId="1911190301">
    <w:abstractNumId w:val="3"/>
  </w:num>
  <w:num w:numId="8" w16cid:durableId="480273943">
    <w:abstractNumId w:val="2"/>
  </w:num>
  <w:num w:numId="9" w16cid:durableId="1980837478">
    <w:abstractNumId w:val="11"/>
  </w:num>
  <w:num w:numId="10" w16cid:durableId="1168979209">
    <w:abstractNumId w:val="17"/>
  </w:num>
  <w:num w:numId="11" w16cid:durableId="1844126525">
    <w:abstractNumId w:val="10"/>
  </w:num>
  <w:num w:numId="12" w16cid:durableId="432867236">
    <w:abstractNumId w:val="19"/>
  </w:num>
  <w:num w:numId="13" w16cid:durableId="98842938">
    <w:abstractNumId w:val="4"/>
  </w:num>
  <w:num w:numId="14" w16cid:durableId="1093474230">
    <w:abstractNumId w:val="20"/>
  </w:num>
  <w:num w:numId="15" w16cid:durableId="474954340">
    <w:abstractNumId w:val="5"/>
  </w:num>
  <w:num w:numId="16" w16cid:durableId="915868779">
    <w:abstractNumId w:val="9"/>
  </w:num>
  <w:num w:numId="17" w16cid:durableId="907568247">
    <w:abstractNumId w:val="21"/>
  </w:num>
  <w:num w:numId="18" w16cid:durableId="336884714">
    <w:abstractNumId w:val="7"/>
  </w:num>
  <w:num w:numId="19" w16cid:durableId="1557425382">
    <w:abstractNumId w:val="8"/>
  </w:num>
  <w:num w:numId="20" w16cid:durableId="1288009378">
    <w:abstractNumId w:val="0"/>
  </w:num>
  <w:num w:numId="21" w16cid:durableId="2032804688">
    <w:abstractNumId w:val="22"/>
  </w:num>
  <w:num w:numId="22" w16cid:durableId="92020050">
    <w:abstractNumId w:val="1"/>
  </w:num>
  <w:num w:numId="23" w16cid:durableId="1470050482">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FA"/>
    <w:rsid w:val="00000916"/>
    <w:rsid w:val="00004153"/>
    <w:rsid w:val="0003200D"/>
    <w:rsid w:val="00045EC9"/>
    <w:rsid w:val="00052D4A"/>
    <w:rsid w:val="00070D78"/>
    <w:rsid w:val="000809FA"/>
    <w:rsid w:val="00084C9F"/>
    <w:rsid w:val="000863DE"/>
    <w:rsid w:val="0009279F"/>
    <w:rsid w:val="0009470D"/>
    <w:rsid w:val="0009763F"/>
    <w:rsid w:val="000A639F"/>
    <w:rsid w:val="000B3605"/>
    <w:rsid w:val="000C0364"/>
    <w:rsid w:val="000C6324"/>
    <w:rsid w:val="000D1019"/>
    <w:rsid w:val="000D17AD"/>
    <w:rsid w:val="000E082F"/>
    <w:rsid w:val="000E0CA5"/>
    <w:rsid w:val="000E1D8F"/>
    <w:rsid w:val="000F2D0C"/>
    <w:rsid w:val="000F4E45"/>
    <w:rsid w:val="000F57C9"/>
    <w:rsid w:val="00104083"/>
    <w:rsid w:val="0011456C"/>
    <w:rsid w:val="001176A4"/>
    <w:rsid w:val="00132B12"/>
    <w:rsid w:val="00134A57"/>
    <w:rsid w:val="00137BB7"/>
    <w:rsid w:val="00141450"/>
    <w:rsid w:val="00142CB8"/>
    <w:rsid w:val="00162F2C"/>
    <w:rsid w:val="001730C5"/>
    <w:rsid w:val="00175967"/>
    <w:rsid w:val="00180EE6"/>
    <w:rsid w:val="00185CC6"/>
    <w:rsid w:val="00190A12"/>
    <w:rsid w:val="00191564"/>
    <w:rsid w:val="00194232"/>
    <w:rsid w:val="001A4BE5"/>
    <w:rsid w:val="001B0FBA"/>
    <w:rsid w:val="001B1A7E"/>
    <w:rsid w:val="001B5F48"/>
    <w:rsid w:val="001B71BD"/>
    <w:rsid w:val="001C1F09"/>
    <w:rsid w:val="001D0125"/>
    <w:rsid w:val="001D15DE"/>
    <w:rsid w:val="001F5B55"/>
    <w:rsid w:val="001F7061"/>
    <w:rsid w:val="002023D3"/>
    <w:rsid w:val="00215D75"/>
    <w:rsid w:val="00217C65"/>
    <w:rsid w:val="00225DFA"/>
    <w:rsid w:val="00227158"/>
    <w:rsid w:val="002420F5"/>
    <w:rsid w:val="0024260B"/>
    <w:rsid w:val="0025472B"/>
    <w:rsid w:val="00257EB7"/>
    <w:rsid w:val="002615CA"/>
    <w:rsid w:val="0026230D"/>
    <w:rsid w:val="00272CB5"/>
    <w:rsid w:val="0029338D"/>
    <w:rsid w:val="00294E1F"/>
    <w:rsid w:val="00296487"/>
    <w:rsid w:val="002A372E"/>
    <w:rsid w:val="002B209E"/>
    <w:rsid w:val="002B5C32"/>
    <w:rsid w:val="002C0B82"/>
    <w:rsid w:val="002C4001"/>
    <w:rsid w:val="002C5156"/>
    <w:rsid w:val="002C70B6"/>
    <w:rsid w:val="002E194E"/>
    <w:rsid w:val="002E2201"/>
    <w:rsid w:val="002F187A"/>
    <w:rsid w:val="002F5C68"/>
    <w:rsid w:val="0030711A"/>
    <w:rsid w:val="00310DF3"/>
    <w:rsid w:val="003152CD"/>
    <w:rsid w:val="00321344"/>
    <w:rsid w:val="00321DF1"/>
    <w:rsid w:val="00323CF2"/>
    <w:rsid w:val="003274DF"/>
    <w:rsid w:val="00332CA6"/>
    <w:rsid w:val="00340BDC"/>
    <w:rsid w:val="00341C2A"/>
    <w:rsid w:val="003575BB"/>
    <w:rsid w:val="00365491"/>
    <w:rsid w:val="00365CEB"/>
    <w:rsid w:val="00370E8A"/>
    <w:rsid w:val="00383B23"/>
    <w:rsid w:val="0038546A"/>
    <w:rsid w:val="00392C07"/>
    <w:rsid w:val="00395058"/>
    <w:rsid w:val="003971D6"/>
    <w:rsid w:val="003A24E6"/>
    <w:rsid w:val="003A3DB4"/>
    <w:rsid w:val="003B0924"/>
    <w:rsid w:val="003B52AF"/>
    <w:rsid w:val="003C7107"/>
    <w:rsid w:val="003D0CDF"/>
    <w:rsid w:val="003D0F6B"/>
    <w:rsid w:val="003D286D"/>
    <w:rsid w:val="003E4370"/>
    <w:rsid w:val="003F3FDF"/>
    <w:rsid w:val="003F62D2"/>
    <w:rsid w:val="003F6F6B"/>
    <w:rsid w:val="00400981"/>
    <w:rsid w:val="00402D27"/>
    <w:rsid w:val="00417C7D"/>
    <w:rsid w:val="004207E8"/>
    <w:rsid w:val="004304F4"/>
    <w:rsid w:val="004331D0"/>
    <w:rsid w:val="00435163"/>
    <w:rsid w:val="004501BF"/>
    <w:rsid w:val="004570C0"/>
    <w:rsid w:val="00464CCE"/>
    <w:rsid w:val="00471284"/>
    <w:rsid w:val="00495950"/>
    <w:rsid w:val="00495BAE"/>
    <w:rsid w:val="004963D2"/>
    <w:rsid w:val="0049783F"/>
    <w:rsid w:val="004A24FE"/>
    <w:rsid w:val="004A6241"/>
    <w:rsid w:val="004B1987"/>
    <w:rsid w:val="004B4A1C"/>
    <w:rsid w:val="004C0123"/>
    <w:rsid w:val="004C30F7"/>
    <w:rsid w:val="004C35C0"/>
    <w:rsid w:val="004F31DD"/>
    <w:rsid w:val="00505D50"/>
    <w:rsid w:val="00517471"/>
    <w:rsid w:val="00525999"/>
    <w:rsid w:val="0053016D"/>
    <w:rsid w:val="005319F3"/>
    <w:rsid w:val="0053504D"/>
    <w:rsid w:val="00535A5F"/>
    <w:rsid w:val="00540909"/>
    <w:rsid w:val="00543EC0"/>
    <w:rsid w:val="00550B82"/>
    <w:rsid w:val="00575A20"/>
    <w:rsid w:val="005942C9"/>
    <w:rsid w:val="00595E09"/>
    <w:rsid w:val="005A1E0D"/>
    <w:rsid w:val="005A4DA6"/>
    <w:rsid w:val="005B64D5"/>
    <w:rsid w:val="005C0D2B"/>
    <w:rsid w:val="005C44BA"/>
    <w:rsid w:val="005C4B5E"/>
    <w:rsid w:val="005C738C"/>
    <w:rsid w:val="005C7D0C"/>
    <w:rsid w:val="005D5240"/>
    <w:rsid w:val="005D6163"/>
    <w:rsid w:val="005E7F36"/>
    <w:rsid w:val="005F4511"/>
    <w:rsid w:val="00605831"/>
    <w:rsid w:val="00607678"/>
    <w:rsid w:val="00620253"/>
    <w:rsid w:val="00623B19"/>
    <w:rsid w:val="006256FE"/>
    <w:rsid w:val="0063402A"/>
    <w:rsid w:val="006372DB"/>
    <w:rsid w:val="00646E10"/>
    <w:rsid w:val="0065033A"/>
    <w:rsid w:val="00661ED2"/>
    <w:rsid w:val="00663901"/>
    <w:rsid w:val="00666A58"/>
    <w:rsid w:val="006719F4"/>
    <w:rsid w:val="00675712"/>
    <w:rsid w:val="00676031"/>
    <w:rsid w:val="00683394"/>
    <w:rsid w:val="006840FB"/>
    <w:rsid w:val="0068593E"/>
    <w:rsid w:val="00685D70"/>
    <w:rsid w:val="00690FF8"/>
    <w:rsid w:val="006A7191"/>
    <w:rsid w:val="006B0B01"/>
    <w:rsid w:val="006B799D"/>
    <w:rsid w:val="006C74E2"/>
    <w:rsid w:val="006D1D7C"/>
    <w:rsid w:val="006D6347"/>
    <w:rsid w:val="0070081B"/>
    <w:rsid w:val="0070124D"/>
    <w:rsid w:val="00701391"/>
    <w:rsid w:val="00701723"/>
    <w:rsid w:val="00702678"/>
    <w:rsid w:val="00707B46"/>
    <w:rsid w:val="007100D3"/>
    <w:rsid w:val="00711087"/>
    <w:rsid w:val="0071466F"/>
    <w:rsid w:val="0071737C"/>
    <w:rsid w:val="0072243E"/>
    <w:rsid w:val="00722C93"/>
    <w:rsid w:val="00724C60"/>
    <w:rsid w:val="00730434"/>
    <w:rsid w:val="00732001"/>
    <w:rsid w:val="00735E2B"/>
    <w:rsid w:val="007410BC"/>
    <w:rsid w:val="00743629"/>
    <w:rsid w:val="00756836"/>
    <w:rsid w:val="00757B44"/>
    <w:rsid w:val="007602D4"/>
    <w:rsid w:val="00762992"/>
    <w:rsid w:val="00765AE7"/>
    <w:rsid w:val="00767022"/>
    <w:rsid w:val="00771EF8"/>
    <w:rsid w:val="00780955"/>
    <w:rsid w:val="0078379E"/>
    <w:rsid w:val="007844CF"/>
    <w:rsid w:val="007878BF"/>
    <w:rsid w:val="007948FD"/>
    <w:rsid w:val="00795476"/>
    <w:rsid w:val="007A1A09"/>
    <w:rsid w:val="007A3381"/>
    <w:rsid w:val="007B3800"/>
    <w:rsid w:val="007B4698"/>
    <w:rsid w:val="007C21DE"/>
    <w:rsid w:val="007D085F"/>
    <w:rsid w:val="007D0EC4"/>
    <w:rsid w:val="007D4640"/>
    <w:rsid w:val="007F14A7"/>
    <w:rsid w:val="007F3591"/>
    <w:rsid w:val="007F4EA8"/>
    <w:rsid w:val="007F66AB"/>
    <w:rsid w:val="00802258"/>
    <w:rsid w:val="00803FDB"/>
    <w:rsid w:val="008063FD"/>
    <w:rsid w:val="0081238A"/>
    <w:rsid w:val="00814D85"/>
    <w:rsid w:val="00814F06"/>
    <w:rsid w:val="008207C4"/>
    <w:rsid w:val="0082334A"/>
    <w:rsid w:val="00832AFC"/>
    <w:rsid w:val="00832CFA"/>
    <w:rsid w:val="00835A2D"/>
    <w:rsid w:val="00837089"/>
    <w:rsid w:val="008459BF"/>
    <w:rsid w:val="00847AF6"/>
    <w:rsid w:val="00850084"/>
    <w:rsid w:val="008621F7"/>
    <w:rsid w:val="008655D8"/>
    <w:rsid w:val="00872814"/>
    <w:rsid w:val="00880544"/>
    <w:rsid w:val="00892CD7"/>
    <w:rsid w:val="00893F7C"/>
    <w:rsid w:val="008A5EA9"/>
    <w:rsid w:val="008A5ED8"/>
    <w:rsid w:val="008A721E"/>
    <w:rsid w:val="008B19AE"/>
    <w:rsid w:val="008C68A7"/>
    <w:rsid w:val="008D1921"/>
    <w:rsid w:val="008E4125"/>
    <w:rsid w:val="008E4295"/>
    <w:rsid w:val="008F1B32"/>
    <w:rsid w:val="008F4F6C"/>
    <w:rsid w:val="00900A62"/>
    <w:rsid w:val="009038D4"/>
    <w:rsid w:val="00914327"/>
    <w:rsid w:val="00931524"/>
    <w:rsid w:val="00931741"/>
    <w:rsid w:val="00937335"/>
    <w:rsid w:val="009375FF"/>
    <w:rsid w:val="00943BC6"/>
    <w:rsid w:val="009514F8"/>
    <w:rsid w:val="00960899"/>
    <w:rsid w:val="0096366F"/>
    <w:rsid w:val="00964ACA"/>
    <w:rsid w:val="00965C36"/>
    <w:rsid w:val="009665A8"/>
    <w:rsid w:val="00967D00"/>
    <w:rsid w:val="0097343A"/>
    <w:rsid w:val="00977CAA"/>
    <w:rsid w:val="00980368"/>
    <w:rsid w:val="00990624"/>
    <w:rsid w:val="00993E17"/>
    <w:rsid w:val="009A4C43"/>
    <w:rsid w:val="009B2E12"/>
    <w:rsid w:val="009B67F3"/>
    <w:rsid w:val="009C06D3"/>
    <w:rsid w:val="009C3A86"/>
    <w:rsid w:val="009E6FA8"/>
    <w:rsid w:val="009F411A"/>
    <w:rsid w:val="009F485E"/>
    <w:rsid w:val="00A00101"/>
    <w:rsid w:val="00A00B2A"/>
    <w:rsid w:val="00A010CF"/>
    <w:rsid w:val="00A03C89"/>
    <w:rsid w:val="00A055D8"/>
    <w:rsid w:val="00A05D15"/>
    <w:rsid w:val="00A119F4"/>
    <w:rsid w:val="00A133A6"/>
    <w:rsid w:val="00A143A3"/>
    <w:rsid w:val="00A14DED"/>
    <w:rsid w:val="00A37AB6"/>
    <w:rsid w:val="00A414FD"/>
    <w:rsid w:val="00A4209D"/>
    <w:rsid w:val="00A5685B"/>
    <w:rsid w:val="00A66CB6"/>
    <w:rsid w:val="00A713CB"/>
    <w:rsid w:val="00A77562"/>
    <w:rsid w:val="00A80019"/>
    <w:rsid w:val="00A86BDE"/>
    <w:rsid w:val="00A9632A"/>
    <w:rsid w:val="00A97E2E"/>
    <w:rsid w:val="00AA03AD"/>
    <w:rsid w:val="00AA6C58"/>
    <w:rsid w:val="00AB0F1F"/>
    <w:rsid w:val="00AC19E8"/>
    <w:rsid w:val="00AC30CE"/>
    <w:rsid w:val="00AD3374"/>
    <w:rsid w:val="00AD4C25"/>
    <w:rsid w:val="00AD540B"/>
    <w:rsid w:val="00AD7522"/>
    <w:rsid w:val="00AE760E"/>
    <w:rsid w:val="00AF15EC"/>
    <w:rsid w:val="00AF2A98"/>
    <w:rsid w:val="00B0052F"/>
    <w:rsid w:val="00B12014"/>
    <w:rsid w:val="00B162C2"/>
    <w:rsid w:val="00B16E03"/>
    <w:rsid w:val="00B20C74"/>
    <w:rsid w:val="00B248C8"/>
    <w:rsid w:val="00B26CBA"/>
    <w:rsid w:val="00B26CC3"/>
    <w:rsid w:val="00B32148"/>
    <w:rsid w:val="00B33613"/>
    <w:rsid w:val="00B3367A"/>
    <w:rsid w:val="00B34F2E"/>
    <w:rsid w:val="00B35BD1"/>
    <w:rsid w:val="00B43214"/>
    <w:rsid w:val="00B46B05"/>
    <w:rsid w:val="00B54F50"/>
    <w:rsid w:val="00B63717"/>
    <w:rsid w:val="00B6420D"/>
    <w:rsid w:val="00B67958"/>
    <w:rsid w:val="00B72948"/>
    <w:rsid w:val="00B75DDA"/>
    <w:rsid w:val="00B76C66"/>
    <w:rsid w:val="00B834C8"/>
    <w:rsid w:val="00B84935"/>
    <w:rsid w:val="00B927AA"/>
    <w:rsid w:val="00B9633B"/>
    <w:rsid w:val="00BA014D"/>
    <w:rsid w:val="00BA37C1"/>
    <w:rsid w:val="00BA58D1"/>
    <w:rsid w:val="00BB248D"/>
    <w:rsid w:val="00BB2DE3"/>
    <w:rsid w:val="00BC7082"/>
    <w:rsid w:val="00BC7650"/>
    <w:rsid w:val="00BD23DF"/>
    <w:rsid w:val="00BD478A"/>
    <w:rsid w:val="00BE161C"/>
    <w:rsid w:val="00BE2EAA"/>
    <w:rsid w:val="00BE7D04"/>
    <w:rsid w:val="00BF14FD"/>
    <w:rsid w:val="00BF46FE"/>
    <w:rsid w:val="00BF721F"/>
    <w:rsid w:val="00C03BDA"/>
    <w:rsid w:val="00C13519"/>
    <w:rsid w:val="00C1645E"/>
    <w:rsid w:val="00C21FBB"/>
    <w:rsid w:val="00C2778F"/>
    <w:rsid w:val="00C5093A"/>
    <w:rsid w:val="00C535C2"/>
    <w:rsid w:val="00C63023"/>
    <w:rsid w:val="00C6408B"/>
    <w:rsid w:val="00C72C4C"/>
    <w:rsid w:val="00C75129"/>
    <w:rsid w:val="00C818F9"/>
    <w:rsid w:val="00C8310D"/>
    <w:rsid w:val="00C91D75"/>
    <w:rsid w:val="00C96AFC"/>
    <w:rsid w:val="00CA155C"/>
    <w:rsid w:val="00CA29A7"/>
    <w:rsid w:val="00CA4396"/>
    <w:rsid w:val="00CB2E16"/>
    <w:rsid w:val="00CB6D62"/>
    <w:rsid w:val="00CD0F53"/>
    <w:rsid w:val="00CD5284"/>
    <w:rsid w:val="00CE0D89"/>
    <w:rsid w:val="00CF2F83"/>
    <w:rsid w:val="00CF46C2"/>
    <w:rsid w:val="00D15BE0"/>
    <w:rsid w:val="00D1762B"/>
    <w:rsid w:val="00D2646A"/>
    <w:rsid w:val="00D366B6"/>
    <w:rsid w:val="00D41AD8"/>
    <w:rsid w:val="00D63427"/>
    <w:rsid w:val="00D75F96"/>
    <w:rsid w:val="00D81CCC"/>
    <w:rsid w:val="00D81E2C"/>
    <w:rsid w:val="00DC11FB"/>
    <w:rsid w:val="00DC28E3"/>
    <w:rsid w:val="00DD7890"/>
    <w:rsid w:val="00DE1E98"/>
    <w:rsid w:val="00DE6074"/>
    <w:rsid w:val="00E00FFE"/>
    <w:rsid w:val="00E2492A"/>
    <w:rsid w:val="00E33099"/>
    <w:rsid w:val="00E33688"/>
    <w:rsid w:val="00E352F3"/>
    <w:rsid w:val="00E37856"/>
    <w:rsid w:val="00E416D8"/>
    <w:rsid w:val="00E4347A"/>
    <w:rsid w:val="00E52A8D"/>
    <w:rsid w:val="00E71C94"/>
    <w:rsid w:val="00E71D72"/>
    <w:rsid w:val="00E72B53"/>
    <w:rsid w:val="00E769FF"/>
    <w:rsid w:val="00EA7D58"/>
    <w:rsid w:val="00EB181C"/>
    <w:rsid w:val="00EB38FE"/>
    <w:rsid w:val="00EC1B2B"/>
    <w:rsid w:val="00EF3FBD"/>
    <w:rsid w:val="00EF6353"/>
    <w:rsid w:val="00EF7CF2"/>
    <w:rsid w:val="00F03860"/>
    <w:rsid w:val="00F16951"/>
    <w:rsid w:val="00F31CA5"/>
    <w:rsid w:val="00F32D6A"/>
    <w:rsid w:val="00F37B2B"/>
    <w:rsid w:val="00F45FA0"/>
    <w:rsid w:val="00F46BC2"/>
    <w:rsid w:val="00F55BBB"/>
    <w:rsid w:val="00F72B53"/>
    <w:rsid w:val="00F77A03"/>
    <w:rsid w:val="00F83757"/>
    <w:rsid w:val="00F8437B"/>
    <w:rsid w:val="00F87C62"/>
    <w:rsid w:val="00FA64AE"/>
    <w:rsid w:val="00FC57E4"/>
    <w:rsid w:val="00FD7EF9"/>
    <w:rsid w:val="00FF2176"/>
    <w:rsid w:val="00FF48E1"/>
    <w:rsid w:val="00FF5C44"/>
    <w:rsid w:val="00FF6AC5"/>
    <w:rsid w:val="03EDFE1B"/>
    <w:rsid w:val="4C4B82A2"/>
    <w:rsid w:val="54097E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D432C08"/>
  <w15:chartTrackingRefBased/>
  <w15:docId w15:val="{9759ACE4-6E29-4FB2-9EA1-5B24FA48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698"/>
    <w:rPr>
      <w:sz w:val="24"/>
      <w:szCs w:val="24"/>
    </w:rPr>
  </w:style>
  <w:style w:type="paragraph" w:styleId="Heading1">
    <w:name w:val="heading 1"/>
    <w:basedOn w:val="Normal"/>
    <w:next w:val="BodyText"/>
    <w:link w:val="Heading1Char"/>
    <w:qFormat/>
    <w:rsid w:val="004304F4"/>
    <w:pPr>
      <w:keepNext/>
      <w:overflowPunct w:val="0"/>
      <w:autoSpaceDE w:val="0"/>
      <w:autoSpaceDN w:val="0"/>
      <w:adjustRightInd w:val="0"/>
      <w:spacing w:before="360" w:after="240"/>
      <w:textAlignment w:val="baseline"/>
      <w:outlineLvl w:val="0"/>
    </w:pPr>
    <w:rPr>
      <w:rFonts w:ascii="Arial" w:eastAsia="Malgun Gothic" w:hAnsi="Arial"/>
      <w:b/>
      <w:caps/>
      <w:kern w:val="28"/>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CFA"/>
    <w:pPr>
      <w:tabs>
        <w:tab w:val="center" w:pos="4320"/>
        <w:tab w:val="right" w:pos="8640"/>
      </w:tabs>
    </w:pPr>
  </w:style>
  <w:style w:type="character" w:styleId="PageNumber">
    <w:name w:val="page number"/>
    <w:basedOn w:val="DefaultParagraphFont"/>
    <w:rsid w:val="00832CFA"/>
  </w:style>
  <w:style w:type="paragraph" w:styleId="FootnoteText">
    <w:name w:val="footnote text"/>
    <w:aliases w:val="MC-PRE,MC-PRE Footnote Text,NCS 12 point"/>
    <w:basedOn w:val="Normal"/>
    <w:link w:val="FootnoteTextChar"/>
    <w:uiPriority w:val="99"/>
    <w:rsid w:val="00803FDB"/>
    <w:rPr>
      <w:sz w:val="20"/>
      <w:szCs w:val="20"/>
    </w:rPr>
  </w:style>
  <w:style w:type="character" w:styleId="FootnoteReference">
    <w:name w:val="footnote reference"/>
    <w:aliases w:val="Footd,MC-PRE Footnote Reference"/>
    <w:uiPriority w:val="99"/>
    <w:qFormat/>
    <w:rsid w:val="00803FDB"/>
    <w:rPr>
      <w:vertAlign w:val="superscript"/>
    </w:rPr>
  </w:style>
  <w:style w:type="paragraph" w:styleId="Footer">
    <w:name w:val="footer"/>
    <w:basedOn w:val="Normal"/>
    <w:link w:val="FooterChar"/>
    <w:uiPriority w:val="99"/>
    <w:rsid w:val="00B162C2"/>
    <w:pPr>
      <w:tabs>
        <w:tab w:val="center" w:pos="4320"/>
        <w:tab w:val="right" w:pos="8640"/>
      </w:tabs>
    </w:pPr>
  </w:style>
  <w:style w:type="paragraph" w:styleId="BalloonText">
    <w:name w:val="Balloon Text"/>
    <w:basedOn w:val="Normal"/>
    <w:semiHidden/>
    <w:rsid w:val="0024260B"/>
    <w:rPr>
      <w:rFonts w:ascii="Tahoma" w:hAnsi="Tahoma" w:cs="Tahoma"/>
      <w:sz w:val="16"/>
      <w:szCs w:val="16"/>
    </w:rPr>
  </w:style>
  <w:style w:type="character" w:styleId="Hyperlink">
    <w:name w:val="Hyperlink"/>
    <w:uiPriority w:val="99"/>
    <w:rsid w:val="00B67958"/>
    <w:rPr>
      <w:color w:val="0000FF"/>
      <w:u w:val="single"/>
    </w:rPr>
  </w:style>
  <w:style w:type="character" w:styleId="FollowedHyperlink">
    <w:name w:val="FollowedHyperlink"/>
    <w:rsid w:val="00A414FD"/>
    <w:rPr>
      <w:color w:val="800080"/>
      <w:u w:val="single"/>
    </w:rPr>
  </w:style>
  <w:style w:type="character" w:styleId="CommentReference">
    <w:name w:val="annotation reference"/>
    <w:rsid w:val="00F31CA5"/>
    <w:rPr>
      <w:sz w:val="16"/>
      <w:szCs w:val="16"/>
    </w:rPr>
  </w:style>
  <w:style w:type="paragraph" w:styleId="CommentText">
    <w:name w:val="annotation text"/>
    <w:basedOn w:val="Normal"/>
    <w:link w:val="CommentTextChar"/>
    <w:rsid w:val="00F31CA5"/>
    <w:rPr>
      <w:sz w:val="20"/>
      <w:szCs w:val="20"/>
    </w:rPr>
  </w:style>
  <w:style w:type="character" w:customStyle="1" w:styleId="CommentTextChar">
    <w:name w:val="Comment Text Char"/>
    <w:basedOn w:val="DefaultParagraphFont"/>
    <w:link w:val="CommentText"/>
    <w:rsid w:val="00F31CA5"/>
  </w:style>
  <w:style w:type="paragraph" w:styleId="CommentSubject">
    <w:name w:val="annotation subject"/>
    <w:basedOn w:val="CommentText"/>
    <w:next w:val="CommentText"/>
    <w:link w:val="CommentSubjectChar"/>
    <w:rsid w:val="00F31CA5"/>
    <w:rPr>
      <w:b/>
      <w:bCs/>
    </w:rPr>
  </w:style>
  <w:style w:type="character" w:customStyle="1" w:styleId="CommentSubjectChar">
    <w:name w:val="Comment Subject Char"/>
    <w:link w:val="CommentSubject"/>
    <w:rsid w:val="00F31CA5"/>
    <w:rPr>
      <w:b/>
      <w:bCs/>
    </w:rPr>
  </w:style>
  <w:style w:type="character" w:customStyle="1" w:styleId="FootnoteTextChar">
    <w:name w:val="Footnote Text Char"/>
    <w:aliases w:val="MC-PRE Char,MC-PRE Footnote Text Char,NCS 12 point Char"/>
    <w:link w:val="FootnoteText"/>
    <w:uiPriority w:val="99"/>
    <w:rsid w:val="00707B46"/>
  </w:style>
  <w:style w:type="character" w:customStyle="1" w:styleId="Heading1Char">
    <w:name w:val="Heading 1 Char"/>
    <w:link w:val="Heading1"/>
    <w:rsid w:val="004304F4"/>
    <w:rPr>
      <w:rFonts w:ascii="Arial" w:eastAsia="Malgun Gothic" w:hAnsi="Arial"/>
      <w:b/>
      <w:caps/>
      <w:kern w:val="28"/>
      <w:sz w:val="30"/>
    </w:rPr>
  </w:style>
  <w:style w:type="paragraph" w:customStyle="1" w:styleId="TitlePageTitleFormat">
    <w:name w:val="Title Page Title Format"/>
    <w:basedOn w:val="Normal"/>
    <w:rsid w:val="004304F4"/>
    <w:pPr>
      <w:framePr w:w="4320" w:h="2737" w:hRule="exact" w:hSpace="187" w:wrap="notBeside" w:vAnchor="page" w:hAnchor="page" w:xAlign="center" w:y="4321" w:anchorLock="1"/>
      <w:overflowPunct w:val="0"/>
      <w:autoSpaceDE w:val="0"/>
      <w:autoSpaceDN w:val="0"/>
      <w:adjustRightInd w:val="0"/>
      <w:spacing w:before="120" w:after="120"/>
      <w:jc w:val="center"/>
      <w:textAlignment w:val="baseline"/>
    </w:pPr>
    <w:rPr>
      <w:rFonts w:ascii="Arial" w:eastAsia="Malgun Gothic" w:hAnsi="Arial"/>
      <w:b/>
      <w:caps/>
      <w:sz w:val="36"/>
      <w:szCs w:val="20"/>
    </w:rPr>
  </w:style>
  <w:style w:type="paragraph" w:styleId="BodyText">
    <w:name w:val="Body Text"/>
    <w:basedOn w:val="Normal"/>
    <w:link w:val="BodyTextChar"/>
    <w:rsid w:val="004304F4"/>
    <w:pPr>
      <w:spacing w:after="120"/>
    </w:pPr>
  </w:style>
  <w:style w:type="character" w:customStyle="1" w:styleId="BodyTextChar">
    <w:name w:val="Body Text Char"/>
    <w:link w:val="BodyText"/>
    <w:rsid w:val="004304F4"/>
    <w:rPr>
      <w:sz w:val="24"/>
      <w:szCs w:val="24"/>
    </w:rPr>
  </w:style>
  <w:style w:type="character" w:styleId="Mention">
    <w:name w:val="Mention"/>
    <w:uiPriority w:val="99"/>
    <w:semiHidden/>
    <w:unhideWhenUsed/>
    <w:rsid w:val="00762992"/>
    <w:rPr>
      <w:color w:val="2B579A"/>
      <w:shd w:val="clear" w:color="auto" w:fill="E6E6E6"/>
    </w:rPr>
  </w:style>
  <w:style w:type="character" w:customStyle="1" w:styleId="FooterChar">
    <w:name w:val="Footer Char"/>
    <w:link w:val="Footer"/>
    <w:uiPriority w:val="99"/>
    <w:rsid w:val="009B2E12"/>
    <w:rPr>
      <w:sz w:val="24"/>
      <w:szCs w:val="24"/>
    </w:rPr>
  </w:style>
  <w:style w:type="character" w:customStyle="1" w:styleId="UnresolvedMention1">
    <w:name w:val="Unresolved Mention1"/>
    <w:basedOn w:val="DefaultParagraphFont"/>
    <w:uiPriority w:val="99"/>
    <w:semiHidden/>
    <w:unhideWhenUsed/>
    <w:rsid w:val="007602D4"/>
    <w:rPr>
      <w:color w:val="808080"/>
      <w:shd w:val="clear" w:color="auto" w:fill="E6E6E6"/>
    </w:rPr>
  </w:style>
  <w:style w:type="paragraph" w:styleId="NormalWeb">
    <w:name w:val="Normal (Web)"/>
    <w:basedOn w:val="Normal"/>
    <w:rsid w:val="00BA37C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A37AB6"/>
    <w:rPr>
      <w:sz w:val="24"/>
      <w:szCs w:val="24"/>
    </w:rPr>
  </w:style>
  <w:style w:type="paragraph" w:styleId="ListParagraph">
    <w:name w:val="List Paragraph"/>
    <w:aliases w:val="2,Bullet 1,Bullet Points,Bullet Style,Colorful List - Accent 11,Dot pt,F5 List Paragraph,Indicator Text,List Paragraph Char Char Char,List Paragraph1,List Paragraph11,List Paragraph2,No Spacing1,Normal numbered,Numbered Para 1,OBC Bullet"/>
    <w:basedOn w:val="Normal"/>
    <w:link w:val="ListParagraphChar"/>
    <w:uiPriority w:val="34"/>
    <w:qFormat/>
    <w:rsid w:val="00595E09"/>
    <w:pPr>
      <w:ind w:left="720"/>
      <w:contextualSpacing/>
    </w:pPr>
  </w:style>
  <w:style w:type="character" w:customStyle="1" w:styleId="ListParagraphChar">
    <w:name w:val="List Paragraph Char"/>
    <w:aliases w:val="2 Char,Bullet 1 Char,Bullet Points Char,Bullet Style Char,Colorful List - Accent 11 Char,Dot pt Char,F5 List Paragraph Char,Indicator Text Char,List Paragraph Char Char Char Char,List Paragraph1 Char,List Paragraph11 Char"/>
    <w:basedOn w:val="DefaultParagraphFont"/>
    <w:link w:val="ListParagraph"/>
    <w:uiPriority w:val="34"/>
    <w:rsid w:val="00595E09"/>
    <w:rPr>
      <w:sz w:val="24"/>
      <w:szCs w:val="24"/>
    </w:rPr>
  </w:style>
  <w:style w:type="paragraph" w:customStyle="1" w:styleId="Default">
    <w:name w:val="Default"/>
    <w:rsid w:val="007100D3"/>
    <w:pPr>
      <w:autoSpaceDE w:val="0"/>
      <w:autoSpaceDN w:val="0"/>
      <w:adjustRightInd w:val="0"/>
    </w:pPr>
    <w:rPr>
      <w:rFonts w:ascii="Arial Narrow" w:hAnsi="Arial Narrow" w:cs="Arial Narrow"/>
      <w:color w:val="000000"/>
      <w:sz w:val="24"/>
      <w:szCs w:val="24"/>
    </w:rPr>
  </w:style>
  <w:style w:type="table" w:styleId="PlainTable2">
    <w:name w:val="Plain Table 2"/>
    <w:basedOn w:val="TableNormal"/>
    <w:uiPriority w:val="42"/>
    <w:rsid w:val="007100D3"/>
    <w:pPr>
      <w:spacing w:before="40" w:after="40" w:line="276" w:lineRule="auto"/>
      <w:contextualSpacing/>
    </w:pPr>
    <w:rPr>
      <w:rFonts w:asciiTheme="minorHAnsi" w:eastAsiaTheme="minorHAnsi" w:hAnsiTheme="minorHAnsi" w:cstheme="minorBidi"/>
      <w:sz w:val="18"/>
      <w:szCs w:val="22"/>
    </w:rPr>
    <w:tblPr>
      <w:tblStyleRowBandSize w:val="1"/>
      <w:tblStyleColBandSize w:val="1"/>
      <w:tblCellMar>
        <w:left w:w="115" w:type="dxa"/>
        <w:bottom w:w="72" w:type="dxa"/>
        <w:right w:w="115" w:type="dxa"/>
      </w:tblCellMar>
    </w:tblPr>
    <w:tblStylePr w:type="firstRow">
      <w:pPr>
        <w:wordWrap/>
        <w:spacing w:before="120" w:beforeLines="0" w:beforeAutospacing="0" w:after="40" w:afterLines="0" w:afterAutospacing="0" w:line="276" w:lineRule="auto"/>
        <w:contextualSpacing/>
      </w:pPr>
      <w:rPr>
        <w:rFonts w:asciiTheme="majorHAnsi" w:hAnsiTheme="majorHAnsi"/>
        <w:b w:val="0"/>
        <w:bCs/>
        <w:sz w:val="18"/>
      </w:rPr>
      <w:tblPr/>
      <w:trPr>
        <w:tblHeader/>
      </w:trPr>
      <w:tcPr>
        <w:tcBorders>
          <w:bottom w:val="single" w:sz="4" w:space="0" w:color="7F7F7F" w:themeColor="text1" w:themeTint="80"/>
        </w:tcBorders>
        <w:vAlign w:val="bottom"/>
      </w:tcPr>
    </w:tblStylePr>
    <w:tblStylePr w:type="lastRow">
      <w:rPr>
        <w:rFonts w:asciiTheme="majorHAnsi" w:hAnsiTheme="majorHAnsi"/>
        <w:b w:val="0"/>
        <w:bCs/>
        <w:sz w:val="18"/>
      </w:rPr>
      <w:tblPr/>
      <w:tcPr>
        <w:tcBorders>
          <w:top w:val="single" w:sz="4" w:space="0" w:color="7F7F7F" w:themeColor="text1" w:themeTint="80"/>
        </w:tcBorders>
      </w:tcPr>
    </w:tblStylePr>
    <w:tblStylePr w:type="firstCol">
      <w:rPr>
        <w:rFonts w:asciiTheme="majorHAnsi" w:hAnsiTheme="majorHAnsi"/>
        <w:b w:val="0"/>
        <w:bCs/>
        <w:sz w:val="18"/>
      </w:rPr>
    </w:tblStylePr>
    <w:tblStylePr w:type="lastCol">
      <w:rPr>
        <w:b/>
        <w:bCs/>
        <w:sz w:val="18"/>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pPr>
        <w:wordWrap/>
        <w:spacing w:before="40" w:beforeLines="0" w:beforeAutospacing="0" w:after="80" w:afterLines="0" w:afterAutospacing="0" w:line="276" w:lineRule="auto"/>
        <w:contextualSpacing/>
      </w:pPr>
      <w:rPr>
        <w:sz w:val="18"/>
      </w:rPr>
      <w:tblPr/>
      <w:tcPr>
        <w:tcBorders>
          <w:top w:val="single" w:sz="4" w:space="0" w:color="7F7F7F" w:themeColor="text1" w:themeTint="80"/>
          <w:bottom w:val="single" w:sz="4" w:space="0" w:color="7F7F7F" w:themeColor="text1" w:themeTint="80"/>
        </w:tcBorders>
      </w:tcPr>
    </w:tblStylePr>
    <w:tblStylePr w:type="band2Horz">
      <w:pPr>
        <w:wordWrap/>
        <w:contextualSpacing/>
      </w:pPr>
      <w:rPr>
        <w:sz w:val="18"/>
      </w:rPr>
    </w:tblStylePr>
  </w:style>
  <w:style w:type="paragraph" w:styleId="Title">
    <w:name w:val="Title"/>
    <w:basedOn w:val="Normal"/>
    <w:next w:val="Normal"/>
    <w:link w:val="TitleChar"/>
    <w:qFormat/>
    <w:rsid w:val="004963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63D2"/>
    <w:rPr>
      <w:rFonts w:asciiTheme="majorHAnsi" w:eastAsiaTheme="majorEastAsia" w:hAnsiTheme="majorHAnsi" w:cstheme="majorBidi"/>
      <w:spacing w:val="-10"/>
      <w:kern w:val="28"/>
      <w:sz w:val="56"/>
      <w:szCs w:val="56"/>
    </w:rPr>
  </w:style>
  <w:style w:type="character" w:customStyle="1" w:styleId="cf01">
    <w:name w:val="cf01"/>
    <w:basedOn w:val="DefaultParagraphFont"/>
    <w:rsid w:val="009514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C6FD-0997-4D02-B33D-71EB8B69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2717</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alie.langhorst</dc:creator>
  <cp:lastModifiedBy>Toone, Kim (OST)</cp:lastModifiedBy>
  <cp:revision>3</cp:revision>
  <cp:lastPrinted>2018-01-10T01:16:00Z</cp:lastPrinted>
  <dcterms:created xsi:type="dcterms:W3CDTF">2024-05-08T11:40:00Z</dcterms:created>
  <dcterms:modified xsi:type="dcterms:W3CDTF">2024-05-08T11:40:00Z</dcterms:modified>
</cp:coreProperties>
</file>