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7B67716A" w:rsidRPr="00082F53" w:rsidP="14B21E63" w14:paraId="7A5AA043" w14:textId="51BAC0AF">
      <w:pPr>
        <w:jc w:val="both"/>
        <w:rPr>
          <w:rFonts w:eastAsia="Calibri" w:cstheme="minorHAnsi"/>
          <w:sz w:val="24"/>
          <w:szCs w:val="24"/>
        </w:rPr>
      </w:pPr>
      <w:r w:rsidRPr="00082F53">
        <w:rPr>
          <w:rFonts w:eastAsia="Times New Roman" w:cstheme="minorHAnsi"/>
          <w:b/>
          <w:bCs/>
          <w:sz w:val="24"/>
          <w:szCs w:val="24"/>
        </w:rPr>
        <w:t xml:space="preserve">Under the Paperwork Reduction Act, a federal agency may not conduct or sponsor, and a person is not required to respond to collection of information subject to the requirements of the Paperwork Reduction Act unless that collection of information displays a current valid OMB Control number. The OMB Control Number for this information collection is </w:t>
      </w:r>
      <w:r w:rsidRPr="00082F53">
        <w:rPr>
          <w:rFonts w:eastAsia="Times New Roman" w:cstheme="minorHAnsi"/>
          <w:b/>
          <w:bCs/>
          <w:sz w:val="24"/>
          <w:szCs w:val="24"/>
          <w:highlight w:val="yellow"/>
        </w:rPr>
        <w:t>xxxx-xxxx</w:t>
      </w:r>
      <w:r w:rsidRPr="00082F53">
        <w:rPr>
          <w:rFonts w:eastAsia="Times New Roman" w:cstheme="minorHAnsi"/>
          <w:b/>
          <w:bCs/>
          <w:sz w:val="24"/>
          <w:szCs w:val="24"/>
        </w:rPr>
        <w:t xml:space="preserve"> (expiration date: </w:t>
      </w:r>
      <w:r w:rsidRPr="00082F53">
        <w:rPr>
          <w:rFonts w:eastAsia="Times New Roman" w:cstheme="minorHAnsi"/>
          <w:b/>
          <w:bCs/>
          <w:sz w:val="24"/>
          <w:szCs w:val="24"/>
          <w:highlight w:val="yellow"/>
        </w:rPr>
        <w:t>MM/DD/YYYY</w:t>
      </w:r>
      <w:r w:rsidRPr="00082F53">
        <w:rPr>
          <w:rFonts w:eastAsia="Times New Roman" w:cstheme="minorHAnsi"/>
          <w:b/>
          <w:bCs/>
          <w:sz w:val="24"/>
          <w:szCs w:val="24"/>
        </w:rPr>
        <w:t xml:space="preserve">). Public reporting for this collection of information is estimated to be approximately </w:t>
      </w:r>
      <w:r w:rsidRPr="00082F53" w:rsidR="61C2969D">
        <w:rPr>
          <w:rFonts w:eastAsia="Times New Roman" w:cstheme="minorHAnsi"/>
          <w:b/>
          <w:bCs/>
          <w:sz w:val="24"/>
          <w:szCs w:val="24"/>
        </w:rPr>
        <w:t>2</w:t>
      </w:r>
      <w:r w:rsidRPr="00082F53">
        <w:rPr>
          <w:rFonts w:eastAsia="Times New Roman" w:cstheme="minorHAnsi"/>
          <w:b/>
          <w:bCs/>
          <w:sz w:val="24"/>
          <w:szCs w:val="24"/>
        </w:rPr>
        <w:t xml:space="preserve"> minutes per response, including the time for reviewing instructions, completing</w:t>
      </w:r>
      <w:r w:rsidRPr="00082F53" w:rsidR="7D0341CB">
        <w:rPr>
          <w:rFonts w:eastAsia="Times New Roman" w:cstheme="minorHAnsi"/>
          <w:b/>
          <w:bCs/>
          <w:sz w:val="24"/>
          <w:szCs w:val="24"/>
        </w:rPr>
        <w:t>,</w:t>
      </w:r>
      <w:r w:rsidRPr="00082F53">
        <w:rPr>
          <w:rFonts w:eastAsia="Times New Roman" w:cstheme="minorHAnsi"/>
          <w:b/>
          <w:bCs/>
          <w:sz w:val="24"/>
          <w:szCs w:val="24"/>
        </w:rPr>
        <w:t xml:space="preserve"> and reviewing the collection of information. 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165F5D" w:rsidRPr="00082F53" w:rsidP="3B97F114" w14:paraId="018B99B3" w14:textId="4D5D8435">
      <w:pPr>
        <w:jc w:val="center"/>
        <w:rPr>
          <w:rFonts w:eastAsia="Calibri" w:cstheme="minorHAnsi"/>
          <w:sz w:val="24"/>
          <w:szCs w:val="24"/>
        </w:rPr>
      </w:pPr>
      <w:r w:rsidRPr="00082F53">
        <w:rPr>
          <w:rFonts w:eastAsia="Calibri" w:cstheme="minorHAnsi"/>
          <w:b/>
          <w:bCs/>
          <w:sz w:val="24"/>
          <w:szCs w:val="24"/>
          <w:u w:val="single"/>
        </w:rPr>
        <w:t>Trust Scale</w:t>
      </w:r>
    </w:p>
    <w:p w:rsidR="007F0D66" w:rsidRPr="007F0D66" w:rsidP="007F0D66" w14:paraId="645F032A" w14:textId="5165F17D">
      <w:pPr>
        <w:rPr>
          <w:rFonts w:eastAsia="Calibri" w:cstheme="minorHAnsi"/>
          <w:sz w:val="24"/>
          <w:szCs w:val="24"/>
        </w:rPr>
      </w:pPr>
      <w:r w:rsidRPr="007F0D66">
        <w:rPr>
          <w:rFonts w:eastAsia="Calibri" w:cstheme="minorHAnsi"/>
          <w:sz w:val="24"/>
          <w:szCs w:val="24"/>
        </w:rPr>
        <w:t>Below is a list of statements for evaluating trust between people and automation. There are several scales for you to rate the intensity of your feeling of trust, or your impression of the system while operating a machine. Please select the value (</w:t>
      </w:r>
      <w:r w:rsidRPr="007F0D66">
        <w:rPr>
          <w:rFonts w:eastAsia="Calibri" w:cstheme="minorHAnsi"/>
          <w:i/>
          <w:iCs/>
          <w:sz w:val="24"/>
          <w:szCs w:val="24"/>
        </w:rPr>
        <w:t>1 – Not at all</w:t>
      </w:r>
      <w:r w:rsidRPr="007F0D66">
        <w:rPr>
          <w:rFonts w:eastAsia="Calibri" w:cstheme="minorHAnsi"/>
          <w:sz w:val="24"/>
          <w:szCs w:val="24"/>
        </w:rPr>
        <w:t xml:space="preserve"> through </w:t>
      </w:r>
      <w:r w:rsidRPr="007F0D66">
        <w:rPr>
          <w:rFonts w:eastAsia="Calibri" w:cstheme="minorHAnsi"/>
          <w:i/>
          <w:iCs/>
          <w:sz w:val="24"/>
          <w:szCs w:val="24"/>
        </w:rPr>
        <w:t>7 - Extremely</w:t>
      </w:r>
      <w:r w:rsidRPr="007F0D66">
        <w:rPr>
          <w:rFonts w:eastAsia="Calibri" w:cstheme="minorHAnsi"/>
          <w:sz w:val="24"/>
          <w:szCs w:val="24"/>
        </w:rPr>
        <w:t>) that best describes your feeling or your impression.</w:t>
      </w:r>
    </w:p>
    <w:p w:rsidR="007F0D66" w:rsidRPr="007F0D66" w:rsidP="007F0D66" w14:paraId="2C0957D2" w14:textId="2D2DCEDE">
      <w:pPr>
        <w:rPr>
          <w:rFonts w:eastAsia="Calibri" w:cstheme="minorHAnsi"/>
          <w:sz w:val="24"/>
          <w:szCs w:val="24"/>
        </w:rPr>
      </w:pPr>
      <w:r w:rsidRPr="007F0D66">
        <w:rPr>
          <w:rFonts w:eastAsia="Calibri" w:cstheme="minorHAnsi"/>
          <w:sz w:val="24"/>
          <w:szCs w:val="24"/>
        </w:rPr>
        <w:t xml:space="preserve">Scale: </w:t>
      </w:r>
      <w:r w:rsidRPr="007F0D66">
        <w:rPr>
          <w:rFonts w:eastAsia="Calibri" w:cstheme="minorHAnsi"/>
          <w:i/>
          <w:iCs/>
          <w:sz w:val="24"/>
          <w:szCs w:val="24"/>
        </w:rPr>
        <w:t>(Not at all) 1-2-3-4-5-6-7 (Extremely)</w:t>
      </w:r>
    </w:p>
    <w:p w:rsidR="007F0D66" w:rsidRPr="007F0D66" w:rsidP="007F0D66" w14:paraId="7D7AECE6" w14:textId="28C6A375">
      <w:pPr>
        <w:rPr>
          <w:rFonts w:eastAsia="Calibri" w:cstheme="minorHAnsi"/>
          <w:sz w:val="24"/>
          <w:szCs w:val="24"/>
        </w:rPr>
      </w:pPr>
      <w:r w:rsidRPr="007F0D66">
        <w:rPr>
          <w:rFonts w:eastAsia="Calibri" w:cstheme="minorHAnsi"/>
          <w:sz w:val="24"/>
          <w:szCs w:val="24"/>
          <w:highlight w:val="yellow"/>
        </w:rPr>
        <w:t>Define the system to which they were randomly assigned.</w:t>
      </w:r>
    </w:p>
    <w:p w:rsidR="00165F5D" w:rsidRPr="00082F53" w:rsidP="14B21E63" w14:paraId="08377321" w14:textId="207BCA92">
      <w:pPr>
        <w:rPr>
          <w:rFonts w:eastAsia="Calibri" w:cstheme="minorHAnsi"/>
          <w:sz w:val="24"/>
          <w:szCs w:val="24"/>
        </w:rPr>
      </w:pPr>
      <w:r w:rsidRPr="00082F53">
        <w:rPr>
          <w:rFonts w:eastAsia="Calibri" w:cstheme="minorHAnsi"/>
          <w:sz w:val="24"/>
          <w:szCs w:val="24"/>
          <w:u w:val="single"/>
        </w:rPr>
        <w:t xml:space="preserve">Situational: After each </w:t>
      </w:r>
      <w:r w:rsidRPr="00082F53" w:rsidR="037C3141">
        <w:rPr>
          <w:rFonts w:eastAsia="Calibri" w:cstheme="minorHAnsi"/>
          <w:sz w:val="24"/>
          <w:szCs w:val="24"/>
          <w:u w:val="single"/>
        </w:rPr>
        <w:t>scenario event</w:t>
      </w:r>
    </w:p>
    <w:p w:rsidR="00165F5D" w:rsidRPr="00082F53" w:rsidP="3B97F114" w14:paraId="4AB0D8A7" w14:textId="52782FF3">
      <w:pPr>
        <w:pStyle w:val="ListParagraph"/>
        <w:numPr>
          <w:ilvl w:val="0"/>
          <w:numId w:val="1"/>
        </w:numPr>
        <w:rPr>
          <w:rFonts w:eastAsia="Calibri" w:cstheme="minorHAnsi"/>
          <w:sz w:val="24"/>
          <w:szCs w:val="24"/>
        </w:rPr>
      </w:pPr>
      <w:r w:rsidRPr="00082F53">
        <w:rPr>
          <w:rFonts w:eastAsia="Calibri" w:cstheme="minorHAnsi"/>
          <w:sz w:val="24"/>
          <w:szCs w:val="24"/>
        </w:rPr>
        <w:t>I trust the automated vehicle in this situation</w:t>
      </w:r>
    </w:p>
    <w:p w:rsidR="00165F5D" w:rsidRPr="00082F53" w:rsidP="3B97F114" w14:paraId="2D5ED698" w14:textId="4D618CE4">
      <w:pPr>
        <w:pStyle w:val="ListParagraph"/>
        <w:numPr>
          <w:ilvl w:val="0"/>
          <w:numId w:val="1"/>
        </w:numPr>
        <w:rPr>
          <w:rFonts w:eastAsia="Calibri" w:cstheme="minorHAnsi"/>
          <w:sz w:val="24"/>
          <w:szCs w:val="24"/>
        </w:rPr>
      </w:pPr>
      <w:r w:rsidRPr="00082F53">
        <w:rPr>
          <w:rFonts w:eastAsia="Calibri" w:cstheme="minorHAnsi"/>
          <w:sz w:val="24"/>
          <w:szCs w:val="24"/>
        </w:rPr>
        <w:t>I would have performed better than the automated vehicle in this situation</w:t>
      </w:r>
    </w:p>
    <w:p w:rsidR="00165F5D" w:rsidRPr="00082F53" w:rsidP="3B97F114" w14:paraId="334CC1A7" w14:textId="21BC9C71">
      <w:pPr>
        <w:pStyle w:val="ListParagraph"/>
        <w:numPr>
          <w:ilvl w:val="0"/>
          <w:numId w:val="1"/>
        </w:numPr>
        <w:rPr>
          <w:rFonts w:eastAsia="Calibri" w:cstheme="minorHAnsi"/>
          <w:sz w:val="24"/>
          <w:szCs w:val="24"/>
        </w:rPr>
      </w:pPr>
      <w:r w:rsidRPr="00082F53">
        <w:rPr>
          <w:rFonts w:eastAsia="Calibri" w:cstheme="minorHAnsi"/>
          <w:sz w:val="24"/>
          <w:szCs w:val="24"/>
        </w:rPr>
        <w:t>In this situation, the automated vehicle performs well enough for me to engage in other activities (such as reading)</w:t>
      </w:r>
    </w:p>
    <w:p w:rsidR="00165F5D" w:rsidRPr="00082F53" w:rsidP="3B97F114" w14:paraId="7372396C" w14:textId="1383D7C5">
      <w:pPr>
        <w:pStyle w:val="ListParagraph"/>
        <w:numPr>
          <w:ilvl w:val="0"/>
          <w:numId w:val="1"/>
        </w:numPr>
        <w:rPr>
          <w:rFonts w:eastAsia="Calibri" w:cstheme="minorHAnsi"/>
          <w:sz w:val="24"/>
          <w:szCs w:val="24"/>
        </w:rPr>
      </w:pPr>
      <w:r w:rsidRPr="00082F53">
        <w:rPr>
          <w:rFonts w:eastAsia="Calibri" w:cstheme="minorHAnsi"/>
          <w:sz w:val="24"/>
          <w:szCs w:val="24"/>
        </w:rPr>
        <w:t>The situation was risky</w:t>
      </w:r>
    </w:p>
    <w:p w:rsidR="00165F5D" w:rsidRPr="00082F53" w:rsidP="3B97F114" w14:paraId="61A03519" w14:textId="13FE4CEB">
      <w:pPr>
        <w:pStyle w:val="ListParagraph"/>
        <w:numPr>
          <w:ilvl w:val="0"/>
          <w:numId w:val="1"/>
        </w:numPr>
        <w:rPr>
          <w:rFonts w:eastAsia="Calibri" w:cstheme="minorHAnsi"/>
          <w:sz w:val="24"/>
          <w:szCs w:val="24"/>
        </w:rPr>
      </w:pPr>
      <w:r w:rsidRPr="00082F53">
        <w:rPr>
          <w:rFonts w:eastAsia="Calibri" w:cstheme="minorHAnsi"/>
          <w:sz w:val="24"/>
          <w:szCs w:val="24"/>
        </w:rPr>
        <w:t>The automated vehicle made an unsafe judgement in this situation</w:t>
      </w:r>
    </w:p>
    <w:p w:rsidR="00165F5D" w:rsidRPr="00082F53" w:rsidP="14B21E63" w14:paraId="2C078E63" w14:textId="23B9C6CE">
      <w:pPr>
        <w:pStyle w:val="ListParagraph"/>
        <w:numPr>
          <w:ilvl w:val="0"/>
          <w:numId w:val="1"/>
        </w:numPr>
        <w:rPr>
          <w:rFonts w:eastAsia="Calibri" w:cstheme="minorHAnsi"/>
          <w:sz w:val="24"/>
          <w:szCs w:val="24"/>
        </w:rPr>
      </w:pPr>
      <w:r w:rsidRPr="00082F53">
        <w:rPr>
          <w:rFonts w:eastAsia="Calibri" w:cstheme="minorHAnsi"/>
          <w:sz w:val="24"/>
          <w:szCs w:val="24"/>
        </w:rPr>
        <w:t>The automated vehicle reacted appropriately to the environment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16B892"/>
    <w:multiLevelType w:val="hybridMultilevel"/>
    <w:tmpl w:val="D5DCE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39602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0B132B"/>
    <w:rsid w:val="00082F53"/>
    <w:rsid w:val="00165F5D"/>
    <w:rsid w:val="007F0D66"/>
    <w:rsid w:val="037C3141"/>
    <w:rsid w:val="0FDC50FA"/>
    <w:rsid w:val="14B21E63"/>
    <w:rsid w:val="2E99CC94"/>
    <w:rsid w:val="3B97F114"/>
    <w:rsid w:val="411B5D2B"/>
    <w:rsid w:val="4BDE4E51"/>
    <w:rsid w:val="4D3D8488"/>
    <w:rsid w:val="4E81362B"/>
    <w:rsid w:val="524EE1F1"/>
    <w:rsid w:val="61C2969D"/>
    <w:rsid w:val="63A4E759"/>
    <w:rsid w:val="640B782F"/>
    <w:rsid w:val="6441155A"/>
    <w:rsid w:val="6F2EC392"/>
    <w:rsid w:val="710B132B"/>
    <w:rsid w:val="7B67716A"/>
    <w:rsid w:val="7D0341CB"/>
    <w:rsid w:val="7E9F122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10B132B"/>
  <w15:chartTrackingRefBased/>
  <w15:docId w15:val="{29EB8528-C6DE-42C6-9CC3-BA9B5C0B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de76cc2-818a-4aa9-b629-cd27f3f0d72a">
      <Terms xmlns="http://schemas.microsoft.com/office/infopath/2007/PartnerControls"/>
    </lcf76f155ced4ddcb4097134ff3c332f>
    <TaxCatchAll xmlns="a2d580ed-e60b-4601-bd95-212988921ab1"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F0225FA1EF8A4EA7FBB0F980EB2729" ma:contentTypeVersion="16" ma:contentTypeDescription="Create a new document." ma:contentTypeScope="" ma:versionID="ca702d1e19267885fa98303ac60f4944">
  <xsd:schema xmlns:xsd="http://www.w3.org/2001/XMLSchema" xmlns:xs="http://www.w3.org/2001/XMLSchema" xmlns:p="http://schemas.microsoft.com/office/2006/metadata/properties" xmlns:ns1="http://schemas.microsoft.com/sharepoint/v3" xmlns:ns2="ade76cc2-818a-4aa9-b629-cd27f3f0d72a" xmlns:ns3="a2d580ed-e60b-4601-bd95-212988921ab1" targetNamespace="http://schemas.microsoft.com/office/2006/metadata/properties" ma:root="true" ma:fieldsID="bb004cc616aaf8779a228b850e272a6c" ns1:_="" ns2:_="" ns3:_="">
    <xsd:import namespace="http://schemas.microsoft.com/sharepoint/v3"/>
    <xsd:import namespace="ade76cc2-818a-4aa9-b629-cd27f3f0d72a"/>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76cc2-818a-4aa9-b629-cd27f3f0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ac1ce5a-b7a3-4c49-8e3e-736187549be4}" ma:internalName="TaxCatchAll" ma:showField="CatchAllData" ma:web="a2d580ed-e60b-4601-bd95-212988921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445398-F38B-40B3-AC7E-77494F318FC8}">
  <ds:schemaRefs>
    <ds:schemaRef ds:uri="http://schemas.microsoft.com/office/2006/metadata/properties"/>
    <ds:schemaRef ds:uri="http://schemas.microsoft.com/office/infopath/2007/PartnerControls"/>
    <ds:schemaRef ds:uri="ad9c1008-c37d-473e-95ed-fe90e4ac7833"/>
    <ds:schemaRef ds:uri="b74686c9-d763-4bad-a184-6b1621512f00"/>
  </ds:schemaRefs>
</ds:datastoreItem>
</file>

<file path=customXml/itemProps2.xml><?xml version="1.0" encoding="utf-8"?>
<ds:datastoreItem xmlns:ds="http://schemas.openxmlformats.org/officeDocument/2006/customXml" ds:itemID="{A1990948-5678-491A-8E2E-D9108CCFAAD5}">
  <ds:schemaRefs>
    <ds:schemaRef ds:uri="http://schemas.microsoft.com/sharepoint/v3/contenttype/forms"/>
  </ds:schemaRefs>
</ds:datastoreItem>
</file>

<file path=customXml/itemProps3.xml><?xml version="1.0" encoding="utf-8"?>
<ds:datastoreItem xmlns:ds="http://schemas.openxmlformats.org/officeDocument/2006/customXml" ds:itemID="{CC6716DA-4DF1-49F3-BA0A-28EDF81236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Mason, Justin R</dc:creator>
  <cp:lastModifiedBy>Schmitt, Rose A</cp:lastModifiedBy>
  <cp:revision>3</cp:revision>
  <dcterms:created xsi:type="dcterms:W3CDTF">2023-01-30T15:55:00Z</dcterms:created>
  <dcterms:modified xsi:type="dcterms:W3CDTF">2023-02-02T16:56:00Z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0x01010060F0225FA1EF8A4EA7FBB0F980EB2729</vt:lpwstr>
  </property>
  <property fmtid="{D5CDD505-2E9C-101B-9397-08002B2CF9AE}" pid="3" name="MediaServiceImageTags">
    <vt:lpwstr/>
  </property>
</Properties>
</file>