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9E118C" w:rsidRPr="00C879B4" w:rsidP="00FA2F70" w14:paraId="6CDA5AF8" w14:textId="5EB0C3E4">
      <w:pPr>
        <w:pStyle w:val="Heading1"/>
        <w:spacing w:before="0" w:line="240" w:lineRule="auto"/>
        <w:jc w:val="center"/>
        <w:rPr>
          <w:color w:val="000000"/>
        </w:rPr>
      </w:pPr>
      <w:r>
        <w:rPr>
          <w:color w:val="000000"/>
        </w:rPr>
        <w:t xml:space="preserve">Mortgage </w:t>
      </w:r>
      <w:r w:rsidR="00FF6FF5">
        <w:rPr>
          <w:color w:val="000000"/>
        </w:rPr>
        <w:t>Record Change</w:t>
      </w:r>
    </w:p>
    <w:p w:rsidR="009E118C" w:rsidRPr="00C879B4" w:rsidP="00FA2F70" w14:paraId="0FE0D721" w14:textId="389784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B96DCA">
        <w:rPr>
          <w:rFonts w:ascii="Helvetica" w:hAnsi="Helvetica"/>
          <w:b/>
          <w:color w:val="000000"/>
          <w:sz w:val="24"/>
        </w:rPr>
        <w:t>04</w:t>
      </w:r>
      <w:r w:rsidR="00FF6FF5">
        <w:rPr>
          <w:rFonts w:ascii="Helvetica" w:hAnsi="Helvetica"/>
          <w:b/>
          <w:color w:val="000000"/>
          <w:sz w:val="24"/>
        </w:rPr>
        <w:t>22</w:t>
      </w:r>
    </w:p>
    <w:p w:rsidR="009E118C" w:rsidRPr="00C879B4" w:rsidP="00FA2F70" w14:paraId="3FA9CA5B" w14:textId="09C78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(Collected via FHA Connection)</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CA49AF" w:rsidP="001B4FB5" w14:paraId="43AC3D81"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A49AF" w:rsidR="00A352F3">
              <w:rPr>
                <w:rFonts w:ascii="Times New Roman" w:hAnsi="Times New Roman"/>
                <w:bCs/>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D35DDB">
        <w:tblPrEx>
          <w:tblW w:w="0" w:type="auto"/>
          <w:tblInd w:w="108" w:type="dxa"/>
          <w:tblLook w:val="04A0"/>
        </w:tblPrEx>
        <w:tc>
          <w:tcPr>
            <w:tcW w:w="9360" w:type="dxa"/>
            <w:shd w:val="clear" w:color="auto" w:fill="auto"/>
          </w:tcPr>
          <w:p w:rsidR="00FA2F70" w:rsidRPr="00CF4E4D" w:rsidP="00CF4E4D" w14:paraId="7DC40196" w14:textId="212357FF">
            <w:pPr>
              <w:rPr>
                <w:rFonts w:ascii="Times New Roman" w:hAnsi="Times New Roman"/>
                <w:sz w:val="24"/>
                <w:szCs w:val="24"/>
              </w:rPr>
            </w:pPr>
            <w:r w:rsidRPr="00B47B6A">
              <w:rPr>
                <w:rFonts w:ascii="Times New Roman" w:hAnsi="Times New Roman"/>
                <w:sz w:val="24"/>
                <w:szCs w:val="24"/>
              </w:rPr>
              <w:t xml:space="preserve">The servicing of insured mortgages must be performed by a </w:t>
            </w:r>
            <w:r w:rsidRPr="00B47B6A">
              <w:rPr>
                <w:rFonts w:ascii="Times New Roman" w:hAnsi="Times New Roman"/>
                <w:sz w:val="24"/>
                <w:szCs w:val="24"/>
              </w:rPr>
              <w:t>mortgagee</w:t>
            </w:r>
            <w:r w:rsidRPr="00B47B6A">
              <w:rPr>
                <w:rFonts w:ascii="Times New Roman" w:hAnsi="Times New Roman"/>
                <w:sz w:val="24"/>
                <w:szCs w:val="24"/>
              </w:rPr>
              <w:t xml:space="preserve"> that is approved by HUD to service insured mortgages.  The Mortgage Record Change information is used by FHA-approved </w:t>
            </w:r>
            <w:r w:rsidRPr="00B47B6A">
              <w:rPr>
                <w:rFonts w:ascii="Times New Roman" w:hAnsi="Times New Roman"/>
                <w:sz w:val="24"/>
                <w:szCs w:val="24"/>
              </w:rPr>
              <w:t>mortgagees</w:t>
            </w:r>
            <w:r w:rsidRPr="00B47B6A">
              <w:rPr>
                <w:rFonts w:ascii="Times New Roman" w:hAnsi="Times New Roman"/>
                <w:sz w:val="24"/>
                <w:szCs w:val="24"/>
              </w:rPr>
              <w:t xml:space="preserve"> to comply with HUD requirements for reporting the sale of a mortgage between investors and/or the transfer of the mortgage servicing responsibility, as appropriate.  The information is collected electronically through Electronic Data Interchange and via FHA Connection.  The authority for this collection of information is specified in 24 CFR 203.431 and 24 CFR 203.502</w:t>
            </w:r>
            <w:r w:rsidR="00CB6A80">
              <w:rPr>
                <w:rFonts w:ascii="Times New Roman" w:hAnsi="Times New Roman"/>
                <w:sz w:val="24"/>
                <w:szCs w:val="24"/>
              </w:rPr>
              <w:t>(b)</w:t>
            </w:r>
            <w:r w:rsidRPr="00B47B6A">
              <w:rPr>
                <w:rFonts w:ascii="Times New Roman" w:hAnsi="Times New Roman"/>
                <w:sz w:val="24"/>
                <w:szCs w:val="24"/>
              </w:rPr>
              <w:t>.</w:t>
            </w: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A90190">
        <w:tblPrEx>
          <w:tblW w:w="0" w:type="auto"/>
          <w:tblInd w:w="108" w:type="dxa"/>
          <w:tblLook w:val="04A0"/>
        </w:tblPrEx>
        <w:tc>
          <w:tcPr>
            <w:tcW w:w="9252" w:type="dxa"/>
            <w:shd w:val="clear" w:color="auto" w:fill="auto"/>
          </w:tcPr>
          <w:p w:rsidR="00FA2F70" w:rsidRPr="00CA49AF" w:rsidP="001B4FB5" w14:paraId="6F3D6267"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A90190">
        <w:tblPrEx>
          <w:tblW w:w="0" w:type="auto"/>
          <w:tblInd w:w="108" w:type="dxa"/>
          <w:tblLook w:val="04A0"/>
        </w:tblPrEx>
        <w:tc>
          <w:tcPr>
            <w:tcW w:w="9252" w:type="dxa"/>
            <w:shd w:val="clear" w:color="auto" w:fill="auto"/>
          </w:tcPr>
          <w:p w:rsidR="00FA2F70" w:rsidRPr="00703027" w:rsidP="00703027" w14:paraId="57C03D12" w14:textId="592F76A1">
            <w:pPr>
              <w:rPr>
                <w:rFonts w:ascii="Times New Roman" w:hAnsi="Times New Roman"/>
                <w:sz w:val="24"/>
                <w:szCs w:val="24"/>
              </w:rPr>
            </w:pPr>
            <w:r w:rsidRPr="005036B7">
              <w:rPr>
                <w:rFonts w:ascii="Times New Roman" w:hAnsi="Times New Roman"/>
                <w:sz w:val="24"/>
                <w:szCs w:val="24"/>
              </w:rPr>
              <w:t xml:space="preserve">The information required is used to update HUD's Single Family Insurance System and other related systems.  Current data is necessary to establish mortgage premium liability, forward annual premium mortgage data to the appropriate </w:t>
            </w:r>
            <w:r w:rsidRPr="005036B7">
              <w:rPr>
                <w:rFonts w:ascii="Times New Roman" w:hAnsi="Times New Roman"/>
                <w:sz w:val="24"/>
                <w:szCs w:val="24"/>
              </w:rPr>
              <w:t>mortgagee</w:t>
            </w:r>
            <w:r w:rsidRPr="005036B7">
              <w:rPr>
                <w:rFonts w:ascii="Times New Roman" w:hAnsi="Times New Roman"/>
                <w:sz w:val="24"/>
                <w:szCs w:val="24"/>
              </w:rPr>
              <w:t>/</w:t>
            </w:r>
            <w:r w:rsidRPr="005036B7">
              <w:rPr>
                <w:rFonts w:ascii="Times New Roman" w:hAnsi="Times New Roman"/>
                <w:sz w:val="24"/>
                <w:szCs w:val="24"/>
              </w:rPr>
              <w:t>servicer, and</w:t>
            </w:r>
            <w:r w:rsidRPr="005036B7">
              <w:rPr>
                <w:rFonts w:ascii="Times New Roman" w:hAnsi="Times New Roman"/>
                <w:sz w:val="24"/>
                <w:szCs w:val="24"/>
              </w:rPr>
              <w:t xml:space="preserve"> maintain premium receivables and program data regarding investors/servicer activity.  Without the required data the premium collection/monitoring function would be severely </w:t>
            </w:r>
            <w:r w:rsidRPr="005036B7">
              <w:rPr>
                <w:rFonts w:ascii="Times New Roman" w:hAnsi="Times New Roman"/>
                <w:sz w:val="24"/>
                <w:szCs w:val="24"/>
              </w:rPr>
              <w:t>impeded</w:t>
            </w:r>
            <w:r w:rsidRPr="005036B7">
              <w:rPr>
                <w:rFonts w:ascii="Times New Roman" w:hAnsi="Times New Roman"/>
                <w:sz w:val="24"/>
                <w:szCs w:val="24"/>
              </w:rPr>
              <w:t xml:space="preserve"> and program data would be unreliable. This information is essential because the data is used to update the </w:t>
            </w:r>
            <w:r w:rsidRPr="005036B7">
              <w:rPr>
                <w:rFonts w:ascii="Times New Roman" w:hAnsi="Times New Roman"/>
                <w:sz w:val="24"/>
                <w:szCs w:val="24"/>
              </w:rPr>
              <w:t>Single Family</w:t>
            </w:r>
            <w:r w:rsidRPr="005036B7">
              <w:rPr>
                <w:rFonts w:ascii="Times New Roman" w:hAnsi="Times New Roman"/>
                <w:sz w:val="24"/>
                <w:szCs w:val="24"/>
              </w:rPr>
              <w:t xml:space="preserve"> Premium Collection System-Periodic and is used in the accurate billing of monthly premiums as HUD does case level accounting in recording premium payments by mortgagees.</w:t>
            </w: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A49AF" w:rsidP="001B4FB5" w14:paraId="2C7B074D"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FA2F70" w:rsidRPr="00EC56D6" w:rsidP="00BA5013" w14:paraId="74E4A661" w14:textId="4C395215">
            <w:pPr>
              <w:rPr>
                <w:rFonts w:ascii="Times New Roman" w:hAnsi="Times New Roman"/>
                <w:sz w:val="24"/>
                <w:szCs w:val="24"/>
              </w:rPr>
            </w:pPr>
            <w:r w:rsidRPr="006551E9">
              <w:rPr>
                <w:rFonts w:ascii="Times New Roman" w:hAnsi="Times New Roman"/>
                <w:sz w:val="24"/>
                <w:szCs w:val="24"/>
              </w:rPr>
              <w:t xml:space="preserve">The information is collected 100% through electronic means. Last fiscal </w:t>
            </w:r>
            <w:r w:rsidRPr="002B3D35">
              <w:rPr>
                <w:rFonts w:ascii="Times New Roman" w:hAnsi="Times New Roman"/>
                <w:sz w:val="24"/>
                <w:szCs w:val="24"/>
              </w:rPr>
              <w:t xml:space="preserve">year approximately </w:t>
            </w:r>
            <w:r w:rsidRPr="006A246D">
              <w:rPr>
                <w:rFonts w:ascii="Times New Roman" w:hAnsi="Times New Roman"/>
                <w:sz w:val="24"/>
                <w:szCs w:val="24"/>
              </w:rPr>
              <w:t xml:space="preserve">10,000 respondents submitted </w:t>
            </w:r>
            <w:r w:rsidRPr="006A246D" w:rsidR="006A246D">
              <w:rPr>
                <w:rFonts w:ascii="Times New Roman" w:hAnsi="Times New Roman"/>
                <w:sz w:val="24"/>
                <w:szCs w:val="24"/>
              </w:rPr>
              <w:t>2,290,</w:t>
            </w:r>
            <w:r w:rsidR="006A246D">
              <w:rPr>
                <w:rFonts w:ascii="Times New Roman" w:hAnsi="Times New Roman"/>
                <w:sz w:val="24"/>
                <w:szCs w:val="24"/>
              </w:rPr>
              <w:t>000</w:t>
            </w:r>
            <w:r w:rsidRPr="006A246D" w:rsidR="006A246D">
              <w:rPr>
                <w:rFonts w:ascii="Times New Roman" w:hAnsi="Times New Roman"/>
                <w:sz w:val="24"/>
                <w:szCs w:val="24"/>
              </w:rPr>
              <w:t xml:space="preserve"> </w:t>
            </w:r>
            <w:r w:rsidRPr="006A246D">
              <w:rPr>
                <w:rFonts w:ascii="Times New Roman" w:hAnsi="Times New Roman"/>
                <w:sz w:val="24"/>
                <w:szCs w:val="24"/>
              </w:rPr>
              <w:t>transfers electronically</w:t>
            </w:r>
            <w:r w:rsidRPr="006551E9">
              <w:rPr>
                <w:rFonts w:ascii="Times New Roman" w:hAnsi="Times New Roman"/>
                <w:sz w:val="24"/>
                <w:szCs w:val="24"/>
              </w:rPr>
              <w:t xml:space="preserve"> through Business-to-Government, Electronic Data Interchange and HUD’s FHA Connection.  The utilization of </w:t>
            </w:r>
            <w:r w:rsidRPr="006551E9">
              <w:rPr>
                <w:rFonts w:ascii="Times New Roman" w:hAnsi="Times New Roman"/>
                <w:sz w:val="24"/>
                <w:szCs w:val="24"/>
              </w:rPr>
              <w:t>the Business-to-Government (B2G), Electronic Data Interchange and FHA Connection eliminate the completion and submission of hard copy source documents for the submission of transfer information.</w:t>
            </w: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A49AF" w:rsidP="001B4FB5" w14:paraId="0B3C9D70"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A60766" w:rsidP="00A60766" w14:paraId="22D179F9" w14:textId="310387C8">
            <w:pPr>
              <w:rPr>
                <w:rFonts w:ascii="Times New Roman" w:hAnsi="Times New Roman"/>
                <w:sz w:val="24"/>
                <w:szCs w:val="24"/>
              </w:rPr>
            </w:pPr>
            <w:r>
              <w:rPr>
                <w:rFonts w:ascii="Times New Roman" w:hAnsi="Times New Roman"/>
                <w:sz w:val="24"/>
                <w:szCs w:val="24"/>
              </w:rPr>
              <w:t xml:space="preserve">No other duplicate data exists. There is no other available data that can be used or modified for the required purpose. </w:t>
            </w: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A49AF" w:rsidP="001B4FB5" w14:paraId="26EEB81E"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60513E" w:rsidP="0060513E" w14:paraId="2A383C1A" w14:textId="7FF893CD">
            <w:pPr>
              <w:rPr>
                <w:rFonts w:ascii="Times New Roman" w:hAnsi="Times New Roman"/>
                <w:sz w:val="24"/>
                <w:szCs w:val="24"/>
              </w:rPr>
            </w:pPr>
            <w:r>
              <w:rPr>
                <w:rFonts w:ascii="Times New Roman" w:hAnsi="Times New Roman"/>
                <w:sz w:val="24"/>
                <w:szCs w:val="24"/>
              </w:rPr>
              <w:t xml:space="preserve">The collection of information does not impact small businesses or other small entities, as they are not respondents. </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A49AF" w:rsidP="001B4FB5" w14:paraId="77A57259" w14:textId="77777777">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FA2F70" w:rsidRPr="00B76672" w:rsidP="00B76672" w14:paraId="0DCC2D1D" w14:textId="02850E91">
            <w:pPr>
              <w:rPr>
                <w:rFonts w:ascii="Times New Roman" w:hAnsi="Times New Roman"/>
                <w:sz w:val="24"/>
                <w:szCs w:val="24"/>
              </w:rPr>
            </w:pPr>
            <w:r w:rsidRPr="00E06448">
              <w:rPr>
                <w:rFonts w:ascii="Times New Roman" w:hAnsi="Times New Roman"/>
                <w:sz w:val="24"/>
                <w:szCs w:val="24"/>
              </w:rPr>
              <w:t xml:space="preserve">Information is collected whenever servicing of any mortgage is transferred from one mortgage holder or service to another.  </w:t>
            </w:r>
            <w:r w:rsidR="00987B04">
              <w:rPr>
                <w:rFonts w:ascii="Times New Roman" w:hAnsi="Times New Roman"/>
                <w:sz w:val="24"/>
                <w:szCs w:val="24"/>
              </w:rPr>
              <w:t>If the collection is not conducted or is conducted less frequently</w:t>
            </w:r>
            <w:r w:rsidR="00A9486A">
              <w:rPr>
                <w:rFonts w:ascii="Times New Roman" w:hAnsi="Times New Roman"/>
                <w:sz w:val="24"/>
                <w:szCs w:val="24"/>
              </w:rPr>
              <w:t xml:space="preserve"> the </w:t>
            </w:r>
            <w:r w:rsidRPr="00E06448">
              <w:rPr>
                <w:rFonts w:ascii="Times New Roman" w:hAnsi="Times New Roman"/>
                <w:sz w:val="24"/>
                <w:szCs w:val="24"/>
              </w:rPr>
              <w:t>premium collection/monitoring function would be severely impeded and program data would be unreliable.</w:t>
            </w: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A166CA">
        <w:tblPrEx>
          <w:tblW w:w="0" w:type="auto"/>
          <w:tblInd w:w="108" w:type="dxa"/>
          <w:tblLook w:val="04A0"/>
        </w:tblPrEx>
        <w:tc>
          <w:tcPr>
            <w:tcW w:w="9252" w:type="dxa"/>
            <w:shd w:val="clear" w:color="auto" w:fill="auto"/>
          </w:tcPr>
          <w:p w:rsidR="00FA2F70" w:rsidRPr="00CA49AF" w:rsidP="001B4FB5" w14:paraId="2DF75932" w14:textId="4B7556F4">
            <w:pPr>
              <w:spacing w:after="0" w:line="240" w:lineRule="auto"/>
              <w:rPr>
                <w:rFonts w:ascii="Times New Roman" w:hAnsi="Times New Roman"/>
                <w:bCs/>
                <w:color w:val="000000"/>
                <w:sz w:val="24"/>
                <w:szCs w:val="24"/>
              </w:rPr>
            </w:pPr>
            <w:r w:rsidRPr="00CA49AF">
              <w:rPr>
                <w:rFonts w:ascii="Times New Roman" w:hAnsi="Times New Roman"/>
                <w:bCs/>
                <w:color w:val="000000"/>
                <w:sz w:val="24"/>
                <w:szCs w:val="24"/>
              </w:rPr>
              <w:t xml:space="preserve">7. Explain any special circumstances that would cause an information collection to be conducted in a manner: </w:t>
            </w:r>
          </w:p>
          <w:p w:rsidR="00FA2F70" w:rsidRPr="00C879B4" w:rsidP="001B4FB5" w14:paraId="05259076" w14:textId="77777777">
            <w:pPr>
              <w:spacing w:after="0" w:line="240" w:lineRule="auto"/>
              <w:rPr>
                <w:rFonts w:ascii="Times New Roman" w:hAnsi="Times New Roman"/>
                <w:b/>
                <w:color w:val="000000"/>
                <w:sz w:val="24"/>
                <w:szCs w:val="24"/>
              </w:rPr>
            </w:pPr>
          </w:p>
          <w:p w:rsidR="00A73739" w:rsidP="00A73739" w14:paraId="70BF08E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quarterly;</w:t>
            </w:r>
          </w:p>
          <w:p w:rsidR="00A73739" w:rsidP="00A73739" w14:paraId="1CBE3D08" w14:textId="77777777">
            <w:pPr>
              <w:spacing w:after="0" w:line="240" w:lineRule="auto"/>
              <w:rPr>
                <w:rFonts w:ascii="Times New Roman" w:hAnsi="Times New Roman"/>
                <w:sz w:val="24"/>
                <w:szCs w:val="24"/>
              </w:rPr>
            </w:pPr>
          </w:p>
          <w:p w:rsidR="00365F5E" w:rsidP="00365F5E" w14:paraId="1FEA8A55" w14:textId="52938766">
            <w:pPr>
              <w:rPr>
                <w:rFonts w:ascii="Times New Roman" w:hAnsi="Times New Roman"/>
                <w:sz w:val="24"/>
                <w:szCs w:val="24"/>
              </w:rPr>
            </w:pPr>
            <w:r w:rsidRPr="00B02C66">
              <w:rPr>
                <w:rFonts w:ascii="Times New Roman" w:hAnsi="Times New Roman"/>
                <w:sz w:val="24"/>
                <w:szCs w:val="24"/>
              </w:rPr>
              <w:t>Lenders report any time the servicing on a loan is transferred to another lender.</w:t>
            </w:r>
          </w:p>
          <w:p w:rsidR="00FA2F70" w:rsidP="001B4FB5" w14:paraId="1A52075E" w14:textId="587A943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receipt of it; </w:t>
            </w:r>
            <w:r w:rsidR="00656246">
              <w:rPr>
                <w:rFonts w:ascii="Times New Roman" w:hAnsi="Times New Roman"/>
                <w:color w:val="000000"/>
                <w:sz w:val="24"/>
                <w:szCs w:val="24"/>
              </w:rPr>
              <w:br/>
            </w:r>
          </w:p>
          <w:p w:rsidR="0069081D" w:rsidRPr="003A3B07" w:rsidP="0069081D" w14:paraId="018E1EF7" w14:textId="6E01E0E4">
            <w:pPr>
              <w:rPr>
                <w:rFonts w:ascii="Times New Roman" w:hAnsi="Times New Roman"/>
                <w:sz w:val="24"/>
                <w:szCs w:val="24"/>
              </w:rPr>
            </w:pPr>
            <w:r w:rsidRPr="003A3B07">
              <w:rPr>
                <w:rFonts w:ascii="Times New Roman" w:hAnsi="Times New Roman"/>
                <w:sz w:val="24"/>
                <w:szCs w:val="24"/>
              </w:rPr>
              <w:t xml:space="preserve">The </w:t>
            </w:r>
            <w:r w:rsidRPr="003A3B07">
              <w:rPr>
                <w:rFonts w:ascii="Times New Roman" w:hAnsi="Times New Roman"/>
                <w:sz w:val="24"/>
                <w:szCs w:val="24"/>
              </w:rPr>
              <w:t>mortgagee</w:t>
            </w:r>
            <w:r>
              <w:rPr>
                <w:rFonts w:ascii="Times New Roman" w:hAnsi="Times New Roman"/>
                <w:sz w:val="24"/>
                <w:szCs w:val="24"/>
              </w:rPr>
              <w:t xml:space="preserve"> </w:t>
            </w:r>
            <w:r w:rsidR="00CD35DC">
              <w:rPr>
                <w:rFonts w:ascii="Times New Roman" w:hAnsi="Times New Roman"/>
                <w:sz w:val="24"/>
                <w:szCs w:val="24"/>
              </w:rPr>
              <w:t>has</w:t>
            </w:r>
            <w:r w:rsidRPr="003A3B07">
              <w:rPr>
                <w:rFonts w:ascii="Times New Roman" w:hAnsi="Times New Roman"/>
                <w:sz w:val="24"/>
                <w:szCs w:val="24"/>
              </w:rPr>
              <w:t xml:space="preserve"> 15 days from the date of the sale of a mortgage or the transfer of servicing to provide the required data.  </w:t>
            </w:r>
          </w:p>
          <w:p w:rsidR="00695EEE" w:rsidP="001B4FB5" w14:paraId="63C64793" w14:textId="295BFB44">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document; </w:t>
            </w:r>
          </w:p>
          <w:p w:rsidR="00CE21EF" w:rsidP="001B4FB5" w14:paraId="48C329F5" w14:textId="022D7612">
            <w:pPr>
              <w:spacing w:after="0" w:line="240" w:lineRule="auto"/>
              <w:rPr>
                <w:rFonts w:ascii="Times New Roman" w:hAnsi="Times New Roman"/>
                <w:color w:val="000000"/>
                <w:sz w:val="24"/>
                <w:szCs w:val="24"/>
              </w:rPr>
            </w:pPr>
          </w:p>
          <w:p w:rsidR="00695EEE" w:rsidRPr="00C879B4" w:rsidP="00CE21EF" w14:paraId="48B4C27F" w14:textId="72A09D88">
            <w:pPr>
              <w:rPr>
                <w:rFonts w:ascii="Times New Roman" w:hAnsi="Times New Roman"/>
                <w:color w:val="000000"/>
                <w:sz w:val="24"/>
                <w:szCs w:val="24"/>
              </w:rPr>
            </w:pPr>
            <w:r w:rsidRPr="00B231C1">
              <w:rPr>
                <w:rFonts w:ascii="Times New Roman" w:hAnsi="Times New Roman"/>
                <w:sz w:val="24"/>
                <w:szCs w:val="24"/>
              </w:rPr>
              <w:t xml:space="preserve">The respondents are not required to submit more than </w:t>
            </w:r>
            <w:r w:rsidRPr="00B231C1">
              <w:rPr>
                <w:rFonts w:ascii="Times New Roman" w:hAnsi="Times New Roman"/>
                <w:sz w:val="24"/>
                <w:szCs w:val="24"/>
              </w:rPr>
              <w:t>an</w:t>
            </w:r>
            <w:r w:rsidRPr="00B231C1">
              <w:rPr>
                <w:rFonts w:ascii="Times New Roman" w:hAnsi="Times New Roman"/>
                <w:sz w:val="24"/>
                <w:szCs w:val="24"/>
              </w:rPr>
              <w:t xml:space="preserve"> original and two copies of any document.</w:t>
            </w:r>
          </w:p>
          <w:p w:rsidR="00FA2F70" w:rsidP="001B4FB5" w14:paraId="599651C9" w14:textId="73703024">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8B5CCD" w:rsidP="001B4FB5" w14:paraId="31F3D3C8" w14:textId="72107F7D">
            <w:pPr>
              <w:spacing w:after="0" w:line="240" w:lineRule="auto"/>
              <w:rPr>
                <w:rFonts w:ascii="Times New Roman" w:hAnsi="Times New Roman"/>
                <w:color w:val="000000"/>
                <w:sz w:val="24"/>
                <w:szCs w:val="24"/>
              </w:rPr>
            </w:pPr>
          </w:p>
          <w:p w:rsidR="00D35DDB" w:rsidRPr="00C879B4" w:rsidP="008B5CCD" w14:paraId="76CC6914" w14:textId="2017FD5E">
            <w:pPr>
              <w:rPr>
                <w:rFonts w:ascii="Times New Roman" w:hAnsi="Times New Roman"/>
                <w:color w:val="000000"/>
                <w:sz w:val="24"/>
                <w:szCs w:val="24"/>
              </w:rPr>
            </w:pPr>
            <w:r w:rsidRPr="006C43CA">
              <w:rPr>
                <w:rFonts w:ascii="Times New Roman" w:hAnsi="Times New Roman"/>
                <w:sz w:val="24"/>
                <w:szCs w:val="24"/>
              </w:rPr>
              <w:t xml:space="preserve">The respondents are </w:t>
            </w:r>
            <w:r w:rsidRPr="006C43CA" w:rsidR="006C43CA">
              <w:rPr>
                <w:rFonts w:ascii="Times New Roman" w:hAnsi="Times New Roman"/>
                <w:sz w:val="24"/>
                <w:szCs w:val="24"/>
              </w:rPr>
              <w:t xml:space="preserve">not </w:t>
            </w:r>
            <w:r w:rsidRPr="006C43CA">
              <w:rPr>
                <w:rFonts w:ascii="Times New Roman" w:hAnsi="Times New Roman"/>
                <w:sz w:val="24"/>
                <w:szCs w:val="24"/>
              </w:rPr>
              <w:t>required to retain</w:t>
            </w:r>
            <w:r w:rsidRPr="009E470B">
              <w:rPr>
                <w:rFonts w:ascii="Times New Roman" w:hAnsi="Times New Roman"/>
                <w:sz w:val="24"/>
                <w:szCs w:val="24"/>
              </w:rPr>
              <w:t xml:space="preserve"> records, other than health, medical, government contract, grant-in-aid, or tax records, for more </w:t>
            </w:r>
            <w:r w:rsidRPr="00A411B6">
              <w:rPr>
                <w:rFonts w:ascii="Times New Roman" w:hAnsi="Times New Roman"/>
                <w:sz w:val="24"/>
                <w:szCs w:val="24"/>
              </w:rPr>
              <w:t xml:space="preserve">than </w:t>
            </w:r>
            <w:r w:rsidRPr="00A411B6" w:rsidR="00A411B6">
              <w:rPr>
                <w:rFonts w:ascii="Times New Roman" w:hAnsi="Times New Roman"/>
                <w:sz w:val="24"/>
                <w:szCs w:val="24"/>
              </w:rPr>
              <w:t>three</w:t>
            </w:r>
            <w:r w:rsidRPr="00A411B6">
              <w:rPr>
                <w:rFonts w:ascii="Times New Roman" w:hAnsi="Times New Roman"/>
                <w:sz w:val="24"/>
                <w:szCs w:val="24"/>
              </w:rPr>
              <w:t xml:space="preserve"> years.</w:t>
            </w:r>
            <w:r w:rsidRPr="009E470B">
              <w:rPr>
                <w:rFonts w:ascii="Times New Roman" w:hAnsi="Times New Roman"/>
                <w:sz w:val="24"/>
                <w:szCs w:val="24"/>
              </w:rPr>
              <w:t xml:space="preserve"> </w:t>
            </w:r>
          </w:p>
          <w:p w:rsidR="00FA2F70" w:rsidP="001B4FB5" w14:paraId="1AE81509" w14:textId="6E9A97DD">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25679B" w:rsidP="001B4FB5" w14:paraId="3BC0E1A9" w14:textId="719DEB48">
            <w:pPr>
              <w:spacing w:after="0" w:line="240" w:lineRule="auto"/>
              <w:rPr>
                <w:rFonts w:ascii="Times New Roman" w:hAnsi="Times New Roman"/>
                <w:color w:val="000000"/>
                <w:sz w:val="24"/>
                <w:szCs w:val="24"/>
              </w:rPr>
            </w:pPr>
          </w:p>
          <w:p w:rsidR="0025679B" w:rsidRPr="0025679B" w:rsidP="0025679B" w14:paraId="52580FA8" w14:textId="58B8FBD4">
            <w:pPr>
              <w:rPr>
                <w:rFonts w:ascii="Times New Roman" w:hAnsi="Times New Roman"/>
                <w:sz w:val="24"/>
                <w:szCs w:val="24"/>
              </w:rPr>
            </w:pPr>
            <w:r>
              <w:rPr>
                <w:rFonts w:ascii="Times New Roman" w:hAnsi="Times New Roman"/>
                <w:sz w:val="24"/>
                <w:szCs w:val="24"/>
              </w:rPr>
              <w:t xml:space="preserve">There are no special circumstances that would cause any information collection to be conducted in a manner that is </w:t>
            </w:r>
            <w:r w:rsidRPr="00575D07">
              <w:rPr>
                <w:rFonts w:ascii="Times New Roman" w:hAnsi="Times New Roman"/>
                <w:sz w:val="24"/>
                <w:szCs w:val="24"/>
              </w:rPr>
              <w:t>in connection with a statistical survey, that is not designed to produce valid and reliable results that can be generalized to the universe of study</w:t>
            </w:r>
            <w:r>
              <w:rPr>
                <w:rFonts w:ascii="Times New Roman" w:hAnsi="Times New Roman"/>
                <w:sz w:val="24"/>
                <w:szCs w:val="24"/>
              </w:rPr>
              <w:t>.</w:t>
            </w:r>
          </w:p>
          <w:p w:rsidR="00FA2F70" w:rsidRPr="00C879B4"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OMB; </w:t>
            </w:r>
          </w:p>
          <w:p w:rsidR="00D35DDB" w:rsidP="001B4FB5" w14:paraId="29E7717D" w14:textId="2381A8A2">
            <w:pPr>
              <w:spacing w:after="0" w:line="240" w:lineRule="auto"/>
              <w:rPr>
                <w:rFonts w:ascii="Times New Roman" w:hAnsi="Times New Roman"/>
                <w:color w:val="000000"/>
                <w:sz w:val="24"/>
                <w:szCs w:val="24"/>
              </w:rPr>
            </w:pPr>
          </w:p>
          <w:p w:rsidR="00D61AD9" w:rsidRPr="00D61AD9" w:rsidP="00D61AD9" w14:paraId="402F02DA" w14:textId="1A371821">
            <w:pPr>
              <w:rPr>
                <w:rFonts w:ascii="Times New Roman" w:hAnsi="Times New Roman"/>
                <w:sz w:val="24"/>
                <w:szCs w:val="24"/>
              </w:rPr>
            </w:pPr>
            <w:r>
              <w:rPr>
                <w:rFonts w:ascii="Times New Roman" w:hAnsi="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the use of a statistical data classification that has not been reviewed and approved by OMB</w:t>
            </w:r>
            <w:r>
              <w:rPr>
                <w:rFonts w:ascii="Times New Roman" w:hAnsi="Times New Roman"/>
                <w:sz w:val="24"/>
                <w:szCs w:val="24"/>
              </w:rPr>
              <w:t>.</w:t>
            </w:r>
          </w:p>
          <w:p w:rsidR="00FA2F70" w:rsidP="001B4FB5" w14:paraId="2EF99211" w14:textId="682AF7C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D71D6" w:rsidP="001B4FB5" w14:paraId="5370C70A" w14:textId="2890AF7D">
            <w:pPr>
              <w:spacing w:after="0" w:line="240" w:lineRule="auto"/>
              <w:rPr>
                <w:rFonts w:ascii="Times New Roman" w:hAnsi="Times New Roman"/>
                <w:color w:val="000000"/>
                <w:sz w:val="24"/>
                <w:szCs w:val="24"/>
              </w:rPr>
            </w:pPr>
          </w:p>
          <w:p w:rsidR="00D35DDB" w:rsidRPr="001D71D6" w:rsidP="001D71D6" w14:paraId="37655EDB" w14:textId="07582D9A">
            <w:pPr>
              <w:rPr>
                <w:rFonts w:ascii="Times New Roman" w:hAnsi="Times New Roman"/>
                <w:sz w:val="24"/>
                <w:szCs w:val="24"/>
              </w:rPr>
            </w:pPr>
            <w:r>
              <w:rPr>
                <w:rFonts w:ascii="Times New Roman" w:hAnsi="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p>
          <w:p w:rsidR="00FA2F70" w:rsidP="00834D96" w14:paraId="0265541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910C14" w:rsidP="00834D96" w14:paraId="1E1308C6" w14:textId="77777777">
            <w:pPr>
              <w:spacing w:after="0" w:line="240" w:lineRule="auto"/>
              <w:rPr>
                <w:rFonts w:ascii="Times New Roman" w:hAnsi="Times New Roman"/>
                <w:b/>
                <w:color w:val="000000"/>
                <w:sz w:val="24"/>
                <w:szCs w:val="24"/>
              </w:rPr>
            </w:pPr>
          </w:p>
          <w:p w:rsidR="00910C14" w:rsidRPr="00910C14" w:rsidP="00910C14" w14:paraId="3A2BBB0E" w14:textId="425334DE">
            <w:pPr>
              <w:rPr>
                <w:rFonts w:ascii="Times New Roman" w:hAnsi="Times New Roman"/>
                <w:sz w:val="24"/>
                <w:szCs w:val="24"/>
              </w:rPr>
            </w:pPr>
            <w:r>
              <w:rPr>
                <w:rFonts w:ascii="Times New Roman" w:hAnsi="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sz w:val="24"/>
                <w:szCs w:val="24"/>
              </w:rPr>
              <w:t>.</w:t>
            </w: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A166CA">
        <w:tblPrEx>
          <w:tblW w:w="0" w:type="auto"/>
          <w:tblInd w:w="108" w:type="dxa"/>
          <w:tblLook w:val="04A0"/>
        </w:tblPrEx>
        <w:tc>
          <w:tcPr>
            <w:tcW w:w="9252" w:type="dxa"/>
            <w:shd w:val="clear" w:color="auto" w:fill="auto"/>
          </w:tcPr>
          <w:p w:rsidR="0021340A" w:rsidRPr="0069480C" w:rsidP="001B4FB5" w14:paraId="33CDEA58" w14:textId="77777777">
            <w:pPr>
              <w:spacing w:after="0" w:line="240" w:lineRule="auto"/>
              <w:rPr>
                <w:rFonts w:ascii="Times New Roman" w:hAnsi="Times New Roman"/>
                <w:bCs/>
                <w:color w:val="000000"/>
                <w:sz w:val="24"/>
                <w:szCs w:val="24"/>
              </w:rPr>
            </w:pPr>
            <w:r w:rsidRPr="0069480C">
              <w:rPr>
                <w:rFonts w:ascii="Times New Roman" w:hAnsi="Times New Roman"/>
                <w:bCs/>
                <w:color w:val="000000"/>
                <w:sz w:val="24"/>
                <w:szCs w:val="24"/>
              </w:rPr>
              <w:t xml:space="preserve">8. If applicable, provide a copy and identify the date and page number of </w:t>
            </w:r>
            <w:r w:rsidRPr="0069480C">
              <w:rPr>
                <w:rFonts w:ascii="Times New Roman" w:hAnsi="Times New Roman"/>
                <w:bCs/>
                <w:color w:val="000000"/>
                <w:sz w:val="24"/>
                <w:szCs w:val="24"/>
              </w:rPr>
              <w:t>publication</w:t>
            </w:r>
            <w:r w:rsidRPr="0069480C">
              <w:rPr>
                <w:rFonts w:ascii="Times New Roman" w:hAnsi="Times New Roman"/>
                <w:bCs/>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w:t>
            </w:r>
            <w:r w:rsidRPr="0069480C">
              <w:rPr>
                <w:rFonts w:ascii="Times New Roman" w:hAnsi="Times New Roman"/>
                <w:bCs/>
                <w:color w:val="000000"/>
                <w:sz w:val="24"/>
                <w:szCs w:val="24"/>
              </w:rPr>
              <w:t xml:space="preserve">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FA2F70" w:rsidRPr="00370B49" w:rsidP="00370B49" w14:paraId="1A0BF226" w14:textId="0014B7F6">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E3276F">
              <w:rPr>
                <w:rFonts w:ascii="Times New Roman" w:hAnsi="Times New Roman"/>
                <w:sz w:val="24"/>
                <w:szCs w:val="20"/>
              </w:rPr>
              <w:t>Friday, February 16, 2024</w:t>
            </w:r>
            <w:r w:rsidRPr="00370B49">
              <w:rPr>
                <w:rFonts w:ascii="Times New Roman" w:hAnsi="Times New Roman"/>
                <w:sz w:val="24"/>
                <w:szCs w:val="20"/>
              </w:rPr>
              <w:t>, Volume</w:t>
            </w:r>
            <w:r w:rsidR="00E3276F">
              <w:rPr>
                <w:rFonts w:ascii="Times New Roman" w:hAnsi="Times New Roman"/>
                <w:sz w:val="24"/>
                <w:szCs w:val="20"/>
              </w:rPr>
              <w:t>: 89</w:t>
            </w:r>
            <w:r w:rsidRPr="00370B49">
              <w:rPr>
                <w:rFonts w:ascii="Times New Roman" w:hAnsi="Times New Roman"/>
                <w:sz w:val="24"/>
                <w:szCs w:val="20"/>
              </w:rPr>
              <w:t xml:space="preserve">, </w:t>
            </w:r>
            <w:r w:rsidR="00E3276F">
              <w:rPr>
                <w:rFonts w:ascii="Times New Roman" w:hAnsi="Times New Roman"/>
                <w:sz w:val="24"/>
                <w:szCs w:val="20"/>
              </w:rPr>
              <w:t xml:space="preserve">No.: 33 </w:t>
            </w:r>
            <w:r w:rsidRPr="00370B49">
              <w:rPr>
                <w:rFonts w:ascii="Times New Roman" w:hAnsi="Times New Roman"/>
                <w:sz w:val="24"/>
                <w:szCs w:val="20"/>
              </w:rPr>
              <w:t xml:space="preserve">Page </w:t>
            </w:r>
            <w:r w:rsidR="00E3276F">
              <w:rPr>
                <w:rFonts w:ascii="Times New Roman" w:hAnsi="Times New Roman"/>
                <w:sz w:val="24"/>
                <w:szCs w:val="20"/>
              </w:rPr>
              <w:t>12373</w:t>
            </w:r>
            <w:r w:rsidRPr="00370B49">
              <w:rPr>
                <w:rFonts w:ascii="Times New Roman" w:hAnsi="Times New Roman"/>
                <w:sz w:val="24"/>
                <w:szCs w:val="20"/>
              </w:rPr>
              <w:t>.</w:t>
            </w:r>
            <w:r w:rsidRPr="00370B49">
              <w:t xml:space="preserve"> </w:t>
            </w:r>
          </w:p>
        </w:tc>
      </w:tr>
    </w:tbl>
    <w:p w:rsidR="00FA2F70" w:rsidP="00FA2F70" w14:paraId="3C34150F" w14:textId="77777777">
      <w:pPr>
        <w:spacing w:after="0" w:line="240" w:lineRule="auto"/>
        <w:rPr>
          <w:rFonts w:ascii="Times New Roman" w:hAnsi="Times New Roman"/>
          <w:b/>
          <w:color w:val="000000"/>
          <w:sz w:val="24"/>
          <w:szCs w:val="24"/>
        </w:rPr>
      </w:pPr>
    </w:p>
    <w:p w:rsidR="00E3276F" w:rsidP="00FA2F70" w14:paraId="3D1261F4" w14:textId="5BD438F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Pr="00E3276F">
        <w:rPr>
          <w:rFonts w:ascii="Times New Roman" w:hAnsi="Times New Roman"/>
          <w:bCs/>
          <w:color w:val="000000"/>
          <w:sz w:val="24"/>
          <w:szCs w:val="24"/>
        </w:rPr>
        <w:t>No Comments were received</w:t>
      </w:r>
      <w:r>
        <w:rPr>
          <w:rFonts w:ascii="Times New Roman" w:hAnsi="Times New Roman"/>
          <w:b/>
          <w:color w:val="000000"/>
          <w:sz w:val="24"/>
          <w:szCs w:val="24"/>
        </w:rPr>
        <w:t>.</w:t>
      </w:r>
    </w:p>
    <w:p w:rsidR="00E3276F" w:rsidRPr="00C879B4" w:rsidP="00FA2F70" w14:paraId="325353F7"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A166CA">
        <w:tblPrEx>
          <w:tblW w:w="0" w:type="auto"/>
          <w:tblInd w:w="108" w:type="dxa"/>
          <w:tblLook w:val="04A0"/>
        </w:tblPrEx>
        <w:tc>
          <w:tcPr>
            <w:tcW w:w="9252" w:type="dxa"/>
            <w:shd w:val="clear" w:color="auto" w:fill="auto"/>
          </w:tcPr>
          <w:p w:rsidR="0021340A" w:rsidRPr="00EF4451" w:rsidP="00834D96" w14:paraId="20BC4FB4" w14:textId="77777777">
            <w:pPr>
              <w:spacing w:after="0" w:line="240" w:lineRule="auto"/>
              <w:rPr>
                <w:rFonts w:ascii="Times New Roman" w:hAnsi="Times New Roman"/>
                <w:bCs/>
                <w:color w:val="000000"/>
                <w:sz w:val="24"/>
                <w:szCs w:val="24"/>
              </w:rPr>
            </w:pPr>
            <w:r w:rsidRPr="00EF4451">
              <w:rPr>
                <w:rFonts w:ascii="Times New Roman" w:hAnsi="Times New Roman"/>
                <w:bCs/>
                <w:color w:val="000000"/>
                <w:sz w:val="24"/>
                <w:szCs w:val="24"/>
              </w:rPr>
              <w:t xml:space="preserve">9. Explain any decision to provide any payment or gift to respondents, other than </w:t>
            </w:r>
            <w:r w:rsidRPr="00EF4451" w:rsidR="00BD5D2D">
              <w:rPr>
                <w:rFonts w:ascii="Times New Roman" w:hAnsi="Times New Roman"/>
                <w:bCs/>
                <w:color w:val="000000"/>
                <w:sz w:val="24"/>
                <w:szCs w:val="24"/>
              </w:rPr>
              <w:t>remuneration</w:t>
            </w:r>
            <w:r w:rsidRPr="00EF4451">
              <w:rPr>
                <w:rFonts w:ascii="Times New Roman" w:hAnsi="Times New Roman"/>
                <w:bCs/>
                <w:color w:val="000000"/>
                <w:sz w:val="24"/>
                <w:szCs w:val="24"/>
              </w:rPr>
              <w:t xml:space="preserve"> of contractors or grantees. </w:t>
            </w:r>
          </w:p>
          <w:p w:rsidR="000F5983" w:rsidP="00834D96" w14:paraId="0871CC22" w14:textId="77777777">
            <w:pPr>
              <w:spacing w:after="0" w:line="240" w:lineRule="auto"/>
              <w:rPr>
                <w:rFonts w:ascii="Times New Roman" w:hAnsi="Times New Roman"/>
                <w:b/>
                <w:color w:val="000000"/>
                <w:sz w:val="24"/>
                <w:szCs w:val="24"/>
              </w:rPr>
            </w:pPr>
          </w:p>
          <w:p w:rsidR="000F5983" w:rsidRPr="000F5983" w:rsidP="000F5983" w14:paraId="10565E91" w14:textId="775ACB10">
            <w:pPr>
              <w:rPr>
                <w:rFonts w:ascii="Times New Roman" w:hAnsi="Times New Roman"/>
                <w:sz w:val="24"/>
                <w:szCs w:val="24"/>
              </w:rPr>
            </w:pPr>
            <w:r>
              <w:rPr>
                <w:rFonts w:ascii="Times New Roman" w:hAnsi="Times New Roman"/>
                <w:sz w:val="24"/>
                <w:szCs w:val="24"/>
              </w:rPr>
              <w:t xml:space="preserve">No gift or payment is provided to respondents. </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A166CA">
        <w:tblPrEx>
          <w:tblW w:w="0" w:type="auto"/>
          <w:tblInd w:w="108" w:type="dxa"/>
          <w:tblLook w:val="04A0"/>
        </w:tblPrEx>
        <w:tc>
          <w:tcPr>
            <w:tcW w:w="9252" w:type="dxa"/>
            <w:shd w:val="clear" w:color="auto" w:fill="auto"/>
          </w:tcPr>
          <w:p w:rsidR="0021340A" w:rsidRPr="00AB2339" w:rsidP="00834D96" w14:paraId="2BEC6B85" w14:textId="77777777">
            <w:pPr>
              <w:spacing w:after="0" w:line="240" w:lineRule="auto"/>
              <w:rPr>
                <w:rFonts w:ascii="Times New Roman" w:hAnsi="Times New Roman"/>
                <w:bCs/>
                <w:color w:val="000000"/>
                <w:sz w:val="24"/>
                <w:szCs w:val="24"/>
              </w:rPr>
            </w:pPr>
            <w:r w:rsidRPr="00AB2339">
              <w:rPr>
                <w:rFonts w:ascii="Times New Roman" w:hAnsi="Times New Roman"/>
                <w:bCs/>
                <w:color w:val="000000"/>
                <w:sz w:val="24"/>
                <w:szCs w:val="24"/>
              </w:rPr>
              <w:t xml:space="preserve">10. Describe any assurance of confidentiality provided to respondents and the basis for the assurance in statute, regulation, or agency policy. </w:t>
            </w:r>
          </w:p>
          <w:p w:rsidR="003C02AF" w:rsidP="00834D96" w14:paraId="2D287F49" w14:textId="77777777">
            <w:pPr>
              <w:spacing w:after="0" w:line="240" w:lineRule="auto"/>
              <w:rPr>
                <w:rFonts w:ascii="Times New Roman" w:hAnsi="Times New Roman"/>
                <w:b/>
                <w:color w:val="000000"/>
                <w:sz w:val="24"/>
                <w:szCs w:val="24"/>
              </w:rPr>
            </w:pPr>
          </w:p>
          <w:p w:rsidR="00D305EB" w:rsidRPr="003C02AF" w:rsidP="003C02AF" w14:paraId="3E913ABB" w14:textId="0A501EAA">
            <w:pPr>
              <w:rPr>
                <w:rFonts w:ascii="Times New Roman" w:hAnsi="Times New Roman"/>
                <w:sz w:val="24"/>
                <w:szCs w:val="24"/>
              </w:rPr>
            </w:pPr>
            <w:r>
              <w:rPr>
                <w:rFonts w:ascii="Times New Roman" w:hAnsi="Times New Roman"/>
                <w:sz w:val="24"/>
                <w:szCs w:val="24"/>
              </w:rPr>
              <w:t xml:space="preserve">Confidentiality is not an issue for the data involved. </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495" w:type="dxa"/>
        <w:tblInd w:w="-72" w:type="dxa"/>
        <w:tblLook w:val="04A0"/>
      </w:tblPr>
      <w:tblGrid>
        <w:gridCol w:w="180"/>
        <w:gridCol w:w="1026"/>
        <w:gridCol w:w="1167"/>
        <w:gridCol w:w="1357"/>
        <w:gridCol w:w="1199"/>
        <w:gridCol w:w="1177"/>
        <w:gridCol w:w="1077"/>
        <w:gridCol w:w="867"/>
        <w:gridCol w:w="1077"/>
        <w:gridCol w:w="763"/>
        <w:gridCol w:w="605"/>
      </w:tblGrid>
      <w:tr w14:paraId="4635DB9E" w14:textId="77777777" w:rsidTr="00155DB6">
        <w:tblPrEx>
          <w:tblW w:w="10495" w:type="dxa"/>
          <w:tblInd w:w="-72" w:type="dxa"/>
          <w:tblLook w:val="04A0"/>
        </w:tblPrEx>
        <w:trPr>
          <w:gridBefore w:val="1"/>
          <w:gridAfter w:val="1"/>
          <w:wBefore w:w="180" w:type="dxa"/>
          <w:wAfter w:w="605" w:type="dxa"/>
        </w:trPr>
        <w:tc>
          <w:tcPr>
            <w:tcW w:w="9710" w:type="dxa"/>
            <w:gridSpan w:val="9"/>
            <w:shd w:val="clear" w:color="auto" w:fill="auto"/>
          </w:tcPr>
          <w:p w:rsidR="0021340A" w:rsidRPr="00AB2339" w:rsidP="001B4FB5" w14:paraId="20D57FFE" w14:textId="17A18F49">
            <w:pPr>
              <w:spacing w:after="0" w:line="240" w:lineRule="auto"/>
              <w:rPr>
                <w:rFonts w:ascii="Times New Roman" w:hAnsi="Times New Roman"/>
                <w:bCs/>
                <w:color w:val="000000"/>
                <w:sz w:val="24"/>
                <w:szCs w:val="24"/>
              </w:rPr>
            </w:pPr>
            <w:r w:rsidRPr="00AB2339">
              <w:rPr>
                <w:rFonts w:ascii="Times New Roman" w:hAnsi="Times New Roman"/>
                <w:bCs/>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E1DFC" w:rsidP="001B4FB5" w14:paraId="2C02A04A" w14:textId="77777777">
            <w:pPr>
              <w:spacing w:after="0" w:line="240" w:lineRule="auto"/>
              <w:rPr>
                <w:rFonts w:ascii="Times New Roman" w:hAnsi="Times New Roman"/>
                <w:b/>
                <w:color w:val="000000"/>
                <w:sz w:val="24"/>
                <w:szCs w:val="24"/>
              </w:rPr>
            </w:pPr>
          </w:p>
          <w:p w:rsidR="00B62C5B" w:rsidRPr="00C879B4" w:rsidP="00A166CA" w14:paraId="399BE5A1" w14:textId="693FCEFB">
            <w:pPr>
              <w:rPr>
                <w:rFonts w:ascii="Times New Roman" w:hAnsi="Times New Roman"/>
                <w:b/>
                <w:color w:val="000000"/>
                <w:sz w:val="24"/>
                <w:szCs w:val="24"/>
              </w:rPr>
            </w:pPr>
            <w:r>
              <w:rPr>
                <w:rFonts w:ascii="Times New Roman" w:hAnsi="Times New Roman"/>
                <w:sz w:val="24"/>
                <w:szCs w:val="24"/>
              </w:rPr>
              <w:t>This form contains no questions of a sensitive nature</w:t>
            </w:r>
            <w:r w:rsidR="00AA2750">
              <w:rPr>
                <w:rFonts w:ascii="Times New Roman" w:hAnsi="Times New Roman"/>
                <w:sz w:val="24"/>
                <w:szCs w:val="24"/>
              </w:rPr>
              <w:t xml:space="preserve"> as described below.</w:t>
            </w:r>
          </w:p>
          <w:p w:rsidR="00B62C5B" w:rsidRPr="00AB2339" w:rsidP="00B62C5B" w14:paraId="2CC51E5E" w14:textId="77777777">
            <w:pPr>
              <w:spacing w:after="0" w:line="240" w:lineRule="auto"/>
              <w:rPr>
                <w:rFonts w:ascii="Times New Roman" w:hAnsi="Times New Roman"/>
                <w:bCs/>
                <w:color w:val="000000"/>
                <w:sz w:val="24"/>
                <w:szCs w:val="24"/>
              </w:rPr>
            </w:pPr>
            <w:r w:rsidRPr="00AB2339">
              <w:rPr>
                <w:rFonts w:ascii="Times New Roman" w:hAnsi="Times New Roman"/>
                <w:bCs/>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C879B4">
              <w:rPr>
                <w:rFonts w:ascii="Times New Roman" w:hAnsi="Times New Roman"/>
                <w:color w:val="000000"/>
                <w:sz w:val="24"/>
                <w:szCs w:val="24"/>
              </w:rPr>
              <w:t>hour</w:t>
            </w:r>
            <w:r w:rsidRPr="00C879B4">
              <w:rPr>
                <w:rFonts w:ascii="Times New Roman" w:hAnsi="Times New Roman"/>
                <w:color w:val="000000"/>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00155DB6">
        <w:tblPrEx>
          <w:tblW w:w="10495" w:type="dxa"/>
          <w:tblInd w:w="-72" w:type="dxa"/>
          <w:tblLook w:val="04A0"/>
        </w:tblPrEx>
        <w:tc>
          <w:tcPr>
            <w:tcW w:w="1206"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289"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155DB6">
        <w:tblPrEx>
          <w:tblW w:w="10495" w:type="dxa"/>
          <w:tblInd w:w="-72" w:type="dxa"/>
          <w:tblLook w:val="04A0"/>
        </w:tblPrEx>
        <w:tc>
          <w:tcPr>
            <w:tcW w:w="1206"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289"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155DB6">
        <w:tblPrEx>
          <w:tblW w:w="10495"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rsidR="006C1F71" w:rsidP="00A6656E" w14:paraId="76865CBF" w14:textId="77777777">
            <w:pPr>
              <w:ind w:right="-108"/>
              <w:jc w:val="center"/>
              <w:rPr>
                <w:rFonts w:ascii="Helvetica" w:hAnsi="Helvetica"/>
                <w:b/>
                <w:bCs/>
                <w:color w:val="000000"/>
                <w:sz w:val="18"/>
              </w:rPr>
            </w:pPr>
          </w:p>
          <w:p w:rsidR="00AD74F3" w:rsidP="006C1F71" w14:paraId="3A780C33" w14:textId="482C0DB3">
            <w:pPr>
              <w:ind w:right="-108"/>
              <w:rPr>
                <w:rFonts w:ascii="Helvetica" w:hAnsi="Helvetica"/>
                <w:b/>
                <w:bCs/>
                <w:color w:val="000000"/>
                <w:sz w:val="18"/>
              </w:rPr>
            </w:pPr>
            <w:r>
              <w:rPr>
                <w:rFonts w:ascii="Helvetica" w:hAnsi="Helvetica"/>
                <w:b/>
                <w:bCs/>
                <w:color w:val="000000"/>
                <w:sz w:val="18"/>
              </w:rPr>
              <w:t xml:space="preserve">HUD Form </w:t>
            </w:r>
            <w:r w:rsidRPr="00AD74F3">
              <w:rPr>
                <w:rFonts w:ascii="Helvetica" w:hAnsi="Helvetica"/>
                <w:b/>
                <w:bCs/>
                <w:color w:val="000000"/>
                <w:sz w:val="18"/>
              </w:rPr>
              <w:t>92080</w:t>
            </w:r>
          </w:p>
          <w:p w:rsidR="00B85ED4" w:rsidRPr="00C879B4" w:rsidP="006C1F71" w14:paraId="1BA0FEA1" w14:textId="1689AB2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368"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00155DB6">
        <w:tblPrEx>
          <w:tblW w:w="10495"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235EDD2D" w14:textId="59A47510">
            <w:pPr>
              <w:rPr>
                <w:rFonts w:ascii="Helvetica" w:hAnsi="Helvetica"/>
                <w:bCs/>
                <w:color w:val="000000"/>
                <w:sz w:val="18"/>
              </w:rPr>
            </w:pPr>
            <w:r>
              <w:rPr>
                <w:rFonts w:ascii="Helvetica" w:hAnsi="Helvetica"/>
                <w:bCs/>
                <w:color w:val="000000"/>
                <w:sz w:val="18"/>
              </w:rPr>
              <w:t>Mortgage Record Change - Lenders</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rsidR="00AD74F3" w:rsidRPr="00C879B4" w:rsidP="00AD74F3" w14:paraId="0957D3DA" w14:textId="44102C66">
            <w:pPr>
              <w:jc w:val="center"/>
              <w:rPr>
                <w:rFonts w:ascii="Helvetica" w:hAnsi="Helvetica"/>
                <w:bCs/>
                <w:color w:val="000000"/>
                <w:sz w:val="18"/>
              </w:rPr>
            </w:pPr>
            <w:r>
              <w:rPr>
                <w:rFonts w:ascii="Helvetica" w:hAnsi="Helvetica"/>
                <w:bCs/>
                <w:color w:val="000000"/>
                <w:sz w:val="18"/>
              </w:rPr>
              <w:t>FHA Connection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9671722" w14:textId="47CC98DC">
            <w:pPr>
              <w:jc w:val="center"/>
              <w:rPr>
                <w:rFonts w:ascii="Helvetica" w:hAnsi="Helvetica"/>
                <w:bCs/>
                <w:color w:val="000000"/>
                <w:sz w:val="18"/>
              </w:rPr>
            </w:pPr>
            <w:r>
              <w:rPr>
                <w:rFonts w:ascii="Helvetica" w:hAnsi="Helvetica"/>
                <w:bCs/>
                <w:color w:val="000000"/>
                <w:sz w:val="18"/>
              </w:rPr>
              <w:t>10,000</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281EE66A">
            <w:pPr>
              <w:jc w:val="center"/>
              <w:rPr>
                <w:rFonts w:ascii="Helvetica" w:hAnsi="Helvetica"/>
                <w:bCs/>
                <w:color w:val="000000"/>
                <w:sz w:val="18"/>
              </w:rPr>
            </w:pPr>
            <w:r>
              <w:rPr>
                <w:rFonts w:ascii="Helvetica" w:hAnsi="Helvetica"/>
                <w:bCs/>
                <w:color w:val="000000"/>
                <w:sz w:val="18"/>
              </w:rPr>
              <w:t>Varies</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B25139" w:rsidP="00B106EA" w14:paraId="3C525D72" w14:textId="46B579ED">
            <w:pPr>
              <w:jc w:val="center"/>
              <w:rPr>
                <w:rFonts w:ascii="Helvetica" w:hAnsi="Helvetica"/>
                <w:bCs/>
                <w:color w:val="000000"/>
                <w:sz w:val="18"/>
                <w:highlight w:val="yellow"/>
              </w:rPr>
            </w:pPr>
            <w:r w:rsidRPr="00775EB7">
              <w:rPr>
                <w:rFonts w:ascii="Helvetica" w:hAnsi="Helvetica"/>
                <w:bCs/>
                <w:color w:val="000000"/>
                <w:sz w:val="18"/>
              </w:rPr>
              <w:t>3,263,703</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3ED7B734" w14:textId="3C211A10">
            <w:pPr>
              <w:jc w:val="center"/>
              <w:rPr>
                <w:rFonts w:ascii="Helvetica" w:hAnsi="Helvetica"/>
                <w:bCs/>
                <w:color w:val="000000"/>
                <w:sz w:val="18"/>
              </w:rPr>
            </w:pPr>
            <w:r>
              <w:rPr>
                <w:rFonts w:ascii="Helvetica" w:hAnsi="Helvetica"/>
                <w:bCs/>
                <w:color w:val="000000"/>
                <w:sz w:val="18"/>
              </w:rPr>
              <w:t>.</w:t>
            </w:r>
            <w:r w:rsidR="004A050A">
              <w:rPr>
                <w:rFonts w:ascii="Helvetica" w:hAnsi="Helvetica"/>
                <w:bCs/>
                <w:color w:val="000000"/>
                <w:sz w:val="18"/>
              </w:rPr>
              <w:t>1</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9C2918" w14:textId="0F56AED4">
            <w:pPr>
              <w:jc w:val="center"/>
              <w:rPr>
                <w:rFonts w:ascii="Helvetica" w:hAnsi="Helvetica"/>
                <w:bCs/>
                <w:color w:val="000000"/>
                <w:sz w:val="18"/>
              </w:rPr>
            </w:pPr>
            <w:r>
              <w:rPr>
                <w:rFonts w:ascii="Helvetica" w:hAnsi="Helvetica"/>
                <w:bCs/>
                <w:color w:val="000000"/>
                <w:sz w:val="18"/>
              </w:rPr>
              <w:t>326,370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25E16A71" w14:textId="1AC6727B">
            <w:pPr>
              <w:jc w:val="right"/>
              <w:rPr>
                <w:rFonts w:ascii="Helvetica" w:hAnsi="Helvetica"/>
                <w:bCs/>
                <w:color w:val="000000"/>
                <w:sz w:val="18"/>
              </w:rPr>
            </w:pPr>
            <w:r>
              <w:rPr>
                <w:rFonts w:ascii="Helvetica" w:hAnsi="Helvetica"/>
                <w:bCs/>
                <w:color w:val="000000"/>
                <w:sz w:val="18"/>
              </w:rPr>
              <w:t>$3</w:t>
            </w:r>
            <w:r w:rsidR="00970DC0">
              <w:rPr>
                <w:rFonts w:ascii="Helvetica" w:hAnsi="Helvetica"/>
                <w:bCs/>
                <w:color w:val="000000"/>
                <w:sz w:val="18"/>
              </w:rPr>
              <w:t>2.00</w:t>
            </w:r>
          </w:p>
        </w:tc>
        <w:tc>
          <w:tcPr>
            <w:tcW w:w="1368" w:type="dxa"/>
            <w:gridSpan w:val="2"/>
            <w:tcBorders>
              <w:top w:val="single" w:sz="4" w:space="0" w:color="auto"/>
              <w:left w:val="single" w:sz="4" w:space="0" w:color="auto"/>
              <w:bottom w:val="single" w:sz="4" w:space="0" w:color="auto"/>
              <w:right w:val="single" w:sz="4" w:space="0" w:color="auto"/>
            </w:tcBorders>
          </w:tcPr>
          <w:p w:rsidR="006C1F71" w:rsidRPr="00C879B4" w:rsidP="00EA77A7" w14:paraId="53BD3A1B" w14:textId="32DF759B">
            <w:pPr>
              <w:jc w:val="center"/>
              <w:rPr>
                <w:rFonts w:ascii="Helvetica" w:hAnsi="Helvetica"/>
                <w:bCs/>
                <w:color w:val="000000"/>
                <w:sz w:val="18"/>
              </w:rPr>
            </w:pPr>
            <w:r>
              <w:rPr>
                <w:rFonts w:ascii="Helvetica" w:hAnsi="Helvetica"/>
                <w:bCs/>
                <w:color w:val="000000"/>
                <w:sz w:val="18"/>
              </w:rPr>
              <w:t>10,443,849.60</w:t>
            </w:r>
          </w:p>
        </w:tc>
      </w:tr>
      <w:tr w14:paraId="2BD65421" w14:textId="77777777" w:rsidTr="00155DB6">
        <w:tblPrEx>
          <w:tblW w:w="10495"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540628" w:rsidP="00B106EA" w14:paraId="055C3762" w14:textId="77777777">
            <w:pPr>
              <w:rPr>
                <w:rFonts w:ascii="Helvetica" w:hAnsi="Helvetica"/>
                <w:bCs/>
                <w:color w:val="000000"/>
                <w:sz w:val="18"/>
              </w:rPr>
            </w:pPr>
          </w:p>
        </w:tc>
        <w:tc>
          <w:tcPr>
            <w:tcW w:w="1167" w:type="dxa"/>
            <w:tcBorders>
              <w:top w:val="single" w:sz="4" w:space="0" w:color="auto"/>
              <w:left w:val="single" w:sz="4" w:space="0" w:color="auto"/>
              <w:bottom w:val="single" w:sz="4" w:space="0" w:color="auto"/>
              <w:right w:val="single" w:sz="4" w:space="0" w:color="auto"/>
            </w:tcBorders>
            <w:shd w:val="clear" w:color="auto" w:fill="D9D9D9"/>
          </w:tcPr>
          <w:p w:rsidR="00540628" w:rsidP="00862E46" w14:paraId="3DC560A0"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540628" w:rsidP="00B106EA" w14:paraId="5818B28A" w14:textId="77777777">
            <w:pPr>
              <w:jc w:val="center"/>
              <w:rPr>
                <w:rFonts w:ascii="Helvetica" w:hAnsi="Helvetica"/>
                <w:bCs/>
                <w:color w:val="000000"/>
                <w:sz w:val="18"/>
              </w:rPr>
            </w:pPr>
          </w:p>
        </w:tc>
        <w:tc>
          <w:tcPr>
            <w:tcW w:w="1199" w:type="dxa"/>
            <w:tcBorders>
              <w:top w:val="single" w:sz="4" w:space="0" w:color="auto"/>
              <w:left w:val="single" w:sz="4" w:space="0" w:color="auto"/>
              <w:bottom w:val="single" w:sz="4" w:space="0" w:color="auto"/>
              <w:right w:val="single" w:sz="4" w:space="0" w:color="auto"/>
            </w:tcBorders>
            <w:vAlign w:val="center"/>
          </w:tcPr>
          <w:p w:rsidR="00540628" w:rsidP="00B106EA" w14:paraId="46863EDC"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540628" w:rsidRPr="00775EB7" w:rsidP="00B106EA" w14:paraId="272658E3"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540628" w:rsidP="00B106EA" w14:paraId="052CC393" w14:textId="77777777">
            <w:pPr>
              <w:jc w:val="center"/>
              <w:rPr>
                <w:rFonts w:ascii="Helvetica" w:hAnsi="Helvetica"/>
                <w:bCs/>
                <w:color w:val="000000"/>
                <w:sz w:val="18"/>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rsidR="00540628" w:rsidP="00B106EA" w14:paraId="2157A057"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540628" w:rsidP="00B106EA" w14:paraId="39AEFD73" w14:textId="77777777">
            <w:pPr>
              <w:jc w:val="right"/>
              <w:rPr>
                <w:rFonts w:ascii="Helvetica" w:hAnsi="Helvetica"/>
                <w:bCs/>
                <w:color w:val="000000"/>
                <w:sz w:val="18"/>
              </w:rPr>
            </w:pPr>
          </w:p>
        </w:tc>
        <w:tc>
          <w:tcPr>
            <w:tcW w:w="1368" w:type="dxa"/>
            <w:gridSpan w:val="2"/>
            <w:tcBorders>
              <w:top w:val="single" w:sz="4" w:space="0" w:color="auto"/>
              <w:left w:val="single" w:sz="4" w:space="0" w:color="auto"/>
              <w:bottom w:val="single" w:sz="4" w:space="0" w:color="auto"/>
              <w:right w:val="single" w:sz="4" w:space="0" w:color="auto"/>
            </w:tcBorders>
          </w:tcPr>
          <w:p w:rsidR="00540628" w:rsidP="00EA77A7" w14:paraId="093E0870" w14:textId="77777777">
            <w:pPr>
              <w:jc w:val="center"/>
              <w:rPr>
                <w:rFonts w:ascii="Helvetica" w:hAnsi="Helvetica"/>
                <w:bCs/>
                <w:color w:val="000000"/>
                <w:sz w:val="18"/>
              </w:rPr>
            </w:pPr>
          </w:p>
        </w:tc>
      </w:tr>
      <w:tr w14:paraId="665E9521" w14:textId="77777777" w:rsidTr="00155DB6">
        <w:tblPrEx>
          <w:tblW w:w="10495"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67"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B106EA"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21F971F5" w14:textId="3CB432F3">
            <w:pPr>
              <w:jc w:val="center"/>
              <w:rPr>
                <w:rFonts w:ascii="Helvetica" w:hAnsi="Helvetica"/>
                <w:bCs/>
                <w:color w:val="000000"/>
                <w:sz w:val="18"/>
              </w:rPr>
            </w:pPr>
            <w:r>
              <w:rPr>
                <w:rFonts w:ascii="Helvetica" w:hAnsi="Helvetica"/>
                <w:bCs/>
                <w:color w:val="000000"/>
                <w:sz w:val="18"/>
              </w:rPr>
              <w:t>10,000</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8881F29" w14:textId="5018F86E">
            <w:pPr>
              <w:jc w:val="center"/>
              <w:rPr>
                <w:rFonts w:ascii="Helvetica" w:hAnsi="Helvetica"/>
                <w:bCs/>
                <w:color w:val="000000"/>
                <w:sz w:val="18"/>
              </w:rPr>
            </w:pPr>
            <w:r>
              <w:rPr>
                <w:rFonts w:ascii="Helvetica" w:hAnsi="Helvetica"/>
                <w:bCs/>
                <w:color w:val="000000"/>
                <w:sz w:val="18"/>
              </w:rPr>
              <w:t>3,263,703</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1920579E" w14:textId="77777777">
            <w:pPr>
              <w:jc w:val="center"/>
              <w:rPr>
                <w:rFonts w:ascii="Helvetica" w:hAnsi="Helvetica"/>
                <w:bCs/>
                <w:color w:val="000000"/>
                <w:sz w:val="18"/>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8CDF549" w14:textId="7E0B8F3E">
            <w:pPr>
              <w:jc w:val="center"/>
              <w:rPr>
                <w:rFonts w:ascii="Helvetica" w:hAnsi="Helvetica"/>
                <w:bCs/>
                <w:color w:val="000000"/>
                <w:sz w:val="18"/>
              </w:rPr>
            </w:pPr>
            <w:r>
              <w:rPr>
                <w:rFonts w:ascii="Helvetica" w:hAnsi="Helvetica"/>
                <w:bCs/>
                <w:color w:val="000000"/>
                <w:sz w:val="18"/>
              </w:rPr>
              <w:t>326,370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60479D6D" w14:textId="77777777">
            <w:pPr>
              <w:jc w:val="right"/>
              <w:rPr>
                <w:rFonts w:ascii="Helvetica" w:hAnsi="Helvetica"/>
                <w:bCs/>
                <w:color w:val="000000"/>
                <w:sz w:val="18"/>
              </w:rPr>
            </w:pPr>
          </w:p>
        </w:tc>
        <w:tc>
          <w:tcPr>
            <w:tcW w:w="1368" w:type="dxa"/>
            <w:gridSpan w:val="2"/>
            <w:tcBorders>
              <w:top w:val="single" w:sz="4" w:space="0" w:color="auto"/>
              <w:left w:val="single" w:sz="4" w:space="0" w:color="auto"/>
              <w:bottom w:val="single" w:sz="4" w:space="0" w:color="auto"/>
              <w:right w:val="single" w:sz="4" w:space="0" w:color="auto"/>
            </w:tcBorders>
          </w:tcPr>
          <w:p w:rsidR="006C1F71" w:rsidRPr="00C879B4" w:rsidP="00B106EA" w14:paraId="366F495F" w14:textId="71F7D176">
            <w:pPr>
              <w:jc w:val="right"/>
              <w:rPr>
                <w:rFonts w:ascii="Helvetica" w:hAnsi="Helvetica"/>
                <w:bCs/>
                <w:color w:val="000000"/>
                <w:sz w:val="18"/>
              </w:rPr>
            </w:pPr>
            <w:r>
              <w:rPr>
                <w:rFonts w:ascii="Helvetica" w:hAnsi="Helvetica"/>
                <w:bCs/>
                <w:color w:val="000000"/>
                <w:sz w:val="18"/>
              </w:rPr>
              <w:t>10,443</w:t>
            </w:r>
            <w:r w:rsidR="00775EB7">
              <w:rPr>
                <w:rFonts w:ascii="Helvetica" w:hAnsi="Helvetica"/>
                <w:bCs/>
                <w:color w:val="000000"/>
                <w:sz w:val="18"/>
              </w:rPr>
              <w:t>,849.60</w:t>
            </w:r>
          </w:p>
        </w:tc>
      </w:tr>
    </w:tbl>
    <w:p w:rsidR="006B76CD" w:rsidP="006B76CD" w14:paraId="558C081A" w14:textId="77777777">
      <w:pPr>
        <w:spacing w:after="0"/>
        <w:rPr>
          <w:sz w:val="16"/>
          <w:szCs w:val="16"/>
        </w:rPr>
      </w:pPr>
      <w:r w:rsidRPr="00A9726C">
        <w:rPr>
          <w:sz w:val="16"/>
          <w:szCs w:val="16"/>
          <w:highlight w:val="yellow"/>
        </w:rPr>
        <w:t>Note</w:t>
      </w:r>
      <w:r w:rsidRPr="009B69D3">
        <w:rPr>
          <w:sz w:val="16"/>
          <w:szCs w:val="16"/>
        </w:rPr>
        <w:t>: The “Avg. Hourly Wage Rate” for each respondent includes a 1.4</w:t>
      </w:r>
      <w:r>
        <w:rPr>
          <w:sz w:val="16"/>
          <w:szCs w:val="16"/>
        </w:rPr>
        <w:t>6</w:t>
      </w:r>
      <w:r w:rsidRPr="009B69D3">
        <w:rPr>
          <w:sz w:val="16"/>
          <w:szCs w:val="16"/>
        </w:rPr>
        <w:t xml:space="preserve"> multiplier to r</w:t>
      </w:r>
      <w:r>
        <w:rPr>
          <w:sz w:val="16"/>
          <w:szCs w:val="16"/>
        </w:rPr>
        <w:t xml:space="preserve">eflect a </w:t>
      </w:r>
      <w:r>
        <w:rPr>
          <w:sz w:val="16"/>
          <w:szCs w:val="16"/>
        </w:rPr>
        <w:t>fully-loaded</w:t>
      </w:r>
      <w:r>
        <w:rPr>
          <w:sz w:val="16"/>
          <w:szCs w:val="16"/>
        </w:rPr>
        <w:t xml:space="preserve"> wage rate. </w:t>
      </w:r>
    </w:p>
    <w:p w:rsidR="006B76CD" w:rsidRPr="009B69D3" w:rsidP="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77777777">
      <w:pPr>
        <w:tabs>
          <w:tab w:val="left" w:pos="-720"/>
        </w:tabs>
        <w:suppressAutoHyphens/>
        <w:spacing w:after="0" w:line="240" w:lineRule="auto"/>
        <w:rPr>
          <w:rFonts w:ascii="Times New Roman" w:hAnsi="Times New Roman"/>
          <w:b/>
          <w:sz w:val="24"/>
          <w:szCs w:val="24"/>
        </w:rPr>
      </w:pPr>
      <w:r w:rsidRPr="00A9726C">
        <w:rPr>
          <w:rFonts w:ascii="Times New Roman" w:hAnsi="Times New Roman"/>
          <w:b/>
          <w:sz w:val="24"/>
          <w:szCs w:val="24"/>
          <w:highlight w:val="yellow"/>
        </w:rPr>
        <w:t>Instruction for Wage-rate category 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6B76CD" w:rsidP="006B76CD" w14:paraId="7D9A50F9" w14:textId="2D784AB0">
      <w:pPr>
        <w:tabs>
          <w:tab w:val="left" w:pos="-720"/>
        </w:tabs>
        <w:suppressAutoHyphens/>
        <w:rPr>
          <w:rFonts w:ascii="Times New Roman" w:hAnsi="Times New Roman"/>
          <w:sz w:val="24"/>
          <w:szCs w:val="24"/>
        </w:rPr>
      </w:pPr>
      <w:r w:rsidRPr="006625E7">
        <w:rPr>
          <w:rFonts w:ascii="Times New Roman" w:hAnsi="Times New Roman"/>
          <w:sz w:val="24"/>
          <w:szCs w:val="24"/>
        </w:rPr>
        <w:t>According to the U.S. Department of Labor, Bureau of Labor Statistics website (</w:t>
      </w:r>
      <w:hyperlink r:id="rId8" w:history="1">
        <w:r w:rsidRPr="006625E7">
          <w:rPr>
            <w:rStyle w:val="Hyperlink"/>
            <w:rFonts w:ascii="Times New Roman" w:hAnsi="Times New Roman"/>
            <w:sz w:val="24"/>
            <w:szCs w:val="24"/>
          </w:rPr>
          <w:t>www.bls.gov</w:t>
        </w:r>
      </w:hyperlink>
      <w:r w:rsidRPr="006625E7">
        <w:rPr>
          <w:rFonts w:ascii="Times New Roman" w:hAnsi="Times New Roman"/>
          <w:sz w:val="24"/>
          <w:szCs w:val="24"/>
        </w:rPr>
        <w:t>) the wage rate category for</w:t>
      </w:r>
      <w:r w:rsidR="00983E4B">
        <w:rPr>
          <w:rFonts w:ascii="Times New Roman" w:hAnsi="Times New Roman"/>
          <w:sz w:val="24"/>
          <w:szCs w:val="24"/>
        </w:rPr>
        <w:t xml:space="preserve"> </w:t>
      </w:r>
      <w:r w:rsidR="00117F18">
        <w:rPr>
          <w:rFonts w:ascii="Times New Roman" w:hAnsi="Times New Roman"/>
          <w:sz w:val="24"/>
          <w:szCs w:val="24"/>
        </w:rPr>
        <w:t>Financial Clerks</w:t>
      </w:r>
      <w:r w:rsidR="002C4C04">
        <w:rPr>
          <w:rFonts w:ascii="Times New Roman" w:hAnsi="Times New Roman"/>
          <w:sz w:val="24"/>
          <w:szCs w:val="24"/>
        </w:rPr>
        <w:t xml:space="preserve"> </w:t>
      </w:r>
      <w:r w:rsidRPr="006625E7">
        <w:rPr>
          <w:rFonts w:ascii="Times New Roman" w:hAnsi="Times New Roman"/>
          <w:sz w:val="24"/>
          <w:szCs w:val="24"/>
        </w:rPr>
        <w:t>is estimated to be</w:t>
      </w:r>
      <w:r w:rsidR="00AE106F">
        <w:rPr>
          <w:rFonts w:ascii="Times New Roman" w:hAnsi="Times New Roman"/>
          <w:sz w:val="24"/>
          <w:szCs w:val="24"/>
        </w:rPr>
        <w:t xml:space="preserve"> $</w:t>
      </w:r>
      <w:r w:rsidR="00154144">
        <w:rPr>
          <w:rFonts w:ascii="Times New Roman" w:hAnsi="Times New Roman"/>
          <w:sz w:val="24"/>
          <w:szCs w:val="24"/>
        </w:rPr>
        <w:t>3</w:t>
      </w:r>
      <w:r w:rsidR="00970DC0">
        <w:rPr>
          <w:rFonts w:ascii="Times New Roman" w:hAnsi="Times New Roman"/>
          <w:sz w:val="24"/>
          <w:szCs w:val="24"/>
        </w:rPr>
        <w:t>2.00</w:t>
      </w:r>
      <w:r w:rsidRPr="006625E7">
        <w:rPr>
          <w:rFonts w:ascii="Times New Roman" w:hAnsi="Times New Roman"/>
          <w:sz w:val="24"/>
          <w:szCs w:val="24"/>
        </w:rPr>
        <w:t xml:space="preserve"> per hour including the wage rate multiplier, therefore, the estimated burden hour cost to </w:t>
      </w:r>
      <w:r w:rsidR="00160AA7">
        <w:rPr>
          <w:rFonts w:ascii="Times New Roman" w:hAnsi="Times New Roman"/>
          <w:sz w:val="24"/>
          <w:szCs w:val="24"/>
        </w:rPr>
        <w:t xml:space="preserve">Lenders </w:t>
      </w:r>
      <w:r w:rsidRPr="006625E7">
        <w:rPr>
          <w:rFonts w:ascii="Times New Roman" w:hAnsi="Times New Roman"/>
          <w:sz w:val="24"/>
          <w:szCs w:val="24"/>
        </w:rPr>
        <w:t>is estimated to</w:t>
      </w:r>
      <w:r w:rsidR="008270C5">
        <w:rPr>
          <w:rFonts w:ascii="Times New Roman" w:hAnsi="Times New Roman"/>
          <w:sz w:val="24"/>
          <w:szCs w:val="24"/>
        </w:rPr>
        <w:t xml:space="preserve"> </w:t>
      </w:r>
      <w:r w:rsidR="00C312EA">
        <w:rPr>
          <w:rFonts w:ascii="Times New Roman" w:hAnsi="Times New Roman"/>
          <w:sz w:val="24"/>
          <w:szCs w:val="24"/>
        </w:rPr>
        <w:t>$10,</w:t>
      </w:r>
      <w:r w:rsidR="00DF5D89">
        <w:rPr>
          <w:rFonts w:ascii="Times New Roman" w:hAnsi="Times New Roman"/>
          <w:sz w:val="24"/>
          <w:szCs w:val="24"/>
        </w:rPr>
        <w:t>443,849.60</w:t>
      </w:r>
      <w:r w:rsidRPr="006625E7">
        <w:rPr>
          <w:rFonts w:ascii="Times New Roman" w:hAnsi="Times New Roman"/>
          <w:color w:val="0000FF"/>
          <w:sz w:val="24"/>
          <w:szCs w:val="24"/>
        </w:rPr>
        <w:t xml:space="preserve"> </w:t>
      </w:r>
      <w:r w:rsidRPr="006625E7">
        <w:rPr>
          <w:rFonts w:ascii="Times New Roman" w:hAnsi="Times New Roman"/>
          <w:sz w:val="24"/>
          <w:szCs w:val="24"/>
        </w:rPr>
        <w:t>annually.</w:t>
      </w:r>
    </w:p>
    <w:p w:rsidR="00FA2F70" w:rsidRPr="00C879B4" w:rsidP="00FA2F70" w14:paraId="24215B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0EA5230">
        <w:tblPrEx>
          <w:tblW w:w="0" w:type="auto"/>
          <w:tblInd w:w="108" w:type="dxa"/>
          <w:tblLook w:val="04A0"/>
        </w:tblPrEx>
        <w:tc>
          <w:tcPr>
            <w:tcW w:w="9252" w:type="dxa"/>
            <w:shd w:val="clear" w:color="auto" w:fill="auto"/>
          </w:tcPr>
          <w:p w:rsidR="0021340A" w:rsidRPr="001908E2" w:rsidP="001B4FB5" w14:paraId="2EB70E74" w14:textId="77777777">
            <w:pPr>
              <w:spacing w:after="0" w:line="240" w:lineRule="auto"/>
              <w:rPr>
                <w:rFonts w:ascii="Times New Roman" w:hAnsi="Times New Roman"/>
                <w:bCs/>
                <w:color w:val="000000"/>
                <w:sz w:val="24"/>
                <w:szCs w:val="24"/>
              </w:rPr>
            </w:pPr>
            <w:r w:rsidRPr="001908E2">
              <w:rPr>
                <w:rFonts w:ascii="Times New Roman" w:hAnsi="Times New Roman"/>
                <w:bCs/>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C879B4">
              <w:rPr>
                <w:rFonts w:ascii="Times New Roman" w:hAnsi="Times New Roman"/>
                <w:color w:val="000000"/>
                <w:sz w:val="24"/>
                <w:szCs w:val="24"/>
              </w:rPr>
              <w:t>take into account</w:t>
            </w:r>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879B4">
              <w:rPr>
                <w:rFonts w:ascii="Times New Roman" w:hAnsi="Times New Roman"/>
                <w:color w:val="000000"/>
                <w:sz w:val="24"/>
                <w:szCs w:val="24"/>
              </w:rPr>
              <w:t>time period</w:t>
            </w:r>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w:t>
            </w:r>
            <w:r w:rsidRPr="00C879B4">
              <w:rPr>
                <w:rFonts w:ascii="Times New Roman" w:hAnsi="Times New Roman"/>
                <w:color w:val="000000"/>
                <w:sz w:val="24"/>
                <w:szCs w:val="24"/>
              </w:rPr>
              <w:t xml:space="preserve">or regulatory impact analysis associated with the rulemaking 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RPr="00C879B4" w:rsidP="001B4FB5" w14:paraId="61B03FD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C879B4" w:rsidP="001B4FB5" w14:paraId="418D9C14" w14:textId="77777777">
            <w:pPr>
              <w:spacing w:after="0" w:line="240" w:lineRule="auto"/>
              <w:rPr>
                <w:rFonts w:ascii="Times New Roman" w:hAnsi="Times New Roman"/>
                <w:b/>
                <w:color w:val="000000"/>
                <w:sz w:val="24"/>
                <w:szCs w:val="24"/>
              </w:rPr>
            </w:pPr>
          </w:p>
        </w:tc>
      </w:tr>
      <w:tr w14:paraId="793A83EB" w14:textId="77777777" w:rsidTr="00EA5230">
        <w:tblPrEx>
          <w:tblW w:w="0" w:type="auto"/>
          <w:tblInd w:w="108" w:type="dxa"/>
          <w:tblLook w:val="04A0"/>
        </w:tblPrEx>
        <w:tc>
          <w:tcPr>
            <w:tcW w:w="9252" w:type="dxa"/>
            <w:shd w:val="clear" w:color="auto" w:fill="auto"/>
          </w:tcPr>
          <w:p w:rsidR="00272D6B" w:rsidRPr="00C879B4" w:rsidP="001B4FB5" w14:paraId="3477F68E" w14:textId="0B9617AE">
            <w:pPr>
              <w:spacing w:after="0" w:line="240" w:lineRule="auto"/>
              <w:rPr>
                <w:rFonts w:ascii="Times New Roman" w:hAnsi="Times New Roman"/>
                <w:b/>
                <w:color w:val="000000"/>
                <w:sz w:val="24"/>
                <w:szCs w:val="24"/>
              </w:rPr>
            </w:pPr>
          </w:p>
        </w:tc>
      </w:tr>
    </w:tbl>
    <w:p w:rsidR="00EA5230" w:rsidRPr="00531DCA" w:rsidP="00EA5230" w14:paraId="51FC4E2F" w14:textId="77777777">
      <w:pPr>
        <w:rPr>
          <w:rFonts w:ascii="Times New Roman" w:hAnsi="Times New Roman"/>
          <w:sz w:val="24"/>
          <w:szCs w:val="24"/>
        </w:rPr>
      </w:pPr>
      <w:r>
        <w:rPr>
          <w:rFonts w:ascii="Times New Roman" w:hAnsi="Times New Roman"/>
          <w:sz w:val="24"/>
          <w:szCs w:val="24"/>
        </w:rPr>
        <w:t xml:space="preserve">There are no additional costs to the respondents. </w:t>
      </w:r>
    </w:p>
    <w:p w:rsidR="00272D6B" w:rsidP="00272D6B" w14:paraId="483674DA" w14:textId="77777777">
      <w:pPr>
        <w:tabs>
          <w:tab w:val="left" w:pos="1056"/>
        </w:tabs>
        <w:spacing w:after="160" w:line="259" w:lineRule="auto"/>
        <w:jc w:val="center"/>
        <w:rPr>
          <w:rFonts w:ascii="Times New Roman" w:hAnsi="Times New Roman" w:eastAsiaTheme="minorHAnsi"/>
          <w:b/>
          <w:bCs/>
          <w:sz w:val="24"/>
          <w:szCs w:val="24"/>
        </w:rPr>
      </w:pPr>
    </w:p>
    <w:p w:rsidR="00272D6B" w:rsidRPr="00272D6B" w:rsidP="00B85ED4" w14:paraId="07B25256" w14:textId="4EB31B98">
      <w:pPr>
        <w:tabs>
          <w:tab w:val="left" w:pos="1056"/>
        </w:tabs>
        <w:spacing w:after="0" w:line="240" w:lineRule="auto"/>
        <w:jc w:val="center"/>
        <w:rPr>
          <w:rFonts w:ascii="Times New Roman" w:hAnsi="Times New Roman" w:eastAsiaTheme="minorHAnsi"/>
          <w:b/>
          <w:bCs/>
          <w:sz w:val="24"/>
          <w:szCs w:val="24"/>
        </w:rPr>
      </w:pPr>
      <w:r w:rsidRPr="00272D6B">
        <w:rPr>
          <w:rFonts w:ascii="Times New Roman" w:hAnsi="Times New Roman" w:eastAsiaTheme="minorHAnsi"/>
          <w:b/>
          <w:bCs/>
          <w:sz w:val="24"/>
          <w:szCs w:val="24"/>
        </w:rPr>
        <w:t>Annual Cost Burden to Respondents or Recordkeepers</w:t>
      </w:r>
    </w:p>
    <w:tbl>
      <w:tblPr>
        <w:tblW w:w="10085" w:type="dxa"/>
        <w:tblInd w:w="-5" w:type="dxa"/>
        <w:tblLayout w:type="fixed"/>
        <w:tblLook w:val="0000"/>
      </w:tblPr>
      <w:tblGrid>
        <w:gridCol w:w="2070"/>
        <w:gridCol w:w="1715"/>
        <w:gridCol w:w="2250"/>
        <w:gridCol w:w="2430"/>
        <w:gridCol w:w="1620"/>
      </w:tblGrid>
      <w:tr w14:paraId="5315B792" w14:textId="77777777" w:rsidTr="00436299">
        <w:tblPrEx>
          <w:tblW w:w="10085" w:type="dxa"/>
          <w:tblInd w:w="-5" w:type="dxa"/>
          <w:tblLayout w:type="fixed"/>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272D6B" w:rsidRPr="00272D6B" w:rsidP="00436299" w14:paraId="5F0D510E" w14:textId="77777777">
            <w:pPr>
              <w:rPr>
                <w:rFonts w:ascii="Helvetica" w:hAnsi="Helvetica"/>
                <w:b/>
                <w:bCs/>
                <w:color w:val="000000"/>
                <w:sz w:val="18"/>
              </w:rPr>
            </w:pPr>
            <w:r w:rsidRPr="00272D6B">
              <w:rPr>
                <w:rFonts w:ascii="Helvetica" w:hAnsi="Helvetica"/>
                <w:b/>
                <w:bCs/>
                <w:color w:val="000000"/>
                <w:sz w:val="18"/>
              </w:rPr>
              <w:t>Data Collection Activity / Instrument</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272D6B" w:rsidRPr="00272D6B" w:rsidP="00436299" w14:paraId="1CEB7F8C" w14:textId="77777777">
            <w:pPr>
              <w:ind w:right="-108"/>
              <w:jc w:val="center"/>
              <w:rPr>
                <w:rFonts w:ascii="Helvetica" w:hAnsi="Helvetica"/>
                <w:b/>
                <w:bCs/>
                <w:color w:val="000000"/>
                <w:sz w:val="18"/>
              </w:rPr>
            </w:pPr>
          </w:p>
          <w:p w:rsidR="00272D6B" w:rsidRPr="00272D6B" w:rsidP="00436299" w14:paraId="1188E232" w14:textId="77777777">
            <w:pPr>
              <w:ind w:right="-108"/>
              <w:rPr>
                <w:rFonts w:ascii="Helvetica" w:hAnsi="Helvetica"/>
                <w:b/>
                <w:bCs/>
                <w:color w:val="000000"/>
                <w:sz w:val="18"/>
              </w:rPr>
            </w:pPr>
            <w:r w:rsidRPr="00272D6B">
              <w:rPr>
                <w:rFonts w:ascii="Helvetica" w:hAnsi="Helvetica"/>
                <w:b/>
                <w:bCs/>
                <w:color w:val="000000"/>
                <w:sz w:val="18"/>
              </w:rPr>
              <w:t>Annual Capital Start-Up Cost (investments in overhead, equipment, and other one-time expenditures)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2D6B" w:rsidRPr="00272D6B" w:rsidP="00436299" w14:paraId="4B5A64D1" w14:textId="77777777">
            <w:pPr>
              <w:ind w:right="-108"/>
              <w:jc w:val="center"/>
              <w:rPr>
                <w:rFonts w:ascii="Helvetica" w:hAnsi="Helvetica"/>
                <w:b/>
                <w:bCs/>
                <w:color w:val="000000"/>
                <w:sz w:val="18"/>
              </w:rPr>
            </w:pPr>
            <w:r w:rsidRPr="00272D6B">
              <w:rPr>
                <w:rFonts w:ascii="Helvetica" w:hAnsi="Helvetica"/>
                <w:b/>
                <w:bCs/>
                <w:color w:val="000000"/>
                <w:sz w:val="18"/>
              </w:rPr>
              <w:t>Annual Operations and Maintenance Cost (such as recordkeeping, technical/professional services, etc.)</w:t>
            </w:r>
          </w:p>
        </w:tc>
        <w:tc>
          <w:tcPr>
            <w:tcW w:w="2430" w:type="dxa"/>
            <w:tcBorders>
              <w:top w:val="single" w:sz="4" w:space="0" w:color="auto"/>
              <w:left w:val="single" w:sz="4" w:space="0" w:color="auto"/>
              <w:bottom w:val="single" w:sz="4" w:space="0" w:color="auto"/>
              <w:right w:val="single" w:sz="4" w:space="0" w:color="auto"/>
            </w:tcBorders>
            <w:vAlign w:val="center"/>
          </w:tcPr>
          <w:p w:rsidR="00272D6B" w:rsidRPr="00272D6B" w:rsidP="00436299" w14:paraId="65DA78CB" w14:textId="77777777">
            <w:pPr>
              <w:ind w:left="72" w:right="-108"/>
              <w:jc w:val="center"/>
              <w:rPr>
                <w:rFonts w:ascii="Helvetica" w:hAnsi="Helvetica"/>
                <w:b/>
                <w:bCs/>
                <w:color w:val="000000"/>
                <w:sz w:val="18"/>
              </w:rPr>
            </w:pPr>
            <w:r w:rsidRPr="00272D6B">
              <w:rPr>
                <w:rFonts w:ascii="Helvetica" w:hAnsi="Helvetica"/>
                <w:b/>
                <w:bCs/>
                <w:color w:val="000000"/>
                <w:sz w:val="18"/>
              </w:rPr>
              <w:t>Annual Non-Labor Cost (expenditures on training, travel, and other resources)</w:t>
            </w:r>
          </w:p>
        </w:tc>
        <w:tc>
          <w:tcPr>
            <w:tcW w:w="1620" w:type="dxa"/>
            <w:tcBorders>
              <w:top w:val="single" w:sz="4" w:space="0" w:color="auto"/>
              <w:left w:val="single" w:sz="4" w:space="0" w:color="auto"/>
              <w:bottom w:val="single" w:sz="4" w:space="0" w:color="auto"/>
              <w:right w:val="single" w:sz="4" w:space="0" w:color="auto"/>
            </w:tcBorders>
          </w:tcPr>
          <w:p w:rsidR="00272D6B" w:rsidRPr="00272D6B" w:rsidP="00436299" w14:paraId="0958FFE8" w14:textId="77777777">
            <w:pPr>
              <w:ind w:right="-108"/>
              <w:jc w:val="center"/>
              <w:rPr>
                <w:rFonts w:ascii="Helvetica" w:hAnsi="Helvetica"/>
                <w:b/>
                <w:bCs/>
                <w:color w:val="000000"/>
                <w:sz w:val="18"/>
              </w:rPr>
            </w:pPr>
          </w:p>
          <w:p w:rsidR="00272D6B" w:rsidRPr="00272D6B" w:rsidP="00436299" w14:paraId="365E19EF" w14:textId="77777777">
            <w:pPr>
              <w:ind w:right="-108"/>
              <w:jc w:val="center"/>
              <w:rPr>
                <w:rFonts w:ascii="Helvetica" w:hAnsi="Helvetica"/>
                <w:b/>
                <w:bCs/>
                <w:color w:val="000000"/>
                <w:sz w:val="18"/>
              </w:rPr>
            </w:pPr>
            <w:r w:rsidRPr="00272D6B">
              <w:rPr>
                <w:rFonts w:ascii="Helvetica" w:hAnsi="Helvetica"/>
                <w:b/>
                <w:bCs/>
                <w:color w:val="000000"/>
                <w:sz w:val="18"/>
              </w:rPr>
              <w:t>Total Annual Cost to Respondents</w:t>
            </w:r>
          </w:p>
        </w:tc>
      </w:tr>
      <w:tr w14:paraId="3FF543E0" w14:textId="77777777" w:rsidTr="0091691A">
        <w:tblPrEx>
          <w:tblW w:w="10085" w:type="dxa"/>
          <w:tblInd w:w="-5" w:type="dxa"/>
          <w:tblLayout w:type="fixed"/>
          <w:tblLook w:val="0000"/>
        </w:tblPrEx>
        <w:tc>
          <w:tcPr>
            <w:tcW w:w="2070" w:type="dxa"/>
            <w:tcBorders>
              <w:top w:val="single" w:sz="4" w:space="0" w:color="auto"/>
              <w:left w:val="single" w:sz="4" w:space="0" w:color="auto"/>
              <w:bottom w:val="single" w:sz="4" w:space="0" w:color="auto"/>
              <w:right w:val="single" w:sz="4" w:space="0" w:color="auto"/>
            </w:tcBorders>
          </w:tcPr>
          <w:p w:rsidR="00E1339C" w:rsidRPr="00272D6B" w:rsidP="00E1339C" w14:paraId="03303C67" w14:textId="5A19791B">
            <w:pPr>
              <w:rPr>
                <w:rFonts w:ascii="Helvetica" w:hAnsi="Helvetica"/>
                <w:bCs/>
                <w:color w:val="000000"/>
                <w:sz w:val="18"/>
              </w:rPr>
            </w:pPr>
            <w:r>
              <w:rPr>
                <w:rFonts w:ascii="Helvetica" w:hAnsi="Helvetica"/>
                <w:bCs/>
                <w:color w:val="000000"/>
                <w:sz w:val="18"/>
              </w:rPr>
              <w:t xml:space="preserve">Mortgage </w:t>
            </w:r>
            <w:r w:rsidR="00101016">
              <w:rPr>
                <w:rFonts w:ascii="Helvetica" w:hAnsi="Helvetica"/>
                <w:bCs/>
                <w:color w:val="000000"/>
                <w:sz w:val="18"/>
              </w:rPr>
              <w:t>Record Change –</w:t>
            </w:r>
            <w:r w:rsidR="00BF27BA">
              <w:rPr>
                <w:rFonts w:ascii="Helvetica" w:hAnsi="Helvetica"/>
                <w:bCs/>
                <w:color w:val="000000"/>
                <w:sz w:val="18"/>
              </w:rPr>
              <w:t xml:space="preserve"> </w:t>
            </w:r>
            <w:r w:rsidR="00101016">
              <w:rPr>
                <w:rFonts w:ascii="Helvetica" w:hAnsi="Helvetica"/>
                <w:bCs/>
                <w:color w:val="000000"/>
                <w:sz w:val="18"/>
              </w:rPr>
              <w:t>FHA Connection</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E1339C" w:rsidRPr="00272D6B" w:rsidP="00E1339C" w14:paraId="6C89DF28" w14:textId="3A97CD23">
            <w:pPr>
              <w:jc w:val="center"/>
              <w:rPr>
                <w:rFonts w:ascii="Helvetica" w:hAnsi="Helvetica"/>
                <w:bCs/>
                <w:color w:val="000000"/>
                <w:sz w:val="18"/>
              </w:rPr>
            </w:pPr>
            <w:r>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39C" w:rsidRPr="00272D6B" w:rsidP="00E1339C" w14:paraId="0042F407" w14:textId="7FB63382">
            <w:pPr>
              <w:jc w:val="center"/>
              <w:rPr>
                <w:rFonts w:ascii="Helvetica" w:hAnsi="Helvetica"/>
                <w:bCs/>
                <w:color w:val="000000"/>
                <w:sz w:val="18"/>
              </w:rPr>
            </w:pPr>
            <w:r>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vAlign w:val="center"/>
          </w:tcPr>
          <w:p w:rsidR="00E1339C" w:rsidRPr="00272D6B" w:rsidP="00E1339C" w14:paraId="239869B7" w14:textId="0BE301C2">
            <w:pPr>
              <w:jc w:val="center"/>
              <w:rPr>
                <w:rFonts w:ascii="Helvetica" w:hAnsi="Helvetica"/>
                <w:bCs/>
                <w:color w:val="000000"/>
                <w:sz w:val="18"/>
              </w:rPr>
            </w:pPr>
            <w:r>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tcPr>
          <w:p w:rsidR="00E1339C" w:rsidRPr="00272D6B" w:rsidP="00E1339C" w14:paraId="291C5BAA" w14:textId="08EBBE6F">
            <w:pPr>
              <w:jc w:val="right"/>
              <w:rPr>
                <w:rFonts w:ascii="Helvetica" w:hAnsi="Helvetica"/>
                <w:bCs/>
                <w:color w:val="000000"/>
                <w:sz w:val="18"/>
              </w:rPr>
            </w:pPr>
            <w:r>
              <w:rPr>
                <w:rFonts w:ascii="Helvetica" w:hAnsi="Helvetica"/>
                <w:bCs/>
                <w:color w:val="000000"/>
                <w:sz w:val="18"/>
              </w:rPr>
              <w:t>$0</w:t>
            </w:r>
          </w:p>
        </w:tc>
      </w:tr>
      <w:tr w14:paraId="68484FBB" w14:textId="77777777" w:rsidTr="00436299">
        <w:tblPrEx>
          <w:tblW w:w="10085" w:type="dxa"/>
          <w:tblInd w:w="-5" w:type="dxa"/>
          <w:tblLayout w:type="fixed"/>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E1339C" w:rsidRPr="00272D6B" w:rsidP="00E1339C" w14:paraId="68247C38" w14:textId="77777777">
            <w:pPr>
              <w:rPr>
                <w:rFonts w:ascii="Helvetica" w:hAnsi="Helvetica"/>
                <w:b/>
                <w:bCs/>
                <w:color w:val="000000"/>
                <w:sz w:val="18"/>
              </w:rPr>
            </w:pPr>
            <w:r w:rsidRPr="00272D6B">
              <w:rPr>
                <w:rFonts w:ascii="Helvetica" w:hAnsi="Helvetica"/>
                <w:b/>
                <w:bCs/>
                <w:color w:val="000000"/>
                <w:sz w:val="18"/>
              </w:rPr>
              <w:t>TOTALS</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E1339C" w:rsidRPr="00272D6B" w:rsidP="00E1339C" w14:paraId="5ABE66BB" w14:textId="6DD1D4F0">
            <w:pP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39C" w:rsidRPr="00272D6B" w:rsidP="00E1339C" w14:paraId="5577ED79" w14:textId="5931FD5E">
            <w:pP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39C" w:rsidRPr="00272D6B" w:rsidP="00E1339C" w14:paraId="74DE171E" w14:textId="72B65D9B">
            <w:pP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E1339C" w:rsidRPr="00272D6B" w:rsidP="00E1339C" w14:paraId="0729C3C7" w14:textId="208D95BE">
            <w:pP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r>
    </w:tbl>
    <w:p w:rsidR="00272D6B" w:rsidRPr="00272D6B" w:rsidP="00272D6B" w14:paraId="392799BE" w14:textId="77777777">
      <w:pPr>
        <w:spacing w:after="160" w:line="259" w:lineRule="auto"/>
        <w:rPr>
          <w:rFonts w:asciiTheme="minorHAnsi" w:eastAsia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43629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RPr="001908E2" w:rsidP="00436299" w14:paraId="560F4403" w14:textId="77777777">
            <w:pPr>
              <w:spacing w:after="0" w:line="240" w:lineRule="auto"/>
              <w:rPr>
                <w:rFonts w:ascii="Times New Roman" w:hAnsi="Times New Roman"/>
                <w:bCs/>
                <w:color w:val="000000"/>
                <w:sz w:val="24"/>
                <w:szCs w:val="24"/>
              </w:rPr>
            </w:pPr>
            <w:r w:rsidRPr="001908E2">
              <w:rPr>
                <w:rFonts w:ascii="Times New Roman" w:hAnsi="Times New Roman"/>
                <w:bCs/>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14:paraId="22B103A1" w14:textId="77777777">
            <w:pPr>
              <w:spacing w:after="0" w:line="240" w:lineRule="auto"/>
              <w:rPr>
                <w:rFonts w:ascii="Times New Roman" w:hAnsi="Times New Roman"/>
                <w:color w:val="000000"/>
                <w:sz w:val="24"/>
                <w:szCs w:val="24"/>
              </w:rPr>
            </w:pPr>
          </w:p>
          <w:p w:rsidR="00272D6B" w:rsidP="00436299" w14:paraId="7BE4F779"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5038B7" w:rsidP="00436299" w14:paraId="0229AFBF" w14:textId="77777777">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p>
          <w:p w:rsidR="00272D6B" w:rsidRPr="000646B7" w:rsidP="00436299" w14:paraId="60A0279F" w14:textId="2DFF2E94">
            <w:pPr>
              <w:rPr>
                <w:rFonts w:ascii="Times New Roman" w:eastAsia="Calibri" w:hAnsi="Times New Roman"/>
                <w:sz w:val="18"/>
                <w:szCs w:val="18"/>
              </w:rPr>
            </w:pPr>
            <w:r>
              <w:rPr>
                <w:rFonts w:ascii="Times New Roman" w:eastAsia="Calibri" w:hAnsi="Times New Roman"/>
                <w:sz w:val="18"/>
                <w:szCs w:val="18"/>
              </w:rPr>
              <w:t xml:space="preserve">SFIOD </w:t>
            </w:r>
            <w:r w:rsidR="007F2CDA">
              <w:rPr>
                <w:rFonts w:ascii="Times New Roman" w:eastAsia="Calibri" w:hAnsi="Times New Roman"/>
                <w:sz w:val="18"/>
                <w:szCs w:val="18"/>
              </w:rPr>
              <w:t xml:space="preserve">Operations and </w:t>
            </w:r>
            <w:r>
              <w:rPr>
                <w:rFonts w:ascii="Times New Roman" w:eastAsia="Calibri" w:hAnsi="Times New Roman"/>
                <w:sz w:val="18"/>
                <w:szCs w:val="18"/>
              </w:rPr>
              <w:t>Maintenance Contract</w:t>
            </w:r>
            <w:r w:rsidR="007F2CDA">
              <w:rPr>
                <w:rFonts w:ascii="Times New Roman" w:eastAsia="Calibri" w:hAnsi="Times New Roman"/>
                <w:sz w:val="18"/>
                <w:szCs w:val="18"/>
              </w:rPr>
              <w:t xml:space="preserve"> (</w:t>
            </w:r>
            <w:r w:rsidR="00800516">
              <w:rPr>
                <w:rFonts w:ascii="Times New Roman" w:eastAsia="Calibri" w:hAnsi="Times New Roman"/>
                <w:sz w:val="18"/>
                <w:szCs w:val="18"/>
              </w:rPr>
              <w:t>A43</w:t>
            </w:r>
            <w:r w:rsidR="00EB6EFE">
              <w:rPr>
                <w:rFonts w:ascii="Times New Roman" w:eastAsia="Calibri" w:hAnsi="Times New Roman"/>
                <w:sz w:val="18"/>
                <w:szCs w:val="18"/>
              </w:rPr>
              <w:t xml:space="preserve"> System portion</w:t>
            </w:r>
            <w:r w:rsidR="007F2CDA">
              <w:rPr>
                <w:rFonts w:ascii="Times New Roman" w:eastAsia="Calibri" w:hAnsi="Times New Roman"/>
                <w:sz w:val="18"/>
                <w:szCs w:val="18"/>
              </w:rPr>
              <w:t>)</w:t>
            </w:r>
            <w:r>
              <w:rPr>
                <w:rFonts w:ascii="Times New Roman" w:eastAsia="Calibri" w:hAnsi="Times New Roman"/>
                <w:sz w:val="18"/>
                <w:szCs w:val="18"/>
              </w:rPr>
              <w:t xml:space="preserve"> – annual </w:t>
            </w:r>
            <w:r w:rsidR="006B1FF9">
              <w:rPr>
                <w:rFonts w:ascii="Times New Roman" w:eastAsia="Calibri" w:hAnsi="Times New Roman"/>
                <w:sz w:val="18"/>
                <w:szCs w:val="18"/>
              </w:rPr>
              <w:t xml:space="preserve">cost $719,500.25. </w:t>
            </w:r>
            <w:r w:rsidR="00730861">
              <w:rPr>
                <w:rFonts w:ascii="Times New Roman" w:eastAsia="Calibri" w:hAnsi="Times New Roman"/>
                <w:sz w:val="18"/>
                <w:szCs w:val="18"/>
              </w:rPr>
              <w:t xml:space="preserve">This system handles the processing of the </w:t>
            </w:r>
          </w:p>
        </w:tc>
        <w:tc>
          <w:tcPr>
            <w:tcW w:w="1518" w:type="dxa"/>
          </w:tcPr>
          <w:p w:rsidR="00272D6B" w:rsidRPr="000646B7" w:rsidP="003352A6" w14:paraId="7B1CEA6E" w14:textId="5B6AAB23">
            <w:pPr>
              <w:rPr>
                <w:rFonts w:ascii="Times New Roman" w:eastAsia="Calibri" w:hAnsi="Times New Roman"/>
                <w:sz w:val="18"/>
                <w:szCs w:val="18"/>
              </w:rPr>
            </w:pPr>
            <w:r>
              <w:rPr>
                <w:rFonts w:ascii="Times New Roman" w:eastAsia="Calibri" w:hAnsi="Times New Roman"/>
                <w:sz w:val="18"/>
                <w:szCs w:val="18"/>
              </w:rPr>
              <w:t>$1,088,057</w:t>
            </w:r>
          </w:p>
        </w:tc>
      </w:tr>
      <w:tr w14:paraId="37CF5465" w14:textId="77777777" w:rsidTr="00436299">
        <w:tblPrEx>
          <w:tblW w:w="9198" w:type="dxa"/>
          <w:tblLook w:val="0000"/>
        </w:tblPrEx>
        <w:trPr>
          <w:trHeight w:val="510"/>
        </w:trPr>
        <w:tc>
          <w:tcPr>
            <w:tcW w:w="7680" w:type="dxa"/>
          </w:tcPr>
          <w:p w:rsidR="00FF3B63" w:rsidP="00436299" w14:paraId="14C26DBD" w14:textId="47611F98">
            <w:pPr>
              <w:rPr>
                <w:rFonts w:ascii="Times New Roman" w:eastAsia="Calibri" w:hAnsi="Times New Roman"/>
                <w:b/>
                <w:bCs/>
                <w:sz w:val="18"/>
                <w:szCs w:val="18"/>
              </w:rPr>
            </w:pPr>
            <w:r w:rsidRPr="000646B7">
              <w:rPr>
                <w:rFonts w:ascii="Times New Roman" w:eastAsia="Calibri" w:hAnsi="Times New Roman"/>
                <w:sz w:val="18"/>
                <w:szCs w:val="18"/>
              </w:rPr>
              <w:t xml:space="preserve">Staff Salaries* </w:t>
            </w:r>
          </w:p>
          <w:p w:rsidR="004032A4" w:rsidRPr="004032A4" w:rsidP="00436299" w14:paraId="6DC0C1C3" w14:textId="49751595">
            <w:pPr>
              <w:rPr>
                <w:rFonts w:ascii="Times New Roman" w:eastAsia="Calibri" w:hAnsi="Times New Roman"/>
                <w:b/>
                <w:bCs/>
                <w:sz w:val="18"/>
                <w:szCs w:val="18"/>
              </w:rPr>
            </w:pPr>
            <w:r>
              <w:rPr>
                <w:rFonts w:ascii="Times New Roman" w:eastAsia="Calibri" w:hAnsi="Times New Roman"/>
                <w:b/>
                <w:bCs/>
                <w:sz w:val="18"/>
                <w:szCs w:val="18"/>
              </w:rPr>
              <w:t>5</w:t>
            </w:r>
            <w:r w:rsidR="004D234A">
              <w:rPr>
                <w:rFonts w:ascii="Times New Roman" w:eastAsia="Calibri" w:hAnsi="Times New Roman"/>
                <w:b/>
                <w:bCs/>
                <w:sz w:val="18"/>
                <w:szCs w:val="18"/>
              </w:rPr>
              <w:t xml:space="preserve"> GS</w:t>
            </w:r>
            <w:r w:rsidR="00445214">
              <w:rPr>
                <w:rFonts w:ascii="Times New Roman" w:eastAsia="Calibri" w:hAnsi="Times New Roman"/>
                <w:b/>
                <w:bCs/>
                <w:sz w:val="18"/>
                <w:szCs w:val="18"/>
              </w:rPr>
              <w:t>-</w:t>
            </w:r>
            <w:r w:rsidR="004D234A">
              <w:rPr>
                <w:rFonts w:ascii="Times New Roman" w:eastAsia="Calibri" w:hAnsi="Times New Roman"/>
                <w:b/>
                <w:bCs/>
                <w:sz w:val="18"/>
                <w:szCs w:val="18"/>
              </w:rPr>
              <w:t xml:space="preserve">12 </w:t>
            </w:r>
            <w:r w:rsidR="00301205">
              <w:rPr>
                <w:rFonts w:ascii="Times New Roman" w:eastAsia="Calibri" w:hAnsi="Times New Roman"/>
                <w:b/>
                <w:bCs/>
                <w:sz w:val="18"/>
                <w:szCs w:val="18"/>
              </w:rPr>
              <w:t xml:space="preserve">employees spending approximately </w:t>
            </w:r>
            <w:r>
              <w:rPr>
                <w:rFonts w:ascii="Times New Roman" w:eastAsia="Calibri" w:hAnsi="Times New Roman"/>
                <w:b/>
                <w:bCs/>
                <w:sz w:val="18"/>
                <w:szCs w:val="18"/>
              </w:rPr>
              <w:t>4</w:t>
            </w:r>
            <w:r w:rsidR="00301205">
              <w:rPr>
                <w:rFonts w:ascii="Times New Roman" w:eastAsia="Calibri" w:hAnsi="Times New Roman"/>
                <w:b/>
                <w:bCs/>
                <w:sz w:val="18"/>
                <w:szCs w:val="18"/>
              </w:rPr>
              <w:t>0%</w:t>
            </w:r>
            <w:r w:rsidR="00E24365">
              <w:rPr>
                <w:rFonts w:ascii="Times New Roman" w:eastAsia="Calibri" w:hAnsi="Times New Roman"/>
                <w:b/>
                <w:bCs/>
                <w:sz w:val="18"/>
                <w:szCs w:val="18"/>
              </w:rPr>
              <w:t xml:space="preserve"> of time annually</w:t>
            </w:r>
            <w:r w:rsidR="002C4144">
              <w:rPr>
                <w:rFonts w:ascii="Times New Roman" w:eastAsia="Calibri" w:hAnsi="Times New Roman"/>
                <w:b/>
                <w:bCs/>
                <w:sz w:val="18"/>
                <w:szCs w:val="18"/>
              </w:rPr>
              <w:t xml:space="preserve"> = </w:t>
            </w:r>
            <w:r w:rsidR="00307F87">
              <w:rPr>
                <w:rFonts w:ascii="Times New Roman" w:eastAsia="Calibri" w:hAnsi="Times New Roman"/>
                <w:b/>
                <w:bCs/>
                <w:sz w:val="18"/>
                <w:szCs w:val="18"/>
              </w:rPr>
              <w:t>$618,887.43</w:t>
            </w:r>
            <w:r w:rsidR="002C4144">
              <w:rPr>
                <w:rFonts w:ascii="Times New Roman" w:eastAsia="Calibri" w:hAnsi="Times New Roman"/>
                <w:b/>
                <w:bCs/>
                <w:sz w:val="18"/>
                <w:szCs w:val="18"/>
              </w:rPr>
              <w:br/>
            </w:r>
            <w:r>
              <w:rPr>
                <w:rFonts w:ascii="Times New Roman" w:eastAsia="Calibri" w:hAnsi="Times New Roman"/>
                <w:b/>
                <w:bCs/>
                <w:sz w:val="18"/>
                <w:szCs w:val="18"/>
              </w:rPr>
              <w:t>5</w:t>
            </w:r>
            <w:r w:rsidR="00D308E2">
              <w:rPr>
                <w:rFonts w:ascii="Times New Roman" w:eastAsia="Calibri" w:hAnsi="Times New Roman"/>
                <w:b/>
                <w:bCs/>
                <w:sz w:val="18"/>
                <w:szCs w:val="18"/>
              </w:rPr>
              <w:t xml:space="preserve"> </w:t>
            </w:r>
            <w:r w:rsidR="002C4144">
              <w:rPr>
                <w:rFonts w:ascii="Times New Roman" w:eastAsia="Calibri" w:hAnsi="Times New Roman"/>
                <w:b/>
                <w:bCs/>
                <w:sz w:val="18"/>
                <w:szCs w:val="18"/>
              </w:rPr>
              <w:t>GS-12 Step 1</w:t>
            </w:r>
            <w:r w:rsidR="00D308E2">
              <w:rPr>
                <w:rFonts w:ascii="Times New Roman" w:eastAsia="Calibri" w:hAnsi="Times New Roman"/>
                <w:b/>
                <w:bCs/>
                <w:sz w:val="18"/>
                <w:szCs w:val="18"/>
              </w:rPr>
              <w:t xml:space="preserve"> </w:t>
            </w:r>
            <w:r w:rsidR="002C4144">
              <w:rPr>
                <w:rFonts w:ascii="Times New Roman" w:eastAsia="Calibri" w:hAnsi="Times New Roman"/>
                <w:b/>
                <w:bCs/>
                <w:sz w:val="18"/>
                <w:szCs w:val="18"/>
              </w:rPr>
              <w:t xml:space="preserve">x </w:t>
            </w:r>
            <w:r w:rsidR="00C7469A">
              <w:rPr>
                <w:rFonts w:ascii="Times New Roman" w:eastAsia="Calibri" w:hAnsi="Times New Roman"/>
                <w:b/>
                <w:bCs/>
                <w:sz w:val="18"/>
                <w:szCs w:val="18"/>
              </w:rPr>
              <w:t xml:space="preserve">$94,199 = </w:t>
            </w:r>
            <w:r w:rsidR="001512BC">
              <w:rPr>
                <w:rFonts w:ascii="Times New Roman" w:eastAsia="Calibri" w:hAnsi="Times New Roman"/>
                <w:b/>
                <w:bCs/>
                <w:sz w:val="18"/>
                <w:szCs w:val="18"/>
              </w:rPr>
              <w:t>$</w:t>
            </w:r>
            <w:r w:rsidR="00680261">
              <w:rPr>
                <w:rFonts w:ascii="Times New Roman" w:eastAsia="Calibri" w:hAnsi="Times New Roman"/>
                <w:b/>
                <w:bCs/>
                <w:sz w:val="18"/>
                <w:szCs w:val="18"/>
              </w:rPr>
              <w:t>470,995</w:t>
            </w:r>
            <w:r w:rsidR="00C7469A">
              <w:rPr>
                <w:rFonts w:ascii="Times New Roman" w:eastAsia="Calibri" w:hAnsi="Times New Roman"/>
                <w:b/>
                <w:bCs/>
                <w:sz w:val="18"/>
                <w:szCs w:val="18"/>
              </w:rPr>
              <w:t xml:space="preserve"> x 1.46 (wage rate multiplier) = </w:t>
            </w:r>
            <w:r w:rsidR="00EC5D74">
              <w:rPr>
                <w:rFonts w:ascii="Times New Roman" w:eastAsia="Calibri" w:hAnsi="Times New Roman"/>
                <w:b/>
                <w:bCs/>
                <w:sz w:val="18"/>
                <w:szCs w:val="18"/>
              </w:rPr>
              <w:t>$</w:t>
            </w:r>
            <w:r w:rsidR="0044503F">
              <w:rPr>
                <w:rFonts w:ascii="Times New Roman" w:eastAsia="Calibri" w:hAnsi="Times New Roman"/>
                <w:b/>
                <w:bCs/>
                <w:sz w:val="18"/>
                <w:szCs w:val="18"/>
              </w:rPr>
              <w:t>687,653</w:t>
            </w:r>
            <w:r w:rsidR="00EC5D74">
              <w:rPr>
                <w:rFonts w:ascii="Times New Roman" w:eastAsia="Calibri" w:hAnsi="Times New Roman"/>
                <w:b/>
                <w:bCs/>
                <w:sz w:val="18"/>
                <w:szCs w:val="18"/>
              </w:rPr>
              <w:t xml:space="preserve"> (fully loaded) x.</w:t>
            </w:r>
            <w:r>
              <w:rPr>
                <w:rFonts w:ascii="Times New Roman" w:eastAsia="Calibri" w:hAnsi="Times New Roman"/>
                <w:b/>
                <w:bCs/>
                <w:sz w:val="18"/>
                <w:szCs w:val="18"/>
              </w:rPr>
              <w:t>4</w:t>
            </w:r>
            <w:r w:rsidR="00EC5D74">
              <w:rPr>
                <w:rFonts w:ascii="Times New Roman" w:eastAsia="Calibri" w:hAnsi="Times New Roman"/>
                <w:b/>
                <w:bCs/>
                <w:sz w:val="18"/>
                <w:szCs w:val="18"/>
              </w:rPr>
              <w:t>0</w:t>
            </w:r>
            <w:r w:rsidR="00307F87">
              <w:rPr>
                <w:rFonts w:ascii="Times New Roman" w:eastAsia="Calibri" w:hAnsi="Times New Roman"/>
                <w:b/>
                <w:bCs/>
                <w:sz w:val="18"/>
                <w:szCs w:val="18"/>
              </w:rPr>
              <w:t xml:space="preserve"> (</w:t>
            </w:r>
            <w:r>
              <w:rPr>
                <w:rFonts w:ascii="Times New Roman" w:eastAsia="Calibri" w:hAnsi="Times New Roman"/>
                <w:b/>
                <w:bCs/>
                <w:sz w:val="18"/>
                <w:szCs w:val="18"/>
              </w:rPr>
              <w:t>4</w:t>
            </w:r>
            <w:r w:rsidR="00307F87">
              <w:rPr>
                <w:rFonts w:ascii="Times New Roman" w:eastAsia="Calibri" w:hAnsi="Times New Roman"/>
                <w:b/>
                <w:bCs/>
                <w:sz w:val="18"/>
                <w:szCs w:val="18"/>
              </w:rPr>
              <w:t>0% of time spent) = $</w:t>
            </w:r>
            <w:r w:rsidR="006436D7">
              <w:rPr>
                <w:rFonts w:ascii="Times New Roman" w:eastAsia="Calibri" w:hAnsi="Times New Roman"/>
                <w:b/>
                <w:bCs/>
                <w:sz w:val="18"/>
                <w:szCs w:val="18"/>
              </w:rPr>
              <w:t>275,061</w:t>
            </w:r>
          </w:p>
        </w:tc>
        <w:tc>
          <w:tcPr>
            <w:tcW w:w="1518" w:type="dxa"/>
            <w:noWrap/>
          </w:tcPr>
          <w:p w:rsidR="00272D6B" w:rsidRPr="000646B7" w:rsidP="00436299" w14:paraId="16D656DF" w14:textId="03F23D6F">
            <w:pPr>
              <w:rPr>
                <w:rFonts w:ascii="Times New Roman" w:eastAsia="Calibri" w:hAnsi="Times New Roman"/>
                <w:sz w:val="18"/>
                <w:szCs w:val="18"/>
              </w:rPr>
            </w:pPr>
            <w:r w:rsidRPr="000646B7">
              <w:rPr>
                <w:rFonts w:ascii="Times New Roman" w:eastAsia="Calibri" w:hAnsi="Times New Roman"/>
                <w:sz w:val="18"/>
                <w:szCs w:val="18"/>
              </w:rPr>
              <w:t> </w:t>
            </w:r>
            <w:r w:rsidR="00ED303E">
              <w:rPr>
                <w:rFonts w:ascii="Times New Roman" w:eastAsia="Calibri" w:hAnsi="Times New Roman"/>
                <w:sz w:val="18"/>
                <w:szCs w:val="18"/>
              </w:rPr>
              <w:t>$</w:t>
            </w:r>
            <w:r w:rsidR="006436D7">
              <w:rPr>
                <w:rFonts w:ascii="Times New Roman" w:eastAsia="Calibri" w:hAnsi="Times New Roman"/>
                <w:sz w:val="18"/>
                <w:szCs w:val="18"/>
              </w:rPr>
              <w:t>275,061</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2DB20F28">
            <w:pPr>
              <w:rPr>
                <w:rFonts w:ascii="Times New Roman" w:eastAsia="Calibri" w:hAnsi="Times New Roman"/>
                <w:sz w:val="18"/>
                <w:szCs w:val="18"/>
              </w:rPr>
            </w:pPr>
            <w:r w:rsidRPr="000646B7">
              <w:rPr>
                <w:rFonts w:ascii="Times New Roman" w:eastAsia="Calibri" w:hAnsi="Times New Roman"/>
                <w:sz w:val="18"/>
                <w:szCs w:val="18"/>
              </w:rPr>
              <w:t>Facilities</w:t>
            </w:r>
            <w:r w:rsidR="00763411">
              <w:rPr>
                <w:rFonts w:ascii="Times New Roman" w:eastAsia="Calibri" w:hAnsi="Times New Roman"/>
                <w:sz w:val="18"/>
                <w:szCs w:val="18"/>
              </w:rPr>
              <w:t xml:space="preserve"> -</w:t>
            </w:r>
            <w:r w:rsidRPr="000646B7">
              <w:rPr>
                <w:rFonts w:ascii="Times New Roman" w:eastAsia="Calibri" w:hAnsi="Times New Roman"/>
                <w:sz w:val="18"/>
                <w:szCs w:val="18"/>
              </w:rPr>
              <w:t xml:space="preserve"> </w:t>
            </w:r>
            <w:r w:rsidR="00763411">
              <w:rPr>
                <w:rFonts w:ascii="Times New Roman" w:eastAsia="Calibri" w:hAnsi="Times New Roman"/>
                <w:b/>
                <w:sz w:val="18"/>
                <w:szCs w:val="18"/>
              </w:rPr>
              <w:t>N/A</w:t>
            </w:r>
          </w:p>
        </w:tc>
        <w:tc>
          <w:tcPr>
            <w:tcW w:w="1518" w:type="dxa"/>
            <w:noWrap/>
          </w:tcPr>
          <w:p w:rsidR="00272D6B" w:rsidRPr="000646B7" w:rsidP="00436299" w14:paraId="2B7AC7D4"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5E7A4A29">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00154025">
              <w:rPr>
                <w:rFonts w:ascii="Times New Roman" w:eastAsia="Calibri" w:hAnsi="Times New Roman"/>
                <w:b/>
                <w:sz w:val="18"/>
                <w:szCs w:val="18"/>
              </w:rPr>
              <w:t>– N/A</w:t>
            </w:r>
          </w:p>
        </w:tc>
        <w:tc>
          <w:tcPr>
            <w:tcW w:w="1518" w:type="dxa"/>
            <w:noWrap/>
          </w:tcPr>
          <w:p w:rsidR="00272D6B" w:rsidRPr="000646B7" w:rsidP="00436299" w14:paraId="5F1226D5"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18AD725F" w14:textId="77777777" w:rsidTr="00436299">
        <w:tblPrEx>
          <w:tblW w:w="9198" w:type="dxa"/>
          <w:tblLook w:val="0000"/>
        </w:tblPrEx>
        <w:trPr>
          <w:trHeight w:val="255"/>
        </w:trPr>
        <w:tc>
          <w:tcPr>
            <w:tcW w:w="7680" w:type="dxa"/>
            <w:noWrap/>
          </w:tcPr>
          <w:p w:rsidR="00272D6B" w:rsidRPr="000646B7" w:rsidP="00436299" w14:paraId="046062F8" w14:textId="58145CAE">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00154025">
              <w:rPr>
                <w:rFonts w:ascii="Times New Roman" w:eastAsia="Calibri" w:hAnsi="Times New Roman"/>
                <w:b/>
                <w:sz w:val="18"/>
                <w:szCs w:val="18"/>
              </w:rPr>
              <w:t>– N/A</w:t>
            </w:r>
          </w:p>
        </w:tc>
        <w:tc>
          <w:tcPr>
            <w:tcW w:w="1518" w:type="dxa"/>
            <w:noWrap/>
          </w:tcPr>
          <w:p w:rsidR="00272D6B" w:rsidRPr="000646B7" w:rsidP="00436299" w14:paraId="00C174E0"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13BD9DB9" w14:textId="77777777" w:rsidTr="00436299">
        <w:tblPrEx>
          <w:tblW w:w="9198" w:type="dxa"/>
          <w:tblLook w:val="0000"/>
        </w:tblPrEx>
        <w:trPr>
          <w:trHeight w:val="255"/>
        </w:trPr>
        <w:tc>
          <w:tcPr>
            <w:tcW w:w="7680" w:type="dxa"/>
            <w:noWrap/>
          </w:tcPr>
          <w:p w:rsidR="00272D6B" w:rsidRPr="000646B7" w:rsidP="00436299" w14:paraId="51095471" w14:textId="036D0E00">
            <w:pPr>
              <w:rPr>
                <w:rFonts w:ascii="Times New Roman" w:eastAsia="Calibri" w:hAnsi="Times New Roman"/>
                <w:sz w:val="18"/>
                <w:szCs w:val="18"/>
              </w:rPr>
            </w:pPr>
            <w:r w:rsidRPr="000646B7">
              <w:rPr>
                <w:rFonts w:ascii="Times New Roman" w:eastAsia="Calibri" w:hAnsi="Times New Roman"/>
                <w:sz w:val="18"/>
                <w:szCs w:val="18"/>
              </w:rPr>
              <w:t xml:space="preserve">Travel </w:t>
            </w:r>
            <w:r w:rsidR="00154025">
              <w:rPr>
                <w:rFonts w:ascii="Times New Roman" w:eastAsia="Calibri" w:hAnsi="Times New Roman"/>
                <w:sz w:val="18"/>
                <w:szCs w:val="18"/>
              </w:rPr>
              <w:t xml:space="preserve">– </w:t>
            </w:r>
            <w:r w:rsidRPr="00763411" w:rsidR="00154025">
              <w:rPr>
                <w:rFonts w:ascii="Times New Roman" w:eastAsia="Calibri" w:hAnsi="Times New Roman"/>
                <w:b/>
                <w:bCs/>
                <w:sz w:val="18"/>
                <w:szCs w:val="18"/>
              </w:rPr>
              <w:t>N/A</w:t>
            </w:r>
          </w:p>
        </w:tc>
        <w:tc>
          <w:tcPr>
            <w:tcW w:w="1518" w:type="dxa"/>
            <w:noWrap/>
          </w:tcPr>
          <w:p w:rsidR="00272D6B" w:rsidRPr="000646B7" w:rsidP="00436299" w14:paraId="6DF965A7"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4ED8881F" w14:textId="77777777" w:rsidTr="00436299">
        <w:tblPrEx>
          <w:tblW w:w="9198" w:type="dxa"/>
          <w:tblLook w:val="0000"/>
        </w:tblPrEx>
        <w:trPr>
          <w:trHeight w:val="255"/>
        </w:trPr>
        <w:tc>
          <w:tcPr>
            <w:tcW w:w="7680" w:type="dxa"/>
            <w:noWrap/>
          </w:tcPr>
          <w:p w:rsidR="00272D6B" w:rsidRPr="000646B7" w:rsidP="00436299" w14:paraId="6C5884F7" w14:textId="6FFD346F">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00763411">
              <w:rPr>
                <w:rFonts w:ascii="Times New Roman" w:eastAsia="Calibri" w:hAnsi="Times New Roman"/>
                <w:b/>
                <w:sz w:val="18"/>
                <w:szCs w:val="18"/>
              </w:rPr>
              <w:t>N/A</w:t>
            </w:r>
          </w:p>
        </w:tc>
        <w:tc>
          <w:tcPr>
            <w:tcW w:w="1518" w:type="dxa"/>
            <w:noWrap/>
          </w:tcPr>
          <w:p w:rsidR="00272D6B" w:rsidRPr="000646B7" w:rsidP="00436299" w14:paraId="1AF1F1DE"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1E032B3">
            <w:pPr>
              <w:rPr>
                <w:rFonts w:ascii="Times New Roman" w:eastAsia="Calibri" w:hAnsi="Times New Roman"/>
                <w:sz w:val="18"/>
                <w:szCs w:val="18"/>
              </w:rPr>
            </w:pPr>
            <w:r w:rsidRPr="000646B7">
              <w:rPr>
                <w:rFonts w:ascii="Times New Roman" w:eastAsia="Calibri" w:hAnsi="Times New Roman"/>
                <w:sz w:val="18"/>
                <w:szCs w:val="18"/>
              </w:rPr>
              <w:t xml:space="preserve">Postage </w:t>
            </w:r>
            <w:r w:rsidR="00763411">
              <w:rPr>
                <w:rFonts w:ascii="Times New Roman" w:eastAsia="Calibri" w:hAnsi="Times New Roman"/>
                <w:b/>
                <w:sz w:val="18"/>
                <w:szCs w:val="18"/>
              </w:rPr>
              <w:t>– N/A</w:t>
            </w:r>
          </w:p>
        </w:tc>
        <w:tc>
          <w:tcPr>
            <w:tcW w:w="1518" w:type="dxa"/>
            <w:noWrap/>
          </w:tcPr>
          <w:p w:rsidR="00272D6B" w:rsidRPr="000646B7" w:rsidP="00436299" w14:paraId="45FE3EA0"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436299" w14:paraId="494D27E3" w14:textId="77777777">
            <w:pPr>
              <w:rPr>
                <w:rFonts w:ascii="Times New Roman" w:eastAsia="Calibri" w:hAnsi="Times New Roman"/>
                <w:sz w:val="18"/>
                <w:szCs w:val="18"/>
              </w:rPr>
            </w:pPr>
            <w:r w:rsidRPr="000646B7">
              <w:rPr>
                <w:rFonts w:ascii="Times New Roman" w:eastAsia="Calibri" w:hAnsi="Times New Roman"/>
                <w:sz w:val="18"/>
                <w:szCs w:val="18"/>
              </w:rPr>
              <w:t> </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383F6987">
            <w:pPr>
              <w:rPr>
                <w:rFonts w:ascii="Times New Roman" w:eastAsia="Calibri" w:hAnsi="Times New Roman"/>
                <w:b/>
                <w:bCs/>
                <w:sz w:val="18"/>
                <w:szCs w:val="18"/>
              </w:rPr>
            </w:pPr>
            <w:r w:rsidRPr="000646B7">
              <w:rPr>
                <w:rFonts w:ascii="Times New Roman" w:eastAsia="Calibri" w:hAnsi="Times New Roman"/>
                <w:b/>
                <w:bCs/>
                <w:sz w:val="18"/>
                <w:szCs w:val="18"/>
              </w:rPr>
              <w:t>$</w:t>
            </w:r>
            <w:r w:rsidR="00222111">
              <w:rPr>
                <w:rFonts w:ascii="Times New Roman" w:eastAsia="Calibri" w:hAnsi="Times New Roman"/>
                <w:b/>
                <w:bCs/>
                <w:sz w:val="18"/>
                <w:szCs w:val="18"/>
              </w:rPr>
              <w:t>1,363,118</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Pr>
          <w:rFonts w:eastAsia="Calibri"/>
          <w:sz w:val="16"/>
          <w:szCs w:val="16"/>
        </w:rPr>
        <w:t>fully-loaded</w:t>
      </w:r>
      <w:r w:rsidRPr="000646B7">
        <w:rPr>
          <w:rFonts w:eastAsia="Calibri"/>
          <w:sz w:val="16"/>
          <w:szCs w:val="16"/>
        </w:rPr>
        <w:t xml:space="preserve">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1908E2" w:rsidP="001B4FB5" w14:paraId="6BD7BE64" w14:textId="77777777">
            <w:pPr>
              <w:spacing w:after="0" w:line="240" w:lineRule="auto"/>
              <w:rPr>
                <w:rFonts w:ascii="Times New Roman" w:hAnsi="Times New Roman"/>
                <w:bCs/>
                <w:color w:val="000000"/>
                <w:sz w:val="24"/>
                <w:szCs w:val="24"/>
              </w:rPr>
            </w:pPr>
            <w:r w:rsidRPr="001908E2">
              <w:rPr>
                <w:rFonts w:ascii="Times New Roman" w:hAnsi="Times New Roman"/>
                <w:bCs/>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1340A" w:rsidRPr="009F55CA" w:rsidP="009F55CA" w14:paraId="68F3BF02" w14:textId="6998499F">
            <w:pPr>
              <w:rPr>
                <w:rFonts w:ascii="Times New Roman" w:hAnsi="Times New Roman"/>
                <w:sz w:val="24"/>
                <w:szCs w:val="24"/>
              </w:rPr>
            </w:pPr>
            <w:r w:rsidRPr="00207A7A">
              <w:rPr>
                <w:rFonts w:ascii="Times New Roman" w:hAnsi="Times New Roman"/>
                <w:sz w:val="24"/>
                <w:szCs w:val="24"/>
              </w:rPr>
              <w:t xml:space="preserve">This is an extension of a currently approved collection. There is very little change to the previous </w:t>
            </w:r>
            <w:r w:rsidRPr="00207A7A">
              <w:rPr>
                <w:rFonts w:ascii="Times New Roman" w:hAnsi="Times New Roman"/>
                <w:sz w:val="24"/>
                <w:szCs w:val="24"/>
              </w:rPr>
              <w:t>amount</w:t>
            </w:r>
            <w:r w:rsidRPr="00207A7A">
              <w:rPr>
                <w:rFonts w:ascii="Times New Roman" w:hAnsi="Times New Roman"/>
                <w:sz w:val="24"/>
                <w:szCs w:val="24"/>
              </w:rPr>
              <w:t xml:space="preserve"> of transactions, only a small year over year difference. </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A166CA">
        <w:tblPrEx>
          <w:tblW w:w="0" w:type="auto"/>
          <w:tblInd w:w="108" w:type="dxa"/>
          <w:tblLook w:val="04A0"/>
        </w:tblPrEx>
        <w:tc>
          <w:tcPr>
            <w:tcW w:w="9252" w:type="dxa"/>
            <w:shd w:val="clear" w:color="auto" w:fill="auto"/>
          </w:tcPr>
          <w:p w:rsidR="0021340A" w:rsidRPr="00374028" w:rsidP="00834D96" w14:paraId="258C7B8E" w14:textId="7D08E10F">
            <w:pPr>
              <w:spacing w:after="0" w:line="240" w:lineRule="auto"/>
              <w:rPr>
                <w:rFonts w:ascii="Times New Roman" w:hAnsi="Times New Roman"/>
                <w:bCs/>
                <w:color w:val="000000"/>
                <w:sz w:val="24"/>
                <w:szCs w:val="24"/>
              </w:rPr>
            </w:pPr>
            <w:r w:rsidRPr="00374028">
              <w:rPr>
                <w:rFonts w:ascii="Times New Roman" w:hAnsi="Times New Roman"/>
                <w:bCs/>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66CA" w:rsidP="00834D96" w14:paraId="58AEE858" w14:textId="77777777">
            <w:pPr>
              <w:spacing w:after="0" w:line="240" w:lineRule="auto"/>
              <w:rPr>
                <w:rFonts w:ascii="Times New Roman" w:hAnsi="Times New Roman"/>
                <w:b/>
                <w:color w:val="000000"/>
                <w:sz w:val="24"/>
                <w:szCs w:val="24"/>
              </w:rPr>
            </w:pPr>
          </w:p>
          <w:p w:rsidR="00A166CA" w:rsidRPr="00A166CA" w:rsidP="00A166CA" w14:paraId="5467CA2E" w14:textId="2085ECD0">
            <w:pPr>
              <w:rPr>
                <w:rFonts w:ascii="Times New Roman" w:hAnsi="Times New Roman"/>
                <w:sz w:val="24"/>
                <w:szCs w:val="24"/>
              </w:rPr>
            </w:pPr>
            <w:r>
              <w:rPr>
                <w:rFonts w:ascii="Times New Roman" w:hAnsi="Times New Roman"/>
                <w:sz w:val="24"/>
                <w:szCs w:val="24"/>
              </w:rPr>
              <w:t>The results of the information collection will not be published. The time schedule of the project is ongoing and will remain ongoing as long as the homeowner refund program is active.</w:t>
            </w:r>
          </w:p>
        </w:tc>
      </w:tr>
      <w:tr w14:paraId="2DA78A2C" w14:textId="77777777" w:rsidTr="00503608">
        <w:tblPrEx>
          <w:tblW w:w="0" w:type="auto"/>
          <w:tblInd w:w="108" w:type="dxa"/>
          <w:tblLook w:val="04A0"/>
        </w:tblPrEx>
        <w:tc>
          <w:tcPr>
            <w:tcW w:w="9252" w:type="dxa"/>
            <w:shd w:val="clear" w:color="auto" w:fill="auto"/>
          </w:tcPr>
          <w:p w:rsidR="0021340A" w:rsidRPr="00374028" w:rsidP="001B4FB5" w14:paraId="20ACDDE7" w14:textId="77777777">
            <w:pPr>
              <w:spacing w:after="0" w:line="240" w:lineRule="auto"/>
              <w:rPr>
                <w:rFonts w:ascii="Times New Roman" w:hAnsi="Times New Roman"/>
                <w:bCs/>
                <w:color w:val="000000"/>
                <w:sz w:val="24"/>
                <w:szCs w:val="24"/>
              </w:rPr>
            </w:pPr>
            <w:r w:rsidRPr="00374028">
              <w:rPr>
                <w:rFonts w:ascii="Times New Roman" w:hAnsi="Times New Roman"/>
                <w:bCs/>
                <w:color w:val="000000"/>
                <w:sz w:val="24"/>
                <w:szCs w:val="24"/>
              </w:rPr>
              <w:t xml:space="preserve">17. If seeking approval to not display the expiration date for OMB approval of the information collection, explain the reasons that display would be inappropriate. </w:t>
            </w:r>
          </w:p>
          <w:p w:rsidR="0021340A" w:rsidP="001B4FB5" w14:paraId="0517F3A9" w14:textId="77777777">
            <w:pPr>
              <w:spacing w:after="0" w:line="240" w:lineRule="auto"/>
              <w:rPr>
                <w:rFonts w:ascii="Times New Roman" w:hAnsi="Times New Roman"/>
                <w:color w:val="000000"/>
                <w:sz w:val="24"/>
                <w:szCs w:val="24"/>
              </w:rPr>
            </w:pPr>
          </w:p>
          <w:p w:rsidR="008E777E" w:rsidRPr="008E777E" w:rsidP="008E777E" w14:paraId="22C9AABB" w14:textId="374C45DC">
            <w:pPr>
              <w:rPr>
                <w:rFonts w:ascii="Times New Roman" w:hAnsi="Times New Roman"/>
                <w:sz w:val="24"/>
                <w:szCs w:val="24"/>
              </w:rPr>
            </w:pPr>
            <w:r>
              <w:rPr>
                <w:rFonts w:ascii="Times New Roman" w:hAnsi="Times New Roman"/>
                <w:sz w:val="24"/>
                <w:szCs w:val="24"/>
              </w:rPr>
              <w:t xml:space="preserve">We are not seeking approval to avoid displaying the expiration date for the OMB approval. </w:t>
            </w:r>
          </w:p>
        </w:tc>
      </w:tr>
      <w:tr w14:paraId="6119CDC7" w14:textId="77777777" w:rsidTr="00503608">
        <w:tblPrEx>
          <w:tblW w:w="0" w:type="auto"/>
          <w:tblInd w:w="108" w:type="dxa"/>
          <w:tblLook w:val="04A0"/>
        </w:tblPrEx>
        <w:trPr>
          <w:trHeight w:val="1224"/>
        </w:trPr>
        <w:tc>
          <w:tcPr>
            <w:tcW w:w="9252" w:type="dxa"/>
            <w:shd w:val="clear" w:color="auto" w:fill="auto"/>
          </w:tcPr>
          <w:p w:rsidR="0021340A" w:rsidRPr="00374028" w:rsidP="002C7DF4" w14:paraId="5FC76278" w14:textId="77777777">
            <w:pPr>
              <w:spacing w:after="0" w:line="240" w:lineRule="auto"/>
              <w:rPr>
                <w:rFonts w:ascii="Times New Roman" w:hAnsi="Times New Roman"/>
                <w:bCs/>
                <w:color w:val="000000"/>
                <w:sz w:val="24"/>
                <w:szCs w:val="24"/>
              </w:rPr>
            </w:pPr>
            <w:r w:rsidRPr="00374028">
              <w:rPr>
                <w:rFonts w:ascii="Times New Roman" w:hAnsi="Times New Roman"/>
                <w:bCs/>
                <w:color w:val="000000"/>
                <w:sz w:val="24"/>
                <w:szCs w:val="24"/>
              </w:rPr>
              <w:t xml:space="preserve">18. Explain each exception to the certification statement identified in Item 19, "Certification for Paperwork Reduction Act Submissions," of OMB Form 83-I. </w:t>
            </w:r>
          </w:p>
          <w:p w:rsidR="00272D6B" w:rsidP="002C7DF4" w14:paraId="4D0A3889" w14:textId="77777777">
            <w:pPr>
              <w:spacing w:after="0" w:line="240" w:lineRule="auto"/>
              <w:rPr>
                <w:rFonts w:ascii="Times New Roman" w:hAnsi="Times New Roman"/>
                <w:b/>
                <w:color w:val="000000"/>
                <w:sz w:val="24"/>
                <w:szCs w:val="24"/>
              </w:rPr>
            </w:pPr>
          </w:p>
          <w:p w:rsidR="00181594" w:rsidRPr="00181594" w:rsidP="00181594" w14:paraId="5C1D0A1C" w14:textId="2E29DED4">
            <w:pPr>
              <w:rPr>
                <w:rFonts w:ascii="Times New Roman" w:hAnsi="Times New Roman"/>
                <w:sz w:val="24"/>
                <w:szCs w:val="24"/>
              </w:rPr>
            </w:pPr>
            <w:r>
              <w:rPr>
                <w:rFonts w:ascii="Times New Roman" w:hAnsi="Times New Roman"/>
                <w:sz w:val="24"/>
                <w:szCs w:val="24"/>
              </w:rPr>
              <w:t xml:space="preserve">There are no exceptions to the certification statement identified in item 19 of the OMB 83-I. </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D604B1">
      <w:footerReference w:type="even" r:id="rId9"/>
      <w:footerReference w:type="default" r:id="rId10"/>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sidR="008403CD">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930047933">
    <w:abstractNumId w:val="1"/>
  </w:num>
  <w:num w:numId="2" w16cid:durableId="307368333">
    <w:abstractNumId w:val="4"/>
  </w:num>
  <w:num w:numId="3" w16cid:durableId="1539119654">
    <w:abstractNumId w:val="0"/>
  </w:num>
  <w:num w:numId="4" w16cid:durableId="402413911">
    <w:abstractNumId w:val="3"/>
  </w:num>
  <w:num w:numId="5" w16cid:durableId="635985833">
    <w:abstractNumId w:val="2"/>
  </w:num>
  <w:num w:numId="6" w16cid:durableId="1007094277">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2918"/>
    <w:rsid w:val="00002E04"/>
    <w:rsid w:val="000646B7"/>
    <w:rsid w:val="0006659F"/>
    <w:rsid w:val="00075224"/>
    <w:rsid w:val="00084375"/>
    <w:rsid w:val="000A06E9"/>
    <w:rsid w:val="000B01D5"/>
    <w:rsid w:val="000B39ED"/>
    <w:rsid w:val="000B4874"/>
    <w:rsid w:val="000C62BB"/>
    <w:rsid w:val="000D2258"/>
    <w:rsid w:val="000D7FD0"/>
    <w:rsid w:val="000F5983"/>
    <w:rsid w:val="00101016"/>
    <w:rsid w:val="00101513"/>
    <w:rsid w:val="00103AED"/>
    <w:rsid w:val="00117F18"/>
    <w:rsid w:val="00126AAC"/>
    <w:rsid w:val="001512BC"/>
    <w:rsid w:val="00154025"/>
    <w:rsid w:val="00154144"/>
    <w:rsid w:val="00155DB6"/>
    <w:rsid w:val="00160268"/>
    <w:rsid w:val="00160AA7"/>
    <w:rsid w:val="00164BAE"/>
    <w:rsid w:val="00167FD2"/>
    <w:rsid w:val="00174045"/>
    <w:rsid w:val="00181594"/>
    <w:rsid w:val="001908E2"/>
    <w:rsid w:val="0019618D"/>
    <w:rsid w:val="001A7509"/>
    <w:rsid w:val="001B4FB5"/>
    <w:rsid w:val="001C009A"/>
    <w:rsid w:val="001C5814"/>
    <w:rsid w:val="001C6560"/>
    <w:rsid w:val="001D71D6"/>
    <w:rsid w:val="00205DE4"/>
    <w:rsid w:val="00207A7A"/>
    <w:rsid w:val="0021340A"/>
    <w:rsid w:val="00222111"/>
    <w:rsid w:val="002366C2"/>
    <w:rsid w:val="0025679B"/>
    <w:rsid w:val="00266A5E"/>
    <w:rsid w:val="00267FB5"/>
    <w:rsid w:val="00272D6B"/>
    <w:rsid w:val="00276A7E"/>
    <w:rsid w:val="002803EE"/>
    <w:rsid w:val="00286829"/>
    <w:rsid w:val="0029110D"/>
    <w:rsid w:val="00294E98"/>
    <w:rsid w:val="00296DF2"/>
    <w:rsid w:val="002B3D35"/>
    <w:rsid w:val="002B745B"/>
    <w:rsid w:val="002C0F02"/>
    <w:rsid w:val="002C317E"/>
    <w:rsid w:val="002C4144"/>
    <w:rsid w:val="002C4C04"/>
    <w:rsid w:val="002C7DF4"/>
    <w:rsid w:val="002D09AE"/>
    <w:rsid w:val="002E3589"/>
    <w:rsid w:val="00301205"/>
    <w:rsid w:val="00302BE0"/>
    <w:rsid w:val="00304C24"/>
    <w:rsid w:val="00307F87"/>
    <w:rsid w:val="00317F80"/>
    <w:rsid w:val="00320358"/>
    <w:rsid w:val="003309E7"/>
    <w:rsid w:val="00330B5F"/>
    <w:rsid w:val="003352A6"/>
    <w:rsid w:val="00365F5E"/>
    <w:rsid w:val="00370B49"/>
    <w:rsid w:val="00374028"/>
    <w:rsid w:val="00377860"/>
    <w:rsid w:val="00382FCC"/>
    <w:rsid w:val="00397DF1"/>
    <w:rsid w:val="003A3B07"/>
    <w:rsid w:val="003B5483"/>
    <w:rsid w:val="003B7B6F"/>
    <w:rsid w:val="003C02AF"/>
    <w:rsid w:val="003C2572"/>
    <w:rsid w:val="003C400F"/>
    <w:rsid w:val="003D3048"/>
    <w:rsid w:val="003F4D24"/>
    <w:rsid w:val="004032A4"/>
    <w:rsid w:val="004126CD"/>
    <w:rsid w:val="004316AF"/>
    <w:rsid w:val="00436299"/>
    <w:rsid w:val="00441809"/>
    <w:rsid w:val="0044503F"/>
    <w:rsid w:val="00445214"/>
    <w:rsid w:val="004669E4"/>
    <w:rsid w:val="00481001"/>
    <w:rsid w:val="004939BF"/>
    <w:rsid w:val="004A050A"/>
    <w:rsid w:val="004B160A"/>
    <w:rsid w:val="004D0A64"/>
    <w:rsid w:val="004D234A"/>
    <w:rsid w:val="004D6FE9"/>
    <w:rsid w:val="0050120C"/>
    <w:rsid w:val="00503508"/>
    <w:rsid w:val="00503608"/>
    <w:rsid w:val="005036B7"/>
    <w:rsid w:val="005038B7"/>
    <w:rsid w:val="00526ADC"/>
    <w:rsid w:val="00531DCA"/>
    <w:rsid w:val="00536E22"/>
    <w:rsid w:val="00540628"/>
    <w:rsid w:val="00542B2D"/>
    <w:rsid w:val="0056019D"/>
    <w:rsid w:val="00560E48"/>
    <w:rsid w:val="00566A56"/>
    <w:rsid w:val="00575D07"/>
    <w:rsid w:val="005A3961"/>
    <w:rsid w:val="005A408E"/>
    <w:rsid w:val="005A65E7"/>
    <w:rsid w:val="005A6EB8"/>
    <w:rsid w:val="005A76C5"/>
    <w:rsid w:val="005A7FAF"/>
    <w:rsid w:val="005B50D8"/>
    <w:rsid w:val="005C3A2F"/>
    <w:rsid w:val="005D21A4"/>
    <w:rsid w:val="005D69A6"/>
    <w:rsid w:val="005E2F36"/>
    <w:rsid w:val="0060513E"/>
    <w:rsid w:val="00633E68"/>
    <w:rsid w:val="00637226"/>
    <w:rsid w:val="006436D7"/>
    <w:rsid w:val="006551E9"/>
    <w:rsid w:val="00656246"/>
    <w:rsid w:val="006625E7"/>
    <w:rsid w:val="0066398E"/>
    <w:rsid w:val="00666CF0"/>
    <w:rsid w:val="006673D2"/>
    <w:rsid w:val="006717F4"/>
    <w:rsid w:val="00680261"/>
    <w:rsid w:val="00685DAE"/>
    <w:rsid w:val="0069081D"/>
    <w:rsid w:val="0069480C"/>
    <w:rsid w:val="00695EEE"/>
    <w:rsid w:val="00697022"/>
    <w:rsid w:val="006A0AAD"/>
    <w:rsid w:val="006A171C"/>
    <w:rsid w:val="006A246D"/>
    <w:rsid w:val="006A6943"/>
    <w:rsid w:val="006B117A"/>
    <w:rsid w:val="006B1FF9"/>
    <w:rsid w:val="006B497C"/>
    <w:rsid w:val="006B76CD"/>
    <w:rsid w:val="006C1F71"/>
    <w:rsid w:val="006C43CA"/>
    <w:rsid w:val="006E15CE"/>
    <w:rsid w:val="00703027"/>
    <w:rsid w:val="00704118"/>
    <w:rsid w:val="007056D9"/>
    <w:rsid w:val="0071095F"/>
    <w:rsid w:val="00711F61"/>
    <w:rsid w:val="00714B97"/>
    <w:rsid w:val="00725DE8"/>
    <w:rsid w:val="00730861"/>
    <w:rsid w:val="00741B05"/>
    <w:rsid w:val="007528EB"/>
    <w:rsid w:val="0075410C"/>
    <w:rsid w:val="00760CC6"/>
    <w:rsid w:val="00763411"/>
    <w:rsid w:val="00774F1E"/>
    <w:rsid w:val="007756CE"/>
    <w:rsid w:val="00775EB7"/>
    <w:rsid w:val="0078725A"/>
    <w:rsid w:val="00794EAD"/>
    <w:rsid w:val="00797FB9"/>
    <w:rsid w:val="007B3173"/>
    <w:rsid w:val="007B6131"/>
    <w:rsid w:val="007C34DF"/>
    <w:rsid w:val="007E240F"/>
    <w:rsid w:val="007F28F9"/>
    <w:rsid w:val="007F2CDA"/>
    <w:rsid w:val="00800516"/>
    <w:rsid w:val="00811DF3"/>
    <w:rsid w:val="008270C5"/>
    <w:rsid w:val="00834CFE"/>
    <w:rsid w:val="00834D96"/>
    <w:rsid w:val="008403CD"/>
    <w:rsid w:val="00851967"/>
    <w:rsid w:val="0086041F"/>
    <w:rsid w:val="00862E46"/>
    <w:rsid w:val="008A2508"/>
    <w:rsid w:val="008B5CCD"/>
    <w:rsid w:val="008C0748"/>
    <w:rsid w:val="008C2CA7"/>
    <w:rsid w:val="008E634C"/>
    <w:rsid w:val="008E777E"/>
    <w:rsid w:val="00910C14"/>
    <w:rsid w:val="00922458"/>
    <w:rsid w:val="00934001"/>
    <w:rsid w:val="009419D6"/>
    <w:rsid w:val="009524C1"/>
    <w:rsid w:val="0097072A"/>
    <w:rsid w:val="00970DC0"/>
    <w:rsid w:val="009739C7"/>
    <w:rsid w:val="009814CB"/>
    <w:rsid w:val="00981DCF"/>
    <w:rsid w:val="00982371"/>
    <w:rsid w:val="00983E4B"/>
    <w:rsid w:val="00983E7F"/>
    <w:rsid w:val="00987B04"/>
    <w:rsid w:val="00996C86"/>
    <w:rsid w:val="009A3A5E"/>
    <w:rsid w:val="009A4FD6"/>
    <w:rsid w:val="009A7B02"/>
    <w:rsid w:val="009B0365"/>
    <w:rsid w:val="009B0407"/>
    <w:rsid w:val="009B69D3"/>
    <w:rsid w:val="009E118C"/>
    <w:rsid w:val="009E470B"/>
    <w:rsid w:val="009E602E"/>
    <w:rsid w:val="009F5434"/>
    <w:rsid w:val="009F55CA"/>
    <w:rsid w:val="00A166CA"/>
    <w:rsid w:val="00A16B45"/>
    <w:rsid w:val="00A2523A"/>
    <w:rsid w:val="00A33DED"/>
    <w:rsid w:val="00A352F3"/>
    <w:rsid w:val="00A411B6"/>
    <w:rsid w:val="00A57695"/>
    <w:rsid w:val="00A60766"/>
    <w:rsid w:val="00A6656E"/>
    <w:rsid w:val="00A73739"/>
    <w:rsid w:val="00A80199"/>
    <w:rsid w:val="00A90190"/>
    <w:rsid w:val="00A922CE"/>
    <w:rsid w:val="00A9486A"/>
    <w:rsid w:val="00A9726C"/>
    <w:rsid w:val="00AA04EA"/>
    <w:rsid w:val="00AA090F"/>
    <w:rsid w:val="00AA2750"/>
    <w:rsid w:val="00AA5516"/>
    <w:rsid w:val="00AB2339"/>
    <w:rsid w:val="00AD74F3"/>
    <w:rsid w:val="00AE084A"/>
    <w:rsid w:val="00AE106F"/>
    <w:rsid w:val="00AE1E49"/>
    <w:rsid w:val="00AE2E96"/>
    <w:rsid w:val="00B004A7"/>
    <w:rsid w:val="00B02C66"/>
    <w:rsid w:val="00B106EA"/>
    <w:rsid w:val="00B1510C"/>
    <w:rsid w:val="00B179FB"/>
    <w:rsid w:val="00B2006E"/>
    <w:rsid w:val="00B231C1"/>
    <w:rsid w:val="00B25139"/>
    <w:rsid w:val="00B26FED"/>
    <w:rsid w:val="00B32113"/>
    <w:rsid w:val="00B47B6A"/>
    <w:rsid w:val="00B62C5B"/>
    <w:rsid w:val="00B7253E"/>
    <w:rsid w:val="00B76672"/>
    <w:rsid w:val="00B85ED4"/>
    <w:rsid w:val="00B91542"/>
    <w:rsid w:val="00B956BD"/>
    <w:rsid w:val="00B96DCA"/>
    <w:rsid w:val="00BA5013"/>
    <w:rsid w:val="00BB0265"/>
    <w:rsid w:val="00BB0F74"/>
    <w:rsid w:val="00BC53FA"/>
    <w:rsid w:val="00BC7E6B"/>
    <w:rsid w:val="00BD5D2D"/>
    <w:rsid w:val="00BD654F"/>
    <w:rsid w:val="00BE070D"/>
    <w:rsid w:val="00BE1443"/>
    <w:rsid w:val="00BE1630"/>
    <w:rsid w:val="00BE1DFC"/>
    <w:rsid w:val="00BF1C21"/>
    <w:rsid w:val="00BF27BA"/>
    <w:rsid w:val="00C257C2"/>
    <w:rsid w:val="00C312EA"/>
    <w:rsid w:val="00C35771"/>
    <w:rsid w:val="00C411F6"/>
    <w:rsid w:val="00C7469A"/>
    <w:rsid w:val="00C83178"/>
    <w:rsid w:val="00C85543"/>
    <w:rsid w:val="00C879B4"/>
    <w:rsid w:val="00CA49AF"/>
    <w:rsid w:val="00CB45ED"/>
    <w:rsid w:val="00CB51D3"/>
    <w:rsid w:val="00CB6A80"/>
    <w:rsid w:val="00CB7873"/>
    <w:rsid w:val="00CC2B88"/>
    <w:rsid w:val="00CD35DC"/>
    <w:rsid w:val="00CE21EF"/>
    <w:rsid w:val="00CE29DC"/>
    <w:rsid w:val="00CF01C1"/>
    <w:rsid w:val="00CF0C79"/>
    <w:rsid w:val="00CF4E4D"/>
    <w:rsid w:val="00CF512D"/>
    <w:rsid w:val="00D127E8"/>
    <w:rsid w:val="00D305EB"/>
    <w:rsid w:val="00D308E2"/>
    <w:rsid w:val="00D35DDB"/>
    <w:rsid w:val="00D4648C"/>
    <w:rsid w:val="00D604B1"/>
    <w:rsid w:val="00D61AD9"/>
    <w:rsid w:val="00D6621B"/>
    <w:rsid w:val="00D720B2"/>
    <w:rsid w:val="00D86177"/>
    <w:rsid w:val="00DA0D5F"/>
    <w:rsid w:val="00DA2A63"/>
    <w:rsid w:val="00DA6628"/>
    <w:rsid w:val="00DB7657"/>
    <w:rsid w:val="00DC1E6C"/>
    <w:rsid w:val="00DD2EEE"/>
    <w:rsid w:val="00DD51DB"/>
    <w:rsid w:val="00DE2ACB"/>
    <w:rsid w:val="00DE5097"/>
    <w:rsid w:val="00DF2C79"/>
    <w:rsid w:val="00DF5D89"/>
    <w:rsid w:val="00E04E3B"/>
    <w:rsid w:val="00E06448"/>
    <w:rsid w:val="00E1339C"/>
    <w:rsid w:val="00E16C6A"/>
    <w:rsid w:val="00E20BBE"/>
    <w:rsid w:val="00E24365"/>
    <w:rsid w:val="00E3276F"/>
    <w:rsid w:val="00E53DE7"/>
    <w:rsid w:val="00E63965"/>
    <w:rsid w:val="00E63FC4"/>
    <w:rsid w:val="00E73F60"/>
    <w:rsid w:val="00E8026F"/>
    <w:rsid w:val="00E81E12"/>
    <w:rsid w:val="00EA5230"/>
    <w:rsid w:val="00EA6F6E"/>
    <w:rsid w:val="00EA77A7"/>
    <w:rsid w:val="00EA7C8E"/>
    <w:rsid w:val="00EB6EFE"/>
    <w:rsid w:val="00EC01B0"/>
    <w:rsid w:val="00EC304E"/>
    <w:rsid w:val="00EC56D6"/>
    <w:rsid w:val="00EC5D74"/>
    <w:rsid w:val="00ED0840"/>
    <w:rsid w:val="00ED303E"/>
    <w:rsid w:val="00EF09C5"/>
    <w:rsid w:val="00EF4451"/>
    <w:rsid w:val="00EF54ED"/>
    <w:rsid w:val="00EF725E"/>
    <w:rsid w:val="00F17541"/>
    <w:rsid w:val="00F22CBB"/>
    <w:rsid w:val="00F2499C"/>
    <w:rsid w:val="00F60DE7"/>
    <w:rsid w:val="00FA2F70"/>
    <w:rsid w:val="00FB256A"/>
    <w:rsid w:val="00FB3A60"/>
    <w:rsid w:val="00FD22D3"/>
    <w:rsid w:val="00FE1CC8"/>
    <w:rsid w:val="00FF3B63"/>
    <w:rsid w:val="00FF6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117F18"/>
    <w:rPr>
      <w:color w:val="954F72" w:themeColor="followedHyperlink"/>
      <w:u w:val="single"/>
    </w:rPr>
  </w:style>
  <w:style w:type="character" w:styleId="CommentReference">
    <w:name w:val="annotation reference"/>
    <w:basedOn w:val="DefaultParagraphFont"/>
    <w:uiPriority w:val="99"/>
    <w:semiHidden/>
    <w:unhideWhenUsed/>
    <w:rsid w:val="00540628"/>
    <w:rPr>
      <w:sz w:val="16"/>
      <w:szCs w:val="16"/>
    </w:rPr>
  </w:style>
  <w:style w:type="paragraph" w:styleId="CommentText">
    <w:name w:val="annotation text"/>
    <w:basedOn w:val="Normal"/>
    <w:link w:val="CommentTextChar"/>
    <w:uiPriority w:val="99"/>
    <w:unhideWhenUsed/>
    <w:rsid w:val="00540628"/>
    <w:pPr>
      <w:spacing w:line="240" w:lineRule="auto"/>
    </w:pPr>
    <w:rPr>
      <w:sz w:val="20"/>
      <w:szCs w:val="20"/>
    </w:rPr>
  </w:style>
  <w:style w:type="character" w:customStyle="1" w:styleId="CommentTextChar">
    <w:name w:val="Comment Text Char"/>
    <w:basedOn w:val="DefaultParagraphFont"/>
    <w:link w:val="CommentText"/>
    <w:uiPriority w:val="99"/>
    <w:rsid w:val="00540628"/>
  </w:style>
  <w:style w:type="paragraph" w:styleId="CommentSubject">
    <w:name w:val="annotation subject"/>
    <w:basedOn w:val="CommentText"/>
    <w:next w:val="CommentText"/>
    <w:link w:val="CommentSubjectChar"/>
    <w:uiPriority w:val="99"/>
    <w:semiHidden/>
    <w:unhideWhenUsed/>
    <w:rsid w:val="00540628"/>
    <w:rPr>
      <w:b/>
      <w:bCs/>
    </w:rPr>
  </w:style>
  <w:style w:type="character" w:customStyle="1" w:styleId="CommentSubjectChar">
    <w:name w:val="Comment Subject Char"/>
    <w:basedOn w:val="CommentTextChar"/>
    <w:link w:val="CommentSubject"/>
    <w:uiPriority w:val="99"/>
    <w:semiHidden/>
    <w:rsid w:val="00540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3D319-4D07-4A7E-A418-859651344061}">
  <ds:schemaRefs>
    <ds:schemaRef ds:uri="http://schemas.openxmlformats.org/officeDocument/2006/bibliography"/>
  </ds:schemaRefs>
</ds:datastoreItem>
</file>

<file path=customXml/itemProps2.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CD6DD7-CFBE-4F7E-8A97-2F7C7D2B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8E80D-C8D5-47E7-B7E5-EA9C5E9B2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Pollard, Colette</cp:lastModifiedBy>
  <cp:revision>2</cp:revision>
  <cp:lastPrinted>2015-10-22T17:43:00Z</cp:lastPrinted>
  <dcterms:created xsi:type="dcterms:W3CDTF">2024-06-27T13:00:00Z</dcterms:created>
  <dcterms:modified xsi:type="dcterms:W3CDTF">2024-06-27T13:00:00Z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