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3EE7" w14:paraId="38CBF3AB" w14:textId="0B0BC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D73EE7" w14:paraId="034FBB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CB5C3D" w:rsidP="006A6949" w14:paraId="4ACD2309" w14:textId="2B66A3BE">
      <w:pPr>
        <w:pStyle w:val="Heading1"/>
        <w:rPr>
          <w:rFonts w:ascii="Times New Roman" w:hAnsi="Times New Roman"/>
        </w:rPr>
      </w:pPr>
      <w:r w:rsidRPr="000D2DF6">
        <w:rPr>
          <w:rFonts w:ascii="Times New Roman" w:hAnsi="Times New Roman"/>
        </w:rPr>
        <w:t>Supporting Statement for Paperwork Reduction Act Submission</w:t>
      </w:r>
      <w:r w:rsidRPr="000D2DF6" w:rsidR="006A6949">
        <w:rPr>
          <w:rFonts w:ascii="Times New Roman" w:hAnsi="Times New Roman"/>
        </w:rPr>
        <w:t xml:space="preserve"> – Housing Opportunities for Persons With AIDS (HOPWA) </w:t>
      </w:r>
      <w:r w:rsidR="00E10581">
        <w:rPr>
          <w:rFonts w:ascii="Times New Roman" w:hAnsi="Times New Roman"/>
        </w:rPr>
        <w:t>Program</w:t>
      </w:r>
    </w:p>
    <w:p w:rsidR="006A6949" w:rsidRPr="000D2DF6" w:rsidP="006A6949" w14:paraId="24E70ED7" w14:textId="5BCC61B4">
      <w:pPr>
        <w:pStyle w:val="Heading1"/>
        <w:rPr>
          <w:rFonts w:ascii="Times New Roman" w:hAnsi="Times New Roman"/>
        </w:rPr>
      </w:pPr>
      <w:r w:rsidRPr="00563D3E">
        <w:rPr>
          <w:rFonts w:ascii="Times New Roman" w:hAnsi="Times New Roman"/>
        </w:rPr>
        <w:t>OMB Control No. 2506-0133</w:t>
      </w:r>
    </w:p>
    <w:p w:rsidR="00D73EE7" w14:paraId="4F3103C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4E185B" w:rsidRPr="00CB5C3D" w:rsidP="00CB5C3D" w14:paraId="28D6204B" w14:textId="73627918">
      <w:pPr>
        <w:pStyle w:val="ListParagraph"/>
        <w:numPr>
          <w:ilvl w:val="0"/>
          <w:numId w:val="2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r>
        <w:rPr>
          <w:color w:val="000000"/>
          <w:sz w:val="22"/>
          <w:szCs w:val="22"/>
        </w:rPr>
        <w:t>Justification</w:t>
      </w:r>
    </w:p>
    <w:p w:rsidR="00525CD7" w:rsidRPr="003B27A6" w:rsidP="00525CD7" w14:paraId="60EF662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p>
    <w:p w:rsidR="00883D60" w:rsidRPr="00A9750E" w:rsidP="00591147" w14:paraId="4AFEC197" w14:textId="525B0FAA">
      <w:pPr>
        <w:pStyle w:val="BodyTextIndent"/>
        <w:numPr>
          <w:ilvl w:val="0"/>
          <w:numId w:val="29"/>
        </w:numPr>
        <w:rPr>
          <w:b/>
          <w:szCs w:val="22"/>
        </w:rPr>
      </w:pPr>
      <w:r>
        <w:rPr>
          <w:b/>
          <w:szCs w:val="22"/>
        </w:rPr>
        <w:t>Explain the circumstances that make the collection of information necessary. Identify any legal or administrative requirements that necessitate the collection. Attach a copy of the appropriate section of each statu</w:t>
      </w:r>
      <w:r w:rsidR="001A36D8">
        <w:rPr>
          <w:b/>
          <w:szCs w:val="22"/>
        </w:rPr>
        <w:t>t</w:t>
      </w:r>
      <w:r>
        <w:rPr>
          <w:b/>
          <w:szCs w:val="22"/>
        </w:rPr>
        <w:t>e and regulation mandating or authorizing the collection of information.</w:t>
      </w:r>
      <w:r w:rsidR="00AA4851">
        <w:rPr>
          <w:b/>
          <w:szCs w:val="22"/>
        </w:rPr>
        <w:t xml:space="preserve"> </w:t>
      </w:r>
    </w:p>
    <w:p w:rsidR="00DE447B" w:rsidRPr="00A9750E" w:rsidP="00DE447B" w14:paraId="43877050" w14:textId="77777777">
      <w:pPr>
        <w:pStyle w:val="NoSpacing"/>
      </w:pPr>
    </w:p>
    <w:p w:rsidR="00AB7DB8" w:rsidRPr="00AB7DB8" w:rsidP="163B6AD0" w14:paraId="3119AC8E" w14:textId="1874353C">
      <w:pPr>
        <w:rPr>
          <w:color w:val="000000"/>
          <w:sz w:val="22"/>
          <w:szCs w:val="22"/>
        </w:rPr>
      </w:pPr>
      <w:r w:rsidRPr="163B6AD0">
        <w:rPr>
          <w:sz w:val="22"/>
          <w:szCs w:val="22"/>
        </w:rPr>
        <w:t xml:space="preserve">The currently approved HOPWA paperwork collection </w:t>
      </w:r>
      <w:r w:rsidRPr="163B6AD0" w:rsidR="00E67E14">
        <w:rPr>
          <w:sz w:val="22"/>
          <w:szCs w:val="22"/>
        </w:rPr>
        <w:t>is</w:t>
      </w:r>
      <w:r w:rsidRPr="163B6AD0">
        <w:rPr>
          <w:sz w:val="22"/>
          <w:szCs w:val="22"/>
        </w:rPr>
        <w:t xml:space="preserve"> under OMB Control N</w:t>
      </w:r>
      <w:r w:rsidR="00761618">
        <w:rPr>
          <w:sz w:val="22"/>
          <w:szCs w:val="22"/>
        </w:rPr>
        <w:t>o.</w:t>
      </w:r>
      <w:r w:rsidRPr="163B6AD0">
        <w:rPr>
          <w:sz w:val="22"/>
          <w:szCs w:val="22"/>
        </w:rPr>
        <w:t xml:space="preserve"> 2506-0133</w:t>
      </w:r>
      <w:r w:rsidRPr="163B6AD0" w:rsidR="00AC2A77">
        <w:rPr>
          <w:sz w:val="22"/>
          <w:szCs w:val="22"/>
        </w:rPr>
        <w:t xml:space="preserve"> and expires on 12/31/2024</w:t>
      </w:r>
      <w:r w:rsidRPr="163B6AD0">
        <w:rPr>
          <w:sz w:val="22"/>
          <w:szCs w:val="22"/>
        </w:rPr>
        <w:t>. HUD is requesting a revision of the currently approved collection. This revision would</w:t>
      </w:r>
      <w:r w:rsidRPr="163B6AD0" w:rsidR="0087255D">
        <w:rPr>
          <w:sz w:val="22"/>
          <w:szCs w:val="22"/>
        </w:rPr>
        <w:t xml:space="preserve"> </w:t>
      </w:r>
      <w:r w:rsidRPr="163B6AD0" w:rsidR="00796F9C">
        <w:rPr>
          <w:sz w:val="22"/>
          <w:szCs w:val="22"/>
        </w:rPr>
        <w:t xml:space="preserve">add </w:t>
      </w:r>
      <w:r w:rsidRPr="163B6AD0" w:rsidR="00496C48">
        <w:rPr>
          <w:sz w:val="22"/>
          <w:szCs w:val="22"/>
        </w:rPr>
        <w:t>a few</w:t>
      </w:r>
      <w:r w:rsidRPr="163B6AD0" w:rsidR="00796F9C">
        <w:rPr>
          <w:sz w:val="22"/>
          <w:szCs w:val="22"/>
        </w:rPr>
        <w:t xml:space="preserve"> additional data elements to form HUD-4155, </w:t>
      </w:r>
      <w:r w:rsidRPr="163B6AD0" w:rsidR="00AC2A77">
        <w:rPr>
          <w:sz w:val="22"/>
          <w:szCs w:val="22"/>
        </w:rPr>
        <w:t>remove forms that are no longer needed</w:t>
      </w:r>
      <w:r w:rsidRPr="163B6AD0" w:rsidR="00EB52DF">
        <w:rPr>
          <w:sz w:val="22"/>
          <w:szCs w:val="22"/>
        </w:rPr>
        <w:t xml:space="preserve">, remove components that will be covered with a child submission through </w:t>
      </w:r>
      <w:r w:rsidRPr="163B6AD0" w:rsidR="005B2419">
        <w:rPr>
          <w:sz w:val="22"/>
          <w:szCs w:val="22"/>
        </w:rPr>
        <w:t>the HUD generic information collection request under OMB Control N</w:t>
      </w:r>
      <w:r w:rsidR="008D0E50">
        <w:rPr>
          <w:sz w:val="22"/>
          <w:szCs w:val="22"/>
        </w:rPr>
        <w:t>o.</w:t>
      </w:r>
      <w:r w:rsidRPr="163B6AD0" w:rsidR="005B2419">
        <w:rPr>
          <w:sz w:val="22"/>
          <w:szCs w:val="22"/>
        </w:rPr>
        <w:t xml:space="preserve"> 2501-0044</w:t>
      </w:r>
      <w:r w:rsidRPr="163B6AD0" w:rsidR="00AC2A77">
        <w:rPr>
          <w:sz w:val="22"/>
          <w:szCs w:val="22"/>
        </w:rPr>
        <w:t>,</w:t>
      </w:r>
      <w:r w:rsidRPr="163B6AD0">
        <w:rPr>
          <w:sz w:val="22"/>
          <w:szCs w:val="22"/>
        </w:rPr>
        <w:t xml:space="preserve"> </w:t>
      </w:r>
      <w:r w:rsidRPr="163B6AD0" w:rsidR="0000479E">
        <w:rPr>
          <w:sz w:val="22"/>
          <w:szCs w:val="22"/>
        </w:rPr>
        <w:t>adjust language in form HUD-4154, update form HUD-4153 to reflect published Notices of Funding Opportunity (NOFOs)</w:t>
      </w:r>
      <w:r w:rsidRPr="163B6AD0" w:rsidR="00E923A1">
        <w:rPr>
          <w:sz w:val="22"/>
          <w:szCs w:val="22"/>
        </w:rPr>
        <w:t>, and add grant closeout to the paperwork collection package with a new HOPWA grant closeout form</w:t>
      </w:r>
      <w:r w:rsidRPr="163B6AD0" w:rsidR="00796F9C">
        <w:rPr>
          <w:sz w:val="22"/>
          <w:szCs w:val="22"/>
        </w:rPr>
        <w:t>.</w:t>
      </w:r>
      <w:r w:rsidRPr="163B6AD0">
        <w:rPr>
          <w:sz w:val="22"/>
          <w:szCs w:val="22"/>
        </w:rPr>
        <w:t xml:space="preserve"> </w:t>
      </w:r>
      <w:r w:rsidR="00047FB1">
        <w:rPr>
          <w:sz w:val="22"/>
          <w:szCs w:val="22"/>
        </w:rPr>
        <w:t>The Office of HIV/AIDs Housing (</w:t>
      </w:r>
      <w:r w:rsidRPr="163B6AD0">
        <w:rPr>
          <w:color w:val="000000" w:themeColor="text1"/>
          <w:sz w:val="22"/>
          <w:szCs w:val="22"/>
        </w:rPr>
        <w:t>OHH</w:t>
      </w:r>
      <w:r w:rsidR="00047FB1">
        <w:rPr>
          <w:color w:val="000000" w:themeColor="text1"/>
          <w:sz w:val="22"/>
          <w:szCs w:val="22"/>
        </w:rPr>
        <w:t>)</w:t>
      </w:r>
      <w:r w:rsidRPr="163B6AD0">
        <w:rPr>
          <w:color w:val="000000" w:themeColor="text1"/>
          <w:sz w:val="22"/>
          <w:szCs w:val="22"/>
        </w:rPr>
        <w:t xml:space="preserve"> continues to ask for </w:t>
      </w:r>
      <w:r w:rsidRPr="163B6AD0">
        <w:rPr>
          <w:sz w:val="22"/>
          <w:szCs w:val="22"/>
        </w:rPr>
        <w:t xml:space="preserve">approval for the </w:t>
      </w:r>
      <w:r w:rsidRPr="163B6AD0" w:rsidR="0087255D">
        <w:rPr>
          <w:sz w:val="22"/>
          <w:szCs w:val="22"/>
        </w:rPr>
        <w:t xml:space="preserve">data elements in the </w:t>
      </w:r>
      <w:r w:rsidRPr="163B6AD0">
        <w:rPr>
          <w:sz w:val="22"/>
          <w:szCs w:val="22"/>
        </w:rPr>
        <w:t xml:space="preserve">HUD-4155 information collection in the form of a data table instead of as a specific form, in order to allow for the possibility of collecting these elements from new or existing computer systems, when possible and as the funding to adapt existing systems and/or purchase new software becomes available. </w:t>
      </w:r>
      <w:r w:rsidRPr="163B6AD0">
        <w:rPr>
          <w:color w:val="000000" w:themeColor="text1"/>
          <w:sz w:val="22"/>
          <w:szCs w:val="22"/>
        </w:rPr>
        <w:t xml:space="preserve">These actions will further alleviate grantee reporting burden. </w:t>
      </w:r>
    </w:p>
    <w:p w:rsidR="00FE2AFE" w:rsidP="001A36D8" w14:paraId="72A9305E" w14:textId="77777777"/>
    <w:p w:rsidR="00D86280" w:rsidP="00345A0F" w14:paraId="447E2934" w14:textId="3D2B090D">
      <w:pPr>
        <w:pStyle w:val="BodyTextIndent2"/>
        <w:ind w:left="0"/>
      </w:pPr>
      <w:r>
        <w:t>The currently approved HUD-</w:t>
      </w:r>
      <w:r w:rsidR="00AC2A77">
        <w:t>4155</w:t>
      </w:r>
      <w:r>
        <w:t xml:space="preserve"> paperwork collection is for HOPWA annual reporting requirements. </w:t>
      </w:r>
      <w:r w:rsidR="009726E1">
        <w:t xml:space="preserve">In addition to the recordkeeping requirements cited below, grantees with HOPWA facilities under stewardship are also required to report until the minimum use period is met for the facility. </w:t>
      </w:r>
      <w:r>
        <w:t>The HOPWA statute and corresponding regulations requiring reporting and recordkeeping are listed below:</w:t>
      </w:r>
    </w:p>
    <w:p w:rsidR="00AB7688" w:rsidP="00345A0F" w14:paraId="5BED2F6D" w14:textId="65FD5A18">
      <w:pPr>
        <w:pStyle w:val="BodyTextIndent2"/>
        <w:ind w:left="0"/>
        <w:rPr>
          <w:szCs w:val="22"/>
        </w:rPr>
      </w:pPr>
    </w:p>
    <w:p w:rsidR="003B00BA" w:rsidRPr="002E1334" w:rsidP="000D2DF6" w14:paraId="646DAA83" w14:textId="77777777">
      <w:pPr>
        <w:pStyle w:val="BodyTextIndent2"/>
        <w:numPr>
          <w:ilvl w:val="0"/>
          <w:numId w:val="16"/>
        </w:numPr>
        <w:tabs>
          <w:tab w:val="clear" w:pos="360"/>
        </w:tabs>
        <w:spacing w:after="0"/>
        <w:rPr>
          <w:szCs w:val="22"/>
        </w:rPr>
      </w:pPr>
      <w:r w:rsidRPr="002E1334">
        <w:rPr>
          <w:szCs w:val="22"/>
        </w:rPr>
        <w:t xml:space="preserve">42 U.S.C. 12911. Report. </w:t>
      </w:r>
      <w:r w:rsidRPr="000D2DF6">
        <w:rPr>
          <w:szCs w:val="22"/>
        </w:rPr>
        <w:t>Any organization or agency that receives a grant under this chapter shall submit to the Secretary, for any fiscal year in which the organization or agency receives a grant under this chapter, a report describing the use of the amounts received, which shall include the number of individuals assisted, the types of assistance provided, and any other information that the Secretary determines to be appropriate.</w:t>
      </w:r>
    </w:p>
    <w:p w:rsidR="00062554" w:rsidP="000D2DF6" w14:paraId="5E33593A" w14:textId="77777777">
      <w:pPr>
        <w:pStyle w:val="Heading2"/>
        <w:numPr>
          <w:ilvl w:val="0"/>
          <w:numId w:val="14"/>
        </w:numPr>
        <w:shd w:val="clear" w:color="auto" w:fill="FFFFFF"/>
        <w:spacing w:before="0" w:after="0"/>
        <w:rPr>
          <w:rFonts w:ascii="Times New Roman" w:hAnsi="Times New Roman"/>
          <w:b w:val="0"/>
          <w:bCs w:val="0"/>
          <w:i w:val="0"/>
          <w:iCs w:val="0"/>
          <w:color w:val="000000"/>
          <w:sz w:val="22"/>
          <w:szCs w:val="22"/>
        </w:rPr>
      </w:pPr>
      <w:r>
        <w:rPr>
          <w:rFonts w:ascii="Times New Roman" w:hAnsi="Times New Roman"/>
          <w:b w:val="0"/>
          <w:bCs w:val="0"/>
          <w:i w:val="0"/>
          <w:iCs w:val="0"/>
          <w:color w:val="000000"/>
          <w:sz w:val="22"/>
          <w:szCs w:val="22"/>
        </w:rPr>
        <w:t xml:space="preserve">24 CFR </w:t>
      </w:r>
      <w:r w:rsidRPr="000D2DF6">
        <w:rPr>
          <w:rFonts w:ascii="Times New Roman" w:hAnsi="Times New Roman"/>
          <w:b w:val="0"/>
          <w:bCs w:val="0"/>
          <w:i w:val="0"/>
          <w:iCs w:val="0"/>
          <w:color w:val="000000"/>
          <w:sz w:val="22"/>
          <w:szCs w:val="22"/>
        </w:rPr>
        <w:t xml:space="preserve">574.520. Performance reports. </w:t>
      </w:r>
    </w:p>
    <w:p w:rsidR="00062554" w:rsidP="000D2DF6" w14:paraId="72F2E6A6" w14:textId="77777777">
      <w:pPr>
        <w:pStyle w:val="Heading2"/>
        <w:shd w:val="clear" w:color="auto" w:fill="FFFFFF"/>
        <w:spacing w:before="0" w:after="0"/>
        <w:ind w:left="1080"/>
        <w:rPr>
          <w:rFonts w:ascii="Times New Roman" w:hAnsi="Times New Roman"/>
          <w:b w:val="0"/>
          <w:bCs w:val="0"/>
          <w:i w:val="0"/>
          <w:iCs w:val="0"/>
          <w:color w:val="000000"/>
          <w:sz w:val="22"/>
          <w:szCs w:val="22"/>
        </w:rPr>
      </w:pPr>
      <w:r w:rsidRPr="000D2DF6">
        <w:rPr>
          <w:rFonts w:ascii="Times New Roman" w:hAnsi="Times New Roman"/>
          <w:b w:val="0"/>
          <w:bCs w:val="0"/>
          <w:i w:val="0"/>
          <w:iCs w:val="0"/>
          <w:color w:val="000000"/>
          <w:sz w:val="22"/>
          <w:szCs w:val="22"/>
        </w:rPr>
        <w:t>(a)</w:t>
      </w:r>
      <w:r w:rsidRPr="000D2DF6">
        <w:rPr>
          <w:rFonts w:ascii="Times New Roman" w:hAnsi="Times New Roman"/>
          <w:b w:val="0"/>
          <w:bCs w:val="0"/>
          <w:i w:val="0"/>
          <w:iCs w:val="0"/>
          <w:sz w:val="22"/>
          <w:szCs w:val="22"/>
        </w:rPr>
        <w:t> </w:t>
      </w:r>
      <w:r w:rsidRPr="000D2DF6">
        <w:rPr>
          <w:rFonts w:ascii="Times New Roman" w:hAnsi="Times New Roman"/>
          <w:b w:val="0"/>
          <w:bCs w:val="0"/>
          <w:i w:val="0"/>
          <w:iCs w:val="0"/>
          <w:color w:val="000000"/>
          <w:sz w:val="22"/>
          <w:szCs w:val="22"/>
        </w:rPr>
        <w:t>Formula grants.</w:t>
      </w:r>
      <w:r w:rsidRPr="000D2DF6">
        <w:rPr>
          <w:rFonts w:ascii="Times New Roman" w:hAnsi="Times New Roman"/>
          <w:b w:val="0"/>
          <w:bCs w:val="0"/>
          <w:i w:val="0"/>
          <w:iCs w:val="0"/>
          <w:sz w:val="22"/>
          <w:szCs w:val="22"/>
        </w:rPr>
        <w:t> </w:t>
      </w:r>
      <w:r w:rsidRPr="000D2DF6">
        <w:rPr>
          <w:rFonts w:ascii="Times New Roman" w:hAnsi="Times New Roman"/>
          <w:b w:val="0"/>
          <w:bCs w:val="0"/>
          <w:i w:val="0"/>
          <w:iCs w:val="0"/>
          <w:color w:val="000000"/>
          <w:sz w:val="22"/>
          <w:szCs w:val="22"/>
        </w:rPr>
        <w:t>For a formula grant recipient, the performance reporting requirements are specified in 24 CFR part 91.</w:t>
      </w:r>
    </w:p>
    <w:p w:rsidR="00062554" w:rsidP="000D2DF6" w14:paraId="6B8773AD" w14:textId="77777777">
      <w:pPr>
        <w:pStyle w:val="Heading2"/>
        <w:shd w:val="clear" w:color="auto" w:fill="FFFFFF"/>
        <w:spacing w:before="0" w:after="0"/>
        <w:ind w:left="1080"/>
        <w:rPr>
          <w:rFonts w:ascii="Times New Roman" w:hAnsi="Times New Roman"/>
          <w:b w:val="0"/>
          <w:bCs w:val="0"/>
          <w:i w:val="0"/>
          <w:iCs w:val="0"/>
          <w:color w:val="000000"/>
          <w:sz w:val="22"/>
          <w:szCs w:val="22"/>
        </w:rPr>
      </w:pPr>
      <w:r w:rsidRPr="000D2DF6">
        <w:rPr>
          <w:rFonts w:ascii="Times New Roman" w:hAnsi="Times New Roman"/>
          <w:b w:val="0"/>
          <w:bCs w:val="0"/>
          <w:i w:val="0"/>
          <w:iCs w:val="0"/>
          <w:color w:val="000000"/>
          <w:sz w:val="22"/>
          <w:szCs w:val="22"/>
        </w:rPr>
        <w:t>(b)</w:t>
      </w:r>
      <w:r w:rsidRPr="000D2DF6">
        <w:rPr>
          <w:rFonts w:ascii="Times New Roman" w:hAnsi="Times New Roman"/>
          <w:b w:val="0"/>
          <w:bCs w:val="0"/>
          <w:i w:val="0"/>
          <w:iCs w:val="0"/>
          <w:sz w:val="22"/>
          <w:szCs w:val="22"/>
        </w:rPr>
        <w:t> </w:t>
      </w:r>
      <w:r w:rsidRPr="000D2DF6">
        <w:rPr>
          <w:rFonts w:ascii="Times New Roman" w:hAnsi="Times New Roman"/>
          <w:b w:val="0"/>
          <w:bCs w:val="0"/>
          <w:i w:val="0"/>
          <w:iCs w:val="0"/>
          <w:color w:val="000000"/>
          <w:sz w:val="22"/>
          <w:szCs w:val="22"/>
        </w:rPr>
        <w:t>Competitive grants.</w:t>
      </w:r>
      <w:r w:rsidRPr="000D2DF6">
        <w:rPr>
          <w:rFonts w:ascii="Times New Roman" w:hAnsi="Times New Roman"/>
          <w:b w:val="0"/>
          <w:bCs w:val="0"/>
          <w:i w:val="0"/>
          <w:iCs w:val="0"/>
          <w:sz w:val="22"/>
          <w:szCs w:val="22"/>
        </w:rPr>
        <w:t> </w:t>
      </w:r>
      <w:r w:rsidRPr="000D2DF6">
        <w:rPr>
          <w:rFonts w:ascii="Times New Roman" w:hAnsi="Times New Roman"/>
          <w:b w:val="0"/>
          <w:bCs w:val="0"/>
          <w:i w:val="0"/>
          <w:iCs w:val="0"/>
          <w:color w:val="000000"/>
          <w:sz w:val="22"/>
          <w:szCs w:val="22"/>
        </w:rPr>
        <w:t>A grantee shall submit to HUD annually a report describing the use of the amounts received, including the number of individuals assisted, the types of assistance provided, data on emergency transfers requested under 24 CFR 5.2005(e), pertaining to victims of domestic violence, dating violence, sexual assault, or stalking, including data on the outcomes of such requests, and any other information that HUD may require. Annual reports are required until all grant funds are expended.</w:t>
      </w:r>
    </w:p>
    <w:p w:rsidR="00116FD8" w:rsidRPr="000D2DF6" w:rsidP="000D2DF6" w14:paraId="466D99FA" w14:textId="77777777">
      <w:pPr>
        <w:numPr>
          <w:ilvl w:val="0"/>
          <w:numId w:val="14"/>
        </w:numPr>
        <w:rPr>
          <w:color w:val="000000"/>
          <w:sz w:val="22"/>
          <w:szCs w:val="22"/>
        </w:rPr>
      </w:pPr>
      <w:r w:rsidRPr="000D2DF6">
        <w:rPr>
          <w:color w:val="000000"/>
          <w:sz w:val="22"/>
          <w:szCs w:val="22"/>
        </w:rPr>
        <w:t>24 CFR 91.520(f). HOPWA.</w:t>
      </w:r>
      <w:r w:rsidRPr="000D2DF6">
        <w:rPr>
          <w:sz w:val="22"/>
          <w:szCs w:val="22"/>
        </w:rPr>
        <w:t> </w:t>
      </w:r>
      <w:r w:rsidRPr="000D2DF6">
        <w:rPr>
          <w:color w:val="000000"/>
          <w:sz w:val="22"/>
          <w:szCs w:val="22"/>
        </w:rPr>
        <w:t>For jurisdictions receiving funding under the Housing Opportunities for Persons With AIDS program, the report must include the number of individuals assisted and the types of assistance provided, as well as data on emergency transfers requested under 24 CFR 5.2005(e), pertaining to victims of domestic violence, dating violence, sexual assault, or stalking, including data on the outcomes of such requests.</w:t>
      </w:r>
    </w:p>
    <w:p w:rsidR="00062554" w:rsidRPr="000D2DF6" w:rsidP="000D2DF6" w14:paraId="75B8D579" w14:textId="77777777">
      <w:pPr>
        <w:pStyle w:val="Heading2"/>
        <w:numPr>
          <w:ilvl w:val="0"/>
          <w:numId w:val="14"/>
        </w:numPr>
        <w:shd w:val="clear" w:color="auto" w:fill="FFFFFF"/>
        <w:spacing w:before="0" w:after="0"/>
        <w:rPr>
          <w:rFonts w:ascii="Times New Roman" w:hAnsi="Times New Roman"/>
          <w:b w:val="0"/>
          <w:bCs w:val="0"/>
          <w:i w:val="0"/>
          <w:iCs w:val="0"/>
          <w:color w:val="000000"/>
          <w:sz w:val="22"/>
          <w:szCs w:val="22"/>
        </w:rPr>
      </w:pPr>
      <w:bookmarkStart w:id="0" w:name="se24.3.574_1530"/>
      <w:bookmarkEnd w:id="0"/>
      <w:r>
        <w:rPr>
          <w:rFonts w:ascii="Times New Roman" w:hAnsi="Times New Roman"/>
          <w:b w:val="0"/>
          <w:bCs w:val="0"/>
          <w:i w:val="0"/>
          <w:iCs w:val="0"/>
          <w:color w:val="000000"/>
          <w:sz w:val="22"/>
          <w:szCs w:val="22"/>
        </w:rPr>
        <w:t xml:space="preserve">24 CFR </w:t>
      </w:r>
      <w:r w:rsidRPr="000D2DF6">
        <w:rPr>
          <w:rFonts w:ascii="Times New Roman" w:hAnsi="Times New Roman"/>
          <w:b w:val="0"/>
          <w:bCs w:val="0"/>
          <w:i w:val="0"/>
          <w:iCs w:val="0"/>
          <w:color w:val="000000"/>
          <w:sz w:val="22"/>
          <w:szCs w:val="22"/>
        </w:rPr>
        <w:t>574.530. Recordkeeping. Each grantee must ensure that records are maintained for a 4-year period to document compliance with the provisions of this part. Grantees must maintain the following:</w:t>
      </w:r>
    </w:p>
    <w:p w:rsidR="00062554" w:rsidRPr="000D2DF6" w:rsidP="000D2DF6" w14:paraId="4EE27200" w14:textId="77777777">
      <w:pPr>
        <w:pStyle w:val="Heading2"/>
        <w:shd w:val="clear" w:color="auto" w:fill="FFFFFF"/>
        <w:spacing w:before="0" w:after="0"/>
        <w:ind w:left="1080"/>
        <w:rPr>
          <w:rFonts w:ascii="Times New Roman" w:hAnsi="Times New Roman"/>
          <w:b w:val="0"/>
          <w:bCs w:val="0"/>
          <w:i w:val="0"/>
          <w:iCs w:val="0"/>
          <w:color w:val="000000"/>
          <w:sz w:val="22"/>
          <w:szCs w:val="22"/>
        </w:rPr>
      </w:pPr>
      <w:r w:rsidRPr="000D2DF6">
        <w:rPr>
          <w:rFonts w:ascii="Times New Roman" w:hAnsi="Times New Roman"/>
          <w:b w:val="0"/>
          <w:bCs w:val="0"/>
          <w:i w:val="0"/>
          <w:iCs w:val="0"/>
          <w:color w:val="000000"/>
          <w:sz w:val="22"/>
          <w:szCs w:val="22"/>
        </w:rPr>
        <w:t>(a) Current and accurate data on the race and ethnicity of program participants.</w:t>
      </w:r>
    </w:p>
    <w:p w:rsidR="00062554" w:rsidRPr="000D2DF6" w:rsidP="163B6AD0" w14:paraId="603C4B55" w14:textId="25423299">
      <w:pPr>
        <w:pStyle w:val="Heading2"/>
        <w:shd w:val="clear" w:color="auto" w:fill="FFFFFF" w:themeFill="background1"/>
        <w:spacing w:before="0" w:after="0"/>
        <w:ind w:left="1080"/>
        <w:rPr>
          <w:rFonts w:ascii="Times New Roman" w:hAnsi="Times New Roman"/>
          <w:b w:val="0"/>
          <w:bCs w:val="0"/>
          <w:i w:val="0"/>
          <w:iCs w:val="0"/>
          <w:color w:val="000000"/>
          <w:sz w:val="22"/>
          <w:szCs w:val="22"/>
        </w:rPr>
      </w:pPr>
      <w:r w:rsidRPr="163B6AD0">
        <w:rPr>
          <w:rFonts w:ascii="Times New Roman" w:hAnsi="Times New Roman"/>
          <w:b w:val="0"/>
          <w:bCs w:val="0"/>
          <w:i w:val="0"/>
          <w:iCs w:val="0"/>
          <w:color w:val="000000" w:themeColor="text1"/>
          <w:sz w:val="22"/>
          <w:szCs w:val="22"/>
        </w:rPr>
        <w:t>(b)</w:t>
      </w:r>
      <w:r w:rsidRPr="163B6AD0" w:rsidR="00F12597">
        <w:rPr>
          <w:rFonts w:ascii="Times New Roman" w:hAnsi="Times New Roman"/>
          <w:b w:val="0"/>
          <w:bCs w:val="0"/>
          <w:i w:val="0"/>
          <w:iCs w:val="0"/>
          <w:color w:val="000000" w:themeColor="text1"/>
          <w:sz w:val="22"/>
          <w:szCs w:val="22"/>
        </w:rPr>
        <w:t xml:space="preserve"> Documentation of the actions the grantee has taken to affirmatively further fair housing</w:t>
      </w:r>
      <w:r w:rsidR="00EC787E">
        <w:rPr>
          <w:rFonts w:ascii="Times New Roman" w:hAnsi="Times New Roman"/>
          <w:b w:val="0"/>
          <w:bCs w:val="0"/>
          <w:i w:val="0"/>
          <w:iCs w:val="0"/>
          <w:color w:val="000000" w:themeColor="text1"/>
          <w:sz w:val="22"/>
          <w:szCs w:val="22"/>
        </w:rPr>
        <w:t>,</w:t>
      </w:r>
      <w:r w:rsidRPr="163B6AD0" w:rsidR="00F12597">
        <w:rPr>
          <w:rFonts w:ascii="Times New Roman" w:hAnsi="Times New Roman"/>
          <w:b w:val="0"/>
          <w:bCs w:val="0"/>
          <w:i w:val="0"/>
          <w:iCs w:val="0"/>
          <w:color w:val="000000" w:themeColor="text1"/>
          <w:sz w:val="22"/>
          <w:szCs w:val="22"/>
        </w:rPr>
        <w:t xml:space="preserve"> pursuant to </w:t>
      </w:r>
      <w:r w:rsidR="009B332A">
        <w:rPr>
          <w:rFonts w:ascii="Times New Roman" w:hAnsi="Times New Roman"/>
          <w:b w:val="0"/>
          <w:bCs w:val="0"/>
          <w:i w:val="0"/>
          <w:iCs w:val="0"/>
          <w:color w:val="000000" w:themeColor="text1"/>
          <w:sz w:val="22"/>
          <w:szCs w:val="22"/>
        </w:rPr>
        <w:t xml:space="preserve">24 CFR </w:t>
      </w:r>
      <w:r w:rsidRPr="163B6AD0" w:rsidR="00F12597">
        <w:rPr>
          <w:rFonts w:ascii="Times New Roman" w:hAnsi="Times New Roman"/>
          <w:b w:val="0"/>
          <w:bCs w:val="0"/>
          <w:i w:val="0"/>
          <w:iCs w:val="0"/>
          <w:color w:val="000000" w:themeColor="text1"/>
          <w:sz w:val="22"/>
          <w:szCs w:val="22"/>
        </w:rPr>
        <w:t xml:space="preserve"> 5.151 and 5.152. </w:t>
      </w:r>
    </w:p>
    <w:p w:rsidR="00062554" w:rsidP="000D2DF6" w14:paraId="0422D3D9" w14:textId="16C30757">
      <w:pPr>
        <w:pStyle w:val="Heading2"/>
        <w:shd w:val="clear" w:color="auto" w:fill="FFFFFF"/>
        <w:spacing w:before="0" w:after="0"/>
        <w:ind w:left="1080"/>
        <w:rPr>
          <w:rFonts w:ascii="Times New Roman" w:hAnsi="Times New Roman"/>
          <w:b w:val="0"/>
          <w:bCs w:val="0"/>
          <w:i w:val="0"/>
          <w:iCs w:val="0"/>
          <w:color w:val="000000"/>
          <w:sz w:val="22"/>
          <w:szCs w:val="22"/>
        </w:rPr>
      </w:pPr>
      <w:r w:rsidRPr="000D2DF6">
        <w:rPr>
          <w:rFonts w:ascii="Times New Roman" w:hAnsi="Times New Roman"/>
          <w:b w:val="0"/>
          <w:bCs w:val="0"/>
          <w:i w:val="0"/>
          <w:iCs w:val="0"/>
          <w:color w:val="000000"/>
          <w:sz w:val="22"/>
          <w:szCs w:val="22"/>
        </w:rPr>
        <w:t>(c) Data on emergency transfers requested under 24 CFR 5.2005(e), pertaining to victims of domestic violence, dating violence, sexual assault, or stalking, including data on the outcomes of such requests.</w:t>
      </w:r>
    </w:p>
    <w:p w:rsidR="00ED3D1F" w:rsidRPr="004075E3" w:rsidP="004075E3" w14:paraId="52FD43E2" w14:textId="77777777">
      <w:pPr>
        <w:rPr>
          <w:b/>
          <w:bCs/>
          <w:i/>
          <w:iCs/>
        </w:rPr>
      </w:pPr>
    </w:p>
    <w:p w:rsidR="00AC2D14" w:rsidP="0089639C" w14:paraId="32B52843" w14:textId="6B4C69E7">
      <w:pPr>
        <w:tabs>
          <w:tab w:val="left" w:pos="360"/>
        </w:tabs>
        <w:rPr>
          <w:color w:val="000000"/>
          <w:sz w:val="22"/>
          <w:szCs w:val="22"/>
        </w:rPr>
      </w:pPr>
      <w:r w:rsidRPr="001A36D8">
        <w:rPr>
          <w:color w:val="000000"/>
          <w:sz w:val="22"/>
          <w:szCs w:val="22"/>
        </w:rPr>
        <w:t xml:space="preserve">The currently approved </w:t>
      </w:r>
      <w:r w:rsidRPr="001A36D8">
        <w:rPr>
          <w:color w:val="000000"/>
          <w:sz w:val="22"/>
          <w:szCs w:val="22"/>
        </w:rPr>
        <w:t xml:space="preserve">HIV Housing Care Continuum Model Report (HUD-4154) and Housing as an Intervention to Fight AIDS Model Report (HUD-4153) </w:t>
      </w:r>
      <w:r w:rsidRPr="001A36D8">
        <w:rPr>
          <w:color w:val="000000"/>
          <w:sz w:val="22"/>
          <w:szCs w:val="22"/>
        </w:rPr>
        <w:t xml:space="preserve">paperwork collection is for HOPWA reporting </w:t>
      </w:r>
      <w:r w:rsidRPr="001A36D8">
        <w:rPr>
          <w:color w:val="000000"/>
          <w:sz w:val="22"/>
          <w:szCs w:val="22"/>
        </w:rPr>
        <w:t>forms</w:t>
      </w:r>
      <w:r w:rsidRPr="001A36D8">
        <w:rPr>
          <w:color w:val="000000"/>
          <w:sz w:val="22"/>
          <w:szCs w:val="22"/>
        </w:rPr>
        <w:t xml:space="preserve"> applicable to </w:t>
      </w:r>
      <w:r w:rsidRPr="001A36D8">
        <w:rPr>
          <w:color w:val="000000"/>
          <w:sz w:val="22"/>
          <w:szCs w:val="22"/>
        </w:rPr>
        <w:t>new competitive grants only</w:t>
      </w:r>
      <w:r w:rsidRPr="001A36D8">
        <w:rPr>
          <w:color w:val="000000"/>
          <w:sz w:val="22"/>
          <w:szCs w:val="22"/>
        </w:rPr>
        <w:t>.</w:t>
      </w:r>
      <w:r w:rsidRPr="001A36D8">
        <w:rPr>
          <w:color w:val="000000"/>
          <w:sz w:val="22"/>
          <w:szCs w:val="22"/>
        </w:rPr>
        <w:t xml:space="preserve"> The reporting requirements for these form</w:t>
      </w:r>
      <w:r w:rsidR="001A36D8">
        <w:rPr>
          <w:color w:val="000000"/>
          <w:sz w:val="22"/>
          <w:szCs w:val="22"/>
        </w:rPr>
        <w:t>s</w:t>
      </w:r>
      <w:r w:rsidRPr="001A36D8">
        <w:rPr>
          <w:color w:val="000000"/>
          <w:sz w:val="22"/>
          <w:szCs w:val="22"/>
        </w:rPr>
        <w:t xml:space="preserve"> are set through the applicable NOFO. </w:t>
      </w:r>
    </w:p>
    <w:p w:rsidR="00EB06B7" w:rsidP="0089639C" w14:paraId="78084AC2" w14:textId="77777777">
      <w:pPr>
        <w:tabs>
          <w:tab w:val="left" w:pos="360"/>
        </w:tabs>
        <w:rPr>
          <w:color w:val="000000"/>
          <w:sz w:val="22"/>
          <w:szCs w:val="22"/>
        </w:rPr>
      </w:pPr>
    </w:p>
    <w:p w:rsidR="00EB06B7" w:rsidP="009D00CE" w14:paraId="131FEDBF" w14:textId="329E0406">
      <w:pPr>
        <w:pStyle w:val="BodyTextIndent"/>
        <w:tabs>
          <w:tab w:val="left" w:pos="0"/>
          <w:tab w:val="clear" w:pos="360"/>
        </w:tabs>
        <w:ind w:left="0" w:firstLine="0"/>
        <w:rPr>
          <w:szCs w:val="22"/>
        </w:rPr>
      </w:pPr>
      <w:r>
        <w:rPr>
          <w:szCs w:val="22"/>
        </w:rPr>
        <w:t>OHH is requesting to remove HUD-40110-C</w:t>
      </w:r>
      <w:r w:rsidR="001A36D8">
        <w:rPr>
          <w:szCs w:val="22"/>
        </w:rPr>
        <w:t xml:space="preserve"> and</w:t>
      </w:r>
      <w:r>
        <w:rPr>
          <w:szCs w:val="22"/>
        </w:rPr>
        <w:t xml:space="preserve"> HUD-40110-D</w:t>
      </w:r>
      <w:r w:rsidR="005B2419">
        <w:rPr>
          <w:szCs w:val="22"/>
        </w:rPr>
        <w:t xml:space="preserve"> </w:t>
      </w:r>
      <w:r>
        <w:rPr>
          <w:szCs w:val="22"/>
        </w:rPr>
        <w:t>from the package. The two forms, HUD-40110-C and HUD-40110-D</w:t>
      </w:r>
      <w:r w:rsidR="005B2419">
        <w:rPr>
          <w:szCs w:val="22"/>
        </w:rPr>
        <w:t>,</w:t>
      </w:r>
      <w:r>
        <w:rPr>
          <w:szCs w:val="22"/>
        </w:rPr>
        <w:t xml:space="preserve"> have been replaced by the data elements reflected in HUD-4155, which was phased in during the last two reporting periods. Grantees will no longer be expected to use the HUD-40110-C and HUD-40110-D forms. </w:t>
      </w:r>
    </w:p>
    <w:p w:rsidR="00EB52DF" w:rsidP="009D00CE" w14:paraId="48F47C32" w14:textId="2589C271">
      <w:pPr>
        <w:pStyle w:val="BodyTextIndent"/>
        <w:tabs>
          <w:tab w:val="left" w:pos="0"/>
          <w:tab w:val="clear" w:pos="360"/>
        </w:tabs>
        <w:ind w:left="0" w:firstLine="0"/>
        <w:rPr>
          <w:szCs w:val="22"/>
        </w:rPr>
      </w:pPr>
    </w:p>
    <w:p w:rsidR="00EB52DF" w14:paraId="74628C64" w14:textId="730D1B70">
      <w:pPr>
        <w:pStyle w:val="BodyTextIndent"/>
        <w:tabs>
          <w:tab w:val="left" w:pos="0"/>
          <w:tab w:val="clear" w:pos="360"/>
        </w:tabs>
        <w:ind w:left="0" w:firstLine="0"/>
        <w:rPr>
          <w:szCs w:val="22"/>
        </w:rPr>
      </w:pPr>
      <w:r>
        <w:rPr>
          <w:szCs w:val="22"/>
        </w:rPr>
        <w:t xml:space="preserve">OHH is requesting the removal </w:t>
      </w:r>
      <w:r w:rsidR="001A36D8">
        <w:rPr>
          <w:szCs w:val="22"/>
        </w:rPr>
        <w:t>of</w:t>
      </w:r>
      <w:r>
        <w:rPr>
          <w:szCs w:val="22"/>
        </w:rPr>
        <w:t xml:space="preserve"> pre-award information collections for </w:t>
      </w:r>
      <w:r w:rsidRPr="00EB06B7">
        <w:rPr>
          <w:szCs w:val="22"/>
        </w:rPr>
        <w:t>HOPWA Permanent Supportive Housing (PSH) renewal/replacement applications (including narratives and other requirements listed in the PSH Notice); HOPWA Competitive Application (including narratives and other requirements listed in the NOFO</w:t>
      </w:r>
      <w:r w:rsidRPr="004075E3">
        <w:rPr>
          <w:szCs w:val="22"/>
        </w:rPr>
        <w:t>)</w:t>
      </w:r>
      <w:r w:rsidR="009C5D9C">
        <w:rPr>
          <w:szCs w:val="22"/>
        </w:rPr>
        <w:t xml:space="preserve">. </w:t>
      </w:r>
      <w:r w:rsidR="00A42F72">
        <w:rPr>
          <w:szCs w:val="22"/>
        </w:rPr>
        <w:t xml:space="preserve">HUD pre-award information collection is now covered under </w:t>
      </w:r>
      <w:r w:rsidR="00973BD0">
        <w:rPr>
          <w:szCs w:val="22"/>
        </w:rPr>
        <w:t>OMB Control N</w:t>
      </w:r>
      <w:r w:rsidR="008D0E50">
        <w:rPr>
          <w:szCs w:val="22"/>
        </w:rPr>
        <w:t>o.</w:t>
      </w:r>
      <w:r w:rsidR="00973BD0">
        <w:rPr>
          <w:szCs w:val="22"/>
        </w:rPr>
        <w:t xml:space="preserve"> </w:t>
      </w:r>
      <w:r w:rsidRPr="00973BD0" w:rsidR="00973BD0">
        <w:rPr>
          <w:szCs w:val="22"/>
        </w:rPr>
        <w:t>2501-0044</w:t>
      </w:r>
      <w:r w:rsidR="00973BD0">
        <w:rPr>
          <w:szCs w:val="22"/>
        </w:rPr>
        <w:t>.</w:t>
      </w:r>
    </w:p>
    <w:p w:rsidR="00A42F72" w14:paraId="3A98E983" w14:textId="77777777">
      <w:pPr>
        <w:pStyle w:val="BodyTextIndent"/>
        <w:tabs>
          <w:tab w:val="left" w:pos="0"/>
          <w:tab w:val="clear" w:pos="360"/>
        </w:tabs>
        <w:ind w:left="0" w:firstLine="0"/>
        <w:rPr>
          <w:szCs w:val="22"/>
        </w:rPr>
      </w:pPr>
    </w:p>
    <w:p w:rsidR="00B77971" w:rsidP="00B77971" w14:paraId="0E51CCC5" w14:textId="37A2AC88">
      <w:pPr>
        <w:pStyle w:val="BodyTextIndent2"/>
        <w:ind w:left="0"/>
        <w:rPr>
          <w:szCs w:val="22"/>
        </w:rPr>
      </w:pPr>
      <w:r>
        <w:rPr>
          <w:szCs w:val="22"/>
        </w:rPr>
        <w:t xml:space="preserve">OHH </w:t>
      </w:r>
      <w:r w:rsidR="00973BD0">
        <w:rPr>
          <w:szCs w:val="22"/>
        </w:rPr>
        <w:t>is requesti</w:t>
      </w:r>
      <w:r>
        <w:rPr>
          <w:szCs w:val="22"/>
        </w:rPr>
        <w:t>ng the addition of information collection for grant closeout f</w:t>
      </w:r>
      <w:r w:rsidR="00E417F4">
        <w:rPr>
          <w:szCs w:val="22"/>
        </w:rPr>
        <w:t>or</w:t>
      </w:r>
      <w:r>
        <w:rPr>
          <w:szCs w:val="22"/>
        </w:rPr>
        <w:t xml:space="preserve"> this package. </w:t>
      </w:r>
      <w:r>
        <w:t xml:space="preserve">An important step of </w:t>
      </w:r>
      <w:r w:rsidR="00E417F4">
        <w:t xml:space="preserve">the </w:t>
      </w:r>
      <w:r>
        <w:t xml:space="preserve">grants management is to process grant closeouts. Grant closeout requires HUD to determine that </w:t>
      </w:r>
      <w:r w:rsidR="00C30805">
        <w:t xml:space="preserve">the grantee has completed </w:t>
      </w:r>
      <w:r>
        <w:t xml:space="preserve">all applicable administrative actions and all required work of the grant. </w:t>
      </w:r>
      <w:r w:rsidR="00CD42B7">
        <w:t xml:space="preserve">The information collected for HOPWA grant closeout includes the HOPWA grant closeout certification, the SF425, and all other relevant reports to the grant project including </w:t>
      </w:r>
      <w:r w:rsidRPr="007132A0" w:rsidR="00CD42B7">
        <w:rPr>
          <w:szCs w:val="22"/>
        </w:rPr>
        <w:t>Integrated Disbursement and Information System (IDIS)</w:t>
      </w:r>
      <w:r w:rsidR="00CD42B7">
        <w:t xml:space="preserve"> financial </w:t>
      </w:r>
      <w:r w:rsidR="005405CD">
        <w:t>information</w:t>
      </w:r>
      <w:r w:rsidR="00CD42B7">
        <w:t xml:space="preserve"> and an inventory of all real property and personal property acquired or improved under the grant. </w:t>
      </w:r>
      <w:r>
        <w:t>The closeout process is guided and governed primarily by 2 CFR 200.344, which lays out specific steps and obligations for both HUD and the grantee.</w:t>
      </w:r>
      <w:r w:rsidR="00973BD0">
        <w:rPr>
          <w:szCs w:val="22"/>
        </w:rPr>
        <w:t xml:space="preserve"> </w:t>
      </w:r>
      <w:r>
        <w:rPr>
          <w:szCs w:val="22"/>
        </w:rPr>
        <w:t>The corresponding regulations requiring grant closeout are listed below:</w:t>
      </w:r>
    </w:p>
    <w:p w:rsidR="00B77971" w:rsidRPr="00B77971" w:rsidP="00B77971" w14:paraId="3CEFE594" w14:textId="6C4DDACF">
      <w:pPr>
        <w:pStyle w:val="BodyTextIndent2"/>
        <w:numPr>
          <w:ilvl w:val="0"/>
          <w:numId w:val="30"/>
        </w:numPr>
        <w:rPr>
          <w:szCs w:val="22"/>
        </w:rPr>
      </w:pPr>
      <w:r>
        <w:rPr>
          <w:szCs w:val="22"/>
        </w:rPr>
        <w:t xml:space="preserve">24 CFR 574.605. </w:t>
      </w:r>
      <w:r>
        <w:t xml:space="preserve">Applicability of uniform administrative requirements, cost principles, and audit requirements for Federal awards. The provisions of </w:t>
      </w:r>
      <w:hyperlink r:id="rId6" w:history="1">
        <w:r>
          <w:rPr>
            <w:rStyle w:val="Hyperlink"/>
          </w:rPr>
          <w:t>2 CFR part 200</w:t>
        </w:r>
      </w:hyperlink>
      <w:r>
        <w:t>, “Uniform Administrative Requirements, Cost Principles, and Audit Requirements for Federal Awards”, apply to HOPWA grants.</w:t>
      </w:r>
    </w:p>
    <w:p w:rsidR="00A42F72" w:rsidRPr="00CD42B7" w:rsidP="00B77971" w14:paraId="4EF74E75" w14:textId="595BC335">
      <w:pPr>
        <w:pStyle w:val="BodyTextIndent2"/>
        <w:numPr>
          <w:ilvl w:val="0"/>
          <w:numId w:val="30"/>
        </w:numPr>
        <w:rPr>
          <w:szCs w:val="22"/>
        </w:rPr>
      </w:pPr>
      <w:r>
        <w:t>2 CFR 200.344. Closeout.</w:t>
      </w:r>
    </w:p>
    <w:p w:rsidR="00CD42B7" w:rsidRPr="00CD42B7" w:rsidP="00B77971" w14:paraId="6679ABA7" w14:textId="71594AF9">
      <w:pPr>
        <w:pStyle w:val="BodyTextIndent2"/>
        <w:numPr>
          <w:ilvl w:val="0"/>
          <w:numId w:val="30"/>
        </w:numPr>
        <w:rPr>
          <w:szCs w:val="22"/>
        </w:rPr>
      </w:pPr>
      <w:r>
        <w:t xml:space="preserve">2 CFR 200.311. Real </w:t>
      </w:r>
      <w:r w:rsidR="00E875D4">
        <w:t>p</w:t>
      </w:r>
      <w:r>
        <w:t>roperty</w:t>
      </w:r>
      <w:r w:rsidR="00E875D4">
        <w:t>.</w:t>
      </w:r>
    </w:p>
    <w:p w:rsidR="00CD42B7" w:rsidRPr="00CD42B7" w:rsidP="00B77971" w14:paraId="458ECD84" w14:textId="5029AE9C">
      <w:pPr>
        <w:pStyle w:val="BodyTextIndent2"/>
        <w:numPr>
          <w:ilvl w:val="0"/>
          <w:numId w:val="30"/>
        </w:numPr>
        <w:rPr>
          <w:szCs w:val="22"/>
        </w:rPr>
      </w:pPr>
      <w:r>
        <w:t>2 CFR 200.313. Equipment</w:t>
      </w:r>
      <w:r w:rsidR="00E875D4">
        <w:t>.</w:t>
      </w:r>
    </w:p>
    <w:p w:rsidR="00CD42B7" w:rsidRPr="0011781E" w:rsidP="0000578E" w14:paraId="1C421435" w14:textId="1FACE657">
      <w:pPr>
        <w:pStyle w:val="BodyTextIndent2"/>
        <w:numPr>
          <w:ilvl w:val="0"/>
          <w:numId w:val="30"/>
        </w:numPr>
        <w:rPr>
          <w:szCs w:val="22"/>
        </w:rPr>
      </w:pPr>
      <w:r>
        <w:t xml:space="preserve">2 CFR 200.315. Intangible </w:t>
      </w:r>
      <w:r w:rsidR="00C62627">
        <w:t>p</w:t>
      </w:r>
      <w:r>
        <w:t>roperty.</w:t>
      </w:r>
    </w:p>
    <w:p w:rsidR="0011781E" w:rsidRPr="00CD42B7" w:rsidP="0011781E" w14:paraId="47C1F89D" w14:textId="77777777">
      <w:pPr>
        <w:pStyle w:val="BodyTextIndent2"/>
        <w:numPr>
          <w:ilvl w:val="0"/>
          <w:numId w:val="30"/>
        </w:numPr>
        <w:rPr>
          <w:szCs w:val="22"/>
        </w:rPr>
      </w:pPr>
      <w:r>
        <w:t>2 CFR 200.344. Closeout.</w:t>
      </w:r>
    </w:p>
    <w:p w:rsidR="0011781E" w:rsidRPr="00B77971" w:rsidP="00C07FA4" w14:paraId="596ADB9D" w14:textId="77777777">
      <w:pPr>
        <w:pStyle w:val="BodyTextIndent2"/>
        <w:ind w:left="720"/>
        <w:rPr>
          <w:szCs w:val="22"/>
        </w:rPr>
      </w:pPr>
    </w:p>
    <w:p w:rsidR="00AC2D14" w:rsidP="0089639C" w14:paraId="60217805" w14:textId="77777777">
      <w:pPr>
        <w:tabs>
          <w:tab w:val="left" w:pos="360"/>
        </w:tabs>
        <w:rPr>
          <w:sz w:val="22"/>
          <w:szCs w:val="22"/>
        </w:rPr>
      </w:pPr>
    </w:p>
    <w:p w:rsidR="00D73EE7" w:rsidP="0089639C" w14:paraId="4725E8C0" w14:textId="22355ACB">
      <w:pPr>
        <w:tabs>
          <w:tab w:val="left" w:pos="360"/>
        </w:tabs>
        <w:rPr>
          <w:sz w:val="22"/>
          <w:szCs w:val="22"/>
        </w:rPr>
      </w:pPr>
      <w:r w:rsidRPr="00EB06B7">
        <w:rPr>
          <w:sz w:val="22"/>
          <w:szCs w:val="22"/>
        </w:rPr>
        <w:t xml:space="preserve">The other information collections currently approved under this OMB </w:t>
      </w:r>
      <w:r w:rsidR="00351382">
        <w:rPr>
          <w:sz w:val="22"/>
          <w:szCs w:val="22"/>
        </w:rPr>
        <w:t>c</w:t>
      </w:r>
      <w:r w:rsidRPr="00EB06B7">
        <w:rPr>
          <w:sz w:val="22"/>
          <w:szCs w:val="22"/>
        </w:rPr>
        <w:t xml:space="preserve">ontrol </w:t>
      </w:r>
      <w:r w:rsidR="00351382">
        <w:rPr>
          <w:sz w:val="22"/>
          <w:szCs w:val="22"/>
        </w:rPr>
        <w:t>n</w:t>
      </w:r>
      <w:r w:rsidRPr="00EB06B7">
        <w:rPr>
          <w:sz w:val="22"/>
          <w:szCs w:val="22"/>
        </w:rPr>
        <w:t xml:space="preserve">umber will remain unchanged. Those information collections are </w:t>
      </w:r>
      <w:r w:rsidRPr="004075E3">
        <w:rPr>
          <w:sz w:val="22"/>
          <w:szCs w:val="22"/>
        </w:rPr>
        <w:t>Recordkeeping for Competitive, Renewal, and Formula Grantees; and Grant Amendments.</w:t>
      </w:r>
      <w:r w:rsidR="006D174D">
        <w:rPr>
          <w:sz w:val="22"/>
          <w:szCs w:val="22"/>
        </w:rPr>
        <w:t xml:space="preserve"> </w:t>
      </w:r>
    </w:p>
    <w:p w:rsidR="00816D51" w:rsidP="0089639C" w14:paraId="1A0A8F86" w14:textId="2230B52A">
      <w:pPr>
        <w:tabs>
          <w:tab w:val="left" w:pos="360"/>
        </w:tabs>
        <w:rPr>
          <w:sz w:val="22"/>
          <w:szCs w:val="22"/>
        </w:rPr>
      </w:pPr>
    </w:p>
    <w:p w:rsidR="00ED3D1F" w:rsidRPr="003B27A6" w14:paraId="020D80A9" w14:textId="77777777">
      <w:pPr>
        <w:tabs>
          <w:tab w:val="left" w:pos="360"/>
        </w:tabs>
        <w:rPr>
          <w:color w:val="000000"/>
          <w:sz w:val="22"/>
          <w:szCs w:val="22"/>
        </w:rPr>
      </w:pPr>
    </w:p>
    <w:p w:rsidR="00D73EE7" w:rsidRPr="00E07376" w:rsidP="003B27A6" w14:paraId="145EDB14" w14:textId="49411F07">
      <w:pPr>
        <w:keepLines/>
        <w:tabs>
          <w:tab w:val="left" w:pos="360"/>
        </w:tabs>
        <w:spacing w:after="80"/>
        <w:ind w:left="360" w:hanging="360"/>
        <w:rPr>
          <w:b/>
          <w:color w:val="000000"/>
          <w:sz w:val="22"/>
          <w:szCs w:val="22"/>
        </w:rPr>
      </w:pPr>
      <w:r w:rsidRPr="00E07376">
        <w:rPr>
          <w:b/>
          <w:color w:val="000000"/>
          <w:sz w:val="22"/>
          <w:szCs w:val="22"/>
        </w:rPr>
        <w:t>2.</w:t>
      </w:r>
      <w:r w:rsidRPr="00E07376">
        <w:rPr>
          <w:b/>
          <w:color w:val="000000"/>
          <w:sz w:val="22"/>
          <w:szCs w:val="22"/>
        </w:rPr>
        <w:tab/>
      </w:r>
      <w:r w:rsidR="004042AF">
        <w:rPr>
          <w:b/>
          <w:sz w:val="22"/>
          <w:szCs w:val="22"/>
        </w:rPr>
        <w:t xml:space="preserve">Indicate how, by whom, and for what purpose the information is to be used. Except for a new collection, </w:t>
      </w:r>
      <w:r w:rsidR="000047C4">
        <w:rPr>
          <w:b/>
          <w:sz w:val="22"/>
          <w:szCs w:val="22"/>
        </w:rPr>
        <w:t>indicate</w:t>
      </w:r>
      <w:r w:rsidR="004042AF">
        <w:rPr>
          <w:b/>
          <w:sz w:val="22"/>
          <w:szCs w:val="22"/>
        </w:rPr>
        <w:t xml:space="preserve"> the actual use the agency has made of the information received from the current collection. </w:t>
      </w:r>
      <w:r w:rsidR="00AA4851">
        <w:rPr>
          <w:b/>
          <w:sz w:val="22"/>
          <w:szCs w:val="22"/>
        </w:rPr>
        <w:t xml:space="preserve"> </w:t>
      </w:r>
    </w:p>
    <w:p w:rsidR="00C31F2B" w:rsidP="00C31F2B" w14:paraId="139CCDEB" w14:textId="77777777">
      <w:pPr>
        <w:rPr>
          <w:color w:val="000000"/>
          <w:sz w:val="22"/>
          <w:highlight w:val="yellow"/>
        </w:rPr>
      </w:pPr>
    </w:p>
    <w:p w:rsidR="00F34883" w:rsidP="00696B16" w14:paraId="2C1D1D67" w14:textId="73E8DB8F">
      <w:pPr>
        <w:rPr>
          <w:color w:val="000000"/>
          <w:sz w:val="22"/>
          <w:szCs w:val="22"/>
        </w:rPr>
      </w:pPr>
      <w:r w:rsidRPr="002F6D3D">
        <w:rPr>
          <w:color w:val="000000"/>
          <w:sz w:val="22"/>
          <w:szCs w:val="22"/>
        </w:rPr>
        <w:t>The current Paperwork Reduction Act</w:t>
      </w:r>
      <w:r w:rsidR="00121F5A">
        <w:rPr>
          <w:color w:val="000000"/>
          <w:sz w:val="22"/>
          <w:szCs w:val="22"/>
        </w:rPr>
        <w:t xml:space="preserve"> (PRA)</w:t>
      </w:r>
      <w:r w:rsidRPr="002F6D3D">
        <w:rPr>
          <w:color w:val="000000"/>
          <w:sz w:val="22"/>
          <w:szCs w:val="22"/>
        </w:rPr>
        <w:t xml:space="preserve"> approval under OMB Control No. 2506-0133 covers both the HOPWA formula and competitive grant programs.</w:t>
      </w:r>
      <w:r>
        <w:rPr>
          <w:color w:val="000000"/>
          <w:sz w:val="22"/>
          <w:szCs w:val="22"/>
        </w:rPr>
        <w:t xml:space="preserve"> This revision would apply to reporting requirements for both f</w:t>
      </w:r>
      <w:r w:rsidRPr="00EB06B7">
        <w:rPr>
          <w:color w:val="000000"/>
          <w:sz w:val="22"/>
          <w:szCs w:val="22"/>
        </w:rPr>
        <w:t>ormula and competitive grant programs</w:t>
      </w:r>
      <w:r w:rsidRPr="00EB06B7" w:rsidR="009C3724">
        <w:rPr>
          <w:color w:val="000000"/>
          <w:sz w:val="22"/>
          <w:szCs w:val="22"/>
        </w:rPr>
        <w:t xml:space="preserve">, </w:t>
      </w:r>
      <w:r w:rsidR="009C5D9C">
        <w:rPr>
          <w:color w:val="000000"/>
          <w:sz w:val="22"/>
          <w:szCs w:val="22"/>
        </w:rPr>
        <w:t xml:space="preserve">removal of </w:t>
      </w:r>
      <w:r w:rsidR="00B0141A">
        <w:rPr>
          <w:color w:val="000000"/>
          <w:sz w:val="22"/>
          <w:szCs w:val="22"/>
        </w:rPr>
        <w:t>pre-award information collection now covered through HUD generic information collection under OMB Control N</w:t>
      </w:r>
      <w:r w:rsidR="008D0E50">
        <w:rPr>
          <w:color w:val="000000"/>
          <w:sz w:val="22"/>
          <w:szCs w:val="22"/>
        </w:rPr>
        <w:t>o.</w:t>
      </w:r>
      <w:r w:rsidR="00B0141A">
        <w:rPr>
          <w:color w:val="000000"/>
          <w:sz w:val="22"/>
          <w:szCs w:val="22"/>
        </w:rPr>
        <w:t xml:space="preserve"> 2501-0044</w:t>
      </w:r>
      <w:r w:rsidR="00A42F72">
        <w:rPr>
          <w:color w:val="000000"/>
          <w:sz w:val="22"/>
          <w:szCs w:val="22"/>
        </w:rPr>
        <w:t xml:space="preserve">, and </w:t>
      </w:r>
      <w:r w:rsidR="003A450F">
        <w:rPr>
          <w:color w:val="000000"/>
          <w:sz w:val="22"/>
          <w:szCs w:val="22"/>
        </w:rPr>
        <w:t xml:space="preserve">the </w:t>
      </w:r>
      <w:r w:rsidR="00A42F72">
        <w:rPr>
          <w:color w:val="000000"/>
          <w:sz w:val="22"/>
          <w:szCs w:val="22"/>
        </w:rPr>
        <w:t>addition of</w:t>
      </w:r>
      <w:r w:rsidR="00A42F72">
        <w:rPr>
          <w:sz w:val="22"/>
          <w:szCs w:val="22"/>
        </w:rPr>
        <w:t xml:space="preserve"> grant closeout to the paperwork collection package with a new HOPWA grant closeout form</w:t>
      </w:r>
      <w:r w:rsidR="00B0141A">
        <w:rPr>
          <w:color w:val="000000"/>
          <w:sz w:val="22"/>
          <w:szCs w:val="22"/>
        </w:rPr>
        <w:t>.</w:t>
      </w:r>
      <w:r>
        <w:rPr>
          <w:color w:val="000000"/>
          <w:sz w:val="22"/>
          <w:szCs w:val="22"/>
        </w:rPr>
        <w:t xml:space="preserve"> </w:t>
      </w:r>
    </w:p>
    <w:p w:rsidR="00F34883" w:rsidP="00696B16" w14:paraId="66FFF31E" w14:textId="77777777">
      <w:pPr>
        <w:rPr>
          <w:color w:val="000000"/>
          <w:sz w:val="22"/>
          <w:szCs w:val="22"/>
        </w:rPr>
      </w:pPr>
    </w:p>
    <w:p w:rsidR="00394B65" w:rsidP="00696B16" w14:paraId="7FB56F1B" w14:textId="1BE92628">
      <w:pPr>
        <w:rPr>
          <w:color w:val="000000"/>
          <w:sz w:val="22"/>
          <w:szCs w:val="22"/>
        </w:rPr>
      </w:pPr>
      <w:r>
        <w:rPr>
          <w:color w:val="000000"/>
          <w:sz w:val="22"/>
          <w:szCs w:val="22"/>
        </w:rPr>
        <w:t xml:space="preserve">For annual reporting, HOPWA grantees </w:t>
      </w:r>
      <w:r w:rsidR="00AA4851">
        <w:rPr>
          <w:color w:val="000000"/>
          <w:sz w:val="22"/>
          <w:szCs w:val="22"/>
        </w:rPr>
        <w:t>complete reporting forms by providing information</w:t>
      </w:r>
      <w:r w:rsidRPr="000D2DF6" w:rsidR="00EE6B3F">
        <w:rPr>
          <w:color w:val="000000"/>
          <w:sz w:val="22"/>
          <w:szCs w:val="22"/>
        </w:rPr>
        <w:t xml:space="preserve"> on </w:t>
      </w:r>
      <w:r w:rsidR="00586FD5">
        <w:rPr>
          <w:color w:val="000000"/>
          <w:sz w:val="22"/>
          <w:szCs w:val="22"/>
        </w:rPr>
        <w:t>activities undertaken</w:t>
      </w:r>
      <w:r w:rsidR="00F272F8">
        <w:rPr>
          <w:color w:val="000000"/>
          <w:sz w:val="22"/>
          <w:szCs w:val="22"/>
        </w:rPr>
        <w:t>, number of clients served, funds expended,</w:t>
      </w:r>
      <w:r w:rsidR="00586FD5">
        <w:rPr>
          <w:color w:val="000000"/>
          <w:sz w:val="22"/>
          <w:szCs w:val="22"/>
        </w:rPr>
        <w:t xml:space="preserve"> and </w:t>
      </w:r>
      <w:r w:rsidRPr="000D2DF6" w:rsidR="00EE6B3F">
        <w:rPr>
          <w:color w:val="000000"/>
          <w:sz w:val="22"/>
          <w:szCs w:val="22"/>
        </w:rPr>
        <w:t>accomplishments</w:t>
      </w:r>
      <w:r w:rsidR="007E33C3">
        <w:rPr>
          <w:color w:val="000000"/>
          <w:sz w:val="22"/>
          <w:szCs w:val="22"/>
        </w:rPr>
        <w:t xml:space="preserve"> achieved</w:t>
      </w:r>
      <w:r w:rsidR="00586FD5">
        <w:rPr>
          <w:color w:val="000000"/>
          <w:sz w:val="22"/>
          <w:szCs w:val="22"/>
        </w:rPr>
        <w:t xml:space="preserve">. This information </w:t>
      </w:r>
      <w:r w:rsidRPr="000D2DF6" w:rsidR="00EE6B3F">
        <w:rPr>
          <w:color w:val="000000"/>
          <w:sz w:val="22"/>
          <w:szCs w:val="22"/>
        </w:rPr>
        <w:t>supports program evaluation and the ability to measure program beneficiary outcomes related to maintain</w:t>
      </w:r>
      <w:r w:rsidR="00EE6B3F">
        <w:rPr>
          <w:color w:val="000000"/>
          <w:sz w:val="22"/>
          <w:szCs w:val="22"/>
        </w:rPr>
        <w:t>ing</w:t>
      </w:r>
      <w:r w:rsidRPr="000D2DF6" w:rsidR="00EE6B3F">
        <w:rPr>
          <w:color w:val="000000"/>
          <w:sz w:val="22"/>
          <w:szCs w:val="22"/>
        </w:rPr>
        <w:t xml:space="preserve"> housing stability</w:t>
      </w:r>
      <w:r w:rsidR="0096226E">
        <w:rPr>
          <w:color w:val="000000"/>
          <w:sz w:val="22"/>
          <w:szCs w:val="22"/>
        </w:rPr>
        <w:t xml:space="preserve">, </w:t>
      </w:r>
      <w:r w:rsidRPr="000D2DF6" w:rsidR="00EE6B3F">
        <w:rPr>
          <w:color w:val="000000"/>
          <w:sz w:val="22"/>
          <w:szCs w:val="22"/>
        </w:rPr>
        <w:t>prevent</w:t>
      </w:r>
      <w:r w:rsidR="00EE6B3F">
        <w:rPr>
          <w:color w:val="000000"/>
          <w:sz w:val="22"/>
          <w:szCs w:val="22"/>
        </w:rPr>
        <w:t>ing</w:t>
      </w:r>
      <w:r w:rsidRPr="000D2DF6" w:rsidR="00EE6B3F">
        <w:rPr>
          <w:color w:val="000000"/>
          <w:sz w:val="22"/>
          <w:szCs w:val="22"/>
        </w:rPr>
        <w:t xml:space="preserve"> homelessness</w:t>
      </w:r>
      <w:r w:rsidR="0096226E">
        <w:rPr>
          <w:color w:val="000000"/>
          <w:sz w:val="22"/>
          <w:szCs w:val="22"/>
        </w:rPr>
        <w:t>,</w:t>
      </w:r>
      <w:r w:rsidRPr="000D2DF6" w:rsidR="00EE6B3F">
        <w:rPr>
          <w:color w:val="000000"/>
          <w:sz w:val="22"/>
          <w:szCs w:val="22"/>
        </w:rPr>
        <w:t xml:space="preserve"> and improv</w:t>
      </w:r>
      <w:r w:rsidR="00EE6B3F">
        <w:rPr>
          <w:color w:val="000000"/>
          <w:sz w:val="22"/>
          <w:szCs w:val="22"/>
        </w:rPr>
        <w:t>ing</w:t>
      </w:r>
      <w:r w:rsidRPr="000D2DF6" w:rsidR="00EE6B3F">
        <w:rPr>
          <w:color w:val="000000"/>
          <w:sz w:val="22"/>
          <w:szCs w:val="22"/>
        </w:rPr>
        <w:t xml:space="preserve"> access to care and support.</w:t>
      </w:r>
      <w:r>
        <w:rPr>
          <w:color w:val="000000"/>
          <w:sz w:val="22"/>
          <w:szCs w:val="22"/>
        </w:rPr>
        <w:t xml:space="preserve"> </w:t>
      </w:r>
      <w:r w:rsidRPr="002F6D3D">
        <w:rPr>
          <w:color w:val="000000"/>
          <w:sz w:val="22"/>
          <w:szCs w:val="22"/>
        </w:rPr>
        <w:t xml:space="preserve">Grantees are required to report </w:t>
      </w:r>
      <w:r w:rsidR="00F9327C">
        <w:rPr>
          <w:color w:val="000000"/>
          <w:sz w:val="22"/>
          <w:szCs w:val="22"/>
        </w:rPr>
        <w:t xml:space="preserve">only </w:t>
      </w:r>
      <w:r w:rsidRPr="002F6D3D">
        <w:rPr>
          <w:color w:val="000000"/>
          <w:sz w:val="22"/>
          <w:szCs w:val="22"/>
        </w:rPr>
        <w:t>on the activities undertaken</w:t>
      </w:r>
      <w:r w:rsidRPr="001159FC">
        <w:rPr>
          <w:sz w:val="22"/>
          <w:szCs w:val="22"/>
        </w:rPr>
        <w:t>, thus there may be components of these reporting requirements that may not be applicable</w:t>
      </w:r>
      <w:r w:rsidR="004679A2">
        <w:rPr>
          <w:sz w:val="22"/>
          <w:szCs w:val="22"/>
        </w:rPr>
        <w:t xml:space="preserve"> to every grantee</w:t>
      </w:r>
      <w:r w:rsidRPr="002F6D3D">
        <w:rPr>
          <w:color w:val="000000"/>
          <w:sz w:val="22"/>
          <w:szCs w:val="22"/>
        </w:rPr>
        <w:t>.</w:t>
      </w:r>
    </w:p>
    <w:p w:rsidR="00394B65" w:rsidP="00696B16" w14:paraId="7E0F6EA2" w14:textId="77777777">
      <w:pPr>
        <w:rPr>
          <w:color w:val="000000"/>
          <w:sz w:val="22"/>
          <w:szCs w:val="22"/>
        </w:rPr>
      </w:pPr>
    </w:p>
    <w:p w:rsidR="00E672CD" w:rsidP="00696B16" w14:paraId="6AB06DA2" w14:textId="5D5C3161">
      <w:pPr>
        <w:rPr>
          <w:sz w:val="22"/>
          <w:szCs w:val="22"/>
        </w:rPr>
      </w:pPr>
      <w:r>
        <w:rPr>
          <w:color w:val="000000"/>
          <w:sz w:val="22"/>
          <w:szCs w:val="22"/>
        </w:rPr>
        <w:t xml:space="preserve">This submission </w:t>
      </w:r>
      <w:r w:rsidR="00153938">
        <w:rPr>
          <w:color w:val="000000"/>
          <w:sz w:val="22"/>
          <w:szCs w:val="22"/>
        </w:rPr>
        <w:t>seeks to add a few additional data elements to the</w:t>
      </w:r>
      <w:r w:rsidR="00A1294C">
        <w:rPr>
          <w:color w:val="000000"/>
          <w:sz w:val="22"/>
          <w:szCs w:val="22"/>
        </w:rPr>
        <w:t xml:space="preserve"> </w:t>
      </w:r>
      <w:r w:rsidR="00A61E36">
        <w:rPr>
          <w:color w:val="000000"/>
          <w:sz w:val="22"/>
          <w:szCs w:val="22"/>
        </w:rPr>
        <w:t>annual reporting requirements for both HOPWA formula and competitive grantee</w:t>
      </w:r>
      <w:r w:rsidR="0017023E">
        <w:rPr>
          <w:color w:val="000000"/>
          <w:sz w:val="22"/>
          <w:szCs w:val="22"/>
        </w:rPr>
        <w:t xml:space="preserve">s, and </w:t>
      </w:r>
      <w:r w:rsidR="00153938">
        <w:rPr>
          <w:color w:val="000000"/>
          <w:sz w:val="22"/>
          <w:szCs w:val="22"/>
        </w:rPr>
        <w:t xml:space="preserve">seeks to remove the HUD-40110-C and HUD-40110-D forms from the PRA package. </w:t>
      </w:r>
      <w:r w:rsidR="007C0D2F">
        <w:rPr>
          <w:color w:val="000000"/>
          <w:sz w:val="22"/>
          <w:szCs w:val="22"/>
        </w:rPr>
        <w:t>In a previous PRA submission, the data elements in these</w:t>
      </w:r>
      <w:r w:rsidR="0000578E">
        <w:rPr>
          <w:color w:val="000000"/>
          <w:sz w:val="22"/>
          <w:szCs w:val="22"/>
        </w:rPr>
        <w:t xml:space="preserve"> two</w:t>
      </w:r>
      <w:r w:rsidR="007C0D2F">
        <w:rPr>
          <w:color w:val="000000"/>
          <w:sz w:val="22"/>
          <w:szCs w:val="22"/>
        </w:rPr>
        <w:t xml:space="preserve"> forms were consolidated into a single set of data elements that are currently reflected in the HUD-4155. Therefore the</w:t>
      </w:r>
      <w:r w:rsidR="00A1294C">
        <w:rPr>
          <w:color w:val="000000"/>
          <w:sz w:val="22"/>
          <w:szCs w:val="22"/>
        </w:rPr>
        <w:t xml:space="preserve"> prior HUD-40110-C and HUD-40110-D</w:t>
      </w:r>
      <w:r w:rsidR="007C0D2F">
        <w:rPr>
          <w:color w:val="000000"/>
          <w:sz w:val="22"/>
          <w:szCs w:val="22"/>
        </w:rPr>
        <w:t xml:space="preserve"> forms are no longer needed. </w:t>
      </w:r>
      <w:r w:rsidR="00D954B8">
        <w:rPr>
          <w:sz w:val="22"/>
          <w:szCs w:val="22"/>
        </w:rPr>
        <w:t>The addition</w:t>
      </w:r>
      <w:r w:rsidR="00C31F2B">
        <w:rPr>
          <w:sz w:val="22"/>
          <w:szCs w:val="22"/>
        </w:rPr>
        <w:t xml:space="preserve"> </w:t>
      </w:r>
      <w:r w:rsidR="00D954B8">
        <w:rPr>
          <w:sz w:val="22"/>
          <w:szCs w:val="22"/>
        </w:rPr>
        <w:t>of</w:t>
      </w:r>
      <w:r w:rsidR="00153938">
        <w:rPr>
          <w:sz w:val="22"/>
          <w:szCs w:val="22"/>
        </w:rPr>
        <w:t xml:space="preserve"> the</w:t>
      </w:r>
      <w:r w:rsidR="00D954B8">
        <w:rPr>
          <w:sz w:val="22"/>
          <w:szCs w:val="22"/>
        </w:rPr>
        <w:t xml:space="preserve"> new data elements will allow OHH to better respond to data calls from Congress and to make better programmatic decisions based on more relevant grantee annual data. </w:t>
      </w:r>
    </w:p>
    <w:p w:rsidR="00255112" w:rsidP="00696B16" w14:paraId="1817AC64" w14:textId="77777777">
      <w:pPr>
        <w:rPr>
          <w:sz w:val="22"/>
          <w:szCs w:val="22"/>
        </w:rPr>
      </w:pPr>
    </w:p>
    <w:p w:rsidR="00255112" w:rsidP="00696B16" w14:paraId="28BA9920" w14:textId="25F87E9C">
      <w:pPr>
        <w:rPr>
          <w:sz w:val="22"/>
          <w:szCs w:val="22"/>
        </w:rPr>
      </w:pPr>
      <w:r>
        <w:rPr>
          <w:sz w:val="22"/>
          <w:szCs w:val="22"/>
        </w:rPr>
        <w:t xml:space="preserve">Specifically for HOPWA competitive grants, this submission seeks to adjust language in form HUD-4154 to better align and streamline data collection terminology across all HOPWA reporting forms. </w:t>
      </w:r>
      <w:r w:rsidR="00B614EF">
        <w:rPr>
          <w:sz w:val="22"/>
          <w:szCs w:val="22"/>
        </w:rPr>
        <w:t>The information collected will not change</w:t>
      </w:r>
      <w:r w:rsidR="0000578E">
        <w:rPr>
          <w:sz w:val="22"/>
          <w:szCs w:val="22"/>
        </w:rPr>
        <w:t>;</w:t>
      </w:r>
      <w:r w:rsidR="00EB06B7">
        <w:rPr>
          <w:sz w:val="22"/>
          <w:szCs w:val="22"/>
        </w:rPr>
        <w:t xml:space="preserve"> rather</w:t>
      </w:r>
      <w:r w:rsidR="0000578E">
        <w:rPr>
          <w:sz w:val="22"/>
          <w:szCs w:val="22"/>
        </w:rPr>
        <w:t>,</w:t>
      </w:r>
      <w:r w:rsidR="00B614EF">
        <w:rPr>
          <w:sz w:val="22"/>
          <w:szCs w:val="22"/>
        </w:rPr>
        <w:t xml:space="preserve"> the updates provide additional clarity where grantees have asked questions about the form. </w:t>
      </w:r>
      <w:r>
        <w:rPr>
          <w:sz w:val="22"/>
          <w:szCs w:val="22"/>
        </w:rPr>
        <w:t xml:space="preserve">Form HUD-4154 was approved prior to the data elements </w:t>
      </w:r>
      <w:r w:rsidR="00EB06B7">
        <w:rPr>
          <w:sz w:val="22"/>
          <w:szCs w:val="22"/>
        </w:rPr>
        <w:t>for</w:t>
      </w:r>
      <w:r>
        <w:rPr>
          <w:sz w:val="22"/>
          <w:szCs w:val="22"/>
        </w:rPr>
        <w:t xml:space="preserve"> form HUD-4155 and this submission seeks to better align the data elements</w:t>
      </w:r>
      <w:r w:rsidR="00EB06B7">
        <w:rPr>
          <w:sz w:val="22"/>
          <w:szCs w:val="22"/>
        </w:rPr>
        <w:t xml:space="preserve"> and terminology</w:t>
      </w:r>
      <w:r>
        <w:rPr>
          <w:sz w:val="22"/>
          <w:szCs w:val="22"/>
        </w:rPr>
        <w:t xml:space="preserve"> to ensure minimum burden on grantees. This submission also seeks to update form HUD-4153 to better reflect the published NOFOs that require this reporting form. Form HUD-4153 was approved prior to the publication of the </w:t>
      </w:r>
      <w:r w:rsidR="00EB06B7">
        <w:rPr>
          <w:sz w:val="22"/>
          <w:szCs w:val="22"/>
        </w:rPr>
        <w:t>FY2020 and FY2023</w:t>
      </w:r>
      <w:r>
        <w:rPr>
          <w:sz w:val="22"/>
          <w:szCs w:val="22"/>
        </w:rPr>
        <w:t xml:space="preserve"> HOPWA NOFOs. Updates to form HUD-4153 include a name change from Housing Interventions to Fight AIDS (HIFA) Model to </w:t>
      </w:r>
      <w:r w:rsidR="00DA3C5C">
        <w:rPr>
          <w:sz w:val="22"/>
          <w:szCs w:val="22"/>
        </w:rPr>
        <w:t>Special Projects of National Significance (</w:t>
      </w:r>
      <w:r>
        <w:rPr>
          <w:sz w:val="22"/>
          <w:szCs w:val="22"/>
        </w:rPr>
        <w:t>SPNS</w:t>
      </w:r>
      <w:r w:rsidR="00DA3C5C">
        <w:rPr>
          <w:sz w:val="22"/>
          <w:szCs w:val="22"/>
        </w:rPr>
        <w:t>)</w:t>
      </w:r>
      <w:r>
        <w:rPr>
          <w:sz w:val="22"/>
          <w:szCs w:val="22"/>
        </w:rPr>
        <w:t xml:space="preserve"> Grant Model to allow a broader application to HOPWA NOFOs and </w:t>
      </w:r>
      <w:r w:rsidR="00EB06B7">
        <w:rPr>
          <w:sz w:val="22"/>
          <w:szCs w:val="22"/>
        </w:rPr>
        <w:t xml:space="preserve">better alignment with the content in the published NOFOs. Form HUD-4153 is only used for </w:t>
      </w:r>
      <w:r w:rsidR="0000578E">
        <w:rPr>
          <w:sz w:val="22"/>
          <w:szCs w:val="22"/>
        </w:rPr>
        <w:t xml:space="preserve">one-time </w:t>
      </w:r>
      <w:r w:rsidR="00EB06B7">
        <w:rPr>
          <w:sz w:val="22"/>
          <w:szCs w:val="22"/>
        </w:rPr>
        <w:t xml:space="preserve">reporting at the end of a new competitive SPNS grant’s period of performance. </w:t>
      </w:r>
    </w:p>
    <w:p w:rsidR="009C2ABB" w:rsidP="00696B16" w14:paraId="00D43749" w14:textId="68599F11">
      <w:pPr>
        <w:rPr>
          <w:color w:val="000000"/>
          <w:sz w:val="22"/>
          <w:szCs w:val="22"/>
        </w:rPr>
      </w:pPr>
    </w:p>
    <w:p w:rsidR="00586FD5" w:rsidP="00C07FA4" w14:paraId="4BAF05B4" w14:textId="09E35160">
      <w:pPr>
        <w:keepLines/>
        <w:tabs>
          <w:tab w:val="left" w:pos="360"/>
        </w:tabs>
        <w:spacing w:after="80"/>
        <w:rPr>
          <w:color w:val="000000"/>
          <w:sz w:val="22"/>
          <w:szCs w:val="22"/>
        </w:rPr>
      </w:pPr>
      <w:r>
        <w:rPr>
          <w:color w:val="000000"/>
          <w:sz w:val="22"/>
          <w:szCs w:val="22"/>
        </w:rPr>
        <w:t>HUD systematically reviews and conducts data analysis in order to prepare national and individual grantee performance profiles that are used to measure program performance against benchmark goals and objectives</w:t>
      </w:r>
      <w:r w:rsidR="006C3006">
        <w:rPr>
          <w:color w:val="000000"/>
          <w:sz w:val="22"/>
          <w:szCs w:val="22"/>
        </w:rPr>
        <w:t xml:space="preserve"> and </w:t>
      </w:r>
      <w:r>
        <w:rPr>
          <w:color w:val="000000"/>
          <w:sz w:val="22"/>
          <w:szCs w:val="22"/>
        </w:rPr>
        <w:t xml:space="preserve">to communicate the program’s achievement and contributions toward Departmental strategic goals. HUD plans to continue using the data elements in this submission for these purposes. </w:t>
      </w:r>
    </w:p>
    <w:p w:rsidR="0074123B" w:rsidP="00C31F2B" w14:paraId="54C3F306" w14:textId="77777777">
      <w:pPr>
        <w:keepLines/>
        <w:tabs>
          <w:tab w:val="left" w:pos="360"/>
        </w:tabs>
        <w:spacing w:after="80"/>
        <w:jc w:val="both"/>
        <w:rPr>
          <w:color w:val="000000"/>
          <w:sz w:val="22"/>
          <w:szCs w:val="22"/>
        </w:rPr>
      </w:pPr>
    </w:p>
    <w:p w:rsidR="00A42F72" w:rsidP="0000578E" w14:paraId="68DF42EF" w14:textId="7B675400">
      <w:pPr>
        <w:keepLines/>
        <w:tabs>
          <w:tab w:val="left" w:pos="360"/>
        </w:tabs>
        <w:spacing w:after="80"/>
        <w:rPr>
          <w:color w:val="000000"/>
          <w:sz w:val="22"/>
          <w:highlight w:val="yellow"/>
        </w:rPr>
      </w:pPr>
      <w:r>
        <w:rPr>
          <w:color w:val="000000"/>
          <w:sz w:val="22"/>
          <w:szCs w:val="22"/>
        </w:rPr>
        <w:t xml:space="preserve">The addition of information collection for grant closeout will apply to all HOPWA grantees. </w:t>
      </w:r>
      <w:r w:rsidR="0011781E">
        <w:rPr>
          <w:color w:val="000000"/>
          <w:sz w:val="22"/>
          <w:szCs w:val="22"/>
        </w:rPr>
        <w:t xml:space="preserve">These additional forms will allow HUD to determine </w:t>
      </w:r>
      <w:r w:rsidRPr="0000578E" w:rsidR="0074123B">
        <w:rPr>
          <w:color w:val="000000"/>
          <w:sz w:val="22"/>
          <w:szCs w:val="22"/>
        </w:rPr>
        <w:t>that all applicable administrative actions and all required work of the grant have been completed by the grantee</w:t>
      </w:r>
      <w:r w:rsidR="0011781E">
        <w:rPr>
          <w:color w:val="000000"/>
          <w:sz w:val="22"/>
          <w:szCs w:val="22"/>
        </w:rPr>
        <w:t xml:space="preserve"> before closing the grant</w:t>
      </w:r>
      <w:r w:rsidRPr="00AB14C9" w:rsidR="0074123B">
        <w:rPr>
          <w:color w:val="000000"/>
          <w:sz w:val="22"/>
          <w:szCs w:val="22"/>
        </w:rPr>
        <w:t xml:space="preserve">. </w:t>
      </w:r>
      <w:r w:rsidR="005405CD">
        <w:rPr>
          <w:color w:val="000000"/>
          <w:sz w:val="22"/>
          <w:szCs w:val="22"/>
        </w:rPr>
        <w:t>The SF425 will be used to provide financial information at closeout, and</w:t>
      </w:r>
      <w:r w:rsidR="003150F0">
        <w:rPr>
          <w:color w:val="000000"/>
          <w:sz w:val="22"/>
          <w:szCs w:val="22"/>
        </w:rPr>
        <w:t xml:space="preserve"> in limited circumstances when program income is earned after a grant’s period of performance ends and the last HUD-4155 for the grant has already been submitted. </w:t>
      </w:r>
      <w:r w:rsidR="000270B2">
        <w:rPr>
          <w:color w:val="000000"/>
          <w:sz w:val="22"/>
          <w:szCs w:val="22"/>
        </w:rPr>
        <w:t xml:space="preserve">The closeout certification will certify the grantee has completed all administrative actions to close out the grant. </w:t>
      </w:r>
      <w:r w:rsidRPr="00433353" w:rsidR="0074123B">
        <w:rPr>
          <w:color w:val="000000"/>
          <w:sz w:val="22"/>
          <w:szCs w:val="22"/>
        </w:rPr>
        <w:t>HUD Field Offices will initiate the HOPWA grant closeout process once (a) the grantee requests the initiation of the closeout process; or (b) the grant’s period of performance has ended and the applicable deadline for submitting final reports has passed.</w:t>
      </w:r>
      <w:r w:rsidR="0074123B">
        <w:t xml:space="preserve"> </w:t>
      </w:r>
      <w:r>
        <w:rPr>
          <w:color w:val="000000"/>
          <w:sz w:val="22"/>
          <w:szCs w:val="22"/>
        </w:rPr>
        <w:t xml:space="preserve"> </w:t>
      </w:r>
      <w:r w:rsidR="0074123B">
        <w:rPr>
          <w:color w:val="000000"/>
          <w:sz w:val="22"/>
          <w:szCs w:val="22"/>
        </w:rPr>
        <w:t xml:space="preserve"> </w:t>
      </w:r>
    </w:p>
    <w:p w:rsidR="00696B16" w:rsidRPr="003B27A6" w14:paraId="20247973" w14:textId="77777777">
      <w:pPr>
        <w:tabs>
          <w:tab w:val="left" w:pos="360"/>
        </w:tabs>
        <w:rPr>
          <w:color w:val="000000"/>
          <w:sz w:val="22"/>
          <w:szCs w:val="22"/>
        </w:rPr>
      </w:pPr>
      <w:r>
        <w:rPr>
          <w:color w:val="000000"/>
          <w:sz w:val="22"/>
          <w:szCs w:val="22"/>
        </w:rPr>
        <w:t xml:space="preserve">  </w:t>
      </w:r>
    </w:p>
    <w:p w:rsidR="000047C4" w:rsidRPr="00AC26D1" w:rsidP="00B0141A" w14:paraId="37A10E2A" w14:textId="6D73A27B">
      <w:pPr>
        <w:pStyle w:val="BodyTextIndent"/>
        <w:rPr>
          <w:b/>
          <w:szCs w:val="22"/>
        </w:rPr>
      </w:pPr>
      <w:r w:rsidRPr="00AC26D1">
        <w:rPr>
          <w:b/>
          <w:szCs w:val="22"/>
        </w:rPr>
        <w:t>3.</w:t>
      </w:r>
      <w:r w:rsidRPr="00AC26D1">
        <w:rPr>
          <w:b/>
          <w:szCs w:val="22"/>
        </w:rPr>
        <w:tab/>
      </w:r>
      <w:r w:rsidR="004042AF">
        <w:rPr>
          <w:b/>
          <w:szCs w:val="22"/>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6B2986" w:rsidRPr="007C519F" w:rsidP="00A72A07" w14:paraId="61A6264C" w14:textId="77777777">
      <w:pPr>
        <w:tabs>
          <w:tab w:val="left" w:pos="0"/>
        </w:tabs>
        <w:rPr>
          <w:color w:val="000000"/>
          <w:sz w:val="22"/>
          <w:szCs w:val="22"/>
        </w:rPr>
      </w:pPr>
    </w:p>
    <w:p w:rsidR="00D2075B" w:rsidRPr="00591147" w:rsidP="00591147" w14:paraId="199701D5" w14:textId="5F275E35">
      <w:r>
        <w:rPr>
          <w:color w:val="000000"/>
          <w:sz w:val="22"/>
          <w:szCs w:val="22"/>
        </w:rPr>
        <w:t>Completed HUD-4155s</w:t>
      </w:r>
      <w:r w:rsidRPr="007C519F" w:rsidR="00AC26D1">
        <w:rPr>
          <w:color w:val="000000"/>
          <w:sz w:val="22"/>
          <w:szCs w:val="22"/>
        </w:rPr>
        <w:t xml:space="preserve"> are submitted by grantees via email to HUD</w:t>
      </w:r>
      <w:r w:rsidRPr="007C519F" w:rsidR="00C57FCD">
        <w:rPr>
          <w:color w:val="000000"/>
          <w:sz w:val="22"/>
          <w:szCs w:val="22"/>
        </w:rPr>
        <w:t>,</w:t>
      </w:r>
      <w:r w:rsidRPr="007C519F" w:rsidR="00AC26D1">
        <w:rPr>
          <w:color w:val="000000"/>
          <w:sz w:val="22"/>
          <w:szCs w:val="22"/>
        </w:rPr>
        <w:t xml:space="preserve"> and </w:t>
      </w:r>
      <w:r>
        <w:rPr>
          <w:color w:val="000000"/>
          <w:sz w:val="22"/>
          <w:szCs w:val="22"/>
        </w:rPr>
        <w:t>automatically uploaded into the HOPWA database.</w:t>
      </w:r>
      <w:r w:rsidR="006E17A8">
        <w:rPr>
          <w:color w:val="000000"/>
          <w:sz w:val="22"/>
          <w:szCs w:val="22"/>
        </w:rPr>
        <w:t xml:space="preserve"> </w:t>
      </w:r>
      <w:r w:rsidR="00600786">
        <w:rPr>
          <w:color w:val="000000"/>
          <w:sz w:val="22"/>
          <w:szCs w:val="22"/>
        </w:rPr>
        <w:t xml:space="preserve">Completed reporting forms for HOPWA competitive grants only, HUD-4154 and HUD-4153, are submitted by grantees via email to HUD, and data collection is managed by the HUD program office through Excel Workbook. </w:t>
      </w:r>
    </w:p>
    <w:p w:rsidR="00FB024B" w:rsidP="00A72A07" w14:paraId="0F245C3B" w14:textId="00F2F737">
      <w:pPr>
        <w:tabs>
          <w:tab w:val="left" w:pos="0"/>
        </w:tabs>
        <w:rPr>
          <w:color w:val="000000"/>
          <w:sz w:val="22"/>
          <w:szCs w:val="22"/>
        </w:rPr>
      </w:pPr>
    </w:p>
    <w:p w:rsidR="00A141E6" w:rsidP="00A72A07" w14:paraId="5BF1AF09" w14:textId="15B174A3">
      <w:pPr>
        <w:tabs>
          <w:tab w:val="left" w:pos="0"/>
        </w:tabs>
        <w:rPr>
          <w:color w:val="000000"/>
          <w:sz w:val="22"/>
          <w:szCs w:val="22"/>
        </w:rPr>
      </w:pPr>
      <w:r w:rsidRPr="00E76C32">
        <w:rPr>
          <w:color w:val="000000"/>
          <w:sz w:val="22"/>
          <w:szCs w:val="22"/>
        </w:rPr>
        <w:t xml:space="preserve">OHH </w:t>
      </w:r>
      <w:r w:rsidR="00A1454B">
        <w:rPr>
          <w:color w:val="000000"/>
          <w:sz w:val="22"/>
          <w:szCs w:val="22"/>
        </w:rPr>
        <w:t xml:space="preserve">continues to ask for </w:t>
      </w:r>
      <w:r w:rsidRPr="00E76C32">
        <w:rPr>
          <w:sz w:val="22"/>
          <w:szCs w:val="22"/>
        </w:rPr>
        <w:t>approval for this information collection in the form of a data table instead of as a specific form</w:t>
      </w:r>
      <w:r w:rsidR="00EB06B7">
        <w:rPr>
          <w:sz w:val="22"/>
          <w:szCs w:val="22"/>
        </w:rPr>
        <w:t xml:space="preserve"> for the HUD-4155</w:t>
      </w:r>
      <w:r w:rsidRPr="00E76C32">
        <w:rPr>
          <w:sz w:val="22"/>
          <w:szCs w:val="22"/>
        </w:rPr>
        <w:t xml:space="preserve">, in order to allow for the possibility of collecting these elements from new or existing computer systems, </w:t>
      </w:r>
      <w:r w:rsidR="00143DD5">
        <w:rPr>
          <w:sz w:val="22"/>
          <w:szCs w:val="22"/>
        </w:rPr>
        <w:t>when</w:t>
      </w:r>
      <w:r w:rsidRPr="00E76C32" w:rsidR="00143DD5">
        <w:rPr>
          <w:sz w:val="22"/>
          <w:szCs w:val="22"/>
        </w:rPr>
        <w:t xml:space="preserve"> </w:t>
      </w:r>
      <w:r w:rsidRPr="00E76C32" w:rsidR="00D42BE5">
        <w:rPr>
          <w:sz w:val="22"/>
          <w:szCs w:val="22"/>
        </w:rPr>
        <w:t xml:space="preserve">possible and </w:t>
      </w:r>
      <w:r w:rsidRPr="00E76C32">
        <w:rPr>
          <w:sz w:val="22"/>
          <w:szCs w:val="22"/>
        </w:rPr>
        <w:t>as th</w:t>
      </w:r>
      <w:r w:rsidRPr="00E76C32" w:rsidR="00D42BE5">
        <w:rPr>
          <w:sz w:val="22"/>
          <w:szCs w:val="22"/>
        </w:rPr>
        <w:t>e</w:t>
      </w:r>
      <w:r w:rsidRPr="00E76C32" w:rsidR="00B54743">
        <w:rPr>
          <w:sz w:val="22"/>
          <w:szCs w:val="22"/>
        </w:rPr>
        <w:t xml:space="preserve"> </w:t>
      </w:r>
      <w:r w:rsidR="00143DD5">
        <w:rPr>
          <w:sz w:val="22"/>
          <w:szCs w:val="22"/>
        </w:rPr>
        <w:t>funding to adapt existing systems and/or purchase new software systems</w:t>
      </w:r>
      <w:r w:rsidRPr="00E76C32" w:rsidR="00143DD5">
        <w:rPr>
          <w:sz w:val="22"/>
          <w:szCs w:val="22"/>
        </w:rPr>
        <w:t xml:space="preserve"> </w:t>
      </w:r>
      <w:r w:rsidRPr="00E76C32">
        <w:rPr>
          <w:sz w:val="22"/>
          <w:szCs w:val="22"/>
        </w:rPr>
        <w:t>become</w:t>
      </w:r>
      <w:r w:rsidRPr="00E76C32" w:rsidR="00B54743">
        <w:rPr>
          <w:sz w:val="22"/>
          <w:szCs w:val="22"/>
        </w:rPr>
        <w:t>s</w:t>
      </w:r>
      <w:r w:rsidRPr="00E76C32">
        <w:rPr>
          <w:sz w:val="22"/>
          <w:szCs w:val="22"/>
        </w:rPr>
        <w:t xml:space="preserve"> available. </w:t>
      </w:r>
      <w:r w:rsidR="00143DD5">
        <w:rPr>
          <w:color w:val="000000"/>
          <w:sz w:val="22"/>
          <w:szCs w:val="22"/>
        </w:rPr>
        <w:t xml:space="preserve">These actions will </w:t>
      </w:r>
      <w:r w:rsidR="007E3B3D">
        <w:rPr>
          <w:color w:val="000000"/>
          <w:sz w:val="22"/>
          <w:szCs w:val="22"/>
        </w:rPr>
        <w:t xml:space="preserve">further alleviate grantee reporting burden. </w:t>
      </w:r>
    </w:p>
    <w:p w:rsidR="00A42F72" w:rsidP="00A72A07" w14:paraId="02FA0C6A" w14:textId="77777777">
      <w:pPr>
        <w:tabs>
          <w:tab w:val="left" w:pos="0"/>
        </w:tabs>
        <w:rPr>
          <w:color w:val="000000"/>
          <w:sz w:val="22"/>
          <w:szCs w:val="22"/>
        </w:rPr>
      </w:pPr>
    </w:p>
    <w:p w:rsidR="00A42F72" w:rsidP="00A72A07" w14:paraId="172BE692" w14:textId="5958256E">
      <w:pPr>
        <w:tabs>
          <w:tab w:val="left" w:pos="0"/>
        </w:tabs>
        <w:rPr>
          <w:color w:val="000000"/>
          <w:sz w:val="22"/>
          <w:szCs w:val="22"/>
        </w:rPr>
      </w:pPr>
      <w:r>
        <w:rPr>
          <w:color w:val="000000"/>
          <w:sz w:val="22"/>
          <w:szCs w:val="22"/>
        </w:rPr>
        <w:t xml:space="preserve">OHH is </w:t>
      </w:r>
      <w:r w:rsidRPr="00A15F24">
        <w:rPr>
          <w:sz w:val="22"/>
          <w:szCs w:val="22"/>
        </w:rPr>
        <w:t>adding grant closeout to this information collection package</w:t>
      </w:r>
      <w:r w:rsidRPr="00A15F24" w:rsidR="00323F23">
        <w:rPr>
          <w:sz w:val="22"/>
          <w:szCs w:val="22"/>
        </w:rPr>
        <w:t xml:space="preserve"> for all HOPWA grantees</w:t>
      </w:r>
      <w:r w:rsidRPr="00A15F24">
        <w:rPr>
          <w:sz w:val="22"/>
          <w:szCs w:val="22"/>
        </w:rPr>
        <w:t xml:space="preserve">. Within 120 calendar days after the end date of the period of performance, the grantee must submit via email to the </w:t>
      </w:r>
      <w:r w:rsidR="00CA5D8F">
        <w:rPr>
          <w:sz w:val="22"/>
          <w:szCs w:val="22"/>
        </w:rPr>
        <w:t xml:space="preserve">respective </w:t>
      </w:r>
      <w:r w:rsidRPr="00A15F24">
        <w:rPr>
          <w:sz w:val="22"/>
          <w:szCs w:val="22"/>
        </w:rPr>
        <w:t xml:space="preserve">HUD Field Office all financial, performance, and other reports required as a condition of the grant. </w:t>
      </w:r>
      <w:r w:rsidRPr="00A15F24" w:rsidR="00323F23">
        <w:rPr>
          <w:sz w:val="22"/>
          <w:szCs w:val="22"/>
        </w:rPr>
        <w:t xml:space="preserve">Financial reports </w:t>
      </w:r>
      <w:r w:rsidRPr="00A15F24" w:rsidR="00CD42B7">
        <w:rPr>
          <w:sz w:val="22"/>
          <w:szCs w:val="22"/>
        </w:rPr>
        <w:t>can be</w:t>
      </w:r>
      <w:r w:rsidRPr="00A15F24" w:rsidR="00323F23">
        <w:rPr>
          <w:sz w:val="22"/>
          <w:szCs w:val="22"/>
        </w:rPr>
        <w:t xml:space="preserve"> generated through IDIS where grantees access grant funds. </w:t>
      </w:r>
      <w:r w:rsidR="005405CD">
        <w:rPr>
          <w:sz w:val="22"/>
          <w:szCs w:val="22"/>
        </w:rPr>
        <w:t>SF425 is used to provide financial information at closeout.</w:t>
      </w:r>
    </w:p>
    <w:p w:rsidR="00696B16" w:rsidRPr="003B27A6" w:rsidP="003D7A50" w14:paraId="2E1BAFD7" w14:textId="77777777">
      <w:pPr>
        <w:tabs>
          <w:tab w:val="left" w:pos="360"/>
        </w:tabs>
        <w:rPr>
          <w:color w:val="000000"/>
          <w:sz w:val="22"/>
          <w:szCs w:val="22"/>
        </w:rPr>
      </w:pPr>
    </w:p>
    <w:p w:rsidR="00D73EE7" w:rsidRPr="00033A85" w14:paraId="77359761" w14:textId="5F18C32D">
      <w:pPr>
        <w:keepLines/>
        <w:tabs>
          <w:tab w:val="left" w:pos="360"/>
        </w:tabs>
        <w:spacing w:after="80"/>
        <w:ind w:left="360" w:hanging="360"/>
        <w:rPr>
          <w:b/>
          <w:color w:val="000000"/>
          <w:sz w:val="22"/>
          <w:szCs w:val="22"/>
        </w:rPr>
      </w:pPr>
      <w:r w:rsidRPr="00033A85">
        <w:rPr>
          <w:b/>
          <w:color w:val="000000"/>
          <w:sz w:val="22"/>
          <w:szCs w:val="22"/>
        </w:rPr>
        <w:t>4.</w:t>
      </w:r>
      <w:r w:rsidRPr="00033A85">
        <w:rPr>
          <w:b/>
          <w:color w:val="000000"/>
          <w:sz w:val="22"/>
          <w:szCs w:val="22"/>
        </w:rPr>
        <w:tab/>
      </w:r>
      <w:r w:rsidR="006E17A8">
        <w:rPr>
          <w:b/>
          <w:color w:val="000000"/>
          <w:sz w:val="22"/>
          <w:szCs w:val="22"/>
        </w:rPr>
        <w:t>Describe any efforts to identify duplication</w:t>
      </w:r>
      <w:r w:rsidRPr="00033A85" w:rsidR="003B27A6">
        <w:rPr>
          <w:b/>
          <w:color w:val="000000"/>
          <w:sz w:val="22"/>
          <w:szCs w:val="22"/>
        </w:rPr>
        <w:t>.</w:t>
      </w:r>
      <w:r w:rsidR="006E17A8">
        <w:rPr>
          <w:b/>
          <w:color w:val="000000"/>
          <w:sz w:val="22"/>
          <w:szCs w:val="22"/>
        </w:rPr>
        <w:t xml:space="preserve"> Show specifically why any similar information already available cannot be used or modified for use for the purposes described in Item 2 above.</w:t>
      </w:r>
    </w:p>
    <w:p w:rsidR="00A1454B" w:rsidP="00A1454B" w14:paraId="77638A25" w14:textId="77777777">
      <w:pPr>
        <w:keepLines/>
        <w:tabs>
          <w:tab w:val="left" w:pos="0"/>
        </w:tabs>
        <w:spacing w:before="240" w:after="80"/>
        <w:rPr>
          <w:color w:val="000000"/>
          <w:sz w:val="22"/>
          <w:szCs w:val="22"/>
        </w:rPr>
      </w:pPr>
      <w:r>
        <w:rPr>
          <w:color w:val="000000"/>
          <w:sz w:val="22"/>
          <w:szCs w:val="22"/>
        </w:rPr>
        <w:t xml:space="preserve">Information collected under this collection is relevant only to HOPWA grants and does not contain any information duplication. </w:t>
      </w:r>
    </w:p>
    <w:p w:rsidR="00D73EE7" w:rsidRPr="003B27A6" w14:paraId="0E4B7A60" w14:textId="77777777">
      <w:pPr>
        <w:tabs>
          <w:tab w:val="left" w:pos="360"/>
        </w:tabs>
        <w:ind w:left="360" w:hanging="360"/>
        <w:rPr>
          <w:color w:val="000000"/>
          <w:sz w:val="22"/>
          <w:szCs w:val="22"/>
        </w:rPr>
      </w:pPr>
    </w:p>
    <w:p w:rsidR="00D73EE7" w14:paraId="00A2632F" w14:textId="38A9297D">
      <w:pPr>
        <w:keepLines/>
        <w:tabs>
          <w:tab w:val="left" w:pos="360"/>
        </w:tabs>
        <w:spacing w:after="80"/>
        <w:ind w:left="360" w:hanging="360"/>
        <w:rPr>
          <w:b/>
          <w:color w:val="000000"/>
          <w:sz w:val="22"/>
          <w:szCs w:val="22"/>
        </w:rPr>
      </w:pPr>
      <w:r w:rsidRPr="00033A85">
        <w:rPr>
          <w:b/>
          <w:color w:val="000000"/>
          <w:sz w:val="22"/>
          <w:szCs w:val="22"/>
        </w:rPr>
        <w:t>5.</w:t>
      </w:r>
      <w:r w:rsidRPr="00033A85">
        <w:rPr>
          <w:b/>
          <w:color w:val="000000"/>
          <w:sz w:val="22"/>
          <w:szCs w:val="22"/>
        </w:rPr>
        <w:tab/>
      </w:r>
      <w:r w:rsidR="005D4446">
        <w:rPr>
          <w:b/>
          <w:color w:val="000000"/>
          <w:sz w:val="22"/>
          <w:szCs w:val="22"/>
        </w:rPr>
        <w:t>If the collection of information impacts small business or other small entities (Item 5 of OMB Form 83-I), describe any methods used to minimize burden.</w:t>
      </w:r>
    </w:p>
    <w:p w:rsidR="000047C4" w:rsidRPr="00591147" w:rsidP="00591147" w14:paraId="4CA97E25" w14:textId="77777777">
      <w:pPr>
        <w:pStyle w:val="NoSpacing"/>
        <w:rPr>
          <w:b/>
          <w:color w:val="000000"/>
          <w:sz w:val="22"/>
        </w:rPr>
      </w:pPr>
    </w:p>
    <w:p w:rsidR="00033A85" w:rsidP="00867DDE" w14:paraId="232C9FCF" w14:textId="0B4BEDE7">
      <w:pPr>
        <w:keepLines/>
        <w:tabs>
          <w:tab w:val="left" w:pos="0"/>
        </w:tabs>
        <w:spacing w:after="80"/>
        <w:rPr>
          <w:color w:val="000000"/>
          <w:sz w:val="22"/>
          <w:szCs w:val="22"/>
        </w:rPr>
      </w:pPr>
      <w:r>
        <w:rPr>
          <w:color w:val="000000"/>
          <w:sz w:val="22"/>
          <w:szCs w:val="22"/>
        </w:rPr>
        <w:t>Small business or other small entities will not be</w:t>
      </w:r>
      <w:r w:rsidR="00A24C99">
        <w:rPr>
          <w:color w:val="000000"/>
          <w:sz w:val="22"/>
          <w:szCs w:val="22"/>
        </w:rPr>
        <w:t xml:space="preserve"> </w:t>
      </w:r>
      <w:r>
        <w:rPr>
          <w:color w:val="000000"/>
          <w:sz w:val="22"/>
          <w:szCs w:val="22"/>
        </w:rPr>
        <w:t xml:space="preserve">impacted by </w:t>
      </w:r>
      <w:r w:rsidR="00AB7DB8">
        <w:rPr>
          <w:color w:val="000000"/>
          <w:sz w:val="22"/>
          <w:szCs w:val="22"/>
        </w:rPr>
        <w:t>this information collection</w:t>
      </w:r>
      <w:r>
        <w:rPr>
          <w:color w:val="000000"/>
          <w:sz w:val="22"/>
          <w:szCs w:val="22"/>
        </w:rPr>
        <w:t xml:space="preserve">. Eligibility for HOPWA formula and competitive grants is limited to States, units of local governments, and non-profits. While some non-profits may be small entities, the </w:t>
      </w:r>
      <w:r w:rsidR="00AB7DB8">
        <w:rPr>
          <w:color w:val="000000"/>
          <w:sz w:val="22"/>
          <w:szCs w:val="22"/>
        </w:rPr>
        <w:t>reporting requirements are identified in the NOF</w:t>
      </w:r>
      <w:r w:rsidR="00600786">
        <w:rPr>
          <w:color w:val="000000"/>
          <w:sz w:val="22"/>
          <w:szCs w:val="22"/>
        </w:rPr>
        <w:t>O</w:t>
      </w:r>
      <w:r w:rsidR="00AB7DB8">
        <w:rPr>
          <w:color w:val="000000"/>
          <w:sz w:val="22"/>
          <w:szCs w:val="22"/>
        </w:rPr>
        <w:t xml:space="preserve"> for new </w:t>
      </w:r>
      <w:r w:rsidRPr="003B27A6" w:rsidR="00AB7DB8">
        <w:rPr>
          <w:color w:val="000000"/>
          <w:sz w:val="22"/>
          <w:szCs w:val="22"/>
        </w:rPr>
        <w:t xml:space="preserve">competitive </w:t>
      </w:r>
      <w:r w:rsidR="00AB7DB8">
        <w:rPr>
          <w:color w:val="000000"/>
          <w:sz w:val="22"/>
          <w:szCs w:val="22"/>
        </w:rPr>
        <w:t xml:space="preserve">SPNS </w:t>
      </w:r>
      <w:r w:rsidRPr="003B27A6" w:rsidR="00AB7DB8">
        <w:rPr>
          <w:color w:val="000000"/>
          <w:sz w:val="22"/>
          <w:szCs w:val="22"/>
        </w:rPr>
        <w:t>grant</w:t>
      </w:r>
      <w:r w:rsidR="00AB7DB8">
        <w:rPr>
          <w:color w:val="000000"/>
          <w:sz w:val="22"/>
          <w:szCs w:val="22"/>
        </w:rPr>
        <w:t>s and applicants will have an appropriate amount of time to prepare for the addition</w:t>
      </w:r>
      <w:r w:rsidR="00A1294C">
        <w:rPr>
          <w:color w:val="000000"/>
          <w:sz w:val="22"/>
          <w:szCs w:val="22"/>
        </w:rPr>
        <w:t>al</w:t>
      </w:r>
      <w:r w:rsidR="00AB7DB8">
        <w:rPr>
          <w:color w:val="000000"/>
          <w:sz w:val="22"/>
          <w:szCs w:val="22"/>
        </w:rPr>
        <w:t xml:space="preserve"> reporting. HUD also intends to support awarded grantees with reporting requirements and grant implementation through technical assistance.</w:t>
      </w:r>
      <w:r w:rsidRPr="003B27A6" w:rsidR="00AB7DB8">
        <w:rPr>
          <w:color w:val="000000"/>
          <w:sz w:val="22"/>
          <w:szCs w:val="22"/>
        </w:rPr>
        <w:t xml:space="preserve"> </w:t>
      </w:r>
      <w:r w:rsidR="00AB7DB8">
        <w:rPr>
          <w:color w:val="000000"/>
          <w:sz w:val="22"/>
          <w:szCs w:val="22"/>
        </w:rPr>
        <w:t>The</w:t>
      </w:r>
      <w:r w:rsidR="00A1294C">
        <w:rPr>
          <w:color w:val="000000"/>
          <w:sz w:val="22"/>
          <w:szCs w:val="22"/>
        </w:rPr>
        <w:t xml:space="preserve"> </w:t>
      </w:r>
      <w:r w:rsidR="00AB7DB8">
        <w:rPr>
          <w:color w:val="000000"/>
          <w:sz w:val="22"/>
          <w:szCs w:val="22"/>
        </w:rPr>
        <w:t xml:space="preserve">changes to the </w:t>
      </w:r>
      <w:r w:rsidR="00A1294C">
        <w:rPr>
          <w:color w:val="000000"/>
          <w:sz w:val="22"/>
          <w:szCs w:val="22"/>
        </w:rPr>
        <w:t xml:space="preserve">data elements currently reflected in the </w:t>
      </w:r>
      <w:r w:rsidR="00AB7DB8">
        <w:rPr>
          <w:color w:val="000000"/>
          <w:sz w:val="22"/>
          <w:szCs w:val="22"/>
        </w:rPr>
        <w:t xml:space="preserve">HUD-4155 </w:t>
      </w:r>
      <w:r w:rsidR="00600786">
        <w:rPr>
          <w:color w:val="000000"/>
          <w:sz w:val="22"/>
          <w:szCs w:val="22"/>
        </w:rPr>
        <w:t xml:space="preserve">and updates to forms HUD-4154 and HUD-4153 </w:t>
      </w:r>
      <w:r w:rsidR="00AB7DB8">
        <w:rPr>
          <w:color w:val="000000"/>
          <w:sz w:val="22"/>
          <w:szCs w:val="22"/>
        </w:rPr>
        <w:t xml:space="preserve">are not expected to affect reporting burden hours. </w:t>
      </w:r>
      <w:r>
        <w:rPr>
          <w:color w:val="000000"/>
          <w:sz w:val="22"/>
          <w:szCs w:val="22"/>
        </w:rPr>
        <w:t xml:space="preserve"> </w:t>
      </w:r>
    </w:p>
    <w:p w:rsidR="00D73EE7" w:rsidRPr="003B27A6" w:rsidP="00033A85" w14:paraId="208E6316" w14:textId="77777777">
      <w:pPr>
        <w:tabs>
          <w:tab w:val="left" w:pos="360"/>
        </w:tabs>
        <w:rPr>
          <w:color w:val="000000"/>
          <w:sz w:val="22"/>
          <w:szCs w:val="22"/>
        </w:rPr>
      </w:pPr>
    </w:p>
    <w:p w:rsidR="0025369D" w:rsidRPr="006554C1" w:rsidP="006554C1" w14:paraId="68EB7298" w14:textId="2EB67C59">
      <w:pPr>
        <w:pStyle w:val="BodyTextIndent"/>
        <w:rPr>
          <w:b/>
          <w:szCs w:val="22"/>
          <w:highlight w:val="green"/>
        </w:rPr>
      </w:pPr>
      <w:r w:rsidRPr="006554C1">
        <w:rPr>
          <w:b/>
          <w:szCs w:val="22"/>
        </w:rPr>
        <w:t>6.</w:t>
      </w:r>
      <w:r w:rsidRPr="006554C1">
        <w:rPr>
          <w:b/>
          <w:szCs w:val="22"/>
        </w:rPr>
        <w:tab/>
        <w:t xml:space="preserve">Describe the consequence to Federal program or policy activities if the collection is not conducted or is conducted less frequently, </w:t>
      </w:r>
      <w:r w:rsidRPr="00853EA6">
        <w:rPr>
          <w:b/>
          <w:szCs w:val="22"/>
        </w:rPr>
        <w:t>as well as any technical or legal obstacles to reducing burden.</w:t>
      </w:r>
    </w:p>
    <w:p w:rsidR="00867DDE" w:rsidP="000D2DF6" w14:paraId="525052F1" w14:textId="0511ADD1">
      <w:pPr>
        <w:keepLines/>
        <w:tabs>
          <w:tab w:val="left" w:pos="360"/>
        </w:tabs>
        <w:spacing w:before="240" w:after="80"/>
        <w:rPr>
          <w:color w:val="000000"/>
          <w:sz w:val="22"/>
          <w:szCs w:val="22"/>
        </w:rPr>
      </w:pPr>
      <w:r>
        <w:rPr>
          <w:color w:val="000000"/>
          <w:sz w:val="22"/>
          <w:szCs w:val="22"/>
        </w:rPr>
        <w:t>All grantees receiving HOPW</w:t>
      </w:r>
      <w:r w:rsidR="00790071">
        <w:rPr>
          <w:color w:val="000000"/>
          <w:sz w:val="22"/>
          <w:szCs w:val="22"/>
        </w:rPr>
        <w:t xml:space="preserve">A funding </w:t>
      </w:r>
      <w:r>
        <w:rPr>
          <w:color w:val="000000"/>
          <w:sz w:val="22"/>
          <w:szCs w:val="22"/>
        </w:rPr>
        <w:t>must maintain compliance throu</w:t>
      </w:r>
      <w:r w:rsidR="00DB2F37">
        <w:rPr>
          <w:color w:val="000000"/>
          <w:sz w:val="22"/>
          <w:szCs w:val="22"/>
        </w:rPr>
        <w:t>gh reporting and recordkeeping as required through HOPWA statute and regulations.</w:t>
      </w:r>
      <w:r w:rsidR="006F6265">
        <w:rPr>
          <w:color w:val="000000"/>
          <w:sz w:val="22"/>
          <w:szCs w:val="22"/>
        </w:rPr>
        <w:t xml:space="preserve"> </w:t>
      </w:r>
      <w:r w:rsidR="00404B88">
        <w:rPr>
          <w:color w:val="000000"/>
          <w:sz w:val="22"/>
          <w:szCs w:val="22"/>
        </w:rPr>
        <w:t>HUD-4155</w:t>
      </w:r>
      <w:r w:rsidR="006F6265">
        <w:rPr>
          <w:color w:val="000000"/>
          <w:sz w:val="22"/>
          <w:szCs w:val="22"/>
        </w:rPr>
        <w:t xml:space="preserve"> performance reports are collected and analyzed on an annual basis</w:t>
      </w:r>
      <w:r w:rsidR="00790071">
        <w:rPr>
          <w:color w:val="000000"/>
          <w:sz w:val="22"/>
          <w:szCs w:val="22"/>
        </w:rPr>
        <w:t xml:space="preserve"> per HOPWA regulations</w:t>
      </w:r>
      <w:r w:rsidR="006F6265">
        <w:rPr>
          <w:color w:val="000000"/>
          <w:sz w:val="22"/>
          <w:szCs w:val="22"/>
        </w:rPr>
        <w:t xml:space="preserve"> and are used to assess grantee performance, draft budget justifications, and to report to </w:t>
      </w:r>
      <w:r w:rsidR="00431402">
        <w:rPr>
          <w:color w:val="000000"/>
          <w:sz w:val="22"/>
          <w:szCs w:val="22"/>
        </w:rPr>
        <w:t>C</w:t>
      </w:r>
      <w:r w:rsidR="006F6265">
        <w:rPr>
          <w:color w:val="000000"/>
          <w:sz w:val="22"/>
          <w:szCs w:val="22"/>
        </w:rPr>
        <w:t xml:space="preserve">ongress on program activities and performance accomplishments. Less frequent submission of information would considerably hinder the mission, efficiency, and legal aspects of program management. Information </w:t>
      </w:r>
      <w:r w:rsidR="00385D20">
        <w:rPr>
          <w:color w:val="000000"/>
          <w:sz w:val="22"/>
          <w:szCs w:val="22"/>
        </w:rPr>
        <w:t>i</w:t>
      </w:r>
      <w:r w:rsidR="006F6265">
        <w:rPr>
          <w:color w:val="000000"/>
          <w:sz w:val="22"/>
          <w:szCs w:val="22"/>
        </w:rPr>
        <w:t xml:space="preserve">n the performance reports </w:t>
      </w:r>
      <w:r w:rsidR="00385D20">
        <w:rPr>
          <w:color w:val="000000"/>
          <w:sz w:val="22"/>
          <w:szCs w:val="22"/>
        </w:rPr>
        <w:t>is</w:t>
      </w:r>
      <w:r w:rsidR="006F6265">
        <w:rPr>
          <w:color w:val="000000"/>
          <w:sz w:val="22"/>
          <w:szCs w:val="22"/>
        </w:rPr>
        <w:t xml:space="preserve"> used by HUD field offices, grantees, and the public. These forms serve as an accountability tool and allow HUD to monitor and evaluate the HOPWA Program. HOPWA grantees may also use the information to justify additional resources from state and local government and to inform public awareness and support of their program.</w:t>
      </w:r>
      <w:r>
        <w:rPr>
          <w:color w:val="000000"/>
          <w:sz w:val="22"/>
          <w:szCs w:val="22"/>
        </w:rPr>
        <w:t xml:space="preserve"> </w:t>
      </w:r>
      <w:r w:rsidR="00853EA6">
        <w:rPr>
          <w:color w:val="000000"/>
          <w:sz w:val="22"/>
          <w:szCs w:val="22"/>
        </w:rPr>
        <w:t xml:space="preserve">Annual reporting by grantees is a HOPWA statutory and regulatory requirement. </w:t>
      </w:r>
    </w:p>
    <w:p w:rsidR="0059364D" w:rsidRPr="003B27A6" w:rsidP="000D2DF6" w14:paraId="79D284BE" w14:textId="522A5BC0">
      <w:pPr>
        <w:keepLines/>
        <w:tabs>
          <w:tab w:val="left" w:pos="360"/>
        </w:tabs>
        <w:spacing w:before="240" w:after="80"/>
        <w:rPr>
          <w:color w:val="000000"/>
          <w:sz w:val="22"/>
          <w:szCs w:val="22"/>
        </w:rPr>
      </w:pPr>
      <w:r>
        <w:rPr>
          <w:color w:val="000000"/>
          <w:sz w:val="22"/>
          <w:szCs w:val="22"/>
        </w:rPr>
        <w:t>Grant closeout is a regulatory requirement for all federal grants. The addition of grant closeout information collection and a closeout certification will ensure complete</w:t>
      </w:r>
      <w:r w:rsidR="005405CD">
        <w:rPr>
          <w:color w:val="000000"/>
          <w:sz w:val="22"/>
          <w:szCs w:val="22"/>
        </w:rPr>
        <w:t>d</w:t>
      </w:r>
      <w:r>
        <w:rPr>
          <w:color w:val="000000"/>
          <w:sz w:val="22"/>
          <w:szCs w:val="22"/>
        </w:rPr>
        <w:t xml:space="preserve"> grants have met all administrative requirements and can be closed out. Grant closeout only occurs at the end of the grant period of performance. </w:t>
      </w:r>
    </w:p>
    <w:p w:rsidR="00D73EE7" w:rsidRPr="003B27A6" w14:paraId="6E8ACD9A" w14:textId="77777777">
      <w:pPr>
        <w:tabs>
          <w:tab w:val="left" w:pos="360"/>
        </w:tabs>
        <w:ind w:left="360" w:hanging="360"/>
        <w:rPr>
          <w:color w:val="000000"/>
          <w:sz w:val="22"/>
          <w:szCs w:val="22"/>
        </w:rPr>
      </w:pPr>
    </w:p>
    <w:p w:rsidR="00D73EE7" w:rsidRPr="006554C1" w:rsidP="00F15B40" w14:paraId="5DFE75EB" w14:textId="53601FFB">
      <w:pPr>
        <w:tabs>
          <w:tab w:val="left" w:pos="360"/>
        </w:tabs>
        <w:rPr>
          <w:b/>
          <w:color w:val="000000"/>
          <w:sz w:val="22"/>
          <w:szCs w:val="22"/>
        </w:rPr>
      </w:pPr>
      <w:r w:rsidRPr="001462F1">
        <w:rPr>
          <w:b/>
          <w:color w:val="000000"/>
          <w:sz w:val="22"/>
          <w:szCs w:val="22"/>
        </w:rPr>
        <w:t>7.</w:t>
      </w:r>
      <w:r w:rsidRPr="001462F1">
        <w:rPr>
          <w:b/>
          <w:color w:val="000000"/>
          <w:sz w:val="22"/>
          <w:szCs w:val="22"/>
        </w:rPr>
        <w:tab/>
      </w:r>
      <w:r w:rsidRPr="001462F1" w:rsidR="00853EA6">
        <w:rPr>
          <w:b/>
          <w:color w:val="000000"/>
          <w:sz w:val="22"/>
          <w:szCs w:val="22"/>
        </w:rPr>
        <w:t>Explain any special circumstances that would cause an information collection to be conducted in any of the different manners outlined in form 83-I.</w:t>
      </w:r>
      <w:r w:rsidRPr="00853EA6" w:rsidR="00853EA6">
        <w:rPr>
          <w:b/>
          <w:color w:val="000000"/>
          <w:sz w:val="22"/>
          <w:szCs w:val="22"/>
        </w:rPr>
        <w:t xml:space="preserve"> </w:t>
      </w:r>
    </w:p>
    <w:p w:rsidR="00422A44" w:rsidRPr="003B27A6" w:rsidP="00422A44" w14:paraId="05FEA4A5" w14:textId="77777777">
      <w:pPr>
        <w:tabs>
          <w:tab w:val="left" w:pos="600"/>
        </w:tabs>
        <w:rPr>
          <w:color w:val="000000"/>
          <w:sz w:val="22"/>
          <w:szCs w:val="22"/>
        </w:rPr>
      </w:pPr>
    </w:p>
    <w:p w:rsidR="00393A57" w:rsidP="00393A57" w14:paraId="14FF137A" w14:textId="3FFCC0F8">
      <w:pPr>
        <w:overflowPunct w:val="0"/>
        <w:autoSpaceDE w:val="0"/>
        <w:autoSpaceDN w:val="0"/>
        <w:adjustRightInd w:val="0"/>
        <w:textAlignment w:val="baseline"/>
        <w:rPr>
          <w:sz w:val="22"/>
          <w:szCs w:val="22"/>
        </w:rPr>
      </w:pPr>
      <w:r>
        <w:rPr>
          <w:sz w:val="22"/>
          <w:szCs w:val="22"/>
        </w:rPr>
        <w:t xml:space="preserve">In accordance </w:t>
      </w:r>
      <w:r w:rsidR="00187602">
        <w:rPr>
          <w:sz w:val="22"/>
          <w:szCs w:val="22"/>
        </w:rPr>
        <w:t xml:space="preserve">with </w:t>
      </w:r>
      <w:r>
        <w:rPr>
          <w:sz w:val="22"/>
          <w:szCs w:val="22"/>
        </w:rPr>
        <w:t>HOPWA regulation at 24 CFR 574.530, HOPWA grantees must ensure that records are maintained for a four-year period to document compliance. No other</w:t>
      </w:r>
      <w:r w:rsidRPr="00F15B40">
        <w:rPr>
          <w:sz w:val="22"/>
          <w:szCs w:val="22"/>
        </w:rPr>
        <w:t xml:space="preserve"> special circumstances </w:t>
      </w:r>
      <w:r>
        <w:rPr>
          <w:sz w:val="22"/>
          <w:szCs w:val="22"/>
        </w:rPr>
        <w:t xml:space="preserve">for the HOPWA program </w:t>
      </w:r>
      <w:r w:rsidRPr="00F15B40">
        <w:rPr>
          <w:sz w:val="22"/>
          <w:szCs w:val="22"/>
        </w:rPr>
        <w:t>would cause this information collection to be conducted in a manner that would impose additional requirements identified under this item.</w:t>
      </w:r>
      <w:r>
        <w:rPr>
          <w:sz w:val="22"/>
          <w:szCs w:val="22"/>
        </w:rPr>
        <w:t xml:space="preserve"> Special circumstances not required for this information collection are listed below.</w:t>
      </w:r>
    </w:p>
    <w:p w:rsidR="00393A57" w:rsidP="00393A57" w14:paraId="189AF861" w14:textId="77777777">
      <w:pPr>
        <w:overflowPunct w:val="0"/>
        <w:autoSpaceDE w:val="0"/>
        <w:autoSpaceDN w:val="0"/>
        <w:adjustRightInd w:val="0"/>
        <w:textAlignment w:val="baseline"/>
      </w:pPr>
    </w:p>
    <w:p w:rsidR="00393A57" w:rsidRPr="004904B0" w:rsidP="00393A57" w14:paraId="0C37588A" w14:textId="7EAA6046">
      <w:pPr>
        <w:numPr>
          <w:ilvl w:val="0"/>
          <w:numId w:val="24"/>
        </w:numPr>
        <w:overflowPunct w:val="0"/>
        <w:autoSpaceDE w:val="0"/>
        <w:autoSpaceDN w:val="0"/>
        <w:adjustRightInd w:val="0"/>
        <w:textAlignment w:val="baseline"/>
        <w:rPr>
          <w:b/>
          <w:bCs/>
          <w:sz w:val="22"/>
          <w:szCs w:val="22"/>
        </w:rPr>
      </w:pPr>
      <w:r w:rsidRPr="007A7053">
        <w:rPr>
          <w:sz w:val="22"/>
          <w:szCs w:val="22"/>
        </w:rPr>
        <w:t xml:space="preserve">This information collection does not require respondents to report information more often than quarterly. </w:t>
      </w:r>
      <w:r w:rsidR="00853EA6">
        <w:rPr>
          <w:sz w:val="22"/>
          <w:szCs w:val="22"/>
        </w:rPr>
        <w:t xml:space="preserve">Grantees are only required to report annually. </w:t>
      </w:r>
      <w:r w:rsidRPr="004904B0" w:rsidR="0084766E">
        <w:rPr>
          <w:b/>
          <w:bCs/>
          <w:sz w:val="22"/>
          <w:szCs w:val="22"/>
        </w:rPr>
        <w:t>n/a</w:t>
      </w:r>
    </w:p>
    <w:p w:rsidR="00393A57" w:rsidRPr="007A7053" w:rsidP="00393A57" w14:paraId="424C5B8F" w14:textId="22A3CC12">
      <w:pPr>
        <w:numPr>
          <w:ilvl w:val="0"/>
          <w:numId w:val="24"/>
        </w:numPr>
        <w:overflowPunct w:val="0"/>
        <w:autoSpaceDE w:val="0"/>
        <w:autoSpaceDN w:val="0"/>
        <w:adjustRightInd w:val="0"/>
        <w:textAlignment w:val="baseline"/>
        <w:rPr>
          <w:sz w:val="22"/>
          <w:szCs w:val="22"/>
        </w:rPr>
      </w:pPr>
      <w:r w:rsidRPr="007A7053">
        <w:rPr>
          <w:sz w:val="22"/>
          <w:szCs w:val="22"/>
        </w:rPr>
        <w:t xml:space="preserve">This information collection does not require respondents to prepare a written response in fewer than thirty days after they receive the request. </w:t>
      </w:r>
      <w:r w:rsidR="00853EA6">
        <w:rPr>
          <w:sz w:val="22"/>
          <w:szCs w:val="22"/>
        </w:rPr>
        <w:t xml:space="preserve">Grantees are required to submit their reporting forms 90 days after the end of their operating year. </w:t>
      </w:r>
      <w:r w:rsidR="0084766E">
        <w:rPr>
          <w:sz w:val="22"/>
          <w:szCs w:val="22"/>
        </w:rPr>
        <w:t>n/a</w:t>
      </w:r>
    </w:p>
    <w:p w:rsidR="00393A57" w:rsidRPr="007A7053" w:rsidP="00393A57" w14:paraId="066143FC" w14:textId="0FD56BCB">
      <w:pPr>
        <w:numPr>
          <w:ilvl w:val="0"/>
          <w:numId w:val="24"/>
        </w:numPr>
        <w:overflowPunct w:val="0"/>
        <w:autoSpaceDE w:val="0"/>
        <w:autoSpaceDN w:val="0"/>
        <w:adjustRightInd w:val="0"/>
        <w:textAlignment w:val="baseline"/>
        <w:rPr>
          <w:sz w:val="22"/>
          <w:szCs w:val="22"/>
        </w:rPr>
      </w:pPr>
      <w:r w:rsidRPr="007A7053">
        <w:rPr>
          <w:sz w:val="22"/>
          <w:szCs w:val="22"/>
        </w:rPr>
        <w:t xml:space="preserve">This information collection does not require respondents to submit more than an original and two copies of any document. </w:t>
      </w:r>
      <w:r w:rsidR="008A1813">
        <w:rPr>
          <w:sz w:val="22"/>
          <w:szCs w:val="22"/>
        </w:rPr>
        <w:t xml:space="preserve">Grantees submit their completed forms by emailing the HOPWA </w:t>
      </w:r>
      <w:r w:rsidR="0084766E">
        <w:rPr>
          <w:sz w:val="22"/>
          <w:szCs w:val="22"/>
        </w:rPr>
        <w:t xml:space="preserve">inbox </w:t>
      </w:r>
      <w:r w:rsidR="00F13A48">
        <w:rPr>
          <w:sz w:val="22"/>
          <w:szCs w:val="22"/>
        </w:rPr>
        <w:t>and “cc-ing” their HUD field office representative</w:t>
      </w:r>
      <w:r w:rsidR="0084766E">
        <w:rPr>
          <w:sz w:val="22"/>
          <w:szCs w:val="22"/>
        </w:rPr>
        <w:t xml:space="preserve">. </w:t>
      </w:r>
      <w:r w:rsidRPr="004904B0" w:rsidR="0084766E">
        <w:rPr>
          <w:b/>
          <w:bCs/>
          <w:sz w:val="22"/>
          <w:szCs w:val="22"/>
        </w:rPr>
        <w:t>n/a</w:t>
      </w:r>
    </w:p>
    <w:p w:rsidR="00C42838" w:rsidP="00393A57" w14:paraId="7B420EA1" w14:textId="7DC64847">
      <w:pPr>
        <w:numPr>
          <w:ilvl w:val="0"/>
          <w:numId w:val="24"/>
        </w:numPr>
        <w:overflowPunct w:val="0"/>
        <w:autoSpaceDE w:val="0"/>
        <w:autoSpaceDN w:val="0"/>
        <w:adjustRightInd w:val="0"/>
        <w:textAlignment w:val="baseline"/>
        <w:rPr>
          <w:sz w:val="22"/>
          <w:szCs w:val="22"/>
        </w:rPr>
      </w:pPr>
      <w:r w:rsidRPr="007A7053">
        <w:rPr>
          <w:sz w:val="22"/>
          <w:szCs w:val="22"/>
        </w:rPr>
        <w:t>This information collection</w:t>
      </w:r>
      <w:r>
        <w:rPr>
          <w:sz w:val="22"/>
          <w:szCs w:val="22"/>
        </w:rPr>
        <w:t xml:space="preserve"> is not conducted in connection with any statistical survey, designed to produce reliable results that can be generalized to the universe of the study, or otherwise. </w:t>
      </w:r>
      <w:r w:rsidRPr="004904B0" w:rsidR="0084766E">
        <w:rPr>
          <w:b/>
          <w:bCs/>
          <w:sz w:val="22"/>
          <w:szCs w:val="22"/>
        </w:rPr>
        <w:t>n/a</w:t>
      </w:r>
    </w:p>
    <w:p w:rsidR="00393A57" w:rsidRPr="004904B0" w:rsidP="00393A57" w14:paraId="490100EB" w14:textId="1ECAA011">
      <w:pPr>
        <w:numPr>
          <w:ilvl w:val="0"/>
          <w:numId w:val="24"/>
        </w:numPr>
        <w:overflowPunct w:val="0"/>
        <w:autoSpaceDE w:val="0"/>
        <w:autoSpaceDN w:val="0"/>
        <w:adjustRightInd w:val="0"/>
        <w:textAlignment w:val="baseline"/>
        <w:rPr>
          <w:b/>
          <w:bCs/>
          <w:sz w:val="22"/>
          <w:szCs w:val="22"/>
        </w:rPr>
      </w:pPr>
      <w:r w:rsidRPr="007A7053">
        <w:rPr>
          <w:sz w:val="22"/>
          <w:szCs w:val="22"/>
        </w:rPr>
        <w:t xml:space="preserve">This information collection does not require the use of a statistical data classification that has not been reviewed and approved by OMB. </w:t>
      </w:r>
      <w:r w:rsidRPr="004904B0" w:rsidR="0084766E">
        <w:rPr>
          <w:b/>
          <w:bCs/>
          <w:sz w:val="22"/>
          <w:szCs w:val="22"/>
        </w:rPr>
        <w:t>n/a</w:t>
      </w:r>
    </w:p>
    <w:p w:rsidR="00393A57" w:rsidRPr="007A7053" w:rsidP="00393A57" w14:paraId="468D1AA7" w14:textId="57EA9729">
      <w:pPr>
        <w:numPr>
          <w:ilvl w:val="0"/>
          <w:numId w:val="24"/>
        </w:numPr>
        <w:overflowPunct w:val="0"/>
        <w:autoSpaceDE w:val="0"/>
        <w:autoSpaceDN w:val="0"/>
        <w:adjustRightInd w:val="0"/>
        <w:textAlignment w:val="baseline"/>
        <w:rPr>
          <w:sz w:val="22"/>
          <w:szCs w:val="22"/>
        </w:rPr>
      </w:pPr>
      <w:r w:rsidRPr="007A7053">
        <w:rPr>
          <w:sz w:val="22"/>
          <w:szCs w:val="22"/>
        </w:rPr>
        <w:t xml:space="preserve">This information collection does not include a pledge of confidentiality that is not supported by authority established in statute or regulation, that is not supported by disclosure and security policies that are consistent with the pledge, or which unnecessarily impedes sharing of data with other agencies for compatible confidential use. </w:t>
      </w:r>
      <w:r w:rsidRPr="004904B0" w:rsidR="0084766E">
        <w:rPr>
          <w:b/>
          <w:bCs/>
          <w:sz w:val="22"/>
          <w:szCs w:val="22"/>
        </w:rPr>
        <w:t>n/a</w:t>
      </w:r>
    </w:p>
    <w:p w:rsidR="00393A57" w:rsidRPr="00F15B40" w:rsidP="00393A57" w14:paraId="2E4445FF" w14:textId="7CA5BB1C">
      <w:pPr>
        <w:numPr>
          <w:ilvl w:val="0"/>
          <w:numId w:val="24"/>
        </w:numPr>
        <w:overflowPunct w:val="0"/>
        <w:autoSpaceDE w:val="0"/>
        <w:autoSpaceDN w:val="0"/>
        <w:adjustRightInd w:val="0"/>
        <w:textAlignment w:val="baseline"/>
        <w:rPr>
          <w:sz w:val="22"/>
          <w:szCs w:val="22"/>
        </w:rPr>
      </w:pPr>
      <w:r w:rsidRPr="007A7053">
        <w:rPr>
          <w:sz w:val="22"/>
          <w:szCs w:val="22"/>
        </w:rPr>
        <w:t>This information collection does not require respondents to submit proprietary, trade secret, or other confidential information unless the agency can demonstrate that it has instituted (and not just planned) procedures to protect its confidentiality to the extent permitted by law.</w:t>
      </w:r>
      <w:r w:rsidR="0084766E">
        <w:rPr>
          <w:sz w:val="22"/>
          <w:szCs w:val="22"/>
        </w:rPr>
        <w:t xml:space="preserve"> </w:t>
      </w:r>
      <w:r w:rsidRPr="004904B0" w:rsidR="0084766E">
        <w:rPr>
          <w:b/>
          <w:bCs/>
          <w:sz w:val="22"/>
          <w:szCs w:val="22"/>
        </w:rPr>
        <w:t>n/a</w:t>
      </w:r>
    </w:p>
    <w:p w:rsidR="00393A57" w:rsidRPr="00F15B40" w:rsidP="00393A57" w14:paraId="0C3E0C80" w14:textId="77777777">
      <w:pPr>
        <w:overflowPunct w:val="0"/>
        <w:autoSpaceDE w:val="0"/>
        <w:autoSpaceDN w:val="0"/>
        <w:adjustRightInd w:val="0"/>
        <w:textAlignment w:val="baseline"/>
        <w:rPr>
          <w:sz w:val="22"/>
          <w:szCs w:val="22"/>
        </w:rPr>
      </w:pPr>
    </w:p>
    <w:p w:rsidR="00393A57" w:rsidP="00323F07" w14:paraId="43723B34" w14:textId="77777777">
      <w:pPr>
        <w:overflowPunct w:val="0"/>
        <w:autoSpaceDE w:val="0"/>
        <w:autoSpaceDN w:val="0"/>
        <w:adjustRightInd w:val="0"/>
        <w:textAlignment w:val="baseline"/>
        <w:rPr>
          <w:sz w:val="22"/>
          <w:szCs w:val="22"/>
        </w:rPr>
      </w:pPr>
    </w:p>
    <w:p w:rsidR="00D73EE7" w:rsidRPr="00867668" w14:paraId="10561648" w14:textId="77777777">
      <w:pPr>
        <w:keepLines/>
        <w:tabs>
          <w:tab w:val="left" w:pos="360"/>
        </w:tabs>
        <w:spacing w:after="80"/>
        <w:ind w:left="360" w:hanging="360"/>
        <w:rPr>
          <w:b/>
          <w:color w:val="000000"/>
          <w:sz w:val="22"/>
          <w:szCs w:val="22"/>
        </w:rPr>
      </w:pPr>
      <w:r w:rsidRPr="00867668">
        <w:rPr>
          <w:b/>
          <w:color w:val="000000"/>
          <w:sz w:val="22"/>
          <w:szCs w:val="22"/>
        </w:rPr>
        <w:t>8.</w:t>
      </w:r>
      <w:r w:rsidRPr="00867668">
        <w:rPr>
          <w:b/>
          <w:color w:val="000000"/>
          <w:sz w:val="22"/>
          <w:szCs w:val="22"/>
        </w:rPr>
        <w:tab/>
        <w:t>Date and page number of the Federal Register notice (provide a copy) soliciting comments and public input</w:t>
      </w:r>
      <w:r w:rsidRPr="00867668" w:rsidR="000007ED">
        <w:rPr>
          <w:b/>
          <w:color w:val="000000"/>
          <w:sz w:val="22"/>
          <w:szCs w:val="22"/>
        </w:rPr>
        <w:t>.</w:t>
      </w:r>
      <w:r w:rsidRPr="00867668">
        <w:rPr>
          <w:b/>
          <w:color w:val="000000"/>
          <w:sz w:val="22"/>
          <w:szCs w:val="22"/>
        </w:rPr>
        <w:t xml:space="preserve"> Summarize any public comments and describe response to comments.  Describe all efforts to consult with persons outside the agency to obtain their input. </w:t>
      </w:r>
    </w:p>
    <w:p w:rsidR="006F6265" w:rsidP="00ED2128" w14:paraId="51A17A35" w14:textId="7ED586F1">
      <w:pPr>
        <w:keepLines/>
        <w:tabs>
          <w:tab w:val="left" w:pos="0"/>
        </w:tabs>
        <w:spacing w:after="80"/>
        <w:rPr>
          <w:color w:val="000000"/>
          <w:sz w:val="22"/>
          <w:szCs w:val="22"/>
        </w:rPr>
      </w:pPr>
      <w:r>
        <w:rPr>
          <w:color w:val="000000"/>
          <w:sz w:val="22"/>
          <w:szCs w:val="22"/>
        </w:rPr>
        <w:t>HUD published a notice in the Federal Register to solicit public comment on</w:t>
      </w:r>
      <w:r w:rsidR="003A450F">
        <w:rPr>
          <w:color w:val="000000"/>
          <w:sz w:val="22"/>
          <w:szCs w:val="22"/>
        </w:rPr>
        <w:t xml:space="preserve"> May 21, 2024 (89 FR 44698).</w:t>
      </w:r>
      <w:r w:rsidRPr="00907858" w:rsidR="00907858">
        <w:rPr>
          <w:bCs/>
        </w:rPr>
        <w:t xml:space="preserve"> </w:t>
      </w:r>
      <w:r w:rsidR="00907858">
        <w:rPr>
          <w:bCs/>
        </w:rPr>
        <w:t>The public has been given until July 22, 2024</w:t>
      </w:r>
      <w:r w:rsidR="00413073">
        <w:rPr>
          <w:bCs/>
        </w:rPr>
        <w:t>,</w:t>
      </w:r>
      <w:r w:rsidR="00907858">
        <w:rPr>
          <w:bCs/>
        </w:rPr>
        <w:t xml:space="preserve"> to submit comments on the proposed information. As such, the agency has not yet received comments </w:t>
      </w:r>
      <w:r w:rsidR="00907858">
        <w:rPr>
          <w:bCs/>
        </w:rPr>
        <w:t>for</w:t>
      </w:r>
      <w:r w:rsidR="00907858">
        <w:rPr>
          <w:bCs/>
        </w:rPr>
        <w:t xml:space="preserve"> this information collection request.  </w:t>
      </w:r>
    </w:p>
    <w:p w:rsidR="00CA6D3C" w:rsidP="00ED2128" w14:paraId="0319116F" w14:textId="73BE84AC">
      <w:pPr>
        <w:keepLines/>
        <w:tabs>
          <w:tab w:val="left" w:pos="0"/>
        </w:tabs>
        <w:spacing w:after="80"/>
        <w:rPr>
          <w:color w:val="000000"/>
          <w:sz w:val="22"/>
          <w:szCs w:val="22"/>
        </w:rPr>
      </w:pPr>
    </w:p>
    <w:p w:rsidR="00D73EE7" w:rsidRPr="008A4BF0" w14:paraId="5E895D25" w14:textId="2F11A571">
      <w:pPr>
        <w:keepLines/>
        <w:tabs>
          <w:tab w:val="left" w:pos="360"/>
        </w:tabs>
        <w:spacing w:after="80"/>
        <w:ind w:left="360" w:hanging="360"/>
        <w:rPr>
          <w:b/>
          <w:color w:val="000000"/>
          <w:sz w:val="22"/>
          <w:szCs w:val="22"/>
        </w:rPr>
      </w:pPr>
      <w:r w:rsidRPr="00867668">
        <w:rPr>
          <w:b/>
          <w:color w:val="000000"/>
          <w:sz w:val="22"/>
          <w:szCs w:val="22"/>
        </w:rPr>
        <w:t>9.</w:t>
      </w:r>
      <w:r w:rsidRPr="00867668">
        <w:rPr>
          <w:b/>
          <w:color w:val="000000"/>
          <w:sz w:val="22"/>
          <w:szCs w:val="22"/>
        </w:rPr>
        <w:tab/>
        <w:t xml:space="preserve">Explain any </w:t>
      </w:r>
      <w:r w:rsidRPr="00867668" w:rsidR="00867668">
        <w:rPr>
          <w:b/>
          <w:color w:val="000000"/>
          <w:sz w:val="22"/>
          <w:szCs w:val="22"/>
        </w:rPr>
        <w:t xml:space="preserve">decision to provide any </w:t>
      </w:r>
      <w:r w:rsidRPr="00867668">
        <w:rPr>
          <w:b/>
          <w:color w:val="000000"/>
          <w:sz w:val="22"/>
          <w:szCs w:val="22"/>
        </w:rPr>
        <w:t>payment or gift to respondents, other than remuneration of contractors or grantees.</w:t>
      </w:r>
    </w:p>
    <w:p w:rsidR="00F15B40" w:rsidRPr="00F15B40" w:rsidP="00F15B40" w14:paraId="56C741E9" w14:textId="77777777">
      <w:pPr>
        <w:tabs>
          <w:tab w:val="left" w:pos="0"/>
        </w:tabs>
        <w:overflowPunct w:val="0"/>
        <w:autoSpaceDE w:val="0"/>
        <w:autoSpaceDN w:val="0"/>
        <w:adjustRightInd w:val="0"/>
        <w:textAlignment w:val="baseline"/>
        <w:rPr>
          <w:sz w:val="22"/>
          <w:szCs w:val="22"/>
        </w:rPr>
      </w:pPr>
      <w:r>
        <w:rPr>
          <w:sz w:val="22"/>
          <w:szCs w:val="22"/>
        </w:rPr>
        <w:t>These circumstances are not applicable to the HOPWA program since HUD does not provide payment.</w:t>
      </w:r>
    </w:p>
    <w:p w:rsidR="00D73EE7" w:rsidRPr="003B27A6" w14:paraId="35386FF2" w14:textId="77777777">
      <w:pPr>
        <w:tabs>
          <w:tab w:val="left" w:pos="360"/>
        </w:tabs>
        <w:ind w:left="360" w:hanging="360"/>
        <w:rPr>
          <w:color w:val="000000"/>
          <w:sz w:val="22"/>
          <w:szCs w:val="22"/>
        </w:rPr>
      </w:pPr>
    </w:p>
    <w:p w:rsidR="00D73EE7" w:rsidRPr="008A4BF0" w14:paraId="512B6AC2" w14:textId="77777777">
      <w:pPr>
        <w:keepLines/>
        <w:tabs>
          <w:tab w:val="left" w:pos="360"/>
        </w:tabs>
        <w:spacing w:after="80"/>
        <w:ind w:left="360" w:hanging="360"/>
        <w:rPr>
          <w:b/>
          <w:color w:val="000000"/>
          <w:sz w:val="22"/>
          <w:szCs w:val="22"/>
        </w:rPr>
      </w:pPr>
      <w:r w:rsidRPr="00867668">
        <w:rPr>
          <w:b/>
          <w:color w:val="000000"/>
          <w:sz w:val="22"/>
          <w:szCs w:val="22"/>
        </w:rPr>
        <w:t>10.</w:t>
      </w:r>
      <w:r w:rsidRPr="00867668">
        <w:rPr>
          <w:b/>
          <w:color w:val="000000"/>
          <w:sz w:val="22"/>
          <w:szCs w:val="22"/>
        </w:rPr>
        <w:tab/>
        <w:t>Describe any assurance of confidentiality provided to respondents and the basis for assurance in statute, regulation or agency policy.</w:t>
      </w:r>
    </w:p>
    <w:p w:rsidR="000007ED" w:rsidP="000D2DF6" w14:paraId="122C7A29" w14:textId="5BAE0E15">
      <w:pPr>
        <w:keepLines/>
        <w:tabs>
          <w:tab w:val="left" w:pos="0"/>
        </w:tabs>
        <w:spacing w:before="240" w:after="80"/>
        <w:rPr>
          <w:color w:val="000000"/>
          <w:sz w:val="22"/>
          <w:szCs w:val="22"/>
        </w:rPr>
      </w:pPr>
      <w:r>
        <w:rPr>
          <w:color w:val="000000"/>
          <w:sz w:val="22"/>
          <w:szCs w:val="22"/>
        </w:rPr>
        <w:t xml:space="preserve">42 U.S.C. § 12905(e) and </w:t>
      </w:r>
      <w:r>
        <w:rPr>
          <w:color w:val="000000"/>
          <w:sz w:val="22"/>
          <w:szCs w:val="22"/>
        </w:rPr>
        <w:t xml:space="preserve">24 CFR 574.440 </w:t>
      </w:r>
      <w:r>
        <w:rPr>
          <w:color w:val="000000"/>
          <w:sz w:val="22"/>
          <w:szCs w:val="22"/>
        </w:rPr>
        <w:t>require</w:t>
      </w:r>
      <w:r>
        <w:rPr>
          <w:color w:val="000000"/>
          <w:sz w:val="22"/>
          <w:szCs w:val="22"/>
        </w:rPr>
        <w:t xml:space="preserve"> that grantees and their respective project sponsors maintain the confidentiality and identities of HOPWA program participants</w:t>
      </w:r>
      <w:r>
        <w:rPr>
          <w:color w:val="000000"/>
          <w:sz w:val="22"/>
          <w:szCs w:val="22"/>
        </w:rPr>
        <w:t>, which includes</w:t>
      </w:r>
      <w:r>
        <w:rPr>
          <w:color w:val="000000"/>
          <w:sz w:val="22"/>
          <w:szCs w:val="22"/>
        </w:rPr>
        <w:t xml:space="preserve"> that sufficient processes are in place to ensure sound confidential recordkeeping. </w:t>
      </w:r>
      <w:r>
        <w:rPr>
          <w:color w:val="000000"/>
          <w:sz w:val="22"/>
          <w:szCs w:val="22"/>
        </w:rPr>
        <w:t>A</w:t>
      </w:r>
      <w:r>
        <w:rPr>
          <w:color w:val="000000"/>
          <w:sz w:val="22"/>
          <w:szCs w:val="22"/>
        </w:rPr>
        <w:t xml:space="preserve">ll forms are in compliance </w:t>
      </w:r>
      <w:r w:rsidR="00F7313B">
        <w:rPr>
          <w:color w:val="000000"/>
          <w:sz w:val="22"/>
          <w:szCs w:val="22"/>
        </w:rPr>
        <w:t xml:space="preserve">with this requirement. </w:t>
      </w:r>
    </w:p>
    <w:p w:rsidR="00404B88" w:rsidP="000D2DF6" w14:paraId="40E2EAB7" w14:textId="6C410304">
      <w:pPr>
        <w:keepLines/>
        <w:tabs>
          <w:tab w:val="left" w:pos="0"/>
        </w:tabs>
        <w:spacing w:before="240" w:after="80"/>
        <w:rPr>
          <w:color w:val="000000"/>
          <w:sz w:val="22"/>
          <w:szCs w:val="22"/>
        </w:rPr>
      </w:pPr>
      <w:r>
        <w:rPr>
          <w:color w:val="000000"/>
          <w:sz w:val="22"/>
          <w:szCs w:val="22"/>
        </w:rPr>
        <w:t>HOPWA new competitive SPNS grant applicants are notified in the NOF</w:t>
      </w:r>
      <w:r w:rsidR="00600786">
        <w:rPr>
          <w:color w:val="000000"/>
          <w:sz w:val="22"/>
          <w:szCs w:val="22"/>
        </w:rPr>
        <w:t>O</w:t>
      </w:r>
      <w:r>
        <w:rPr>
          <w:color w:val="000000"/>
          <w:sz w:val="22"/>
          <w:szCs w:val="22"/>
        </w:rPr>
        <w:t xml:space="preserve"> that the required reporting for the grant will be shared publicly. Information collected is specific to the project funded through the HOPWA program. </w:t>
      </w:r>
      <w:r w:rsidRPr="003B27A6">
        <w:rPr>
          <w:color w:val="000000"/>
          <w:sz w:val="22"/>
          <w:szCs w:val="22"/>
        </w:rPr>
        <w:t xml:space="preserve">HOPWA competitive </w:t>
      </w:r>
      <w:r>
        <w:rPr>
          <w:color w:val="000000"/>
          <w:sz w:val="22"/>
          <w:szCs w:val="22"/>
        </w:rPr>
        <w:t>grant</w:t>
      </w:r>
      <w:r w:rsidRPr="003B27A6">
        <w:rPr>
          <w:color w:val="000000"/>
          <w:sz w:val="22"/>
          <w:szCs w:val="22"/>
        </w:rPr>
        <w:t xml:space="preserve"> </w:t>
      </w:r>
      <w:r>
        <w:rPr>
          <w:color w:val="000000"/>
          <w:sz w:val="22"/>
          <w:szCs w:val="22"/>
        </w:rPr>
        <w:t>applications</w:t>
      </w:r>
      <w:r w:rsidRPr="003B27A6">
        <w:rPr>
          <w:color w:val="000000"/>
          <w:sz w:val="22"/>
          <w:szCs w:val="22"/>
        </w:rPr>
        <w:t xml:space="preserve"> are reviewed by HUD staff or other reviewers defined in the </w:t>
      </w:r>
      <w:r>
        <w:rPr>
          <w:color w:val="000000"/>
          <w:sz w:val="22"/>
          <w:szCs w:val="22"/>
        </w:rPr>
        <w:t>NOF</w:t>
      </w:r>
      <w:r w:rsidR="00600786">
        <w:rPr>
          <w:color w:val="000000"/>
          <w:sz w:val="22"/>
          <w:szCs w:val="22"/>
        </w:rPr>
        <w:t>O</w:t>
      </w:r>
      <w:r>
        <w:rPr>
          <w:color w:val="000000"/>
          <w:sz w:val="22"/>
          <w:szCs w:val="22"/>
        </w:rPr>
        <w:t xml:space="preserve"> or renewal</w:t>
      </w:r>
      <w:r w:rsidR="00600786">
        <w:rPr>
          <w:color w:val="000000"/>
          <w:sz w:val="22"/>
          <w:szCs w:val="22"/>
        </w:rPr>
        <w:t>/replacement</w:t>
      </w:r>
      <w:r>
        <w:rPr>
          <w:color w:val="000000"/>
          <w:sz w:val="22"/>
          <w:szCs w:val="22"/>
        </w:rPr>
        <w:t xml:space="preserve"> notice</w:t>
      </w:r>
      <w:r w:rsidRPr="003B27A6">
        <w:rPr>
          <w:color w:val="000000"/>
          <w:sz w:val="22"/>
          <w:szCs w:val="22"/>
        </w:rPr>
        <w:t xml:space="preserve">. The </w:t>
      </w:r>
      <w:r>
        <w:rPr>
          <w:color w:val="000000"/>
          <w:sz w:val="22"/>
          <w:szCs w:val="22"/>
        </w:rPr>
        <w:t>applications</w:t>
      </w:r>
      <w:r w:rsidRPr="003B27A6">
        <w:rPr>
          <w:color w:val="000000"/>
          <w:sz w:val="22"/>
          <w:szCs w:val="22"/>
        </w:rPr>
        <w:t xml:space="preserve"> </w:t>
      </w:r>
      <w:r>
        <w:rPr>
          <w:color w:val="000000"/>
          <w:sz w:val="22"/>
          <w:szCs w:val="22"/>
        </w:rPr>
        <w:t>for</w:t>
      </w:r>
      <w:r w:rsidRPr="003B27A6">
        <w:rPr>
          <w:color w:val="000000"/>
          <w:sz w:val="22"/>
          <w:szCs w:val="22"/>
        </w:rPr>
        <w:t xml:space="preserve"> awarded grants will serve as the grant project plan and be incorporated into the grant agreement. </w:t>
      </w:r>
      <w:r w:rsidR="00695640">
        <w:rPr>
          <w:color w:val="000000"/>
          <w:sz w:val="22"/>
          <w:szCs w:val="22"/>
        </w:rPr>
        <w:t>A</w:t>
      </w:r>
      <w:r>
        <w:rPr>
          <w:color w:val="000000"/>
          <w:sz w:val="22"/>
          <w:szCs w:val="22"/>
        </w:rPr>
        <w:t>pplications</w:t>
      </w:r>
      <w:r w:rsidRPr="003B27A6">
        <w:rPr>
          <w:color w:val="000000"/>
          <w:sz w:val="22"/>
          <w:szCs w:val="22"/>
        </w:rPr>
        <w:t xml:space="preserve"> </w:t>
      </w:r>
      <w:r w:rsidR="00695640">
        <w:rPr>
          <w:color w:val="000000"/>
          <w:sz w:val="22"/>
          <w:szCs w:val="22"/>
        </w:rPr>
        <w:t xml:space="preserve">that are not selected for </w:t>
      </w:r>
      <w:r w:rsidRPr="003B27A6">
        <w:rPr>
          <w:color w:val="000000"/>
          <w:sz w:val="22"/>
          <w:szCs w:val="22"/>
        </w:rPr>
        <w:t>grant</w:t>
      </w:r>
      <w:r w:rsidR="003A4CD8">
        <w:rPr>
          <w:color w:val="000000"/>
          <w:sz w:val="22"/>
          <w:szCs w:val="22"/>
        </w:rPr>
        <w:t xml:space="preserve"> awards</w:t>
      </w:r>
      <w:r w:rsidRPr="003B27A6">
        <w:rPr>
          <w:color w:val="000000"/>
          <w:sz w:val="22"/>
          <w:szCs w:val="22"/>
        </w:rPr>
        <w:t xml:space="preserve"> will</w:t>
      </w:r>
      <w:r>
        <w:rPr>
          <w:color w:val="000000"/>
          <w:sz w:val="22"/>
          <w:szCs w:val="22"/>
        </w:rPr>
        <w:t xml:space="preserve"> be</w:t>
      </w:r>
      <w:r w:rsidRPr="003B27A6">
        <w:rPr>
          <w:color w:val="000000"/>
          <w:sz w:val="22"/>
          <w:szCs w:val="22"/>
        </w:rPr>
        <w:t xml:space="preserve"> filed for the required </w:t>
      </w:r>
      <w:r w:rsidR="0038033E">
        <w:rPr>
          <w:color w:val="000000"/>
          <w:sz w:val="22"/>
          <w:szCs w:val="22"/>
        </w:rPr>
        <w:t>three</w:t>
      </w:r>
      <w:r w:rsidRPr="003B27A6">
        <w:rPr>
          <w:color w:val="000000"/>
          <w:sz w:val="22"/>
          <w:szCs w:val="22"/>
        </w:rPr>
        <w:t xml:space="preserve">-year recordkeeping period, and then destroyed. The unawarded </w:t>
      </w:r>
      <w:r>
        <w:rPr>
          <w:color w:val="000000"/>
          <w:sz w:val="22"/>
          <w:szCs w:val="22"/>
        </w:rPr>
        <w:t>applications</w:t>
      </w:r>
      <w:r w:rsidRPr="003B27A6">
        <w:rPr>
          <w:color w:val="000000"/>
          <w:sz w:val="22"/>
          <w:szCs w:val="22"/>
        </w:rPr>
        <w:t xml:space="preserve"> will only be </w:t>
      </w:r>
      <w:r>
        <w:rPr>
          <w:color w:val="000000"/>
          <w:sz w:val="22"/>
          <w:szCs w:val="22"/>
        </w:rPr>
        <w:t>available</w:t>
      </w:r>
      <w:r w:rsidRPr="003B27A6">
        <w:rPr>
          <w:color w:val="000000"/>
          <w:sz w:val="22"/>
          <w:szCs w:val="22"/>
        </w:rPr>
        <w:t xml:space="preserve"> </w:t>
      </w:r>
      <w:r>
        <w:rPr>
          <w:color w:val="000000"/>
          <w:sz w:val="22"/>
          <w:szCs w:val="22"/>
        </w:rPr>
        <w:t>to</w:t>
      </w:r>
      <w:r w:rsidRPr="003B27A6">
        <w:rPr>
          <w:color w:val="000000"/>
          <w:sz w:val="22"/>
          <w:szCs w:val="22"/>
        </w:rPr>
        <w:t xml:space="preserve"> the public through an approved FOIA request. </w:t>
      </w:r>
    </w:p>
    <w:p w:rsidR="00D73EE7" w:rsidRPr="003B27A6" w14:paraId="4F572726" w14:textId="77777777">
      <w:pPr>
        <w:tabs>
          <w:tab w:val="left" w:pos="360"/>
        </w:tabs>
        <w:ind w:left="360" w:hanging="360"/>
        <w:rPr>
          <w:color w:val="000000"/>
          <w:sz w:val="22"/>
          <w:szCs w:val="22"/>
        </w:rPr>
      </w:pPr>
    </w:p>
    <w:p w:rsidR="00B1027E" w:rsidRPr="004B50F0" w:rsidP="00267E0E" w14:paraId="5D85B5BE" w14:textId="77777777">
      <w:pPr>
        <w:keepLines/>
        <w:tabs>
          <w:tab w:val="left" w:pos="360"/>
          <w:tab w:val="left" w:pos="720"/>
        </w:tabs>
        <w:ind w:left="360" w:hanging="360"/>
        <w:rPr>
          <w:b/>
          <w:color w:val="000000"/>
          <w:sz w:val="22"/>
          <w:szCs w:val="22"/>
        </w:rPr>
      </w:pPr>
      <w:r w:rsidRPr="006D5A69">
        <w:rPr>
          <w:b/>
          <w:color w:val="000000"/>
          <w:sz w:val="22"/>
          <w:szCs w:val="22"/>
        </w:rPr>
        <w:t>11.</w:t>
      </w:r>
      <w:r w:rsidRPr="006D5A69">
        <w:rPr>
          <w:b/>
          <w:color w:val="000000"/>
          <w:sz w:val="22"/>
          <w:szCs w:val="22"/>
        </w:rPr>
        <w:tab/>
        <w:t>Justify any questions of a sensitive nature, such as sexual, religious beliefs, and other matters that are commonly considered private</w:t>
      </w:r>
      <w:r w:rsidRPr="006D5A69">
        <w:rPr>
          <w:b/>
          <w:color w:val="000000"/>
          <w:sz w:val="22"/>
          <w:szCs w:val="22"/>
        </w:rPr>
        <w:t>.</w:t>
      </w:r>
    </w:p>
    <w:p w:rsidR="00B1027E" w:rsidRPr="003B27A6" w:rsidP="000D2DF6" w14:paraId="6D9A2B2A" w14:textId="36C65DD0">
      <w:pPr>
        <w:keepLines/>
        <w:tabs>
          <w:tab w:val="left" w:pos="0"/>
          <w:tab w:val="left" w:pos="720"/>
        </w:tabs>
        <w:spacing w:before="240"/>
        <w:rPr>
          <w:color w:val="000000"/>
          <w:sz w:val="22"/>
          <w:szCs w:val="22"/>
        </w:rPr>
      </w:pPr>
      <w:r>
        <w:rPr>
          <w:color w:val="000000"/>
          <w:sz w:val="22"/>
          <w:szCs w:val="22"/>
        </w:rPr>
        <w:t xml:space="preserve">No questions of a sensitive matter are included as part of the requested or required submission of these application submission or reporting requirements. </w:t>
      </w:r>
    </w:p>
    <w:p w:rsidR="00D73EE7" w:rsidRPr="003B27A6" w14:paraId="4E76CEBC" w14:textId="77777777">
      <w:pPr>
        <w:keepLines/>
        <w:tabs>
          <w:tab w:val="left" w:pos="360"/>
        </w:tabs>
        <w:ind w:left="360" w:hanging="360"/>
        <w:rPr>
          <w:color w:val="000000"/>
          <w:sz w:val="22"/>
          <w:szCs w:val="22"/>
        </w:rPr>
      </w:pPr>
    </w:p>
    <w:p w:rsidR="00E86574" w14:paraId="3EE5F277" w14:textId="2DBDE9DE">
      <w:pPr>
        <w:keepLines/>
        <w:tabs>
          <w:tab w:val="left" w:pos="360"/>
          <w:tab w:val="left" w:pos="720"/>
        </w:tabs>
        <w:ind w:left="360" w:hanging="360"/>
        <w:rPr>
          <w:b/>
          <w:color w:val="000000"/>
          <w:sz w:val="22"/>
          <w:szCs w:val="22"/>
        </w:rPr>
      </w:pPr>
      <w:r w:rsidRPr="006D5A69">
        <w:rPr>
          <w:b/>
          <w:color w:val="000000"/>
          <w:sz w:val="22"/>
          <w:szCs w:val="22"/>
        </w:rPr>
        <w:t>12</w:t>
      </w:r>
      <w:r w:rsidRPr="0008106E">
        <w:rPr>
          <w:b/>
          <w:color w:val="000000"/>
          <w:sz w:val="22"/>
          <w:szCs w:val="22"/>
        </w:rPr>
        <w:t>.</w:t>
      </w:r>
      <w:r w:rsidRPr="0008106E">
        <w:rPr>
          <w:b/>
          <w:color w:val="000000"/>
          <w:sz w:val="22"/>
          <w:szCs w:val="22"/>
        </w:rPr>
        <w:tab/>
      </w:r>
      <w:r w:rsidRPr="0008106E" w:rsidR="006D5A69">
        <w:rPr>
          <w:b/>
          <w:color w:val="000000"/>
          <w:sz w:val="22"/>
          <w:szCs w:val="22"/>
        </w:rPr>
        <w:t xml:space="preserve">Provide estimates of the hour burden and </w:t>
      </w:r>
      <w:r w:rsidRPr="0008106E" w:rsidR="009B57FB">
        <w:rPr>
          <w:b/>
          <w:color w:val="000000"/>
          <w:sz w:val="22"/>
          <w:szCs w:val="22"/>
        </w:rPr>
        <w:t xml:space="preserve">annualized </w:t>
      </w:r>
      <w:r w:rsidRPr="0008106E" w:rsidR="006D5A69">
        <w:rPr>
          <w:b/>
          <w:color w:val="000000"/>
          <w:sz w:val="22"/>
          <w:szCs w:val="22"/>
        </w:rPr>
        <w:t>cost</w:t>
      </w:r>
      <w:r w:rsidRPr="0008106E" w:rsidR="009B57FB">
        <w:rPr>
          <w:b/>
          <w:color w:val="000000"/>
          <w:sz w:val="22"/>
          <w:szCs w:val="22"/>
        </w:rPr>
        <w:t>s</w:t>
      </w:r>
      <w:r w:rsidRPr="0008106E" w:rsidR="006D5A69">
        <w:rPr>
          <w:b/>
          <w:color w:val="000000"/>
          <w:sz w:val="22"/>
          <w:szCs w:val="22"/>
        </w:rPr>
        <w:t xml:space="preserve"> of the collection of information for Grant Recipients.</w:t>
      </w:r>
      <w:r w:rsidRPr="006D5A69" w:rsidR="006D5A69">
        <w:rPr>
          <w:b/>
          <w:color w:val="000000"/>
          <w:sz w:val="22"/>
          <w:szCs w:val="22"/>
        </w:rPr>
        <w:t xml:space="preserve"> </w:t>
      </w:r>
    </w:p>
    <w:p w:rsidR="006B2986" w:rsidRPr="0089639C" w:rsidP="0089639C" w14:paraId="333B12E9" w14:textId="77777777">
      <w:pPr>
        <w:jc w:val="both"/>
        <w:rPr>
          <w:rFonts w:eastAsia="Calibri" w:cs="Arial"/>
          <w:bCs/>
          <w:sz w:val="22"/>
          <w:szCs w:val="22"/>
        </w:rPr>
      </w:pPr>
    </w:p>
    <w:p w:rsidR="00CC6264" w:rsidRPr="0089639C" w:rsidP="00C07FA4" w14:paraId="3F4EB953" w14:textId="2F7C29DD">
      <w:pPr>
        <w:rPr>
          <w:rFonts w:eastAsia="Calibri" w:cs="Arial"/>
          <w:bCs/>
          <w:sz w:val="22"/>
          <w:szCs w:val="22"/>
        </w:rPr>
      </w:pPr>
      <w:r w:rsidRPr="0089639C">
        <w:rPr>
          <w:rFonts w:eastAsia="Calibri" w:cs="Arial"/>
          <w:bCs/>
          <w:sz w:val="22"/>
          <w:szCs w:val="22"/>
        </w:rPr>
        <w:t xml:space="preserve">Send comments regarding this burden estimate or any other aspect of this collection of information, including suggestions to reduce this burden, to Colette Pollard, Reports Management Officer, Department of Housing and Urban Development, 451 </w:t>
      </w:r>
      <w:r w:rsidRPr="00421D3A">
        <w:rPr>
          <w:rFonts w:eastAsia="Calibri" w:cs="Arial"/>
          <w:bCs/>
          <w:sz w:val="22"/>
          <w:szCs w:val="22"/>
        </w:rPr>
        <w:t>7</w:t>
      </w:r>
      <w:r w:rsidRPr="00C07FA4">
        <w:rPr>
          <w:rFonts w:eastAsia="Calibri" w:cs="Arial"/>
          <w:bCs/>
          <w:sz w:val="22"/>
          <w:szCs w:val="22"/>
        </w:rPr>
        <w:t>th</w:t>
      </w:r>
      <w:r w:rsidRPr="0089639C">
        <w:rPr>
          <w:rFonts w:eastAsia="Calibri" w:cs="Arial"/>
          <w:bCs/>
          <w:sz w:val="22"/>
          <w:szCs w:val="22"/>
        </w:rPr>
        <w:t xml:space="preserve"> Street SW, Room 4176, Washington, DC 20410-5000. When providing comments, please refer to OMB Control No. 2506-0133.  HUD may not conduct and sponsor, and a person is not required to respond to, a collection of information unless the collection displays a valid OMB </w:t>
      </w:r>
      <w:r w:rsidR="00421D3A">
        <w:rPr>
          <w:rFonts w:eastAsia="Calibri" w:cs="Arial"/>
          <w:bCs/>
          <w:sz w:val="22"/>
          <w:szCs w:val="22"/>
        </w:rPr>
        <w:t>c</w:t>
      </w:r>
      <w:r w:rsidRPr="0089639C">
        <w:rPr>
          <w:rFonts w:eastAsia="Calibri" w:cs="Arial"/>
          <w:bCs/>
          <w:sz w:val="22"/>
          <w:szCs w:val="22"/>
        </w:rPr>
        <w:t xml:space="preserve">ontrol </w:t>
      </w:r>
      <w:r w:rsidR="00421D3A">
        <w:rPr>
          <w:rFonts w:eastAsia="Calibri" w:cs="Arial"/>
          <w:bCs/>
          <w:sz w:val="22"/>
          <w:szCs w:val="22"/>
        </w:rPr>
        <w:t>n</w:t>
      </w:r>
      <w:r w:rsidRPr="0089639C">
        <w:rPr>
          <w:rFonts w:eastAsia="Calibri" w:cs="Arial"/>
          <w:bCs/>
          <w:sz w:val="22"/>
          <w:szCs w:val="22"/>
        </w:rPr>
        <w:t>umber.  </w:t>
      </w:r>
    </w:p>
    <w:p w:rsidR="00CC6264" w:rsidRPr="00525AFD" w:rsidP="00CC6264" w14:paraId="4A2876E6" w14:textId="77777777">
      <w:pPr>
        <w:ind w:left="720"/>
        <w:jc w:val="both"/>
        <w:rPr>
          <w:rFonts w:cstheme="minorHAnsi"/>
          <w:color w:val="FF0000"/>
          <w:sz w:val="20"/>
          <w:szCs w:val="20"/>
        </w:rPr>
      </w:pPr>
    </w:p>
    <w:p w:rsidR="007639EC" w:rsidP="007639EC" w14:paraId="0299B920" w14:textId="57D7407A">
      <w:pPr>
        <w:keepLines/>
        <w:tabs>
          <w:tab w:val="left" w:pos="0"/>
          <w:tab w:val="left" w:pos="720"/>
        </w:tabs>
        <w:rPr>
          <w:color w:val="000000"/>
          <w:sz w:val="22"/>
          <w:szCs w:val="22"/>
        </w:rPr>
      </w:pPr>
      <w:r w:rsidRPr="009B57FB">
        <w:rPr>
          <w:color w:val="000000"/>
          <w:sz w:val="22"/>
          <w:szCs w:val="22"/>
        </w:rPr>
        <w:t>This chart reflects the public burden for OMB approval 2506-0133</w:t>
      </w:r>
      <w:r w:rsidR="00C27FF4">
        <w:rPr>
          <w:color w:val="000000"/>
          <w:sz w:val="22"/>
          <w:szCs w:val="22"/>
        </w:rPr>
        <w:t xml:space="preserve"> adjusted </w:t>
      </w:r>
      <w:r w:rsidR="00B0141A">
        <w:rPr>
          <w:color w:val="000000"/>
          <w:sz w:val="22"/>
          <w:szCs w:val="22"/>
        </w:rPr>
        <w:t>lower for the removal of pre-award information collection now covered through HUD generic information collection under OMB Control N</w:t>
      </w:r>
      <w:r w:rsidR="00317165">
        <w:rPr>
          <w:color w:val="000000"/>
          <w:sz w:val="22"/>
          <w:szCs w:val="22"/>
        </w:rPr>
        <w:t>o.</w:t>
      </w:r>
      <w:r w:rsidR="00B0141A">
        <w:rPr>
          <w:color w:val="000000"/>
          <w:sz w:val="22"/>
          <w:szCs w:val="22"/>
        </w:rPr>
        <w:t xml:space="preserve"> 2501-0044. </w:t>
      </w:r>
      <w:r w:rsidR="00077AA0">
        <w:rPr>
          <w:color w:val="000000"/>
          <w:sz w:val="22"/>
          <w:szCs w:val="22"/>
        </w:rPr>
        <w:t xml:space="preserve">The removal of forms HUD-40110-C and HUD-40110-D </w:t>
      </w:r>
      <w:r w:rsidR="00B0141A">
        <w:rPr>
          <w:color w:val="000000"/>
          <w:sz w:val="22"/>
          <w:szCs w:val="22"/>
        </w:rPr>
        <w:t xml:space="preserve">also </w:t>
      </w:r>
      <w:r w:rsidR="00523836">
        <w:rPr>
          <w:color w:val="000000"/>
          <w:sz w:val="22"/>
          <w:szCs w:val="22"/>
        </w:rPr>
        <w:t>lowered the</w:t>
      </w:r>
      <w:r w:rsidR="00077AA0">
        <w:rPr>
          <w:color w:val="000000"/>
          <w:sz w:val="22"/>
          <w:szCs w:val="22"/>
        </w:rPr>
        <w:t xml:space="preserve"> estimated burden hours</w:t>
      </w:r>
      <w:r w:rsidR="00C573AB">
        <w:rPr>
          <w:color w:val="000000"/>
          <w:sz w:val="22"/>
          <w:szCs w:val="22"/>
        </w:rPr>
        <w:t xml:space="preserve"> on the chart, but this reflects a de-duplication of reporting forms on the chart rather th</w:t>
      </w:r>
      <w:r w:rsidR="00C15A06">
        <w:rPr>
          <w:color w:val="000000"/>
          <w:sz w:val="22"/>
          <w:szCs w:val="22"/>
        </w:rPr>
        <w:t>a</w:t>
      </w:r>
      <w:r w:rsidR="00C573AB">
        <w:rPr>
          <w:color w:val="000000"/>
          <w:sz w:val="22"/>
          <w:szCs w:val="22"/>
        </w:rPr>
        <w:t>n a true reduction in burden hours</w:t>
      </w:r>
      <w:r w:rsidR="00077AA0">
        <w:rPr>
          <w:color w:val="000000"/>
          <w:sz w:val="22"/>
          <w:szCs w:val="22"/>
        </w:rPr>
        <w:t xml:space="preserve">. HOPWA grantees </w:t>
      </w:r>
      <w:r w:rsidR="00C27FF4">
        <w:rPr>
          <w:color w:val="000000"/>
          <w:sz w:val="22"/>
          <w:szCs w:val="22"/>
        </w:rPr>
        <w:t>are</w:t>
      </w:r>
      <w:r w:rsidR="00077AA0">
        <w:rPr>
          <w:color w:val="000000"/>
          <w:sz w:val="22"/>
          <w:szCs w:val="22"/>
        </w:rPr>
        <w:t xml:space="preserve"> only required to submit </w:t>
      </w:r>
      <w:r w:rsidR="00C27FF4">
        <w:rPr>
          <w:color w:val="000000"/>
          <w:sz w:val="22"/>
          <w:szCs w:val="22"/>
        </w:rPr>
        <w:t>form HUD-4155</w:t>
      </w:r>
      <w:r w:rsidR="008A494F">
        <w:rPr>
          <w:color w:val="000000"/>
          <w:sz w:val="22"/>
          <w:szCs w:val="22"/>
        </w:rPr>
        <w:t>,</w:t>
      </w:r>
      <w:r w:rsidR="00C27FF4">
        <w:rPr>
          <w:color w:val="000000"/>
          <w:sz w:val="22"/>
          <w:szCs w:val="22"/>
        </w:rPr>
        <w:t xml:space="preserve"> which replace</w:t>
      </w:r>
      <w:r w:rsidR="00B0141A">
        <w:rPr>
          <w:color w:val="000000"/>
          <w:sz w:val="22"/>
          <w:szCs w:val="22"/>
        </w:rPr>
        <w:t>d</w:t>
      </w:r>
      <w:r w:rsidR="00C27FF4">
        <w:rPr>
          <w:color w:val="000000"/>
          <w:sz w:val="22"/>
          <w:szCs w:val="22"/>
        </w:rPr>
        <w:t xml:space="preserve"> forms HUD-40110-C and HUD-40110-D</w:t>
      </w:r>
      <w:r w:rsidR="00B0141A">
        <w:rPr>
          <w:color w:val="000000"/>
          <w:sz w:val="22"/>
          <w:szCs w:val="22"/>
        </w:rPr>
        <w:t xml:space="preserve"> through a transitional phase</w:t>
      </w:r>
      <w:r w:rsidR="00C573AB">
        <w:rPr>
          <w:color w:val="000000"/>
          <w:sz w:val="22"/>
          <w:szCs w:val="22"/>
        </w:rPr>
        <w:t>.</w:t>
      </w:r>
      <w:r w:rsidR="00C73231">
        <w:rPr>
          <w:color w:val="000000"/>
          <w:sz w:val="22"/>
          <w:szCs w:val="22"/>
        </w:rPr>
        <w:t xml:space="preserve"> However, there were additional new competitive SPNS grants added</w:t>
      </w:r>
      <w:r w:rsidR="008A494F">
        <w:rPr>
          <w:color w:val="000000"/>
          <w:sz w:val="22"/>
          <w:szCs w:val="22"/>
        </w:rPr>
        <w:t>,</w:t>
      </w:r>
      <w:r w:rsidR="00C73231">
        <w:rPr>
          <w:color w:val="000000"/>
          <w:sz w:val="22"/>
          <w:szCs w:val="22"/>
        </w:rPr>
        <w:t xml:space="preserve"> which </w:t>
      </w:r>
      <w:r w:rsidR="00C573AB">
        <w:rPr>
          <w:color w:val="000000"/>
          <w:sz w:val="22"/>
          <w:szCs w:val="22"/>
        </w:rPr>
        <w:t xml:space="preserve">raised </w:t>
      </w:r>
      <w:r w:rsidR="00C73231">
        <w:rPr>
          <w:color w:val="000000"/>
          <w:sz w:val="22"/>
          <w:szCs w:val="22"/>
        </w:rPr>
        <w:t xml:space="preserve">the estimated burden hours </w:t>
      </w:r>
      <w:r w:rsidR="00C573AB">
        <w:rPr>
          <w:color w:val="000000"/>
          <w:sz w:val="22"/>
          <w:szCs w:val="22"/>
        </w:rPr>
        <w:t>to account for 14 more new competitive grantee respondents</w:t>
      </w:r>
      <w:r w:rsidR="00C73231">
        <w:rPr>
          <w:color w:val="000000"/>
          <w:sz w:val="22"/>
          <w:szCs w:val="22"/>
        </w:rPr>
        <w:t xml:space="preserve">. </w:t>
      </w:r>
    </w:p>
    <w:p w:rsidR="00CC6264" w14:paraId="69C1BDF1" w14:textId="48A0ADA7">
      <w:pPr>
        <w:keepLines/>
        <w:tabs>
          <w:tab w:val="left" w:pos="360"/>
          <w:tab w:val="left" w:pos="720"/>
        </w:tabs>
        <w:ind w:left="360" w:hanging="360"/>
        <w:rPr>
          <w:b/>
          <w:color w:val="000000"/>
          <w:sz w:val="22"/>
          <w:szCs w:val="22"/>
        </w:rPr>
      </w:pPr>
    </w:p>
    <w:p w:rsidR="00CC6264" w14:paraId="5732B71C" w14:textId="77777777">
      <w:pPr>
        <w:keepLines/>
        <w:tabs>
          <w:tab w:val="left" w:pos="360"/>
          <w:tab w:val="left" w:pos="720"/>
        </w:tabs>
        <w:ind w:left="360" w:hanging="360"/>
        <w:rPr>
          <w:b/>
          <w:color w:val="000000"/>
          <w:sz w:val="22"/>
          <w:szCs w:val="22"/>
        </w:rPr>
      </w:pPr>
    </w:p>
    <w:tbl>
      <w:tblPr>
        <w:tblW w:w="95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260"/>
        <w:gridCol w:w="1260"/>
        <w:gridCol w:w="1170"/>
        <w:gridCol w:w="1170"/>
        <w:gridCol w:w="990"/>
        <w:gridCol w:w="990"/>
        <w:gridCol w:w="1170"/>
      </w:tblGrid>
      <w:tr w14:paraId="3D57AE1C" w14:textId="77777777" w:rsidTr="00C07FA4">
        <w:tblPrEx>
          <w:tblW w:w="95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94"/>
        </w:trPr>
        <w:tc>
          <w:tcPr>
            <w:tcW w:w="1530" w:type="dxa"/>
            <w:shd w:val="clear" w:color="auto" w:fill="auto"/>
          </w:tcPr>
          <w:p w:rsidR="000D6D4F" w:rsidRPr="00C07FA4" w:rsidP="000C0CF2" w14:paraId="62A057AD" w14:textId="77777777">
            <w:pPr>
              <w:keepNext/>
              <w:jc w:val="center"/>
              <w:rPr>
                <w:b/>
                <w:bCs/>
                <w:color w:val="000000"/>
                <w:sz w:val="18"/>
                <w:szCs w:val="18"/>
              </w:rPr>
            </w:pPr>
            <w:bookmarkStart w:id="1" w:name="_Hlk71266454"/>
            <w:r w:rsidRPr="00C07FA4">
              <w:rPr>
                <w:b/>
                <w:bCs/>
                <w:color w:val="000000"/>
                <w:sz w:val="20"/>
                <w:szCs w:val="20"/>
              </w:rPr>
              <w:t>Information Collection</w:t>
            </w:r>
          </w:p>
        </w:tc>
        <w:tc>
          <w:tcPr>
            <w:tcW w:w="1260" w:type="dxa"/>
            <w:shd w:val="clear" w:color="auto" w:fill="auto"/>
          </w:tcPr>
          <w:p w:rsidR="000D6D4F" w:rsidRPr="00C07FA4" w:rsidP="00A774F6" w14:paraId="3C507FE2" w14:textId="77777777">
            <w:pPr>
              <w:jc w:val="center"/>
              <w:rPr>
                <w:b/>
                <w:bCs/>
                <w:color w:val="000000"/>
                <w:sz w:val="18"/>
                <w:szCs w:val="18"/>
              </w:rPr>
            </w:pPr>
            <w:r w:rsidRPr="00C07FA4">
              <w:rPr>
                <w:b/>
                <w:bCs/>
                <w:color w:val="000000"/>
                <w:sz w:val="20"/>
                <w:szCs w:val="20"/>
              </w:rPr>
              <w:t>Number of Respondents</w:t>
            </w:r>
          </w:p>
        </w:tc>
        <w:tc>
          <w:tcPr>
            <w:tcW w:w="1260" w:type="dxa"/>
            <w:shd w:val="clear" w:color="auto" w:fill="auto"/>
          </w:tcPr>
          <w:p w:rsidR="000D6D4F" w:rsidRPr="00C07FA4" w:rsidP="00A774F6" w14:paraId="7746DA7D" w14:textId="3F68BC1E">
            <w:pPr>
              <w:jc w:val="center"/>
              <w:rPr>
                <w:b/>
                <w:bCs/>
                <w:color w:val="000000"/>
                <w:sz w:val="18"/>
                <w:szCs w:val="18"/>
              </w:rPr>
            </w:pPr>
            <w:r w:rsidRPr="00C07FA4">
              <w:rPr>
                <w:b/>
                <w:bCs/>
                <w:color w:val="000000"/>
                <w:sz w:val="20"/>
                <w:szCs w:val="20"/>
              </w:rPr>
              <w:t>Frequency of Response</w:t>
            </w:r>
          </w:p>
        </w:tc>
        <w:tc>
          <w:tcPr>
            <w:tcW w:w="1170" w:type="dxa"/>
            <w:shd w:val="clear" w:color="auto" w:fill="auto"/>
          </w:tcPr>
          <w:p w:rsidR="000D6D4F" w:rsidRPr="00C07FA4" w:rsidP="00A774F6" w14:paraId="7438E1FF" w14:textId="77777777">
            <w:pPr>
              <w:autoSpaceDN w:val="0"/>
              <w:jc w:val="center"/>
              <w:rPr>
                <w:b/>
                <w:bCs/>
                <w:color w:val="000000"/>
                <w:sz w:val="20"/>
                <w:szCs w:val="20"/>
              </w:rPr>
            </w:pPr>
            <w:r w:rsidRPr="00C07FA4">
              <w:rPr>
                <w:b/>
                <w:bCs/>
                <w:color w:val="000000"/>
                <w:sz w:val="20"/>
                <w:szCs w:val="20"/>
              </w:rPr>
              <w:t>Responses</w:t>
            </w:r>
          </w:p>
          <w:p w:rsidR="000D6D4F" w:rsidRPr="00C07FA4" w:rsidP="00A774F6" w14:paraId="4542E5C1" w14:textId="77777777">
            <w:pPr>
              <w:jc w:val="center"/>
              <w:rPr>
                <w:b/>
                <w:bCs/>
                <w:color w:val="000000"/>
                <w:sz w:val="18"/>
                <w:szCs w:val="18"/>
              </w:rPr>
            </w:pPr>
            <w:r w:rsidRPr="00C07FA4">
              <w:rPr>
                <w:b/>
                <w:bCs/>
                <w:color w:val="000000"/>
                <w:sz w:val="20"/>
                <w:szCs w:val="20"/>
              </w:rPr>
              <w:t>Per Annum</w:t>
            </w:r>
          </w:p>
        </w:tc>
        <w:tc>
          <w:tcPr>
            <w:tcW w:w="1170" w:type="dxa"/>
            <w:shd w:val="clear" w:color="auto" w:fill="auto"/>
          </w:tcPr>
          <w:p w:rsidR="000D6D4F" w:rsidRPr="00C07FA4" w:rsidP="00A774F6" w14:paraId="3274E92B" w14:textId="77777777">
            <w:pPr>
              <w:jc w:val="center"/>
              <w:rPr>
                <w:b/>
                <w:bCs/>
                <w:color w:val="000000"/>
                <w:sz w:val="18"/>
                <w:szCs w:val="18"/>
              </w:rPr>
            </w:pPr>
            <w:r w:rsidRPr="00C07FA4">
              <w:rPr>
                <w:b/>
                <w:bCs/>
                <w:color w:val="000000"/>
                <w:sz w:val="20"/>
                <w:szCs w:val="20"/>
              </w:rPr>
              <w:t>Burden Hour Per Response</w:t>
            </w:r>
          </w:p>
        </w:tc>
        <w:tc>
          <w:tcPr>
            <w:tcW w:w="990" w:type="dxa"/>
            <w:shd w:val="clear" w:color="auto" w:fill="auto"/>
          </w:tcPr>
          <w:p w:rsidR="000D6D4F" w:rsidRPr="00C07FA4" w:rsidP="00A774F6" w14:paraId="4A21D81C" w14:textId="77777777">
            <w:pPr>
              <w:jc w:val="center"/>
              <w:rPr>
                <w:b/>
                <w:bCs/>
                <w:color w:val="000000"/>
                <w:sz w:val="18"/>
                <w:szCs w:val="18"/>
              </w:rPr>
            </w:pPr>
            <w:r w:rsidRPr="00C07FA4">
              <w:rPr>
                <w:b/>
                <w:bCs/>
                <w:color w:val="000000"/>
                <w:sz w:val="20"/>
                <w:szCs w:val="20"/>
              </w:rPr>
              <w:t>Annual Burden Hours</w:t>
            </w:r>
          </w:p>
        </w:tc>
        <w:tc>
          <w:tcPr>
            <w:tcW w:w="990" w:type="dxa"/>
          </w:tcPr>
          <w:p w:rsidR="000D6D4F" w:rsidRPr="00C07FA4" w:rsidP="00A774F6" w14:paraId="0F6C7A93" w14:textId="77777777">
            <w:pPr>
              <w:jc w:val="center"/>
              <w:rPr>
                <w:b/>
                <w:bCs/>
                <w:color w:val="000000"/>
                <w:sz w:val="18"/>
                <w:szCs w:val="18"/>
              </w:rPr>
            </w:pPr>
            <w:r w:rsidRPr="00C07FA4">
              <w:rPr>
                <w:b/>
                <w:bCs/>
                <w:color w:val="000000"/>
                <w:sz w:val="20"/>
                <w:szCs w:val="20"/>
              </w:rPr>
              <w:t>Hourly Cost Per Response</w:t>
            </w:r>
          </w:p>
        </w:tc>
        <w:tc>
          <w:tcPr>
            <w:tcW w:w="1170" w:type="dxa"/>
          </w:tcPr>
          <w:p w:rsidR="000D6D4F" w:rsidRPr="00C07FA4" w:rsidP="00A774F6" w14:paraId="4FA7090E" w14:textId="77777777">
            <w:pPr>
              <w:autoSpaceDN w:val="0"/>
              <w:jc w:val="center"/>
              <w:rPr>
                <w:b/>
                <w:bCs/>
                <w:color w:val="000000"/>
                <w:sz w:val="20"/>
                <w:szCs w:val="20"/>
              </w:rPr>
            </w:pPr>
            <w:r w:rsidRPr="00C07FA4">
              <w:rPr>
                <w:b/>
                <w:bCs/>
                <w:color w:val="000000"/>
                <w:sz w:val="20"/>
                <w:szCs w:val="20"/>
              </w:rPr>
              <w:t>Annual Cost</w:t>
            </w:r>
          </w:p>
          <w:p w:rsidR="000D6D4F" w:rsidRPr="00C07FA4" w:rsidP="00A774F6" w14:paraId="56134C01" w14:textId="77777777">
            <w:pPr>
              <w:jc w:val="center"/>
              <w:rPr>
                <w:b/>
                <w:bCs/>
                <w:color w:val="000000"/>
                <w:sz w:val="18"/>
                <w:szCs w:val="18"/>
              </w:rPr>
            </w:pPr>
          </w:p>
        </w:tc>
      </w:tr>
      <w:tr w14:paraId="38C69F9E" w14:textId="77777777" w:rsidTr="00C07FA4">
        <w:tblPrEx>
          <w:tblW w:w="9540" w:type="dxa"/>
          <w:tblInd w:w="-275" w:type="dxa"/>
          <w:tblLayout w:type="fixed"/>
          <w:tblLook w:val="04A0"/>
        </w:tblPrEx>
        <w:trPr>
          <w:trHeight w:val="1031"/>
        </w:trPr>
        <w:tc>
          <w:tcPr>
            <w:tcW w:w="1530" w:type="dxa"/>
            <w:shd w:val="clear" w:color="auto" w:fill="auto"/>
          </w:tcPr>
          <w:p w:rsidR="00E7531C" w:rsidRPr="009B73E6" w:rsidP="00E7531C" w14:paraId="3DBF54D5" w14:textId="79812BCC">
            <w:pPr>
              <w:rPr>
                <w:color w:val="000000"/>
                <w:sz w:val="18"/>
                <w:szCs w:val="18"/>
              </w:rPr>
            </w:pPr>
            <w:r>
              <w:rPr>
                <w:color w:val="000000"/>
                <w:sz w:val="18"/>
                <w:szCs w:val="18"/>
              </w:rPr>
              <w:t>Consolidated APR/CAPER data elements (HUD-4155)</w:t>
            </w:r>
          </w:p>
        </w:tc>
        <w:tc>
          <w:tcPr>
            <w:tcW w:w="1260" w:type="dxa"/>
            <w:shd w:val="clear" w:color="auto" w:fill="auto"/>
            <w:vAlign w:val="center"/>
          </w:tcPr>
          <w:p w:rsidR="00E7531C" w:rsidRPr="009B73E6" w:rsidP="00E7531C" w14:paraId="70264A90" w14:textId="3D080390">
            <w:pPr>
              <w:pStyle w:val="NoSpacing"/>
              <w:jc w:val="right"/>
              <w:rPr>
                <w:color w:val="000000"/>
                <w:sz w:val="18"/>
                <w:szCs w:val="18"/>
              </w:rPr>
            </w:pPr>
            <w:r>
              <w:rPr>
                <w:color w:val="000000"/>
                <w:sz w:val="18"/>
                <w:szCs w:val="18"/>
              </w:rPr>
              <w:t>258.00</w:t>
            </w:r>
          </w:p>
        </w:tc>
        <w:tc>
          <w:tcPr>
            <w:tcW w:w="1260" w:type="dxa"/>
            <w:shd w:val="clear" w:color="auto" w:fill="auto"/>
            <w:vAlign w:val="center"/>
          </w:tcPr>
          <w:p w:rsidR="00E7531C" w:rsidRPr="009B73E6" w:rsidP="00E7531C" w14:paraId="080778B1" w14:textId="36536E8D">
            <w:pPr>
              <w:pStyle w:val="NoSpacing"/>
              <w:jc w:val="right"/>
              <w:rPr>
                <w:color w:val="000000"/>
                <w:sz w:val="18"/>
                <w:szCs w:val="18"/>
              </w:rPr>
            </w:pPr>
            <w:r>
              <w:rPr>
                <w:color w:val="000000"/>
                <w:sz w:val="18"/>
                <w:szCs w:val="18"/>
              </w:rPr>
              <w:t>1.00</w:t>
            </w:r>
          </w:p>
        </w:tc>
        <w:tc>
          <w:tcPr>
            <w:tcW w:w="1170" w:type="dxa"/>
            <w:shd w:val="clear" w:color="auto" w:fill="auto"/>
            <w:vAlign w:val="center"/>
          </w:tcPr>
          <w:p w:rsidR="00E7531C" w:rsidRPr="009B73E6" w:rsidP="00E7531C" w14:paraId="21ADD3E0" w14:textId="62EED198">
            <w:pPr>
              <w:pStyle w:val="NoSpacing"/>
              <w:jc w:val="right"/>
              <w:rPr>
                <w:color w:val="000000"/>
                <w:sz w:val="18"/>
                <w:szCs w:val="18"/>
              </w:rPr>
            </w:pPr>
            <w:r>
              <w:rPr>
                <w:color w:val="000000"/>
                <w:sz w:val="18"/>
                <w:szCs w:val="18"/>
              </w:rPr>
              <w:t>258.00</w:t>
            </w:r>
          </w:p>
        </w:tc>
        <w:tc>
          <w:tcPr>
            <w:tcW w:w="1170" w:type="dxa"/>
            <w:shd w:val="clear" w:color="auto" w:fill="auto"/>
            <w:vAlign w:val="center"/>
          </w:tcPr>
          <w:p w:rsidR="00E7531C" w:rsidRPr="009B73E6" w:rsidP="00E7531C" w14:paraId="24A60D58" w14:textId="61F1D38F">
            <w:pPr>
              <w:pStyle w:val="NoSpacing"/>
              <w:jc w:val="right"/>
              <w:rPr>
                <w:color w:val="000000"/>
                <w:sz w:val="18"/>
                <w:szCs w:val="18"/>
              </w:rPr>
            </w:pPr>
            <w:r>
              <w:rPr>
                <w:color w:val="000000"/>
                <w:sz w:val="18"/>
                <w:szCs w:val="18"/>
              </w:rPr>
              <w:t>40.00</w:t>
            </w:r>
          </w:p>
        </w:tc>
        <w:tc>
          <w:tcPr>
            <w:tcW w:w="990" w:type="dxa"/>
            <w:shd w:val="clear" w:color="auto" w:fill="auto"/>
            <w:vAlign w:val="center"/>
          </w:tcPr>
          <w:p w:rsidR="00E7531C" w:rsidRPr="009B73E6" w:rsidP="00E7531C" w14:paraId="115AC210" w14:textId="1E2B9404">
            <w:pPr>
              <w:pStyle w:val="NoSpacing"/>
              <w:jc w:val="right"/>
              <w:rPr>
                <w:color w:val="000000"/>
                <w:sz w:val="18"/>
                <w:szCs w:val="18"/>
              </w:rPr>
            </w:pPr>
            <w:r>
              <w:rPr>
                <w:color w:val="000000"/>
                <w:sz w:val="18"/>
                <w:szCs w:val="18"/>
              </w:rPr>
              <w:t>10</w:t>
            </w:r>
            <w:r w:rsidR="00B45246">
              <w:rPr>
                <w:color w:val="000000"/>
                <w:sz w:val="18"/>
                <w:szCs w:val="18"/>
              </w:rPr>
              <w:t>,</w:t>
            </w:r>
            <w:r>
              <w:rPr>
                <w:color w:val="000000"/>
                <w:sz w:val="18"/>
                <w:szCs w:val="18"/>
              </w:rPr>
              <w:t>320.00</w:t>
            </w:r>
          </w:p>
        </w:tc>
        <w:tc>
          <w:tcPr>
            <w:tcW w:w="990" w:type="dxa"/>
            <w:vAlign w:val="center"/>
          </w:tcPr>
          <w:p w:rsidR="00E7531C" w:rsidRPr="009B73E6" w:rsidP="00E7531C" w14:paraId="61D3922A" w14:textId="764A0FA6">
            <w:pPr>
              <w:pStyle w:val="NoSpacing"/>
              <w:jc w:val="right"/>
              <w:rPr>
                <w:color w:val="000000"/>
                <w:sz w:val="18"/>
                <w:szCs w:val="18"/>
              </w:rPr>
            </w:pPr>
            <w:r>
              <w:rPr>
                <w:color w:val="000000"/>
                <w:sz w:val="18"/>
                <w:szCs w:val="18"/>
              </w:rPr>
              <w:t xml:space="preserve">$28.73 </w:t>
            </w:r>
          </w:p>
        </w:tc>
        <w:tc>
          <w:tcPr>
            <w:tcW w:w="1170" w:type="dxa"/>
            <w:vAlign w:val="center"/>
          </w:tcPr>
          <w:p w:rsidR="00E7531C" w:rsidRPr="009B73E6" w:rsidP="00E7531C" w14:paraId="0C9B317F" w14:textId="0F6A7477">
            <w:pPr>
              <w:pStyle w:val="NoSpacing"/>
              <w:jc w:val="right"/>
              <w:rPr>
                <w:color w:val="000000"/>
                <w:sz w:val="18"/>
                <w:szCs w:val="18"/>
              </w:rPr>
            </w:pPr>
            <w:r>
              <w:rPr>
                <w:color w:val="000000"/>
                <w:sz w:val="18"/>
                <w:szCs w:val="18"/>
              </w:rPr>
              <w:t xml:space="preserve">$296,493.60 </w:t>
            </w:r>
          </w:p>
        </w:tc>
      </w:tr>
      <w:tr w14:paraId="0B342339" w14:textId="77777777" w:rsidTr="00C07FA4">
        <w:tblPrEx>
          <w:tblW w:w="9540" w:type="dxa"/>
          <w:tblInd w:w="-275" w:type="dxa"/>
          <w:tblLayout w:type="fixed"/>
          <w:tblLook w:val="04A0"/>
        </w:tblPrEx>
        <w:trPr>
          <w:trHeight w:val="1040"/>
        </w:trPr>
        <w:tc>
          <w:tcPr>
            <w:tcW w:w="1530" w:type="dxa"/>
            <w:shd w:val="clear" w:color="auto" w:fill="auto"/>
          </w:tcPr>
          <w:p w:rsidR="00E7531C" w:rsidRPr="009B73E6" w:rsidP="00E7531C" w14:paraId="0FC4B116" w14:textId="2AD6E6B0">
            <w:pPr>
              <w:rPr>
                <w:color w:val="000000"/>
                <w:sz w:val="18"/>
                <w:szCs w:val="18"/>
              </w:rPr>
            </w:pPr>
            <w:r>
              <w:rPr>
                <w:color w:val="000000"/>
                <w:sz w:val="18"/>
                <w:szCs w:val="18"/>
              </w:rPr>
              <w:t xml:space="preserve">HUD-4154, </w:t>
            </w:r>
            <w:r w:rsidRPr="009B73E6">
              <w:rPr>
                <w:color w:val="000000"/>
                <w:sz w:val="18"/>
                <w:szCs w:val="18"/>
              </w:rPr>
              <w:t>HIV Housing Care Continuum Model Report (new competitive SPNS grant only)</w:t>
            </w:r>
          </w:p>
        </w:tc>
        <w:tc>
          <w:tcPr>
            <w:tcW w:w="1260" w:type="dxa"/>
            <w:shd w:val="clear" w:color="auto" w:fill="auto"/>
            <w:vAlign w:val="center"/>
          </w:tcPr>
          <w:p w:rsidR="00E7531C" w:rsidRPr="009B73E6" w:rsidP="00E7531C" w14:paraId="07CA4C3F" w14:textId="7DF7FFC4">
            <w:pPr>
              <w:pStyle w:val="NoSpacing"/>
              <w:jc w:val="right"/>
              <w:rPr>
                <w:sz w:val="18"/>
                <w:szCs w:val="18"/>
              </w:rPr>
            </w:pPr>
            <w:r>
              <w:rPr>
                <w:color w:val="000000"/>
                <w:sz w:val="18"/>
                <w:szCs w:val="18"/>
              </w:rPr>
              <w:t>40.00</w:t>
            </w:r>
          </w:p>
        </w:tc>
        <w:tc>
          <w:tcPr>
            <w:tcW w:w="1260" w:type="dxa"/>
            <w:shd w:val="clear" w:color="auto" w:fill="auto"/>
            <w:vAlign w:val="center"/>
          </w:tcPr>
          <w:p w:rsidR="00E7531C" w:rsidRPr="009B73E6" w:rsidP="00E7531C" w14:paraId="76DBC9A7" w14:textId="7EFAF2BA">
            <w:pPr>
              <w:pStyle w:val="NoSpacing"/>
              <w:jc w:val="right"/>
              <w:rPr>
                <w:sz w:val="18"/>
                <w:szCs w:val="18"/>
              </w:rPr>
            </w:pPr>
            <w:r>
              <w:rPr>
                <w:color w:val="000000"/>
                <w:sz w:val="18"/>
                <w:szCs w:val="18"/>
              </w:rPr>
              <w:t>1.00</w:t>
            </w:r>
          </w:p>
        </w:tc>
        <w:tc>
          <w:tcPr>
            <w:tcW w:w="1170" w:type="dxa"/>
            <w:shd w:val="clear" w:color="auto" w:fill="auto"/>
            <w:vAlign w:val="center"/>
          </w:tcPr>
          <w:p w:rsidR="00E7531C" w:rsidRPr="009B73E6" w:rsidP="00E7531C" w14:paraId="68D3F16B" w14:textId="632D98E0">
            <w:pPr>
              <w:pStyle w:val="NoSpacing"/>
              <w:jc w:val="right"/>
              <w:rPr>
                <w:sz w:val="18"/>
                <w:szCs w:val="18"/>
              </w:rPr>
            </w:pPr>
            <w:r>
              <w:rPr>
                <w:color w:val="000000"/>
                <w:sz w:val="18"/>
                <w:szCs w:val="18"/>
              </w:rPr>
              <w:t>40.00</w:t>
            </w:r>
          </w:p>
        </w:tc>
        <w:tc>
          <w:tcPr>
            <w:tcW w:w="1170" w:type="dxa"/>
            <w:shd w:val="clear" w:color="auto" w:fill="auto"/>
            <w:vAlign w:val="center"/>
          </w:tcPr>
          <w:p w:rsidR="00E7531C" w:rsidRPr="009B73E6" w:rsidP="00E7531C" w14:paraId="25E1897D" w14:textId="22CBAF9B">
            <w:pPr>
              <w:pStyle w:val="NoSpacing"/>
              <w:jc w:val="right"/>
              <w:rPr>
                <w:sz w:val="18"/>
                <w:szCs w:val="18"/>
              </w:rPr>
            </w:pPr>
            <w:r>
              <w:rPr>
                <w:color w:val="000000"/>
                <w:sz w:val="18"/>
                <w:szCs w:val="18"/>
              </w:rPr>
              <w:t>20.00</w:t>
            </w:r>
          </w:p>
        </w:tc>
        <w:tc>
          <w:tcPr>
            <w:tcW w:w="990" w:type="dxa"/>
            <w:shd w:val="clear" w:color="auto" w:fill="auto"/>
            <w:vAlign w:val="center"/>
          </w:tcPr>
          <w:p w:rsidR="00E7531C" w:rsidRPr="009B73E6" w:rsidP="00E7531C" w14:paraId="58643E4D" w14:textId="328F3BB2">
            <w:pPr>
              <w:pStyle w:val="NoSpacing"/>
              <w:jc w:val="right"/>
              <w:rPr>
                <w:sz w:val="18"/>
                <w:szCs w:val="18"/>
              </w:rPr>
            </w:pPr>
            <w:r>
              <w:rPr>
                <w:color w:val="000000"/>
                <w:sz w:val="18"/>
                <w:szCs w:val="18"/>
              </w:rPr>
              <w:t>800.00</w:t>
            </w:r>
          </w:p>
        </w:tc>
        <w:tc>
          <w:tcPr>
            <w:tcW w:w="990" w:type="dxa"/>
            <w:vAlign w:val="center"/>
          </w:tcPr>
          <w:p w:rsidR="00E7531C" w:rsidRPr="009B73E6" w:rsidP="00E7531C" w14:paraId="18B6EB2A" w14:textId="43BF68B7">
            <w:pPr>
              <w:pStyle w:val="NoSpacing"/>
              <w:jc w:val="right"/>
              <w:rPr>
                <w:sz w:val="18"/>
                <w:szCs w:val="18"/>
              </w:rPr>
            </w:pPr>
            <w:r>
              <w:rPr>
                <w:color w:val="000000"/>
                <w:sz w:val="18"/>
                <w:szCs w:val="18"/>
              </w:rPr>
              <w:t xml:space="preserve">$28.73 </w:t>
            </w:r>
          </w:p>
        </w:tc>
        <w:tc>
          <w:tcPr>
            <w:tcW w:w="1170" w:type="dxa"/>
            <w:vAlign w:val="center"/>
          </w:tcPr>
          <w:p w:rsidR="00E7531C" w:rsidRPr="009B73E6" w:rsidP="00E7531C" w14:paraId="3C685FE8" w14:textId="4AA26C7D">
            <w:pPr>
              <w:pStyle w:val="NoSpacing"/>
              <w:jc w:val="right"/>
              <w:rPr>
                <w:sz w:val="18"/>
                <w:szCs w:val="18"/>
              </w:rPr>
            </w:pPr>
            <w:r>
              <w:rPr>
                <w:color w:val="000000"/>
                <w:sz w:val="18"/>
                <w:szCs w:val="18"/>
              </w:rPr>
              <w:t xml:space="preserve">$22,984.00 </w:t>
            </w:r>
          </w:p>
        </w:tc>
      </w:tr>
      <w:tr w14:paraId="30DC4620" w14:textId="77777777" w:rsidTr="00C07FA4">
        <w:tblPrEx>
          <w:tblW w:w="9540" w:type="dxa"/>
          <w:tblInd w:w="-275" w:type="dxa"/>
          <w:tblLayout w:type="fixed"/>
          <w:tblLook w:val="04A0"/>
        </w:tblPrEx>
        <w:trPr>
          <w:trHeight w:val="1240"/>
        </w:trPr>
        <w:tc>
          <w:tcPr>
            <w:tcW w:w="1530" w:type="dxa"/>
            <w:shd w:val="clear" w:color="auto" w:fill="auto"/>
          </w:tcPr>
          <w:p w:rsidR="00E7531C" w:rsidRPr="009B73E6" w:rsidP="00E7531C" w14:paraId="6A37F04F" w14:textId="53229CF2">
            <w:pPr>
              <w:rPr>
                <w:color w:val="000000"/>
                <w:sz w:val="18"/>
                <w:szCs w:val="18"/>
              </w:rPr>
            </w:pPr>
            <w:r>
              <w:rPr>
                <w:color w:val="000000"/>
                <w:sz w:val="18"/>
                <w:szCs w:val="18"/>
              </w:rPr>
              <w:t>HUD-4153, SPNS Grant</w:t>
            </w:r>
            <w:r w:rsidRPr="009B73E6">
              <w:rPr>
                <w:color w:val="000000"/>
                <w:sz w:val="18"/>
                <w:szCs w:val="18"/>
              </w:rPr>
              <w:t xml:space="preserve"> Model Report (new competitive SPNS grant only)</w:t>
            </w:r>
          </w:p>
        </w:tc>
        <w:tc>
          <w:tcPr>
            <w:tcW w:w="1260" w:type="dxa"/>
            <w:shd w:val="clear" w:color="auto" w:fill="auto"/>
            <w:vAlign w:val="center"/>
          </w:tcPr>
          <w:p w:rsidR="00E7531C" w:rsidRPr="009B73E6" w:rsidP="00E7531C" w14:paraId="7F0B0626" w14:textId="31A9B8C9">
            <w:pPr>
              <w:pStyle w:val="NoSpacing"/>
              <w:jc w:val="right"/>
              <w:rPr>
                <w:sz w:val="18"/>
                <w:szCs w:val="18"/>
              </w:rPr>
            </w:pPr>
            <w:r>
              <w:rPr>
                <w:color w:val="000000"/>
                <w:sz w:val="18"/>
                <w:szCs w:val="18"/>
              </w:rPr>
              <w:t>40.00</w:t>
            </w:r>
          </w:p>
        </w:tc>
        <w:tc>
          <w:tcPr>
            <w:tcW w:w="1260" w:type="dxa"/>
            <w:shd w:val="clear" w:color="auto" w:fill="auto"/>
            <w:vAlign w:val="center"/>
          </w:tcPr>
          <w:p w:rsidR="00E7531C" w:rsidRPr="009B73E6" w:rsidP="00E7531C" w14:paraId="64F7DEE2" w14:textId="5A8EFB7C">
            <w:pPr>
              <w:pStyle w:val="NoSpacing"/>
              <w:jc w:val="right"/>
              <w:rPr>
                <w:sz w:val="18"/>
                <w:szCs w:val="18"/>
              </w:rPr>
            </w:pPr>
            <w:r>
              <w:rPr>
                <w:color w:val="000000"/>
                <w:sz w:val="18"/>
                <w:szCs w:val="18"/>
              </w:rPr>
              <w:t>1.00</w:t>
            </w:r>
          </w:p>
        </w:tc>
        <w:tc>
          <w:tcPr>
            <w:tcW w:w="1170" w:type="dxa"/>
            <w:shd w:val="clear" w:color="auto" w:fill="auto"/>
            <w:vAlign w:val="center"/>
          </w:tcPr>
          <w:p w:rsidR="00E7531C" w:rsidRPr="009B73E6" w:rsidP="00E7531C" w14:paraId="142E6057" w14:textId="16A37E1D">
            <w:pPr>
              <w:pStyle w:val="NoSpacing"/>
              <w:jc w:val="right"/>
              <w:rPr>
                <w:sz w:val="18"/>
                <w:szCs w:val="18"/>
              </w:rPr>
            </w:pPr>
            <w:r>
              <w:rPr>
                <w:color w:val="000000"/>
                <w:sz w:val="18"/>
                <w:szCs w:val="18"/>
              </w:rPr>
              <w:t>40.00</w:t>
            </w:r>
          </w:p>
        </w:tc>
        <w:tc>
          <w:tcPr>
            <w:tcW w:w="1170" w:type="dxa"/>
            <w:shd w:val="clear" w:color="auto" w:fill="auto"/>
            <w:vAlign w:val="center"/>
          </w:tcPr>
          <w:p w:rsidR="00E7531C" w:rsidRPr="009B73E6" w:rsidP="00E7531C" w14:paraId="5232B415" w14:textId="25BA2604">
            <w:pPr>
              <w:pStyle w:val="NoSpacing"/>
              <w:jc w:val="right"/>
              <w:rPr>
                <w:sz w:val="18"/>
                <w:szCs w:val="18"/>
              </w:rPr>
            </w:pPr>
            <w:r>
              <w:rPr>
                <w:color w:val="000000"/>
                <w:sz w:val="18"/>
                <w:szCs w:val="18"/>
              </w:rPr>
              <w:t>40.00</w:t>
            </w:r>
          </w:p>
        </w:tc>
        <w:tc>
          <w:tcPr>
            <w:tcW w:w="990" w:type="dxa"/>
            <w:shd w:val="clear" w:color="auto" w:fill="auto"/>
            <w:vAlign w:val="center"/>
          </w:tcPr>
          <w:p w:rsidR="00E7531C" w:rsidRPr="009B73E6" w:rsidP="00E7531C" w14:paraId="7E337898" w14:textId="4E84B9B1">
            <w:pPr>
              <w:pStyle w:val="NoSpacing"/>
              <w:jc w:val="right"/>
              <w:rPr>
                <w:sz w:val="18"/>
                <w:szCs w:val="18"/>
              </w:rPr>
            </w:pPr>
            <w:r>
              <w:rPr>
                <w:color w:val="000000"/>
                <w:sz w:val="18"/>
                <w:szCs w:val="18"/>
              </w:rPr>
              <w:t>1</w:t>
            </w:r>
            <w:r w:rsidR="00B45246">
              <w:rPr>
                <w:color w:val="000000"/>
                <w:sz w:val="18"/>
                <w:szCs w:val="18"/>
              </w:rPr>
              <w:t>,</w:t>
            </w:r>
            <w:r>
              <w:rPr>
                <w:color w:val="000000"/>
                <w:sz w:val="18"/>
                <w:szCs w:val="18"/>
              </w:rPr>
              <w:t>600.00</w:t>
            </w:r>
          </w:p>
        </w:tc>
        <w:tc>
          <w:tcPr>
            <w:tcW w:w="990" w:type="dxa"/>
            <w:vAlign w:val="center"/>
          </w:tcPr>
          <w:p w:rsidR="00E7531C" w:rsidRPr="009B73E6" w:rsidP="00E7531C" w14:paraId="17A65FCC" w14:textId="2B9CD0F6">
            <w:pPr>
              <w:pStyle w:val="NoSpacing"/>
              <w:jc w:val="right"/>
              <w:rPr>
                <w:sz w:val="18"/>
                <w:szCs w:val="18"/>
              </w:rPr>
            </w:pPr>
            <w:r>
              <w:rPr>
                <w:color w:val="000000"/>
                <w:sz w:val="18"/>
                <w:szCs w:val="18"/>
              </w:rPr>
              <w:t xml:space="preserve">$28.73 </w:t>
            </w:r>
          </w:p>
        </w:tc>
        <w:tc>
          <w:tcPr>
            <w:tcW w:w="1170" w:type="dxa"/>
            <w:vAlign w:val="center"/>
          </w:tcPr>
          <w:p w:rsidR="00E7531C" w:rsidRPr="009B73E6" w:rsidP="00E7531C" w14:paraId="64B5E342" w14:textId="716AA25B">
            <w:pPr>
              <w:pStyle w:val="NoSpacing"/>
              <w:jc w:val="right"/>
              <w:rPr>
                <w:sz w:val="18"/>
                <w:szCs w:val="18"/>
              </w:rPr>
            </w:pPr>
            <w:r>
              <w:rPr>
                <w:color w:val="000000"/>
                <w:sz w:val="18"/>
                <w:szCs w:val="18"/>
              </w:rPr>
              <w:t xml:space="preserve">$45,968.00 </w:t>
            </w:r>
          </w:p>
        </w:tc>
      </w:tr>
      <w:tr w14:paraId="0F10B8B3" w14:textId="77777777" w:rsidTr="00C07FA4">
        <w:tblPrEx>
          <w:tblW w:w="9540" w:type="dxa"/>
          <w:tblInd w:w="-275" w:type="dxa"/>
          <w:tblLayout w:type="fixed"/>
          <w:tblLook w:val="04A0"/>
        </w:tblPrEx>
        <w:trPr>
          <w:trHeight w:val="620"/>
        </w:trPr>
        <w:tc>
          <w:tcPr>
            <w:tcW w:w="1530" w:type="dxa"/>
            <w:shd w:val="clear" w:color="auto" w:fill="auto"/>
          </w:tcPr>
          <w:p w:rsidR="00E7531C" w:rsidRPr="009B73E6" w:rsidP="00E7531C" w14:paraId="0D7B09BA" w14:textId="4D007C67">
            <w:pPr>
              <w:rPr>
                <w:color w:val="000000"/>
                <w:sz w:val="18"/>
                <w:szCs w:val="18"/>
              </w:rPr>
            </w:pPr>
            <w:r w:rsidRPr="009B73E6">
              <w:rPr>
                <w:color w:val="000000"/>
                <w:sz w:val="18"/>
                <w:szCs w:val="18"/>
              </w:rPr>
              <w:t xml:space="preserve">Recordkeeping for Competitive, </w:t>
            </w:r>
            <w:r>
              <w:rPr>
                <w:color w:val="000000"/>
                <w:sz w:val="18"/>
                <w:szCs w:val="18"/>
              </w:rPr>
              <w:t>PSH</w:t>
            </w:r>
            <w:r w:rsidRPr="009B73E6">
              <w:rPr>
                <w:color w:val="000000"/>
                <w:sz w:val="18"/>
                <w:szCs w:val="18"/>
              </w:rPr>
              <w:t>, and Formula Grantees</w:t>
            </w:r>
          </w:p>
        </w:tc>
        <w:tc>
          <w:tcPr>
            <w:tcW w:w="1260" w:type="dxa"/>
            <w:shd w:val="clear" w:color="auto" w:fill="auto"/>
            <w:vAlign w:val="center"/>
          </w:tcPr>
          <w:p w:rsidR="00E7531C" w:rsidRPr="009B73E6" w:rsidP="00E7531C" w14:paraId="4430DEB7" w14:textId="23DA2CFD">
            <w:pPr>
              <w:pStyle w:val="NoSpacing"/>
              <w:jc w:val="right"/>
              <w:rPr>
                <w:sz w:val="18"/>
                <w:szCs w:val="18"/>
              </w:rPr>
            </w:pPr>
            <w:r>
              <w:rPr>
                <w:color w:val="000000"/>
                <w:sz w:val="18"/>
                <w:szCs w:val="18"/>
              </w:rPr>
              <w:t>258.00</w:t>
            </w:r>
          </w:p>
        </w:tc>
        <w:tc>
          <w:tcPr>
            <w:tcW w:w="1260" w:type="dxa"/>
            <w:shd w:val="clear" w:color="auto" w:fill="auto"/>
            <w:vAlign w:val="center"/>
          </w:tcPr>
          <w:p w:rsidR="00E7531C" w:rsidRPr="009B73E6" w:rsidP="00E7531C" w14:paraId="21DCEA86" w14:textId="70E54023">
            <w:pPr>
              <w:pStyle w:val="NoSpacing"/>
              <w:jc w:val="right"/>
              <w:rPr>
                <w:sz w:val="18"/>
                <w:szCs w:val="18"/>
              </w:rPr>
            </w:pPr>
            <w:r>
              <w:rPr>
                <w:color w:val="000000"/>
                <w:sz w:val="18"/>
                <w:szCs w:val="18"/>
              </w:rPr>
              <w:t>1.00</w:t>
            </w:r>
          </w:p>
        </w:tc>
        <w:tc>
          <w:tcPr>
            <w:tcW w:w="1170" w:type="dxa"/>
            <w:shd w:val="clear" w:color="auto" w:fill="auto"/>
            <w:vAlign w:val="center"/>
          </w:tcPr>
          <w:p w:rsidR="00E7531C" w:rsidRPr="009B73E6" w:rsidP="00E7531C" w14:paraId="331DDA91" w14:textId="6B9A9397">
            <w:pPr>
              <w:pStyle w:val="NoSpacing"/>
              <w:jc w:val="right"/>
              <w:rPr>
                <w:sz w:val="18"/>
                <w:szCs w:val="18"/>
              </w:rPr>
            </w:pPr>
            <w:r>
              <w:rPr>
                <w:color w:val="000000"/>
                <w:sz w:val="18"/>
                <w:szCs w:val="18"/>
              </w:rPr>
              <w:t>258.00</w:t>
            </w:r>
          </w:p>
        </w:tc>
        <w:tc>
          <w:tcPr>
            <w:tcW w:w="1170" w:type="dxa"/>
            <w:shd w:val="clear" w:color="auto" w:fill="auto"/>
            <w:vAlign w:val="center"/>
          </w:tcPr>
          <w:p w:rsidR="00E7531C" w:rsidRPr="009B73E6" w:rsidP="00E7531C" w14:paraId="1B56B5E2" w14:textId="5F79FBE8">
            <w:pPr>
              <w:pStyle w:val="NoSpacing"/>
              <w:jc w:val="right"/>
              <w:rPr>
                <w:sz w:val="18"/>
                <w:szCs w:val="18"/>
              </w:rPr>
            </w:pPr>
            <w:r>
              <w:rPr>
                <w:color w:val="000000"/>
                <w:sz w:val="18"/>
                <w:szCs w:val="18"/>
              </w:rPr>
              <w:t>60.00</w:t>
            </w:r>
          </w:p>
        </w:tc>
        <w:tc>
          <w:tcPr>
            <w:tcW w:w="990" w:type="dxa"/>
            <w:shd w:val="clear" w:color="auto" w:fill="auto"/>
            <w:vAlign w:val="center"/>
          </w:tcPr>
          <w:p w:rsidR="00E7531C" w:rsidRPr="009B73E6" w:rsidP="00E7531C" w14:paraId="688C6455" w14:textId="17B0D70A">
            <w:pPr>
              <w:pStyle w:val="NoSpacing"/>
              <w:jc w:val="right"/>
              <w:rPr>
                <w:sz w:val="18"/>
                <w:szCs w:val="18"/>
              </w:rPr>
            </w:pPr>
            <w:r>
              <w:rPr>
                <w:color w:val="000000"/>
                <w:sz w:val="18"/>
                <w:szCs w:val="18"/>
              </w:rPr>
              <w:t>15</w:t>
            </w:r>
            <w:r w:rsidR="00B45246">
              <w:rPr>
                <w:color w:val="000000"/>
                <w:sz w:val="18"/>
                <w:szCs w:val="18"/>
              </w:rPr>
              <w:t>,</w:t>
            </w:r>
            <w:r>
              <w:rPr>
                <w:color w:val="000000"/>
                <w:sz w:val="18"/>
                <w:szCs w:val="18"/>
              </w:rPr>
              <w:t>480.00</w:t>
            </w:r>
          </w:p>
        </w:tc>
        <w:tc>
          <w:tcPr>
            <w:tcW w:w="990" w:type="dxa"/>
            <w:vAlign w:val="center"/>
          </w:tcPr>
          <w:p w:rsidR="00E7531C" w:rsidRPr="009B73E6" w:rsidP="00E7531C" w14:paraId="6CF20AC9" w14:textId="5B38DA34">
            <w:pPr>
              <w:pStyle w:val="NoSpacing"/>
              <w:jc w:val="right"/>
              <w:rPr>
                <w:sz w:val="18"/>
                <w:szCs w:val="18"/>
              </w:rPr>
            </w:pPr>
            <w:r>
              <w:rPr>
                <w:color w:val="000000"/>
                <w:sz w:val="18"/>
                <w:szCs w:val="18"/>
              </w:rPr>
              <w:t xml:space="preserve">$28.73 </w:t>
            </w:r>
          </w:p>
        </w:tc>
        <w:tc>
          <w:tcPr>
            <w:tcW w:w="1170" w:type="dxa"/>
            <w:vAlign w:val="center"/>
          </w:tcPr>
          <w:p w:rsidR="00E7531C" w:rsidRPr="009B73E6" w:rsidP="00E7531C" w14:paraId="1C94AF2B" w14:textId="23223499">
            <w:pPr>
              <w:pStyle w:val="NoSpacing"/>
              <w:jc w:val="right"/>
              <w:rPr>
                <w:sz w:val="18"/>
                <w:szCs w:val="18"/>
              </w:rPr>
            </w:pPr>
            <w:r>
              <w:rPr>
                <w:color w:val="000000"/>
                <w:sz w:val="18"/>
                <w:szCs w:val="18"/>
              </w:rPr>
              <w:t xml:space="preserve">$444,740.40 </w:t>
            </w:r>
          </w:p>
        </w:tc>
      </w:tr>
      <w:tr w14:paraId="224874B0" w14:textId="77777777" w:rsidTr="00C07FA4">
        <w:tblPrEx>
          <w:tblW w:w="9540" w:type="dxa"/>
          <w:tblInd w:w="-275" w:type="dxa"/>
          <w:tblLayout w:type="fixed"/>
          <w:tblLook w:val="04A0"/>
        </w:tblPrEx>
        <w:trPr>
          <w:trHeight w:val="830"/>
        </w:trPr>
        <w:tc>
          <w:tcPr>
            <w:tcW w:w="1530" w:type="dxa"/>
            <w:shd w:val="clear" w:color="auto" w:fill="auto"/>
          </w:tcPr>
          <w:p w:rsidR="00E7531C" w:rsidRPr="009B73E6" w:rsidP="00E7531C" w14:paraId="0F8A67B9" w14:textId="77777777">
            <w:pPr>
              <w:rPr>
                <w:color w:val="000000"/>
                <w:sz w:val="18"/>
                <w:szCs w:val="18"/>
              </w:rPr>
            </w:pPr>
            <w:r w:rsidRPr="009B73E6">
              <w:rPr>
                <w:color w:val="000000"/>
                <w:sz w:val="18"/>
                <w:szCs w:val="18"/>
              </w:rPr>
              <w:t>Grant Amendments (budget change, extension, or early termination)</w:t>
            </w:r>
          </w:p>
        </w:tc>
        <w:tc>
          <w:tcPr>
            <w:tcW w:w="1260" w:type="dxa"/>
            <w:shd w:val="clear" w:color="auto" w:fill="auto"/>
            <w:vAlign w:val="center"/>
          </w:tcPr>
          <w:p w:rsidR="00E7531C" w:rsidRPr="009B73E6" w:rsidP="00E7531C" w14:paraId="4BB9DCA1" w14:textId="60924179">
            <w:pPr>
              <w:pStyle w:val="NoSpacing"/>
              <w:jc w:val="right"/>
              <w:rPr>
                <w:sz w:val="18"/>
                <w:szCs w:val="18"/>
              </w:rPr>
            </w:pPr>
            <w:r>
              <w:rPr>
                <w:color w:val="000000"/>
                <w:sz w:val="18"/>
                <w:szCs w:val="18"/>
              </w:rPr>
              <w:t>30.00</w:t>
            </w:r>
          </w:p>
        </w:tc>
        <w:tc>
          <w:tcPr>
            <w:tcW w:w="1260" w:type="dxa"/>
            <w:shd w:val="clear" w:color="auto" w:fill="auto"/>
            <w:vAlign w:val="center"/>
          </w:tcPr>
          <w:p w:rsidR="00E7531C" w:rsidRPr="009B73E6" w:rsidP="00E7531C" w14:paraId="3451DDB6" w14:textId="2AB89849">
            <w:pPr>
              <w:pStyle w:val="NoSpacing"/>
              <w:jc w:val="right"/>
              <w:rPr>
                <w:sz w:val="18"/>
                <w:szCs w:val="18"/>
              </w:rPr>
            </w:pPr>
            <w:r>
              <w:rPr>
                <w:color w:val="000000"/>
                <w:sz w:val="18"/>
                <w:szCs w:val="18"/>
              </w:rPr>
              <w:t>1.00</w:t>
            </w:r>
          </w:p>
        </w:tc>
        <w:tc>
          <w:tcPr>
            <w:tcW w:w="1170" w:type="dxa"/>
            <w:shd w:val="clear" w:color="auto" w:fill="auto"/>
            <w:vAlign w:val="center"/>
          </w:tcPr>
          <w:p w:rsidR="00E7531C" w:rsidRPr="009B73E6" w:rsidP="00E7531C" w14:paraId="43B3650F" w14:textId="70278AD7">
            <w:pPr>
              <w:pStyle w:val="NoSpacing"/>
              <w:jc w:val="right"/>
              <w:rPr>
                <w:sz w:val="18"/>
                <w:szCs w:val="18"/>
              </w:rPr>
            </w:pPr>
            <w:r>
              <w:rPr>
                <w:color w:val="000000"/>
                <w:sz w:val="18"/>
                <w:szCs w:val="18"/>
              </w:rPr>
              <w:t>30.00</w:t>
            </w:r>
          </w:p>
        </w:tc>
        <w:tc>
          <w:tcPr>
            <w:tcW w:w="1170" w:type="dxa"/>
            <w:shd w:val="clear" w:color="auto" w:fill="auto"/>
            <w:vAlign w:val="center"/>
          </w:tcPr>
          <w:p w:rsidR="00E7531C" w:rsidRPr="009B73E6" w:rsidP="00E7531C" w14:paraId="5438D766" w14:textId="0A4EB4FC">
            <w:pPr>
              <w:pStyle w:val="NoSpacing"/>
              <w:jc w:val="right"/>
              <w:rPr>
                <w:sz w:val="18"/>
                <w:szCs w:val="18"/>
              </w:rPr>
            </w:pPr>
            <w:r>
              <w:rPr>
                <w:color w:val="000000"/>
                <w:sz w:val="18"/>
                <w:szCs w:val="18"/>
              </w:rPr>
              <w:t>6.00</w:t>
            </w:r>
          </w:p>
        </w:tc>
        <w:tc>
          <w:tcPr>
            <w:tcW w:w="990" w:type="dxa"/>
            <w:shd w:val="clear" w:color="auto" w:fill="auto"/>
            <w:vAlign w:val="center"/>
          </w:tcPr>
          <w:p w:rsidR="00E7531C" w:rsidRPr="009B73E6" w:rsidP="00E7531C" w14:paraId="23AC53ED" w14:textId="7AC2EE0C">
            <w:pPr>
              <w:pStyle w:val="NoSpacing"/>
              <w:jc w:val="right"/>
              <w:rPr>
                <w:sz w:val="18"/>
                <w:szCs w:val="18"/>
              </w:rPr>
            </w:pPr>
            <w:r>
              <w:rPr>
                <w:color w:val="000000"/>
                <w:sz w:val="18"/>
                <w:szCs w:val="18"/>
              </w:rPr>
              <w:t>180.00</w:t>
            </w:r>
          </w:p>
        </w:tc>
        <w:tc>
          <w:tcPr>
            <w:tcW w:w="990" w:type="dxa"/>
            <w:vAlign w:val="center"/>
          </w:tcPr>
          <w:p w:rsidR="00E7531C" w:rsidRPr="009B73E6" w:rsidP="00E7531C" w14:paraId="251C65D8" w14:textId="72E5769B">
            <w:pPr>
              <w:pStyle w:val="NoSpacing"/>
              <w:jc w:val="right"/>
              <w:rPr>
                <w:sz w:val="18"/>
                <w:szCs w:val="18"/>
              </w:rPr>
            </w:pPr>
            <w:r>
              <w:rPr>
                <w:color w:val="000000"/>
                <w:sz w:val="18"/>
                <w:szCs w:val="18"/>
              </w:rPr>
              <w:t xml:space="preserve">$28.73 </w:t>
            </w:r>
          </w:p>
        </w:tc>
        <w:tc>
          <w:tcPr>
            <w:tcW w:w="1170" w:type="dxa"/>
            <w:vAlign w:val="center"/>
          </w:tcPr>
          <w:p w:rsidR="00E7531C" w:rsidRPr="009B73E6" w:rsidP="00E7531C" w14:paraId="4D7BD287" w14:textId="04B38964">
            <w:pPr>
              <w:pStyle w:val="NoSpacing"/>
              <w:jc w:val="right"/>
              <w:rPr>
                <w:sz w:val="18"/>
                <w:szCs w:val="18"/>
              </w:rPr>
            </w:pPr>
            <w:r>
              <w:rPr>
                <w:color w:val="000000"/>
                <w:sz w:val="18"/>
                <w:szCs w:val="18"/>
              </w:rPr>
              <w:t xml:space="preserve">$5,171.40 </w:t>
            </w:r>
          </w:p>
        </w:tc>
      </w:tr>
      <w:tr w14:paraId="34910C2E" w14:textId="77777777" w:rsidTr="00C07FA4">
        <w:tblPrEx>
          <w:tblW w:w="9540" w:type="dxa"/>
          <w:tblInd w:w="-275" w:type="dxa"/>
          <w:tblLayout w:type="fixed"/>
          <w:tblLook w:val="04A0"/>
        </w:tblPrEx>
        <w:trPr>
          <w:trHeight w:val="830"/>
        </w:trPr>
        <w:tc>
          <w:tcPr>
            <w:tcW w:w="1530" w:type="dxa"/>
            <w:shd w:val="clear" w:color="auto" w:fill="auto"/>
            <w:vAlign w:val="center"/>
          </w:tcPr>
          <w:p w:rsidR="0008106E" w:rsidRPr="009B73E6" w:rsidP="0008106E" w14:paraId="0BCF097E" w14:textId="17F06EA3">
            <w:pPr>
              <w:rPr>
                <w:color w:val="000000"/>
                <w:sz w:val="18"/>
                <w:szCs w:val="18"/>
              </w:rPr>
            </w:pPr>
            <w:r>
              <w:rPr>
                <w:color w:val="000000"/>
                <w:sz w:val="18"/>
                <w:szCs w:val="18"/>
              </w:rPr>
              <w:t>Grant Closeout (closeout certification, SF</w:t>
            </w:r>
            <w:r w:rsidR="001740B5">
              <w:rPr>
                <w:color w:val="000000"/>
                <w:sz w:val="18"/>
                <w:szCs w:val="18"/>
              </w:rPr>
              <w:t>4</w:t>
            </w:r>
            <w:r>
              <w:rPr>
                <w:color w:val="000000"/>
                <w:sz w:val="18"/>
                <w:szCs w:val="18"/>
              </w:rPr>
              <w:t>25, and all financial, performance, and other reports required as a condition of the grant)</w:t>
            </w:r>
          </w:p>
        </w:tc>
        <w:tc>
          <w:tcPr>
            <w:tcW w:w="1260" w:type="dxa"/>
            <w:shd w:val="clear" w:color="auto" w:fill="auto"/>
            <w:vAlign w:val="center"/>
          </w:tcPr>
          <w:p w:rsidR="0008106E" w:rsidP="0008106E" w14:paraId="20ABE5F1" w14:textId="6C6607D7">
            <w:pPr>
              <w:pStyle w:val="NoSpacing"/>
              <w:jc w:val="right"/>
              <w:rPr>
                <w:color w:val="000000"/>
                <w:sz w:val="18"/>
                <w:szCs w:val="18"/>
              </w:rPr>
            </w:pPr>
            <w:r>
              <w:rPr>
                <w:color w:val="000000"/>
                <w:sz w:val="18"/>
                <w:szCs w:val="18"/>
              </w:rPr>
              <w:t>258.00</w:t>
            </w:r>
          </w:p>
        </w:tc>
        <w:tc>
          <w:tcPr>
            <w:tcW w:w="1260" w:type="dxa"/>
            <w:shd w:val="clear" w:color="auto" w:fill="auto"/>
            <w:vAlign w:val="center"/>
          </w:tcPr>
          <w:p w:rsidR="0008106E" w:rsidP="0008106E" w14:paraId="7DA106BE" w14:textId="22C8CBD6">
            <w:pPr>
              <w:pStyle w:val="NoSpacing"/>
              <w:jc w:val="right"/>
              <w:rPr>
                <w:color w:val="000000"/>
                <w:sz w:val="18"/>
                <w:szCs w:val="18"/>
              </w:rPr>
            </w:pPr>
            <w:r>
              <w:rPr>
                <w:color w:val="000000"/>
                <w:sz w:val="18"/>
                <w:szCs w:val="18"/>
              </w:rPr>
              <w:t>1.00</w:t>
            </w:r>
          </w:p>
        </w:tc>
        <w:tc>
          <w:tcPr>
            <w:tcW w:w="1170" w:type="dxa"/>
            <w:shd w:val="clear" w:color="auto" w:fill="auto"/>
            <w:vAlign w:val="center"/>
          </w:tcPr>
          <w:p w:rsidR="0008106E" w:rsidP="0008106E" w14:paraId="258CB012" w14:textId="5E4AD45F">
            <w:pPr>
              <w:pStyle w:val="NoSpacing"/>
              <w:jc w:val="right"/>
              <w:rPr>
                <w:color w:val="000000"/>
                <w:sz w:val="18"/>
                <w:szCs w:val="18"/>
              </w:rPr>
            </w:pPr>
            <w:r>
              <w:rPr>
                <w:color w:val="000000"/>
                <w:sz w:val="18"/>
                <w:szCs w:val="18"/>
              </w:rPr>
              <w:t>200.00</w:t>
            </w:r>
          </w:p>
        </w:tc>
        <w:tc>
          <w:tcPr>
            <w:tcW w:w="1170" w:type="dxa"/>
            <w:shd w:val="clear" w:color="auto" w:fill="auto"/>
            <w:vAlign w:val="center"/>
          </w:tcPr>
          <w:p w:rsidR="0008106E" w:rsidP="0008106E" w14:paraId="214B5E8F" w14:textId="738D77BC">
            <w:pPr>
              <w:pStyle w:val="NoSpacing"/>
              <w:jc w:val="right"/>
              <w:rPr>
                <w:color w:val="000000"/>
                <w:sz w:val="18"/>
                <w:szCs w:val="18"/>
              </w:rPr>
            </w:pPr>
            <w:r>
              <w:rPr>
                <w:color w:val="000000"/>
                <w:sz w:val="18"/>
                <w:szCs w:val="18"/>
              </w:rPr>
              <w:t>12.00</w:t>
            </w:r>
          </w:p>
        </w:tc>
        <w:tc>
          <w:tcPr>
            <w:tcW w:w="990" w:type="dxa"/>
            <w:shd w:val="clear" w:color="auto" w:fill="auto"/>
            <w:vAlign w:val="center"/>
          </w:tcPr>
          <w:p w:rsidR="0008106E" w:rsidP="0008106E" w14:paraId="63775A61" w14:textId="341C4231">
            <w:pPr>
              <w:pStyle w:val="NoSpacing"/>
              <w:jc w:val="right"/>
              <w:rPr>
                <w:color w:val="000000"/>
                <w:sz w:val="18"/>
                <w:szCs w:val="18"/>
              </w:rPr>
            </w:pPr>
            <w:r>
              <w:rPr>
                <w:color w:val="000000"/>
                <w:sz w:val="18"/>
                <w:szCs w:val="18"/>
              </w:rPr>
              <w:t xml:space="preserve">2,400.00 </w:t>
            </w:r>
          </w:p>
        </w:tc>
        <w:tc>
          <w:tcPr>
            <w:tcW w:w="990" w:type="dxa"/>
            <w:vAlign w:val="center"/>
          </w:tcPr>
          <w:p w:rsidR="0008106E" w:rsidP="0008106E" w14:paraId="74D3318C" w14:textId="6FB7D5E4">
            <w:pPr>
              <w:pStyle w:val="NoSpacing"/>
              <w:jc w:val="right"/>
              <w:rPr>
                <w:color w:val="000000"/>
                <w:sz w:val="18"/>
                <w:szCs w:val="18"/>
              </w:rPr>
            </w:pPr>
            <w:r>
              <w:rPr>
                <w:color w:val="000000"/>
                <w:sz w:val="18"/>
                <w:szCs w:val="18"/>
              </w:rPr>
              <w:t xml:space="preserve">$28.73 </w:t>
            </w:r>
          </w:p>
        </w:tc>
        <w:tc>
          <w:tcPr>
            <w:tcW w:w="1170" w:type="dxa"/>
            <w:vAlign w:val="center"/>
          </w:tcPr>
          <w:p w:rsidR="0008106E" w:rsidP="0008106E" w14:paraId="6520C0CB" w14:textId="7A957DCA">
            <w:pPr>
              <w:pStyle w:val="NoSpacing"/>
              <w:jc w:val="right"/>
              <w:rPr>
                <w:color w:val="000000"/>
                <w:sz w:val="18"/>
                <w:szCs w:val="18"/>
              </w:rPr>
            </w:pPr>
            <w:r>
              <w:rPr>
                <w:color w:val="000000"/>
                <w:sz w:val="18"/>
                <w:szCs w:val="18"/>
              </w:rPr>
              <w:t xml:space="preserve">$68,952.00 </w:t>
            </w:r>
          </w:p>
        </w:tc>
      </w:tr>
      <w:tr w14:paraId="35DA4786" w14:textId="77777777" w:rsidTr="00C07FA4">
        <w:tblPrEx>
          <w:tblW w:w="9540" w:type="dxa"/>
          <w:tblInd w:w="-275" w:type="dxa"/>
          <w:tblLayout w:type="fixed"/>
          <w:tblLook w:val="04A0"/>
        </w:tblPrEx>
        <w:trPr>
          <w:trHeight w:val="272"/>
        </w:trPr>
        <w:tc>
          <w:tcPr>
            <w:tcW w:w="1530" w:type="dxa"/>
            <w:shd w:val="clear" w:color="auto" w:fill="auto"/>
            <w:vAlign w:val="center"/>
          </w:tcPr>
          <w:p w:rsidR="00E7531C" w:rsidRPr="009B73E6" w:rsidP="00E7531C" w14:paraId="50B15024" w14:textId="77777777">
            <w:pPr>
              <w:rPr>
                <w:b/>
                <w:color w:val="000000"/>
                <w:sz w:val="18"/>
                <w:szCs w:val="18"/>
              </w:rPr>
            </w:pPr>
            <w:r w:rsidRPr="009B73E6">
              <w:rPr>
                <w:b/>
                <w:color w:val="000000"/>
                <w:sz w:val="18"/>
                <w:szCs w:val="18"/>
              </w:rPr>
              <w:t>Total</w:t>
            </w:r>
          </w:p>
        </w:tc>
        <w:tc>
          <w:tcPr>
            <w:tcW w:w="1260" w:type="dxa"/>
            <w:shd w:val="clear" w:color="auto" w:fill="auto"/>
            <w:vAlign w:val="center"/>
          </w:tcPr>
          <w:p w:rsidR="00E7531C" w:rsidRPr="009B73E6" w:rsidP="00E7531C" w14:paraId="3D5C4481" w14:textId="52A657D7">
            <w:pPr>
              <w:pStyle w:val="NoSpacing"/>
              <w:jc w:val="right"/>
              <w:rPr>
                <w:b/>
                <w:bCs/>
                <w:sz w:val="18"/>
                <w:szCs w:val="18"/>
              </w:rPr>
            </w:pPr>
            <w:r>
              <w:rPr>
                <w:b/>
                <w:bCs/>
                <w:color w:val="000000"/>
                <w:sz w:val="18"/>
                <w:szCs w:val="18"/>
              </w:rPr>
              <w:t>884.00</w:t>
            </w:r>
          </w:p>
        </w:tc>
        <w:tc>
          <w:tcPr>
            <w:tcW w:w="1260" w:type="dxa"/>
            <w:shd w:val="clear" w:color="auto" w:fill="auto"/>
            <w:vAlign w:val="center"/>
          </w:tcPr>
          <w:p w:rsidR="00E7531C" w:rsidRPr="009B73E6" w:rsidP="00E7531C" w14:paraId="17BCD106" w14:textId="44AC6D42">
            <w:pPr>
              <w:pStyle w:val="NoSpacing"/>
              <w:jc w:val="right"/>
              <w:rPr>
                <w:b/>
                <w:bCs/>
                <w:sz w:val="18"/>
                <w:szCs w:val="18"/>
              </w:rPr>
            </w:pPr>
            <w:r>
              <w:rPr>
                <w:b/>
                <w:bCs/>
                <w:color w:val="000000"/>
                <w:sz w:val="18"/>
                <w:szCs w:val="18"/>
              </w:rPr>
              <w:t>-</w:t>
            </w:r>
          </w:p>
        </w:tc>
        <w:tc>
          <w:tcPr>
            <w:tcW w:w="1170" w:type="dxa"/>
            <w:shd w:val="clear" w:color="auto" w:fill="auto"/>
            <w:vAlign w:val="center"/>
          </w:tcPr>
          <w:p w:rsidR="00E7531C" w:rsidRPr="009B73E6" w:rsidP="00E7531C" w14:paraId="41AB8395" w14:textId="3B5079AE">
            <w:pPr>
              <w:pStyle w:val="NoSpacing"/>
              <w:jc w:val="right"/>
              <w:rPr>
                <w:b/>
                <w:bCs/>
                <w:sz w:val="18"/>
                <w:szCs w:val="18"/>
              </w:rPr>
            </w:pPr>
            <w:r>
              <w:rPr>
                <w:b/>
                <w:bCs/>
                <w:color w:val="000000"/>
                <w:sz w:val="18"/>
                <w:szCs w:val="18"/>
              </w:rPr>
              <w:t>8</w:t>
            </w:r>
            <w:r w:rsidR="00367578">
              <w:rPr>
                <w:b/>
                <w:bCs/>
                <w:color w:val="000000"/>
                <w:sz w:val="18"/>
                <w:szCs w:val="18"/>
              </w:rPr>
              <w:t>26</w:t>
            </w:r>
            <w:r>
              <w:rPr>
                <w:b/>
                <w:bCs/>
                <w:color w:val="000000"/>
                <w:sz w:val="18"/>
                <w:szCs w:val="18"/>
              </w:rPr>
              <w:t>.00</w:t>
            </w:r>
          </w:p>
        </w:tc>
        <w:tc>
          <w:tcPr>
            <w:tcW w:w="1170" w:type="dxa"/>
            <w:shd w:val="clear" w:color="auto" w:fill="auto"/>
            <w:vAlign w:val="center"/>
          </w:tcPr>
          <w:p w:rsidR="00E7531C" w:rsidRPr="009B73E6" w:rsidP="00E7531C" w14:paraId="6BE3D201" w14:textId="1943721F">
            <w:pPr>
              <w:pStyle w:val="NoSpacing"/>
              <w:jc w:val="right"/>
              <w:rPr>
                <w:b/>
                <w:bCs/>
                <w:sz w:val="18"/>
                <w:szCs w:val="18"/>
              </w:rPr>
            </w:pPr>
            <w:r>
              <w:rPr>
                <w:b/>
                <w:bCs/>
                <w:color w:val="000000"/>
                <w:sz w:val="18"/>
                <w:szCs w:val="18"/>
              </w:rPr>
              <w:t>-</w:t>
            </w:r>
          </w:p>
        </w:tc>
        <w:tc>
          <w:tcPr>
            <w:tcW w:w="990" w:type="dxa"/>
            <w:shd w:val="clear" w:color="auto" w:fill="auto"/>
            <w:vAlign w:val="center"/>
          </w:tcPr>
          <w:p w:rsidR="00E7531C" w:rsidRPr="00367578" w:rsidP="00367578" w14:paraId="1DFC5944" w14:textId="4E831A74">
            <w:pPr>
              <w:jc w:val="center"/>
              <w:rPr>
                <w:b/>
                <w:bCs/>
                <w:color w:val="000000"/>
                <w:sz w:val="18"/>
                <w:szCs w:val="18"/>
              </w:rPr>
            </w:pPr>
            <w:r>
              <w:rPr>
                <w:b/>
                <w:bCs/>
                <w:color w:val="000000"/>
                <w:sz w:val="18"/>
                <w:szCs w:val="18"/>
              </w:rPr>
              <w:t>30,780</w:t>
            </w:r>
            <w:r w:rsidR="00F44F4C">
              <w:rPr>
                <w:b/>
                <w:bCs/>
                <w:color w:val="000000"/>
                <w:sz w:val="18"/>
                <w:szCs w:val="18"/>
              </w:rPr>
              <w:t>.00</w:t>
            </w:r>
          </w:p>
        </w:tc>
        <w:tc>
          <w:tcPr>
            <w:tcW w:w="990" w:type="dxa"/>
            <w:vAlign w:val="center"/>
          </w:tcPr>
          <w:p w:rsidR="00E7531C" w:rsidRPr="009B73E6" w:rsidP="00E7531C" w14:paraId="74F94491" w14:textId="4A6B0C41">
            <w:pPr>
              <w:pStyle w:val="NoSpacing"/>
              <w:rPr>
                <w:b/>
                <w:bCs/>
                <w:sz w:val="18"/>
                <w:szCs w:val="18"/>
              </w:rPr>
            </w:pPr>
            <w:r>
              <w:rPr>
                <w:b/>
                <w:bCs/>
                <w:color w:val="000000"/>
                <w:sz w:val="18"/>
                <w:szCs w:val="18"/>
              </w:rPr>
              <w:t>-</w:t>
            </w:r>
          </w:p>
        </w:tc>
        <w:tc>
          <w:tcPr>
            <w:tcW w:w="1170" w:type="dxa"/>
            <w:vAlign w:val="center"/>
          </w:tcPr>
          <w:p w:rsidR="00E7531C" w:rsidRPr="009B73E6" w:rsidP="00A61D71" w14:paraId="19C857BA" w14:textId="0F30003A">
            <w:pPr>
              <w:rPr>
                <w:b/>
                <w:bCs/>
                <w:sz w:val="18"/>
                <w:szCs w:val="18"/>
              </w:rPr>
            </w:pPr>
            <w:r>
              <w:rPr>
                <w:b/>
                <w:bCs/>
                <w:color w:val="000000"/>
                <w:sz w:val="18"/>
                <w:szCs w:val="18"/>
              </w:rPr>
              <w:t>$8</w:t>
            </w:r>
            <w:r w:rsidR="00367578">
              <w:rPr>
                <w:b/>
                <w:bCs/>
                <w:color w:val="000000"/>
                <w:sz w:val="18"/>
                <w:szCs w:val="18"/>
              </w:rPr>
              <w:t>84,309</w:t>
            </w:r>
            <w:r>
              <w:rPr>
                <w:b/>
                <w:bCs/>
                <w:color w:val="000000"/>
                <w:sz w:val="18"/>
                <w:szCs w:val="18"/>
              </w:rPr>
              <w:t xml:space="preserve">.40 </w:t>
            </w:r>
          </w:p>
        </w:tc>
      </w:tr>
      <w:bookmarkEnd w:id="1"/>
    </w:tbl>
    <w:p w:rsidR="007C6B75" w:rsidP="00BC30AD" w14:paraId="7D16D071" w14:textId="77777777">
      <w:pPr>
        <w:keepLines/>
        <w:tabs>
          <w:tab w:val="left" w:pos="360"/>
          <w:tab w:val="left" w:pos="720"/>
        </w:tabs>
        <w:rPr>
          <w:color w:val="000000"/>
          <w:sz w:val="22"/>
          <w:szCs w:val="22"/>
        </w:rPr>
      </w:pPr>
    </w:p>
    <w:p w:rsidR="0008106E" w:rsidP="004904B0" w14:paraId="1757D1C8" w14:textId="261CDE43">
      <w:pPr>
        <w:keepLines/>
        <w:tabs>
          <w:tab w:val="left" w:pos="360"/>
          <w:tab w:val="left" w:pos="720"/>
        </w:tabs>
        <w:rPr>
          <w:color w:val="000000"/>
          <w:sz w:val="22"/>
          <w:szCs w:val="22"/>
        </w:rPr>
      </w:pPr>
      <w:r>
        <w:rPr>
          <w:color w:val="000000"/>
          <w:sz w:val="22"/>
          <w:szCs w:val="22"/>
        </w:rPr>
        <w:t>HOPWA grantees and applicants may be required to respond to more than one piece of information collection. All annualized costs reflect staff time spent on tasks in the table. The hourly rate of $</w:t>
      </w:r>
      <w:r w:rsidR="00E7531C">
        <w:rPr>
          <w:color w:val="000000"/>
          <w:sz w:val="22"/>
          <w:szCs w:val="22"/>
        </w:rPr>
        <w:t>28</w:t>
      </w:r>
      <w:r>
        <w:rPr>
          <w:color w:val="000000"/>
          <w:sz w:val="22"/>
          <w:szCs w:val="22"/>
        </w:rPr>
        <w:t>.</w:t>
      </w:r>
      <w:r w:rsidR="00E7531C">
        <w:rPr>
          <w:color w:val="000000"/>
          <w:sz w:val="22"/>
          <w:szCs w:val="22"/>
        </w:rPr>
        <w:t>7</w:t>
      </w:r>
      <w:r>
        <w:rPr>
          <w:color w:val="000000"/>
          <w:sz w:val="22"/>
          <w:szCs w:val="22"/>
        </w:rPr>
        <w:t xml:space="preserve">3 is based on a GS-9 for Rest of United States. </w:t>
      </w:r>
      <w:r w:rsidR="00E7531C">
        <w:rPr>
          <w:color w:val="000000"/>
          <w:sz w:val="22"/>
          <w:szCs w:val="22"/>
        </w:rPr>
        <w:t>10,320</w:t>
      </w:r>
      <w:r w:rsidR="00702DC6">
        <w:rPr>
          <w:color w:val="000000"/>
          <w:sz w:val="22"/>
          <w:szCs w:val="22"/>
        </w:rPr>
        <w:t xml:space="preserve"> </w:t>
      </w:r>
      <w:r w:rsidRPr="00305E84">
        <w:rPr>
          <w:color w:val="000000"/>
          <w:sz w:val="22"/>
          <w:szCs w:val="22"/>
        </w:rPr>
        <w:t>hours * $</w:t>
      </w:r>
      <w:r w:rsidR="00E7531C">
        <w:rPr>
          <w:color w:val="000000"/>
          <w:sz w:val="22"/>
          <w:szCs w:val="22"/>
        </w:rPr>
        <w:t>28</w:t>
      </w:r>
      <w:r w:rsidRPr="00305E84">
        <w:rPr>
          <w:color w:val="000000"/>
          <w:sz w:val="22"/>
          <w:szCs w:val="22"/>
        </w:rPr>
        <w:t>.</w:t>
      </w:r>
      <w:r w:rsidR="00E7531C">
        <w:rPr>
          <w:color w:val="000000"/>
          <w:sz w:val="22"/>
          <w:szCs w:val="22"/>
        </w:rPr>
        <w:t>73</w:t>
      </w:r>
      <w:r w:rsidRPr="00305E84" w:rsidR="00E7531C">
        <w:rPr>
          <w:color w:val="000000"/>
          <w:sz w:val="22"/>
          <w:szCs w:val="22"/>
        </w:rPr>
        <w:t xml:space="preserve"> </w:t>
      </w:r>
      <w:r w:rsidRPr="00305E84">
        <w:rPr>
          <w:color w:val="000000"/>
          <w:sz w:val="22"/>
          <w:szCs w:val="22"/>
        </w:rPr>
        <w:t>= $</w:t>
      </w:r>
      <w:r w:rsidRPr="00702DC6" w:rsidR="00E7531C">
        <w:rPr>
          <w:color w:val="000000"/>
          <w:sz w:val="22"/>
          <w:szCs w:val="22"/>
        </w:rPr>
        <w:t>2</w:t>
      </w:r>
      <w:r w:rsidR="00E7531C">
        <w:rPr>
          <w:color w:val="000000"/>
          <w:sz w:val="22"/>
          <w:szCs w:val="22"/>
        </w:rPr>
        <w:t>96</w:t>
      </w:r>
      <w:r w:rsidRPr="00702DC6" w:rsidR="00702DC6">
        <w:rPr>
          <w:color w:val="000000"/>
          <w:sz w:val="22"/>
          <w:szCs w:val="22"/>
        </w:rPr>
        <w:t>,</w:t>
      </w:r>
      <w:r w:rsidR="00E7531C">
        <w:rPr>
          <w:color w:val="000000"/>
          <w:sz w:val="22"/>
          <w:szCs w:val="22"/>
        </w:rPr>
        <w:t>493</w:t>
      </w:r>
      <w:r w:rsidR="002C03DA">
        <w:rPr>
          <w:color w:val="000000"/>
          <w:sz w:val="22"/>
          <w:szCs w:val="22"/>
        </w:rPr>
        <w:t>.60</w:t>
      </w:r>
      <w:r w:rsidRPr="00702DC6" w:rsidR="00702DC6">
        <w:rPr>
          <w:color w:val="000000"/>
          <w:sz w:val="22"/>
          <w:szCs w:val="22"/>
        </w:rPr>
        <w:t>.</w:t>
      </w:r>
    </w:p>
    <w:p w:rsidR="00B313AC" w:rsidP="004904B0" w14:paraId="27E397FE" w14:textId="77777777">
      <w:pPr>
        <w:keepLines/>
        <w:tabs>
          <w:tab w:val="left" w:pos="360"/>
          <w:tab w:val="left" w:pos="720"/>
        </w:tabs>
        <w:rPr>
          <w:color w:val="000000"/>
          <w:sz w:val="22"/>
          <w:szCs w:val="22"/>
        </w:rPr>
      </w:pPr>
    </w:p>
    <w:p w:rsidR="00B313AC" w:rsidRPr="00274CDE" w:rsidP="00B313AC" w14:paraId="0EF0675D" w14:textId="5C4CD136">
      <w:pPr>
        <w:keepLines/>
        <w:tabs>
          <w:tab w:val="left" w:pos="0"/>
          <w:tab w:val="left" w:pos="720"/>
        </w:tabs>
        <w:spacing w:after="200"/>
        <w:rPr>
          <w:color w:val="000000"/>
          <w:sz w:val="22"/>
          <w:szCs w:val="22"/>
        </w:rPr>
      </w:pPr>
      <w:r w:rsidRPr="00274CDE">
        <w:rPr>
          <w:color w:val="000000"/>
          <w:sz w:val="22"/>
          <w:szCs w:val="22"/>
        </w:rPr>
        <w:t xml:space="preserve">The estimated cost under this OMB approval number in this request </w:t>
      </w:r>
      <w:r w:rsidR="006D1DAD">
        <w:rPr>
          <w:color w:val="000000"/>
          <w:sz w:val="22"/>
          <w:szCs w:val="22"/>
        </w:rPr>
        <w:t>is lower</w:t>
      </w:r>
      <w:r w:rsidRPr="00274CDE">
        <w:rPr>
          <w:color w:val="000000"/>
          <w:sz w:val="22"/>
          <w:szCs w:val="22"/>
        </w:rPr>
        <w:t xml:space="preserve"> than previous approval. This accounts for the removal of forms HUD-40110-C/D, and removal of pre-award information. Updates on the chart also include the addition of grant closeout, increases for a larger number of new competitive SPNS grants, and higher hourly wage.</w:t>
      </w:r>
    </w:p>
    <w:p w:rsidR="0061056B" w:rsidP="00496EF5" w14:paraId="0DE7A586" w14:textId="77777777">
      <w:pPr>
        <w:keepLines/>
        <w:tabs>
          <w:tab w:val="left" w:pos="0"/>
          <w:tab w:val="left" w:pos="720"/>
        </w:tabs>
        <w:rPr>
          <w:color w:val="000000"/>
          <w:sz w:val="22"/>
          <w:szCs w:val="22"/>
        </w:rPr>
      </w:pPr>
    </w:p>
    <w:p w:rsidR="00F673E0" w:rsidRPr="004B50F0" w14:paraId="0AC5BAA8" w14:textId="0A02E6C7">
      <w:pPr>
        <w:tabs>
          <w:tab w:val="left" w:pos="360"/>
        </w:tabs>
        <w:ind w:left="360" w:hanging="360"/>
        <w:rPr>
          <w:b/>
          <w:color w:val="000000"/>
          <w:sz w:val="22"/>
          <w:szCs w:val="22"/>
        </w:rPr>
      </w:pPr>
      <w:r w:rsidRPr="004B50F0">
        <w:rPr>
          <w:b/>
          <w:color w:val="000000"/>
          <w:sz w:val="22"/>
          <w:szCs w:val="22"/>
        </w:rPr>
        <w:t xml:space="preserve"> </w:t>
      </w:r>
      <w:r w:rsidRPr="004B50F0" w:rsidR="00D73EE7">
        <w:rPr>
          <w:b/>
          <w:color w:val="000000"/>
          <w:sz w:val="22"/>
          <w:szCs w:val="22"/>
        </w:rPr>
        <w:t>13.</w:t>
      </w:r>
      <w:r w:rsidRPr="004B50F0" w:rsidR="00D73EE7">
        <w:rPr>
          <w:b/>
          <w:color w:val="000000"/>
          <w:sz w:val="22"/>
          <w:szCs w:val="22"/>
        </w:rPr>
        <w:tab/>
        <w:t xml:space="preserve">Estimate of the average, annual cost beyond the cost of hour burden shown in Item 12.  </w:t>
      </w:r>
    </w:p>
    <w:p w:rsidR="007C6B75" w:rsidP="006B4E4B" w14:paraId="43BB1CFE" w14:textId="6FD53EA0">
      <w:pPr>
        <w:tabs>
          <w:tab w:val="left" w:pos="0"/>
        </w:tabs>
        <w:spacing w:before="240"/>
        <w:rPr>
          <w:color w:val="000000"/>
          <w:sz w:val="22"/>
          <w:szCs w:val="22"/>
        </w:rPr>
      </w:pPr>
      <w:r>
        <w:rPr>
          <w:color w:val="000000"/>
          <w:sz w:val="22"/>
          <w:szCs w:val="22"/>
        </w:rPr>
        <w:t xml:space="preserve">There are no known additional costs to respondents. </w:t>
      </w:r>
    </w:p>
    <w:p w:rsidR="007C6B75" w:rsidRPr="003B27A6" w14:paraId="423CF88F" w14:textId="77777777">
      <w:pPr>
        <w:tabs>
          <w:tab w:val="left" w:pos="360"/>
        </w:tabs>
        <w:ind w:left="360" w:hanging="360"/>
        <w:rPr>
          <w:color w:val="000000"/>
          <w:sz w:val="22"/>
          <w:szCs w:val="22"/>
        </w:rPr>
      </w:pPr>
    </w:p>
    <w:p w:rsidR="00D73EE7" w14:paraId="429F5D70" w14:textId="3662EFAE">
      <w:pPr>
        <w:keepLines/>
        <w:tabs>
          <w:tab w:val="left" w:pos="360"/>
        </w:tabs>
        <w:spacing w:after="80"/>
        <w:ind w:left="360" w:hanging="360"/>
        <w:rPr>
          <w:b/>
          <w:color w:val="000000"/>
          <w:sz w:val="22"/>
          <w:szCs w:val="22"/>
        </w:rPr>
      </w:pPr>
      <w:r w:rsidRPr="009458A6">
        <w:rPr>
          <w:b/>
          <w:color w:val="000000"/>
          <w:sz w:val="22"/>
          <w:szCs w:val="22"/>
        </w:rPr>
        <w:t>14.</w:t>
      </w:r>
      <w:r w:rsidRPr="009458A6">
        <w:rPr>
          <w:b/>
          <w:color w:val="000000"/>
          <w:sz w:val="22"/>
          <w:szCs w:val="22"/>
        </w:rPr>
        <w:tab/>
        <w:t>Estimate annualized costs to HUD of collecting the information, including processing the information.</w:t>
      </w:r>
      <w:r w:rsidRPr="007B0BCF">
        <w:rPr>
          <w:b/>
          <w:color w:val="000000"/>
          <w:sz w:val="22"/>
          <w:szCs w:val="22"/>
        </w:rPr>
        <w:t xml:space="preserve"> </w:t>
      </w:r>
    </w:p>
    <w:p w:rsidR="00C425AF" w:rsidP="00C425AF" w14:paraId="7D725683" w14:textId="266DC917">
      <w:pPr>
        <w:keepLines/>
        <w:tabs>
          <w:tab w:val="left" w:pos="360"/>
        </w:tabs>
        <w:spacing w:after="80"/>
        <w:rPr>
          <w:b/>
          <w:color w:val="000000"/>
          <w:sz w:val="22"/>
          <w:szCs w:val="22"/>
        </w:rPr>
      </w:pPr>
    </w:p>
    <w:tbl>
      <w:tblPr>
        <w:tblW w:w="9799" w:type="dxa"/>
        <w:tblInd w:w="-190" w:type="dxa"/>
        <w:tblLayout w:type="fixed"/>
        <w:tblLook w:val="04A0"/>
      </w:tblPr>
      <w:tblGrid>
        <w:gridCol w:w="2070"/>
        <w:gridCol w:w="1260"/>
        <w:gridCol w:w="1170"/>
        <w:gridCol w:w="1080"/>
        <w:gridCol w:w="1170"/>
        <w:gridCol w:w="900"/>
        <w:gridCol w:w="1033"/>
        <w:gridCol w:w="1116"/>
      </w:tblGrid>
      <w:tr w14:paraId="02E36D3E" w14:textId="77777777" w:rsidTr="00C425AF">
        <w:tblPrEx>
          <w:tblW w:w="9799" w:type="dxa"/>
          <w:tblInd w:w="-190" w:type="dxa"/>
          <w:tblLayout w:type="fixed"/>
          <w:tblLook w:val="04A0"/>
        </w:tblPrEx>
        <w:trPr>
          <w:trHeight w:val="930"/>
        </w:trPr>
        <w:tc>
          <w:tcPr>
            <w:tcW w:w="20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425AF" w:rsidP="00A774F6" w14:paraId="0A6FCD65" w14:textId="77777777">
            <w:pPr>
              <w:rPr>
                <w:b/>
                <w:bCs/>
                <w:color w:val="000000"/>
                <w:sz w:val="18"/>
                <w:szCs w:val="18"/>
              </w:rPr>
            </w:pPr>
            <w:r>
              <w:rPr>
                <w:b/>
                <w:bCs/>
                <w:color w:val="000000"/>
                <w:sz w:val="18"/>
                <w:szCs w:val="18"/>
              </w:rPr>
              <w:t xml:space="preserve">Type of Collection </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C425AF" w:rsidP="00A774F6" w14:paraId="7E274520" w14:textId="77777777">
            <w:pPr>
              <w:rPr>
                <w:b/>
                <w:bCs/>
                <w:color w:val="000000"/>
                <w:sz w:val="18"/>
                <w:szCs w:val="18"/>
              </w:rPr>
            </w:pPr>
            <w:r>
              <w:rPr>
                <w:b/>
                <w:bCs/>
                <w:color w:val="000000"/>
                <w:sz w:val="18"/>
                <w:szCs w:val="18"/>
              </w:rPr>
              <w:t>Number of Respondents</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C425AF" w:rsidP="00A774F6" w14:paraId="4393C79F" w14:textId="77777777">
            <w:pPr>
              <w:rPr>
                <w:b/>
                <w:bCs/>
                <w:color w:val="000000"/>
                <w:sz w:val="18"/>
                <w:szCs w:val="18"/>
              </w:rPr>
            </w:pPr>
            <w:r>
              <w:rPr>
                <w:b/>
                <w:bCs/>
                <w:color w:val="000000"/>
                <w:sz w:val="18"/>
                <w:szCs w:val="18"/>
              </w:rPr>
              <w:t>Frequency of Response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C425AF" w:rsidP="00A774F6" w14:paraId="175E074A" w14:textId="77777777">
            <w:pPr>
              <w:rPr>
                <w:b/>
                <w:bCs/>
                <w:color w:val="000000"/>
                <w:sz w:val="18"/>
                <w:szCs w:val="18"/>
              </w:rPr>
            </w:pPr>
            <w:r>
              <w:rPr>
                <w:b/>
                <w:bCs/>
                <w:color w:val="000000"/>
                <w:sz w:val="18"/>
                <w:szCs w:val="18"/>
              </w:rPr>
              <w:t>Responses Per Annum</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C425AF" w:rsidP="00A774F6" w14:paraId="0D4A6446" w14:textId="77777777">
            <w:pPr>
              <w:rPr>
                <w:b/>
                <w:bCs/>
                <w:color w:val="000000"/>
                <w:sz w:val="18"/>
                <w:szCs w:val="18"/>
              </w:rPr>
            </w:pPr>
            <w:r>
              <w:rPr>
                <w:b/>
                <w:bCs/>
                <w:color w:val="000000"/>
                <w:sz w:val="18"/>
                <w:szCs w:val="18"/>
              </w:rPr>
              <w:t>Burden Hour per Respondent</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C425AF" w:rsidP="00A774F6" w14:paraId="79F5825B" w14:textId="77777777">
            <w:pPr>
              <w:rPr>
                <w:b/>
                <w:bCs/>
                <w:color w:val="000000"/>
                <w:sz w:val="18"/>
                <w:szCs w:val="18"/>
              </w:rPr>
            </w:pPr>
            <w:r>
              <w:rPr>
                <w:b/>
                <w:bCs/>
                <w:color w:val="000000"/>
                <w:sz w:val="18"/>
                <w:szCs w:val="18"/>
              </w:rPr>
              <w:t>Annual Burden Hours</w:t>
            </w:r>
            <w:r>
              <w:rPr>
                <w:color w:val="000000"/>
                <w:sz w:val="16"/>
                <w:szCs w:val="16"/>
              </w:rPr>
              <w:t> </w:t>
            </w:r>
          </w:p>
        </w:tc>
        <w:tc>
          <w:tcPr>
            <w:tcW w:w="1033" w:type="dxa"/>
            <w:tcBorders>
              <w:top w:val="single" w:sz="8" w:space="0" w:color="auto"/>
              <w:left w:val="nil"/>
              <w:bottom w:val="single" w:sz="8" w:space="0" w:color="auto"/>
              <w:right w:val="single" w:sz="8" w:space="0" w:color="auto"/>
            </w:tcBorders>
            <w:shd w:val="clear" w:color="auto" w:fill="auto"/>
            <w:vAlign w:val="center"/>
            <w:hideMark/>
          </w:tcPr>
          <w:p w:rsidR="00C425AF" w:rsidP="00A774F6" w14:paraId="5A96CE59" w14:textId="77777777">
            <w:pPr>
              <w:rPr>
                <w:b/>
                <w:bCs/>
                <w:color w:val="000000"/>
                <w:sz w:val="18"/>
                <w:szCs w:val="18"/>
              </w:rPr>
            </w:pPr>
            <w:r>
              <w:rPr>
                <w:b/>
                <w:bCs/>
                <w:color w:val="000000"/>
                <w:sz w:val="18"/>
                <w:szCs w:val="18"/>
              </w:rPr>
              <w:t>Hourly Cost Per Response</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rsidR="00C425AF" w:rsidP="00A774F6" w14:paraId="66771EBF" w14:textId="77777777">
            <w:pPr>
              <w:rPr>
                <w:b/>
                <w:bCs/>
                <w:color w:val="000000"/>
                <w:sz w:val="18"/>
                <w:szCs w:val="18"/>
              </w:rPr>
            </w:pPr>
            <w:r>
              <w:rPr>
                <w:b/>
                <w:bCs/>
                <w:color w:val="000000"/>
                <w:sz w:val="18"/>
                <w:szCs w:val="18"/>
              </w:rPr>
              <w:t xml:space="preserve">Annual Cost </w:t>
            </w:r>
          </w:p>
        </w:tc>
      </w:tr>
      <w:tr w14:paraId="5B5C3A7E" w14:textId="77777777" w:rsidTr="00C425AF">
        <w:tblPrEx>
          <w:tblW w:w="9799" w:type="dxa"/>
          <w:tblInd w:w="-190" w:type="dxa"/>
          <w:tblLayout w:type="fixed"/>
          <w:tblLook w:val="04A0"/>
        </w:tblPrEx>
        <w:trPr>
          <w:trHeight w:val="1160"/>
        </w:trPr>
        <w:tc>
          <w:tcPr>
            <w:tcW w:w="2070" w:type="dxa"/>
            <w:tcBorders>
              <w:top w:val="nil"/>
              <w:left w:val="single" w:sz="8" w:space="0" w:color="auto"/>
              <w:bottom w:val="single" w:sz="8" w:space="0" w:color="auto"/>
              <w:right w:val="single" w:sz="8" w:space="0" w:color="auto"/>
            </w:tcBorders>
            <w:shd w:val="clear" w:color="auto" w:fill="auto"/>
            <w:vAlign w:val="center"/>
          </w:tcPr>
          <w:p w:rsidR="008A3502" w:rsidP="008A3502" w14:paraId="1F1A4FA9" w14:textId="1D70A957">
            <w:pPr>
              <w:rPr>
                <w:color w:val="000000"/>
                <w:sz w:val="18"/>
                <w:szCs w:val="18"/>
              </w:rPr>
            </w:pPr>
            <w:r>
              <w:rPr>
                <w:color w:val="000000"/>
                <w:sz w:val="18"/>
                <w:szCs w:val="18"/>
              </w:rPr>
              <w:t>Review of consolidated APR/CAPER data elements (HUD-4155)</w:t>
            </w:r>
          </w:p>
        </w:tc>
        <w:tc>
          <w:tcPr>
            <w:tcW w:w="1260" w:type="dxa"/>
            <w:tcBorders>
              <w:top w:val="nil"/>
              <w:left w:val="nil"/>
              <w:bottom w:val="single" w:sz="8" w:space="0" w:color="auto"/>
              <w:right w:val="single" w:sz="8" w:space="0" w:color="auto"/>
            </w:tcBorders>
            <w:shd w:val="clear" w:color="auto" w:fill="auto"/>
            <w:vAlign w:val="center"/>
          </w:tcPr>
          <w:p w:rsidR="008A3502" w:rsidP="008A3502" w14:paraId="4F6EB7FF" w14:textId="686DAE98">
            <w:pPr>
              <w:jc w:val="right"/>
              <w:rPr>
                <w:color w:val="000000"/>
                <w:sz w:val="18"/>
                <w:szCs w:val="18"/>
              </w:rPr>
            </w:pPr>
            <w:r>
              <w:rPr>
                <w:color w:val="000000"/>
                <w:sz w:val="18"/>
                <w:szCs w:val="18"/>
              </w:rPr>
              <w:t>258</w:t>
            </w:r>
          </w:p>
        </w:tc>
        <w:tc>
          <w:tcPr>
            <w:tcW w:w="1170" w:type="dxa"/>
            <w:tcBorders>
              <w:top w:val="nil"/>
              <w:left w:val="nil"/>
              <w:bottom w:val="single" w:sz="8" w:space="0" w:color="auto"/>
              <w:right w:val="single" w:sz="8" w:space="0" w:color="auto"/>
            </w:tcBorders>
            <w:shd w:val="clear" w:color="auto" w:fill="auto"/>
            <w:vAlign w:val="center"/>
          </w:tcPr>
          <w:p w:rsidR="008A3502" w:rsidP="008A3502" w14:paraId="659594EA" w14:textId="5A859B60">
            <w:pPr>
              <w:jc w:val="right"/>
              <w:rPr>
                <w:color w:val="000000"/>
                <w:sz w:val="18"/>
                <w:szCs w:val="18"/>
              </w:rPr>
            </w:pPr>
            <w:r>
              <w:rPr>
                <w:color w:val="000000"/>
                <w:sz w:val="18"/>
                <w:szCs w:val="18"/>
              </w:rPr>
              <w:t>1</w:t>
            </w:r>
          </w:p>
        </w:tc>
        <w:tc>
          <w:tcPr>
            <w:tcW w:w="1080" w:type="dxa"/>
            <w:tcBorders>
              <w:top w:val="nil"/>
              <w:left w:val="nil"/>
              <w:bottom w:val="single" w:sz="8" w:space="0" w:color="auto"/>
              <w:right w:val="single" w:sz="8" w:space="0" w:color="auto"/>
            </w:tcBorders>
            <w:shd w:val="clear" w:color="auto" w:fill="auto"/>
            <w:vAlign w:val="center"/>
          </w:tcPr>
          <w:p w:rsidR="008A3502" w:rsidP="008A3502" w14:paraId="367EC8B3" w14:textId="4DC1DB3C">
            <w:pPr>
              <w:jc w:val="right"/>
              <w:rPr>
                <w:color w:val="000000"/>
                <w:sz w:val="18"/>
                <w:szCs w:val="18"/>
              </w:rPr>
            </w:pPr>
            <w:r>
              <w:rPr>
                <w:color w:val="000000"/>
                <w:sz w:val="18"/>
                <w:szCs w:val="18"/>
              </w:rPr>
              <w:t>258</w:t>
            </w:r>
          </w:p>
        </w:tc>
        <w:tc>
          <w:tcPr>
            <w:tcW w:w="1170" w:type="dxa"/>
            <w:tcBorders>
              <w:top w:val="nil"/>
              <w:left w:val="nil"/>
              <w:bottom w:val="single" w:sz="8" w:space="0" w:color="auto"/>
              <w:right w:val="single" w:sz="8" w:space="0" w:color="auto"/>
            </w:tcBorders>
            <w:shd w:val="clear" w:color="auto" w:fill="auto"/>
            <w:vAlign w:val="center"/>
          </w:tcPr>
          <w:p w:rsidR="008A3502" w:rsidP="008A3502" w14:paraId="38E63FE3" w14:textId="3CA9A452">
            <w:pPr>
              <w:jc w:val="right"/>
              <w:rPr>
                <w:color w:val="000000"/>
                <w:sz w:val="18"/>
                <w:szCs w:val="18"/>
              </w:rPr>
            </w:pPr>
            <w:r>
              <w:rPr>
                <w:color w:val="000000"/>
                <w:sz w:val="18"/>
                <w:szCs w:val="18"/>
              </w:rPr>
              <w:t>11</w:t>
            </w:r>
          </w:p>
        </w:tc>
        <w:tc>
          <w:tcPr>
            <w:tcW w:w="900" w:type="dxa"/>
            <w:tcBorders>
              <w:top w:val="nil"/>
              <w:left w:val="nil"/>
              <w:bottom w:val="single" w:sz="8" w:space="0" w:color="auto"/>
              <w:right w:val="single" w:sz="8" w:space="0" w:color="auto"/>
            </w:tcBorders>
            <w:shd w:val="clear" w:color="auto" w:fill="auto"/>
            <w:vAlign w:val="center"/>
          </w:tcPr>
          <w:p w:rsidR="008A3502" w:rsidP="008A3502" w14:paraId="742DBE87" w14:textId="72BDF322">
            <w:pPr>
              <w:jc w:val="right"/>
              <w:rPr>
                <w:color w:val="000000"/>
                <w:sz w:val="18"/>
                <w:szCs w:val="18"/>
              </w:rPr>
            </w:pPr>
            <w:r>
              <w:rPr>
                <w:color w:val="000000"/>
                <w:sz w:val="18"/>
                <w:szCs w:val="18"/>
              </w:rPr>
              <w:t>2</w:t>
            </w:r>
            <w:r w:rsidR="00566319">
              <w:rPr>
                <w:color w:val="000000"/>
                <w:sz w:val="18"/>
                <w:szCs w:val="18"/>
              </w:rPr>
              <w:t>,</w:t>
            </w:r>
            <w:r>
              <w:rPr>
                <w:color w:val="000000"/>
                <w:sz w:val="18"/>
                <w:szCs w:val="18"/>
              </w:rPr>
              <w:t>838</w:t>
            </w:r>
          </w:p>
        </w:tc>
        <w:tc>
          <w:tcPr>
            <w:tcW w:w="1033" w:type="dxa"/>
            <w:tcBorders>
              <w:top w:val="nil"/>
              <w:left w:val="nil"/>
              <w:bottom w:val="single" w:sz="8" w:space="0" w:color="auto"/>
              <w:right w:val="single" w:sz="8" w:space="0" w:color="auto"/>
            </w:tcBorders>
            <w:shd w:val="clear" w:color="auto" w:fill="auto"/>
            <w:vAlign w:val="center"/>
          </w:tcPr>
          <w:p w:rsidR="008A3502" w:rsidP="008A3502" w14:paraId="19F343CC" w14:textId="62C9190B">
            <w:pPr>
              <w:jc w:val="right"/>
              <w:rPr>
                <w:color w:val="000000"/>
                <w:sz w:val="18"/>
                <w:szCs w:val="18"/>
              </w:rPr>
            </w:pPr>
            <w:r>
              <w:rPr>
                <w:color w:val="000000"/>
                <w:sz w:val="18"/>
                <w:szCs w:val="18"/>
              </w:rPr>
              <w:t xml:space="preserve">$47.53 </w:t>
            </w:r>
          </w:p>
        </w:tc>
        <w:tc>
          <w:tcPr>
            <w:tcW w:w="1116" w:type="dxa"/>
            <w:tcBorders>
              <w:top w:val="nil"/>
              <w:left w:val="nil"/>
              <w:bottom w:val="single" w:sz="8" w:space="0" w:color="auto"/>
              <w:right w:val="single" w:sz="8" w:space="0" w:color="auto"/>
            </w:tcBorders>
            <w:shd w:val="clear" w:color="auto" w:fill="auto"/>
            <w:vAlign w:val="center"/>
          </w:tcPr>
          <w:p w:rsidR="008A3502" w:rsidP="008A3502" w14:paraId="247C9B3D" w14:textId="028E6552">
            <w:pPr>
              <w:jc w:val="right"/>
              <w:rPr>
                <w:color w:val="000000"/>
                <w:sz w:val="18"/>
                <w:szCs w:val="18"/>
              </w:rPr>
            </w:pPr>
            <w:r>
              <w:rPr>
                <w:color w:val="000000"/>
                <w:sz w:val="18"/>
                <w:szCs w:val="18"/>
              </w:rPr>
              <w:t xml:space="preserve">$134,890.14 </w:t>
            </w:r>
          </w:p>
        </w:tc>
      </w:tr>
      <w:tr w14:paraId="1C935E94" w14:textId="77777777" w:rsidTr="00C425AF">
        <w:tblPrEx>
          <w:tblW w:w="9799" w:type="dxa"/>
          <w:tblInd w:w="-190" w:type="dxa"/>
          <w:tblLayout w:type="fixed"/>
          <w:tblLook w:val="04A0"/>
        </w:tblPrEx>
        <w:trPr>
          <w:trHeight w:val="93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8A3502" w:rsidP="008A3502" w14:paraId="19601961" w14:textId="32A17248">
            <w:pPr>
              <w:rPr>
                <w:color w:val="000000"/>
                <w:sz w:val="18"/>
                <w:szCs w:val="18"/>
              </w:rPr>
            </w:pPr>
            <w:r>
              <w:rPr>
                <w:color w:val="000000"/>
                <w:sz w:val="18"/>
                <w:szCs w:val="18"/>
              </w:rPr>
              <w:t>HUD-4154, HIV Housing Care Continuum Model Report (new competitive SPNS grant only)</w:t>
            </w:r>
          </w:p>
        </w:tc>
        <w:tc>
          <w:tcPr>
            <w:tcW w:w="1260" w:type="dxa"/>
            <w:tcBorders>
              <w:top w:val="nil"/>
              <w:left w:val="nil"/>
              <w:bottom w:val="single" w:sz="8" w:space="0" w:color="auto"/>
              <w:right w:val="single" w:sz="8" w:space="0" w:color="auto"/>
            </w:tcBorders>
            <w:shd w:val="clear" w:color="auto" w:fill="auto"/>
            <w:vAlign w:val="center"/>
            <w:hideMark/>
          </w:tcPr>
          <w:p w:rsidR="008A3502" w:rsidP="008A3502" w14:paraId="16BA5EAE" w14:textId="7CB27F35">
            <w:pPr>
              <w:jc w:val="right"/>
              <w:rPr>
                <w:color w:val="000000"/>
                <w:sz w:val="18"/>
                <w:szCs w:val="18"/>
              </w:rPr>
            </w:pPr>
            <w:r>
              <w:rPr>
                <w:color w:val="000000"/>
                <w:sz w:val="18"/>
                <w:szCs w:val="18"/>
              </w:rPr>
              <w:t>40</w:t>
            </w:r>
          </w:p>
        </w:tc>
        <w:tc>
          <w:tcPr>
            <w:tcW w:w="1170" w:type="dxa"/>
            <w:tcBorders>
              <w:top w:val="nil"/>
              <w:left w:val="nil"/>
              <w:bottom w:val="single" w:sz="8" w:space="0" w:color="auto"/>
              <w:right w:val="single" w:sz="8" w:space="0" w:color="auto"/>
            </w:tcBorders>
            <w:shd w:val="clear" w:color="auto" w:fill="auto"/>
            <w:vAlign w:val="center"/>
            <w:hideMark/>
          </w:tcPr>
          <w:p w:rsidR="008A3502" w:rsidP="008A3502" w14:paraId="06CEF4C8" w14:textId="3ADCBB9D">
            <w:pPr>
              <w:jc w:val="right"/>
              <w:rPr>
                <w:color w:val="000000"/>
                <w:sz w:val="18"/>
                <w:szCs w:val="18"/>
              </w:rPr>
            </w:pPr>
            <w:r>
              <w:rPr>
                <w:color w:val="000000"/>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rsidR="008A3502" w:rsidP="008A3502" w14:paraId="4C915FA4" w14:textId="6362BD34">
            <w:pPr>
              <w:jc w:val="right"/>
              <w:rPr>
                <w:color w:val="000000"/>
                <w:sz w:val="18"/>
                <w:szCs w:val="18"/>
              </w:rPr>
            </w:pPr>
            <w:r>
              <w:rPr>
                <w:color w:val="000000"/>
                <w:sz w:val="18"/>
                <w:szCs w:val="18"/>
              </w:rPr>
              <w:t>40</w:t>
            </w:r>
          </w:p>
        </w:tc>
        <w:tc>
          <w:tcPr>
            <w:tcW w:w="1170" w:type="dxa"/>
            <w:tcBorders>
              <w:top w:val="nil"/>
              <w:left w:val="nil"/>
              <w:bottom w:val="single" w:sz="8" w:space="0" w:color="auto"/>
              <w:right w:val="single" w:sz="8" w:space="0" w:color="auto"/>
            </w:tcBorders>
            <w:shd w:val="clear" w:color="auto" w:fill="auto"/>
            <w:vAlign w:val="center"/>
            <w:hideMark/>
          </w:tcPr>
          <w:p w:rsidR="008A3502" w:rsidP="008A3502" w14:paraId="000EFF42" w14:textId="6AD57136">
            <w:pPr>
              <w:jc w:val="right"/>
              <w:rPr>
                <w:color w:val="000000"/>
                <w:sz w:val="18"/>
                <w:szCs w:val="18"/>
              </w:rPr>
            </w:pPr>
            <w:r>
              <w:rPr>
                <w:color w:val="000000"/>
                <w:sz w:val="18"/>
                <w:szCs w:val="18"/>
              </w:rPr>
              <w:t>10</w:t>
            </w:r>
          </w:p>
        </w:tc>
        <w:tc>
          <w:tcPr>
            <w:tcW w:w="900" w:type="dxa"/>
            <w:tcBorders>
              <w:top w:val="nil"/>
              <w:left w:val="nil"/>
              <w:bottom w:val="single" w:sz="8" w:space="0" w:color="auto"/>
              <w:right w:val="single" w:sz="8" w:space="0" w:color="auto"/>
            </w:tcBorders>
            <w:shd w:val="clear" w:color="auto" w:fill="auto"/>
            <w:vAlign w:val="center"/>
            <w:hideMark/>
          </w:tcPr>
          <w:p w:rsidR="008A3502" w:rsidP="008A3502" w14:paraId="5A6330EF" w14:textId="54B0C6BE">
            <w:pPr>
              <w:jc w:val="right"/>
              <w:rPr>
                <w:color w:val="000000"/>
                <w:sz w:val="18"/>
                <w:szCs w:val="18"/>
              </w:rPr>
            </w:pPr>
            <w:r>
              <w:rPr>
                <w:color w:val="000000"/>
                <w:sz w:val="18"/>
                <w:szCs w:val="18"/>
              </w:rPr>
              <w:t>400</w:t>
            </w:r>
          </w:p>
        </w:tc>
        <w:tc>
          <w:tcPr>
            <w:tcW w:w="1033" w:type="dxa"/>
            <w:tcBorders>
              <w:top w:val="nil"/>
              <w:left w:val="nil"/>
              <w:bottom w:val="single" w:sz="8" w:space="0" w:color="auto"/>
              <w:right w:val="single" w:sz="8" w:space="0" w:color="auto"/>
            </w:tcBorders>
            <w:shd w:val="clear" w:color="auto" w:fill="auto"/>
            <w:vAlign w:val="center"/>
            <w:hideMark/>
          </w:tcPr>
          <w:p w:rsidR="008A3502" w:rsidP="008A3502" w14:paraId="2A59363D" w14:textId="4A3B887A">
            <w:pPr>
              <w:jc w:val="right"/>
              <w:rPr>
                <w:color w:val="000000"/>
                <w:sz w:val="18"/>
                <w:szCs w:val="18"/>
              </w:rPr>
            </w:pPr>
            <w:r>
              <w:rPr>
                <w:color w:val="000000"/>
                <w:sz w:val="18"/>
                <w:szCs w:val="18"/>
              </w:rPr>
              <w:t xml:space="preserve">$47.53 </w:t>
            </w:r>
          </w:p>
        </w:tc>
        <w:tc>
          <w:tcPr>
            <w:tcW w:w="1116" w:type="dxa"/>
            <w:tcBorders>
              <w:top w:val="nil"/>
              <w:left w:val="nil"/>
              <w:bottom w:val="single" w:sz="8" w:space="0" w:color="auto"/>
              <w:right w:val="single" w:sz="8" w:space="0" w:color="auto"/>
            </w:tcBorders>
            <w:shd w:val="clear" w:color="auto" w:fill="auto"/>
            <w:vAlign w:val="center"/>
            <w:hideMark/>
          </w:tcPr>
          <w:p w:rsidR="008A3502" w:rsidP="008A3502" w14:paraId="3B829B7A" w14:textId="63FCB048">
            <w:pPr>
              <w:jc w:val="right"/>
              <w:rPr>
                <w:color w:val="000000"/>
                <w:sz w:val="18"/>
                <w:szCs w:val="18"/>
              </w:rPr>
            </w:pPr>
            <w:r>
              <w:rPr>
                <w:color w:val="000000"/>
                <w:sz w:val="18"/>
                <w:szCs w:val="18"/>
              </w:rPr>
              <w:t xml:space="preserve">$19,012.00 </w:t>
            </w:r>
          </w:p>
        </w:tc>
      </w:tr>
      <w:tr w14:paraId="538037F1" w14:textId="77777777" w:rsidTr="00C425AF">
        <w:tblPrEx>
          <w:tblW w:w="9799" w:type="dxa"/>
          <w:tblInd w:w="-190" w:type="dxa"/>
          <w:tblLayout w:type="fixed"/>
          <w:tblLook w:val="04A0"/>
        </w:tblPrEx>
        <w:trPr>
          <w:trHeight w:val="116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8A3502" w:rsidP="008A3502" w14:paraId="5CA023A3" w14:textId="4A1707A4">
            <w:pPr>
              <w:rPr>
                <w:color w:val="000000"/>
                <w:sz w:val="18"/>
                <w:szCs w:val="18"/>
              </w:rPr>
            </w:pPr>
            <w:r>
              <w:rPr>
                <w:color w:val="000000"/>
                <w:sz w:val="18"/>
                <w:szCs w:val="18"/>
              </w:rPr>
              <w:t>HUD-4153, SPNS Grant Model Report (new competitive SPNS grant only)</w:t>
            </w:r>
          </w:p>
        </w:tc>
        <w:tc>
          <w:tcPr>
            <w:tcW w:w="1260" w:type="dxa"/>
            <w:tcBorders>
              <w:top w:val="nil"/>
              <w:left w:val="nil"/>
              <w:bottom w:val="single" w:sz="8" w:space="0" w:color="auto"/>
              <w:right w:val="single" w:sz="8" w:space="0" w:color="auto"/>
            </w:tcBorders>
            <w:shd w:val="clear" w:color="auto" w:fill="auto"/>
            <w:vAlign w:val="center"/>
            <w:hideMark/>
          </w:tcPr>
          <w:p w:rsidR="008A3502" w:rsidP="008A3502" w14:paraId="0684162F" w14:textId="2C6FC95E">
            <w:pPr>
              <w:jc w:val="right"/>
              <w:rPr>
                <w:color w:val="000000"/>
                <w:sz w:val="18"/>
                <w:szCs w:val="18"/>
              </w:rPr>
            </w:pPr>
            <w:r>
              <w:rPr>
                <w:color w:val="000000"/>
                <w:sz w:val="18"/>
                <w:szCs w:val="18"/>
              </w:rPr>
              <w:t>40</w:t>
            </w:r>
          </w:p>
        </w:tc>
        <w:tc>
          <w:tcPr>
            <w:tcW w:w="1170" w:type="dxa"/>
            <w:tcBorders>
              <w:top w:val="nil"/>
              <w:left w:val="nil"/>
              <w:bottom w:val="single" w:sz="8" w:space="0" w:color="auto"/>
              <w:right w:val="single" w:sz="8" w:space="0" w:color="auto"/>
            </w:tcBorders>
            <w:shd w:val="clear" w:color="auto" w:fill="auto"/>
            <w:vAlign w:val="center"/>
            <w:hideMark/>
          </w:tcPr>
          <w:p w:rsidR="008A3502" w:rsidP="008A3502" w14:paraId="1453C71E" w14:textId="18E5110C">
            <w:pPr>
              <w:jc w:val="right"/>
              <w:rPr>
                <w:color w:val="000000"/>
                <w:sz w:val="18"/>
                <w:szCs w:val="18"/>
              </w:rPr>
            </w:pPr>
            <w:r>
              <w:rPr>
                <w:color w:val="000000"/>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rsidR="008A3502" w:rsidP="008A3502" w14:paraId="6D0A8CA8" w14:textId="4054E80D">
            <w:pPr>
              <w:jc w:val="right"/>
              <w:rPr>
                <w:color w:val="000000"/>
                <w:sz w:val="18"/>
                <w:szCs w:val="18"/>
              </w:rPr>
            </w:pPr>
            <w:r>
              <w:rPr>
                <w:color w:val="000000"/>
                <w:sz w:val="18"/>
                <w:szCs w:val="18"/>
              </w:rPr>
              <w:t>40</w:t>
            </w:r>
          </w:p>
        </w:tc>
        <w:tc>
          <w:tcPr>
            <w:tcW w:w="1170" w:type="dxa"/>
            <w:tcBorders>
              <w:top w:val="nil"/>
              <w:left w:val="nil"/>
              <w:bottom w:val="single" w:sz="8" w:space="0" w:color="auto"/>
              <w:right w:val="single" w:sz="8" w:space="0" w:color="auto"/>
            </w:tcBorders>
            <w:shd w:val="clear" w:color="auto" w:fill="auto"/>
            <w:vAlign w:val="center"/>
            <w:hideMark/>
          </w:tcPr>
          <w:p w:rsidR="008A3502" w:rsidP="008A3502" w14:paraId="48C3032A" w14:textId="4EAA58E2">
            <w:pPr>
              <w:jc w:val="right"/>
              <w:rPr>
                <w:color w:val="000000"/>
                <w:sz w:val="18"/>
                <w:szCs w:val="18"/>
              </w:rPr>
            </w:pPr>
            <w:r>
              <w:rPr>
                <w:color w:val="000000"/>
                <w:sz w:val="18"/>
                <w:szCs w:val="18"/>
              </w:rPr>
              <w:t>20</w:t>
            </w:r>
          </w:p>
        </w:tc>
        <w:tc>
          <w:tcPr>
            <w:tcW w:w="900" w:type="dxa"/>
            <w:tcBorders>
              <w:top w:val="nil"/>
              <w:left w:val="nil"/>
              <w:bottom w:val="single" w:sz="8" w:space="0" w:color="auto"/>
              <w:right w:val="single" w:sz="8" w:space="0" w:color="auto"/>
            </w:tcBorders>
            <w:shd w:val="clear" w:color="auto" w:fill="auto"/>
            <w:vAlign w:val="center"/>
            <w:hideMark/>
          </w:tcPr>
          <w:p w:rsidR="008A3502" w:rsidP="008A3502" w14:paraId="7C5D3F17" w14:textId="22DA71A1">
            <w:pPr>
              <w:jc w:val="right"/>
              <w:rPr>
                <w:color w:val="000000"/>
                <w:sz w:val="18"/>
                <w:szCs w:val="18"/>
              </w:rPr>
            </w:pPr>
            <w:r>
              <w:rPr>
                <w:color w:val="000000"/>
                <w:sz w:val="18"/>
                <w:szCs w:val="18"/>
              </w:rPr>
              <w:t>800</w:t>
            </w:r>
          </w:p>
        </w:tc>
        <w:tc>
          <w:tcPr>
            <w:tcW w:w="1033" w:type="dxa"/>
            <w:tcBorders>
              <w:top w:val="nil"/>
              <w:left w:val="nil"/>
              <w:bottom w:val="single" w:sz="8" w:space="0" w:color="auto"/>
              <w:right w:val="single" w:sz="8" w:space="0" w:color="auto"/>
            </w:tcBorders>
            <w:shd w:val="clear" w:color="auto" w:fill="auto"/>
            <w:vAlign w:val="center"/>
            <w:hideMark/>
          </w:tcPr>
          <w:p w:rsidR="008A3502" w:rsidP="008A3502" w14:paraId="204A5795" w14:textId="6CF90B25">
            <w:pPr>
              <w:jc w:val="right"/>
              <w:rPr>
                <w:color w:val="000000"/>
                <w:sz w:val="18"/>
                <w:szCs w:val="18"/>
              </w:rPr>
            </w:pPr>
            <w:r>
              <w:rPr>
                <w:color w:val="000000"/>
                <w:sz w:val="18"/>
                <w:szCs w:val="18"/>
              </w:rPr>
              <w:t xml:space="preserve">$47.53 </w:t>
            </w:r>
          </w:p>
        </w:tc>
        <w:tc>
          <w:tcPr>
            <w:tcW w:w="1116" w:type="dxa"/>
            <w:tcBorders>
              <w:top w:val="nil"/>
              <w:left w:val="nil"/>
              <w:bottom w:val="single" w:sz="8" w:space="0" w:color="auto"/>
              <w:right w:val="single" w:sz="8" w:space="0" w:color="auto"/>
            </w:tcBorders>
            <w:shd w:val="clear" w:color="auto" w:fill="auto"/>
            <w:vAlign w:val="center"/>
            <w:hideMark/>
          </w:tcPr>
          <w:p w:rsidR="008A3502" w:rsidP="008A3502" w14:paraId="5F0EBD47" w14:textId="02CE28B5">
            <w:pPr>
              <w:jc w:val="right"/>
              <w:rPr>
                <w:color w:val="000000"/>
                <w:sz w:val="18"/>
                <w:szCs w:val="18"/>
              </w:rPr>
            </w:pPr>
            <w:r>
              <w:rPr>
                <w:color w:val="000000"/>
                <w:sz w:val="18"/>
                <w:szCs w:val="18"/>
              </w:rPr>
              <w:t xml:space="preserve">$38,024.00 </w:t>
            </w:r>
          </w:p>
        </w:tc>
      </w:tr>
      <w:tr w14:paraId="130E6A99" w14:textId="77777777" w:rsidTr="00C425AF">
        <w:tblPrEx>
          <w:tblW w:w="9799" w:type="dxa"/>
          <w:tblInd w:w="-190" w:type="dxa"/>
          <w:tblLayout w:type="fixed"/>
          <w:tblLook w:val="04A0"/>
        </w:tblPrEx>
        <w:trPr>
          <w:trHeight w:val="116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8A3502" w:rsidP="008A3502" w14:paraId="78EEE8A5" w14:textId="77777777">
            <w:pPr>
              <w:rPr>
                <w:color w:val="000000"/>
                <w:sz w:val="18"/>
                <w:szCs w:val="18"/>
              </w:rPr>
            </w:pPr>
            <w:r>
              <w:rPr>
                <w:color w:val="000000"/>
                <w:sz w:val="18"/>
                <w:szCs w:val="18"/>
              </w:rPr>
              <w:t>Compiling and publicly publishing grantee performance and accomplishment summaries</w:t>
            </w:r>
          </w:p>
        </w:tc>
        <w:tc>
          <w:tcPr>
            <w:tcW w:w="1260" w:type="dxa"/>
            <w:tcBorders>
              <w:top w:val="nil"/>
              <w:left w:val="nil"/>
              <w:bottom w:val="single" w:sz="8" w:space="0" w:color="auto"/>
              <w:right w:val="single" w:sz="8" w:space="0" w:color="auto"/>
            </w:tcBorders>
            <w:shd w:val="clear" w:color="auto" w:fill="auto"/>
            <w:vAlign w:val="center"/>
            <w:hideMark/>
          </w:tcPr>
          <w:p w:rsidR="008A3502" w:rsidP="008A3502" w14:paraId="006008D1" w14:textId="619EE543">
            <w:pPr>
              <w:jc w:val="right"/>
              <w:rPr>
                <w:color w:val="000000"/>
                <w:sz w:val="18"/>
                <w:szCs w:val="18"/>
              </w:rPr>
            </w:pPr>
            <w:r>
              <w:rPr>
                <w:color w:val="000000"/>
                <w:sz w:val="18"/>
                <w:szCs w:val="18"/>
              </w:rPr>
              <w:t>258</w:t>
            </w:r>
          </w:p>
        </w:tc>
        <w:tc>
          <w:tcPr>
            <w:tcW w:w="1170" w:type="dxa"/>
            <w:tcBorders>
              <w:top w:val="nil"/>
              <w:left w:val="nil"/>
              <w:bottom w:val="single" w:sz="8" w:space="0" w:color="auto"/>
              <w:right w:val="single" w:sz="8" w:space="0" w:color="auto"/>
            </w:tcBorders>
            <w:shd w:val="clear" w:color="auto" w:fill="auto"/>
            <w:vAlign w:val="center"/>
            <w:hideMark/>
          </w:tcPr>
          <w:p w:rsidR="008A3502" w:rsidP="008A3502" w14:paraId="7F3EEB9A" w14:textId="20E5ADC9">
            <w:pPr>
              <w:jc w:val="right"/>
              <w:rPr>
                <w:color w:val="000000"/>
                <w:sz w:val="18"/>
                <w:szCs w:val="18"/>
              </w:rPr>
            </w:pPr>
            <w:r>
              <w:rPr>
                <w:color w:val="000000"/>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rsidR="008A3502" w:rsidP="008A3502" w14:paraId="2BE15D32" w14:textId="30B78B06">
            <w:pPr>
              <w:jc w:val="right"/>
              <w:rPr>
                <w:color w:val="000000"/>
                <w:sz w:val="18"/>
                <w:szCs w:val="18"/>
              </w:rPr>
            </w:pPr>
            <w:r>
              <w:rPr>
                <w:color w:val="000000"/>
                <w:sz w:val="18"/>
                <w:szCs w:val="18"/>
              </w:rPr>
              <w:t>258</w:t>
            </w:r>
          </w:p>
        </w:tc>
        <w:tc>
          <w:tcPr>
            <w:tcW w:w="1170" w:type="dxa"/>
            <w:tcBorders>
              <w:top w:val="nil"/>
              <w:left w:val="nil"/>
              <w:bottom w:val="single" w:sz="8" w:space="0" w:color="auto"/>
              <w:right w:val="single" w:sz="8" w:space="0" w:color="auto"/>
            </w:tcBorders>
            <w:shd w:val="clear" w:color="auto" w:fill="auto"/>
            <w:vAlign w:val="center"/>
            <w:hideMark/>
          </w:tcPr>
          <w:p w:rsidR="008A3502" w:rsidP="008A3502" w14:paraId="7FC11EC0" w14:textId="0A56290C">
            <w:pPr>
              <w:jc w:val="right"/>
              <w:rPr>
                <w:color w:val="000000"/>
                <w:sz w:val="18"/>
                <w:szCs w:val="18"/>
              </w:rPr>
            </w:pPr>
            <w:r>
              <w:rPr>
                <w:color w:val="000000"/>
                <w:sz w:val="18"/>
                <w:szCs w:val="18"/>
              </w:rPr>
              <w:t>4</w:t>
            </w:r>
          </w:p>
        </w:tc>
        <w:tc>
          <w:tcPr>
            <w:tcW w:w="900" w:type="dxa"/>
            <w:tcBorders>
              <w:top w:val="nil"/>
              <w:left w:val="nil"/>
              <w:bottom w:val="single" w:sz="8" w:space="0" w:color="auto"/>
              <w:right w:val="single" w:sz="8" w:space="0" w:color="auto"/>
            </w:tcBorders>
            <w:shd w:val="clear" w:color="auto" w:fill="auto"/>
            <w:vAlign w:val="center"/>
            <w:hideMark/>
          </w:tcPr>
          <w:p w:rsidR="008A3502" w:rsidP="008A3502" w14:paraId="2EC5B8EB" w14:textId="74719B07">
            <w:pPr>
              <w:jc w:val="right"/>
              <w:rPr>
                <w:color w:val="000000"/>
                <w:sz w:val="18"/>
                <w:szCs w:val="18"/>
              </w:rPr>
            </w:pPr>
            <w:r>
              <w:rPr>
                <w:color w:val="000000"/>
                <w:sz w:val="18"/>
                <w:szCs w:val="18"/>
              </w:rPr>
              <w:t>1</w:t>
            </w:r>
            <w:r w:rsidR="00566319">
              <w:rPr>
                <w:color w:val="000000"/>
                <w:sz w:val="18"/>
                <w:szCs w:val="18"/>
              </w:rPr>
              <w:t>,</w:t>
            </w:r>
            <w:r>
              <w:rPr>
                <w:color w:val="000000"/>
                <w:sz w:val="18"/>
                <w:szCs w:val="18"/>
              </w:rPr>
              <w:t>032</w:t>
            </w:r>
          </w:p>
        </w:tc>
        <w:tc>
          <w:tcPr>
            <w:tcW w:w="1033" w:type="dxa"/>
            <w:tcBorders>
              <w:top w:val="nil"/>
              <w:left w:val="nil"/>
              <w:bottom w:val="single" w:sz="8" w:space="0" w:color="auto"/>
              <w:right w:val="single" w:sz="8" w:space="0" w:color="auto"/>
            </w:tcBorders>
            <w:shd w:val="clear" w:color="auto" w:fill="auto"/>
            <w:vAlign w:val="center"/>
            <w:hideMark/>
          </w:tcPr>
          <w:p w:rsidR="008A3502" w:rsidP="008A3502" w14:paraId="7253CAF0" w14:textId="0313C8FE">
            <w:pPr>
              <w:jc w:val="right"/>
              <w:rPr>
                <w:color w:val="000000"/>
                <w:sz w:val="18"/>
                <w:szCs w:val="18"/>
              </w:rPr>
            </w:pPr>
            <w:r>
              <w:rPr>
                <w:color w:val="000000"/>
                <w:sz w:val="18"/>
                <w:szCs w:val="18"/>
              </w:rPr>
              <w:t xml:space="preserve">$47.53 </w:t>
            </w:r>
          </w:p>
        </w:tc>
        <w:tc>
          <w:tcPr>
            <w:tcW w:w="1116" w:type="dxa"/>
            <w:tcBorders>
              <w:top w:val="nil"/>
              <w:left w:val="nil"/>
              <w:bottom w:val="single" w:sz="8" w:space="0" w:color="auto"/>
              <w:right w:val="single" w:sz="8" w:space="0" w:color="auto"/>
            </w:tcBorders>
            <w:shd w:val="clear" w:color="auto" w:fill="auto"/>
            <w:vAlign w:val="center"/>
            <w:hideMark/>
          </w:tcPr>
          <w:p w:rsidR="008A3502" w:rsidP="008A3502" w14:paraId="139D428A" w14:textId="38BB80EB">
            <w:pPr>
              <w:jc w:val="right"/>
              <w:rPr>
                <w:color w:val="000000"/>
                <w:sz w:val="18"/>
                <w:szCs w:val="18"/>
              </w:rPr>
            </w:pPr>
            <w:r>
              <w:rPr>
                <w:color w:val="000000"/>
                <w:sz w:val="18"/>
                <w:szCs w:val="18"/>
              </w:rPr>
              <w:t xml:space="preserve">$49,050.96 </w:t>
            </w:r>
          </w:p>
        </w:tc>
      </w:tr>
      <w:tr w14:paraId="5537D8D2" w14:textId="77777777" w:rsidTr="00C425AF">
        <w:tblPrEx>
          <w:tblW w:w="9799" w:type="dxa"/>
          <w:tblInd w:w="-190" w:type="dxa"/>
          <w:tblLayout w:type="fixed"/>
          <w:tblLook w:val="04A0"/>
        </w:tblPrEx>
        <w:trPr>
          <w:trHeight w:val="93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8A3502" w:rsidP="008A3502" w14:paraId="2B1C277B" w14:textId="77777777">
            <w:pPr>
              <w:rPr>
                <w:color w:val="000000"/>
                <w:sz w:val="18"/>
                <w:szCs w:val="18"/>
              </w:rPr>
            </w:pPr>
            <w:r>
              <w:rPr>
                <w:color w:val="000000"/>
                <w:sz w:val="18"/>
                <w:szCs w:val="18"/>
              </w:rPr>
              <w:t>Execution of Grant Amendments (budget change, extension, or early termination)</w:t>
            </w:r>
          </w:p>
        </w:tc>
        <w:tc>
          <w:tcPr>
            <w:tcW w:w="1260" w:type="dxa"/>
            <w:tcBorders>
              <w:top w:val="nil"/>
              <w:left w:val="nil"/>
              <w:bottom w:val="single" w:sz="8" w:space="0" w:color="auto"/>
              <w:right w:val="single" w:sz="8" w:space="0" w:color="auto"/>
            </w:tcBorders>
            <w:shd w:val="clear" w:color="auto" w:fill="auto"/>
            <w:vAlign w:val="center"/>
            <w:hideMark/>
          </w:tcPr>
          <w:p w:rsidR="008A3502" w:rsidP="008A3502" w14:paraId="7223607D" w14:textId="5EC3947A">
            <w:pPr>
              <w:jc w:val="right"/>
              <w:rPr>
                <w:color w:val="000000"/>
                <w:sz w:val="18"/>
                <w:szCs w:val="18"/>
              </w:rPr>
            </w:pPr>
            <w:r>
              <w:rPr>
                <w:color w:val="000000"/>
                <w:sz w:val="18"/>
                <w:szCs w:val="18"/>
              </w:rPr>
              <w:t>30</w:t>
            </w:r>
          </w:p>
        </w:tc>
        <w:tc>
          <w:tcPr>
            <w:tcW w:w="1170" w:type="dxa"/>
            <w:tcBorders>
              <w:top w:val="nil"/>
              <w:left w:val="nil"/>
              <w:bottom w:val="single" w:sz="8" w:space="0" w:color="auto"/>
              <w:right w:val="single" w:sz="8" w:space="0" w:color="auto"/>
            </w:tcBorders>
            <w:shd w:val="clear" w:color="auto" w:fill="auto"/>
            <w:vAlign w:val="center"/>
            <w:hideMark/>
          </w:tcPr>
          <w:p w:rsidR="008A3502" w:rsidP="008A3502" w14:paraId="52398E33" w14:textId="37E20603">
            <w:pPr>
              <w:jc w:val="right"/>
              <w:rPr>
                <w:color w:val="000000"/>
                <w:sz w:val="18"/>
                <w:szCs w:val="18"/>
              </w:rPr>
            </w:pPr>
            <w:r>
              <w:rPr>
                <w:color w:val="000000"/>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rsidR="008A3502" w:rsidP="008A3502" w14:paraId="05111EDC" w14:textId="6FF41A88">
            <w:pPr>
              <w:jc w:val="right"/>
              <w:rPr>
                <w:color w:val="000000"/>
                <w:sz w:val="18"/>
                <w:szCs w:val="18"/>
              </w:rPr>
            </w:pPr>
            <w:r>
              <w:rPr>
                <w:color w:val="000000"/>
                <w:sz w:val="18"/>
                <w:szCs w:val="18"/>
              </w:rPr>
              <w:t>30</w:t>
            </w:r>
          </w:p>
        </w:tc>
        <w:tc>
          <w:tcPr>
            <w:tcW w:w="1170" w:type="dxa"/>
            <w:tcBorders>
              <w:top w:val="nil"/>
              <w:left w:val="nil"/>
              <w:bottom w:val="single" w:sz="8" w:space="0" w:color="auto"/>
              <w:right w:val="single" w:sz="8" w:space="0" w:color="auto"/>
            </w:tcBorders>
            <w:shd w:val="clear" w:color="auto" w:fill="auto"/>
            <w:vAlign w:val="center"/>
            <w:hideMark/>
          </w:tcPr>
          <w:p w:rsidR="008A3502" w:rsidP="008A3502" w14:paraId="7CD999B6" w14:textId="5163A430">
            <w:pPr>
              <w:jc w:val="right"/>
              <w:rPr>
                <w:color w:val="000000"/>
                <w:sz w:val="18"/>
                <w:szCs w:val="18"/>
              </w:rPr>
            </w:pPr>
            <w:r>
              <w:rPr>
                <w:color w:val="000000"/>
                <w:sz w:val="18"/>
                <w:szCs w:val="18"/>
              </w:rPr>
              <w:t>6</w:t>
            </w:r>
          </w:p>
        </w:tc>
        <w:tc>
          <w:tcPr>
            <w:tcW w:w="900" w:type="dxa"/>
            <w:tcBorders>
              <w:top w:val="nil"/>
              <w:left w:val="nil"/>
              <w:bottom w:val="single" w:sz="8" w:space="0" w:color="auto"/>
              <w:right w:val="single" w:sz="8" w:space="0" w:color="auto"/>
            </w:tcBorders>
            <w:shd w:val="clear" w:color="auto" w:fill="auto"/>
            <w:vAlign w:val="center"/>
            <w:hideMark/>
          </w:tcPr>
          <w:p w:rsidR="008A3502" w:rsidP="008A3502" w14:paraId="42EAD95F" w14:textId="64C96F74">
            <w:pPr>
              <w:jc w:val="right"/>
              <w:rPr>
                <w:color w:val="000000"/>
                <w:sz w:val="18"/>
                <w:szCs w:val="18"/>
              </w:rPr>
            </w:pPr>
            <w:r>
              <w:rPr>
                <w:color w:val="000000"/>
                <w:sz w:val="18"/>
                <w:szCs w:val="18"/>
              </w:rPr>
              <w:t>180</w:t>
            </w:r>
          </w:p>
        </w:tc>
        <w:tc>
          <w:tcPr>
            <w:tcW w:w="1033" w:type="dxa"/>
            <w:tcBorders>
              <w:top w:val="nil"/>
              <w:left w:val="nil"/>
              <w:bottom w:val="single" w:sz="8" w:space="0" w:color="auto"/>
              <w:right w:val="single" w:sz="8" w:space="0" w:color="auto"/>
            </w:tcBorders>
            <w:shd w:val="clear" w:color="auto" w:fill="auto"/>
            <w:vAlign w:val="center"/>
            <w:hideMark/>
          </w:tcPr>
          <w:p w:rsidR="008A3502" w:rsidP="008A3502" w14:paraId="46A1EDE6" w14:textId="61BB212F">
            <w:pPr>
              <w:jc w:val="right"/>
              <w:rPr>
                <w:color w:val="000000"/>
                <w:sz w:val="18"/>
                <w:szCs w:val="18"/>
              </w:rPr>
            </w:pPr>
            <w:r>
              <w:rPr>
                <w:color w:val="000000"/>
                <w:sz w:val="18"/>
                <w:szCs w:val="18"/>
              </w:rPr>
              <w:t xml:space="preserve">$47.53 </w:t>
            </w:r>
          </w:p>
        </w:tc>
        <w:tc>
          <w:tcPr>
            <w:tcW w:w="1116" w:type="dxa"/>
            <w:tcBorders>
              <w:top w:val="nil"/>
              <w:left w:val="nil"/>
              <w:bottom w:val="single" w:sz="8" w:space="0" w:color="auto"/>
              <w:right w:val="single" w:sz="8" w:space="0" w:color="auto"/>
            </w:tcBorders>
            <w:shd w:val="clear" w:color="auto" w:fill="auto"/>
            <w:vAlign w:val="center"/>
            <w:hideMark/>
          </w:tcPr>
          <w:p w:rsidR="008A3502" w:rsidP="008A3502" w14:paraId="4D3068F8" w14:textId="1C6CD278">
            <w:pPr>
              <w:jc w:val="right"/>
              <w:rPr>
                <w:color w:val="000000"/>
                <w:sz w:val="18"/>
                <w:szCs w:val="18"/>
              </w:rPr>
            </w:pPr>
            <w:r>
              <w:rPr>
                <w:color w:val="000000"/>
                <w:sz w:val="18"/>
                <w:szCs w:val="18"/>
              </w:rPr>
              <w:t xml:space="preserve">$8,555.40 </w:t>
            </w:r>
          </w:p>
        </w:tc>
      </w:tr>
      <w:tr w14:paraId="6786990D" w14:textId="77777777" w:rsidTr="00947492">
        <w:tblPrEx>
          <w:tblW w:w="9799" w:type="dxa"/>
          <w:tblInd w:w="-190" w:type="dxa"/>
          <w:tblLayout w:type="fixed"/>
          <w:tblLook w:val="04A0"/>
        </w:tblPrEx>
        <w:trPr>
          <w:trHeight w:val="415"/>
        </w:trPr>
        <w:tc>
          <w:tcPr>
            <w:tcW w:w="2070" w:type="dxa"/>
            <w:tcBorders>
              <w:top w:val="nil"/>
              <w:left w:val="single" w:sz="8" w:space="0" w:color="auto"/>
              <w:bottom w:val="single" w:sz="8" w:space="0" w:color="auto"/>
              <w:right w:val="single" w:sz="8" w:space="0" w:color="auto"/>
            </w:tcBorders>
            <w:shd w:val="clear" w:color="auto" w:fill="auto"/>
            <w:vAlign w:val="center"/>
          </w:tcPr>
          <w:p w:rsidR="009F67D0" w:rsidP="009F67D0" w14:paraId="4BB62091" w14:textId="22D94E94">
            <w:pPr>
              <w:rPr>
                <w:color w:val="000000"/>
                <w:sz w:val="18"/>
                <w:szCs w:val="18"/>
              </w:rPr>
            </w:pPr>
            <w:r>
              <w:rPr>
                <w:color w:val="000000"/>
                <w:sz w:val="18"/>
                <w:szCs w:val="18"/>
              </w:rPr>
              <w:t>Grant Closeout</w:t>
            </w:r>
          </w:p>
        </w:tc>
        <w:tc>
          <w:tcPr>
            <w:tcW w:w="1260" w:type="dxa"/>
            <w:tcBorders>
              <w:top w:val="nil"/>
              <w:left w:val="nil"/>
              <w:bottom w:val="single" w:sz="8" w:space="0" w:color="auto"/>
              <w:right w:val="single" w:sz="8" w:space="0" w:color="auto"/>
            </w:tcBorders>
            <w:shd w:val="clear" w:color="auto" w:fill="auto"/>
            <w:vAlign w:val="center"/>
          </w:tcPr>
          <w:p w:rsidR="009F67D0" w:rsidP="009F67D0" w14:paraId="250C3ABC" w14:textId="05A85118">
            <w:pPr>
              <w:jc w:val="right"/>
              <w:rPr>
                <w:color w:val="000000"/>
                <w:sz w:val="18"/>
                <w:szCs w:val="18"/>
              </w:rPr>
            </w:pPr>
            <w:r>
              <w:rPr>
                <w:color w:val="000000"/>
                <w:sz w:val="18"/>
                <w:szCs w:val="18"/>
              </w:rPr>
              <w:t>258</w:t>
            </w:r>
          </w:p>
        </w:tc>
        <w:tc>
          <w:tcPr>
            <w:tcW w:w="1170" w:type="dxa"/>
            <w:tcBorders>
              <w:top w:val="nil"/>
              <w:left w:val="nil"/>
              <w:bottom w:val="single" w:sz="8" w:space="0" w:color="auto"/>
              <w:right w:val="single" w:sz="8" w:space="0" w:color="auto"/>
            </w:tcBorders>
            <w:shd w:val="clear" w:color="auto" w:fill="auto"/>
            <w:vAlign w:val="center"/>
          </w:tcPr>
          <w:p w:rsidR="009F67D0" w:rsidP="009F67D0" w14:paraId="613612E4" w14:textId="253BCA94">
            <w:pPr>
              <w:jc w:val="right"/>
              <w:rPr>
                <w:color w:val="000000"/>
                <w:sz w:val="18"/>
                <w:szCs w:val="18"/>
              </w:rPr>
            </w:pPr>
            <w:r>
              <w:rPr>
                <w:color w:val="000000"/>
                <w:sz w:val="18"/>
                <w:szCs w:val="18"/>
              </w:rPr>
              <w:t>1</w:t>
            </w:r>
          </w:p>
        </w:tc>
        <w:tc>
          <w:tcPr>
            <w:tcW w:w="1080" w:type="dxa"/>
            <w:tcBorders>
              <w:top w:val="nil"/>
              <w:left w:val="nil"/>
              <w:bottom w:val="single" w:sz="8" w:space="0" w:color="auto"/>
              <w:right w:val="single" w:sz="8" w:space="0" w:color="auto"/>
            </w:tcBorders>
            <w:shd w:val="clear" w:color="auto" w:fill="auto"/>
            <w:vAlign w:val="center"/>
          </w:tcPr>
          <w:p w:rsidR="009F67D0" w:rsidP="009F67D0" w14:paraId="727F9170" w14:textId="01D766D6">
            <w:pPr>
              <w:jc w:val="right"/>
              <w:rPr>
                <w:color w:val="000000"/>
                <w:sz w:val="18"/>
                <w:szCs w:val="18"/>
              </w:rPr>
            </w:pPr>
            <w:r>
              <w:rPr>
                <w:color w:val="000000"/>
                <w:sz w:val="18"/>
                <w:szCs w:val="18"/>
              </w:rPr>
              <w:t>200</w:t>
            </w:r>
          </w:p>
        </w:tc>
        <w:tc>
          <w:tcPr>
            <w:tcW w:w="1170" w:type="dxa"/>
            <w:tcBorders>
              <w:top w:val="nil"/>
              <w:left w:val="nil"/>
              <w:bottom w:val="single" w:sz="8" w:space="0" w:color="auto"/>
              <w:right w:val="single" w:sz="8" w:space="0" w:color="auto"/>
            </w:tcBorders>
            <w:shd w:val="clear" w:color="auto" w:fill="auto"/>
            <w:vAlign w:val="center"/>
          </w:tcPr>
          <w:p w:rsidR="009F67D0" w:rsidP="009F67D0" w14:paraId="22FB6303" w14:textId="3F90D5C4">
            <w:pPr>
              <w:jc w:val="right"/>
              <w:rPr>
                <w:color w:val="000000"/>
                <w:sz w:val="18"/>
                <w:szCs w:val="18"/>
              </w:rPr>
            </w:pPr>
            <w:r>
              <w:rPr>
                <w:color w:val="000000"/>
                <w:sz w:val="18"/>
                <w:szCs w:val="18"/>
              </w:rPr>
              <w:t>12</w:t>
            </w:r>
          </w:p>
        </w:tc>
        <w:tc>
          <w:tcPr>
            <w:tcW w:w="900" w:type="dxa"/>
            <w:tcBorders>
              <w:top w:val="nil"/>
              <w:left w:val="nil"/>
              <w:bottom w:val="single" w:sz="8" w:space="0" w:color="auto"/>
              <w:right w:val="single" w:sz="8" w:space="0" w:color="auto"/>
            </w:tcBorders>
            <w:shd w:val="clear" w:color="auto" w:fill="auto"/>
            <w:vAlign w:val="center"/>
          </w:tcPr>
          <w:p w:rsidR="009F67D0" w:rsidP="009F67D0" w14:paraId="21121E2B" w14:textId="28029250">
            <w:pPr>
              <w:jc w:val="right"/>
              <w:rPr>
                <w:color w:val="000000"/>
                <w:sz w:val="18"/>
                <w:szCs w:val="18"/>
              </w:rPr>
            </w:pPr>
            <w:r>
              <w:rPr>
                <w:color w:val="000000"/>
                <w:sz w:val="18"/>
                <w:szCs w:val="18"/>
              </w:rPr>
              <w:t>2</w:t>
            </w:r>
            <w:r w:rsidR="00566319">
              <w:rPr>
                <w:color w:val="000000"/>
                <w:sz w:val="18"/>
                <w:szCs w:val="18"/>
              </w:rPr>
              <w:t>,</w:t>
            </w:r>
            <w:r>
              <w:rPr>
                <w:color w:val="000000"/>
                <w:sz w:val="18"/>
                <w:szCs w:val="18"/>
              </w:rPr>
              <w:t>400</w:t>
            </w:r>
          </w:p>
        </w:tc>
        <w:tc>
          <w:tcPr>
            <w:tcW w:w="1033" w:type="dxa"/>
            <w:tcBorders>
              <w:top w:val="nil"/>
              <w:left w:val="nil"/>
              <w:bottom w:val="single" w:sz="8" w:space="0" w:color="auto"/>
              <w:right w:val="single" w:sz="8" w:space="0" w:color="auto"/>
            </w:tcBorders>
            <w:shd w:val="clear" w:color="auto" w:fill="auto"/>
            <w:vAlign w:val="center"/>
          </w:tcPr>
          <w:p w:rsidR="009F67D0" w:rsidP="009F67D0" w14:paraId="4F1C1450" w14:textId="7E9CE320">
            <w:pPr>
              <w:jc w:val="right"/>
              <w:rPr>
                <w:color w:val="000000"/>
                <w:sz w:val="18"/>
                <w:szCs w:val="18"/>
              </w:rPr>
            </w:pPr>
            <w:r>
              <w:rPr>
                <w:color w:val="000000"/>
                <w:sz w:val="18"/>
                <w:szCs w:val="18"/>
              </w:rPr>
              <w:t xml:space="preserve">$47.53 </w:t>
            </w:r>
          </w:p>
        </w:tc>
        <w:tc>
          <w:tcPr>
            <w:tcW w:w="1116" w:type="dxa"/>
            <w:tcBorders>
              <w:top w:val="nil"/>
              <w:left w:val="nil"/>
              <w:bottom w:val="single" w:sz="8" w:space="0" w:color="auto"/>
              <w:right w:val="single" w:sz="8" w:space="0" w:color="auto"/>
            </w:tcBorders>
            <w:shd w:val="clear" w:color="auto" w:fill="auto"/>
            <w:vAlign w:val="center"/>
          </w:tcPr>
          <w:p w:rsidR="009F67D0" w:rsidP="009F67D0" w14:paraId="03441FDA" w14:textId="63C23AE2">
            <w:pPr>
              <w:jc w:val="right"/>
              <w:rPr>
                <w:color w:val="000000"/>
                <w:sz w:val="18"/>
                <w:szCs w:val="18"/>
              </w:rPr>
            </w:pPr>
            <w:r>
              <w:rPr>
                <w:color w:val="000000"/>
                <w:sz w:val="18"/>
                <w:szCs w:val="18"/>
              </w:rPr>
              <w:t xml:space="preserve">$114,072.00 </w:t>
            </w:r>
          </w:p>
        </w:tc>
      </w:tr>
      <w:tr w14:paraId="7743924A" w14:textId="77777777" w:rsidTr="00C425AF">
        <w:tblPrEx>
          <w:tblW w:w="9799" w:type="dxa"/>
          <w:tblInd w:w="-190" w:type="dxa"/>
          <w:tblLayout w:type="fixed"/>
          <w:tblLook w:val="04A0"/>
        </w:tblPrEx>
        <w:trPr>
          <w:trHeight w:val="66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8A3502" w:rsidP="008A3502" w14:paraId="5A85CB40" w14:textId="77777777">
            <w:pPr>
              <w:rPr>
                <w:b/>
                <w:bCs/>
                <w:color w:val="000000"/>
                <w:sz w:val="18"/>
                <w:szCs w:val="18"/>
              </w:rPr>
            </w:pPr>
            <w:r>
              <w:rPr>
                <w:b/>
                <w:bCs/>
                <w:color w:val="000000"/>
                <w:sz w:val="18"/>
                <w:szCs w:val="18"/>
              </w:rPr>
              <w:t>Total</w:t>
            </w:r>
          </w:p>
        </w:tc>
        <w:tc>
          <w:tcPr>
            <w:tcW w:w="1260" w:type="dxa"/>
            <w:tcBorders>
              <w:top w:val="nil"/>
              <w:left w:val="nil"/>
              <w:bottom w:val="single" w:sz="8" w:space="0" w:color="auto"/>
              <w:right w:val="single" w:sz="8" w:space="0" w:color="auto"/>
            </w:tcBorders>
            <w:shd w:val="clear" w:color="auto" w:fill="auto"/>
            <w:vAlign w:val="center"/>
            <w:hideMark/>
          </w:tcPr>
          <w:p w:rsidR="008A3502" w:rsidP="008A3502" w14:paraId="59D343B8" w14:textId="067D0DC5">
            <w:pPr>
              <w:jc w:val="right"/>
              <w:rPr>
                <w:b/>
                <w:bCs/>
                <w:color w:val="000000"/>
                <w:sz w:val="18"/>
                <w:szCs w:val="18"/>
              </w:rPr>
            </w:pPr>
            <w:r>
              <w:rPr>
                <w:b/>
                <w:bCs/>
                <w:color w:val="000000"/>
                <w:sz w:val="18"/>
                <w:szCs w:val="18"/>
              </w:rPr>
              <w:t>884</w:t>
            </w:r>
          </w:p>
        </w:tc>
        <w:tc>
          <w:tcPr>
            <w:tcW w:w="1170" w:type="dxa"/>
            <w:tcBorders>
              <w:top w:val="nil"/>
              <w:left w:val="nil"/>
              <w:bottom w:val="single" w:sz="8" w:space="0" w:color="auto"/>
              <w:right w:val="single" w:sz="8" w:space="0" w:color="auto"/>
            </w:tcBorders>
            <w:shd w:val="clear" w:color="auto" w:fill="auto"/>
            <w:vAlign w:val="center"/>
            <w:hideMark/>
          </w:tcPr>
          <w:p w:rsidR="008A3502" w:rsidP="008A3502" w14:paraId="18D9D226" w14:textId="7334AD7F">
            <w:pPr>
              <w:jc w:val="right"/>
              <w:rPr>
                <w:color w:val="000000"/>
                <w:sz w:val="18"/>
                <w:szCs w:val="18"/>
              </w:rPr>
            </w:pPr>
            <w:r>
              <w:rPr>
                <w:color w:val="000000"/>
                <w:sz w:val="18"/>
                <w:szCs w:val="18"/>
              </w:rPr>
              <w:t> </w:t>
            </w:r>
          </w:p>
        </w:tc>
        <w:tc>
          <w:tcPr>
            <w:tcW w:w="1080" w:type="dxa"/>
            <w:tcBorders>
              <w:top w:val="nil"/>
              <w:left w:val="nil"/>
              <w:bottom w:val="single" w:sz="8" w:space="0" w:color="auto"/>
              <w:right w:val="single" w:sz="8" w:space="0" w:color="auto"/>
            </w:tcBorders>
            <w:shd w:val="clear" w:color="auto" w:fill="auto"/>
            <w:vAlign w:val="center"/>
            <w:hideMark/>
          </w:tcPr>
          <w:p w:rsidR="008A3502" w:rsidP="008A3502" w14:paraId="775FA948" w14:textId="47856922">
            <w:pPr>
              <w:jc w:val="right"/>
              <w:rPr>
                <w:b/>
                <w:bCs/>
                <w:color w:val="000000"/>
                <w:sz w:val="18"/>
                <w:szCs w:val="18"/>
              </w:rPr>
            </w:pPr>
            <w:r>
              <w:rPr>
                <w:b/>
                <w:bCs/>
                <w:color w:val="000000"/>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rsidR="008A3502" w:rsidP="008A3502" w14:paraId="2BEE392D" w14:textId="422C9633">
            <w:pPr>
              <w:ind w:firstLine="720" w:firstLineChars="400"/>
              <w:jc w:val="right"/>
              <w:rPr>
                <w:rFonts w:ascii="Calibri" w:hAnsi="Calibri" w:cs="Calibri"/>
                <w:color w:val="000000"/>
                <w:sz w:val="18"/>
                <w:szCs w:val="18"/>
              </w:rPr>
            </w:pPr>
            <w:r>
              <w:rPr>
                <w:rFonts w:ascii="Calibri" w:eastAsia="Calibri" w:hAnsi="Calibri" w:cs="Calibri"/>
                <w:color w:val="000000"/>
                <w:sz w:val="18"/>
                <w:szCs w:val="18"/>
              </w:rPr>
              <w:t>-</w:t>
            </w:r>
            <w:r>
              <w:rPr>
                <w:rFonts w:eastAsia="Calibri"/>
                <w:color w:val="000000"/>
                <w:sz w:val="14"/>
                <w:szCs w:val="14"/>
              </w:rPr>
              <w:t xml:space="preserve">          </w:t>
            </w:r>
            <w:r>
              <w:rPr>
                <w:rFonts w:eastAsia="Calibri"/>
                <w:b/>
                <w:bCs/>
                <w:color w:val="000000"/>
                <w:sz w:val="18"/>
                <w:szCs w:val="18"/>
              </w:rPr>
              <w:t> </w:t>
            </w:r>
          </w:p>
        </w:tc>
        <w:tc>
          <w:tcPr>
            <w:tcW w:w="900" w:type="dxa"/>
            <w:tcBorders>
              <w:top w:val="nil"/>
              <w:left w:val="nil"/>
              <w:bottom w:val="single" w:sz="8" w:space="0" w:color="auto"/>
              <w:right w:val="single" w:sz="8" w:space="0" w:color="auto"/>
            </w:tcBorders>
            <w:shd w:val="clear" w:color="auto" w:fill="auto"/>
            <w:vAlign w:val="center"/>
            <w:hideMark/>
          </w:tcPr>
          <w:p w:rsidR="008A3502" w:rsidP="008A3502" w14:paraId="6D143D4D" w14:textId="46AC5FF8">
            <w:pPr>
              <w:jc w:val="right"/>
              <w:rPr>
                <w:b/>
                <w:bCs/>
                <w:color w:val="000000"/>
                <w:sz w:val="18"/>
                <w:szCs w:val="18"/>
              </w:rPr>
            </w:pPr>
            <w:r>
              <w:rPr>
                <w:b/>
                <w:bCs/>
                <w:color w:val="000000"/>
                <w:sz w:val="18"/>
                <w:szCs w:val="18"/>
              </w:rPr>
              <w:t>7,650</w:t>
            </w:r>
          </w:p>
        </w:tc>
        <w:tc>
          <w:tcPr>
            <w:tcW w:w="1033" w:type="dxa"/>
            <w:tcBorders>
              <w:top w:val="nil"/>
              <w:left w:val="nil"/>
              <w:bottom w:val="single" w:sz="8" w:space="0" w:color="auto"/>
              <w:right w:val="single" w:sz="8" w:space="0" w:color="auto"/>
            </w:tcBorders>
            <w:shd w:val="clear" w:color="auto" w:fill="auto"/>
            <w:vAlign w:val="center"/>
            <w:hideMark/>
          </w:tcPr>
          <w:p w:rsidR="008A3502" w:rsidP="008A3502" w14:paraId="3C809787" w14:textId="30295EFB">
            <w:pPr>
              <w:ind w:firstLine="720" w:firstLineChars="400"/>
              <w:jc w:val="right"/>
              <w:rPr>
                <w:rFonts w:ascii="Calibri" w:hAnsi="Calibri" w:cs="Calibri"/>
                <w:color w:val="000000"/>
                <w:sz w:val="18"/>
                <w:szCs w:val="18"/>
              </w:rPr>
            </w:pPr>
            <w:r>
              <w:rPr>
                <w:rFonts w:ascii="Calibri" w:eastAsia="Calibri" w:hAnsi="Calibri" w:cs="Calibri"/>
                <w:color w:val="000000"/>
                <w:sz w:val="18"/>
                <w:szCs w:val="18"/>
              </w:rPr>
              <w:t>-</w:t>
            </w:r>
            <w:r>
              <w:rPr>
                <w:rFonts w:eastAsia="Calibri"/>
                <w:color w:val="000000"/>
                <w:sz w:val="14"/>
                <w:szCs w:val="14"/>
              </w:rPr>
              <w:t xml:space="preserve">          </w:t>
            </w:r>
            <w:r>
              <w:rPr>
                <w:rFonts w:eastAsia="Calibri"/>
                <w:b/>
                <w:bCs/>
                <w:color w:val="000000"/>
                <w:sz w:val="18"/>
                <w:szCs w:val="18"/>
              </w:rPr>
              <w:t> </w:t>
            </w:r>
          </w:p>
        </w:tc>
        <w:tc>
          <w:tcPr>
            <w:tcW w:w="1116" w:type="dxa"/>
            <w:tcBorders>
              <w:top w:val="nil"/>
              <w:left w:val="nil"/>
              <w:bottom w:val="single" w:sz="8" w:space="0" w:color="auto"/>
              <w:right w:val="single" w:sz="8" w:space="0" w:color="auto"/>
            </w:tcBorders>
            <w:shd w:val="clear" w:color="auto" w:fill="auto"/>
            <w:vAlign w:val="center"/>
            <w:hideMark/>
          </w:tcPr>
          <w:p w:rsidR="008A3502" w:rsidP="009F67D0" w14:paraId="2C41E6E4" w14:textId="48F1B663">
            <w:pPr>
              <w:jc w:val="right"/>
              <w:rPr>
                <w:b/>
                <w:bCs/>
                <w:color w:val="000000"/>
                <w:sz w:val="18"/>
                <w:szCs w:val="18"/>
              </w:rPr>
            </w:pPr>
            <w:r>
              <w:rPr>
                <w:b/>
                <w:bCs/>
                <w:color w:val="000000"/>
                <w:sz w:val="18"/>
                <w:szCs w:val="18"/>
              </w:rPr>
              <w:t>$363,604.50</w:t>
            </w:r>
          </w:p>
        </w:tc>
      </w:tr>
    </w:tbl>
    <w:p w:rsidR="00BA4EF7" w:rsidRPr="003B27A6" w:rsidP="00400B17" w14:paraId="15E80B46" w14:textId="77777777">
      <w:pPr>
        <w:keepLines/>
        <w:tabs>
          <w:tab w:val="left" w:pos="360"/>
        </w:tabs>
        <w:spacing w:after="80"/>
        <w:rPr>
          <w:color w:val="000000"/>
          <w:sz w:val="22"/>
          <w:szCs w:val="22"/>
        </w:rPr>
      </w:pPr>
    </w:p>
    <w:p w:rsidR="00881B27" w:rsidP="00400B17" w14:paraId="48DA089C" w14:textId="28FA985E">
      <w:pPr>
        <w:keepLines/>
        <w:tabs>
          <w:tab w:val="left" w:pos="0"/>
          <w:tab w:val="left" w:pos="720"/>
        </w:tabs>
        <w:spacing w:before="240"/>
        <w:contextualSpacing/>
        <w:rPr>
          <w:color w:val="000000"/>
          <w:sz w:val="22"/>
          <w:szCs w:val="22"/>
        </w:rPr>
      </w:pPr>
      <w:r>
        <w:rPr>
          <w:color w:val="000000"/>
          <w:sz w:val="22"/>
          <w:szCs w:val="22"/>
        </w:rPr>
        <w:t xml:space="preserve">All annualized costs reflect staff time spent on tasks in the table. The hourly rate is based on a GS-12 in Washington, DC. </w:t>
      </w:r>
      <w:r w:rsidR="009F67D0">
        <w:rPr>
          <w:color w:val="000000"/>
          <w:sz w:val="22"/>
          <w:szCs w:val="22"/>
        </w:rPr>
        <w:t>7</w:t>
      </w:r>
      <w:r w:rsidR="00F44F4C">
        <w:rPr>
          <w:color w:val="000000"/>
          <w:sz w:val="22"/>
          <w:szCs w:val="22"/>
        </w:rPr>
        <w:t>,</w:t>
      </w:r>
      <w:r w:rsidR="009F67D0">
        <w:rPr>
          <w:color w:val="000000"/>
          <w:sz w:val="22"/>
          <w:szCs w:val="22"/>
        </w:rPr>
        <w:t>650</w:t>
      </w:r>
      <w:r w:rsidRPr="00305E84">
        <w:rPr>
          <w:color w:val="000000"/>
          <w:sz w:val="22"/>
          <w:szCs w:val="22"/>
        </w:rPr>
        <w:t xml:space="preserve"> hours * $</w:t>
      </w:r>
      <w:r>
        <w:rPr>
          <w:color w:val="000000"/>
          <w:sz w:val="22"/>
          <w:szCs w:val="22"/>
        </w:rPr>
        <w:t>4</w:t>
      </w:r>
      <w:r w:rsidR="008A3502">
        <w:rPr>
          <w:color w:val="000000"/>
          <w:sz w:val="22"/>
          <w:szCs w:val="22"/>
        </w:rPr>
        <w:t>7</w:t>
      </w:r>
      <w:r>
        <w:rPr>
          <w:color w:val="000000"/>
          <w:sz w:val="22"/>
          <w:szCs w:val="22"/>
        </w:rPr>
        <w:t>.</w:t>
      </w:r>
      <w:r w:rsidR="008A3502">
        <w:rPr>
          <w:color w:val="000000"/>
          <w:sz w:val="22"/>
          <w:szCs w:val="22"/>
        </w:rPr>
        <w:t>53</w:t>
      </w:r>
      <w:r w:rsidRPr="00305E84" w:rsidR="008A3502">
        <w:rPr>
          <w:color w:val="000000"/>
          <w:sz w:val="22"/>
          <w:szCs w:val="22"/>
        </w:rPr>
        <w:t xml:space="preserve"> </w:t>
      </w:r>
      <w:r w:rsidRPr="00305E84">
        <w:rPr>
          <w:color w:val="000000"/>
          <w:sz w:val="22"/>
          <w:szCs w:val="22"/>
        </w:rPr>
        <w:t xml:space="preserve">= </w:t>
      </w:r>
      <w:r w:rsidRPr="00A73D8E">
        <w:rPr>
          <w:color w:val="000000"/>
          <w:sz w:val="22"/>
          <w:szCs w:val="22"/>
        </w:rPr>
        <w:t>$</w:t>
      </w:r>
      <w:r w:rsidR="009F67D0">
        <w:rPr>
          <w:color w:val="000000"/>
          <w:sz w:val="22"/>
          <w:szCs w:val="22"/>
        </w:rPr>
        <w:t>363</w:t>
      </w:r>
      <w:r w:rsidR="00F44F4C">
        <w:rPr>
          <w:color w:val="000000"/>
          <w:sz w:val="22"/>
          <w:szCs w:val="22"/>
        </w:rPr>
        <w:t>,</w:t>
      </w:r>
      <w:r w:rsidR="009F67D0">
        <w:rPr>
          <w:color w:val="000000"/>
          <w:sz w:val="22"/>
          <w:szCs w:val="22"/>
        </w:rPr>
        <w:t>604</w:t>
      </w:r>
      <w:r w:rsidR="00557E2F">
        <w:rPr>
          <w:color w:val="000000"/>
          <w:sz w:val="22"/>
          <w:szCs w:val="22"/>
        </w:rPr>
        <w:t>.</w:t>
      </w:r>
      <w:r w:rsidR="008A3502">
        <w:rPr>
          <w:color w:val="000000"/>
          <w:sz w:val="22"/>
          <w:szCs w:val="22"/>
        </w:rPr>
        <w:t>50</w:t>
      </w:r>
      <w:r w:rsidR="00C378F2">
        <w:rPr>
          <w:color w:val="000000"/>
          <w:sz w:val="22"/>
          <w:szCs w:val="22"/>
        </w:rPr>
        <w:t>.</w:t>
      </w:r>
    </w:p>
    <w:p w:rsidR="00881B27" w:rsidP="00400B17" w14:paraId="3C4B1DD9" w14:textId="77777777">
      <w:pPr>
        <w:keepLines/>
        <w:tabs>
          <w:tab w:val="left" w:pos="0"/>
          <w:tab w:val="left" w:pos="720"/>
        </w:tabs>
        <w:spacing w:before="240"/>
        <w:contextualSpacing/>
        <w:rPr>
          <w:color w:val="000000"/>
          <w:sz w:val="22"/>
          <w:szCs w:val="22"/>
        </w:rPr>
      </w:pPr>
    </w:p>
    <w:p w:rsidR="00881B27" w:rsidRPr="003B27A6" w:rsidP="008870F0" w14:paraId="7C28BFCF" w14:textId="2C5C11D2">
      <w:pPr>
        <w:keepLines/>
        <w:tabs>
          <w:tab w:val="left" w:pos="0"/>
          <w:tab w:val="left" w:pos="720"/>
        </w:tabs>
        <w:spacing w:after="200"/>
        <w:rPr>
          <w:color w:val="000000"/>
          <w:sz w:val="22"/>
          <w:szCs w:val="22"/>
        </w:rPr>
      </w:pPr>
      <w:r w:rsidRPr="00274CDE">
        <w:rPr>
          <w:color w:val="000000"/>
          <w:sz w:val="22"/>
          <w:szCs w:val="22"/>
        </w:rPr>
        <w:t xml:space="preserve">The estimated cost under this OMB approval number in this request </w:t>
      </w:r>
      <w:r>
        <w:rPr>
          <w:color w:val="000000"/>
          <w:sz w:val="22"/>
          <w:szCs w:val="22"/>
        </w:rPr>
        <w:t>is lower</w:t>
      </w:r>
      <w:r w:rsidRPr="00274CDE">
        <w:rPr>
          <w:color w:val="000000"/>
          <w:sz w:val="22"/>
          <w:szCs w:val="22"/>
        </w:rPr>
        <w:t xml:space="preserve"> than previous approval. This accounts for the removal of forms HUD-40110-C/D, and removal of pre-award information. Updates on the chart also include the addition of grant closeout, increases for a larger number of new competitive SPNS grants, and higher hourly wage.</w:t>
      </w:r>
    </w:p>
    <w:p w:rsidR="00B220AD" w:rsidRPr="0077601F" w:rsidP="00EB1763" w14:paraId="6AA1B9FA" w14:textId="76AAA357">
      <w:pPr>
        <w:pStyle w:val="BodyTextIndent"/>
        <w:rPr>
          <w:b/>
          <w:szCs w:val="22"/>
        </w:rPr>
      </w:pPr>
      <w:r w:rsidRPr="00B32550">
        <w:rPr>
          <w:b/>
          <w:szCs w:val="22"/>
        </w:rPr>
        <w:t>15.</w:t>
      </w:r>
      <w:r w:rsidRPr="00B32550">
        <w:rPr>
          <w:b/>
          <w:szCs w:val="22"/>
        </w:rPr>
        <w:tab/>
        <w:t>Explain any program changes or adjustments reported in items 13 and 14 of the OMB Form 83i.</w:t>
      </w:r>
      <w:r w:rsidRPr="00B32550" w:rsidR="00BC1CB4">
        <w:rPr>
          <w:b/>
          <w:szCs w:val="22"/>
        </w:rPr>
        <w:t xml:space="preserve"> </w:t>
      </w:r>
      <w:r w:rsidRPr="00B32550">
        <w:rPr>
          <w:b/>
          <w:szCs w:val="22"/>
        </w:rPr>
        <w:t>Also explain any other changes/revisions to the information collection.</w:t>
      </w:r>
    </w:p>
    <w:p w:rsidR="0086028F" w:rsidP="00A61D71" w14:paraId="109F9E96" w14:textId="0A8CC265">
      <w:pPr>
        <w:keepLines/>
        <w:tabs>
          <w:tab w:val="left" w:pos="360"/>
        </w:tabs>
        <w:spacing w:before="240" w:after="80"/>
        <w:rPr>
          <w:color w:val="000000"/>
          <w:sz w:val="22"/>
          <w:szCs w:val="22"/>
        </w:rPr>
      </w:pPr>
      <w:r>
        <w:rPr>
          <w:color w:val="000000"/>
          <w:sz w:val="22"/>
          <w:szCs w:val="22"/>
        </w:rPr>
        <w:t xml:space="preserve">This submission is to request a </w:t>
      </w:r>
      <w:r w:rsidR="004D2339">
        <w:rPr>
          <w:color w:val="000000"/>
          <w:sz w:val="22"/>
          <w:szCs w:val="22"/>
        </w:rPr>
        <w:t xml:space="preserve">minor revision of the data elements </w:t>
      </w:r>
      <w:r w:rsidR="00A1328A">
        <w:rPr>
          <w:color w:val="000000"/>
          <w:sz w:val="22"/>
          <w:szCs w:val="22"/>
        </w:rPr>
        <w:t xml:space="preserve">reflected in </w:t>
      </w:r>
      <w:r w:rsidR="004D2339">
        <w:rPr>
          <w:color w:val="000000"/>
          <w:sz w:val="22"/>
          <w:szCs w:val="22"/>
        </w:rPr>
        <w:t>HUD-4155 to add some data elements and remove others.</w:t>
      </w:r>
      <w:r w:rsidR="00452B49">
        <w:rPr>
          <w:color w:val="000000"/>
          <w:sz w:val="22"/>
          <w:szCs w:val="22"/>
        </w:rPr>
        <w:t xml:space="preserve"> Also, this submission </w:t>
      </w:r>
      <w:r w:rsidR="00BF3B66">
        <w:rPr>
          <w:color w:val="000000"/>
          <w:sz w:val="22"/>
          <w:szCs w:val="22"/>
        </w:rPr>
        <w:t>requests removal of</w:t>
      </w:r>
      <w:r w:rsidR="00452B49">
        <w:rPr>
          <w:color w:val="000000"/>
          <w:sz w:val="22"/>
          <w:szCs w:val="22"/>
        </w:rPr>
        <w:t xml:space="preserve"> forms HUD-40110-C and HUD-40110-D from the information collection.</w:t>
      </w:r>
      <w:r w:rsidR="004D2339">
        <w:rPr>
          <w:color w:val="000000"/>
          <w:sz w:val="22"/>
          <w:szCs w:val="22"/>
        </w:rPr>
        <w:t xml:space="preserve"> </w:t>
      </w:r>
      <w:r w:rsidR="007C0D2F">
        <w:rPr>
          <w:color w:val="000000"/>
          <w:sz w:val="22"/>
          <w:szCs w:val="22"/>
        </w:rPr>
        <w:t>In a previous PRA submission, t</w:t>
      </w:r>
      <w:r w:rsidR="001C6883">
        <w:rPr>
          <w:color w:val="000000"/>
          <w:sz w:val="22"/>
          <w:szCs w:val="22"/>
        </w:rPr>
        <w:t>he</w:t>
      </w:r>
      <w:r w:rsidR="007C0D2F">
        <w:rPr>
          <w:color w:val="000000"/>
          <w:sz w:val="22"/>
          <w:szCs w:val="22"/>
        </w:rPr>
        <w:t xml:space="preserve"> data elements in these forms were consolidated into a single set of data elements</w:t>
      </w:r>
      <w:r w:rsidR="000E4CE1">
        <w:rPr>
          <w:color w:val="000000"/>
          <w:sz w:val="22"/>
          <w:szCs w:val="22"/>
        </w:rPr>
        <w:t>,</w:t>
      </w:r>
      <w:r w:rsidR="00D046D1">
        <w:rPr>
          <w:color w:val="000000"/>
          <w:sz w:val="22"/>
          <w:szCs w:val="22"/>
        </w:rPr>
        <w:t xml:space="preserve"> which</w:t>
      </w:r>
      <w:r w:rsidR="007C0D2F">
        <w:rPr>
          <w:color w:val="000000"/>
          <w:sz w:val="22"/>
          <w:szCs w:val="22"/>
        </w:rPr>
        <w:t xml:space="preserve"> are </w:t>
      </w:r>
      <w:r w:rsidR="008318E8">
        <w:rPr>
          <w:color w:val="000000"/>
          <w:sz w:val="22"/>
          <w:szCs w:val="22"/>
        </w:rPr>
        <w:t xml:space="preserve">now </w:t>
      </w:r>
      <w:r w:rsidR="007C0D2F">
        <w:rPr>
          <w:color w:val="000000"/>
          <w:sz w:val="22"/>
          <w:szCs w:val="22"/>
        </w:rPr>
        <w:t>reflected in the HUD-4155. Therefore these forms are no longer needed.</w:t>
      </w:r>
      <w:r w:rsidR="00523836">
        <w:rPr>
          <w:color w:val="000000"/>
          <w:sz w:val="22"/>
          <w:szCs w:val="22"/>
        </w:rPr>
        <w:t xml:space="preserve"> Due to the removal of forms HUD-40110-C and HUD-40110-D</w:t>
      </w:r>
      <w:r w:rsidR="0089656C">
        <w:rPr>
          <w:color w:val="000000"/>
          <w:sz w:val="22"/>
          <w:szCs w:val="22"/>
        </w:rPr>
        <w:t>,</w:t>
      </w:r>
      <w:r w:rsidR="00523836">
        <w:rPr>
          <w:color w:val="000000"/>
          <w:sz w:val="22"/>
          <w:szCs w:val="22"/>
        </w:rPr>
        <w:t xml:space="preserve"> the burden hours </w:t>
      </w:r>
      <w:r w:rsidR="009F67D0">
        <w:rPr>
          <w:color w:val="000000"/>
          <w:sz w:val="22"/>
          <w:szCs w:val="22"/>
        </w:rPr>
        <w:t xml:space="preserve">for reporting </w:t>
      </w:r>
      <w:r w:rsidR="00523836">
        <w:rPr>
          <w:color w:val="000000"/>
          <w:sz w:val="22"/>
          <w:szCs w:val="22"/>
        </w:rPr>
        <w:t xml:space="preserve">appear to be lower because those forms were carrying burden hours through the transition to form HUD-4155. </w:t>
      </w:r>
      <w:r w:rsidR="007C0D2F">
        <w:rPr>
          <w:color w:val="000000"/>
          <w:sz w:val="22"/>
          <w:szCs w:val="22"/>
        </w:rPr>
        <w:t xml:space="preserve"> </w:t>
      </w:r>
    </w:p>
    <w:p w:rsidR="0086028F" w14:paraId="36C5B349" w14:textId="121E8279">
      <w:pPr>
        <w:tabs>
          <w:tab w:val="left" w:pos="0"/>
        </w:tabs>
        <w:rPr>
          <w:color w:val="000000"/>
          <w:sz w:val="22"/>
          <w:szCs w:val="22"/>
        </w:rPr>
      </w:pPr>
      <w:r w:rsidRPr="00AB7DB8">
        <w:rPr>
          <w:color w:val="000000"/>
          <w:sz w:val="22"/>
          <w:szCs w:val="22"/>
        </w:rPr>
        <w:t xml:space="preserve">OHH continues to ask for </w:t>
      </w:r>
      <w:r w:rsidRPr="00AB7DB8">
        <w:rPr>
          <w:sz w:val="22"/>
          <w:szCs w:val="22"/>
        </w:rPr>
        <w:t>approval for th</w:t>
      </w:r>
      <w:r w:rsidRPr="00882C8C">
        <w:rPr>
          <w:sz w:val="22"/>
          <w:szCs w:val="22"/>
        </w:rPr>
        <w:t>e HUD-4155</w:t>
      </w:r>
      <w:r w:rsidRPr="00AB7DB8">
        <w:rPr>
          <w:sz w:val="22"/>
          <w:szCs w:val="22"/>
        </w:rPr>
        <w:t xml:space="preserve"> information collection in the form of a data table instead of as a specific form, in order to allow for the possibility of collecting these elements from new or existing computer systems, when possible and as the funding to adapt existing systems and/or purchase new software systems becomes available. </w:t>
      </w:r>
      <w:r w:rsidRPr="00816D51">
        <w:rPr>
          <w:sz w:val="22"/>
          <w:szCs w:val="22"/>
        </w:rPr>
        <w:t xml:space="preserve">For example, </w:t>
      </w:r>
      <w:r w:rsidRPr="00816D51">
        <w:rPr>
          <w:color w:val="000000"/>
          <w:sz w:val="22"/>
          <w:szCs w:val="22"/>
        </w:rPr>
        <w:t>OHH</w:t>
      </w:r>
      <w:r>
        <w:rPr>
          <w:color w:val="000000"/>
          <w:sz w:val="22"/>
          <w:szCs w:val="22"/>
        </w:rPr>
        <w:t xml:space="preserve"> is exploring the possibility of pulling expenditure data out of the grant financial dis</w:t>
      </w:r>
      <w:r w:rsidR="00C15A06">
        <w:rPr>
          <w:color w:val="000000"/>
          <w:sz w:val="22"/>
          <w:szCs w:val="22"/>
        </w:rPr>
        <w:t>b</w:t>
      </w:r>
      <w:r>
        <w:rPr>
          <w:color w:val="000000"/>
          <w:sz w:val="22"/>
          <w:szCs w:val="22"/>
        </w:rPr>
        <w:t xml:space="preserve">ursement system used by grantees to eliminate the need for </w:t>
      </w:r>
      <w:r>
        <w:rPr>
          <w:color w:val="000000"/>
          <w:sz w:val="22"/>
          <w:szCs w:val="22"/>
        </w:rPr>
        <w:t>grantees to report expenditure data in the</w:t>
      </w:r>
      <w:r w:rsidR="00A1328A">
        <w:rPr>
          <w:color w:val="000000"/>
          <w:sz w:val="22"/>
          <w:szCs w:val="22"/>
        </w:rPr>
        <w:t>ir annual reports</w:t>
      </w:r>
      <w:r>
        <w:rPr>
          <w:color w:val="000000"/>
          <w:sz w:val="22"/>
          <w:szCs w:val="22"/>
        </w:rPr>
        <w:t>. If this proves possible, this will further alleviate grantee reporting burden.</w:t>
      </w:r>
    </w:p>
    <w:p w:rsidR="009D00CE" w14:paraId="2976C6D9" w14:textId="77777777">
      <w:pPr>
        <w:tabs>
          <w:tab w:val="left" w:pos="0"/>
        </w:tabs>
        <w:rPr>
          <w:color w:val="000000"/>
          <w:sz w:val="22"/>
          <w:szCs w:val="22"/>
        </w:rPr>
      </w:pPr>
    </w:p>
    <w:p w:rsidR="009D00CE" w:rsidP="008318E8" w14:paraId="230DD3DC" w14:textId="39AA1B91">
      <w:pPr>
        <w:tabs>
          <w:tab w:val="left" w:pos="0"/>
        </w:tabs>
        <w:rPr>
          <w:color w:val="000000"/>
          <w:sz w:val="22"/>
          <w:szCs w:val="22"/>
        </w:rPr>
      </w:pPr>
      <w:r>
        <w:rPr>
          <w:color w:val="000000"/>
          <w:sz w:val="22"/>
          <w:szCs w:val="22"/>
        </w:rPr>
        <w:t xml:space="preserve">This collection also removed pre-award information collection and added grant closeout information collection. </w:t>
      </w:r>
    </w:p>
    <w:p w:rsidR="00DE447B" w:rsidRPr="003B27A6" w14:paraId="687D7FD8" w14:textId="77777777">
      <w:pPr>
        <w:tabs>
          <w:tab w:val="left" w:pos="360"/>
        </w:tabs>
        <w:ind w:left="360" w:hanging="360"/>
        <w:rPr>
          <w:color w:val="000000"/>
          <w:sz w:val="22"/>
          <w:szCs w:val="22"/>
        </w:rPr>
      </w:pPr>
    </w:p>
    <w:p w:rsidR="00D73EE7" w:rsidRPr="00BC1CB4" w14:paraId="71675EE2" w14:textId="77777777">
      <w:pPr>
        <w:keepLines/>
        <w:tabs>
          <w:tab w:val="left" w:pos="360"/>
          <w:tab w:val="left" w:pos="720"/>
        </w:tabs>
        <w:ind w:left="360" w:hanging="360"/>
        <w:rPr>
          <w:b/>
          <w:color w:val="000000"/>
          <w:sz w:val="22"/>
          <w:szCs w:val="22"/>
        </w:rPr>
      </w:pPr>
      <w:r w:rsidRPr="00EB1763">
        <w:rPr>
          <w:b/>
          <w:color w:val="000000"/>
          <w:sz w:val="22"/>
          <w:szCs w:val="22"/>
        </w:rPr>
        <w:t>16.</w:t>
      </w:r>
      <w:r w:rsidRPr="00EB1763">
        <w:rPr>
          <w:b/>
          <w:color w:val="000000"/>
          <w:sz w:val="22"/>
          <w:szCs w:val="22"/>
        </w:rPr>
        <w:tab/>
        <w:t>If the information will be published, outline plans for tabulation and publication.</w:t>
      </w:r>
      <w:r w:rsidRPr="00BC1CB4">
        <w:rPr>
          <w:b/>
          <w:color w:val="000000"/>
          <w:sz w:val="22"/>
          <w:szCs w:val="22"/>
        </w:rPr>
        <w:t xml:space="preserve">  </w:t>
      </w:r>
    </w:p>
    <w:p w:rsidR="007A3488" w:rsidP="007A3488" w14:paraId="17125925" w14:textId="45AF1493">
      <w:pPr>
        <w:keepLines/>
        <w:tabs>
          <w:tab w:val="left" w:pos="0"/>
          <w:tab w:val="left" w:pos="720"/>
        </w:tabs>
        <w:spacing w:before="240"/>
        <w:rPr>
          <w:color w:val="000000"/>
          <w:sz w:val="22"/>
          <w:szCs w:val="22"/>
        </w:rPr>
      </w:pPr>
      <w:r w:rsidRPr="000D2DF6">
        <w:rPr>
          <w:color w:val="000000"/>
          <w:sz w:val="22"/>
          <w:szCs w:val="22"/>
        </w:rPr>
        <w:t>The Department analyzes grantee performance and accomplishment data on an annual basis and responds to congressional and budget inquiries for specific reporting of program accomplishments.</w:t>
      </w:r>
      <w:r w:rsidR="007E4664">
        <w:rPr>
          <w:color w:val="000000"/>
          <w:sz w:val="22"/>
          <w:szCs w:val="22"/>
        </w:rPr>
        <w:t xml:space="preserve"> </w:t>
      </w:r>
      <w:r>
        <w:rPr>
          <w:color w:val="000000"/>
          <w:sz w:val="22"/>
          <w:szCs w:val="22"/>
        </w:rPr>
        <w:t xml:space="preserve"> National and grantee-level performance profiles based on information submitted in the </w:t>
      </w:r>
      <w:r w:rsidR="0064281D">
        <w:rPr>
          <w:color w:val="000000"/>
          <w:sz w:val="22"/>
          <w:szCs w:val="22"/>
        </w:rPr>
        <w:t>HUD-4155</w:t>
      </w:r>
      <w:r>
        <w:rPr>
          <w:color w:val="000000"/>
          <w:sz w:val="22"/>
          <w:szCs w:val="22"/>
        </w:rPr>
        <w:t xml:space="preserve"> are posted on</w:t>
      </w:r>
      <w:r w:rsidR="00504AB1">
        <w:rPr>
          <w:color w:val="000000"/>
          <w:sz w:val="22"/>
          <w:szCs w:val="22"/>
        </w:rPr>
        <w:t xml:space="preserve"> HUD websites quarterly</w:t>
      </w:r>
      <w:r>
        <w:rPr>
          <w:color w:val="000000"/>
          <w:sz w:val="22"/>
          <w:szCs w:val="22"/>
        </w:rPr>
        <w:t>.</w:t>
      </w:r>
      <w:r w:rsidR="00797CCF">
        <w:rPr>
          <w:color w:val="000000"/>
          <w:sz w:val="22"/>
          <w:szCs w:val="22"/>
        </w:rPr>
        <w:t xml:space="preserve"> Information provided through </w:t>
      </w:r>
      <w:r w:rsidR="0039071D">
        <w:rPr>
          <w:color w:val="000000"/>
          <w:sz w:val="22"/>
          <w:szCs w:val="22"/>
        </w:rPr>
        <w:t>f</w:t>
      </w:r>
      <w:r w:rsidR="00797CCF">
        <w:rPr>
          <w:color w:val="000000"/>
          <w:sz w:val="22"/>
          <w:szCs w:val="22"/>
        </w:rPr>
        <w:t>orm HUD-4153</w:t>
      </w:r>
      <w:r w:rsidRPr="00A61D71" w:rsidR="00797CCF">
        <w:rPr>
          <w:color w:val="000000"/>
          <w:sz w:val="22"/>
          <w:szCs w:val="22"/>
        </w:rPr>
        <w:t xml:space="preserve"> will be shared with the public, and lessons learned through grantee efforts will help inform national and community policy and actions.</w:t>
      </w:r>
    </w:p>
    <w:p w:rsidR="00D73EE7" w:rsidRPr="00FE3697" w:rsidP="00FE3697" w14:paraId="69B697B5" w14:textId="35F2B111">
      <w:pPr>
        <w:keepLines/>
        <w:tabs>
          <w:tab w:val="left" w:pos="360"/>
          <w:tab w:val="left" w:pos="720"/>
        </w:tabs>
        <w:ind w:left="360" w:hanging="360"/>
        <w:rPr>
          <w:b/>
          <w:color w:val="000000"/>
          <w:sz w:val="22"/>
        </w:rPr>
      </w:pPr>
    </w:p>
    <w:p w:rsidR="00D73EE7" w:rsidRPr="009C2ABB" w14:paraId="1CE6D86B" w14:textId="77777777">
      <w:pPr>
        <w:keepLines/>
        <w:tabs>
          <w:tab w:val="left" w:pos="360"/>
          <w:tab w:val="left" w:pos="720"/>
        </w:tabs>
        <w:ind w:left="360" w:hanging="360"/>
        <w:rPr>
          <w:b/>
          <w:color w:val="000000"/>
          <w:sz w:val="22"/>
          <w:szCs w:val="22"/>
        </w:rPr>
      </w:pPr>
      <w:r w:rsidRPr="009C2ABB">
        <w:rPr>
          <w:b/>
          <w:color w:val="000000"/>
          <w:sz w:val="22"/>
          <w:szCs w:val="22"/>
        </w:rPr>
        <w:t>17.</w:t>
      </w:r>
      <w:r w:rsidRPr="009C2ABB">
        <w:rPr>
          <w:b/>
          <w:color w:val="000000"/>
          <w:sz w:val="22"/>
          <w:szCs w:val="22"/>
        </w:rPr>
        <w:tab/>
        <w:t xml:space="preserve">Explain any request to not display the expiration date. </w:t>
      </w:r>
    </w:p>
    <w:p w:rsidR="00994883" w:rsidRPr="003B27A6" w:rsidP="000D2DF6" w14:paraId="5F09364B" w14:textId="4B7E3B93">
      <w:pPr>
        <w:tabs>
          <w:tab w:val="left" w:pos="0"/>
        </w:tabs>
        <w:spacing w:before="240" w:after="240"/>
        <w:rPr>
          <w:color w:val="000000"/>
          <w:sz w:val="22"/>
          <w:szCs w:val="22"/>
        </w:rPr>
      </w:pPr>
      <w:r>
        <w:rPr>
          <w:color w:val="000000"/>
          <w:sz w:val="22"/>
          <w:szCs w:val="22"/>
        </w:rPr>
        <w:t xml:space="preserve">The Department is not seeking </w:t>
      </w:r>
      <w:r>
        <w:rPr>
          <w:color w:val="000000"/>
          <w:sz w:val="22"/>
          <w:szCs w:val="22"/>
        </w:rPr>
        <w:t>approval to not display the</w:t>
      </w:r>
      <w:r w:rsidR="00864466">
        <w:rPr>
          <w:color w:val="000000"/>
          <w:sz w:val="22"/>
          <w:szCs w:val="22"/>
        </w:rPr>
        <w:t xml:space="preserve"> OMB approval</w:t>
      </w:r>
      <w:r>
        <w:rPr>
          <w:color w:val="000000"/>
          <w:sz w:val="22"/>
          <w:szCs w:val="22"/>
        </w:rPr>
        <w:t xml:space="preserve"> expiration date for the information collected.</w:t>
      </w:r>
    </w:p>
    <w:p w:rsidR="00D73EE7" w:rsidRPr="009C2ABB" w:rsidP="000D2DF6" w14:paraId="7F74C8A3" w14:textId="77777777">
      <w:pPr>
        <w:pStyle w:val="BodyTextIndent"/>
        <w:keepLines w:val="0"/>
        <w:spacing w:before="240"/>
        <w:rPr>
          <w:b/>
          <w:szCs w:val="22"/>
        </w:rPr>
      </w:pPr>
      <w:r w:rsidRPr="009C2ABB">
        <w:rPr>
          <w:b/>
          <w:szCs w:val="22"/>
        </w:rPr>
        <w:t>18.</w:t>
      </w:r>
      <w:r w:rsidRPr="009C2ABB">
        <w:rPr>
          <w:b/>
          <w:szCs w:val="22"/>
        </w:rPr>
        <w:tab/>
        <w:t xml:space="preserve">Explain each exception to the certification statement identified in item 83i-19.  </w:t>
      </w:r>
    </w:p>
    <w:p w:rsidR="002260F4" w:rsidP="000D2DF6" w14:paraId="3E421CE9" w14:textId="2106E9DF">
      <w:pPr>
        <w:spacing w:before="240"/>
        <w:rPr>
          <w:color w:val="000000"/>
          <w:sz w:val="22"/>
          <w:szCs w:val="22"/>
        </w:rPr>
      </w:pPr>
      <w:r>
        <w:rPr>
          <w:color w:val="000000"/>
          <w:sz w:val="22"/>
          <w:szCs w:val="22"/>
        </w:rPr>
        <w:t xml:space="preserve">The Department is not seeking an </w:t>
      </w:r>
      <w:r w:rsidR="001A62FC">
        <w:rPr>
          <w:color w:val="000000"/>
          <w:sz w:val="22"/>
          <w:szCs w:val="22"/>
        </w:rPr>
        <w:t>exception to the certification statement.</w:t>
      </w:r>
      <w:r w:rsidRPr="003B27A6" w:rsidR="00D73EE7">
        <w:rPr>
          <w:color w:val="000000"/>
          <w:sz w:val="22"/>
          <w:szCs w:val="22"/>
        </w:rPr>
        <w:t xml:space="preserve"> </w:t>
      </w:r>
    </w:p>
    <w:p w:rsidR="00B37D9B" w:rsidRPr="009C2ABB" w:rsidP="000D2DF6" w14:paraId="26E099D3" w14:textId="77777777">
      <w:pPr>
        <w:spacing w:before="240"/>
        <w:jc w:val="both"/>
        <w:rPr>
          <w:b/>
          <w:color w:val="000000"/>
          <w:sz w:val="22"/>
          <w:szCs w:val="22"/>
        </w:rPr>
      </w:pPr>
      <w:r w:rsidRPr="009C2ABB">
        <w:rPr>
          <w:b/>
          <w:color w:val="000000"/>
          <w:sz w:val="22"/>
          <w:szCs w:val="22"/>
        </w:rPr>
        <w:t>B. Collections of Information Employing Statistical Methods</w:t>
      </w:r>
    </w:p>
    <w:p w:rsidR="00B37D9B" w:rsidP="000D2DF6" w14:paraId="1179FCDC" w14:textId="77777777">
      <w:pPr>
        <w:spacing w:before="240"/>
        <w:jc w:val="both"/>
        <w:rPr>
          <w:color w:val="000000"/>
          <w:sz w:val="22"/>
          <w:szCs w:val="22"/>
        </w:rPr>
      </w:pPr>
      <w:r w:rsidRPr="000D2DF6">
        <w:rPr>
          <w:color w:val="000000"/>
          <w:sz w:val="22"/>
          <w:szCs w:val="22"/>
        </w:rPr>
        <w:t>The HOPWA program does not use statistical methods.</w:t>
      </w:r>
    </w:p>
    <w:p w:rsidR="00B37D9B" w:rsidP="000D2DF6" w14:paraId="0FE64929" w14:textId="7EA13356">
      <w:pPr>
        <w:rPr>
          <w:color w:val="000000"/>
          <w:sz w:val="22"/>
          <w:szCs w:val="22"/>
        </w:rPr>
      </w:pPr>
    </w:p>
    <w:p w:rsidR="009C2ABB" w:rsidRPr="003B27A6" w:rsidP="000D2DF6" w14:paraId="42BB95D2" w14:textId="2F0C5E12">
      <w:pPr>
        <w:rPr>
          <w:color w:val="000000"/>
          <w:sz w:val="22"/>
          <w:szCs w:val="22"/>
        </w:rPr>
      </w:pPr>
    </w:p>
    <w:sectPr>
      <w:pgSz w:w="12240" w:h="15840"/>
      <w:pgMar w:top="960" w:right="1440" w:bottom="9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3FAE597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B26EA4E0"/>
    <w:lvl w:ilvl="0">
      <w:start w:val="0"/>
      <w:numFmt w:val="decimal"/>
      <w:lvlText w:val="*"/>
      <w:lvlJc w:val="left"/>
    </w:lvl>
  </w:abstractNum>
  <w:abstractNum w:abstractNumId="2">
    <w:nsid w:val="021D4B79"/>
    <w:multiLevelType w:val="hybridMultilevel"/>
    <w:tmpl w:val="2BF6F4D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FC7495"/>
    <w:multiLevelType w:val="hybridMultilevel"/>
    <w:tmpl w:val="E2C40664"/>
    <w:lvl w:ilvl="0">
      <w:start w:val="18"/>
      <w:numFmt w:val="decimal"/>
      <w:lvlText w:val="%1."/>
      <w:lvlJc w:val="left"/>
      <w:pPr>
        <w:tabs>
          <w:tab w:val="num" w:pos="720"/>
        </w:tabs>
        <w:ind w:left="720" w:hanging="360"/>
      </w:pPr>
      <w:rPr>
        <w:rFonts w:hint="default"/>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84C6E04"/>
    <w:multiLevelType w:val="hybridMultilevel"/>
    <w:tmpl w:val="BCEEB0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982209"/>
    <w:multiLevelType w:val="hybridMultilevel"/>
    <w:tmpl w:val="BA249918"/>
    <w:lvl w:ilvl="0">
      <w:start w:val="3"/>
      <w:numFmt w:val="decimal"/>
      <w:lvlText w:val="%1."/>
      <w:lvlJc w:val="left"/>
      <w:pPr>
        <w:tabs>
          <w:tab w:val="num" w:pos="720"/>
        </w:tabs>
        <w:ind w:left="720" w:hanging="360"/>
      </w:pPr>
      <w:rPr>
        <w:rFonts w:hint="default"/>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A9D59FC"/>
    <w:multiLevelType w:val="hybridMultilevel"/>
    <w:tmpl w:val="A8AC6B02"/>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C2C3703"/>
    <w:multiLevelType w:val="hybridMultilevel"/>
    <w:tmpl w:val="364A2B8E"/>
    <w:lvl w:ilvl="0">
      <w:start w:val="1"/>
      <w:numFmt w:val="upperRoman"/>
      <w:lvlText w:val="%1."/>
      <w:lvlJc w:val="left"/>
      <w:pPr>
        <w:ind w:left="829" w:hanging="360"/>
      </w:pPr>
      <w:rPr>
        <w:rFonts w:ascii="Times New Roman" w:hAnsi="Times New Roman" w:cs="Times New Roman" w:hint="default"/>
        <w:sz w:val="40"/>
      </w:rPr>
    </w:lvl>
    <w:lvl w:ilvl="1" w:tentative="1">
      <w:start w:val="1"/>
      <w:numFmt w:val="lowerLetter"/>
      <w:lvlText w:val="%2."/>
      <w:lvlJc w:val="left"/>
      <w:pPr>
        <w:ind w:left="1549" w:hanging="360"/>
      </w:pPr>
    </w:lvl>
    <w:lvl w:ilvl="2" w:tentative="1">
      <w:start w:val="1"/>
      <w:numFmt w:val="lowerRoman"/>
      <w:lvlText w:val="%3."/>
      <w:lvlJc w:val="right"/>
      <w:pPr>
        <w:ind w:left="2269" w:hanging="180"/>
      </w:pPr>
    </w:lvl>
    <w:lvl w:ilvl="3" w:tentative="1">
      <w:start w:val="1"/>
      <w:numFmt w:val="decimal"/>
      <w:lvlText w:val="%4."/>
      <w:lvlJc w:val="left"/>
      <w:pPr>
        <w:ind w:left="2989" w:hanging="360"/>
      </w:pPr>
    </w:lvl>
    <w:lvl w:ilvl="4" w:tentative="1">
      <w:start w:val="1"/>
      <w:numFmt w:val="lowerLetter"/>
      <w:lvlText w:val="%5."/>
      <w:lvlJc w:val="left"/>
      <w:pPr>
        <w:ind w:left="3709" w:hanging="360"/>
      </w:pPr>
    </w:lvl>
    <w:lvl w:ilvl="5" w:tentative="1">
      <w:start w:val="1"/>
      <w:numFmt w:val="lowerRoman"/>
      <w:lvlText w:val="%6."/>
      <w:lvlJc w:val="right"/>
      <w:pPr>
        <w:ind w:left="4429" w:hanging="180"/>
      </w:pPr>
    </w:lvl>
    <w:lvl w:ilvl="6" w:tentative="1">
      <w:start w:val="1"/>
      <w:numFmt w:val="decimal"/>
      <w:lvlText w:val="%7."/>
      <w:lvlJc w:val="left"/>
      <w:pPr>
        <w:ind w:left="5149" w:hanging="360"/>
      </w:pPr>
    </w:lvl>
    <w:lvl w:ilvl="7" w:tentative="1">
      <w:start w:val="1"/>
      <w:numFmt w:val="lowerLetter"/>
      <w:lvlText w:val="%8."/>
      <w:lvlJc w:val="left"/>
      <w:pPr>
        <w:ind w:left="5869" w:hanging="360"/>
      </w:pPr>
    </w:lvl>
    <w:lvl w:ilvl="8" w:tentative="1">
      <w:start w:val="1"/>
      <w:numFmt w:val="lowerRoman"/>
      <w:lvlText w:val="%9."/>
      <w:lvlJc w:val="right"/>
      <w:pPr>
        <w:ind w:left="6589" w:hanging="180"/>
      </w:pPr>
    </w:lvl>
  </w:abstractNum>
  <w:abstractNum w:abstractNumId="8">
    <w:nsid w:val="109E242E"/>
    <w:multiLevelType w:val="hybridMultilevel"/>
    <w:tmpl w:val="1DD4C2A0"/>
    <w:lvl w:ilvl="0">
      <w:start w:val="1"/>
      <w:numFmt w:val="upperRoman"/>
      <w:lvlText w:val="%1."/>
      <w:lvlJc w:val="left"/>
      <w:pPr>
        <w:ind w:left="1080" w:hanging="720"/>
      </w:pPr>
      <w:rPr>
        <w:rFonts w:hint="default"/>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E9756C"/>
    <w:multiLevelType w:val="hybridMultilevel"/>
    <w:tmpl w:val="E564DA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F971A5"/>
    <w:multiLevelType w:val="hybridMultilevel"/>
    <w:tmpl w:val="87B83E00"/>
    <w:lvl w:ilvl="0">
      <w:start w:val="81"/>
      <w:numFmt w:val="bullet"/>
      <w:lvlText w:val="-"/>
      <w:lvlJc w:val="left"/>
      <w:pPr>
        <w:ind w:left="720" w:hanging="360"/>
      </w:pPr>
      <w:rPr>
        <w:rFonts w:ascii="Calibri" w:eastAsia="Times New Roman"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5B0141"/>
    <w:multiLevelType w:val="hybridMultilevel"/>
    <w:tmpl w:val="964C5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D15914"/>
    <w:multiLevelType w:val="hybridMultilevel"/>
    <w:tmpl w:val="6C06BC7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92F0811"/>
    <w:multiLevelType w:val="hybridMultilevel"/>
    <w:tmpl w:val="30FED2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96F0B2A"/>
    <w:multiLevelType w:val="hybridMultilevel"/>
    <w:tmpl w:val="F8A09BD6"/>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AE77525"/>
    <w:multiLevelType w:val="hybridMultilevel"/>
    <w:tmpl w:val="757698F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03D2C1A"/>
    <w:multiLevelType w:val="hybridMultilevel"/>
    <w:tmpl w:val="6F7C82EC"/>
    <w:lvl w:ilvl="0">
      <w:start w:val="81"/>
      <w:numFmt w:val="bullet"/>
      <w:lvlText w:val="-"/>
      <w:lvlJc w:val="left"/>
      <w:pPr>
        <w:ind w:left="720" w:hanging="360"/>
      </w:pPr>
      <w:rPr>
        <w:rFonts w:ascii="Calibri" w:eastAsia="Times New Roman"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6E046FE"/>
    <w:multiLevelType w:val="hybridMultilevel"/>
    <w:tmpl w:val="9650F38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8">
    <w:nsid w:val="4AD04174"/>
    <w:multiLevelType w:val="hybridMultilevel"/>
    <w:tmpl w:val="3EB652C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337F69"/>
    <w:multiLevelType w:val="hybridMultilevel"/>
    <w:tmpl w:val="785CC204"/>
    <w:lvl w:ilvl="0">
      <w:start w:val="1"/>
      <w:numFmt w:val="bullet"/>
      <w:lvlText w:val=""/>
      <w:lvlJc w:val="left"/>
      <w:pPr>
        <w:tabs>
          <w:tab w:val="num" w:pos="0"/>
        </w:tabs>
        <w:ind w:left="144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5D461C8"/>
    <w:multiLevelType w:val="hybridMultilevel"/>
    <w:tmpl w:val="EECE0A5E"/>
    <w:lvl w:ilvl="0">
      <w:start w:val="1"/>
      <w:numFmt w:val="bullet"/>
      <w:lvlText w:val=""/>
      <w:lvlJc w:val="left"/>
      <w:pPr>
        <w:ind w:left="480" w:hanging="360"/>
      </w:pPr>
      <w:rPr>
        <w:rFonts w:ascii="Symbol" w:hAnsi="Symbol" w:hint="default"/>
      </w:rPr>
    </w:lvl>
    <w:lvl w:ilvl="1" w:tentative="1">
      <w:start w:val="1"/>
      <w:numFmt w:val="bullet"/>
      <w:lvlText w:val="o"/>
      <w:lvlJc w:val="left"/>
      <w:pPr>
        <w:ind w:left="1200" w:hanging="360"/>
      </w:pPr>
      <w:rPr>
        <w:rFonts w:ascii="Courier New" w:hAnsi="Courier New" w:cs="Courier New" w:hint="default"/>
      </w:rPr>
    </w:lvl>
    <w:lvl w:ilvl="2" w:tentative="1">
      <w:start w:val="1"/>
      <w:numFmt w:val="bullet"/>
      <w:lvlText w:val=""/>
      <w:lvlJc w:val="left"/>
      <w:pPr>
        <w:ind w:left="1920" w:hanging="360"/>
      </w:pPr>
      <w:rPr>
        <w:rFonts w:ascii="Wingdings" w:hAnsi="Wingdings" w:hint="default"/>
      </w:rPr>
    </w:lvl>
    <w:lvl w:ilvl="3" w:tentative="1">
      <w:start w:val="1"/>
      <w:numFmt w:val="bullet"/>
      <w:lvlText w:val=""/>
      <w:lvlJc w:val="left"/>
      <w:pPr>
        <w:ind w:left="2640" w:hanging="360"/>
      </w:pPr>
      <w:rPr>
        <w:rFonts w:ascii="Symbol" w:hAnsi="Symbol" w:hint="default"/>
      </w:rPr>
    </w:lvl>
    <w:lvl w:ilvl="4" w:tentative="1">
      <w:start w:val="1"/>
      <w:numFmt w:val="bullet"/>
      <w:lvlText w:val="o"/>
      <w:lvlJc w:val="left"/>
      <w:pPr>
        <w:ind w:left="3360" w:hanging="360"/>
      </w:pPr>
      <w:rPr>
        <w:rFonts w:ascii="Courier New" w:hAnsi="Courier New" w:cs="Courier New" w:hint="default"/>
      </w:rPr>
    </w:lvl>
    <w:lvl w:ilvl="5" w:tentative="1">
      <w:start w:val="1"/>
      <w:numFmt w:val="bullet"/>
      <w:lvlText w:val=""/>
      <w:lvlJc w:val="left"/>
      <w:pPr>
        <w:ind w:left="4080" w:hanging="360"/>
      </w:pPr>
      <w:rPr>
        <w:rFonts w:ascii="Wingdings" w:hAnsi="Wingdings" w:hint="default"/>
      </w:rPr>
    </w:lvl>
    <w:lvl w:ilvl="6" w:tentative="1">
      <w:start w:val="1"/>
      <w:numFmt w:val="bullet"/>
      <w:lvlText w:val=""/>
      <w:lvlJc w:val="left"/>
      <w:pPr>
        <w:ind w:left="4800" w:hanging="360"/>
      </w:pPr>
      <w:rPr>
        <w:rFonts w:ascii="Symbol" w:hAnsi="Symbol" w:hint="default"/>
      </w:rPr>
    </w:lvl>
    <w:lvl w:ilvl="7" w:tentative="1">
      <w:start w:val="1"/>
      <w:numFmt w:val="bullet"/>
      <w:lvlText w:val="o"/>
      <w:lvlJc w:val="left"/>
      <w:pPr>
        <w:ind w:left="5520" w:hanging="360"/>
      </w:pPr>
      <w:rPr>
        <w:rFonts w:ascii="Courier New" w:hAnsi="Courier New" w:cs="Courier New" w:hint="default"/>
      </w:rPr>
    </w:lvl>
    <w:lvl w:ilvl="8" w:tentative="1">
      <w:start w:val="1"/>
      <w:numFmt w:val="bullet"/>
      <w:lvlText w:val=""/>
      <w:lvlJc w:val="left"/>
      <w:pPr>
        <w:ind w:left="6240" w:hanging="360"/>
      </w:pPr>
      <w:rPr>
        <w:rFonts w:ascii="Wingdings" w:hAnsi="Wingdings" w:hint="default"/>
      </w:rPr>
    </w:lvl>
  </w:abstractNum>
  <w:abstractNum w:abstractNumId="21">
    <w:nsid w:val="5B1D3F69"/>
    <w:multiLevelType w:val="hybridMultilevel"/>
    <w:tmpl w:val="298652C2"/>
    <w:lvl w:ilvl="0">
      <w:start w:val="15"/>
      <w:numFmt w:val="decimal"/>
      <w:lvlText w:val="%1."/>
      <w:lvlJc w:val="left"/>
      <w:pPr>
        <w:tabs>
          <w:tab w:val="num" w:pos="720"/>
        </w:tabs>
        <w:ind w:left="720" w:hanging="360"/>
      </w:pPr>
      <w:rPr>
        <w:rFonts w:hint="default"/>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2343427"/>
    <w:multiLevelType w:val="hybridMultilevel"/>
    <w:tmpl w:val="AA5E6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2AB7C70"/>
    <w:multiLevelType w:val="hybridMultilevel"/>
    <w:tmpl w:val="398053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47C37CA"/>
    <w:multiLevelType w:val="hybridMultilevel"/>
    <w:tmpl w:val="71007460"/>
    <w:lvl w:ilvl="0">
      <w:start w:val="1"/>
      <w:numFmt w:val="decimal"/>
      <w:lvlText w:val="%1."/>
      <w:lvlJc w:val="left"/>
      <w:pPr>
        <w:tabs>
          <w:tab w:val="num" w:pos="720"/>
        </w:tabs>
        <w:ind w:left="720" w:hanging="360"/>
      </w:pPr>
      <w:rPr>
        <w:rFonts w:hint="default"/>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4C07339"/>
    <w:multiLevelType w:val="hybridMultilevel"/>
    <w:tmpl w:val="54F0DB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CA551E5"/>
    <w:multiLevelType w:val="hybridMultilevel"/>
    <w:tmpl w:val="39BC55D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DA22B4B"/>
    <w:multiLevelType w:val="hybridMultilevel"/>
    <w:tmpl w:val="D63C4B9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9">
    <w:nsid w:val="7CC44AC7"/>
    <w:multiLevelType w:val="hybridMultilevel"/>
    <w:tmpl w:val="114AA9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5104773">
    <w:abstractNumId w:val="1"/>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16cid:durableId="1077750104">
    <w:abstractNumId w:val="24"/>
  </w:num>
  <w:num w:numId="3" w16cid:durableId="786851777">
    <w:abstractNumId w:val="5"/>
  </w:num>
  <w:num w:numId="4" w16cid:durableId="1110471497">
    <w:abstractNumId w:val="21"/>
  </w:num>
  <w:num w:numId="5" w16cid:durableId="652022686">
    <w:abstractNumId w:val="15"/>
  </w:num>
  <w:num w:numId="6" w16cid:durableId="1793667342">
    <w:abstractNumId w:val="14"/>
  </w:num>
  <w:num w:numId="7" w16cid:durableId="1332297481">
    <w:abstractNumId w:val="3"/>
  </w:num>
  <w:num w:numId="8" w16cid:durableId="1376467175">
    <w:abstractNumId w:val="28"/>
  </w:num>
  <w:num w:numId="9" w16cid:durableId="187450411">
    <w:abstractNumId w:val="19"/>
  </w:num>
  <w:num w:numId="10" w16cid:durableId="1797554141">
    <w:abstractNumId w:val="6"/>
  </w:num>
  <w:num w:numId="11" w16cid:durableId="262343333">
    <w:abstractNumId w:val="0"/>
  </w:num>
  <w:num w:numId="12" w16cid:durableId="1627656860">
    <w:abstractNumId w:val="25"/>
  </w:num>
  <w:num w:numId="13" w16cid:durableId="1238130319">
    <w:abstractNumId w:val="17"/>
  </w:num>
  <w:num w:numId="14" w16cid:durableId="1507280817">
    <w:abstractNumId w:val="22"/>
  </w:num>
  <w:num w:numId="15" w16cid:durableId="2044554602">
    <w:abstractNumId w:val="20"/>
  </w:num>
  <w:num w:numId="16" w16cid:durableId="1558735441">
    <w:abstractNumId w:val="4"/>
  </w:num>
  <w:num w:numId="17" w16cid:durableId="1863782378">
    <w:abstractNumId w:val="8"/>
  </w:num>
  <w:num w:numId="18" w16cid:durableId="498544360">
    <w:abstractNumId w:val="13"/>
  </w:num>
  <w:num w:numId="19" w16cid:durableId="813372127">
    <w:abstractNumId w:val="7"/>
  </w:num>
  <w:num w:numId="20" w16cid:durableId="1919441135">
    <w:abstractNumId w:val="23"/>
  </w:num>
  <w:num w:numId="21" w16cid:durableId="1272472418">
    <w:abstractNumId w:val="29"/>
  </w:num>
  <w:num w:numId="22" w16cid:durableId="574163492">
    <w:abstractNumId w:val="16"/>
  </w:num>
  <w:num w:numId="23" w16cid:durableId="67506459">
    <w:abstractNumId w:val="10"/>
  </w:num>
  <w:num w:numId="24" w16cid:durableId="1698194370">
    <w:abstractNumId w:val="9"/>
  </w:num>
  <w:num w:numId="25" w16cid:durableId="1561402152">
    <w:abstractNumId w:val="27"/>
  </w:num>
  <w:num w:numId="26" w16cid:durableId="1376739755">
    <w:abstractNumId w:val="26"/>
  </w:num>
  <w:num w:numId="27" w16cid:durableId="400954708">
    <w:abstractNumId w:val="18"/>
  </w:num>
  <w:num w:numId="28" w16cid:durableId="1731414402">
    <w:abstractNumId w:val="2"/>
  </w:num>
  <w:num w:numId="29" w16cid:durableId="1918201409">
    <w:abstractNumId w:val="12"/>
  </w:num>
  <w:num w:numId="30" w16cid:durableId="148915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5F"/>
    <w:rsid w:val="000007ED"/>
    <w:rsid w:val="0000104B"/>
    <w:rsid w:val="000044CA"/>
    <w:rsid w:val="0000479E"/>
    <w:rsid w:val="000047C4"/>
    <w:rsid w:val="0000578E"/>
    <w:rsid w:val="000129EC"/>
    <w:rsid w:val="00020EFD"/>
    <w:rsid w:val="0002347E"/>
    <w:rsid w:val="00023801"/>
    <w:rsid w:val="00024179"/>
    <w:rsid w:val="0002468B"/>
    <w:rsid w:val="000270B2"/>
    <w:rsid w:val="0002731C"/>
    <w:rsid w:val="0002741D"/>
    <w:rsid w:val="00030661"/>
    <w:rsid w:val="00030C13"/>
    <w:rsid w:val="00030FE7"/>
    <w:rsid w:val="000314AB"/>
    <w:rsid w:val="00033A85"/>
    <w:rsid w:val="00034625"/>
    <w:rsid w:val="00035FFB"/>
    <w:rsid w:val="000419B9"/>
    <w:rsid w:val="000469DC"/>
    <w:rsid w:val="00047E12"/>
    <w:rsid w:val="00047FB1"/>
    <w:rsid w:val="00053B4C"/>
    <w:rsid w:val="00062554"/>
    <w:rsid w:val="000628ED"/>
    <w:rsid w:val="00065C67"/>
    <w:rsid w:val="00077887"/>
    <w:rsid w:val="00077AA0"/>
    <w:rsid w:val="0008106E"/>
    <w:rsid w:val="00082158"/>
    <w:rsid w:val="000825EF"/>
    <w:rsid w:val="000843FE"/>
    <w:rsid w:val="000853F3"/>
    <w:rsid w:val="00086AD0"/>
    <w:rsid w:val="000973E1"/>
    <w:rsid w:val="000A1385"/>
    <w:rsid w:val="000A3E60"/>
    <w:rsid w:val="000A79D9"/>
    <w:rsid w:val="000B3B7B"/>
    <w:rsid w:val="000B5411"/>
    <w:rsid w:val="000B5C46"/>
    <w:rsid w:val="000B73CC"/>
    <w:rsid w:val="000C0CF2"/>
    <w:rsid w:val="000C67AE"/>
    <w:rsid w:val="000D20CC"/>
    <w:rsid w:val="000D2DF6"/>
    <w:rsid w:val="000D4B55"/>
    <w:rsid w:val="000D5A1A"/>
    <w:rsid w:val="000D6D4F"/>
    <w:rsid w:val="000E0627"/>
    <w:rsid w:val="000E29EE"/>
    <w:rsid w:val="000E4CE1"/>
    <w:rsid w:val="000E63B5"/>
    <w:rsid w:val="000E728A"/>
    <w:rsid w:val="0011100F"/>
    <w:rsid w:val="00111B27"/>
    <w:rsid w:val="001131D7"/>
    <w:rsid w:val="001159FC"/>
    <w:rsid w:val="00116FD8"/>
    <w:rsid w:val="0011781E"/>
    <w:rsid w:val="001206E6"/>
    <w:rsid w:val="001207C4"/>
    <w:rsid w:val="001209DE"/>
    <w:rsid w:val="00121F5A"/>
    <w:rsid w:val="00124738"/>
    <w:rsid w:val="00124792"/>
    <w:rsid w:val="001326A8"/>
    <w:rsid w:val="00136362"/>
    <w:rsid w:val="00136C0B"/>
    <w:rsid w:val="00142A8B"/>
    <w:rsid w:val="00143444"/>
    <w:rsid w:val="00143DD5"/>
    <w:rsid w:val="00145EE0"/>
    <w:rsid w:val="001462F1"/>
    <w:rsid w:val="00153938"/>
    <w:rsid w:val="00156405"/>
    <w:rsid w:val="001567CD"/>
    <w:rsid w:val="00156940"/>
    <w:rsid w:val="0015724F"/>
    <w:rsid w:val="00163B97"/>
    <w:rsid w:val="00166184"/>
    <w:rsid w:val="0017023E"/>
    <w:rsid w:val="001740B5"/>
    <w:rsid w:val="00175586"/>
    <w:rsid w:val="001762A6"/>
    <w:rsid w:val="00176810"/>
    <w:rsid w:val="001770C9"/>
    <w:rsid w:val="00181A8D"/>
    <w:rsid w:val="0018369A"/>
    <w:rsid w:val="00183FA6"/>
    <w:rsid w:val="001869A0"/>
    <w:rsid w:val="00187602"/>
    <w:rsid w:val="001921BC"/>
    <w:rsid w:val="001942C9"/>
    <w:rsid w:val="00195A6C"/>
    <w:rsid w:val="00196A8D"/>
    <w:rsid w:val="00196E73"/>
    <w:rsid w:val="001A36D8"/>
    <w:rsid w:val="001A3A0C"/>
    <w:rsid w:val="001A44B1"/>
    <w:rsid w:val="001A62FC"/>
    <w:rsid w:val="001A7450"/>
    <w:rsid w:val="001A7D46"/>
    <w:rsid w:val="001B2E7A"/>
    <w:rsid w:val="001B3A53"/>
    <w:rsid w:val="001B5D2A"/>
    <w:rsid w:val="001B78EF"/>
    <w:rsid w:val="001C1338"/>
    <w:rsid w:val="001C1BF1"/>
    <w:rsid w:val="001C28CD"/>
    <w:rsid w:val="001C6883"/>
    <w:rsid w:val="001C7B64"/>
    <w:rsid w:val="001C7DEF"/>
    <w:rsid w:val="001D03BD"/>
    <w:rsid w:val="001D2482"/>
    <w:rsid w:val="001D5A61"/>
    <w:rsid w:val="001E0C39"/>
    <w:rsid w:val="001F046F"/>
    <w:rsid w:val="001F1395"/>
    <w:rsid w:val="001F3738"/>
    <w:rsid w:val="001F5A2C"/>
    <w:rsid w:val="00201869"/>
    <w:rsid w:val="002105B7"/>
    <w:rsid w:val="00213D25"/>
    <w:rsid w:val="00215E6B"/>
    <w:rsid w:val="002260F4"/>
    <w:rsid w:val="002271FD"/>
    <w:rsid w:val="00232682"/>
    <w:rsid w:val="002332C7"/>
    <w:rsid w:val="00233AAA"/>
    <w:rsid w:val="00242305"/>
    <w:rsid w:val="002444C1"/>
    <w:rsid w:val="0025023B"/>
    <w:rsid w:val="00250462"/>
    <w:rsid w:val="0025369D"/>
    <w:rsid w:val="00254ABE"/>
    <w:rsid w:val="00255112"/>
    <w:rsid w:val="002559F3"/>
    <w:rsid w:val="002601CE"/>
    <w:rsid w:val="00260D23"/>
    <w:rsid w:val="002619F5"/>
    <w:rsid w:val="00261A4C"/>
    <w:rsid w:val="00262C8E"/>
    <w:rsid w:val="00267E0E"/>
    <w:rsid w:val="0027213B"/>
    <w:rsid w:val="00274A2B"/>
    <w:rsid w:val="00274CDE"/>
    <w:rsid w:val="00283F75"/>
    <w:rsid w:val="00286022"/>
    <w:rsid w:val="00290B4C"/>
    <w:rsid w:val="00291926"/>
    <w:rsid w:val="002928E4"/>
    <w:rsid w:val="002971AC"/>
    <w:rsid w:val="002A07A8"/>
    <w:rsid w:val="002A1EE5"/>
    <w:rsid w:val="002A5D47"/>
    <w:rsid w:val="002B6A87"/>
    <w:rsid w:val="002B7308"/>
    <w:rsid w:val="002C03DA"/>
    <w:rsid w:val="002C0D66"/>
    <w:rsid w:val="002C2382"/>
    <w:rsid w:val="002D0111"/>
    <w:rsid w:val="002D0300"/>
    <w:rsid w:val="002D065C"/>
    <w:rsid w:val="002D2D13"/>
    <w:rsid w:val="002E1230"/>
    <w:rsid w:val="002E1334"/>
    <w:rsid w:val="002E1776"/>
    <w:rsid w:val="002E5AD5"/>
    <w:rsid w:val="002F07EF"/>
    <w:rsid w:val="002F4F33"/>
    <w:rsid w:val="002F6D3D"/>
    <w:rsid w:val="003016EA"/>
    <w:rsid w:val="00305E84"/>
    <w:rsid w:val="00310075"/>
    <w:rsid w:val="00310533"/>
    <w:rsid w:val="003126EB"/>
    <w:rsid w:val="003137F1"/>
    <w:rsid w:val="003150F0"/>
    <w:rsid w:val="00317165"/>
    <w:rsid w:val="00323F07"/>
    <w:rsid w:val="00323F23"/>
    <w:rsid w:val="00333C75"/>
    <w:rsid w:val="00341800"/>
    <w:rsid w:val="00344B6D"/>
    <w:rsid w:val="00344FE4"/>
    <w:rsid w:val="00345A0F"/>
    <w:rsid w:val="00350768"/>
    <w:rsid w:val="00351382"/>
    <w:rsid w:val="00351547"/>
    <w:rsid w:val="00352637"/>
    <w:rsid w:val="00352995"/>
    <w:rsid w:val="0035306A"/>
    <w:rsid w:val="003562B3"/>
    <w:rsid w:val="00361DD7"/>
    <w:rsid w:val="00362C82"/>
    <w:rsid w:val="003644F8"/>
    <w:rsid w:val="00367578"/>
    <w:rsid w:val="00373B77"/>
    <w:rsid w:val="0038033E"/>
    <w:rsid w:val="003811F1"/>
    <w:rsid w:val="00381942"/>
    <w:rsid w:val="0038472A"/>
    <w:rsid w:val="00385D20"/>
    <w:rsid w:val="00387B1F"/>
    <w:rsid w:val="0039071D"/>
    <w:rsid w:val="00393A57"/>
    <w:rsid w:val="00394B65"/>
    <w:rsid w:val="003A3523"/>
    <w:rsid w:val="003A450F"/>
    <w:rsid w:val="003A4CD8"/>
    <w:rsid w:val="003B00BA"/>
    <w:rsid w:val="003B27A6"/>
    <w:rsid w:val="003B4C96"/>
    <w:rsid w:val="003C11AF"/>
    <w:rsid w:val="003C13CD"/>
    <w:rsid w:val="003C632A"/>
    <w:rsid w:val="003C7B07"/>
    <w:rsid w:val="003D3AA1"/>
    <w:rsid w:val="003D50AE"/>
    <w:rsid w:val="003D7A50"/>
    <w:rsid w:val="003E743F"/>
    <w:rsid w:val="003F1177"/>
    <w:rsid w:val="003F44B3"/>
    <w:rsid w:val="00400B17"/>
    <w:rsid w:val="00400B1F"/>
    <w:rsid w:val="004042AF"/>
    <w:rsid w:val="00404849"/>
    <w:rsid w:val="00404B88"/>
    <w:rsid w:val="00404E15"/>
    <w:rsid w:val="004051C1"/>
    <w:rsid w:val="004075E3"/>
    <w:rsid w:val="00413073"/>
    <w:rsid w:val="004138EC"/>
    <w:rsid w:val="00421D3A"/>
    <w:rsid w:val="00422A44"/>
    <w:rsid w:val="00422AEF"/>
    <w:rsid w:val="00425F2F"/>
    <w:rsid w:val="00431402"/>
    <w:rsid w:val="00433353"/>
    <w:rsid w:val="00436438"/>
    <w:rsid w:val="004427C4"/>
    <w:rsid w:val="004520E6"/>
    <w:rsid w:val="00452B49"/>
    <w:rsid w:val="00456BD5"/>
    <w:rsid w:val="00463216"/>
    <w:rsid w:val="004651F4"/>
    <w:rsid w:val="00466396"/>
    <w:rsid w:val="004670BC"/>
    <w:rsid w:val="004679A2"/>
    <w:rsid w:val="00474A47"/>
    <w:rsid w:val="00476367"/>
    <w:rsid w:val="00486AA9"/>
    <w:rsid w:val="0048717D"/>
    <w:rsid w:val="004904B0"/>
    <w:rsid w:val="00492FE1"/>
    <w:rsid w:val="00495ADC"/>
    <w:rsid w:val="0049621E"/>
    <w:rsid w:val="00496BF0"/>
    <w:rsid w:val="00496C48"/>
    <w:rsid w:val="00496EF5"/>
    <w:rsid w:val="004A130A"/>
    <w:rsid w:val="004A49D6"/>
    <w:rsid w:val="004B3B44"/>
    <w:rsid w:val="004B50F0"/>
    <w:rsid w:val="004B56C0"/>
    <w:rsid w:val="004C3B38"/>
    <w:rsid w:val="004D1AAF"/>
    <w:rsid w:val="004D2339"/>
    <w:rsid w:val="004D2403"/>
    <w:rsid w:val="004D6423"/>
    <w:rsid w:val="004D646E"/>
    <w:rsid w:val="004E185B"/>
    <w:rsid w:val="004E5F1F"/>
    <w:rsid w:val="004F1CFC"/>
    <w:rsid w:val="004F3FD4"/>
    <w:rsid w:val="004F645C"/>
    <w:rsid w:val="004F7A96"/>
    <w:rsid w:val="00504AB1"/>
    <w:rsid w:val="005050C7"/>
    <w:rsid w:val="005051FC"/>
    <w:rsid w:val="005102E8"/>
    <w:rsid w:val="00512C44"/>
    <w:rsid w:val="00514FE1"/>
    <w:rsid w:val="0052182F"/>
    <w:rsid w:val="00523836"/>
    <w:rsid w:val="005254F0"/>
    <w:rsid w:val="00525AFD"/>
    <w:rsid w:val="00525CD7"/>
    <w:rsid w:val="00526514"/>
    <w:rsid w:val="00526AC0"/>
    <w:rsid w:val="005336DB"/>
    <w:rsid w:val="005337A5"/>
    <w:rsid w:val="00537026"/>
    <w:rsid w:val="005405CD"/>
    <w:rsid w:val="00544329"/>
    <w:rsid w:val="005502D4"/>
    <w:rsid w:val="00557E2F"/>
    <w:rsid w:val="00563D3E"/>
    <w:rsid w:val="00566319"/>
    <w:rsid w:val="00572015"/>
    <w:rsid w:val="005722F6"/>
    <w:rsid w:val="00574D50"/>
    <w:rsid w:val="00583DBD"/>
    <w:rsid w:val="00586FD5"/>
    <w:rsid w:val="00591147"/>
    <w:rsid w:val="0059364D"/>
    <w:rsid w:val="00595765"/>
    <w:rsid w:val="00595941"/>
    <w:rsid w:val="005A7FB7"/>
    <w:rsid w:val="005B2419"/>
    <w:rsid w:val="005B4C15"/>
    <w:rsid w:val="005B6F1A"/>
    <w:rsid w:val="005C17CF"/>
    <w:rsid w:val="005C3443"/>
    <w:rsid w:val="005D1AB4"/>
    <w:rsid w:val="005D3312"/>
    <w:rsid w:val="005D4446"/>
    <w:rsid w:val="005E062F"/>
    <w:rsid w:val="00600786"/>
    <w:rsid w:val="006067D6"/>
    <w:rsid w:val="0061056B"/>
    <w:rsid w:val="00611278"/>
    <w:rsid w:val="00613D7F"/>
    <w:rsid w:val="0062011E"/>
    <w:rsid w:val="0062065C"/>
    <w:rsid w:val="00623B2B"/>
    <w:rsid w:val="00630881"/>
    <w:rsid w:val="00631CF9"/>
    <w:rsid w:val="00635EFA"/>
    <w:rsid w:val="006417B1"/>
    <w:rsid w:val="0064281D"/>
    <w:rsid w:val="00642DE2"/>
    <w:rsid w:val="006444EF"/>
    <w:rsid w:val="0064733D"/>
    <w:rsid w:val="006554C1"/>
    <w:rsid w:val="006562CA"/>
    <w:rsid w:val="00656375"/>
    <w:rsid w:val="00657E88"/>
    <w:rsid w:val="00660161"/>
    <w:rsid w:val="0066108F"/>
    <w:rsid w:val="00662E38"/>
    <w:rsid w:val="00672029"/>
    <w:rsid w:val="00677B03"/>
    <w:rsid w:val="00680019"/>
    <w:rsid w:val="00684686"/>
    <w:rsid w:val="00691073"/>
    <w:rsid w:val="0069208E"/>
    <w:rsid w:val="00695640"/>
    <w:rsid w:val="00696B16"/>
    <w:rsid w:val="00697512"/>
    <w:rsid w:val="006A1F09"/>
    <w:rsid w:val="006A6949"/>
    <w:rsid w:val="006B2986"/>
    <w:rsid w:val="006B4AA1"/>
    <w:rsid w:val="006B4E4B"/>
    <w:rsid w:val="006B743E"/>
    <w:rsid w:val="006C05C3"/>
    <w:rsid w:val="006C3006"/>
    <w:rsid w:val="006C4F72"/>
    <w:rsid w:val="006D0489"/>
    <w:rsid w:val="006D174D"/>
    <w:rsid w:val="006D1DAD"/>
    <w:rsid w:val="006D3BA7"/>
    <w:rsid w:val="006D5381"/>
    <w:rsid w:val="006D5A69"/>
    <w:rsid w:val="006E17A8"/>
    <w:rsid w:val="006E6376"/>
    <w:rsid w:val="006F6265"/>
    <w:rsid w:val="00702DC6"/>
    <w:rsid w:val="00703068"/>
    <w:rsid w:val="00703D4E"/>
    <w:rsid w:val="00707458"/>
    <w:rsid w:val="007132A0"/>
    <w:rsid w:val="00716217"/>
    <w:rsid w:val="00722684"/>
    <w:rsid w:val="00724680"/>
    <w:rsid w:val="00731437"/>
    <w:rsid w:val="00731B83"/>
    <w:rsid w:val="0074123B"/>
    <w:rsid w:val="0074225D"/>
    <w:rsid w:val="00742707"/>
    <w:rsid w:val="0075494F"/>
    <w:rsid w:val="00760373"/>
    <w:rsid w:val="00761618"/>
    <w:rsid w:val="00762B02"/>
    <w:rsid w:val="007639EC"/>
    <w:rsid w:val="00765FFA"/>
    <w:rsid w:val="00766BA6"/>
    <w:rsid w:val="00770370"/>
    <w:rsid w:val="0077066D"/>
    <w:rsid w:val="00770968"/>
    <w:rsid w:val="00770B99"/>
    <w:rsid w:val="007741C7"/>
    <w:rsid w:val="0077601F"/>
    <w:rsid w:val="00777DAB"/>
    <w:rsid w:val="00780022"/>
    <w:rsid w:val="00782629"/>
    <w:rsid w:val="00785959"/>
    <w:rsid w:val="007859C7"/>
    <w:rsid w:val="00790071"/>
    <w:rsid w:val="007923F4"/>
    <w:rsid w:val="00794751"/>
    <w:rsid w:val="00796CB1"/>
    <w:rsid w:val="00796F9C"/>
    <w:rsid w:val="00797CCF"/>
    <w:rsid w:val="00797F82"/>
    <w:rsid w:val="007A14E8"/>
    <w:rsid w:val="007A1512"/>
    <w:rsid w:val="007A3488"/>
    <w:rsid w:val="007A4639"/>
    <w:rsid w:val="007A4D87"/>
    <w:rsid w:val="007A53F7"/>
    <w:rsid w:val="007A7053"/>
    <w:rsid w:val="007B077B"/>
    <w:rsid w:val="007B0BCF"/>
    <w:rsid w:val="007B1A45"/>
    <w:rsid w:val="007C0D2F"/>
    <w:rsid w:val="007C25A9"/>
    <w:rsid w:val="007C46C1"/>
    <w:rsid w:val="007C4FE6"/>
    <w:rsid w:val="007C519F"/>
    <w:rsid w:val="007C6650"/>
    <w:rsid w:val="007C6B75"/>
    <w:rsid w:val="007D2E95"/>
    <w:rsid w:val="007D6E19"/>
    <w:rsid w:val="007E0075"/>
    <w:rsid w:val="007E1F1B"/>
    <w:rsid w:val="007E2B9D"/>
    <w:rsid w:val="007E33C3"/>
    <w:rsid w:val="007E3B3D"/>
    <w:rsid w:val="007E4664"/>
    <w:rsid w:val="007F6466"/>
    <w:rsid w:val="0080589B"/>
    <w:rsid w:val="008058D5"/>
    <w:rsid w:val="00816D51"/>
    <w:rsid w:val="00824197"/>
    <w:rsid w:val="008252CE"/>
    <w:rsid w:val="008318E8"/>
    <w:rsid w:val="008325D6"/>
    <w:rsid w:val="00834514"/>
    <w:rsid w:val="0083523E"/>
    <w:rsid w:val="008437C2"/>
    <w:rsid w:val="008438FD"/>
    <w:rsid w:val="0084427D"/>
    <w:rsid w:val="008466EA"/>
    <w:rsid w:val="0084766E"/>
    <w:rsid w:val="00850CE9"/>
    <w:rsid w:val="008513B5"/>
    <w:rsid w:val="00853EA6"/>
    <w:rsid w:val="0086028F"/>
    <w:rsid w:val="00861B4D"/>
    <w:rsid w:val="00863314"/>
    <w:rsid w:val="00864466"/>
    <w:rsid w:val="00866419"/>
    <w:rsid w:val="00867668"/>
    <w:rsid w:val="00867DDE"/>
    <w:rsid w:val="00870DC1"/>
    <w:rsid w:val="0087255D"/>
    <w:rsid w:val="00874B12"/>
    <w:rsid w:val="00874C65"/>
    <w:rsid w:val="008769C3"/>
    <w:rsid w:val="00877E75"/>
    <w:rsid w:val="00881B27"/>
    <w:rsid w:val="00882C8C"/>
    <w:rsid w:val="00883D60"/>
    <w:rsid w:val="0088526D"/>
    <w:rsid w:val="008870F0"/>
    <w:rsid w:val="00890693"/>
    <w:rsid w:val="0089274C"/>
    <w:rsid w:val="0089305F"/>
    <w:rsid w:val="0089639C"/>
    <w:rsid w:val="0089656C"/>
    <w:rsid w:val="00896E1D"/>
    <w:rsid w:val="008A1813"/>
    <w:rsid w:val="008A3502"/>
    <w:rsid w:val="008A494F"/>
    <w:rsid w:val="008A4BF0"/>
    <w:rsid w:val="008A5CBD"/>
    <w:rsid w:val="008B328C"/>
    <w:rsid w:val="008C08D5"/>
    <w:rsid w:val="008C33A5"/>
    <w:rsid w:val="008C440C"/>
    <w:rsid w:val="008C557C"/>
    <w:rsid w:val="008C6F27"/>
    <w:rsid w:val="008D0E50"/>
    <w:rsid w:val="008D29A4"/>
    <w:rsid w:val="008D72E0"/>
    <w:rsid w:val="008D7C9D"/>
    <w:rsid w:val="008E7A98"/>
    <w:rsid w:val="008F112C"/>
    <w:rsid w:val="008F2B54"/>
    <w:rsid w:val="008F6DF7"/>
    <w:rsid w:val="00900AB1"/>
    <w:rsid w:val="009021B0"/>
    <w:rsid w:val="00902F16"/>
    <w:rsid w:val="00903C0F"/>
    <w:rsid w:val="00903C50"/>
    <w:rsid w:val="00903F9E"/>
    <w:rsid w:val="0090425C"/>
    <w:rsid w:val="00905D48"/>
    <w:rsid w:val="00907858"/>
    <w:rsid w:val="00914E17"/>
    <w:rsid w:val="0091584A"/>
    <w:rsid w:val="00915D7F"/>
    <w:rsid w:val="00921BF4"/>
    <w:rsid w:val="009266ED"/>
    <w:rsid w:val="00931DB0"/>
    <w:rsid w:val="00934637"/>
    <w:rsid w:val="00934B38"/>
    <w:rsid w:val="009458A6"/>
    <w:rsid w:val="00947492"/>
    <w:rsid w:val="00957E1D"/>
    <w:rsid w:val="00961750"/>
    <w:rsid w:val="0096226E"/>
    <w:rsid w:val="00963C0D"/>
    <w:rsid w:val="009726E1"/>
    <w:rsid w:val="00972CE5"/>
    <w:rsid w:val="00973BD0"/>
    <w:rsid w:val="00976762"/>
    <w:rsid w:val="009812FD"/>
    <w:rsid w:val="00994883"/>
    <w:rsid w:val="0099584A"/>
    <w:rsid w:val="009A046F"/>
    <w:rsid w:val="009B332A"/>
    <w:rsid w:val="009B374A"/>
    <w:rsid w:val="009B3D16"/>
    <w:rsid w:val="009B57FB"/>
    <w:rsid w:val="009B73E6"/>
    <w:rsid w:val="009C148A"/>
    <w:rsid w:val="009C2ABB"/>
    <w:rsid w:val="009C3724"/>
    <w:rsid w:val="009C5D9C"/>
    <w:rsid w:val="009C7161"/>
    <w:rsid w:val="009D00CE"/>
    <w:rsid w:val="009E5DEF"/>
    <w:rsid w:val="009E7176"/>
    <w:rsid w:val="009F02CC"/>
    <w:rsid w:val="009F67D0"/>
    <w:rsid w:val="00A02A6C"/>
    <w:rsid w:val="00A0692B"/>
    <w:rsid w:val="00A06F26"/>
    <w:rsid w:val="00A1017F"/>
    <w:rsid w:val="00A1294C"/>
    <w:rsid w:val="00A1328A"/>
    <w:rsid w:val="00A141E6"/>
    <w:rsid w:val="00A1454B"/>
    <w:rsid w:val="00A15F24"/>
    <w:rsid w:val="00A24C99"/>
    <w:rsid w:val="00A3001E"/>
    <w:rsid w:val="00A3391A"/>
    <w:rsid w:val="00A33E8B"/>
    <w:rsid w:val="00A36DB2"/>
    <w:rsid w:val="00A41480"/>
    <w:rsid w:val="00A42F72"/>
    <w:rsid w:val="00A44C81"/>
    <w:rsid w:val="00A50D0D"/>
    <w:rsid w:val="00A5143B"/>
    <w:rsid w:val="00A5146C"/>
    <w:rsid w:val="00A52A82"/>
    <w:rsid w:val="00A54704"/>
    <w:rsid w:val="00A60E02"/>
    <w:rsid w:val="00A61A8C"/>
    <w:rsid w:val="00A61D71"/>
    <w:rsid w:val="00A61E36"/>
    <w:rsid w:val="00A66E36"/>
    <w:rsid w:val="00A70BDA"/>
    <w:rsid w:val="00A72A07"/>
    <w:rsid w:val="00A73D8E"/>
    <w:rsid w:val="00A73F47"/>
    <w:rsid w:val="00A774F6"/>
    <w:rsid w:val="00A833A7"/>
    <w:rsid w:val="00A85CE3"/>
    <w:rsid w:val="00A85EC4"/>
    <w:rsid w:val="00A904E5"/>
    <w:rsid w:val="00A93C6A"/>
    <w:rsid w:val="00A9750E"/>
    <w:rsid w:val="00A9795B"/>
    <w:rsid w:val="00AA4851"/>
    <w:rsid w:val="00AA4BA8"/>
    <w:rsid w:val="00AB14C9"/>
    <w:rsid w:val="00AB384B"/>
    <w:rsid w:val="00AB44D0"/>
    <w:rsid w:val="00AB7688"/>
    <w:rsid w:val="00AB7DB8"/>
    <w:rsid w:val="00AC26D1"/>
    <w:rsid w:val="00AC2A77"/>
    <w:rsid w:val="00AC2D14"/>
    <w:rsid w:val="00AC4B6A"/>
    <w:rsid w:val="00AD0354"/>
    <w:rsid w:val="00AD0A9C"/>
    <w:rsid w:val="00AD20E1"/>
    <w:rsid w:val="00AD766D"/>
    <w:rsid w:val="00AE36F4"/>
    <w:rsid w:val="00AF5457"/>
    <w:rsid w:val="00AF7580"/>
    <w:rsid w:val="00B0141A"/>
    <w:rsid w:val="00B01650"/>
    <w:rsid w:val="00B066E8"/>
    <w:rsid w:val="00B1027E"/>
    <w:rsid w:val="00B12BFE"/>
    <w:rsid w:val="00B1602A"/>
    <w:rsid w:val="00B220AD"/>
    <w:rsid w:val="00B24D1F"/>
    <w:rsid w:val="00B313AC"/>
    <w:rsid w:val="00B32550"/>
    <w:rsid w:val="00B35F6F"/>
    <w:rsid w:val="00B378E9"/>
    <w:rsid w:val="00B37D9B"/>
    <w:rsid w:val="00B4088E"/>
    <w:rsid w:val="00B43722"/>
    <w:rsid w:val="00B438C2"/>
    <w:rsid w:val="00B43A9B"/>
    <w:rsid w:val="00B45246"/>
    <w:rsid w:val="00B50520"/>
    <w:rsid w:val="00B51178"/>
    <w:rsid w:val="00B51744"/>
    <w:rsid w:val="00B54743"/>
    <w:rsid w:val="00B563D8"/>
    <w:rsid w:val="00B614EF"/>
    <w:rsid w:val="00B71546"/>
    <w:rsid w:val="00B71860"/>
    <w:rsid w:val="00B72E4C"/>
    <w:rsid w:val="00B734D8"/>
    <w:rsid w:val="00B77971"/>
    <w:rsid w:val="00B8146D"/>
    <w:rsid w:val="00B818B5"/>
    <w:rsid w:val="00B81FF7"/>
    <w:rsid w:val="00B8474A"/>
    <w:rsid w:val="00B91F12"/>
    <w:rsid w:val="00B9790E"/>
    <w:rsid w:val="00BA3501"/>
    <w:rsid w:val="00BA401E"/>
    <w:rsid w:val="00BA4EF7"/>
    <w:rsid w:val="00BA5DFF"/>
    <w:rsid w:val="00BB5E35"/>
    <w:rsid w:val="00BB7F78"/>
    <w:rsid w:val="00BC1CB4"/>
    <w:rsid w:val="00BC30AD"/>
    <w:rsid w:val="00BC6A29"/>
    <w:rsid w:val="00BD1DC3"/>
    <w:rsid w:val="00BD7107"/>
    <w:rsid w:val="00BD7BCB"/>
    <w:rsid w:val="00BE001F"/>
    <w:rsid w:val="00BE30D0"/>
    <w:rsid w:val="00BE569F"/>
    <w:rsid w:val="00BF1C14"/>
    <w:rsid w:val="00BF2D2E"/>
    <w:rsid w:val="00BF3AFA"/>
    <w:rsid w:val="00BF3B66"/>
    <w:rsid w:val="00C00B7F"/>
    <w:rsid w:val="00C04842"/>
    <w:rsid w:val="00C07FA4"/>
    <w:rsid w:val="00C10DD6"/>
    <w:rsid w:val="00C12495"/>
    <w:rsid w:val="00C1433D"/>
    <w:rsid w:val="00C155C8"/>
    <w:rsid w:val="00C15A06"/>
    <w:rsid w:val="00C202BD"/>
    <w:rsid w:val="00C27FF4"/>
    <w:rsid w:val="00C30805"/>
    <w:rsid w:val="00C31F2B"/>
    <w:rsid w:val="00C32492"/>
    <w:rsid w:val="00C35DAA"/>
    <w:rsid w:val="00C378F2"/>
    <w:rsid w:val="00C40AD2"/>
    <w:rsid w:val="00C425AF"/>
    <w:rsid w:val="00C42838"/>
    <w:rsid w:val="00C47381"/>
    <w:rsid w:val="00C511A8"/>
    <w:rsid w:val="00C54751"/>
    <w:rsid w:val="00C573AB"/>
    <w:rsid w:val="00C57FCD"/>
    <w:rsid w:val="00C62089"/>
    <w:rsid w:val="00C62627"/>
    <w:rsid w:val="00C65CEB"/>
    <w:rsid w:val="00C660FA"/>
    <w:rsid w:val="00C70EAE"/>
    <w:rsid w:val="00C712DF"/>
    <w:rsid w:val="00C73231"/>
    <w:rsid w:val="00C76058"/>
    <w:rsid w:val="00C76D72"/>
    <w:rsid w:val="00C778CC"/>
    <w:rsid w:val="00C9012F"/>
    <w:rsid w:val="00C90FC6"/>
    <w:rsid w:val="00C93397"/>
    <w:rsid w:val="00C94A0B"/>
    <w:rsid w:val="00CA0BE7"/>
    <w:rsid w:val="00CA1EE4"/>
    <w:rsid w:val="00CA5D8F"/>
    <w:rsid w:val="00CA6A1E"/>
    <w:rsid w:val="00CA6D3C"/>
    <w:rsid w:val="00CB5C3D"/>
    <w:rsid w:val="00CB6B1C"/>
    <w:rsid w:val="00CC22D9"/>
    <w:rsid w:val="00CC6264"/>
    <w:rsid w:val="00CD42B7"/>
    <w:rsid w:val="00CD52C6"/>
    <w:rsid w:val="00CD5F86"/>
    <w:rsid w:val="00CD6533"/>
    <w:rsid w:val="00CE1D3C"/>
    <w:rsid w:val="00CE522A"/>
    <w:rsid w:val="00CF12FC"/>
    <w:rsid w:val="00CF6535"/>
    <w:rsid w:val="00D02957"/>
    <w:rsid w:val="00D046D1"/>
    <w:rsid w:val="00D04A65"/>
    <w:rsid w:val="00D05413"/>
    <w:rsid w:val="00D14244"/>
    <w:rsid w:val="00D14F7B"/>
    <w:rsid w:val="00D1529F"/>
    <w:rsid w:val="00D15AE6"/>
    <w:rsid w:val="00D16E22"/>
    <w:rsid w:val="00D170A9"/>
    <w:rsid w:val="00D2075B"/>
    <w:rsid w:val="00D25D75"/>
    <w:rsid w:val="00D321DA"/>
    <w:rsid w:val="00D32C7E"/>
    <w:rsid w:val="00D34E92"/>
    <w:rsid w:val="00D3766D"/>
    <w:rsid w:val="00D37CFC"/>
    <w:rsid w:val="00D4231B"/>
    <w:rsid w:val="00D42BE5"/>
    <w:rsid w:val="00D441C1"/>
    <w:rsid w:val="00D5015D"/>
    <w:rsid w:val="00D505D7"/>
    <w:rsid w:val="00D51B63"/>
    <w:rsid w:val="00D63F7D"/>
    <w:rsid w:val="00D65359"/>
    <w:rsid w:val="00D66659"/>
    <w:rsid w:val="00D73BBA"/>
    <w:rsid w:val="00D73D85"/>
    <w:rsid w:val="00D73EE7"/>
    <w:rsid w:val="00D76070"/>
    <w:rsid w:val="00D86280"/>
    <w:rsid w:val="00D954B8"/>
    <w:rsid w:val="00D967A9"/>
    <w:rsid w:val="00D97738"/>
    <w:rsid w:val="00DA3C5C"/>
    <w:rsid w:val="00DA4A73"/>
    <w:rsid w:val="00DA596A"/>
    <w:rsid w:val="00DA5F60"/>
    <w:rsid w:val="00DB2F37"/>
    <w:rsid w:val="00DB6ABF"/>
    <w:rsid w:val="00DC1697"/>
    <w:rsid w:val="00DC1F49"/>
    <w:rsid w:val="00DC73A8"/>
    <w:rsid w:val="00DD1804"/>
    <w:rsid w:val="00DD1902"/>
    <w:rsid w:val="00DD45E8"/>
    <w:rsid w:val="00DD548D"/>
    <w:rsid w:val="00DD6C7C"/>
    <w:rsid w:val="00DE447B"/>
    <w:rsid w:val="00DE6F74"/>
    <w:rsid w:val="00DF03EB"/>
    <w:rsid w:val="00DF1EAD"/>
    <w:rsid w:val="00DF4C0D"/>
    <w:rsid w:val="00DF5CE0"/>
    <w:rsid w:val="00DF7ED2"/>
    <w:rsid w:val="00E0000D"/>
    <w:rsid w:val="00E07376"/>
    <w:rsid w:val="00E10581"/>
    <w:rsid w:val="00E10951"/>
    <w:rsid w:val="00E10F05"/>
    <w:rsid w:val="00E13AC5"/>
    <w:rsid w:val="00E13E73"/>
    <w:rsid w:val="00E1446D"/>
    <w:rsid w:val="00E156BC"/>
    <w:rsid w:val="00E15BCA"/>
    <w:rsid w:val="00E17E5A"/>
    <w:rsid w:val="00E216CE"/>
    <w:rsid w:val="00E25EA1"/>
    <w:rsid w:val="00E40AE1"/>
    <w:rsid w:val="00E417F4"/>
    <w:rsid w:val="00E45781"/>
    <w:rsid w:val="00E5285F"/>
    <w:rsid w:val="00E52AB2"/>
    <w:rsid w:val="00E57ED5"/>
    <w:rsid w:val="00E60382"/>
    <w:rsid w:val="00E61838"/>
    <w:rsid w:val="00E672CD"/>
    <w:rsid w:val="00E67E14"/>
    <w:rsid w:val="00E70BFA"/>
    <w:rsid w:val="00E71071"/>
    <w:rsid w:val="00E74021"/>
    <w:rsid w:val="00E7531C"/>
    <w:rsid w:val="00E76C32"/>
    <w:rsid w:val="00E802D0"/>
    <w:rsid w:val="00E86574"/>
    <w:rsid w:val="00E875D4"/>
    <w:rsid w:val="00E923A1"/>
    <w:rsid w:val="00E9425C"/>
    <w:rsid w:val="00E94CC3"/>
    <w:rsid w:val="00EA28BB"/>
    <w:rsid w:val="00EA799C"/>
    <w:rsid w:val="00EB06B7"/>
    <w:rsid w:val="00EB1763"/>
    <w:rsid w:val="00EB3F74"/>
    <w:rsid w:val="00EB52DF"/>
    <w:rsid w:val="00EB6BD2"/>
    <w:rsid w:val="00EB785E"/>
    <w:rsid w:val="00EC4745"/>
    <w:rsid w:val="00EC64DF"/>
    <w:rsid w:val="00EC787E"/>
    <w:rsid w:val="00ED2128"/>
    <w:rsid w:val="00ED3D1F"/>
    <w:rsid w:val="00EE6050"/>
    <w:rsid w:val="00EE6B3F"/>
    <w:rsid w:val="00EF4EA4"/>
    <w:rsid w:val="00F02998"/>
    <w:rsid w:val="00F07054"/>
    <w:rsid w:val="00F12597"/>
    <w:rsid w:val="00F1280D"/>
    <w:rsid w:val="00F13418"/>
    <w:rsid w:val="00F13A48"/>
    <w:rsid w:val="00F13C09"/>
    <w:rsid w:val="00F15B40"/>
    <w:rsid w:val="00F15FEF"/>
    <w:rsid w:val="00F16DF1"/>
    <w:rsid w:val="00F20F42"/>
    <w:rsid w:val="00F219B5"/>
    <w:rsid w:val="00F272F8"/>
    <w:rsid w:val="00F307A0"/>
    <w:rsid w:val="00F31EC0"/>
    <w:rsid w:val="00F34883"/>
    <w:rsid w:val="00F353E7"/>
    <w:rsid w:val="00F407F1"/>
    <w:rsid w:val="00F42489"/>
    <w:rsid w:val="00F44758"/>
    <w:rsid w:val="00F44F4C"/>
    <w:rsid w:val="00F4546D"/>
    <w:rsid w:val="00F46932"/>
    <w:rsid w:val="00F53780"/>
    <w:rsid w:val="00F557E1"/>
    <w:rsid w:val="00F570B9"/>
    <w:rsid w:val="00F673E0"/>
    <w:rsid w:val="00F72D57"/>
    <w:rsid w:val="00F7313B"/>
    <w:rsid w:val="00F7327B"/>
    <w:rsid w:val="00F7399C"/>
    <w:rsid w:val="00F8142F"/>
    <w:rsid w:val="00F9327C"/>
    <w:rsid w:val="00F96459"/>
    <w:rsid w:val="00F97605"/>
    <w:rsid w:val="00FA3535"/>
    <w:rsid w:val="00FA6296"/>
    <w:rsid w:val="00FA7D0F"/>
    <w:rsid w:val="00FB024B"/>
    <w:rsid w:val="00FB4CFA"/>
    <w:rsid w:val="00FB4E51"/>
    <w:rsid w:val="00FB5FB8"/>
    <w:rsid w:val="00FB6129"/>
    <w:rsid w:val="00FB726F"/>
    <w:rsid w:val="00FB7B85"/>
    <w:rsid w:val="00FB7C44"/>
    <w:rsid w:val="00FD267C"/>
    <w:rsid w:val="00FD526B"/>
    <w:rsid w:val="00FE04B9"/>
    <w:rsid w:val="00FE2AFE"/>
    <w:rsid w:val="00FE3697"/>
    <w:rsid w:val="00FE38CA"/>
    <w:rsid w:val="00FE4266"/>
    <w:rsid w:val="00FF1060"/>
    <w:rsid w:val="00FF3A51"/>
    <w:rsid w:val="00FF47F3"/>
    <w:rsid w:val="00FF5571"/>
    <w:rsid w:val="00FF7637"/>
    <w:rsid w:val="163B6AD0"/>
    <w:rsid w:val="3977A24D"/>
    <w:rsid w:val="5C2DC74E"/>
    <w:rsid w:val="77C7B74D"/>
    <w:rsid w:val="7EAAA5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81635E"/>
  <w15:docId w15:val="{14C4ECB2-1F64-490C-8E58-E188697B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rPr>
  </w:style>
  <w:style w:type="paragraph" w:styleId="Heading2">
    <w:name w:val="heading 2"/>
    <w:basedOn w:val="Normal"/>
    <w:next w:val="Normal"/>
    <w:link w:val="Heading2Char"/>
    <w:uiPriority w:val="9"/>
    <w:unhideWhenUsed/>
    <w:qFormat/>
    <w:rsid w:val="006A694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3B00B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3B00B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keepLines/>
      <w:tabs>
        <w:tab w:val="left" w:pos="360"/>
      </w:tabs>
      <w:spacing w:after="80"/>
      <w:ind w:left="360" w:hanging="360"/>
    </w:pPr>
    <w:rPr>
      <w:color w:val="000000"/>
      <w:sz w:val="22"/>
    </w:rPr>
  </w:style>
  <w:style w:type="paragraph" w:styleId="BodyTextIndent2">
    <w:name w:val="Body Text Indent 2"/>
    <w:basedOn w:val="Normal"/>
    <w:semiHidden/>
    <w:pPr>
      <w:keepLines/>
      <w:tabs>
        <w:tab w:val="left" w:pos="360"/>
      </w:tabs>
      <w:spacing w:after="80"/>
      <w:ind w:left="360"/>
    </w:pPr>
    <w:rPr>
      <w:color w:val="000000"/>
      <w:sz w:val="22"/>
    </w:rPr>
  </w:style>
  <w:style w:type="paragraph" w:styleId="BalloonText">
    <w:name w:val="Balloon Text"/>
    <w:basedOn w:val="Normal"/>
    <w:link w:val="BalloonTextChar"/>
    <w:uiPriority w:val="99"/>
    <w:semiHidden/>
    <w:unhideWhenUsed/>
    <w:rsid w:val="007E0075"/>
    <w:rPr>
      <w:rFonts w:ascii="Segoe UI" w:hAnsi="Segoe UI" w:cs="Segoe UI"/>
      <w:sz w:val="18"/>
      <w:szCs w:val="18"/>
    </w:rPr>
  </w:style>
  <w:style w:type="character" w:customStyle="1" w:styleId="BalloonTextChar">
    <w:name w:val="Balloon Text Char"/>
    <w:link w:val="BalloonText"/>
    <w:uiPriority w:val="99"/>
    <w:semiHidden/>
    <w:rsid w:val="007E0075"/>
    <w:rPr>
      <w:rFonts w:ascii="Segoe UI" w:hAnsi="Segoe UI" w:cs="Segoe UI"/>
      <w:sz w:val="18"/>
      <w:szCs w:val="18"/>
    </w:rPr>
  </w:style>
  <w:style w:type="character" w:styleId="Hyperlink">
    <w:name w:val="Hyperlink"/>
    <w:uiPriority w:val="99"/>
    <w:unhideWhenUsed/>
    <w:rsid w:val="006A6949"/>
    <w:rPr>
      <w:color w:val="0000FF"/>
      <w:u w:val="single"/>
    </w:rPr>
  </w:style>
  <w:style w:type="character" w:customStyle="1" w:styleId="Heading2Char">
    <w:name w:val="Heading 2 Char"/>
    <w:link w:val="Heading2"/>
    <w:uiPriority w:val="9"/>
    <w:rsid w:val="006A6949"/>
    <w:rPr>
      <w:rFonts w:ascii="Calibri Light" w:eastAsia="Times New Roman" w:hAnsi="Calibri Light" w:cs="Times New Roman"/>
      <w:b/>
      <w:bCs/>
      <w:i/>
      <w:iCs/>
      <w:sz w:val="28"/>
      <w:szCs w:val="28"/>
    </w:rPr>
  </w:style>
  <w:style w:type="paragraph" w:styleId="NormalWeb">
    <w:name w:val="Normal (Web)"/>
    <w:basedOn w:val="Normal"/>
    <w:uiPriority w:val="99"/>
    <w:semiHidden/>
    <w:unhideWhenUsed/>
    <w:rsid w:val="006A6949"/>
    <w:pPr>
      <w:spacing w:before="100" w:beforeAutospacing="1" w:after="100" w:afterAutospacing="1"/>
    </w:pPr>
  </w:style>
  <w:style w:type="character" w:customStyle="1" w:styleId="apple-converted-space">
    <w:name w:val="apple-converted-space"/>
    <w:rsid w:val="006A6949"/>
  </w:style>
  <w:style w:type="character" w:styleId="CommentReference">
    <w:name w:val="annotation reference"/>
    <w:uiPriority w:val="99"/>
    <w:semiHidden/>
    <w:unhideWhenUsed/>
    <w:rsid w:val="00696B16"/>
    <w:rPr>
      <w:sz w:val="16"/>
      <w:szCs w:val="16"/>
    </w:rPr>
  </w:style>
  <w:style w:type="paragraph" w:styleId="CommentText">
    <w:name w:val="annotation text"/>
    <w:basedOn w:val="Normal"/>
    <w:link w:val="CommentTextChar"/>
    <w:uiPriority w:val="99"/>
    <w:unhideWhenUsed/>
    <w:rsid w:val="00696B16"/>
    <w:rPr>
      <w:sz w:val="20"/>
      <w:szCs w:val="20"/>
    </w:rPr>
  </w:style>
  <w:style w:type="character" w:customStyle="1" w:styleId="CommentTextChar">
    <w:name w:val="Comment Text Char"/>
    <w:basedOn w:val="DefaultParagraphFont"/>
    <w:link w:val="CommentText"/>
    <w:uiPriority w:val="99"/>
    <w:rsid w:val="00696B16"/>
  </w:style>
  <w:style w:type="paragraph" w:styleId="CommentSubject">
    <w:name w:val="annotation subject"/>
    <w:basedOn w:val="CommentText"/>
    <w:next w:val="CommentText"/>
    <w:link w:val="CommentSubjectChar"/>
    <w:uiPriority w:val="99"/>
    <w:semiHidden/>
    <w:unhideWhenUsed/>
    <w:rsid w:val="00696B16"/>
    <w:rPr>
      <w:b/>
      <w:bCs/>
    </w:rPr>
  </w:style>
  <w:style w:type="character" w:customStyle="1" w:styleId="CommentSubjectChar">
    <w:name w:val="Comment Subject Char"/>
    <w:link w:val="CommentSubject"/>
    <w:uiPriority w:val="99"/>
    <w:semiHidden/>
    <w:rsid w:val="00696B16"/>
    <w:rPr>
      <w:b/>
      <w:bCs/>
    </w:rPr>
  </w:style>
  <w:style w:type="table" w:styleId="TableGrid">
    <w:name w:val="Table Grid"/>
    <w:basedOn w:val="TableNormal"/>
    <w:uiPriority w:val="59"/>
    <w:rsid w:val="00E8657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
    <w:name w:val="cita"/>
    <w:basedOn w:val="Normal"/>
    <w:rsid w:val="00062554"/>
    <w:pPr>
      <w:spacing w:before="100" w:beforeAutospacing="1" w:after="100" w:afterAutospacing="1"/>
    </w:pPr>
  </w:style>
  <w:style w:type="paragraph" w:customStyle="1" w:styleId="fp">
    <w:name w:val="fp"/>
    <w:basedOn w:val="Normal"/>
    <w:rsid w:val="00062554"/>
    <w:pPr>
      <w:spacing w:before="100" w:beforeAutospacing="1" w:after="100" w:afterAutospacing="1"/>
    </w:pPr>
  </w:style>
  <w:style w:type="character" w:customStyle="1" w:styleId="Heading4Char">
    <w:name w:val="Heading 4 Char"/>
    <w:link w:val="Heading4"/>
    <w:uiPriority w:val="9"/>
    <w:semiHidden/>
    <w:rsid w:val="003B00BA"/>
    <w:rPr>
      <w:rFonts w:ascii="Calibri" w:eastAsia="Times New Roman" w:hAnsi="Calibri" w:cs="Times New Roman"/>
      <w:b/>
      <w:bCs/>
      <w:sz w:val="28"/>
      <w:szCs w:val="28"/>
    </w:rPr>
  </w:style>
  <w:style w:type="paragraph" w:customStyle="1" w:styleId="statutory-body">
    <w:name w:val="statutory-body"/>
    <w:basedOn w:val="Normal"/>
    <w:rsid w:val="003B00BA"/>
    <w:pPr>
      <w:spacing w:before="100" w:beforeAutospacing="1" w:after="100" w:afterAutospacing="1"/>
    </w:pPr>
  </w:style>
  <w:style w:type="paragraph" w:customStyle="1" w:styleId="statutory-body-1em">
    <w:name w:val="statutory-body-1em"/>
    <w:basedOn w:val="Normal"/>
    <w:rsid w:val="003B00BA"/>
    <w:pPr>
      <w:spacing w:before="100" w:beforeAutospacing="1" w:after="100" w:afterAutospacing="1"/>
    </w:pPr>
  </w:style>
  <w:style w:type="character" w:customStyle="1" w:styleId="Heading3Char">
    <w:name w:val="Heading 3 Char"/>
    <w:link w:val="Heading3"/>
    <w:uiPriority w:val="9"/>
    <w:semiHidden/>
    <w:rsid w:val="003B00BA"/>
    <w:rPr>
      <w:rFonts w:ascii="Calibri Light" w:eastAsia="Times New Roman" w:hAnsi="Calibri Light" w:cs="Times New Roman"/>
      <w:b/>
      <w:bCs/>
      <w:sz w:val="26"/>
      <w:szCs w:val="26"/>
    </w:rPr>
  </w:style>
  <w:style w:type="paragraph" w:styleId="Revision">
    <w:name w:val="Revision"/>
    <w:hidden/>
    <w:uiPriority w:val="99"/>
    <w:semiHidden/>
    <w:rsid w:val="00425F2F"/>
    <w:rPr>
      <w:sz w:val="24"/>
      <w:szCs w:val="24"/>
    </w:rPr>
  </w:style>
  <w:style w:type="paragraph" w:styleId="Header">
    <w:name w:val="header"/>
    <w:basedOn w:val="Normal"/>
    <w:link w:val="HeaderChar"/>
    <w:uiPriority w:val="99"/>
    <w:unhideWhenUsed/>
    <w:rsid w:val="000D2DF6"/>
    <w:pPr>
      <w:tabs>
        <w:tab w:val="center" w:pos="4680"/>
        <w:tab w:val="right" w:pos="9360"/>
      </w:tabs>
    </w:pPr>
  </w:style>
  <w:style w:type="character" w:customStyle="1" w:styleId="HeaderChar">
    <w:name w:val="Header Char"/>
    <w:link w:val="Header"/>
    <w:uiPriority w:val="99"/>
    <w:rsid w:val="000D2DF6"/>
    <w:rPr>
      <w:sz w:val="24"/>
      <w:szCs w:val="24"/>
    </w:rPr>
  </w:style>
  <w:style w:type="paragraph" w:styleId="Footer">
    <w:name w:val="footer"/>
    <w:basedOn w:val="Normal"/>
    <w:link w:val="FooterChar"/>
    <w:uiPriority w:val="99"/>
    <w:unhideWhenUsed/>
    <w:rsid w:val="000D2DF6"/>
    <w:pPr>
      <w:tabs>
        <w:tab w:val="center" w:pos="4680"/>
        <w:tab w:val="right" w:pos="9360"/>
      </w:tabs>
    </w:pPr>
  </w:style>
  <w:style w:type="character" w:customStyle="1" w:styleId="FooterChar">
    <w:name w:val="Footer Char"/>
    <w:link w:val="Footer"/>
    <w:uiPriority w:val="99"/>
    <w:rsid w:val="000D2DF6"/>
    <w:rPr>
      <w:sz w:val="24"/>
      <w:szCs w:val="24"/>
    </w:rPr>
  </w:style>
  <w:style w:type="paragraph" w:styleId="DocumentMap">
    <w:name w:val="Document Map"/>
    <w:basedOn w:val="Normal"/>
    <w:link w:val="DocumentMapChar"/>
    <w:uiPriority w:val="99"/>
    <w:semiHidden/>
    <w:unhideWhenUsed/>
    <w:rsid w:val="000C67AE"/>
    <w:rPr>
      <w:rFonts w:ascii="Tahoma" w:hAnsi="Tahoma" w:cs="Tahoma"/>
      <w:sz w:val="16"/>
      <w:szCs w:val="16"/>
    </w:rPr>
  </w:style>
  <w:style w:type="character" w:customStyle="1" w:styleId="DocumentMapChar">
    <w:name w:val="Document Map Char"/>
    <w:basedOn w:val="DefaultParagraphFont"/>
    <w:link w:val="DocumentMap"/>
    <w:uiPriority w:val="99"/>
    <w:semiHidden/>
    <w:rsid w:val="000C67AE"/>
    <w:rPr>
      <w:rFonts w:ascii="Tahoma" w:hAnsi="Tahoma" w:cs="Tahoma"/>
      <w:sz w:val="16"/>
      <w:szCs w:val="16"/>
    </w:rPr>
  </w:style>
  <w:style w:type="paragraph" w:styleId="ListParagraph">
    <w:name w:val="List Paragraph"/>
    <w:basedOn w:val="Normal"/>
    <w:uiPriority w:val="34"/>
    <w:qFormat/>
    <w:rsid w:val="00525CD7"/>
    <w:pPr>
      <w:ind w:left="720"/>
      <w:contextualSpacing/>
    </w:pPr>
  </w:style>
  <w:style w:type="character" w:styleId="UnresolvedMention">
    <w:name w:val="Unresolved Mention"/>
    <w:basedOn w:val="DefaultParagraphFont"/>
    <w:uiPriority w:val="99"/>
    <w:semiHidden/>
    <w:unhideWhenUsed/>
    <w:rsid w:val="00F13A48"/>
    <w:rPr>
      <w:color w:val="605E5C"/>
      <w:shd w:val="clear" w:color="auto" w:fill="E1DFDD"/>
    </w:rPr>
  </w:style>
  <w:style w:type="paragraph" w:styleId="NoSpacing">
    <w:name w:val="No Spacing"/>
    <w:uiPriority w:val="1"/>
    <w:qFormat/>
    <w:rsid w:val="00A52A82"/>
    <w:rPr>
      <w:sz w:val="24"/>
      <w:szCs w:val="24"/>
    </w:rPr>
  </w:style>
  <w:style w:type="character" w:styleId="FollowedHyperlink">
    <w:name w:val="FollowedHyperlink"/>
    <w:basedOn w:val="DefaultParagraphFont"/>
    <w:uiPriority w:val="99"/>
    <w:semiHidden/>
    <w:unhideWhenUsed/>
    <w:rsid w:val="009F02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ecfr.gov/current/title-2/part-200"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AB340712-74DB-4EBC-80ED-913A61B5D6A5}">
  <ds:schemaRefs>
    <ds:schemaRef ds:uri="http://schemas.openxmlformats.org/officeDocument/2006/bibliography"/>
  </ds:schemaRefs>
</ds:datastoreItem>
</file>

<file path=customXml/itemProps2.xml><?xml version="1.0" encoding="utf-8"?>
<ds:datastoreItem xmlns:ds="http://schemas.openxmlformats.org/officeDocument/2006/customXml" ds:itemID="{D7D129AA-2B47-406B-A9AF-34EB906A67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4055</Words>
  <Characters>23115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Johnson, Urnell</cp:lastModifiedBy>
  <cp:revision>2</cp:revision>
  <dcterms:created xsi:type="dcterms:W3CDTF">2024-07-26T20:19:00Z</dcterms:created>
  <dcterms:modified xsi:type="dcterms:W3CDTF">2024-08-06T17:12:00Z</dcterms:modified>
</cp:coreProperties>
</file>