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4772" w:rsidRPr="00B52157" w:rsidP="517A6E2A" w14:paraId="7D97E686" w14:textId="7441B461">
      <w:pPr>
        <w:pStyle w:val="NoSpacing"/>
        <w:ind w:left="0"/>
        <w:jc w:val="center"/>
        <w:rPr>
          <w:b/>
          <w:sz w:val="28"/>
          <w:szCs w:val="28"/>
        </w:rPr>
      </w:pPr>
      <w:bookmarkStart w:id="0" w:name="_Hlk520468178"/>
      <w:bookmarkStart w:id="1" w:name="_Toc473289225"/>
      <w:r w:rsidRPr="517A6E2A">
        <w:rPr>
          <w:b/>
          <w:sz w:val="28"/>
          <w:szCs w:val="28"/>
        </w:rPr>
        <w:t>Supporting Statement for Paperwork Reduction Act Renewal Submission</w:t>
      </w:r>
    </w:p>
    <w:p w:rsidR="00D94772" w:rsidRPr="00B52157" w:rsidP="00983179" w14:paraId="3A002CA4" w14:textId="00ABCC54">
      <w:pPr>
        <w:pStyle w:val="NoSpacing"/>
        <w:ind w:left="0"/>
        <w:jc w:val="center"/>
        <w:rPr>
          <w:b/>
          <w:sz w:val="28"/>
        </w:rPr>
      </w:pPr>
      <w:r w:rsidRPr="00B52157">
        <w:rPr>
          <w:b/>
          <w:sz w:val="28"/>
        </w:rPr>
        <w:t>Evaluation of the HUD-DOJ Pay for Success Re-Entry Permanent</w:t>
      </w:r>
      <w:r w:rsidRPr="00B52157" w:rsidR="00A01F88">
        <w:rPr>
          <w:b/>
          <w:sz w:val="28"/>
        </w:rPr>
        <w:t xml:space="preserve"> </w:t>
      </w:r>
      <w:r w:rsidRPr="00B52157">
        <w:rPr>
          <w:b/>
          <w:sz w:val="28"/>
        </w:rPr>
        <w:t>Supportive Housing Demonstration</w:t>
      </w:r>
      <w:bookmarkEnd w:id="0"/>
    </w:p>
    <w:p w:rsidR="007062C9" w:rsidRPr="00B52157" w:rsidP="00983179" w14:paraId="33BD5A5C" w14:textId="09F75871">
      <w:pPr>
        <w:pStyle w:val="NoSpacing"/>
        <w:ind w:left="0"/>
        <w:jc w:val="center"/>
        <w:rPr>
          <w:b/>
          <w:sz w:val="28"/>
        </w:rPr>
      </w:pPr>
      <w:bookmarkStart w:id="2" w:name="_Hlk520468202"/>
      <w:r w:rsidRPr="00B52157">
        <w:rPr>
          <w:b/>
          <w:sz w:val="28"/>
        </w:rPr>
        <w:t>OMB # 2528-</w:t>
      </w:r>
      <w:r w:rsidR="00530EC0">
        <w:rPr>
          <w:b/>
          <w:sz w:val="28"/>
        </w:rPr>
        <w:t>0319</w:t>
      </w:r>
    </w:p>
    <w:bookmarkEnd w:id="2"/>
    <w:p w:rsidR="008809E2" w:rsidRPr="00B52157" w:rsidP="00983179" w14:paraId="0240398B" w14:textId="77777777">
      <w:pPr>
        <w:pStyle w:val="NoSpacing"/>
        <w:ind w:left="0"/>
        <w:rPr>
          <w:sz w:val="28"/>
        </w:rPr>
      </w:pPr>
    </w:p>
    <w:p w:rsidR="007062C9" w:rsidRPr="00B52157" w:rsidP="00983179" w14:paraId="74EC2CDC" w14:textId="77777777">
      <w:pPr>
        <w:pStyle w:val="Heading1"/>
        <w:rPr>
          <w:sz w:val="28"/>
        </w:rPr>
      </w:pPr>
      <w:r w:rsidRPr="00B52157">
        <w:rPr>
          <w:sz w:val="28"/>
        </w:rPr>
        <w:t>Part A Justification</w:t>
      </w:r>
    </w:p>
    <w:bookmarkEnd w:id="1"/>
    <w:p w:rsidR="00983179" w:rsidRPr="00B52157" w:rsidP="00983179" w14:paraId="0CEB6F53" w14:textId="77777777">
      <w:pPr>
        <w:pStyle w:val="Heading2"/>
        <w:numPr>
          <w:ilvl w:val="0"/>
          <w:numId w:val="0"/>
        </w:numPr>
      </w:pPr>
    </w:p>
    <w:p w:rsidR="00D07651" w:rsidP="00D07651" w14:paraId="3DB6F595" w14:textId="77777777">
      <w:pPr>
        <w:keepLines/>
        <w:tabs>
          <w:tab w:val="left" w:pos="360"/>
        </w:tabs>
        <w:spacing w:after="80"/>
        <w:ind w:left="360" w:hanging="360"/>
      </w:pPr>
      <w:r w:rsidRPr="006C7FAE">
        <w:t>1.</w:t>
      </w:r>
      <w:r w:rsidRPr="006C7FAE">
        <w:tab/>
      </w:r>
      <w:r w:rsidRPr="0057092B">
        <w:rPr>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76C52" w:rsidP="00983179" w14:paraId="3FEB79E6" w14:textId="77777777">
      <w:pPr>
        <w:pStyle w:val="NoSpacing"/>
        <w:ind w:left="0"/>
      </w:pPr>
    </w:p>
    <w:p w:rsidR="00D518C2" w:rsidRPr="00B52157" w:rsidP="00983179" w14:paraId="788D7BEC" w14:textId="2F4C8262">
      <w:pPr>
        <w:pStyle w:val="NoSpacing"/>
        <w:ind w:left="0"/>
      </w:pPr>
      <w:r>
        <w:t>In 201</w:t>
      </w:r>
      <w:r w:rsidR="00EE64F5">
        <w:t>6</w:t>
      </w:r>
      <w:r>
        <w:t>, t</w:t>
      </w:r>
      <w:r w:rsidRPr="00B52157" w:rsidR="00C14916">
        <w:t xml:space="preserve">he U.S. Departments of Housing and Urban Development (HUD) and </w:t>
      </w:r>
      <w:r w:rsidRPr="00B52157" w:rsidR="00D94772">
        <w:t xml:space="preserve">the Department of </w:t>
      </w:r>
      <w:r w:rsidRPr="00B52157" w:rsidR="00C14916">
        <w:t xml:space="preserve">Justice (DOJ) </w:t>
      </w:r>
      <w:r w:rsidRPr="00B52157" w:rsidR="00C14916">
        <w:t>entered into</w:t>
      </w:r>
      <w:r w:rsidRPr="00B52157" w:rsidR="00C14916">
        <w:t xml:space="preserve"> an </w:t>
      </w:r>
      <w:r w:rsidRPr="00B52157" w:rsidR="00314F22">
        <w:t xml:space="preserve">innovative </w:t>
      </w:r>
      <w:r w:rsidRPr="00B52157" w:rsidR="00C14916">
        <w:t xml:space="preserve">interagency collaboration that combines DOJ’s mission to promote safer communities by focusing on the reentry population with HUD’s mission to end chronic homelessness. This collaboration resulted in the </w:t>
      </w:r>
      <w:r w:rsidRPr="00B52157" w:rsidR="00F661DE">
        <w:t>Pay for Success Permanent Supportive Housing Demonstration</w:t>
      </w:r>
      <w:r w:rsidR="0009722A">
        <w:t>,</w:t>
      </w:r>
      <w:r w:rsidRPr="00B52157" w:rsidR="00F661DE">
        <w:t xml:space="preserve"> with $8.68M awarded </w:t>
      </w:r>
      <w:r w:rsidRPr="00B52157" w:rsidR="0020614B">
        <w:t xml:space="preserve">in June 2016 </w:t>
      </w:r>
      <w:r w:rsidRPr="00B52157" w:rsidR="00C14916">
        <w:t xml:space="preserve">to seven communities to develop </w:t>
      </w:r>
      <w:r w:rsidR="00E76C52">
        <w:t xml:space="preserve">permanent </w:t>
      </w:r>
      <w:r w:rsidRPr="00B52157" w:rsidR="00C14916">
        <w:t xml:space="preserve">supportive housing </w:t>
      </w:r>
      <w:r w:rsidR="00E76C52">
        <w:t xml:space="preserve">(PSH) </w:t>
      </w:r>
      <w:r w:rsidRPr="00B52157" w:rsidR="00F661DE">
        <w:t xml:space="preserve">for persons cycling between the jail or prison systems </w:t>
      </w:r>
      <w:r w:rsidRPr="00B52157" w:rsidR="00C14916">
        <w:t xml:space="preserve">using </w:t>
      </w:r>
      <w:r w:rsidRPr="00B52157" w:rsidR="00D94772">
        <w:t>P</w:t>
      </w:r>
      <w:r w:rsidRPr="00B52157" w:rsidR="00C14916">
        <w:t xml:space="preserve">ay </w:t>
      </w:r>
      <w:r w:rsidRPr="00B52157" w:rsidR="000022F3">
        <w:t xml:space="preserve">for </w:t>
      </w:r>
      <w:r w:rsidRPr="00B52157" w:rsidR="00D94772">
        <w:t>S</w:t>
      </w:r>
      <w:r w:rsidRPr="00B52157" w:rsidR="00C14916">
        <w:t xml:space="preserve">uccess (PFS) as a funding mechanism. </w:t>
      </w:r>
      <w:r w:rsidRPr="00B52157" w:rsidR="00F661DE">
        <w:t>The PFS Demonstration grant supports</w:t>
      </w:r>
      <w:r w:rsidRPr="00B52157" w:rsidR="00C14916">
        <w:t xml:space="preserve"> activities through</w:t>
      </w:r>
      <w:r w:rsidRPr="00B52157" w:rsidR="00A96B1E">
        <w:t>out</w:t>
      </w:r>
      <w:r w:rsidRPr="00B52157" w:rsidR="00C14916">
        <w:t xml:space="preserve"> the PFS lifecycle</w:t>
      </w:r>
      <w:r w:rsidRPr="00B52157" w:rsidR="00A96B1E">
        <w:t xml:space="preserve">. </w:t>
      </w:r>
      <w:r w:rsidR="006C4C2D">
        <w:t xml:space="preserve">In January 2017, </w:t>
      </w:r>
      <w:r w:rsidR="00B20275">
        <w:t>HUD</w:t>
      </w:r>
      <w:r w:rsidRPr="00B52157" w:rsidR="00046EE6">
        <w:t xml:space="preserve"> </w:t>
      </w:r>
      <w:r w:rsidR="006C4C2D">
        <w:t xml:space="preserve">awarded the </w:t>
      </w:r>
      <w:r w:rsidRPr="00B52157" w:rsidR="00046EE6">
        <w:rPr>
          <w:noProof/>
        </w:rPr>
        <w:t xml:space="preserve">evaluation </w:t>
      </w:r>
      <w:r w:rsidR="006C4C2D">
        <w:rPr>
          <w:noProof/>
        </w:rPr>
        <w:t>contract to</w:t>
      </w:r>
      <w:r w:rsidR="00E76C52">
        <w:rPr>
          <w:noProof/>
        </w:rPr>
        <w:t xml:space="preserve"> the Urban Institute</w:t>
      </w:r>
      <w:r w:rsidR="000C65D9">
        <w:rPr>
          <w:noProof/>
        </w:rPr>
        <w:t>,</w:t>
      </w:r>
      <w:r w:rsidR="00E76C52">
        <w:rPr>
          <w:noProof/>
        </w:rPr>
        <w:t xml:space="preserve"> </w:t>
      </w:r>
      <w:r w:rsidRPr="00B52157" w:rsidR="00046EE6">
        <w:t xml:space="preserve">to assess whether PFS is a viable model for scaling supportive housing to improve outcomes for a re-entry population. </w:t>
      </w:r>
      <w:r w:rsidR="006F1C8B">
        <w:t>T</w:t>
      </w:r>
      <w:r w:rsidRPr="00B52157" w:rsidR="00046EE6">
        <w:t xml:space="preserve">he overarching goal of this formative evaluation is to learn how the PFS model is implemented in diverse settings with different structures, populations, and community contexts. </w:t>
      </w:r>
      <w:r w:rsidR="00392375">
        <w:t xml:space="preserve">Throughout the evaluation, </w:t>
      </w:r>
      <w:r w:rsidR="00085980">
        <w:t xml:space="preserve">two data collection instruments </w:t>
      </w:r>
      <w:r w:rsidR="00B220AC">
        <w:t xml:space="preserve">(Annual Partnership Survey and </w:t>
      </w:r>
      <w:r w:rsidR="0018218A">
        <w:t>Time Use Survey</w:t>
      </w:r>
      <w:r w:rsidR="00B220AC">
        <w:t xml:space="preserve">) </w:t>
      </w:r>
      <w:r w:rsidR="00085980">
        <w:t xml:space="preserve">have been used to collect information </w:t>
      </w:r>
      <w:r w:rsidR="00B220AC">
        <w:t>regarding the implementation of the PFS PSH demonstration directly from staff at demonstration partner agencies in each of the study sites.</w:t>
      </w:r>
      <w:r w:rsidR="004D73B4">
        <w:t xml:space="preserve"> The first OMB approval was in October 2018, the </w:t>
      </w:r>
      <w:r w:rsidR="00E92BA4">
        <w:t>second</w:t>
      </w:r>
      <w:r w:rsidR="008F6394">
        <w:t xml:space="preserve"> approval was</w:t>
      </w:r>
      <w:r w:rsidR="004D73B4">
        <w:t xml:space="preserve"> in </w:t>
      </w:r>
      <w:r w:rsidR="00E92BA4">
        <w:t xml:space="preserve">2021, and now the third </w:t>
      </w:r>
      <w:r w:rsidR="008F6394">
        <w:t xml:space="preserve">approval is sought </w:t>
      </w:r>
      <w:r w:rsidR="00E92BA4">
        <w:t>this year.</w:t>
      </w:r>
    </w:p>
    <w:p w:rsidR="00E657F5" w:rsidRPr="00B52157" w:rsidP="00983179" w14:paraId="69B740E3" w14:textId="77777777">
      <w:pPr>
        <w:pStyle w:val="NoSpacing"/>
        <w:ind w:left="0"/>
      </w:pPr>
    </w:p>
    <w:p w:rsidR="00D518C2" w:rsidRPr="00E76C52" w:rsidP="00983179" w14:paraId="0253A638" w14:textId="268682FA">
      <w:pPr>
        <w:pStyle w:val="NoSpacing"/>
        <w:ind w:left="0"/>
      </w:pPr>
      <w:r w:rsidRPr="00B52157">
        <w:t xml:space="preserve">This information collection </w:t>
      </w:r>
      <w:r w:rsidRPr="00B52157" w:rsidR="005E756C">
        <w:t xml:space="preserve">renewal </w:t>
      </w:r>
      <w:r w:rsidRPr="00B52157">
        <w:t xml:space="preserve">request </w:t>
      </w:r>
      <w:r w:rsidR="00097E06">
        <w:t>includes</w:t>
      </w:r>
      <w:r w:rsidR="00D14D0C">
        <w:t>:</w:t>
      </w:r>
      <w:r w:rsidR="00097E06">
        <w:t xml:space="preserve"> </w:t>
      </w:r>
      <w:r w:rsidR="00F753EA">
        <w:t xml:space="preserve">(1) </w:t>
      </w:r>
      <w:r w:rsidRPr="00305B45" w:rsidR="00F753EA">
        <w:t xml:space="preserve">the </w:t>
      </w:r>
      <w:r w:rsidRPr="00305B45" w:rsidR="00305B45">
        <w:rPr>
          <w:rFonts w:eastAsia="Calibri"/>
          <w:color w:val="000000"/>
        </w:rPr>
        <w:t xml:space="preserve">HUD-DOJ PFS Key Project Partners Annual </w:t>
      </w:r>
      <w:r w:rsidR="00890570">
        <w:rPr>
          <w:rFonts w:eastAsia="Calibri"/>
          <w:color w:val="000000"/>
        </w:rPr>
        <w:t>W</w:t>
      </w:r>
      <w:r w:rsidRPr="00305B45" w:rsidR="00305B45">
        <w:rPr>
          <w:rFonts w:eastAsia="Calibri"/>
          <w:color w:val="000000"/>
        </w:rPr>
        <w:t xml:space="preserve">eb-based </w:t>
      </w:r>
      <w:r w:rsidR="00890570">
        <w:rPr>
          <w:rFonts w:eastAsia="Calibri"/>
          <w:color w:val="000000"/>
        </w:rPr>
        <w:t>P</w:t>
      </w:r>
      <w:r w:rsidRPr="00305B45" w:rsidR="00305B45">
        <w:rPr>
          <w:rFonts w:eastAsia="Calibri"/>
          <w:color w:val="000000"/>
        </w:rPr>
        <w:t xml:space="preserve">artnership </w:t>
      </w:r>
      <w:r w:rsidR="00890570">
        <w:rPr>
          <w:rFonts w:eastAsia="Calibri"/>
          <w:color w:val="000000"/>
        </w:rPr>
        <w:t>S</w:t>
      </w:r>
      <w:r w:rsidRPr="00305B45" w:rsidR="00305B45">
        <w:rPr>
          <w:rFonts w:eastAsia="Calibri"/>
          <w:color w:val="000000"/>
        </w:rPr>
        <w:t>urvey</w:t>
      </w:r>
      <w:r w:rsidR="003C4AF7">
        <w:rPr>
          <w:rFonts w:eastAsia="Calibri"/>
          <w:color w:val="000000"/>
        </w:rPr>
        <w:t xml:space="preserve"> (referred to as the</w:t>
      </w:r>
      <w:r w:rsidR="00305B45">
        <w:rPr>
          <w:rFonts w:eastAsia="Calibri"/>
          <w:color w:val="000000"/>
          <w:sz w:val="20"/>
          <w:szCs w:val="20"/>
        </w:rPr>
        <w:t xml:space="preserve"> </w:t>
      </w:r>
      <w:r w:rsidRPr="00B52157" w:rsidR="00CB7047">
        <w:t>Partnership Survey</w:t>
      </w:r>
      <w:r w:rsidR="003C4AF7">
        <w:t>)</w:t>
      </w:r>
      <w:r w:rsidR="00F753EA">
        <w:t>, which</w:t>
      </w:r>
      <w:r w:rsidRPr="00B52157">
        <w:t xml:space="preserve"> </w:t>
      </w:r>
      <w:r w:rsidRPr="00B52157" w:rsidR="005E756C">
        <w:t>is focused on</w:t>
      </w:r>
      <w:r w:rsidRPr="00B52157">
        <w:t xml:space="preserve"> the development and functioning of partnerships and community-level collaboration</w:t>
      </w:r>
      <w:r w:rsidRPr="00B52157" w:rsidR="00AB4701">
        <w:t>s</w:t>
      </w:r>
      <w:r w:rsidRPr="00B52157">
        <w:t xml:space="preserve"> that may benefit the target population</w:t>
      </w:r>
      <w:r w:rsidR="00F753EA">
        <w:t>, and</w:t>
      </w:r>
      <w:r w:rsidRPr="00B52157">
        <w:t xml:space="preserve"> </w:t>
      </w:r>
      <w:r w:rsidRPr="00B52157" w:rsidR="00447517">
        <w:t>(</w:t>
      </w:r>
      <w:r w:rsidR="00F753EA">
        <w:t>2</w:t>
      </w:r>
      <w:r w:rsidRPr="00890570" w:rsidR="00447517">
        <w:t xml:space="preserve">) </w:t>
      </w:r>
      <w:r w:rsidRPr="00890570" w:rsidR="00F753EA">
        <w:t>the</w:t>
      </w:r>
      <w:r w:rsidRPr="00890570" w:rsidR="005E756C">
        <w:t xml:space="preserve"> </w:t>
      </w:r>
      <w:r w:rsidRPr="00890570" w:rsidR="00890570">
        <w:rPr>
          <w:rFonts w:eastAsia="Calibri"/>
          <w:color w:val="000000"/>
        </w:rPr>
        <w:t xml:space="preserve">HUD-DOJ PFS Key Project Partners Quarterly </w:t>
      </w:r>
      <w:r w:rsidR="0018218A">
        <w:rPr>
          <w:rFonts w:eastAsia="Calibri"/>
          <w:color w:val="000000"/>
        </w:rPr>
        <w:t>Time Use Survey</w:t>
      </w:r>
      <w:r w:rsidRPr="00890570" w:rsidR="00890570">
        <w:rPr>
          <w:rFonts w:eastAsia="Calibri"/>
          <w:color w:val="000000"/>
        </w:rPr>
        <w:t xml:space="preserve"> (referred to as the</w:t>
      </w:r>
      <w:r w:rsidR="00890570">
        <w:rPr>
          <w:rFonts w:eastAsia="Calibri"/>
          <w:color w:val="000000"/>
          <w:sz w:val="20"/>
          <w:szCs w:val="20"/>
        </w:rPr>
        <w:t xml:space="preserve"> </w:t>
      </w:r>
      <w:r w:rsidR="0018218A">
        <w:t>Time Use Survey</w:t>
      </w:r>
      <w:r w:rsidR="00890570">
        <w:t>)</w:t>
      </w:r>
      <w:r w:rsidR="00F753EA">
        <w:t xml:space="preserve">, which </w:t>
      </w:r>
      <w:r w:rsidRPr="0009722A" w:rsidR="005E756C">
        <w:t xml:space="preserve">is being </w:t>
      </w:r>
      <w:r w:rsidRPr="0009722A" w:rsidR="00447517">
        <w:t xml:space="preserve">conducted as part of a study of the staff time that is used to develop each PFS project, through the phases of its PFS </w:t>
      </w:r>
      <w:r w:rsidRPr="0009722A" w:rsidR="0009722A">
        <w:t>life cycle</w:t>
      </w:r>
      <w:r w:rsidRPr="0009722A" w:rsidR="00447517">
        <w:t xml:space="preserve"> of feasibility analysis, transaction structuring, and project implementation.</w:t>
      </w:r>
      <w:r w:rsidR="00E76C52">
        <w:t xml:space="preserve"> </w:t>
      </w:r>
      <w:r w:rsidRPr="00E76C52" w:rsidR="00E76C52">
        <w:t>The authority to collect information is in Sections 501 and 502 of the Housing and Urban Development Act of 1970 (Public Law 91-609) (12 U.S.C. §§ 1701z-1; 1701z-2(d) and (g)).  Please see Appendix A for the relevant section of HUD’s statutory authority.</w:t>
      </w:r>
    </w:p>
    <w:p w:rsidR="00D1011F" w:rsidRPr="00B52157" w:rsidP="00983179" w14:paraId="58D9CF8D" w14:textId="2BFF09EC">
      <w:pPr>
        <w:pStyle w:val="NoSpacing"/>
        <w:ind w:left="0"/>
      </w:pPr>
    </w:p>
    <w:p w:rsidR="00E657F5" w:rsidRPr="0057092B" w:rsidP="00D07651" w14:paraId="7E1A06A3" w14:textId="22286807">
      <w:pPr>
        <w:pStyle w:val="NoSpacing"/>
        <w:numPr>
          <w:ilvl w:val="0"/>
          <w:numId w:val="40"/>
        </w:numPr>
        <w:ind w:left="360"/>
        <w:rPr>
          <w:b/>
          <w:bCs w:val="0"/>
        </w:rPr>
      </w:pPr>
      <w:r w:rsidRPr="0057092B">
        <w:rPr>
          <w:b/>
          <w:bCs w:val="0"/>
        </w:rPr>
        <w:t>Indicate how, by whom and for what purpose the information is to be used.  Except for a new collection, indicate the actual use the agency has made of the information received from the current collection.</w:t>
      </w:r>
    </w:p>
    <w:p w:rsidR="002C652C" w:rsidRPr="00B52157" w:rsidP="00983179" w14:paraId="1206F9C5" w14:textId="39093985">
      <w:pPr>
        <w:pStyle w:val="NoSpacing"/>
        <w:ind w:left="0"/>
      </w:pPr>
    </w:p>
    <w:p w:rsidR="00D72ACA" w:rsidRPr="00B52157" w:rsidP="00983179" w14:paraId="495C77E6" w14:textId="588F0BF6">
      <w:pPr>
        <w:pStyle w:val="NoSpacing"/>
        <w:ind w:left="0"/>
      </w:pPr>
      <w:r w:rsidRPr="00B52157">
        <w:t xml:space="preserve">This data collection is part of the ongoing national evaluation, managed by the Office of Policy Development and Research </w:t>
      </w:r>
      <w:r w:rsidR="003A3444">
        <w:t xml:space="preserve">(PD&amp;R) </w:t>
      </w:r>
      <w:r w:rsidRPr="00B52157">
        <w:t>at HUD, which is designed to help HUD</w:t>
      </w:r>
      <w:r w:rsidRPr="00B52157" w:rsidR="0056576C">
        <w:t xml:space="preserve"> and </w:t>
      </w:r>
      <w:r w:rsidRPr="00B52157">
        <w:t>DOJ assess whether PFS is a viable model for scaling supportive housing to improve outcomes for a re-entry population.</w:t>
      </w:r>
      <w:r w:rsidR="00E76C52">
        <w:t xml:space="preserve"> The Urban Institute has used the information </w:t>
      </w:r>
      <w:r w:rsidR="00545BB0">
        <w:t>collected</w:t>
      </w:r>
      <w:r w:rsidR="00E76C52">
        <w:t xml:space="preserve"> to </w:t>
      </w:r>
      <w:r w:rsidR="00BB7079">
        <w:t>document and assess</w:t>
      </w:r>
      <w:r w:rsidRPr="00B52157" w:rsidR="00BB7079">
        <w:t xml:space="preserve"> how the PFS model is implemented in diverse settings with different structures, populations, and community contexts</w:t>
      </w:r>
      <w:r w:rsidR="00BB7079">
        <w:t xml:space="preserve"> across the </w:t>
      </w:r>
      <w:r w:rsidR="00303113">
        <w:t>demonstration sites. The Urban Institute has analyzed and presented th</w:t>
      </w:r>
      <w:r w:rsidR="00557103">
        <w:t>eir findings in fo</w:t>
      </w:r>
      <w:r w:rsidR="007912A9">
        <w:t>ur reports documenting the sites’ progress implementing the demonstration and us</w:t>
      </w:r>
      <w:r w:rsidR="00557103">
        <w:t>ed</w:t>
      </w:r>
      <w:r w:rsidR="007912A9">
        <w:t xml:space="preserve"> the data collected to explain each site’s experience in terms of implementing the PFS model and the time spent.</w:t>
      </w:r>
      <w:r w:rsidR="00557103">
        <w:t xml:space="preserve"> </w:t>
      </w:r>
      <w:r w:rsidR="00E912F7">
        <w:t>HUD has published the completed reports</w:t>
      </w:r>
      <w:r w:rsidR="0054770D">
        <w:t xml:space="preserve"> to share the </w:t>
      </w:r>
      <w:r w:rsidR="00A9671A">
        <w:t>initial and interim findings with members of the public</w:t>
      </w:r>
      <w:r w:rsidR="00B25530">
        <w:t xml:space="preserve">, </w:t>
      </w:r>
      <w:r w:rsidR="00A9671A">
        <w:t>organizations</w:t>
      </w:r>
      <w:r w:rsidR="00B25530">
        <w:t>, and communities</w:t>
      </w:r>
      <w:r w:rsidR="00A9671A">
        <w:t xml:space="preserve"> that are inter</w:t>
      </w:r>
      <w:r w:rsidR="006B5036">
        <w:t xml:space="preserve">ested in PFS, PSH, and helping </w:t>
      </w:r>
      <w:r w:rsidR="00B25530">
        <w:t>individuals returning from jails and prisons</w:t>
      </w:r>
      <w:r w:rsidR="007842D5">
        <w:t xml:space="preserve"> to obtain in stable housing</w:t>
      </w:r>
      <w:r w:rsidR="006B5036">
        <w:t xml:space="preserve"> and </w:t>
      </w:r>
      <w:r w:rsidR="00B25530">
        <w:t xml:space="preserve">avoid </w:t>
      </w:r>
      <w:r w:rsidR="00230028">
        <w:t>reincarceration</w:t>
      </w:r>
      <w:r w:rsidR="00B25530">
        <w:t>.</w:t>
      </w:r>
    </w:p>
    <w:p w:rsidR="00E657F5" w:rsidRPr="00B52157" w:rsidP="00983179" w14:paraId="07027716" w14:textId="77777777">
      <w:pPr>
        <w:pStyle w:val="NoSpacing"/>
        <w:ind w:left="0"/>
      </w:pPr>
    </w:p>
    <w:p w:rsidR="002A011D" w:rsidRPr="00B52157" w:rsidP="00983179" w14:paraId="68B8932B" w14:textId="77777777">
      <w:pPr>
        <w:pStyle w:val="NoSpacing"/>
        <w:ind w:left="0"/>
      </w:pPr>
    </w:p>
    <w:p w:rsidR="000C1FD1" w:rsidRPr="0057092B" w:rsidP="00685C54" w14:paraId="0BF2D934" w14:textId="1840C570">
      <w:pPr>
        <w:pStyle w:val="ListParagraph"/>
        <w:keepLines/>
        <w:numPr>
          <w:ilvl w:val="0"/>
          <w:numId w:val="40"/>
        </w:numPr>
        <w:spacing w:after="80"/>
        <w:ind w:left="360"/>
        <w:rPr>
          <w:rFonts w:ascii="Times New Roman" w:hAnsi="Times New Roman"/>
          <w:b/>
        </w:rPr>
      </w:pPr>
      <w:r w:rsidRPr="0057092B">
        <w:rPr>
          <w:rFonts w:ascii="Times New Roman" w:hAnsi="Times New Roman"/>
          <w:b/>
        </w:rPr>
        <w:t>Describe whether, and to what extent, the collection of information involves the use of automated, electronic, mechanical, or other technological collection techniques or other forms of information technology</w:t>
      </w:r>
      <w:r w:rsidRPr="0057092B" w:rsidR="007912A9">
        <w:rPr>
          <w:rFonts w:ascii="Times New Roman" w:hAnsi="Times New Roman"/>
          <w:b/>
        </w:rPr>
        <w:t>, e.g., permitting electronic submission of responses, and the basis for the decision for adopting this means of collection.  Also describe any consideration of using information technology to reduce burden.</w:t>
      </w:r>
    </w:p>
    <w:p w:rsidR="007912A9" w:rsidP="00983179" w14:paraId="0116997A" w14:textId="77777777">
      <w:pPr>
        <w:pStyle w:val="NoSpacing"/>
        <w:ind w:left="0"/>
      </w:pPr>
    </w:p>
    <w:p w:rsidR="00D32751" w:rsidP="00983179" w14:paraId="7E8347AD" w14:textId="115B711D">
      <w:pPr>
        <w:pStyle w:val="NoSpacing"/>
        <w:ind w:left="0"/>
      </w:pPr>
      <w:r>
        <w:t>Both</w:t>
      </w:r>
      <w:r w:rsidR="007912A9">
        <w:t xml:space="preserve"> the </w:t>
      </w:r>
      <w:r w:rsidR="00E77980">
        <w:t>P</w:t>
      </w:r>
      <w:r w:rsidR="007912A9">
        <w:t xml:space="preserve">artnership and </w:t>
      </w:r>
      <w:r w:rsidR="0018218A">
        <w:t>Time Use Survey</w:t>
      </w:r>
      <w:r w:rsidR="007912A9">
        <w:t xml:space="preserve"> data collection can both be completed online or via email without ever having to print anything.</w:t>
      </w:r>
    </w:p>
    <w:p w:rsidR="007912A9" w:rsidRPr="00B52157" w:rsidP="00983179" w14:paraId="30B89590" w14:textId="77777777">
      <w:pPr>
        <w:pStyle w:val="NoSpacing"/>
        <w:ind w:left="0"/>
      </w:pPr>
    </w:p>
    <w:p w:rsidR="000C1FD1" w:rsidRPr="00B52157" w:rsidP="00983179" w14:paraId="5B61F6FF" w14:textId="51EFF856">
      <w:pPr>
        <w:pStyle w:val="Heading3"/>
        <w:ind w:left="0"/>
        <w:rPr>
          <w:b w:val="0"/>
          <w:u w:val="single"/>
        </w:rPr>
      </w:pPr>
      <w:r w:rsidRPr="00B52157">
        <w:rPr>
          <w:b w:val="0"/>
          <w:u w:val="single"/>
        </w:rPr>
        <w:t>Partnership Survey</w:t>
      </w:r>
    </w:p>
    <w:p w:rsidR="00D32751" w:rsidRPr="00B52157" w:rsidP="00983179" w14:paraId="584D8C12" w14:textId="77777777">
      <w:pPr>
        <w:pStyle w:val="NoSpacing"/>
        <w:ind w:left="0"/>
      </w:pPr>
    </w:p>
    <w:p w:rsidR="00C14916" w:rsidP="00983179" w14:paraId="32037CE9" w14:textId="2EE68D43">
      <w:pPr>
        <w:pStyle w:val="NoSpacing"/>
        <w:ind w:left="0"/>
      </w:pPr>
      <w:r w:rsidRPr="00B52157">
        <w:t xml:space="preserve">The survey </w:t>
      </w:r>
      <w:r w:rsidR="004579AB">
        <w:t>is</w:t>
      </w:r>
      <w:r w:rsidRPr="00B52157">
        <w:t xml:space="preserve"> administered online using Qualtrics survey software. Stakeholders will be contacted by email and invited to take the survey. An online survey was determined to be the most cost-effective method of collecting responses from the community of stakeholders. The survey is designed to be completed online </w:t>
      </w:r>
      <w:r w:rsidRPr="00B52157" w:rsidR="00F3115A">
        <w:t>accessible through multiple platforms, such as computer, tablet, and smart phone</w:t>
      </w:r>
      <w:r w:rsidRPr="00B52157">
        <w:t xml:space="preserve">; a PDF version will be available for download for informational purposes only. </w:t>
      </w:r>
      <w:r w:rsidRPr="00B52157" w:rsidR="00EE4E63">
        <w:t>No respondent or potential respondent has indicated challenges accessing or completing past surveys due to technical barriers.</w:t>
      </w:r>
      <w:r w:rsidR="00150616">
        <w:t xml:space="preserve"> </w:t>
      </w:r>
    </w:p>
    <w:p w:rsidR="008B7250" w:rsidP="00983179" w14:paraId="36242E8E" w14:textId="77777777">
      <w:pPr>
        <w:pStyle w:val="NoSpacing"/>
        <w:ind w:left="0"/>
      </w:pPr>
    </w:p>
    <w:p w:rsidR="008B7250" w:rsidP="008B7250" w14:paraId="26B633FB" w14:textId="77777777">
      <w:pPr>
        <w:rPr>
          <w:bCs/>
        </w:rPr>
      </w:pPr>
      <w:r w:rsidRPr="00C16761">
        <w:t xml:space="preserve">Stakeholders will be contacted by email and invited to take the survey using an individualized link. </w:t>
      </w:r>
      <w:r w:rsidRPr="00FE23B4">
        <w:rPr>
          <w:bCs/>
        </w:rPr>
        <w:t xml:space="preserve">This advance mailing will offer information in large font for individuals with visual impairments and notify individuals with disabilities that they may request reasonable accommodations </w:t>
      </w:r>
      <w:r w:rsidRPr="00FE23B4">
        <w:rPr>
          <w:bCs/>
        </w:rPr>
        <w:t>in order to</w:t>
      </w:r>
      <w:r w:rsidRPr="00FE23B4">
        <w:rPr>
          <w:bCs/>
        </w:rPr>
        <w:t xml:space="preserve"> participate in the study. The Section 508-compliant web survey will offer an alternative to the phone survey for individuals with hearing impairments.</w:t>
      </w:r>
    </w:p>
    <w:p w:rsidR="008B7250" w:rsidP="008B7250" w14:paraId="36F4FB2E" w14:textId="77777777">
      <w:pPr>
        <w:rPr>
          <w:bCs/>
        </w:rPr>
      </w:pPr>
    </w:p>
    <w:p w:rsidR="008B7250" w:rsidRPr="00FE23B4" w:rsidP="008B7250" w14:paraId="6F54D9C4" w14:textId="77777777">
      <w:pPr>
        <w:rPr>
          <w:bCs/>
        </w:rPr>
      </w:pPr>
      <w:r w:rsidRPr="00FE23B4">
        <w:rPr>
          <w:bCs/>
        </w:rPr>
        <w:t xml:space="preserve">The advance mailer will also detail language assistance options for persons with limited English proficiency. The research team will make the survey available in other languages, as needed, for </w:t>
      </w:r>
      <w:r w:rsidRPr="00FE23B4">
        <w:rPr>
          <w:bCs/>
        </w:rPr>
        <w:t xml:space="preserve">persons with limited English proficiency. Survey language needs will be determined before the survey is administered so that </w:t>
      </w:r>
      <w:bookmarkStart w:id="3" w:name="_Hlk76650371"/>
      <w:r w:rsidRPr="00FE23B4">
        <w:rPr>
          <w:bCs/>
        </w:rPr>
        <w:t>survey translations can be made available to individuals with limited English proficiency (LEP). In prior waves, the research team did not find any need any individuals in the survey population of stakeholders for the initiative. If LEP needs are discovered, translation services will be engaged to make the survey available in other languages, as needed. HUD’s Office of Policy Development and Research has a translation services contractor that can help provide translation services if needed.</w:t>
      </w:r>
      <w:bookmarkEnd w:id="3"/>
    </w:p>
    <w:p w:rsidR="008B7250" w:rsidRPr="00B52157" w:rsidP="00983179" w14:paraId="1DD32E12" w14:textId="77777777">
      <w:pPr>
        <w:pStyle w:val="NoSpacing"/>
        <w:ind w:left="0"/>
      </w:pPr>
    </w:p>
    <w:p w:rsidR="00C14916" w:rsidRPr="00B52157" w:rsidP="00983179" w14:paraId="4ADBBF79" w14:textId="09674C3D">
      <w:pPr>
        <w:pStyle w:val="NoSpacing"/>
        <w:ind w:left="0"/>
      </w:pPr>
    </w:p>
    <w:p w:rsidR="00447517" w:rsidRPr="00B52157" w:rsidP="00983179" w14:paraId="0A20BB49" w14:textId="4D40D9C9">
      <w:pPr>
        <w:pStyle w:val="Heading3"/>
        <w:ind w:left="0"/>
        <w:rPr>
          <w:b w:val="0"/>
          <w:u w:val="single"/>
        </w:rPr>
      </w:pPr>
      <w:r w:rsidRPr="71581361">
        <w:rPr>
          <w:b w:val="0"/>
          <w:u w:val="single"/>
        </w:rPr>
        <w:t xml:space="preserve">Time </w:t>
      </w:r>
      <w:r w:rsidR="005E4CFA">
        <w:rPr>
          <w:b w:val="0"/>
          <w:u w:val="single"/>
        </w:rPr>
        <w:t xml:space="preserve">Use </w:t>
      </w:r>
      <w:r w:rsidRPr="71581361">
        <w:rPr>
          <w:b w:val="0"/>
          <w:u w:val="single"/>
        </w:rPr>
        <w:t>S</w:t>
      </w:r>
      <w:r w:rsidR="0018218A">
        <w:rPr>
          <w:b w:val="0"/>
          <w:u w:val="single"/>
        </w:rPr>
        <w:t>urve</w:t>
      </w:r>
      <w:r w:rsidRPr="71581361">
        <w:rPr>
          <w:b w:val="0"/>
          <w:u w:val="single"/>
        </w:rPr>
        <w:t>y</w:t>
      </w:r>
    </w:p>
    <w:p w:rsidR="00275B57" w:rsidRPr="00B52157" w:rsidP="00275B57" w14:paraId="615A0157" w14:textId="77777777"/>
    <w:p w:rsidR="00447517" w:rsidRPr="00B52157" w:rsidP="00983179" w14:paraId="6CC24807" w14:textId="6255E71B">
      <w:pPr>
        <w:pStyle w:val="NoSpacing"/>
        <w:ind w:left="0"/>
      </w:pPr>
      <w:r w:rsidRPr="00B52157">
        <w:t>The first wave of quarterly data collection was conducted via phone interview</w:t>
      </w:r>
      <w:r w:rsidRPr="00B52157">
        <w:t>.</w:t>
      </w:r>
      <w:r w:rsidRPr="00B52157">
        <w:t xml:space="preserve"> When many respondents </w:t>
      </w:r>
      <w:r w:rsidRPr="00B52157">
        <w:t>indicated</w:t>
      </w:r>
      <w:r w:rsidRPr="00B52157">
        <w:t xml:space="preserve"> they would prefer to respond via email, </w:t>
      </w:r>
      <w:r w:rsidR="0048079D">
        <w:t>the Urban Institute</w:t>
      </w:r>
      <w:r w:rsidRPr="00B52157">
        <w:t xml:space="preserve"> offered respondents a choice in future waves of phone interview or email. Almost all respondents continue to select the email option.</w:t>
      </w:r>
    </w:p>
    <w:p w:rsidR="00447517" w:rsidRPr="00B52157" w:rsidP="00983179" w14:paraId="5AE479C7" w14:textId="77777777">
      <w:pPr>
        <w:pStyle w:val="NoSpacing"/>
        <w:ind w:left="0"/>
      </w:pPr>
    </w:p>
    <w:p w:rsidR="00C14916" w:rsidRPr="0057092B" w:rsidP="00685C54" w14:paraId="6B4D7413" w14:textId="3375BFBE">
      <w:pPr>
        <w:pStyle w:val="Heading2"/>
        <w:numPr>
          <w:ilvl w:val="0"/>
          <w:numId w:val="40"/>
        </w:numPr>
        <w:ind w:left="360"/>
        <w:rPr>
          <w:b/>
          <w:u w:val="none"/>
        </w:rPr>
      </w:pPr>
      <w:r w:rsidRPr="0057092B">
        <w:rPr>
          <w:b/>
          <w:u w:val="none"/>
        </w:rPr>
        <w:t xml:space="preserve">Describe efforts to identify duplication. Show specifically why any similar information already available cannot be used or modified for use for the purposes described in </w:t>
      </w:r>
      <w:r w:rsidRPr="0057092B" w:rsidR="008C1CDB">
        <w:rPr>
          <w:b/>
          <w:u w:val="none"/>
        </w:rPr>
        <w:t>I</w:t>
      </w:r>
      <w:r w:rsidRPr="0057092B">
        <w:rPr>
          <w:b/>
          <w:u w:val="none"/>
        </w:rPr>
        <w:t>tem 2 above.</w:t>
      </w:r>
    </w:p>
    <w:p w:rsidR="00E91C5A" w:rsidP="00983179" w14:paraId="3248B72B" w14:textId="6096505E">
      <w:pPr>
        <w:pStyle w:val="NoSpacing"/>
        <w:ind w:left="0"/>
      </w:pPr>
      <w:r>
        <w:t xml:space="preserve">Both the Partnership Survey and </w:t>
      </w:r>
      <w:r w:rsidR="0018218A">
        <w:t>Time Use Survey</w:t>
      </w:r>
      <w:r>
        <w:t xml:space="preserve"> are collecting information that is </w:t>
      </w:r>
      <w:r w:rsidR="008C1CDB">
        <w:t>new and original. E</w:t>
      </w:r>
      <w:r>
        <w:t>xisting data is n</w:t>
      </w:r>
      <w:r w:rsidR="00BD52F2">
        <w:t>either</w:t>
      </w:r>
      <w:r>
        <w:t xml:space="preserve"> accessible </w:t>
      </w:r>
      <w:r w:rsidR="00BD52F2">
        <w:t>n</w:t>
      </w:r>
      <w:r>
        <w:t xml:space="preserve">or attainable since this HUD-DOJ Demonstration is </w:t>
      </w:r>
      <w:r w:rsidR="007C2E83">
        <w:t>new</w:t>
      </w:r>
      <w:r>
        <w:t xml:space="preserve"> and has never been implemented before.</w:t>
      </w:r>
    </w:p>
    <w:p w:rsidR="00E1433E" w14:paraId="3756694A" w14:textId="5F2FEAA2">
      <w:pPr>
        <w:rPr>
          <w:rFonts w:eastAsia="Calibri"/>
          <w:b/>
          <w:color w:val="000000" w:themeColor="text1"/>
        </w:rPr>
      </w:pPr>
    </w:p>
    <w:p w:rsidR="00C14916" w:rsidRPr="0057092B" w:rsidP="00685C54" w14:paraId="6BA9E4C5" w14:textId="7E239D4C">
      <w:pPr>
        <w:pStyle w:val="Heading2"/>
        <w:numPr>
          <w:ilvl w:val="0"/>
          <w:numId w:val="40"/>
        </w:numPr>
        <w:ind w:left="360"/>
        <w:rPr>
          <w:b/>
          <w:u w:val="none"/>
        </w:rPr>
      </w:pPr>
      <w:r w:rsidRPr="0057092B">
        <w:rPr>
          <w:b/>
          <w:u w:val="none"/>
        </w:rPr>
        <w:t>If the collection of information impacts small businesses or other small entities, describe any methods used to minimize burden.</w:t>
      </w:r>
    </w:p>
    <w:p w:rsidR="0020496E" w:rsidRPr="00B52157" w:rsidP="00983179" w14:paraId="6FBA441D" w14:textId="49AE5CF4">
      <w:pPr>
        <w:pStyle w:val="NoSpacing"/>
        <w:ind w:left="0"/>
      </w:pPr>
    </w:p>
    <w:p w:rsidR="00E57E23" w:rsidRPr="00B52157" w:rsidP="00983179" w14:paraId="4130DE7F" w14:textId="7222CFBC">
      <w:pPr>
        <w:pStyle w:val="Heading3"/>
        <w:ind w:left="0"/>
        <w:rPr>
          <w:b w:val="0"/>
          <w:u w:val="single"/>
        </w:rPr>
      </w:pPr>
      <w:r w:rsidRPr="00B52157">
        <w:rPr>
          <w:b w:val="0"/>
          <w:u w:val="single"/>
        </w:rPr>
        <w:t>Partnership Survey</w:t>
      </w:r>
    </w:p>
    <w:p w:rsidR="00F6588D" w:rsidRPr="00B52157" w:rsidP="00983179" w14:paraId="0F8901A6" w14:textId="0F6761CB">
      <w:pPr>
        <w:pStyle w:val="NoSpacing"/>
        <w:ind w:left="0"/>
      </w:pPr>
      <w:r w:rsidRPr="00B52157">
        <w:t xml:space="preserve">This </w:t>
      </w:r>
      <w:r w:rsidRPr="00B52157" w:rsidR="00C14916">
        <w:t xml:space="preserve">collection of information will </w:t>
      </w:r>
      <w:r w:rsidRPr="00B52157" w:rsidR="00D3585E">
        <w:t>affect</w:t>
      </w:r>
      <w:r w:rsidRPr="00B52157" w:rsidR="00C14916">
        <w:t xml:space="preserve"> </w:t>
      </w:r>
      <w:r w:rsidR="00935A6E">
        <w:t>4 of the 7</w:t>
      </w:r>
      <w:r w:rsidRPr="00B52157" w:rsidR="00C14916">
        <w:t xml:space="preserve"> PFS grantee</w:t>
      </w:r>
      <w:r w:rsidRPr="00B52157" w:rsidR="00D3585E">
        <w:t xml:space="preserve">s </w:t>
      </w:r>
      <w:r w:rsidR="00BA6A79">
        <w:t xml:space="preserve">that are still active in the demonstration </w:t>
      </w:r>
      <w:r w:rsidRPr="00B52157" w:rsidR="00D3585E">
        <w:t>and their</w:t>
      </w:r>
      <w:r w:rsidRPr="00B52157" w:rsidR="00C14916">
        <w:t xml:space="preserve"> partners</w:t>
      </w:r>
      <w:r w:rsidR="00BA6A79">
        <w:t>,</w:t>
      </w:r>
      <w:r w:rsidRPr="00B52157" w:rsidR="00C14916">
        <w:t xml:space="preserve"> including local/state government agencies, non-profits, and financial organizations. </w:t>
      </w:r>
      <w:r w:rsidR="00E400CF">
        <w:t>The Urban Institute</w:t>
      </w:r>
      <w:r w:rsidRPr="00B52157" w:rsidR="00C14916">
        <w:t xml:space="preserve"> minimize</w:t>
      </w:r>
      <w:r w:rsidR="00E400CF">
        <w:t>s</w:t>
      </w:r>
      <w:r w:rsidRPr="00B52157" w:rsidR="00C14916">
        <w:t xml:space="preserve"> burden on these entities by providing clear and concise information on the purpose of our data collection via email, and by conducting all the data collection online via Qualtrics, accessible through multiple platforms, such as computer, tablet, and smart phone. </w:t>
      </w:r>
    </w:p>
    <w:p w:rsidR="00F6588D" w:rsidRPr="00B52157" w:rsidP="00983179" w14:paraId="21A1A976" w14:textId="77777777">
      <w:pPr>
        <w:pStyle w:val="NoSpacing"/>
        <w:ind w:left="0"/>
      </w:pPr>
    </w:p>
    <w:p w:rsidR="00C14916" w:rsidRPr="00B52157" w:rsidP="00983179" w14:paraId="57D3F1C3" w14:textId="734DD5C9">
      <w:pPr>
        <w:pStyle w:val="NoSpacing"/>
        <w:ind w:left="0"/>
      </w:pPr>
      <w:r w:rsidRPr="00B52157">
        <w:t xml:space="preserve">The survey has been designed to minimize respondent burden; the </w:t>
      </w:r>
      <w:r w:rsidRPr="00B52157" w:rsidR="00CB7047">
        <w:t>Partnership Survey</w:t>
      </w:r>
      <w:r w:rsidRPr="00B52157">
        <w:t xml:space="preserve"> </w:t>
      </w:r>
      <w:r w:rsidRPr="00B52157" w:rsidR="005E35CD">
        <w:t>pr</w:t>
      </w:r>
      <w:r w:rsidRPr="00B52157">
        <w:t>e</w:t>
      </w:r>
      <w:r w:rsidRPr="00B52157" w:rsidR="005E35CD">
        <w:t>-testing showe</w:t>
      </w:r>
      <w:r w:rsidRPr="00B52157" w:rsidR="00777072">
        <w:t xml:space="preserve">d it takes respondents </w:t>
      </w:r>
      <w:r w:rsidR="00655765">
        <w:t>approximately</w:t>
      </w:r>
      <w:r w:rsidR="00DB1D0B">
        <w:t xml:space="preserve"> </w:t>
      </w:r>
      <w:r w:rsidR="00655765">
        <w:t>20</w:t>
      </w:r>
      <w:r w:rsidRPr="00B52157">
        <w:t xml:space="preserve"> minutes to complete.</w:t>
      </w:r>
      <w:r w:rsidR="00530EC0">
        <w:t xml:space="preserve"> </w:t>
      </w:r>
    </w:p>
    <w:p w:rsidR="002C1A2E" w:rsidRPr="00B52157" w:rsidP="00983179" w14:paraId="7DD423BD" w14:textId="4E6C145A">
      <w:pPr>
        <w:pStyle w:val="NoSpacing"/>
        <w:ind w:left="0"/>
      </w:pPr>
    </w:p>
    <w:p w:rsidR="002C1A2E" w:rsidRPr="00B52157" w:rsidP="00983179" w14:paraId="253F5F84" w14:textId="0C0F7417">
      <w:pPr>
        <w:pStyle w:val="NoSpacing"/>
        <w:ind w:left="0"/>
        <w:rPr>
          <w:u w:val="single"/>
        </w:rPr>
      </w:pPr>
      <w:r>
        <w:rPr>
          <w:u w:val="single"/>
        </w:rPr>
        <w:t>Time Use Survey</w:t>
      </w:r>
    </w:p>
    <w:p w:rsidR="002C1A2E" w:rsidRPr="00B52157" w:rsidP="00983179" w14:paraId="324425CC" w14:textId="0626FA2E">
      <w:pPr>
        <w:pStyle w:val="NoSpacing"/>
        <w:ind w:left="0"/>
      </w:pPr>
    </w:p>
    <w:p w:rsidR="00C14916" w:rsidRPr="00B52157" w:rsidP="00983179" w14:paraId="78EEAEF6" w14:textId="28E7C362">
      <w:pPr>
        <w:pStyle w:val="NoSpacing"/>
        <w:ind w:left="0"/>
      </w:pPr>
      <w:r w:rsidRPr="00B52157">
        <w:t xml:space="preserve">To reduce </w:t>
      </w:r>
      <w:r w:rsidRPr="00B52157" w:rsidR="00D72ACA">
        <w:t xml:space="preserve">the </w:t>
      </w:r>
      <w:r w:rsidRPr="00B52157" w:rsidR="00B10040">
        <w:t xml:space="preserve">organizational </w:t>
      </w:r>
      <w:r w:rsidRPr="00B52157" w:rsidR="00D72ACA">
        <w:t xml:space="preserve">burden of the quarterly </w:t>
      </w:r>
      <w:r w:rsidRPr="00B52157" w:rsidR="00ED2504">
        <w:t>data collection</w:t>
      </w:r>
      <w:r w:rsidRPr="00B52157">
        <w:t xml:space="preserve">, </w:t>
      </w:r>
      <w:r w:rsidRPr="00B52157" w:rsidR="0034275E">
        <w:t xml:space="preserve">only one person from each organization identified </w:t>
      </w:r>
      <w:r w:rsidR="007F5F61">
        <w:t>will</w:t>
      </w:r>
      <w:r w:rsidRPr="00B52157" w:rsidR="00777072">
        <w:t xml:space="preserve"> be contacted to provide hours spent by organization staff</w:t>
      </w:r>
      <w:r w:rsidRPr="00B52157" w:rsidR="0034275E">
        <w:t xml:space="preserve">. </w:t>
      </w:r>
    </w:p>
    <w:p w:rsidR="00863D9E" w:rsidRPr="00B52157" w:rsidP="00983179" w14:paraId="5DB06364" w14:textId="77777777">
      <w:pPr>
        <w:pStyle w:val="NoSpacing"/>
        <w:ind w:left="0"/>
      </w:pPr>
    </w:p>
    <w:p w:rsidR="00C14916" w:rsidRPr="0057092B" w:rsidP="00124208" w14:paraId="77BB0D7F" w14:textId="77777777">
      <w:pPr>
        <w:pStyle w:val="Heading2"/>
        <w:numPr>
          <w:ilvl w:val="0"/>
          <w:numId w:val="40"/>
        </w:numPr>
        <w:ind w:left="360"/>
        <w:rPr>
          <w:b/>
          <w:bCs/>
          <w:u w:val="none"/>
        </w:rPr>
      </w:pPr>
      <w:r w:rsidRPr="0057092B">
        <w:rPr>
          <w:b/>
          <w:bCs/>
          <w:u w:val="none"/>
        </w:rPr>
        <w:t>Describe the consequence to Federal program or policy activities if the collection is not conducted or is conducted less frequently, as well as any technical or legal obstacles to reducing the burden.</w:t>
      </w:r>
    </w:p>
    <w:p w:rsidR="00721509" w:rsidRPr="00B52157" w:rsidP="00983179" w14:paraId="5E01C456" w14:textId="77777777">
      <w:pPr>
        <w:pStyle w:val="NoSpacing"/>
        <w:ind w:left="0"/>
      </w:pPr>
    </w:p>
    <w:p w:rsidR="00541002" w:rsidP="00541002" w14:paraId="54931302" w14:textId="77777777">
      <w:pPr>
        <w:pStyle w:val="NoSpacing"/>
        <w:ind w:left="0"/>
      </w:pPr>
      <w:r w:rsidRPr="00B52157">
        <w:t xml:space="preserve">HUD and DOJ </w:t>
      </w:r>
      <w:r w:rsidRPr="00B52157" w:rsidR="00721509">
        <w:t>entered into</w:t>
      </w:r>
      <w:r w:rsidRPr="00B52157" w:rsidR="00721509">
        <w:t xml:space="preserve"> an innovative interagency collaboration that resulted in the Pay for Success Permanent Supportive Housing Demonstration with $8.68M awarded to seven grantees in June 2016</w:t>
      </w:r>
      <w:r w:rsidRPr="00B52157" w:rsidR="00B10040">
        <w:t xml:space="preserve">. </w:t>
      </w:r>
      <w:r w:rsidRPr="00B52157" w:rsidR="00721509">
        <w:t xml:space="preserve">If the proposed </w:t>
      </w:r>
      <w:r w:rsidRPr="00B52157" w:rsidR="00D3585E">
        <w:t>data</w:t>
      </w:r>
      <w:r w:rsidRPr="00B52157" w:rsidR="00721509">
        <w:t xml:space="preserve"> were not </w:t>
      </w:r>
      <w:r w:rsidRPr="00B52157" w:rsidR="00D3585E">
        <w:t>collected</w:t>
      </w:r>
      <w:r w:rsidRPr="00B52157" w:rsidR="00721509">
        <w:t xml:space="preserve"> or not </w:t>
      </w:r>
      <w:r w:rsidRPr="00B52157" w:rsidR="00D3585E">
        <w:t>collected</w:t>
      </w:r>
      <w:r w:rsidRPr="00B52157" w:rsidR="00721509">
        <w:t xml:space="preserve"> as frequently, then HUD and DOJ would not be able meet the evaluation objectives: (1) to learn how the PFS model is implemented in diverse settings with different structures, populations, and community contexts and (2) to assess whether PFS is a viable model for scaling supportive housing to improve outcomes for a re-entry population.</w:t>
      </w:r>
      <w:r w:rsidRPr="00541002">
        <w:t xml:space="preserve"> </w:t>
      </w:r>
    </w:p>
    <w:p w:rsidR="00541002" w:rsidP="00541002" w14:paraId="0ACF33B5" w14:textId="77777777">
      <w:pPr>
        <w:pStyle w:val="NoSpacing"/>
        <w:ind w:left="0"/>
      </w:pPr>
    </w:p>
    <w:p w:rsidR="00541002" w:rsidRPr="00B52157" w:rsidP="00541002" w14:paraId="2EECE010" w14:textId="639AE6AB">
      <w:pPr>
        <w:pStyle w:val="NoSpacing"/>
        <w:ind w:left="0"/>
      </w:pPr>
      <w:r>
        <w:t>Since HUD executed a contract modification with the Urban Institute in early 2024, the data collection timeline for the Demonstration Evaluation has been extended through February 2026. Failure to conduct the final waves of the Partnership Survey and Time Use Survey in Years 8 (2025) and 9 (2026) would yield incomplete data for summary findings in the remaining final comprehensive report.</w:t>
      </w:r>
    </w:p>
    <w:p w:rsidR="00541002" w:rsidP="00983179" w14:paraId="2D0C0F5C" w14:textId="6FCECB67">
      <w:pPr>
        <w:pStyle w:val="NoSpacing"/>
        <w:ind w:left="0"/>
        <w:rPr>
          <w:u w:val="single"/>
        </w:rPr>
      </w:pPr>
      <w:r w:rsidRPr="00541002">
        <w:rPr>
          <w:u w:val="single"/>
        </w:rPr>
        <w:t>Partnership Survey</w:t>
      </w:r>
    </w:p>
    <w:p w:rsidR="00D94C4B" w:rsidRPr="00541002" w:rsidP="00983179" w14:paraId="05E155D2" w14:textId="77777777">
      <w:pPr>
        <w:pStyle w:val="NoSpacing"/>
        <w:ind w:left="0"/>
        <w:rPr>
          <w:u w:val="single"/>
        </w:rPr>
      </w:pPr>
    </w:p>
    <w:p w:rsidR="00C14916" w:rsidRPr="00B52157" w:rsidP="00983179" w14:paraId="01773CFA" w14:textId="301E5FFC">
      <w:pPr>
        <w:pStyle w:val="NoSpacing"/>
        <w:ind w:left="0"/>
      </w:pPr>
      <w:r w:rsidRPr="00B52157">
        <w:t>Th</w:t>
      </w:r>
      <w:r w:rsidRPr="00B52157" w:rsidR="00777072">
        <w:t>e Partnership S</w:t>
      </w:r>
      <w:r w:rsidRPr="00B52157">
        <w:t xml:space="preserve">urvey </w:t>
      </w:r>
      <w:r w:rsidRPr="00B52157" w:rsidR="007D1783">
        <w:t xml:space="preserve">is </w:t>
      </w:r>
      <w:r w:rsidRPr="00B52157" w:rsidR="00D3585E">
        <w:t>administered</w:t>
      </w:r>
      <w:r w:rsidRPr="00B52157">
        <w:t xml:space="preserve"> annually, </w:t>
      </w:r>
      <w:r w:rsidRPr="00B52157" w:rsidR="00F3115A">
        <w:t>for the duration of the evaluation</w:t>
      </w:r>
      <w:r w:rsidRPr="00B52157">
        <w:t>. There is no other comprehensive source for this information. Th</w:t>
      </w:r>
      <w:r w:rsidRPr="00B52157" w:rsidR="001515A5">
        <w:t>is component of the</w:t>
      </w:r>
      <w:r w:rsidRPr="00B52157">
        <w:t xml:space="preserve"> evaluation is necessary to understand the impact of collaboration among the participating organizations and how those partnerships change over time.</w:t>
      </w:r>
      <w:r w:rsidRPr="00B52157" w:rsidR="001515A5">
        <w:t xml:space="preserve"> Without the </w:t>
      </w:r>
      <w:r w:rsidRPr="00B52157" w:rsidR="00F3115A">
        <w:t>partnership and community change</w:t>
      </w:r>
      <w:r w:rsidRPr="00B52157" w:rsidR="001515A5">
        <w:t xml:space="preserve"> information obtained from th</w:t>
      </w:r>
      <w:r w:rsidRPr="00B52157" w:rsidR="00F3115A">
        <w:t>is</w:t>
      </w:r>
      <w:r w:rsidRPr="00B52157" w:rsidR="001515A5">
        <w:t xml:space="preserve"> survey, HUD would not know the benefits of </w:t>
      </w:r>
      <w:r w:rsidRPr="00B52157" w:rsidR="00D3585E">
        <w:t>funding</w:t>
      </w:r>
      <w:r w:rsidRPr="00B52157" w:rsidR="001515A5">
        <w:t xml:space="preserve"> permanent supportive housing through a PFS framework.</w:t>
      </w:r>
      <w:r w:rsidRPr="00B52157" w:rsidR="00721509">
        <w:t xml:space="preserve"> </w:t>
      </w:r>
      <w:r w:rsidRPr="00B52157" w:rsidR="00D3585E">
        <w:t>Administering this survey less frequently would affect the reliability of the data.</w:t>
      </w:r>
      <w:r w:rsidR="00A23141">
        <w:t xml:space="preserve"> </w:t>
      </w:r>
    </w:p>
    <w:p w:rsidR="007D5B81" w:rsidRPr="00B52157" w:rsidP="00983179" w14:paraId="566AE13D" w14:textId="3DA14466">
      <w:pPr>
        <w:pStyle w:val="NoSpacing"/>
        <w:ind w:left="0"/>
      </w:pPr>
    </w:p>
    <w:p w:rsidR="00447517" w:rsidRPr="00B52157" w:rsidP="00983179" w14:paraId="502EE1E6" w14:textId="47E53CF2">
      <w:pPr>
        <w:pStyle w:val="Heading3"/>
        <w:ind w:left="0"/>
        <w:rPr>
          <w:b w:val="0"/>
          <w:i/>
          <w:u w:val="single"/>
        </w:rPr>
      </w:pPr>
      <w:r>
        <w:rPr>
          <w:b w:val="0"/>
          <w:u w:val="single"/>
        </w:rPr>
        <w:t>Time Use Survey</w:t>
      </w:r>
    </w:p>
    <w:p w:rsidR="00447517" w:rsidRPr="00B52157" w:rsidP="00983179" w14:paraId="319D08B3" w14:textId="77777777">
      <w:pPr>
        <w:pStyle w:val="NoSpacing"/>
        <w:ind w:left="0"/>
      </w:pPr>
    </w:p>
    <w:p w:rsidR="00447517" w:rsidP="00983179" w14:paraId="70639430" w14:textId="7F090123">
      <w:pPr>
        <w:pStyle w:val="NoSpacing"/>
        <w:ind w:left="0"/>
      </w:pPr>
      <w:r>
        <w:t xml:space="preserve">The only current time data on PFS implementation comes from submissions to HUD’s DRGR system, for billing purposes. This system does not capture on every </w:t>
      </w:r>
      <w:r w:rsidR="007A3D51">
        <w:t>d</w:t>
      </w:r>
      <w:r>
        <w:t xml:space="preserve">emonstration organization that is part of the PFS planning and implementation work. There is no current source of data concerning time use beyond </w:t>
      </w:r>
      <w:r w:rsidR="00734410">
        <w:t xml:space="preserve">the </w:t>
      </w:r>
      <w:r>
        <w:t xml:space="preserve">staff time </w:t>
      </w:r>
      <w:r w:rsidR="00734410">
        <w:t xml:space="preserve">that </w:t>
      </w:r>
      <w:r>
        <w:t>is billed to the HUD</w:t>
      </w:r>
      <w:r w:rsidR="00734410">
        <w:t xml:space="preserve"> award</w:t>
      </w:r>
      <w:r>
        <w:t>. This component of the evaluation is necessary to understand the additional time costs of PFS beyond what is covered by DRGR reporting. Without this information, HUD will not know about the additional costs of funding permanent supportive housing through a PFS framework. Collecting information less frequently would reduce the reliability of the data.</w:t>
      </w:r>
    </w:p>
    <w:p w:rsidR="007957D8" w:rsidP="00983179" w14:paraId="50F2F4A1" w14:textId="77777777">
      <w:pPr>
        <w:pStyle w:val="NoSpacing"/>
        <w:ind w:left="0"/>
      </w:pPr>
    </w:p>
    <w:p w:rsidR="00447517" w:rsidP="00983179" w14:paraId="6EC9D64B" w14:textId="77777777">
      <w:pPr>
        <w:pStyle w:val="NoSpacing"/>
        <w:ind w:left="0"/>
      </w:pPr>
    </w:p>
    <w:p w:rsidR="003D06FB" w:rsidP="00983179" w14:paraId="6A75675E" w14:textId="77777777">
      <w:pPr>
        <w:pStyle w:val="NoSpacing"/>
        <w:ind w:left="0"/>
      </w:pPr>
    </w:p>
    <w:p w:rsidR="003D06FB" w:rsidP="00983179" w14:paraId="114F3AD5" w14:textId="77777777">
      <w:pPr>
        <w:pStyle w:val="NoSpacing"/>
        <w:ind w:left="0"/>
      </w:pPr>
    </w:p>
    <w:p w:rsidR="003D06FB" w:rsidP="00983179" w14:paraId="773C17F1" w14:textId="77777777">
      <w:pPr>
        <w:pStyle w:val="NoSpacing"/>
        <w:ind w:left="0"/>
      </w:pPr>
    </w:p>
    <w:p w:rsidR="003D06FB" w:rsidRPr="00B52157" w:rsidP="00983179" w14:paraId="6692E2A9" w14:textId="77777777">
      <w:pPr>
        <w:pStyle w:val="NoSpacing"/>
        <w:ind w:left="0"/>
      </w:pPr>
    </w:p>
    <w:p w:rsidR="006B4C4D" w:rsidRPr="004E00B8" w:rsidP="00C31F2C" w14:paraId="409F22D3" w14:textId="5025AEDF">
      <w:pPr>
        <w:pStyle w:val="ListParagraph"/>
        <w:numPr>
          <w:ilvl w:val="0"/>
          <w:numId w:val="40"/>
        </w:numPr>
        <w:spacing w:before="100" w:beforeAutospacing="1" w:after="100" w:afterAutospacing="1" w:line="240" w:lineRule="auto"/>
        <w:ind w:left="360"/>
        <w:rPr>
          <w:rFonts w:ascii="Times New Roman" w:eastAsia="Times New Roman" w:hAnsi="Times New Roman"/>
          <w:b/>
          <w:bCs/>
          <w:color w:val="000000"/>
          <w:sz w:val="24"/>
          <w:szCs w:val="24"/>
        </w:rPr>
      </w:pPr>
      <w:r w:rsidRPr="004E00B8">
        <w:rPr>
          <w:rFonts w:ascii="Times New Roman" w:eastAsia="Times New Roman" w:hAnsi="Times New Roman"/>
          <w:b/>
          <w:bCs/>
          <w:color w:val="000000"/>
          <w:sz w:val="24"/>
          <w:szCs w:val="24"/>
        </w:rPr>
        <w:t>Explain any special circumstances that would cause an information collection to be conducted in a manner:</w:t>
      </w:r>
    </w:p>
    <w:p w:rsidR="005E782D" w:rsidRPr="00B52157" w:rsidP="005E782D" w14:paraId="0F4B2016" w14:textId="77777777">
      <w:pPr>
        <w:pStyle w:val="NoSpacing"/>
        <w:ind w:left="0"/>
      </w:pPr>
      <w:r w:rsidRPr="00B52157">
        <w:t xml:space="preserve">The proposed data collection activities are consistent with the guidelines set forth in 5 CFR 1320 (Controlling Paperwork Burdens on the Public). There are no special circumstances that require deviation from these guidelines. </w:t>
      </w:r>
    </w:p>
    <w:p w:rsidR="005E782D" w:rsidRPr="00B52157" w:rsidP="005E782D" w14:paraId="501AA0AB" w14:textId="77777777">
      <w:pPr>
        <w:pStyle w:val="NoSpacing"/>
        <w:ind w:left="0"/>
      </w:pPr>
    </w:p>
    <w:p w:rsidR="005E782D" w:rsidRPr="00B52157" w:rsidP="005E782D" w14:paraId="28928E33" w14:textId="77777777">
      <w:pPr>
        <w:pStyle w:val="NoSpacing"/>
        <w:numPr>
          <w:ilvl w:val="0"/>
          <w:numId w:val="23"/>
        </w:numPr>
        <w:ind w:hanging="270"/>
      </w:pPr>
      <w:r w:rsidRPr="00B52157">
        <w:t xml:space="preserve">Under this ICR, HUD will not conduct any data collection requiring respondents to report information to the agency more often than </w:t>
      </w:r>
      <w:r w:rsidRPr="00B52157">
        <w:t>quarterly;</w:t>
      </w:r>
    </w:p>
    <w:p w:rsidR="005E782D" w:rsidRPr="00B52157" w:rsidP="005E782D" w14:paraId="1965F859" w14:textId="77777777">
      <w:pPr>
        <w:pStyle w:val="NoSpacing"/>
        <w:numPr>
          <w:ilvl w:val="0"/>
          <w:numId w:val="23"/>
        </w:numPr>
        <w:ind w:hanging="270"/>
      </w:pPr>
      <w:r w:rsidRPr="00B52157">
        <w:t xml:space="preserve">Under this ICR, HUD will not conduct any data collection requiring respondents to prepare a written response to a collection of information in fewer than 30 days after receipt of </w:t>
      </w:r>
      <w:r w:rsidRPr="00B52157">
        <w:t>it;</w:t>
      </w:r>
    </w:p>
    <w:p w:rsidR="005E782D" w:rsidRPr="00B52157" w:rsidP="005E782D" w14:paraId="77F51C2F" w14:textId="77777777">
      <w:pPr>
        <w:pStyle w:val="NoSpacing"/>
        <w:numPr>
          <w:ilvl w:val="0"/>
          <w:numId w:val="23"/>
        </w:numPr>
        <w:ind w:hanging="270"/>
      </w:pPr>
      <w:r w:rsidRPr="00B52157">
        <w:t xml:space="preserve">Under this ICR, HUD will not conduct any data collection requiring respondents to submit more than an original and two copies of any </w:t>
      </w:r>
      <w:r w:rsidRPr="00B52157">
        <w:t>document;</w:t>
      </w:r>
    </w:p>
    <w:p w:rsidR="005E782D" w:rsidRPr="00B52157" w:rsidP="005E782D" w14:paraId="11473D93" w14:textId="77777777">
      <w:pPr>
        <w:pStyle w:val="NoSpacing"/>
        <w:numPr>
          <w:ilvl w:val="0"/>
          <w:numId w:val="23"/>
        </w:numPr>
        <w:ind w:hanging="270"/>
      </w:pPr>
      <w:r w:rsidRPr="00B52157">
        <w:t xml:space="preserve">Under this ICR, HUD will not conduct any data collection requiring respondents to retain records, other than health, medical, government contract, grant-in-aid, or tax records, for more than three </w:t>
      </w:r>
      <w:r w:rsidRPr="00B52157">
        <w:t>years;</w:t>
      </w:r>
    </w:p>
    <w:p w:rsidR="005E782D" w:rsidRPr="00B52157" w:rsidP="005E782D" w14:paraId="7511E5AC" w14:textId="77777777">
      <w:pPr>
        <w:pStyle w:val="NoSpacing"/>
        <w:numPr>
          <w:ilvl w:val="0"/>
          <w:numId w:val="23"/>
        </w:numPr>
        <w:ind w:hanging="270"/>
      </w:pPr>
      <w:r w:rsidRPr="00B52157">
        <w:t xml:space="preserve">Under this ICR, HUD will not conduct any data collection in connection with a statistical survey, that is not designed to produce valid and reliable results that can be generalized to the universe of </w:t>
      </w:r>
      <w:r w:rsidRPr="00B52157">
        <w:t>study;</w:t>
      </w:r>
    </w:p>
    <w:p w:rsidR="005E782D" w:rsidRPr="00B52157" w:rsidP="005E782D" w14:paraId="4AA4FD4E" w14:textId="77777777">
      <w:pPr>
        <w:pStyle w:val="NoSpacing"/>
        <w:numPr>
          <w:ilvl w:val="0"/>
          <w:numId w:val="23"/>
        </w:numPr>
        <w:ind w:hanging="270"/>
      </w:pPr>
      <w:r w:rsidRPr="00B52157">
        <w:t xml:space="preserve">Under this ICR, HUD will not conduct any data collection requiring the use of a statistical data classification that has not been reviewed and approved by </w:t>
      </w:r>
      <w:r w:rsidRPr="00B52157">
        <w:t>OMB;</w:t>
      </w:r>
    </w:p>
    <w:p w:rsidR="005E782D" w:rsidRPr="00B52157" w:rsidP="005E782D" w14:paraId="36968310" w14:textId="77777777">
      <w:pPr>
        <w:pStyle w:val="NoSpacing"/>
        <w:numPr>
          <w:ilvl w:val="0"/>
          <w:numId w:val="23"/>
        </w:numPr>
        <w:ind w:hanging="270"/>
      </w:pPr>
      <w:r w:rsidRPr="00B52157">
        <w:t>Under this ICR, HUD will not conduct any data collection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E782D" w:rsidRPr="00B52157" w:rsidP="005E782D" w14:paraId="472EBB9A" w14:textId="77777777">
      <w:pPr>
        <w:pStyle w:val="NoSpacing"/>
        <w:numPr>
          <w:ilvl w:val="0"/>
          <w:numId w:val="23"/>
        </w:numPr>
        <w:ind w:hanging="270"/>
      </w:pPr>
      <w:r w:rsidRPr="00B52157">
        <w:t>Under this ICR, HUD will not conduct any data collection requiring respondents to submit proprietary trade secrets, or other confidential information unless the agency can demonstrate that it has instituted procedures to protect the information's confidentiality to the extent permitted by law.</w:t>
      </w:r>
    </w:p>
    <w:p w:rsidR="0020496E" w:rsidRPr="00B52157" w:rsidP="00983179" w14:paraId="0A472E53" w14:textId="77777777">
      <w:pPr>
        <w:pStyle w:val="NoSpacing"/>
        <w:ind w:left="0"/>
      </w:pPr>
    </w:p>
    <w:p w:rsidR="00C14916" w:rsidRPr="00B52157" w:rsidP="00983179" w14:paraId="7180E37C" w14:textId="77777777">
      <w:pPr>
        <w:pStyle w:val="NoSpacing"/>
        <w:ind w:left="0"/>
      </w:pPr>
    </w:p>
    <w:p w:rsidR="001921EB" w:rsidRPr="0057092B" w:rsidP="001921EB" w14:paraId="3ED6E830" w14:textId="33B963C6">
      <w:pPr>
        <w:pStyle w:val="ListParagraph"/>
        <w:numPr>
          <w:ilvl w:val="0"/>
          <w:numId w:val="40"/>
        </w:numPr>
        <w:tabs>
          <w:tab w:val="left" w:pos="360"/>
        </w:tabs>
        <w:overflowPunct w:val="0"/>
        <w:autoSpaceDE w:val="0"/>
        <w:autoSpaceDN w:val="0"/>
        <w:adjustRightInd w:val="0"/>
        <w:ind w:left="360"/>
        <w:textAlignment w:val="baseline"/>
        <w:rPr>
          <w:rFonts w:ascii="Times New Roman" w:hAnsi="Times New Roman"/>
          <w:b/>
          <w:bCs/>
          <w:sz w:val="24"/>
          <w:szCs w:val="24"/>
        </w:rPr>
      </w:pPr>
      <w:r w:rsidRPr="0057092B">
        <w:rPr>
          <w:rFonts w:ascii="Times New Roman" w:hAnsi="Times New Roman"/>
          <w:b/>
          <w:bCs/>
          <w:sz w:val="24"/>
          <w:szCs w:val="24"/>
        </w:rPr>
        <w:t xml:space="preserve">If applicable, provide a copy and identify the date and page number of </w:t>
      </w:r>
      <w:r w:rsidRPr="0057092B">
        <w:rPr>
          <w:rFonts w:ascii="Times New Roman" w:hAnsi="Times New Roman"/>
          <w:b/>
          <w:bCs/>
          <w:sz w:val="24"/>
          <w:szCs w:val="24"/>
        </w:rPr>
        <w:t>publication</w:t>
      </w:r>
      <w:r w:rsidRPr="0057092B">
        <w:rPr>
          <w:rFonts w:ascii="Times New Roman" w:hAnsi="Times New Roman"/>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0496E" w:rsidRPr="00B52157" w:rsidP="00983179" w14:paraId="4662FCFF" w14:textId="7F122B26">
      <w:pPr>
        <w:pStyle w:val="NoSpacing"/>
        <w:ind w:left="0"/>
      </w:pPr>
    </w:p>
    <w:p w:rsidR="00B10040" w:rsidP="00983179" w14:paraId="74D7FA79" w14:textId="07437EFD">
      <w:pPr>
        <w:pStyle w:val="NoSpacing"/>
        <w:ind w:left="0"/>
      </w:pPr>
      <w:r>
        <w:t xml:space="preserve">The language of the 60-day notice is included in this package and was published on </w:t>
      </w:r>
      <w:r w:rsidR="006717FD">
        <w:t xml:space="preserve">June 8, </w:t>
      </w:r>
      <w:r w:rsidR="00CD0EB3">
        <w:t>2024,</w:t>
      </w:r>
      <w:r>
        <w:t xml:space="preserve"> </w:t>
      </w:r>
      <w:r w:rsidR="00106CF1">
        <w:t>ending on</w:t>
      </w:r>
      <w:r>
        <w:t xml:space="preserve"> </w:t>
      </w:r>
      <w:r w:rsidR="0043663F">
        <w:t>August</w:t>
      </w:r>
      <w:r w:rsidR="006717FD">
        <w:t xml:space="preserve"> 27, </w:t>
      </w:r>
      <w:r w:rsidR="00D21A46">
        <w:t>2024,</w:t>
      </w:r>
      <w:r w:rsidR="00BC249A">
        <w:t xml:space="preserve"> on p</w:t>
      </w:r>
      <w:r w:rsidR="00CD0EB3">
        <w:t>ages 54029-54030</w:t>
      </w:r>
      <w:r>
        <w:t xml:space="preserve">. The notice period has </w:t>
      </w:r>
      <w:r w:rsidR="00CD0EB3">
        <w:t>ended,</w:t>
      </w:r>
      <w:r>
        <w:t xml:space="preserve"> and no comments were received. </w:t>
      </w:r>
    </w:p>
    <w:p w:rsidR="00CD0EB3" w:rsidP="00C908DB" w14:paraId="53BD67A9" w14:textId="77777777">
      <w:pPr>
        <w:pStyle w:val="NoSpacing"/>
        <w:ind w:left="0"/>
      </w:pPr>
    </w:p>
    <w:p w:rsidR="00C908DB" w:rsidRPr="00B52157" w:rsidP="00C908DB" w14:paraId="718B6631" w14:textId="6C633CA7">
      <w:pPr>
        <w:pStyle w:val="NoSpacing"/>
        <w:ind w:left="0"/>
      </w:pPr>
      <w:r w:rsidRPr="00B52157">
        <w:t xml:space="preserve">Grantees were consulted during the research design process to obtain feedback on the proposed data collection </w:t>
      </w:r>
      <w:r w:rsidRPr="00B52157" w:rsidR="00E07482">
        <w:t>to</w:t>
      </w:r>
      <w:r w:rsidRPr="00B52157">
        <w:t xml:space="preserve"> reduce burden on grantees and increase clarity of instructions. </w:t>
      </w:r>
    </w:p>
    <w:p w:rsidR="00C908DB" w:rsidRPr="00B52157" w:rsidP="00C908DB" w14:paraId="0BDC651C" w14:textId="77777777">
      <w:pPr>
        <w:pStyle w:val="NoSpacing"/>
        <w:ind w:left="0"/>
      </w:pPr>
    </w:p>
    <w:p w:rsidR="00C908DB" w:rsidRPr="00B52157" w:rsidP="00C908DB" w14:paraId="211F87AA" w14:textId="77777777">
      <w:pPr>
        <w:pStyle w:val="Heading3"/>
        <w:ind w:left="0"/>
        <w:rPr>
          <w:b w:val="0"/>
          <w:i/>
          <w:u w:val="single"/>
        </w:rPr>
      </w:pPr>
      <w:r w:rsidRPr="00B52157">
        <w:rPr>
          <w:b w:val="0"/>
          <w:u w:val="single"/>
        </w:rPr>
        <w:t>Partnership Survey</w:t>
      </w:r>
    </w:p>
    <w:p w:rsidR="00C908DB" w:rsidRPr="00B52157" w:rsidP="00C908DB" w14:paraId="51A449D7" w14:textId="77777777">
      <w:pPr>
        <w:pStyle w:val="NoSpacing"/>
        <w:ind w:left="0"/>
      </w:pPr>
    </w:p>
    <w:p w:rsidR="00C908DB" w:rsidRPr="00B52157" w:rsidP="00C908DB" w14:paraId="26B1A914" w14:textId="77777777">
      <w:pPr>
        <w:pStyle w:val="NoSpacing"/>
        <w:ind w:left="0"/>
      </w:pPr>
      <w:r w:rsidRPr="00B52157">
        <w:t xml:space="preserve">The Partnership Survey tested survey questions that were adapted from other survey efforts. The survey was tested with 8 respondents representing 4 different sites (Lane County, </w:t>
      </w:r>
      <w:r w:rsidRPr="00B52157">
        <w:t>OR;</w:t>
      </w:r>
      <w:r w:rsidRPr="00B52157">
        <w:t xml:space="preserve"> Austin, TX; Alaska; Los Angeles, CA), and 4 different PFS roles (government, service provider, evaluator, TA provider) across sites to ensure clarity of instructions and data elements to be reported. Feedback on formatting and content was solicited from all testers via e-mail and by phone call. Based on tester feedback, changes were made</w:t>
      </w:r>
      <w:r>
        <w:t>,</w:t>
      </w:r>
      <w:r w:rsidRPr="00B52157">
        <w:t xml:space="preserve"> including</w:t>
      </w:r>
      <w:r>
        <w:t>:</w:t>
      </w:r>
      <w:r w:rsidRPr="00B52157">
        <w:t xml:space="preserve"> the addition of a progress bar, removal of ambiguity about when the survey is asking about the PFS project or the broader community, and </w:t>
      </w:r>
      <w:r>
        <w:t>the addition of</w:t>
      </w:r>
      <w:r w:rsidRPr="00B52157">
        <w:t xml:space="preserve"> questions about benefits of data infrastructure and sustainability.</w:t>
      </w:r>
      <w:r>
        <w:t xml:space="preserve"> </w:t>
      </w:r>
    </w:p>
    <w:p w:rsidR="00C908DB" w:rsidRPr="00B52157" w:rsidP="00C908DB" w14:paraId="08B0344B" w14:textId="77777777">
      <w:pPr>
        <w:pStyle w:val="NoSpacing"/>
        <w:ind w:left="0"/>
      </w:pPr>
    </w:p>
    <w:p w:rsidR="00C908DB" w:rsidRPr="00B52157" w:rsidP="00C908DB" w14:paraId="352C0F66" w14:textId="7E9F31E2">
      <w:pPr>
        <w:pStyle w:val="Heading3"/>
        <w:ind w:left="0"/>
        <w:rPr>
          <w:b w:val="0"/>
          <w:u w:val="single"/>
        </w:rPr>
      </w:pPr>
      <w:r>
        <w:rPr>
          <w:b w:val="0"/>
          <w:u w:val="single"/>
        </w:rPr>
        <w:t>Time Use Survey</w:t>
      </w:r>
    </w:p>
    <w:p w:rsidR="00C908DB" w:rsidRPr="00B52157" w:rsidP="00C908DB" w14:paraId="76577FB6" w14:textId="77777777">
      <w:pPr>
        <w:pStyle w:val="NoSpacing"/>
        <w:ind w:left="0"/>
      </w:pPr>
    </w:p>
    <w:p w:rsidR="00C908DB" w:rsidRPr="00B52157" w:rsidP="00C908DB" w14:paraId="15CB6A26" w14:textId="77777777">
      <w:pPr>
        <w:pStyle w:val="NoSpacing"/>
        <w:ind w:left="0"/>
      </w:pPr>
      <w:r w:rsidRPr="00B52157">
        <w:t>Pre-tests of the two previously proposed methods, a text-message-based survey and the email alternative</w:t>
      </w:r>
      <w:r>
        <w:t>,</w:t>
      </w:r>
      <w:r w:rsidRPr="00B52157">
        <w:t xml:space="preserve"> initially indicated that neither would achieve an acceptable response rate. In response, we proposed to replace that data collection with quarterly interviews of key informants, to be combined with the use of administrative data. After conducting the first wave of quarterly interviews, respondents requested the option to reply via email. We adjusted our method to offer both methods and to-date the email option has been by far the most often selected mode.</w:t>
      </w:r>
    </w:p>
    <w:p w:rsidR="0048078C" w:rsidRPr="00B52157" w:rsidP="00983179" w14:paraId="7564BC29" w14:textId="77777777">
      <w:pPr>
        <w:pStyle w:val="NoSpacing"/>
        <w:ind w:left="0"/>
      </w:pPr>
    </w:p>
    <w:p w:rsidR="00C14916" w:rsidRPr="0057092B" w:rsidP="00106CF1" w14:paraId="21713C2C" w14:textId="77777777">
      <w:pPr>
        <w:pStyle w:val="Heading2"/>
        <w:numPr>
          <w:ilvl w:val="0"/>
          <w:numId w:val="40"/>
        </w:numPr>
        <w:ind w:left="360"/>
        <w:rPr>
          <w:b/>
          <w:u w:val="none"/>
        </w:rPr>
      </w:pPr>
      <w:r w:rsidRPr="0057092B">
        <w:rPr>
          <w:b/>
          <w:u w:val="none"/>
        </w:rPr>
        <w:t>Explain any decision to provide any payment or gift to respondents, other than remuneration of contractors or grantees.</w:t>
      </w:r>
    </w:p>
    <w:p w:rsidR="0020496E" w:rsidRPr="00B52157" w:rsidP="00983179" w14:paraId="101E2C12" w14:textId="77777777">
      <w:pPr>
        <w:pStyle w:val="NoSpacing"/>
        <w:ind w:left="0"/>
      </w:pPr>
    </w:p>
    <w:p w:rsidR="00C14916" w:rsidRPr="00B52157" w:rsidP="00983179" w14:paraId="708D57F9" w14:textId="2FD09861">
      <w:pPr>
        <w:pStyle w:val="NoSpacing"/>
        <w:ind w:left="0"/>
      </w:pPr>
      <w:r w:rsidRPr="00B52157">
        <w:t xml:space="preserve">No incentives, or other payments or gifts, will be offered to survey </w:t>
      </w:r>
      <w:r w:rsidRPr="00B52157" w:rsidR="00AC3DCA">
        <w:t xml:space="preserve">or interview </w:t>
      </w:r>
      <w:r w:rsidRPr="00B52157">
        <w:t>participants.</w:t>
      </w:r>
    </w:p>
    <w:p w:rsidR="00C14916" w:rsidRPr="00B52157" w:rsidP="00983179" w14:paraId="7974D674" w14:textId="77777777">
      <w:pPr>
        <w:pStyle w:val="NoSpacing"/>
        <w:ind w:left="0"/>
      </w:pPr>
    </w:p>
    <w:p w:rsidR="00C14916" w:rsidRPr="0057092B" w:rsidP="00B41939" w14:paraId="125408AB" w14:textId="7FD3E812">
      <w:pPr>
        <w:pStyle w:val="Heading2"/>
        <w:numPr>
          <w:ilvl w:val="0"/>
          <w:numId w:val="40"/>
        </w:numPr>
        <w:ind w:left="360"/>
        <w:rPr>
          <w:b/>
          <w:u w:val="none"/>
        </w:rPr>
      </w:pPr>
      <w:r w:rsidRPr="0057092B">
        <w:rPr>
          <w:b/>
          <w:u w:val="none"/>
        </w:rPr>
        <w:t>Describe any assurance of confidentiality provided to respondents and the basis for the assurance in statute, regulation, or agency policy.</w:t>
      </w:r>
      <w:r w:rsidRPr="0057092B" w:rsidR="00FE2BD3">
        <w:rPr>
          <w:b/>
        </w:rPr>
        <w:t xml:space="preserve"> </w:t>
      </w:r>
      <w:r w:rsidRPr="0057092B" w:rsidR="00FE2BD3">
        <w:rPr>
          <w:b/>
          <w:u w:val="none"/>
        </w:rPr>
        <w:t>If the collection requires a system of records notice (SORN) or privacy impact assessment (PIA), those should be cited and described here.</w:t>
      </w:r>
    </w:p>
    <w:p w:rsidR="0020496E" w:rsidRPr="00B52157" w:rsidP="00983179" w14:paraId="3CDD4A95" w14:textId="77777777">
      <w:pPr>
        <w:pStyle w:val="NoSpacing"/>
        <w:ind w:left="0"/>
      </w:pPr>
    </w:p>
    <w:p w:rsidR="00603591" w:rsidRPr="00B52157" w:rsidP="00983179" w14:paraId="4B3D1DFB" w14:textId="66A5BD67">
      <w:pPr>
        <w:pStyle w:val="NoSpacing"/>
        <w:ind w:left="0"/>
      </w:pPr>
      <w:r w:rsidRPr="00B52157">
        <w:t xml:space="preserve">Before beginning </w:t>
      </w:r>
      <w:r w:rsidRPr="00B52157" w:rsidR="00F71ADA">
        <w:t>any survey</w:t>
      </w:r>
      <w:r w:rsidRPr="00B52157">
        <w:t xml:space="preserve"> or interview</w:t>
      </w:r>
      <w:r w:rsidRPr="00B52157">
        <w:t xml:space="preserve">, stakeholders </w:t>
      </w:r>
      <w:r w:rsidRPr="00B52157" w:rsidR="00B04194">
        <w:t>were</w:t>
      </w:r>
      <w:r w:rsidRPr="00B52157">
        <w:t xml:space="preserve"> provided an explanation of the purpose of the evaluation and how their responses will be used.</w:t>
      </w:r>
      <w:r w:rsidR="00530EC0">
        <w:t xml:space="preserve"> </w:t>
      </w:r>
      <w:r w:rsidRPr="00B52157">
        <w:t xml:space="preserve">Respondents will be told that their individual responses will be de-identified and will be </w:t>
      </w:r>
      <w:r w:rsidRPr="00B52157" w:rsidR="00B47570">
        <w:t>publicly</w:t>
      </w:r>
      <w:r w:rsidRPr="00B52157">
        <w:t xml:space="preserve"> reported only in the aggregate. However, they will also be told that </w:t>
      </w:r>
      <w:r w:rsidRPr="00B52157" w:rsidR="00093B4A">
        <w:t>unique</w:t>
      </w:r>
      <w:r w:rsidRPr="00B52157">
        <w:t xml:space="preserve"> roles or responses could be potentially identifying</w:t>
      </w:r>
      <w:r w:rsidRPr="00B52157" w:rsidR="00930D76">
        <w:t>, and therefore we are not promising confidentiality</w:t>
      </w:r>
      <w:r w:rsidRPr="00B52157" w:rsidR="002A7E04">
        <w:t xml:space="preserve">. </w:t>
      </w:r>
    </w:p>
    <w:p w:rsidR="00C14916" w:rsidRPr="00B52157" w:rsidP="00983179" w14:paraId="10831464" w14:textId="2CA079E5">
      <w:pPr>
        <w:pStyle w:val="NoSpacing"/>
        <w:ind w:left="0"/>
      </w:pPr>
    </w:p>
    <w:p w:rsidR="003F13D6" w:rsidRPr="00B52157" w:rsidP="00983179" w14:paraId="0FB20723" w14:textId="3C499520">
      <w:pPr>
        <w:pStyle w:val="NoSpacing"/>
        <w:ind w:left="0"/>
      </w:pPr>
      <w:r w:rsidRPr="00B52157">
        <w:t>The survey research instruments</w:t>
      </w:r>
      <w:r w:rsidRPr="00B52157" w:rsidR="00603591">
        <w:t xml:space="preserve"> and interview protocols</w:t>
      </w:r>
      <w:r w:rsidRPr="00B52157">
        <w:t xml:space="preserve"> </w:t>
      </w:r>
      <w:r w:rsidRPr="00B52157" w:rsidR="00B47570">
        <w:t xml:space="preserve">– specifically the </w:t>
      </w:r>
      <w:r w:rsidR="00335793">
        <w:t>Partnership Survey</w:t>
      </w:r>
      <w:r w:rsidRPr="00B52157" w:rsidR="00B47570">
        <w:t xml:space="preserve">, and the </w:t>
      </w:r>
      <w:r w:rsidR="0018218A">
        <w:t>Time Use Survey</w:t>
      </w:r>
      <w:r w:rsidRPr="00B52157" w:rsidR="00B47570">
        <w:t xml:space="preserve"> email template – were</w:t>
      </w:r>
      <w:r w:rsidRPr="00B52157">
        <w:t xml:space="preserve"> reviewed and approved by the Urban Institute’s Institutional Review Board prior to initiating any research, which operates according to the </w:t>
      </w:r>
      <w:r w:rsidRPr="00B52157">
        <w:t>Common Rule on the Protection of Human Subjects found in Title 45 of the Code of Federal Regulations, Part 46 (45 CFR 46).</w:t>
      </w:r>
      <w:r w:rsidR="00530EC0">
        <w:t xml:space="preserve"> </w:t>
      </w:r>
      <w:r w:rsidRPr="00B52157" w:rsidR="00B04194">
        <w:t xml:space="preserve">This IRB review has been renewed annually. </w:t>
      </w:r>
      <w:r w:rsidRPr="00B52157" w:rsidR="00873E92">
        <w:t>The information requested under this collection is protected and held private in accordance with 5 U.S.C.552 (Freedom of Information Act), 5 U.S.C. 552a (Privacy Act of 1974) and OMB Circular No. A-130. A Privacy Impact Assessment was approved by the Department on 11/17//2017.</w:t>
      </w:r>
      <w:r w:rsidRPr="00B52157" w:rsidR="00B47570">
        <w:t xml:space="preserve"> </w:t>
      </w:r>
      <w:r w:rsidR="00783D7A">
        <w:t>There is no data linkage between one data set and another</w:t>
      </w:r>
      <w:r w:rsidR="000B5F2C">
        <w:t xml:space="preserve"> to learn more about an individual so there is no system of records notice (SORN).</w:t>
      </w:r>
    </w:p>
    <w:p w:rsidR="003F13D6" w:rsidRPr="00B52157" w:rsidP="00983179" w14:paraId="18920578" w14:textId="77777777">
      <w:pPr>
        <w:pStyle w:val="NoSpacing"/>
        <w:ind w:left="0"/>
      </w:pPr>
    </w:p>
    <w:p w:rsidR="00C14916" w:rsidRPr="0057092B" w:rsidP="000B5F2C" w14:paraId="34E880D2" w14:textId="150BDECA">
      <w:pPr>
        <w:pStyle w:val="Heading2"/>
        <w:numPr>
          <w:ilvl w:val="0"/>
          <w:numId w:val="40"/>
        </w:numPr>
        <w:ind w:left="360"/>
        <w:rPr>
          <w:b/>
          <w:u w:val="none"/>
        </w:rPr>
      </w:pPr>
      <w:r w:rsidRPr="0057092B">
        <w:rPr>
          <w:b/>
          <w:u w:val="none"/>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people from whom the information is requested, and any steps to be taken to obtain their consent. </w:t>
      </w:r>
    </w:p>
    <w:p w:rsidR="0020496E" w:rsidRPr="00B52157" w:rsidP="00983179" w14:paraId="56A2C2EB" w14:textId="77777777">
      <w:pPr>
        <w:pStyle w:val="NoSpacing"/>
        <w:ind w:left="0"/>
      </w:pPr>
    </w:p>
    <w:p w:rsidR="00037981" w:rsidRPr="00B52157" w:rsidP="00983179" w14:paraId="3D1C87EA" w14:textId="2565221E">
      <w:pPr>
        <w:pStyle w:val="NoSpacing"/>
        <w:ind w:left="0"/>
      </w:pPr>
      <w:r w:rsidRPr="00B52157">
        <w:t xml:space="preserve">No questions of a sensitive nature </w:t>
      </w:r>
      <w:r w:rsidRPr="00B52157" w:rsidR="00B04194">
        <w:t>have been</w:t>
      </w:r>
      <w:r w:rsidRPr="00B52157">
        <w:t xml:space="preserve"> included. </w:t>
      </w:r>
    </w:p>
    <w:p w:rsidR="0020496E" w:rsidRPr="00B52157" w:rsidP="00983179" w14:paraId="0A96EDFC" w14:textId="77777777">
      <w:pPr>
        <w:pStyle w:val="NoSpacing"/>
        <w:ind w:left="0"/>
      </w:pPr>
    </w:p>
    <w:p w:rsidR="007A5F42" w:rsidRPr="0057092B" w:rsidP="0057092B" w14:paraId="2552BC73" w14:textId="24DDFCC5">
      <w:pPr>
        <w:pStyle w:val="ListParagraph"/>
        <w:numPr>
          <w:ilvl w:val="0"/>
          <w:numId w:val="40"/>
        </w:numPr>
        <w:tabs>
          <w:tab w:val="left" w:pos="360"/>
        </w:tabs>
        <w:ind w:left="360"/>
        <w:rPr>
          <w:rFonts w:ascii="Times New Roman" w:hAnsi="Times New Roman"/>
          <w:b/>
          <w:bCs/>
          <w:sz w:val="24"/>
          <w:szCs w:val="24"/>
        </w:rPr>
      </w:pPr>
      <w:r w:rsidRPr="0057092B">
        <w:rPr>
          <w:rFonts w:ascii="Times New Roman" w:hAnsi="Times New Roman"/>
          <w:b/>
          <w:bCs/>
          <w:sz w:val="24"/>
          <w:szCs w:val="24"/>
        </w:rPr>
        <w:t>Provide estimates of the hour burden of the collection of information.  The statement should:</w:t>
      </w:r>
    </w:p>
    <w:p w:rsidR="007A5F42" w:rsidRPr="0057092B" w:rsidP="007A5F42" w14:paraId="72144DFC" w14:textId="77777777">
      <w:pPr>
        <w:tabs>
          <w:tab w:val="left" w:pos="360"/>
        </w:tabs>
        <w:ind w:left="360" w:hanging="360"/>
        <w:rPr>
          <w:b/>
          <w:bCs/>
        </w:rPr>
      </w:pPr>
      <w:r w:rsidRPr="0057092B">
        <w:rPr>
          <w:b/>
          <w:bCs/>
        </w:rPr>
        <w:t xml:space="preserve"> </w:t>
      </w:r>
    </w:p>
    <w:p w:rsidR="007A5F42" w:rsidRPr="0057092B" w:rsidP="007A5F42" w14:paraId="10009DF5" w14:textId="77777777">
      <w:pPr>
        <w:numPr>
          <w:ilvl w:val="0"/>
          <w:numId w:val="44"/>
        </w:numPr>
        <w:tabs>
          <w:tab w:val="left" w:pos="480"/>
        </w:tabs>
        <w:overflowPunct w:val="0"/>
        <w:autoSpaceDE w:val="0"/>
        <w:autoSpaceDN w:val="0"/>
        <w:adjustRightInd w:val="0"/>
        <w:ind w:left="480"/>
        <w:textAlignment w:val="baseline"/>
        <w:rPr>
          <w:b/>
          <w:bCs/>
        </w:rPr>
      </w:pPr>
      <w:r w:rsidRPr="0057092B">
        <w:rPr>
          <w:b/>
          <w:bCs/>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r w:rsidRPr="0057092B">
        <w:rPr>
          <w:b/>
          <w:bCs/>
        </w:rPr>
        <w:t>practices;</w:t>
      </w:r>
      <w:r w:rsidRPr="0057092B">
        <w:rPr>
          <w:b/>
          <w:bCs/>
        </w:rPr>
        <w:t xml:space="preserve"> </w:t>
      </w:r>
    </w:p>
    <w:p w:rsidR="007A5F42" w:rsidRPr="0057092B" w:rsidP="007A5F42" w14:paraId="02B87894" w14:textId="77777777">
      <w:pPr>
        <w:numPr>
          <w:ilvl w:val="0"/>
          <w:numId w:val="44"/>
        </w:numPr>
        <w:tabs>
          <w:tab w:val="left" w:pos="480"/>
        </w:tabs>
        <w:overflowPunct w:val="0"/>
        <w:autoSpaceDE w:val="0"/>
        <w:autoSpaceDN w:val="0"/>
        <w:adjustRightInd w:val="0"/>
        <w:ind w:left="480"/>
        <w:textAlignment w:val="baseline"/>
        <w:rPr>
          <w:b/>
          <w:bCs/>
        </w:rPr>
      </w:pPr>
      <w:r w:rsidRPr="0057092B">
        <w:rPr>
          <w:b/>
          <w:bCs/>
        </w:rPr>
        <w:t xml:space="preserve">If this request covers more than one form, provide separate hour burden estimates for each form and aggregate the hour burdens in chart below; and </w:t>
      </w:r>
    </w:p>
    <w:p w:rsidR="007A5F42" w:rsidRPr="0057092B" w:rsidP="007A5F42" w14:paraId="79F67E8F" w14:textId="77777777">
      <w:pPr>
        <w:keepLines/>
        <w:numPr>
          <w:ilvl w:val="0"/>
          <w:numId w:val="44"/>
        </w:numPr>
        <w:tabs>
          <w:tab w:val="left" w:pos="480"/>
        </w:tabs>
        <w:overflowPunct w:val="0"/>
        <w:autoSpaceDE w:val="0"/>
        <w:autoSpaceDN w:val="0"/>
        <w:adjustRightInd w:val="0"/>
        <w:spacing w:after="80"/>
        <w:ind w:left="480"/>
        <w:textAlignment w:val="baseline"/>
        <w:rPr>
          <w:b/>
          <w:bCs/>
        </w:rPr>
      </w:pPr>
      <w:r w:rsidRPr="0057092B">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C14916" w:rsidRPr="00B52157" w:rsidP="00983179" w14:paraId="08E25ABD" w14:textId="77777777">
      <w:pPr>
        <w:pStyle w:val="NoSpacing"/>
        <w:ind w:left="0"/>
      </w:pPr>
    </w:p>
    <w:p w:rsidR="00EC2BDA" w:rsidRPr="00B52157" w:rsidP="00983179" w14:paraId="08402181" w14:textId="346B6153">
      <w:pPr>
        <w:pStyle w:val="Heading3"/>
        <w:ind w:left="0"/>
        <w:rPr>
          <w:b w:val="0"/>
          <w:u w:val="single"/>
        </w:rPr>
      </w:pPr>
      <w:r w:rsidRPr="00B52157">
        <w:rPr>
          <w:b w:val="0"/>
          <w:u w:val="single"/>
        </w:rPr>
        <w:t>Partnership Survey</w:t>
      </w:r>
    </w:p>
    <w:p w:rsidR="0020496E" w:rsidRPr="00B52157" w:rsidP="00983179" w14:paraId="1F521201" w14:textId="3FD765C2">
      <w:pPr>
        <w:pStyle w:val="NoSpacing"/>
        <w:ind w:left="0"/>
      </w:pPr>
      <w:r>
        <w:t>The Partnership Survey will be administered annually to approximately 65 people in management or leadership roles in partner organizations participating in the PFS Demonstration.</w:t>
      </w:r>
    </w:p>
    <w:p w:rsidR="00AA24AC" w:rsidRPr="00B52157" w:rsidP="00983179" w14:paraId="7EA3C07E" w14:textId="77777777">
      <w:pPr>
        <w:pStyle w:val="NoSpacing"/>
        <w:ind w:left="0"/>
      </w:pPr>
    </w:p>
    <w:p w:rsidR="003147DD" w:rsidRPr="00B52157" w:rsidP="00983179" w14:paraId="005296D7" w14:textId="08C63226">
      <w:pPr>
        <w:pStyle w:val="NoSpacing"/>
        <w:ind w:left="0"/>
      </w:pPr>
      <w:r>
        <w:t xml:space="preserve">The surveys were originally pilot tested with 8 respondents to improve the survey instrument. We asked respondents to record their start and stop time to gauge the appropriateness of our burden estimates. Respondents reported the web-based Partnership Survey took less than 15 minutes, and timing in Qualtrics showed the average was 13 minutes. Therefore, the estimate of </w:t>
      </w:r>
      <w:r>
        <w:t>the burden is based on</w:t>
      </w:r>
      <w:r w:rsidR="00655765">
        <w:t xml:space="preserve"> a maximum of</w:t>
      </w:r>
      <w:r>
        <w:t xml:space="preserve"> 0.</w:t>
      </w:r>
      <w:r w:rsidR="00655765">
        <w:t>33</w:t>
      </w:r>
      <w:r>
        <w:t xml:space="preserve"> hours (</w:t>
      </w:r>
      <w:r w:rsidR="00655765">
        <w:t>20</w:t>
      </w:r>
      <w:r>
        <w:t xml:space="preserve"> minutes) to complete, and the estimated annual burden for the Partnership Survey is </w:t>
      </w:r>
      <w:r w:rsidR="00655765">
        <w:t>21.67</w:t>
      </w:r>
      <w:r>
        <w:t xml:space="preserve"> hours per year.</w:t>
      </w:r>
    </w:p>
    <w:p w:rsidR="003147DD" w:rsidRPr="00B52157" w:rsidP="00983179" w14:paraId="4A0232AE" w14:textId="5A9AF85D">
      <w:pPr>
        <w:pStyle w:val="NoSpacing"/>
        <w:ind w:left="0"/>
      </w:pPr>
    </w:p>
    <w:p w:rsidR="004E6E60" w:rsidRPr="00B52157" w:rsidP="00983179" w14:paraId="3FAB8460" w14:textId="77777777">
      <w:pPr>
        <w:pStyle w:val="NoSpacing"/>
        <w:ind w:left="0"/>
      </w:pPr>
    </w:p>
    <w:p w:rsidR="00C14916" w:rsidRPr="00B52157" w:rsidP="00983179" w14:paraId="2A89766C" w14:textId="367E961A">
      <w:pPr>
        <w:pStyle w:val="Heading3"/>
        <w:ind w:left="0"/>
        <w:rPr>
          <w:b w:val="0"/>
          <w:u w:val="single"/>
        </w:rPr>
      </w:pPr>
      <w:r>
        <w:rPr>
          <w:b w:val="0"/>
          <w:u w:val="single"/>
        </w:rPr>
        <w:t>Time Use Survey</w:t>
      </w:r>
    </w:p>
    <w:p w:rsidR="00845F9C" w:rsidRPr="00B52157" w:rsidP="00983179" w14:paraId="3CFB0EB1" w14:textId="31512310">
      <w:pPr>
        <w:pStyle w:val="NoSpacing"/>
        <w:ind w:left="0"/>
      </w:pPr>
      <w:r>
        <w:t xml:space="preserve">Quarterly data collection will be conducted four times per year, to approximately 17 respondents in supervisory or administrative positions in partner organization participating in the PFS Demonstration. Estimate of the burden is based on 1 hour to respond to the emailed request or to complete an interview, and the estimated annual burden for the </w:t>
      </w:r>
      <w:r w:rsidR="0018218A">
        <w:t>Time Use Survey</w:t>
      </w:r>
      <w:r>
        <w:t xml:space="preserve"> is 68 hours.</w:t>
      </w:r>
    </w:p>
    <w:p w:rsidR="0020496E" w:rsidRPr="00B52157" w:rsidP="00983179" w14:paraId="55551357" w14:textId="77777777">
      <w:pPr>
        <w:pStyle w:val="NoSpacing"/>
        <w:ind w:left="0"/>
      </w:pPr>
    </w:p>
    <w:p w:rsidR="00C14916" w:rsidRPr="00B52157" w:rsidP="00983179" w14:paraId="3BD3D768" w14:textId="5779FF5A">
      <w:pPr>
        <w:pStyle w:val="NoSpacing"/>
        <w:ind w:left="0"/>
        <w:rPr>
          <w:color w:val="000000"/>
        </w:rPr>
      </w:pPr>
      <w:r>
        <w:t>Based on the below assumptions and tables, we calculate the annual burden hours for these study activities in aggregate to be 84.25 hours and the annual cost to be $2</w:t>
      </w:r>
      <w:r w:rsidR="003A3390">
        <w:t>,742</w:t>
      </w:r>
      <w:r>
        <w:t>.</w:t>
      </w:r>
      <w:r w:rsidR="00D42015">
        <w:t>34</w:t>
      </w:r>
      <w:r>
        <w:t xml:space="preserve"> </w:t>
      </w:r>
      <w:r w:rsidRPr="078D9CD3">
        <w:rPr>
          <w:color w:val="000000" w:themeColor="text1"/>
        </w:rPr>
        <w:t>as broken down in detail by respondent type, burden, and wages below.</w:t>
      </w:r>
    </w:p>
    <w:p w:rsidR="0020496E" w:rsidRPr="00B52157" w:rsidP="00983179" w14:paraId="48FB92B6" w14:textId="77777777">
      <w:pPr>
        <w:pStyle w:val="NoSpacing"/>
        <w:ind w:left="0"/>
      </w:pPr>
    </w:p>
    <w:p w:rsidR="00C14916" w:rsidRPr="00B52157" w:rsidP="00983179" w14:paraId="76383977" w14:textId="6B16BEEC">
      <w:pPr>
        <w:pStyle w:val="NoSpacing"/>
        <w:ind w:left="0"/>
      </w:pPr>
      <w:r>
        <w:t>Based on the expectation that the typical key project partner role is either a management or support role, we estimated their cost per response using the average of the most recent (May 202</w:t>
      </w:r>
      <w:r w:rsidR="00027D9E">
        <w:t>3</w:t>
      </w:r>
      <w:r>
        <w:t xml:space="preserve">) Bureau of Labor Statistics, Occupational Employment Statistics median hourly wages for the labor categories “social and community services manager” and “community and social service specialist, all other.” </w:t>
      </w:r>
    </w:p>
    <w:p w:rsidR="0036542B" w:rsidRPr="00B52157" w:rsidP="00983179" w14:paraId="660172E7" w14:textId="77777777">
      <w:pPr>
        <w:pStyle w:val="NoSpacing"/>
        <w:ind w:left="0"/>
      </w:pPr>
    </w:p>
    <w:p w:rsidR="00915492" w:rsidRPr="006940AB" w:rsidP="00915492" w14:paraId="6CD51C48" w14:textId="77777777">
      <w:pPr>
        <w:pStyle w:val="Default"/>
        <w:ind w:left="480"/>
        <w:jc w:val="center"/>
        <w:rPr>
          <w:rFonts w:ascii="Times New Roman" w:hAnsi="Times New Roman" w:cs="Times New Roman"/>
          <w:i/>
          <w:iCs/>
          <w:color w:val="FF0000"/>
        </w:rPr>
      </w:pPr>
      <w:r w:rsidRPr="0032477A">
        <w:rPr>
          <w:rFonts w:ascii="Times New Roman" w:hAnsi="Times New Roman" w:cs="Times New Roman"/>
          <w:b/>
        </w:rPr>
        <w:t xml:space="preserve">Estimated </w:t>
      </w:r>
      <w:r>
        <w:rPr>
          <w:rFonts w:ascii="Times New Roman" w:hAnsi="Times New Roman" w:cs="Times New Roman"/>
          <w:b/>
        </w:rPr>
        <w:t xml:space="preserve">Annual </w:t>
      </w:r>
      <w:r w:rsidRPr="0032477A">
        <w:rPr>
          <w:rFonts w:ascii="Times New Roman" w:hAnsi="Times New Roman" w:cs="Times New Roman"/>
          <w:b/>
        </w:rPr>
        <w:t>Hour and Cost Burden of Information Collection</w:t>
      </w:r>
    </w:p>
    <w:p w:rsidR="00915492" w:rsidRPr="006C7FAE" w:rsidP="00915492" w14:paraId="46AAE354" w14:textId="77777777">
      <w:pPr>
        <w:keepLines/>
        <w:tabs>
          <w:tab w:val="left" w:pos="360"/>
          <w:tab w:val="left" w:pos="720"/>
          <w:tab w:val="center" w:pos="1680"/>
          <w:tab w:val="center" w:pos="3120"/>
          <w:tab w:val="center" w:pos="4560"/>
          <w:tab w:val="center" w:pos="6000"/>
          <w:tab w:val="center" w:pos="7440"/>
          <w:tab w:val="center" w:pos="8880"/>
        </w:tabs>
        <w:ind w:left="360"/>
      </w:pPr>
    </w:p>
    <w:tbl>
      <w:tblPr>
        <w:tblW w:w="98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823"/>
        <w:gridCol w:w="1135"/>
        <w:gridCol w:w="1253"/>
        <w:gridCol w:w="1216"/>
        <w:gridCol w:w="1056"/>
        <w:gridCol w:w="938"/>
        <w:gridCol w:w="1073"/>
        <w:gridCol w:w="1316"/>
      </w:tblGrid>
      <w:tr w14:paraId="31B4FD46" w14:textId="77777777" w:rsidTr="00C25396">
        <w:tblPrEx>
          <w:tblW w:w="98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1823" w:type="dxa"/>
            <w:tcMar>
              <w:top w:w="0" w:type="dxa"/>
              <w:left w:w="108" w:type="dxa"/>
              <w:bottom w:w="0" w:type="dxa"/>
              <w:right w:w="108" w:type="dxa"/>
            </w:tcMar>
            <w:hideMark/>
          </w:tcPr>
          <w:p w:rsidR="00915492" w:rsidRPr="00C25396" w:rsidP="00782F02" w14:paraId="24DFDA05" w14:textId="77777777">
            <w:pPr>
              <w:ind w:left="-15" w:right="-75"/>
              <w:jc w:val="center"/>
              <w:rPr>
                <w:rFonts w:eastAsia="Calibri"/>
                <w:b/>
                <w:bCs/>
                <w:color w:val="000000"/>
                <w:sz w:val="18"/>
                <w:szCs w:val="18"/>
              </w:rPr>
            </w:pPr>
            <w:bookmarkStart w:id="4" w:name="_Hlk72491044"/>
            <w:r w:rsidRPr="00C25396">
              <w:rPr>
                <w:rFonts w:eastAsia="Calibri"/>
                <w:b/>
                <w:bCs/>
                <w:color w:val="000000"/>
                <w:sz w:val="18"/>
                <w:szCs w:val="18"/>
              </w:rPr>
              <w:t>Information Collection</w:t>
            </w:r>
          </w:p>
        </w:tc>
        <w:tc>
          <w:tcPr>
            <w:tcW w:w="1135" w:type="dxa"/>
            <w:tcMar>
              <w:top w:w="0" w:type="dxa"/>
              <w:left w:w="108" w:type="dxa"/>
              <w:bottom w:w="0" w:type="dxa"/>
              <w:right w:w="108" w:type="dxa"/>
            </w:tcMar>
            <w:hideMark/>
          </w:tcPr>
          <w:p w:rsidR="00915492" w:rsidRPr="00C25396" w:rsidP="00782F02" w14:paraId="3ABBB6C0" w14:textId="77777777">
            <w:pPr>
              <w:ind w:left="-62" w:right="-75" w:hanging="27"/>
              <w:jc w:val="center"/>
              <w:rPr>
                <w:rFonts w:eastAsia="Calibri"/>
                <w:b/>
                <w:bCs/>
                <w:color w:val="000000"/>
                <w:sz w:val="18"/>
                <w:szCs w:val="18"/>
              </w:rPr>
            </w:pPr>
            <w:r w:rsidRPr="00C25396">
              <w:rPr>
                <w:rFonts w:eastAsia="Calibri"/>
                <w:b/>
                <w:bCs/>
                <w:color w:val="000000"/>
                <w:sz w:val="18"/>
                <w:szCs w:val="18"/>
              </w:rPr>
              <w:t>Number of Respondents</w:t>
            </w:r>
          </w:p>
        </w:tc>
        <w:tc>
          <w:tcPr>
            <w:tcW w:w="1253" w:type="dxa"/>
            <w:tcMar>
              <w:top w:w="0" w:type="dxa"/>
              <w:left w:w="108" w:type="dxa"/>
              <w:bottom w:w="0" w:type="dxa"/>
              <w:right w:w="108" w:type="dxa"/>
            </w:tcMar>
            <w:hideMark/>
          </w:tcPr>
          <w:p w:rsidR="00915492" w:rsidRPr="00C25396" w:rsidP="00782F02" w14:paraId="4E5EC1C9" w14:textId="77777777">
            <w:pPr>
              <w:ind w:left="-71" w:right="-108" w:firstLine="71"/>
              <w:jc w:val="center"/>
              <w:rPr>
                <w:rFonts w:eastAsia="Calibri"/>
                <w:b/>
                <w:bCs/>
                <w:color w:val="000000"/>
                <w:sz w:val="18"/>
                <w:szCs w:val="18"/>
              </w:rPr>
            </w:pPr>
            <w:r w:rsidRPr="00C25396">
              <w:rPr>
                <w:rFonts w:eastAsia="Calibri"/>
                <w:b/>
                <w:bCs/>
                <w:color w:val="000000"/>
                <w:sz w:val="18"/>
                <w:szCs w:val="18"/>
              </w:rPr>
              <w:t>Frequency of Response</w:t>
            </w:r>
          </w:p>
        </w:tc>
        <w:tc>
          <w:tcPr>
            <w:tcW w:w="1216" w:type="dxa"/>
            <w:tcMar>
              <w:top w:w="0" w:type="dxa"/>
              <w:left w:w="108" w:type="dxa"/>
              <w:bottom w:w="0" w:type="dxa"/>
              <w:right w:w="108" w:type="dxa"/>
            </w:tcMar>
            <w:hideMark/>
          </w:tcPr>
          <w:p w:rsidR="00915492" w:rsidRPr="00C25396" w:rsidP="00782F02" w14:paraId="243D1449" w14:textId="77777777">
            <w:pPr>
              <w:ind w:left="-47" w:right="-123" w:firstLine="47"/>
              <w:jc w:val="center"/>
              <w:rPr>
                <w:rFonts w:eastAsia="Calibri"/>
                <w:b/>
                <w:bCs/>
                <w:color w:val="000000"/>
                <w:sz w:val="18"/>
                <w:szCs w:val="18"/>
              </w:rPr>
            </w:pPr>
            <w:r w:rsidRPr="00C25396">
              <w:rPr>
                <w:rFonts w:eastAsia="Calibri"/>
                <w:b/>
                <w:bCs/>
                <w:color w:val="000000"/>
                <w:sz w:val="18"/>
                <w:szCs w:val="18"/>
              </w:rPr>
              <w:t>Responses</w:t>
            </w:r>
          </w:p>
          <w:p w:rsidR="00915492" w:rsidRPr="00C25396" w:rsidP="00782F02" w14:paraId="56400D4F" w14:textId="77777777">
            <w:pPr>
              <w:ind w:left="-47" w:right="-123" w:firstLine="47"/>
              <w:jc w:val="center"/>
              <w:rPr>
                <w:rFonts w:eastAsia="Calibri"/>
                <w:b/>
                <w:bCs/>
                <w:color w:val="000000"/>
                <w:sz w:val="18"/>
                <w:szCs w:val="18"/>
              </w:rPr>
            </w:pPr>
            <w:r w:rsidRPr="00C25396">
              <w:rPr>
                <w:rFonts w:eastAsia="Calibri"/>
                <w:b/>
                <w:bCs/>
                <w:color w:val="000000"/>
                <w:sz w:val="18"/>
                <w:szCs w:val="18"/>
              </w:rPr>
              <w:t>Per Annum</w:t>
            </w:r>
          </w:p>
        </w:tc>
        <w:tc>
          <w:tcPr>
            <w:tcW w:w="1056" w:type="dxa"/>
            <w:tcMar>
              <w:top w:w="0" w:type="dxa"/>
              <w:left w:w="108" w:type="dxa"/>
              <w:bottom w:w="0" w:type="dxa"/>
              <w:right w:w="108" w:type="dxa"/>
            </w:tcMar>
            <w:hideMark/>
          </w:tcPr>
          <w:p w:rsidR="00915492" w:rsidRPr="00C25396" w:rsidP="00782F02" w14:paraId="724B72E7" w14:textId="77777777">
            <w:pPr>
              <w:ind w:left="-74" w:right="-57" w:firstLine="74"/>
              <w:jc w:val="center"/>
              <w:rPr>
                <w:rFonts w:eastAsia="Calibri"/>
                <w:b/>
                <w:bCs/>
                <w:color w:val="000000"/>
                <w:sz w:val="18"/>
                <w:szCs w:val="18"/>
              </w:rPr>
            </w:pPr>
            <w:r w:rsidRPr="00C25396">
              <w:rPr>
                <w:rFonts w:eastAsia="Calibri"/>
                <w:b/>
                <w:bCs/>
                <w:color w:val="000000"/>
                <w:sz w:val="18"/>
                <w:szCs w:val="18"/>
              </w:rPr>
              <w:t>Burden Hours Per Response</w:t>
            </w:r>
          </w:p>
        </w:tc>
        <w:tc>
          <w:tcPr>
            <w:tcW w:w="938" w:type="dxa"/>
            <w:tcMar>
              <w:top w:w="0" w:type="dxa"/>
              <w:left w:w="108" w:type="dxa"/>
              <w:bottom w:w="0" w:type="dxa"/>
              <w:right w:w="108" w:type="dxa"/>
            </w:tcMar>
            <w:hideMark/>
          </w:tcPr>
          <w:p w:rsidR="00915492" w:rsidRPr="00C25396" w:rsidP="00782F02" w14:paraId="5383F4A3" w14:textId="77777777">
            <w:pPr>
              <w:ind w:left="-89" w:right="-57" w:firstLine="89"/>
              <w:jc w:val="center"/>
              <w:rPr>
                <w:rFonts w:eastAsia="Calibri"/>
                <w:b/>
                <w:bCs/>
                <w:color w:val="000000"/>
                <w:sz w:val="18"/>
                <w:szCs w:val="18"/>
              </w:rPr>
            </w:pPr>
            <w:r w:rsidRPr="00C25396">
              <w:rPr>
                <w:rFonts w:eastAsia="Calibri"/>
                <w:b/>
                <w:bCs/>
                <w:color w:val="000000"/>
                <w:sz w:val="18"/>
                <w:szCs w:val="18"/>
              </w:rPr>
              <w:t>Annual Burden Hours</w:t>
            </w:r>
          </w:p>
        </w:tc>
        <w:tc>
          <w:tcPr>
            <w:tcW w:w="1073" w:type="dxa"/>
            <w:tcMar>
              <w:top w:w="0" w:type="dxa"/>
              <w:left w:w="108" w:type="dxa"/>
              <w:bottom w:w="0" w:type="dxa"/>
              <w:right w:w="108" w:type="dxa"/>
            </w:tcMar>
            <w:hideMark/>
          </w:tcPr>
          <w:p w:rsidR="00915492" w:rsidRPr="00C25396" w:rsidP="00782F02" w14:paraId="084D00A3" w14:textId="765C9FB5">
            <w:pPr>
              <w:ind w:left="-62" w:right="-57" w:firstLine="62"/>
              <w:jc w:val="center"/>
              <w:rPr>
                <w:rFonts w:eastAsia="Calibri"/>
                <w:b/>
                <w:bCs/>
                <w:color w:val="000000"/>
                <w:sz w:val="18"/>
                <w:szCs w:val="18"/>
              </w:rPr>
            </w:pPr>
            <w:r w:rsidRPr="00C25396">
              <w:rPr>
                <w:rFonts w:eastAsia="Calibri"/>
                <w:b/>
                <w:bCs/>
                <w:color w:val="000000"/>
                <w:sz w:val="18"/>
                <w:szCs w:val="18"/>
              </w:rPr>
              <w:t>Hourly Cost Per Response</w:t>
            </w:r>
            <w:r>
              <w:rPr>
                <w:rStyle w:val="FootnoteReference"/>
                <w:rFonts w:eastAsia="Calibri"/>
                <w:b/>
                <w:bCs/>
                <w:color w:val="000000"/>
                <w:sz w:val="18"/>
                <w:szCs w:val="18"/>
              </w:rPr>
              <w:footnoteReference w:id="2"/>
            </w:r>
          </w:p>
        </w:tc>
        <w:tc>
          <w:tcPr>
            <w:tcW w:w="1316" w:type="dxa"/>
            <w:tcMar>
              <w:top w:w="0" w:type="dxa"/>
              <w:left w:w="108" w:type="dxa"/>
              <w:bottom w:w="0" w:type="dxa"/>
              <w:right w:w="108" w:type="dxa"/>
            </w:tcMar>
          </w:tcPr>
          <w:p w:rsidR="00915492" w:rsidRPr="00C25396" w:rsidP="00782F02" w14:paraId="0D1E2484" w14:textId="77777777">
            <w:pPr>
              <w:ind w:left="-62" w:right="-92"/>
              <w:jc w:val="center"/>
              <w:rPr>
                <w:rFonts w:eastAsia="Calibri"/>
                <w:b/>
                <w:bCs/>
                <w:color w:val="000000"/>
                <w:sz w:val="18"/>
                <w:szCs w:val="18"/>
              </w:rPr>
            </w:pPr>
            <w:r w:rsidRPr="00C25396">
              <w:rPr>
                <w:rFonts w:eastAsia="Calibri"/>
                <w:b/>
                <w:bCs/>
                <w:color w:val="000000"/>
                <w:sz w:val="18"/>
                <w:szCs w:val="18"/>
              </w:rPr>
              <w:t>Annual Cost</w:t>
            </w:r>
          </w:p>
          <w:p w:rsidR="00915492" w:rsidRPr="00C25396" w:rsidP="00782F02" w14:paraId="586B9160" w14:textId="77777777">
            <w:pPr>
              <w:jc w:val="center"/>
              <w:rPr>
                <w:rFonts w:eastAsia="Calibri"/>
                <w:b/>
                <w:bCs/>
                <w:color w:val="000000"/>
                <w:sz w:val="18"/>
                <w:szCs w:val="18"/>
              </w:rPr>
            </w:pPr>
          </w:p>
        </w:tc>
      </w:tr>
      <w:tr w14:paraId="03B9E365" w14:textId="77777777" w:rsidTr="00C25396">
        <w:tblPrEx>
          <w:tblW w:w="9810" w:type="dxa"/>
          <w:tblInd w:w="-10" w:type="dxa"/>
          <w:tblCellMar>
            <w:left w:w="0" w:type="dxa"/>
            <w:right w:w="0" w:type="dxa"/>
          </w:tblCellMar>
          <w:tblLook w:val="04A0"/>
        </w:tblPrEx>
        <w:tc>
          <w:tcPr>
            <w:tcW w:w="1823" w:type="dxa"/>
            <w:tcMar>
              <w:top w:w="0" w:type="dxa"/>
              <w:left w:w="108" w:type="dxa"/>
              <w:bottom w:w="0" w:type="dxa"/>
              <w:right w:w="108" w:type="dxa"/>
            </w:tcMar>
          </w:tcPr>
          <w:p w:rsidR="00915492" w:rsidRPr="00C25396" w:rsidP="00782F02" w14:paraId="07652167" w14:textId="69D795EA">
            <w:pPr>
              <w:rPr>
                <w:rFonts w:eastAsia="Calibri"/>
                <w:color w:val="000000"/>
                <w:sz w:val="18"/>
                <w:szCs w:val="18"/>
              </w:rPr>
            </w:pPr>
            <w:r w:rsidRPr="00C25396">
              <w:rPr>
                <w:rFonts w:eastAsia="Calibri"/>
                <w:color w:val="000000"/>
                <w:sz w:val="18"/>
                <w:szCs w:val="18"/>
              </w:rPr>
              <w:t xml:space="preserve">HUD-DOJ PFS Key Project Partners (Annual </w:t>
            </w:r>
            <w:r w:rsidRPr="00C25396" w:rsidR="00AA27D6">
              <w:rPr>
                <w:rFonts w:eastAsia="Calibri"/>
                <w:color w:val="000000"/>
                <w:sz w:val="18"/>
                <w:szCs w:val="18"/>
              </w:rPr>
              <w:t>W</w:t>
            </w:r>
            <w:r w:rsidRPr="00C25396">
              <w:rPr>
                <w:rFonts w:eastAsia="Calibri"/>
                <w:color w:val="000000"/>
                <w:sz w:val="18"/>
                <w:szCs w:val="18"/>
              </w:rPr>
              <w:t xml:space="preserve">eb-based </w:t>
            </w:r>
            <w:r w:rsidRPr="00C25396" w:rsidR="00AA27D6">
              <w:rPr>
                <w:rFonts w:eastAsia="Calibri"/>
                <w:color w:val="000000"/>
                <w:sz w:val="18"/>
                <w:szCs w:val="18"/>
              </w:rPr>
              <w:t>P</w:t>
            </w:r>
            <w:r w:rsidRPr="00C25396">
              <w:rPr>
                <w:rFonts w:eastAsia="Calibri"/>
                <w:color w:val="000000"/>
                <w:sz w:val="18"/>
                <w:szCs w:val="18"/>
              </w:rPr>
              <w:t xml:space="preserve">artnership </w:t>
            </w:r>
            <w:r w:rsidRPr="00C25396" w:rsidR="00AA27D6">
              <w:rPr>
                <w:rFonts w:eastAsia="Calibri"/>
                <w:color w:val="000000"/>
                <w:sz w:val="18"/>
                <w:szCs w:val="18"/>
              </w:rPr>
              <w:t>S</w:t>
            </w:r>
            <w:r w:rsidRPr="00C25396">
              <w:rPr>
                <w:rFonts w:eastAsia="Calibri"/>
                <w:color w:val="000000"/>
                <w:sz w:val="18"/>
                <w:szCs w:val="18"/>
              </w:rPr>
              <w:t>urvey)</w:t>
            </w:r>
          </w:p>
        </w:tc>
        <w:tc>
          <w:tcPr>
            <w:tcW w:w="1135" w:type="dxa"/>
            <w:tcMar>
              <w:top w:w="0" w:type="dxa"/>
              <w:left w:w="108" w:type="dxa"/>
              <w:bottom w:w="0" w:type="dxa"/>
              <w:right w:w="108" w:type="dxa"/>
            </w:tcMar>
          </w:tcPr>
          <w:p w:rsidR="00915492" w:rsidRPr="00C25396" w:rsidP="00782F02" w14:paraId="4DBF1E05" w14:textId="77777777">
            <w:pPr>
              <w:jc w:val="center"/>
              <w:rPr>
                <w:rFonts w:eastAsia="Calibri"/>
                <w:color w:val="000000"/>
                <w:sz w:val="18"/>
                <w:szCs w:val="18"/>
              </w:rPr>
            </w:pPr>
            <w:r w:rsidRPr="00C25396">
              <w:rPr>
                <w:rFonts w:eastAsia="Calibri"/>
                <w:color w:val="000000"/>
                <w:sz w:val="18"/>
                <w:szCs w:val="18"/>
              </w:rPr>
              <w:t>65</w:t>
            </w:r>
          </w:p>
        </w:tc>
        <w:tc>
          <w:tcPr>
            <w:tcW w:w="1253" w:type="dxa"/>
            <w:tcMar>
              <w:top w:w="0" w:type="dxa"/>
              <w:left w:w="108" w:type="dxa"/>
              <w:bottom w:w="0" w:type="dxa"/>
              <w:right w:w="108" w:type="dxa"/>
            </w:tcMar>
          </w:tcPr>
          <w:p w:rsidR="00915492" w:rsidRPr="00C25396" w:rsidP="00782F02" w14:paraId="37EF8919" w14:textId="77777777">
            <w:pPr>
              <w:jc w:val="center"/>
              <w:rPr>
                <w:rFonts w:eastAsia="Calibri"/>
                <w:color w:val="000000"/>
                <w:sz w:val="18"/>
                <w:szCs w:val="18"/>
              </w:rPr>
            </w:pPr>
            <w:r w:rsidRPr="00C25396">
              <w:rPr>
                <w:rFonts w:eastAsia="Calibri"/>
                <w:color w:val="000000"/>
                <w:sz w:val="18"/>
                <w:szCs w:val="18"/>
              </w:rPr>
              <w:t>1</w:t>
            </w:r>
          </w:p>
        </w:tc>
        <w:tc>
          <w:tcPr>
            <w:tcW w:w="1216" w:type="dxa"/>
            <w:tcMar>
              <w:top w:w="0" w:type="dxa"/>
              <w:left w:w="108" w:type="dxa"/>
              <w:bottom w:w="0" w:type="dxa"/>
              <w:right w:w="108" w:type="dxa"/>
            </w:tcMar>
          </w:tcPr>
          <w:p w:rsidR="00915492" w:rsidRPr="00C25396" w:rsidP="00782F02" w14:paraId="7B6B5168" w14:textId="77777777">
            <w:pPr>
              <w:jc w:val="center"/>
              <w:rPr>
                <w:rFonts w:eastAsia="Calibri"/>
                <w:color w:val="000000"/>
                <w:sz w:val="18"/>
                <w:szCs w:val="18"/>
              </w:rPr>
            </w:pPr>
            <w:r w:rsidRPr="00C25396">
              <w:rPr>
                <w:rFonts w:eastAsia="Calibri"/>
                <w:color w:val="000000"/>
                <w:sz w:val="18"/>
                <w:szCs w:val="18"/>
              </w:rPr>
              <w:t>65</w:t>
            </w:r>
          </w:p>
        </w:tc>
        <w:tc>
          <w:tcPr>
            <w:tcW w:w="1056" w:type="dxa"/>
            <w:tcMar>
              <w:top w:w="0" w:type="dxa"/>
              <w:left w:w="108" w:type="dxa"/>
              <w:bottom w:w="0" w:type="dxa"/>
              <w:right w:w="108" w:type="dxa"/>
            </w:tcMar>
          </w:tcPr>
          <w:p w:rsidR="00915492" w:rsidRPr="00C25396" w:rsidP="00782F02" w14:paraId="5F1EEE01" w14:textId="1B508DAE">
            <w:pPr>
              <w:jc w:val="center"/>
              <w:rPr>
                <w:rFonts w:eastAsia="Calibri"/>
                <w:color w:val="000000"/>
                <w:sz w:val="18"/>
                <w:szCs w:val="18"/>
              </w:rPr>
            </w:pPr>
            <w:r w:rsidRPr="00C25396">
              <w:rPr>
                <w:rFonts w:eastAsia="Calibri"/>
                <w:color w:val="000000"/>
                <w:sz w:val="18"/>
                <w:szCs w:val="18"/>
              </w:rPr>
              <w:t>.</w:t>
            </w:r>
            <w:r w:rsidR="00655765">
              <w:rPr>
                <w:rFonts w:eastAsia="Calibri"/>
                <w:color w:val="000000"/>
                <w:sz w:val="18"/>
                <w:szCs w:val="18"/>
              </w:rPr>
              <w:t>33</w:t>
            </w:r>
          </w:p>
        </w:tc>
        <w:tc>
          <w:tcPr>
            <w:tcW w:w="938" w:type="dxa"/>
            <w:tcMar>
              <w:top w:w="0" w:type="dxa"/>
              <w:left w:w="108" w:type="dxa"/>
              <w:bottom w:w="0" w:type="dxa"/>
              <w:right w:w="108" w:type="dxa"/>
            </w:tcMar>
          </w:tcPr>
          <w:p w:rsidR="00915492" w:rsidRPr="00C25396" w:rsidP="00782F02" w14:paraId="409D7381" w14:textId="7C580AFF">
            <w:pPr>
              <w:jc w:val="center"/>
              <w:rPr>
                <w:rFonts w:eastAsia="Calibri"/>
                <w:color w:val="000000"/>
                <w:sz w:val="18"/>
                <w:szCs w:val="18"/>
              </w:rPr>
            </w:pPr>
            <w:r>
              <w:rPr>
                <w:rFonts w:eastAsia="Calibri"/>
                <w:color w:val="000000"/>
                <w:sz w:val="18"/>
                <w:szCs w:val="18"/>
              </w:rPr>
              <w:t>21.67</w:t>
            </w:r>
          </w:p>
        </w:tc>
        <w:tc>
          <w:tcPr>
            <w:tcW w:w="1073" w:type="dxa"/>
            <w:tcMar>
              <w:top w:w="0" w:type="dxa"/>
              <w:left w:w="108" w:type="dxa"/>
              <w:bottom w:w="0" w:type="dxa"/>
              <w:right w:w="108" w:type="dxa"/>
            </w:tcMar>
          </w:tcPr>
          <w:p w:rsidR="00915492" w:rsidRPr="00C25396" w:rsidP="00782F02" w14:paraId="7364FF37" w14:textId="77777777">
            <w:pPr>
              <w:jc w:val="right"/>
              <w:rPr>
                <w:rFonts w:eastAsia="Calibri"/>
                <w:color w:val="000000"/>
                <w:sz w:val="18"/>
                <w:szCs w:val="18"/>
              </w:rPr>
            </w:pPr>
            <w:r w:rsidRPr="00C25396">
              <w:rPr>
                <w:rFonts w:eastAsia="Calibri"/>
                <w:color w:val="000000"/>
                <w:sz w:val="18"/>
                <w:szCs w:val="18"/>
              </w:rPr>
              <w:t>$32.55</w:t>
            </w:r>
          </w:p>
        </w:tc>
        <w:tc>
          <w:tcPr>
            <w:tcW w:w="1316" w:type="dxa"/>
            <w:tcMar>
              <w:top w:w="0" w:type="dxa"/>
              <w:left w:w="108" w:type="dxa"/>
              <w:bottom w:w="0" w:type="dxa"/>
              <w:right w:w="108" w:type="dxa"/>
            </w:tcMar>
          </w:tcPr>
          <w:p w:rsidR="00915492" w:rsidRPr="00C25396" w:rsidP="00782F02" w14:paraId="049FDBA4" w14:textId="77777777">
            <w:pPr>
              <w:jc w:val="right"/>
              <w:rPr>
                <w:rFonts w:eastAsia="Calibri"/>
                <w:color w:val="000000"/>
                <w:sz w:val="18"/>
                <w:szCs w:val="18"/>
              </w:rPr>
            </w:pPr>
            <w:r w:rsidRPr="00C25396">
              <w:rPr>
                <w:rFonts w:eastAsia="Calibri"/>
                <w:color w:val="000000"/>
                <w:sz w:val="18"/>
                <w:szCs w:val="18"/>
              </w:rPr>
              <w:t>$528.94</w:t>
            </w:r>
          </w:p>
        </w:tc>
      </w:tr>
      <w:tr w14:paraId="27860D60" w14:textId="77777777" w:rsidTr="00C25396">
        <w:tblPrEx>
          <w:tblW w:w="9810" w:type="dxa"/>
          <w:tblInd w:w="-10" w:type="dxa"/>
          <w:tblCellMar>
            <w:left w:w="0" w:type="dxa"/>
            <w:right w:w="0" w:type="dxa"/>
          </w:tblCellMar>
          <w:tblLook w:val="04A0"/>
        </w:tblPrEx>
        <w:trPr>
          <w:trHeight w:val="85"/>
        </w:trPr>
        <w:tc>
          <w:tcPr>
            <w:tcW w:w="1823" w:type="dxa"/>
            <w:tcMar>
              <w:top w:w="0" w:type="dxa"/>
              <w:left w:w="108" w:type="dxa"/>
              <w:bottom w:w="0" w:type="dxa"/>
              <w:right w:w="108" w:type="dxa"/>
            </w:tcMar>
          </w:tcPr>
          <w:p w:rsidR="00915492" w:rsidRPr="00C25396" w:rsidP="00782F02" w14:paraId="0D5551BE" w14:textId="58AAE114">
            <w:pPr>
              <w:rPr>
                <w:rFonts w:eastAsia="Calibri"/>
                <w:color w:val="000000"/>
                <w:sz w:val="18"/>
                <w:szCs w:val="18"/>
              </w:rPr>
            </w:pPr>
            <w:r w:rsidRPr="00C25396">
              <w:rPr>
                <w:rFonts w:eastAsia="Calibri"/>
                <w:color w:val="000000"/>
                <w:sz w:val="18"/>
                <w:szCs w:val="18"/>
              </w:rPr>
              <w:t xml:space="preserve">HUD-DOJ PFS Key Project Partners (Quarterly </w:t>
            </w:r>
            <w:r w:rsidR="0018218A">
              <w:rPr>
                <w:rFonts w:eastAsia="Calibri"/>
                <w:color w:val="000000"/>
                <w:sz w:val="18"/>
                <w:szCs w:val="18"/>
              </w:rPr>
              <w:t>Time Use Survey</w:t>
            </w:r>
            <w:r w:rsidRPr="00C25396">
              <w:rPr>
                <w:rFonts w:eastAsia="Calibri"/>
                <w:color w:val="000000"/>
                <w:sz w:val="18"/>
                <w:szCs w:val="18"/>
              </w:rPr>
              <w:t>)</w:t>
            </w:r>
          </w:p>
        </w:tc>
        <w:tc>
          <w:tcPr>
            <w:tcW w:w="1135" w:type="dxa"/>
            <w:tcMar>
              <w:top w:w="0" w:type="dxa"/>
              <w:left w:w="108" w:type="dxa"/>
              <w:bottom w:w="0" w:type="dxa"/>
              <w:right w:w="108" w:type="dxa"/>
            </w:tcMar>
          </w:tcPr>
          <w:p w:rsidR="00915492" w:rsidRPr="00C25396" w:rsidP="00782F02" w14:paraId="1D2D9468" w14:textId="77777777">
            <w:pPr>
              <w:jc w:val="center"/>
              <w:rPr>
                <w:rFonts w:eastAsia="Calibri"/>
                <w:color w:val="000000"/>
                <w:sz w:val="18"/>
                <w:szCs w:val="18"/>
              </w:rPr>
            </w:pPr>
            <w:r w:rsidRPr="00C25396">
              <w:rPr>
                <w:rFonts w:eastAsia="Calibri"/>
                <w:color w:val="000000"/>
                <w:sz w:val="18"/>
                <w:szCs w:val="18"/>
              </w:rPr>
              <w:t>17</w:t>
            </w:r>
          </w:p>
        </w:tc>
        <w:tc>
          <w:tcPr>
            <w:tcW w:w="1253" w:type="dxa"/>
            <w:tcMar>
              <w:top w:w="0" w:type="dxa"/>
              <w:left w:w="108" w:type="dxa"/>
              <w:bottom w:w="0" w:type="dxa"/>
              <w:right w:w="108" w:type="dxa"/>
            </w:tcMar>
          </w:tcPr>
          <w:p w:rsidR="00915492" w:rsidRPr="00C25396" w:rsidP="00782F02" w14:paraId="78A31DF6" w14:textId="77777777">
            <w:pPr>
              <w:jc w:val="center"/>
              <w:rPr>
                <w:rFonts w:eastAsia="Calibri"/>
                <w:color w:val="000000"/>
                <w:sz w:val="18"/>
                <w:szCs w:val="18"/>
              </w:rPr>
            </w:pPr>
            <w:r w:rsidRPr="00C25396">
              <w:rPr>
                <w:rFonts w:eastAsia="Calibri"/>
                <w:color w:val="000000"/>
                <w:sz w:val="18"/>
                <w:szCs w:val="18"/>
              </w:rPr>
              <w:t>4</w:t>
            </w:r>
          </w:p>
        </w:tc>
        <w:tc>
          <w:tcPr>
            <w:tcW w:w="1216" w:type="dxa"/>
            <w:tcMar>
              <w:top w:w="0" w:type="dxa"/>
              <w:left w:w="108" w:type="dxa"/>
              <w:bottom w:w="0" w:type="dxa"/>
              <w:right w:w="108" w:type="dxa"/>
            </w:tcMar>
          </w:tcPr>
          <w:p w:rsidR="00915492" w:rsidRPr="00C25396" w:rsidP="00782F02" w14:paraId="24C171D0" w14:textId="77777777">
            <w:pPr>
              <w:jc w:val="center"/>
              <w:rPr>
                <w:rFonts w:eastAsia="Calibri"/>
                <w:color w:val="000000"/>
                <w:sz w:val="18"/>
                <w:szCs w:val="18"/>
              </w:rPr>
            </w:pPr>
            <w:r w:rsidRPr="00C25396">
              <w:rPr>
                <w:rFonts w:eastAsia="Calibri"/>
                <w:color w:val="000000"/>
                <w:sz w:val="18"/>
                <w:szCs w:val="18"/>
              </w:rPr>
              <w:t>68</w:t>
            </w:r>
          </w:p>
        </w:tc>
        <w:tc>
          <w:tcPr>
            <w:tcW w:w="1056" w:type="dxa"/>
            <w:tcMar>
              <w:top w:w="0" w:type="dxa"/>
              <w:left w:w="108" w:type="dxa"/>
              <w:bottom w:w="0" w:type="dxa"/>
              <w:right w:w="108" w:type="dxa"/>
            </w:tcMar>
          </w:tcPr>
          <w:p w:rsidR="00915492" w:rsidRPr="00C25396" w:rsidP="00782F02" w14:paraId="2C37ED63" w14:textId="77777777">
            <w:pPr>
              <w:jc w:val="center"/>
              <w:rPr>
                <w:rFonts w:eastAsia="Calibri"/>
                <w:color w:val="000000"/>
                <w:sz w:val="18"/>
                <w:szCs w:val="18"/>
              </w:rPr>
            </w:pPr>
            <w:r w:rsidRPr="00C25396">
              <w:rPr>
                <w:rFonts w:eastAsia="Calibri"/>
                <w:color w:val="000000"/>
                <w:sz w:val="18"/>
                <w:szCs w:val="18"/>
              </w:rPr>
              <w:t>1.00</w:t>
            </w:r>
          </w:p>
        </w:tc>
        <w:tc>
          <w:tcPr>
            <w:tcW w:w="938" w:type="dxa"/>
            <w:tcMar>
              <w:top w:w="0" w:type="dxa"/>
              <w:left w:w="108" w:type="dxa"/>
              <w:bottom w:w="0" w:type="dxa"/>
              <w:right w:w="108" w:type="dxa"/>
            </w:tcMar>
          </w:tcPr>
          <w:p w:rsidR="00915492" w:rsidRPr="00C25396" w:rsidP="00782F02" w14:paraId="789ACAF9" w14:textId="77777777">
            <w:pPr>
              <w:jc w:val="center"/>
              <w:rPr>
                <w:rFonts w:eastAsia="Calibri"/>
                <w:color w:val="000000"/>
                <w:sz w:val="18"/>
                <w:szCs w:val="18"/>
              </w:rPr>
            </w:pPr>
            <w:r w:rsidRPr="00C25396">
              <w:rPr>
                <w:rFonts w:eastAsia="Calibri"/>
                <w:color w:val="000000"/>
                <w:sz w:val="18"/>
                <w:szCs w:val="18"/>
              </w:rPr>
              <w:t>68.00</w:t>
            </w:r>
          </w:p>
        </w:tc>
        <w:tc>
          <w:tcPr>
            <w:tcW w:w="1073" w:type="dxa"/>
            <w:tcMar>
              <w:top w:w="0" w:type="dxa"/>
              <w:left w:w="108" w:type="dxa"/>
              <w:bottom w:w="0" w:type="dxa"/>
              <w:right w:w="108" w:type="dxa"/>
            </w:tcMar>
          </w:tcPr>
          <w:p w:rsidR="00915492" w:rsidRPr="00C25396" w:rsidP="00782F02" w14:paraId="6569B4C1" w14:textId="77777777">
            <w:pPr>
              <w:jc w:val="right"/>
              <w:rPr>
                <w:rFonts w:eastAsia="Calibri"/>
                <w:color w:val="000000"/>
                <w:sz w:val="18"/>
                <w:szCs w:val="18"/>
              </w:rPr>
            </w:pPr>
            <w:r w:rsidRPr="00C25396">
              <w:rPr>
                <w:rFonts w:eastAsia="Calibri"/>
                <w:color w:val="000000"/>
                <w:sz w:val="18"/>
                <w:szCs w:val="18"/>
              </w:rPr>
              <w:t>$32.55</w:t>
            </w:r>
          </w:p>
        </w:tc>
        <w:tc>
          <w:tcPr>
            <w:tcW w:w="1316" w:type="dxa"/>
            <w:tcMar>
              <w:top w:w="0" w:type="dxa"/>
              <w:left w:w="108" w:type="dxa"/>
              <w:bottom w:w="0" w:type="dxa"/>
              <w:right w:w="108" w:type="dxa"/>
            </w:tcMar>
          </w:tcPr>
          <w:p w:rsidR="00915492" w:rsidRPr="00C25396" w:rsidP="00782F02" w14:paraId="23484B86" w14:textId="77777777">
            <w:pPr>
              <w:jc w:val="right"/>
              <w:rPr>
                <w:rFonts w:eastAsia="Calibri"/>
                <w:color w:val="000000"/>
                <w:sz w:val="18"/>
                <w:szCs w:val="18"/>
              </w:rPr>
            </w:pPr>
            <w:r w:rsidRPr="00C25396">
              <w:rPr>
                <w:rFonts w:eastAsia="Calibri"/>
                <w:color w:val="000000"/>
                <w:sz w:val="18"/>
                <w:szCs w:val="18"/>
              </w:rPr>
              <w:t>$2,213.40</w:t>
            </w:r>
          </w:p>
        </w:tc>
      </w:tr>
      <w:tr w14:paraId="43CDBE89" w14:textId="77777777" w:rsidTr="00C25396">
        <w:tblPrEx>
          <w:tblW w:w="9810" w:type="dxa"/>
          <w:tblInd w:w="-10" w:type="dxa"/>
          <w:tblCellMar>
            <w:left w:w="0" w:type="dxa"/>
            <w:right w:w="0" w:type="dxa"/>
          </w:tblCellMar>
          <w:tblLook w:val="04A0"/>
        </w:tblPrEx>
        <w:trPr>
          <w:trHeight w:val="85"/>
        </w:trPr>
        <w:tc>
          <w:tcPr>
            <w:tcW w:w="1823" w:type="dxa"/>
            <w:tcMar>
              <w:top w:w="0" w:type="dxa"/>
              <w:left w:w="108" w:type="dxa"/>
              <w:bottom w:w="0" w:type="dxa"/>
              <w:right w:w="108" w:type="dxa"/>
            </w:tcMar>
          </w:tcPr>
          <w:p w:rsidR="00915492" w:rsidRPr="00C25396" w:rsidP="00782F02" w14:paraId="5CBBF078" w14:textId="77777777">
            <w:pPr>
              <w:rPr>
                <w:rFonts w:eastAsia="Calibri"/>
                <w:color w:val="000000"/>
                <w:sz w:val="18"/>
                <w:szCs w:val="18"/>
              </w:rPr>
            </w:pPr>
            <w:r w:rsidRPr="00C25396">
              <w:rPr>
                <w:rFonts w:eastAsia="Calibri"/>
                <w:color w:val="000000"/>
                <w:sz w:val="18"/>
                <w:szCs w:val="18"/>
              </w:rPr>
              <w:t>Total</w:t>
            </w:r>
          </w:p>
        </w:tc>
        <w:tc>
          <w:tcPr>
            <w:tcW w:w="1135" w:type="dxa"/>
            <w:tcMar>
              <w:top w:w="0" w:type="dxa"/>
              <w:left w:w="108" w:type="dxa"/>
              <w:bottom w:w="0" w:type="dxa"/>
              <w:right w:w="108" w:type="dxa"/>
            </w:tcMar>
          </w:tcPr>
          <w:p w:rsidR="00915492" w:rsidRPr="00C25396" w:rsidP="00782F02" w14:paraId="31050835" w14:textId="77777777">
            <w:pPr>
              <w:jc w:val="center"/>
              <w:rPr>
                <w:rFonts w:eastAsia="Calibri"/>
                <w:color w:val="000000"/>
                <w:sz w:val="18"/>
                <w:szCs w:val="18"/>
              </w:rPr>
            </w:pPr>
            <w:r w:rsidRPr="00C25396">
              <w:rPr>
                <w:rFonts w:eastAsia="Calibri"/>
                <w:color w:val="000000"/>
                <w:sz w:val="18"/>
                <w:szCs w:val="18"/>
              </w:rPr>
              <w:t>82</w:t>
            </w:r>
          </w:p>
        </w:tc>
        <w:tc>
          <w:tcPr>
            <w:tcW w:w="1253" w:type="dxa"/>
            <w:tcMar>
              <w:top w:w="0" w:type="dxa"/>
              <w:left w:w="108" w:type="dxa"/>
              <w:bottom w:w="0" w:type="dxa"/>
              <w:right w:w="108" w:type="dxa"/>
            </w:tcMar>
          </w:tcPr>
          <w:p w:rsidR="00915492" w:rsidRPr="00C25396" w:rsidP="00782F02" w14:paraId="2918A036" w14:textId="77777777">
            <w:pPr>
              <w:jc w:val="center"/>
              <w:rPr>
                <w:rFonts w:eastAsia="Calibri"/>
                <w:color w:val="000000"/>
                <w:sz w:val="18"/>
                <w:szCs w:val="18"/>
              </w:rPr>
            </w:pPr>
            <w:r w:rsidRPr="00C25396">
              <w:rPr>
                <w:rFonts w:eastAsia="Calibri"/>
                <w:color w:val="000000"/>
                <w:sz w:val="18"/>
                <w:szCs w:val="18"/>
              </w:rPr>
              <w:t>-</w:t>
            </w:r>
          </w:p>
        </w:tc>
        <w:tc>
          <w:tcPr>
            <w:tcW w:w="1216" w:type="dxa"/>
            <w:tcMar>
              <w:top w:w="0" w:type="dxa"/>
              <w:left w:w="108" w:type="dxa"/>
              <w:bottom w:w="0" w:type="dxa"/>
              <w:right w:w="108" w:type="dxa"/>
            </w:tcMar>
          </w:tcPr>
          <w:p w:rsidR="00915492" w:rsidRPr="00C25396" w:rsidP="00782F02" w14:paraId="30C711FB" w14:textId="77777777">
            <w:pPr>
              <w:jc w:val="center"/>
              <w:rPr>
                <w:rFonts w:eastAsia="Calibri"/>
                <w:color w:val="000000"/>
                <w:sz w:val="18"/>
                <w:szCs w:val="18"/>
              </w:rPr>
            </w:pPr>
            <w:r w:rsidRPr="00C25396">
              <w:rPr>
                <w:rFonts w:eastAsia="Calibri"/>
                <w:color w:val="000000"/>
                <w:sz w:val="18"/>
                <w:szCs w:val="18"/>
              </w:rPr>
              <w:t>-</w:t>
            </w:r>
          </w:p>
        </w:tc>
        <w:tc>
          <w:tcPr>
            <w:tcW w:w="1056" w:type="dxa"/>
            <w:tcMar>
              <w:top w:w="0" w:type="dxa"/>
              <w:left w:w="108" w:type="dxa"/>
              <w:bottom w:w="0" w:type="dxa"/>
              <w:right w:w="108" w:type="dxa"/>
            </w:tcMar>
          </w:tcPr>
          <w:p w:rsidR="00915492" w:rsidRPr="00C25396" w:rsidP="00782F02" w14:paraId="6009A645" w14:textId="77777777">
            <w:pPr>
              <w:jc w:val="center"/>
              <w:rPr>
                <w:rFonts w:eastAsia="Calibri"/>
                <w:color w:val="000000"/>
                <w:sz w:val="18"/>
                <w:szCs w:val="18"/>
              </w:rPr>
            </w:pPr>
            <w:r w:rsidRPr="00C25396">
              <w:rPr>
                <w:rFonts w:eastAsia="Calibri"/>
                <w:color w:val="000000"/>
                <w:sz w:val="18"/>
                <w:szCs w:val="18"/>
              </w:rPr>
              <w:t>-</w:t>
            </w:r>
          </w:p>
        </w:tc>
        <w:tc>
          <w:tcPr>
            <w:tcW w:w="938" w:type="dxa"/>
            <w:tcMar>
              <w:top w:w="0" w:type="dxa"/>
              <w:left w:w="108" w:type="dxa"/>
              <w:bottom w:w="0" w:type="dxa"/>
              <w:right w:w="108" w:type="dxa"/>
            </w:tcMar>
          </w:tcPr>
          <w:p w:rsidR="00915492" w:rsidRPr="00C25396" w:rsidP="00782F02" w14:paraId="6D3C87F8" w14:textId="77777777">
            <w:pPr>
              <w:jc w:val="center"/>
              <w:rPr>
                <w:rFonts w:eastAsia="Calibri"/>
                <w:color w:val="000000"/>
                <w:sz w:val="18"/>
                <w:szCs w:val="18"/>
              </w:rPr>
            </w:pPr>
            <w:r w:rsidRPr="00C25396">
              <w:rPr>
                <w:rFonts w:eastAsia="Calibri"/>
                <w:color w:val="000000"/>
                <w:sz w:val="18"/>
                <w:szCs w:val="18"/>
              </w:rPr>
              <w:t>84.25</w:t>
            </w:r>
          </w:p>
        </w:tc>
        <w:tc>
          <w:tcPr>
            <w:tcW w:w="1073" w:type="dxa"/>
            <w:tcMar>
              <w:top w:w="0" w:type="dxa"/>
              <w:left w:w="108" w:type="dxa"/>
              <w:bottom w:w="0" w:type="dxa"/>
              <w:right w:w="108" w:type="dxa"/>
            </w:tcMar>
          </w:tcPr>
          <w:p w:rsidR="00915492" w:rsidRPr="00C25396" w:rsidP="00782F02" w14:paraId="46392C4E" w14:textId="77777777">
            <w:pPr>
              <w:jc w:val="center"/>
              <w:rPr>
                <w:rFonts w:eastAsia="Calibri"/>
                <w:color w:val="000000"/>
                <w:sz w:val="18"/>
                <w:szCs w:val="18"/>
              </w:rPr>
            </w:pPr>
            <w:r w:rsidRPr="00C25396">
              <w:rPr>
                <w:rFonts w:eastAsia="Calibri"/>
                <w:color w:val="000000"/>
                <w:sz w:val="18"/>
                <w:szCs w:val="18"/>
              </w:rPr>
              <w:t>-</w:t>
            </w:r>
          </w:p>
        </w:tc>
        <w:tc>
          <w:tcPr>
            <w:tcW w:w="1316" w:type="dxa"/>
            <w:tcMar>
              <w:top w:w="0" w:type="dxa"/>
              <w:left w:w="108" w:type="dxa"/>
              <w:bottom w:w="0" w:type="dxa"/>
              <w:right w:w="108" w:type="dxa"/>
            </w:tcMar>
          </w:tcPr>
          <w:p w:rsidR="00915492" w:rsidRPr="00C25396" w:rsidP="00782F02" w14:paraId="1A6585E1" w14:textId="77777777">
            <w:pPr>
              <w:jc w:val="right"/>
              <w:rPr>
                <w:rFonts w:eastAsia="Calibri"/>
                <w:color w:val="000000"/>
                <w:sz w:val="18"/>
                <w:szCs w:val="18"/>
              </w:rPr>
            </w:pPr>
            <w:r w:rsidRPr="00C25396">
              <w:rPr>
                <w:rFonts w:eastAsia="Calibri"/>
                <w:color w:val="000000"/>
                <w:sz w:val="18"/>
                <w:szCs w:val="18"/>
              </w:rPr>
              <w:t>$2,742.34</w:t>
            </w:r>
          </w:p>
        </w:tc>
      </w:tr>
    </w:tbl>
    <w:bookmarkEnd w:id="4"/>
    <w:p w:rsidR="00C25396" w:rsidRPr="00C25396" w:rsidP="00C25396" w14:paraId="18F90F8C" w14:textId="77777777">
      <w:pPr>
        <w:rPr>
          <w:i/>
          <w:iCs/>
          <w:sz w:val="18"/>
          <w:szCs w:val="18"/>
        </w:rPr>
      </w:pPr>
      <w:r w:rsidRPr="00C25396">
        <w:rPr>
          <w:i/>
          <w:iCs/>
          <w:sz w:val="18"/>
          <w:szCs w:val="18"/>
        </w:rPr>
        <w:t xml:space="preserve">Source: Bureau of Labor Statistics, Occupational Employment Statistics (May 2023), </w:t>
      </w:r>
      <w:r>
        <w:fldChar w:fldCharType="begin"/>
      </w:r>
      <w:r w:rsidRPr="00C25396">
        <w:rPr>
          <w:rStyle w:val="Hyperlink"/>
          <w:rFonts w:ascii="Times New Roman" w:hAnsi="Times New Roman"/>
          <w:i/>
          <w:iCs/>
          <w:sz w:val="18"/>
          <w:szCs w:val="18"/>
        </w:rPr>
        <w:instrText xml:space="preserve"> HYPERLINK "https://www.bls.gov/oes/current/oes_stru.htm" </w:instrText>
      </w:r>
      <w:r>
        <w:fldChar w:fldCharType="separate"/>
      </w:r>
      <w:r w:rsidRPr="00C25396">
        <w:rPr>
          <w:rStyle w:val="Hyperlink"/>
          <w:rFonts w:ascii="Times New Roman" w:hAnsi="Times New Roman"/>
          <w:i/>
          <w:iCs/>
          <w:sz w:val="18"/>
          <w:szCs w:val="18"/>
        </w:rPr>
        <w:t>https://www.bls.gov/oes/current/oes_stru.htm</w:t>
      </w:r>
      <w:r>
        <w:fldChar w:fldCharType="end"/>
      </w:r>
    </w:p>
    <w:p w:rsidR="00963161" w:rsidRPr="0057092B" w:rsidP="00963161" w14:paraId="6FF56778" w14:textId="3CEF510C">
      <w:pPr>
        <w:pStyle w:val="ListParagraph"/>
        <w:numPr>
          <w:ilvl w:val="0"/>
          <w:numId w:val="46"/>
        </w:numPr>
        <w:tabs>
          <w:tab w:val="left" w:pos="360"/>
        </w:tabs>
        <w:ind w:left="360"/>
        <w:rPr>
          <w:rFonts w:ascii="Times New Roman" w:hAnsi="Times New Roman"/>
          <w:b/>
          <w:bCs/>
          <w:sz w:val="24"/>
          <w:szCs w:val="24"/>
        </w:rPr>
      </w:pPr>
      <w:r w:rsidRPr="0057092B">
        <w:rPr>
          <w:rFonts w:ascii="Times New Roman" w:hAnsi="Times New Roman"/>
          <w:b/>
          <w:bCs/>
          <w:sz w:val="24"/>
          <w:szCs w:val="24"/>
        </w:rPr>
        <w:t>Provide an estimate of the total annual cost burden to respondents or recordkeepers resulting from the collection of information. (Do not include the cost of any hour burden already reflected on the burden worksheet shown in Items 12 and 14).</w:t>
      </w:r>
    </w:p>
    <w:p w:rsidR="00963161" w:rsidRPr="0057092B" w:rsidP="00963161" w14:paraId="348F6B84" w14:textId="77777777">
      <w:pPr>
        <w:numPr>
          <w:ilvl w:val="0"/>
          <w:numId w:val="45"/>
        </w:numPr>
        <w:tabs>
          <w:tab w:val="left" w:pos="360"/>
        </w:tabs>
        <w:overflowPunct w:val="0"/>
        <w:autoSpaceDE w:val="0"/>
        <w:autoSpaceDN w:val="0"/>
        <w:adjustRightInd w:val="0"/>
        <w:ind w:left="360" w:hanging="180"/>
        <w:textAlignment w:val="baseline"/>
        <w:rPr>
          <w:b/>
          <w:bCs/>
        </w:rPr>
      </w:pPr>
      <w:r w:rsidRPr="0057092B">
        <w:rPr>
          <w:b/>
          <w:bCs/>
        </w:rPr>
        <w:t xml:space="preserve">The cost estimate should be split into two components: (a) a total capital and start-up cost component (annualized over its expected useful life); and (b) a total operation and maintenance purchase of services component.  The estimates should </w:t>
      </w:r>
      <w:r w:rsidRPr="0057092B">
        <w:rPr>
          <w:b/>
          <w:bCs/>
        </w:rPr>
        <w:t>take into account</w:t>
      </w:r>
      <w:r w:rsidRPr="0057092B">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57092B">
        <w:rPr>
          <w:b/>
          <w:bCs/>
        </w:rPr>
        <w:t>time period</w:t>
      </w:r>
      <w:r w:rsidRPr="0057092B">
        <w:rPr>
          <w:b/>
          <w:bCs/>
        </w:rPr>
        <w:t xml:space="preserve"> over which costs will be incurred.  Capital and start-up costs include, among other items, preparations for collecting information such as purchasing computers and software; monitoring, sampling, drilling and testing equipment; and record storage </w:t>
      </w:r>
      <w:r w:rsidRPr="0057092B">
        <w:rPr>
          <w:b/>
          <w:bCs/>
        </w:rPr>
        <w:t>facilities;</w:t>
      </w:r>
      <w:r w:rsidRPr="0057092B">
        <w:rPr>
          <w:b/>
          <w:bCs/>
        </w:rPr>
        <w:t xml:space="preserve"> </w:t>
      </w:r>
    </w:p>
    <w:p w:rsidR="00963161" w:rsidRPr="0057092B" w:rsidP="00343FFC" w14:paraId="7D1C89C8" w14:textId="77777777">
      <w:pPr>
        <w:numPr>
          <w:ilvl w:val="0"/>
          <w:numId w:val="45"/>
        </w:numPr>
        <w:tabs>
          <w:tab w:val="left" w:pos="360"/>
        </w:tabs>
        <w:overflowPunct w:val="0"/>
        <w:autoSpaceDE w:val="0"/>
        <w:autoSpaceDN w:val="0"/>
        <w:adjustRightInd w:val="0"/>
        <w:ind w:left="360" w:hanging="240"/>
        <w:textAlignment w:val="baseline"/>
        <w:rPr>
          <w:b/>
          <w:bCs/>
        </w:rPr>
      </w:pPr>
      <w:r w:rsidRPr="0057092B">
        <w:rPr>
          <w:b/>
          <w:bCs/>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63161" w:rsidRPr="0057092B" w:rsidP="00343FFC" w14:paraId="4ADEADE6" w14:textId="77777777">
      <w:pPr>
        <w:keepLines/>
        <w:numPr>
          <w:ilvl w:val="0"/>
          <w:numId w:val="45"/>
        </w:numPr>
        <w:tabs>
          <w:tab w:val="left" w:pos="360"/>
        </w:tabs>
        <w:overflowPunct w:val="0"/>
        <w:autoSpaceDE w:val="0"/>
        <w:autoSpaceDN w:val="0"/>
        <w:adjustRightInd w:val="0"/>
        <w:spacing w:after="80"/>
        <w:ind w:left="360" w:hanging="270"/>
        <w:textAlignment w:val="baseline"/>
        <w:rPr>
          <w:b/>
          <w:bCs/>
        </w:rPr>
      </w:pPr>
      <w:r w:rsidRPr="0057092B">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14916" w:rsidRPr="00B52157" w:rsidP="00983179" w14:paraId="29818D93" w14:textId="77777777">
      <w:pPr>
        <w:pStyle w:val="NoSpacing"/>
        <w:ind w:left="0"/>
      </w:pPr>
    </w:p>
    <w:p w:rsidR="00C14916" w:rsidRPr="00B52157" w:rsidP="00983179" w14:paraId="6A210BB4" w14:textId="1404F238">
      <w:pPr>
        <w:pStyle w:val="NoSpacing"/>
        <w:ind w:left="0"/>
      </w:pPr>
      <w:r w:rsidRPr="00B52157">
        <w:t>There are no additional total annual cost burdens to respondents or record-keepers beyond the labor cost of burden-hours described in item 1</w:t>
      </w:r>
      <w:r w:rsidR="00343FFC">
        <w:t>2</w:t>
      </w:r>
      <w:r w:rsidRPr="00B52157">
        <w:t xml:space="preserve"> above.</w:t>
      </w:r>
    </w:p>
    <w:p w:rsidR="0036542B" w:rsidRPr="00B52157" w:rsidP="00983179" w14:paraId="10CAE74A" w14:textId="77777777">
      <w:pPr>
        <w:pStyle w:val="NoSpacing"/>
        <w:ind w:left="0"/>
      </w:pPr>
    </w:p>
    <w:p w:rsidR="00CC60A2" w:rsidRPr="0057092B" w:rsidP="005C5CB9" w14:paraId="07DF7E9A" w14:textId="5B44FEBC">
      <w:pPr>
        <w:pStyle w:val="ListParagraph"/>
        <w:numPr>
          <w:ilvl w:val="0"/>
          <w:numId w:val="46"/>
        </w:numPr>
        <w:ind w:left="360"/>
        <w:rPr>
          <w:rFonts w:ascii="Times New Roman" w:hAnsi="Times New Roman"/>
          <w:b/>
          <w:bCs/>
          <w:sz w:val="24"/>
          <w:szCs w:val="24"/>
        </w:rPr>
      </w:pPr>
      <w:r w:rsidRPr="0057092B">
        <w:rPr>
          <w:rFonts w:ascii="Times New Roman" w:hAnsi="Times New Roman"/>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5120A" w:rsidP="00983179" w14:paraId="1D468623" w14:textId="4BABC57F">
      <w:pPr>
        <w:pStyle w:val="NoSpacing"/>
        <w:ind w:left="0"/>
      </w:pPr>
      <w:r>
        <w:t>The estimated cost to the federal government for these data collection efforts the Evaluation of the Pay for Success Permanent Supportive Housing Demonstration totals $32,184.04 over the 24-month period following the expiration of the current OMB approval. The data collection costs are based on the competitively bid and awarded contract for this study.</w:t>
      </w:r>
    </w:p>
    <w:p w:rsidR="00335793" w:rsidRPr="00B52157" w:rsidP="00983179" w14:paraId="67D946DA" w14:textId="77777777">
      <w:pPr>
        <w:pStyle w:val="NoSpacing"/>
        <w:ind w:left="0"/>
      </w:pPr>
    </w:p>
    <w:tbl>
      <w:tblPr>
        <w:tblW w:w="8377" w:type="dxa"/>
        <w:tblInd w:w="602" w:type="dxa"/>
        <w:tblLook w:val="04A0"/>
      </w:tblPr>
      <w:tblGrid>
        <w:gridCol w:w="3876"/>
        <w:gridCol w:w="858"/>
        <w:gridCol w:w="594"/>
        <w:gridCol w:w="1260"/>
        <w:gridCol w:w="1789"/>
      </w:tblGrid>
      <w:tr w14:paraId="249B6E49" w14:textId="77777777" w:rsidTr="00BF1933">
        <w:tblPrEx>
          <w:tblW w:w="8377" w:type="dxa"/>
          <w:tblInd w:w="602" w:type="dxa"/>
          <w:tblLook w:val="04A0"/>
        </w:tblPrEx>
        <w:trPr>
          <w:trHeight w:val="315"/>
        </w:trPr>
        <w:tc>
          <w:tcPr>
            <w:tcW w:w="8377" w:type="dxa"/>
            <w:gridSpan w:val="5"/>
            <w:tcBorders>
              <w:bottom w:val="single" w:sz="4" w:space="0" w:color="auto"/>
            </w:tcBorders>
            <w:shd w:val="clear" w:color="auto" w:fill="auto"/>
            <w:noWrap/>
            <w:vAlign w:val="center"/>
            <w:hideMark/>
          </w:tcPr>
          <w:p w:rsidR="00773A8F" w:rsidRPr="003D06FB" w:rsidP="00BF1933" w14:paraId="52150F62" w14:textId="77777777">
            <w:pPr>
              <w:keepNext/>
              <w:jc w:val="center"/>
              <w:rPr>
                <w:b/>
                <w:bCs/>
                <w:sz w:val="20"/>
                <w:szCs w:val="20"/>
              </w:rPr>
            </w:pPr>
            <w:r w:rsidRPr="003D06FB">
              <w:rPr>
                <w:b/>
                <w:bCs/>
                <w:sz w:val="20"/>
                <w:szCs w:val="20"/>
              </w:rPr>
              <w:t>Estimated Annual Cost to the Federal Government</w:t>
            </w:r>
          </w:p>
          <w:p w:rsidR="00BF1933" w:rsidRPr="003D06FB" w:rsidP="00BF1933" w14:paraId="0F50AA21" w14:textId="0F87AA31">
            <w:pPr>
              <w:keepNext/>
              <w:jc w:val="center"/>
              <w:rPr>
                <w:b/>
                <w:bCs/>
                <w:sz w:val="20"/>
                <w:szCs w:val="20"/>
              </w:rPr>
            </w:pPr>
          </w:p>
        </w:tc>
      </w:tr>
      <w:tr w14:paraId="070C485D" w14:textId="77777777" w:rsidTr="00BF1933">
        <w:tblPrEx>
          <w:tblW w:w="8377" w:type="dxa"/>
          <w:tblInd w:w="602" w:type="dxa"/>
          <w:tblLook w:val="04A0"/>
        </w:tblPrEx>
        <w:trPr>
          <w:trHeight w:val="315"/>
        </w:trPr>
        <w:tc>
          <w:tcPr>
            <w:tcW w:w="8377" w:type="dxa"/>
            <w:gridSpan w:val="5"/>
            <w:tcBorders>
              <w:top w:val="single" w:sz="4" w:space="0" w:color="auto"/>
              <w:left w:val="single" w:sz="8" w:space="0" w:color="auto"/>
              <w:bottom w:val="double" w:sz="6" w:space="0" w:color="auto"/>
              <w:right w:val="single" w:sz="8" w:space="0" w:color="000000" w:themeColor="text1"/>
            </w:tcBorders>
            <w:shd w:val="clear" w:color="auto" w:fill="auto"/>
            <w:noWrap/>
            <w:vAlign w:val="center"/>
            <w:hideMark/>
          </w:tcPr>
          <w:p w:rsidR="00773A8F" w:rsidRPr="003D06FB" w:rsidP="00983179" w14:paraId="79E2A621" w14:textId="77777777">
            <w:pPr>
              <w:keepNext/>
              <w:rPr>
                <w:sz w:val="20"/>
                <w:szCs w:val="20"/>
              </w:rPr>
            </w:pPr>
            <w:r w:rsidRPr="003D06FB">
              <w:rPr>
                <w:sz w:val="20"/>
                <w:szCs w:val="20"/>
              </w:rPr>
              <w:t>Labor</w:t>
            </w:r>
          </w:p>
        </w:tc>
      </w:tr>
      <w:tr w14:paraId="253CAEF4" w14:textId="77777777" w:rsidTr="47E0597D">
        <w:tblPrEx>
          <w:tblW w:w="8377" w:type="dxa"/>
          <w:tblInd w:w="602" w:type="dxa"/>
          <w:tblLook w:val="04A0"/>
        </w:tblPrEx>
        <w:trPr>
          <w:trHeight w:val="630"/>
        </w:trPr>
        <w:tc>
          <w:tcPr>
            <w:tcW w:w="3876" w:type="dxa"/>
            <w:tcBorders>
              <w:top w:val="nil"/>
              <w:left w:val="single" w:sz="8" w:space="0" w:color="auto"/>
              <w:bottom w:val="single" w:sz="8" w:space="0" w:color="auto"/>
              <w:right w:val="single" w:sz="8" w:space="0" w:color="auto"/>
            </w:tcBorders>
            <w:shd w:val="clear" w:color="auto" w:fill="auto"/>
            <w:noWrap/>
            <w:vAlign w:val="center"/>
            <w:hideMark/>
          </w:tcPr>
          <w:p w:rsidR="00773A8F" w:rsidRPr="003D06FB" w:rsidP="00983179" w14:paraId="7D40BB5F" w14:textId="77777777">
            <w:pPr>
              <w:keepNext/>
              <w:rPr>
                <w:sz w:val="20"/>
                <w:szCs w:val="20"/>
              </w:rPr>
            </w:pPr>
            <w:r w:rsidRPr="003D06FB">
              <w:rPr>
                <w:sz w:val="20"/>
                <w:szCs w:val="20"/>
              </w:rPr>
              <w:t>IDIQ Labor Category</w:t>
            </w:r>
          </w:p>
        </w:tc>
        <w:tc>
          <w:tcPr>
            <w:tcW w:w="1452" w:type="dxa"/>
            <w:gridSpan w:val="2"/>
            <w:tcBorders>
              <w:top w:val="double" w:sz="6" w:space="0" w:color="auto"/>
              <w:left w:val="nil"/>
              <w:bottom w:val="single" w:sz="8" w:space="0" w:color="auto"/>
              <w:right w:val="single" w:sz="8" w:space="0" w:color="000000" w:themeColor="text1"/>
            </w:tcBorders>
            <w:shd w:val="clear" w:color="auto" w:fill="auto"/>
            <w:noWrap/>
            <w:vAlign w:val="center"/>
            <w:hideMark/>
          </w:tcPr>
          <w:p w:rsidR="00773A8F" w:rsidRPr="003D06FB" w:rsidP="00983179" w14:paraId="3761366E" w14:textId="77777777">
            <w:pPr>
              <w:keepNext/>
              <w:rPr>
                <w:sz w:val="20"/>
                <w:szCs w:val="20"/>
              </w:rPr>
            </w:pPr>
            <w:r w:rsidRPr="003D06FB">
              <w:rPr>
                <w:sz w:val="20"/>
                <w:szCs w:val="20"/>
              </w:rPr>
              <w:t>Estimated task Hours</w:t>
            </w:r>
          </w:p>
        </w:tc>
        <w:tc>
          <w:tcPr>
            <w:tcW w:w="1260" w:type="dxa"/>
            <w:tcBorders>
              <w:top w:val="nil"/>
              <w:left w:val="nil"/>
              <w:bottom w:val="single" w:sz="8" w:space="0" w:color="auto"/>
              <w:right w:val="single" w:sz="8" w:space="0" w:color="auto"/>
            </w:tcBorders>
            <w:shd w:val="clear" w:color="auto" w:fill="auto"/>
            <w:vAlign w:val="center"/>
            <w:hideMark/>
          </w:tcPr>
          <w:p w:rsidR="00773A8F" w:rsidRPr="003D06FB" w:rsidP="00983179" w14:paraId="2771EACF" w14:textId="77777777">
            <w:pPr>
              <w:keepNext/>
              <w:rPr>
                <w:sz w:val="20"/>
                <w:szCs w:val="20"/>
              </w:rPr>
            </w:pPr>
            <w:r w:rsidRPr="003D06FB">
              <w:rPr>
                <w:sz w:val="20"/>
                <w:szCs w:val="20"/>
              </w:rPr>
              <w:t>Hourly Rate</w:t>
            </w:r>
          </w:p>
        </w:tc>
        <w:tc>
          <w:tcPr>
            <w:tcW w:w="1789" w:type="dxa"/>
            <w:tcBorders>
              <w:top w:val="double" w:sz="6" w:space="0" w:color="auto"/>
              <w:left w:val="nil"/>
              <w:bottom w:val="single" w:sz="8" w:space="0" w:color="auto"/>
              <w:right w:val="single" w:sz="8" w:space="0" w:color="000000" w:themeColor="text1"/>
            </w:tcBorders>
            <w:shd w:val="clear" w:color="auto" w:fill="auto"/>
            <w:vAlign w:val="center"/>
            <w:hideMark/>
          </w:tcPr>
          <w:p w:rsidR="00773A8F" w:rsidRPr="003D06FB" w:rsidP="00983179" w14:paraId="5849E0AA" w14:textId="77777777">
            <w:pPr>
              <w:keepNext/>
              <w:rPr>
                <w:sz w:val="20"/>
                <w:szCs w:val="20"/>
              </w:rPr>
            </w:pPr>
            <w:r w:rsidRPr="003D06FB">
              <w:rPr>
                <w:sz w:val="20"/>
                <w:szCs w:val="20"/>
              </w:rPr>
              <w:t>Total Cost</w:t>
            </w:r>
          </w:p>
        </w:tc>
      </w:tr>
      <w:tr w14:paraId="4CAC6173" w14:textId="77777777" w:rsidTr="47E0597D">
        <w:tblPrEx>
          <w:tblW w:w="8377" w:type="dxa"/>
          <w:tblInd w:w="602" w:type="dxa"/>
          <w:tblLook w:val="04A0"/>
        </w:tblPrEx>
        <w:trPr>
          <w:trHeight w:val="250"/>
        </w:trPr>
        <w:tc>
          <w:tcPr>
            <w:tcW w:w="3876" w:type="dxa"/>
            <w:tcBorders>
              <w:top w:val="nil"/>
              <w:left w:val="single" w:sz="8" w:space="0" w:color="auto"/>
              <w:bottom w:val="single" w:sz="8" w:space="0" w:color="auto"/>
              <w:right w:val="single" w:sz="8" w:space="0" w:color="auto"/>
            </w:tcBorders>
            <w:shd w:val="clear" w:color="auto" w:fill="auto"/>
            <w:noWrap/>
            <w:vAlign w:val="bottom"/>
            <w:hideMark/>
          </w:tcPr>
          <w:p w:rsidR="005640A4" w:rsidRPr="003D06FB" w:rsidP="003E2BCD" w14:paraId="24108E46" w14:textId="5F0FB827">
            <w:pPr>
              <w:keepNext/>
              <w:rPr>
                <w:sz w:val="20"/>
                <w:szCs w:val="20"/>
              </w:rPr>
            </w:pPr>
            <w:r w:rsidRPr="003D06FB">
              <w:rPr>
                <w:sz w:val="20"/>
                <w:szCs w:val="20"/>
              </w:rPr>
              <w:t>Research/Policy Associate</w:t>
            </w:r>
          </w:p>
        </w:tc>
        <w:tc>
          <w:tcPr>
            <w:tcW w:w="1452" w:type="dxa"/>
            <w:gridSpan w:val="2"/>
            <w:tcBorders>
              <w:top w:val="single" w:sz="8" w:space="0" w:color="auto"/>
              <w:left w:val="nil"/>
              <w:bottom w:val="single" w:sz="8" w:space="0" w:color="auto"/>
              <w:right w:val="single" w:sz="8" w:space="0" w:color="000000" w:themeColor="text1"/>
            </w:tcBorders>
            <w:shd w:val="clear" w:color="auto" w:fill="auto"/>
            <w:noWrap/>
            <w:vAlign w:val="center"/>
            <w:hideMark/>
          </w:tcPr>
          <w:p w:rsidR="005640A4" w:rsidRPr="003D06FB" w:rsidP="00335793" w14:paraId="2A2EDFC9" w14:textId="32DDC3C3">
            <w:pPr>
              <w:keepNext/>
              <w:jc w:val="right"/>
              <w:rPr>
                <w:sz w:val="20"/>
                <w:szCs w:val="20"/>
              </w:rPr>
            </w:pPr>
            <w:r w:rsidRPr="003D06FB">
              <w:rPr>
                <w:sz w:val="20"/>
                <w:szCs w:val="20"/>
              </w:rPr>
              <w:t>40</w:t>
            </w:r>
          </w:p>
        </w:tc>
        <w:tc>
          <w:tcPr>
            <w:tcW w:w="1260" w:type="dxa"/>
            <w:tcBorders>
              <w:top w:val="nil"/>
              <w:left w:val="nil"/>
              <w:bottom w:val="single" w:sz="8" w:space="0" w:color="auto"/>
              <w:right w:val="single" w:sz="8" w:space="0" w:color="auto"/>
            </w:tcBorders>
            <w:shd w:val="clear" w:color="auto" w:fill="auto"/>
            <w:noWrap/>
            <w:vAlign w:val="center"/>
            <w:hideMark/>
          </w:tcPr>
          <w:p w:rsidR="005640A4" w:rsidRPr="003D06FB" w:rsidP="00335793" w14:paraId="634BD904" w14:textId="4C6A1E1C">
            <w:pPr>
              <w:keepNext/>
              <w:jc w:val="right"/>
              <w:rPr>
                <w:sz w:val="20"/>
                <w:szCs w:val="20"/>
              </w:rPr>
            </w:pPr>
            <w:r w:rsidRPr="003D06FB">
              <w:rPr>
                <w:sz w:val="20"/>
                <w:szCs w:val="20"/>
              </w:rPr>
              <w:t>$127.35</w:t>
            </w:r>
          </w:p>
        </w:tc>
        <w:tc>
          <w:tcPr>
            <w:tcW w:w="1789" w:type="dxa"/>
            <w:tcBorders>
              <w:top w:val="single" w:sz="8" w:space="0" w:color="auto"/>
              <w:left w:val="nil"/>
              <w:bottom w:val="single" w:sz="8" w:space="0" w:color="auto"/>
              <w:right w:val="single" w:sz="8" w:space="0" w:color="000000" w:themeColor="text1"/>
            </w:tcBorders>
            <w:shd w:val="clear" w:color="auto" w:fill="auto"/>
            <w:noWrap/>
            <w:vAlign w:val="center"/>
            <w:hideMark/>
          </w:tcPr>
          <w:p w:rsidR="005640A4" w:rsidRPr="003D06FB" w:rsidP="00335793" w14:paraId="6FD154BA" w14:textId="2C847E02">
            <w:pPr>
              <w:keepNext/>
              <w:jc w:val="right"/>
              <w:rPr>
                <w:sz w:val="20"/>
                <w:szCs w:val="20"/>
              </w:rPr>
            </w:pPr>
            <w:r w:rsidRPr="003D06FB">
              <w:rPr>
                <w:sz w:val="20"/>
                <w:szCs w:val="20"/>
              </w:rPr>
              <w:t xml:space="preserve">$5,094 </w:t>
            </w:r>
          </w:p>
        </w:tc>
      </w:tr>
      <w:tr w14:paraId="68ABCBBF" w14:textId="77777777" w:rsidTr="47E0597D">
        <w:tblPrEx>
          <w:tblW w:w="8377" w:type="dxa"/>
          <w:tblInd w:w="602" w:type="dxa"/>
          <w:tblLook w:val="04A0"/>
        </w:tblPrEx>
        <w:trPr>
          <w:trHeight w:val="315"/>
        </w:trPr>
        <w:tc>
          <w:tcPr>
            <w:tcW w:w="3876" w:type="dxa"/>
            <w:tcBorders>
              <w:top w:val="nil"/>
              <w:left w:val="single" w:sz="8" w:space="0" w:color="auto"/>
              <w:bottom w:val="single" w:sz="8" w:space="0" w:color="auto"/>
              <w:right w:val="single" w:sz="8" w:space="0" w:color="auto"/>
            </w:tcBorders>
            <w:shd w:val="clear" w:color="auto" w:fill="auto"/>
            <w:noWrap/>
            <w:vAlign w:val="bottom"/>
            <w:hideMark/>
          </w:tcPr>
          <w:p w:rsidR="005640A4" w:rsidRPr="003D06FB" w:rsidP="003E2BCD" w14:paraId="701461CA" w14:textId="7944C950">
            <w:pPr>
              <w:keepNext/>
              <w:rPr>
                <w:sz w:val="20"/>
                <w:szCs w:val="20"/>
              </w:rPr>
            </w:pPr>
            <w:r w:rsidRPr="003D06FB">
              <w:rPr>
                <w:sz w:val="20"/>
                <w:szCs w:val="20"/>
              </w:rPr>
              <w:t>Senior Associate</w:t>
            </w:r>
          </w:p>
        </w:tc>
        <w:tc>
          <w:tcPr>
            <w:tcW w:w="1452" w:type="dxa"/>
            <w:gridSpan w:val="2"/>
            <w:tcBorders>
              <w:top w:val="single" w:sz="8" w:space="0" w:color="auto"/>
              <w:left w:val="nil"/>
              <w:bottom w:val="single" w:sz="8" w:space="0" w:color="auto"/>
              <w:right w:val="single" w:sz="8" w:space="0" w:color="000000" w:themeColor="text1"/>
            </w:tcBorders>
            <w:shd w:val="clear" w:color="auto" w:fill="auto"/>
            <w:noWrap/>
            <w:vAlign w:val="center"/>
            <w:hideMark/>
          </w:tcPr>
          <w:p w:rsidR="005640A4" w:rsidRPr="003D06FB" w:rsidP="00335793" w14:paraId="58F88608" w14:textId="37A7B385">
            <w:pPr>
              <w:keepNext/>
              <w:jc w:val="right"/>
              <w:rPr>
                <w:sz w:val="20"/>
                <w:szCs w:val="20"/>
              </w:rPr>
            </w:pPr>
            <w:r w:rsidRPr="003D06FB">
              <w:rPr>
                <w:sz w:val="20"/>
                <w:szCs w:val="20"/>
              </w:rPr>
              <w:t>16</w:t>
            </w:r>
          </w:p>
        </w:tc>
        <w:tc>
          <w:tcPr>
            <w:tcW w:w="1260" w:type="dxa"/>
            <w:tcBorders>
              <w:top w:val="nil"/>
              <w:left w:val="nil"/>
              <w:bottom w:val="single" w:sz="8" w:space="0" w:color="auto"/>
              <w:right w:val="single" w:sz="8" w:space="0" w:color="auto"/>
            </w:tcBorders>
            <w:shd w:val="clear" w:color="auto" w:fill="auto"/>
            <w:noWrap/>
            <w:vAlign w:val="center"/>
            <w:hideMark/>
          </w:tcPr>
          <w:p w:rsidR="6B2F1585" w:rsidRPr="003D06FB" w:rsidP="6B2F1585" w14:paraId="30AB86D6" w14:textId="74F3260E">
            <w:pPr>
              <w:keepNext/>
              <w:jc w:val="right"/>
              <w:rPr>
                <w:sz w:val="20"/>
                <w:szCs w:val="20"/>
              </w:rPr>
            </w:pPr>
            <w:r w:rsidRPr="003D06FB">
              <w:rPr>
                <w:sz w:val="20"/>
                <w:szCs w:val="20"/>
              </w:rPr>
              <w:t>$184.27</w:t>
            </w:r>
          </w:p>
        </w:tc>
        <w:tc>
          <w:tcPr>
            <w:tcW w:w="1789" w:type="dxa"/>
            <w:tcBorders>
              <w:top w:val="single" w:sz="8" w:space="0" w:color="auto"/>
              <w:left w:val="nil"/>
              <w:bottom w:val="single" w:sz="8" w:space="0" w:color="auto"/>
              <w:right w:val="single" w:sz="8" w:space="0" w:color="000000" w:themeColor="text1"/>
            </w:tcBorders>
            <w:shd w:val="clear" w:color="auto" w:fill="auto"/>
            <w:noWrap/>
            <w:vAlign w:val="center"/>
            <w:hideMark/>
          </w:tcPr>
          <w:p w:rsidR="005640A4" w:rsidRPr="003D06FB" w:rsidP="00335793" w14:paraId="55EFB97D" w14:textId="1B484E79">
            <w:pPr>
              <w:keepNext/>
              <w:jc w:val="right"/>
              <w:rPr>
                <w:sz w:val="20"/>
                <w:szCs w:val="20"/>
              </w:rPr>
            </w:pPr>
            <w:r w:rsidRPr="003D06FB">
              <w:rPr>
                <w:sz w:val="20"/>
                <w:szCs w:val="20"/>
              </w:rPr>
              <w:t xml:space="preserve">$2,948.32 </w:t>
            </w:r>
          </w:p>
        </w:tc>
      </w:tr>
      <w:tr w14:paraId="4C6A6C62" w14:textId="77777777" w:rsidTr="47E0597D">
        <w:tblPrEx>
          <w:tblW w:w="8377" w:type="dxa"/>
          <w:tblInd w:w="602" w:type="dxa"/>
          <w:tblLook w:val="04A0"/>
        </w:tblPrEx>
        <w:trPr>
          <w:trHeight w:val="315"/>
        </w:trPr>
        <w:tc>
          <w:tcPr>
            <w:tcW w:w="3876" w:type="dxa"/>
            <w:tcBorders>
              <w:top w:val="nil"/>
              <w:left w:val="single" w:sz="8" w:space="0" w:color="auto"/>
              <w:bottom w:val="single" w:sz="8" w:space="0" w:color="auto"/>
              <w:right w:val="single" w:sz="8" w:space="0" w:color="auto"/>
            </w:tcBorders>
            <w:shd w:val="clear" w:color="auto" w:fill="auto"/>
            <w:noWrap/>
            <w:vAlign w:val="bottom"/>
            <w:hideMark/>
          </w:tcPr>
          <w:p w:rsidR="005640A4" w:rsidRPr="003D06FB" w:rsidP="003E2BCD" w14:paraId="21B44856" w14:textId="5C94E6F4">
            <w:pPr>
              <w:keepNext/>
              <w:rPr>
                <w:sz w:val="20"/>
                <w:szCs w:val="20"/>
              </w:rPr>
            </w:pPr>
            <w:r w:rsidRPr="003D06FB">
              <w:rPr>
                <w:sz w:val="20"/>
                <w:szCs w:val="20"/>
              </w:rPr>
              <w:t>Principal Associate</w:t>
            </w:r>
          </w:p>
        </w:tc>
        <w:tc>
          <w:tcPr>
            <w:tcW w:w="1452" w:type="dxa"/>
            <w:gridSpan w:val="2"/>
            <w:tcBorders>
              <w:top w:val="single" w:sz="8" w:space="0" w:color="auto"/>
              <w:left w:val="nil"/>
              <w:bottom w:val="single" w:sz="8" w:space="0" w:color="auto"/>
              <w:right w:val="single" w:sz="8" w:space="0" w:color="000000" w:themeColor="text1"/>
            </w:tcBorders>
            <w:shd w:val="clear" w:color="auto" w:fill="auto"/>
            <w:noWrap/>
            <w:vAlign w:val="center"/>
            <w:hideMark/>
          </w:tcPr>
          <w:p w:rsidR="005640A4" w:rsidRPr="003D06FB" w:rsidP="00335793" w14:paraId="1C47DEF1" w14:textId="01C8EFB8">
            <w:pPr>
              <w:keepNext/>
              <w:jc w:val="right"/>
              <w:rPr>
                <w:sz w:val="20"/>
                <w:szCs w:val="20"/>
              </w:rPr>
            </w:pPr>
            <w:r w:rsidRPr="003D06FB">
              <w:rPr>
                <w:sz w:val="20"/>
                <w:szCs w:val="20"/>
              </w:rPr>
              <w:t>16</w:t>
            </w:r>
          </w:p>
        </w:tc>
        <w:tc>
          <w:tcPr>
            <w:tcW w:w="1260" w:type="dxa"/>
            <w:tcBorders>
              <w:top w:val="nil"/>
              <w:left w:val="nil"/>
              <w:bottom w:val="single" w:sz="8" w:space="0" w:color="auto"/>
              <w:right w:val="single" w:sz="8" w:space="0" w:color="auto"/>
            </w:tcBorders>
            <w:shd w:val="clear" w:color="auto" w:fill="auto"/>
            <w:noWrap/>
            <w:vAlign w:val="center"/>
            <w:hideMark/>
          </w:tcPr>
          <w:p w:rsidR="005640A4" w:rsidRPr="003D06FB" w:rsidP="00335793" w14:paraId="0C4072E9" w14:textId="3A5443BB">
            <w:pPr>
              <w:keepNext/>
              <w:jc w:val="right"/>
              <w:rPr>
                <w:sz w:val="20"/>
                <w:szCs w:val="20"/>
              </w:rPr>
            </w:pPr>
            <w:r w:rsidRPr="003D06FB">
              <w:rPr>
                <w:sz w:val="20"/>
                <w:szCs w:val="20"/>
              </w:rPr>
              <w:t>$210.29</w:t>
            </w:r>
          </w:p>
        </w:tc>
        <w:tc>
          <w:tcPr>
            <w:tcW w:w="1789" w:type="dxa"/>
            <w:tcBorders>
              <w:top w:val="single" w:sz="8" w:space="0" w:color="auto"/>
              <w:left w:val="nil"/>
              <w:bottom w:val="single" w:sz="8" w:space="0" w:color="auto"/>
              <w:right w:val="single" w:sz="8" w:space="0" w:color="000000" w:themeColor="text1"/>
            </w:tcBorders>
            <w:shd w:val="clear" w:color="auto" w:fill="auto"/>
            <w:noWrap/>
            <w:vAlign w:val="center"/>
            <w:hideMark/>
          </w:tcPr>
          <w:p w:rsidR="005640A4" w:rsidRPr="003D06FB" w:rsidP="00335793" w14:paraId="1F850054" w14:textId="1048EA62">
            <w:pPr>
              <w:keepNext/>
              <w:jc w:val="right"/>
              <w:rPr>
                <w:sz w:val="20"/>
                <w:szCs w:val="20"/>
              </w:rPr>
            </w:pPr>
            <w:r w:rsidRPr="003D06FB">
              <w:rPr>
                <w:sz w:val="20"/>
                <w:szCs w:val="20"/>
              </w:rPr>
              <w:t>$3,364.64</w:t>
            </w:r>
          </w:p>
        </w:tc>
      </w:tr>
      <w:tr w14:paraId="4216F336" w14:textId="77777777" w:rsidTr="47E0597D">
        <w:tblPrEx>
          <w:tblW w:w="8377" w:type="dxa"/>
          <w:tblInd w:w="602" w:type="dxa"/>
          <w:tblLook w:val="04A0"/>
        </w:tblPrEx>
        <w:trPr>
          <w:trHeight w:val="315"/>
        </w:trPr>
        <w:tc>
          <w:tcPr>
            <w:tcW w:w="3876" w:type="dxa"/>
            <w:tcBorders>
              <w:top w:val="nil"/>
              <w:left w:val="single" w:sz="8" w:space="0" w:color="auto"/>
              <w:bottom w:val="single" w:sz="8" w:space="0" w:color="auto"/>
              <w:right w:val="single" w:sz="8" w:space="0" w:color="auto"/>
            </w:tcBorders>
            <w:shd w:val="clear" w:color="auto" w:fill="auto"/>
            <w:noWrap/>
            <w:vAlign w:val="bottom"/>
            <w:hideMark/>
          </w:tcPr>
          <w:p w:rsidR="005640A4" w:rsidRPr="003D06FB" w:rsidP="003E2BCD" w14:paraId="29CCCB96" w14:textId="3C2315B5">
            <w:pPr>
              <w:keepNext/>
              <w:rPr>
                <w:sz w:val="20"/>
                <w:szCs w:val="20"/>
              </w:rPr>
            </w:pPr>
            <w:r w:rsidRPr="003D06FB">
              <w:rPr>
                <w:sz w:val="20"/>
                <w:szCs w:val="20"/>
              </w:rPr>
              <w:t>Research Analyst</w:t>
            </w:r>
          </w:p>
        </w:tc>
        <w:tc>
          <w:tcPr>
            <w:tcW w:w="1452" w:type="dxa"/>
            <w:gridSpan w:val="2"/>
            <w:tcBorders>
              <w:top w:val="single" w:sz="8" w:space="0" w:color="auto"/>
              <w:left w:val="nil"/>
              <w:bottom w:val="single" w:sz="8" w:space="0" w:color="auto"/>
              <w:right w:val="single" w:sz="8" w:space="0" w:color="000000" w:themeColor="text1"/>
            </w:tcBorders>
            <w:shd w:val="clear" w:color="auto" w:fill="auto"/>
            <w:noWrap/>
            <w:vAlign w:val="center"/>
            <w:hideMark/>
          </w:tcPr>
          <w:p w:rsidR="005640A4" w:rsidRPr="003D06FB" w:rsidP="00335793" w14:paraId="30AB071F" w14:textId="445FAE7D">
            <w:pPr>
              <w:keepNext/>
              <w:jc w:val="right"/>
              <w:rPr>
                <w:sz w:val="20"/>
                <w:szCs w:val="20"/>
              </w:rPr>
            </w:pPr>
            <w:r w:rsidRPr="003D06FB">
              <w:rPr>
                <w:sz w:val="20"/>
                <w:szCs w:val="20"/>
              </w:rPr>
              <w:t>64</w:t>
            </w:r>
          </w:p>
        </w:tc>
        <w:tc>
          <w:tcPr>
            <w:tcW w:w="1260" w:type="dxa"/>
            <w:tcBorders>
              <w:top w:val="nil"/>
              <w:left w:val="nil"/>
              <w:bottom w:val="single" w:sz="8" w:space="0" w:color="auto"/>
              <w:right w:val="single" w:sz="8" w:space="0" w:color="auto"/>
            </w:tcBorders>
            <w:shd w:val="clear" w:color="auto" w:fill="auto"/>
            <w:noWrap/>
            <w:vAlign w:val="center"/>
            <w:hideMark/>
          </w:tcPr>
          <w:p w:rsidR="005640A4" w:rsidRPr="003D06FB" w:rsidP="00335793" w14:paraId="2C3CEAA2" w14:textId="5339C249">
            <w:pPr>
              <w:keepNext/>
              <w:jc w:val="right"/>
              <w:rPr>
                <w:sz w:val="20"/>
                <w:szCs w:val="20"/>
              </w:rPr>
            </w:pPr>
            <w:r w:rsidRPr="003D06FB">
              <w:rPr>
                <w:sz w:val="20"/>
                <w:szCs w:val="20"/>
              </w:rPr>
              <w:t>$91.99</w:t>
            </w:r>
          </w:p>
        </w:tc>
        <w:tc>
          <w:tcPr>
            <w:tcW w:w="1789" w:type="dxa"/>
            <w:tcBorders>
              <w:top w:val="single" w:sz="8" w:space="0" w:color="auto"/>
              <w:left w:val="nil"/>
              <w:bottom w:val="single" w:sz="8" w:space="0" w:color="auto"/>
              <w:right w:val="single" w:sz="8" w:space="0" w:color="000000" w:themeColor="text1"/>
            </w:tcBorders>
            <w:shd w:val="clear" w:color="auto" w:fill="auto"/>
            <w:noWrap/>
            <w:vAlign w:val="center"/>
            <w:hideMark/>
          </w:tcPr>
          <w:p w:rsidR="005640A4" w:rsidRPr="003D06FB" w:rsidP="00335793" w14:paraId="38020F6F" w14:textId="1CF4EC6D">
            <w:pPr>
              <w:keepNext/>
              <w:jc w:val="right"/>
              <w:rPr>
                <w:sz w:val="20"/>
                <w:szCs w:val="20"/>
              </w:rPr>
            </w:pPr>
            <w:r w:rsidRPr="003D06FB">
              <w:rPr>
                <w:sz w:val="20"/>
                <w:szCs w:val="20"/>
              </w:rPr>
              <w:t xml:space="preserve">$5,887.36  </w:t>
            </w:r>
          </w:p>
        </w:tc>
      </w:tr>
      <w:tr w14:paraId="00A7B34E" w14:textId="77777777" w:rsidTr="47E0597D">
        <w:tblPrEx>
          <w:tblW w:w="8377" w:type="dxa"/>
          <w:tblInd w:w="602" w:type="dxa"/>
          <w:tblLook w:val="04A0"/>
        </w:tblPrEx>
        <w:trPr>
          <w:trHeight w:val="315"/>
        </w:trPr>
        <w:tc>
          <w:tcPr>
            <w:tcW w:w="3876" w:type="dxa"/>
            <w:tcBorders>
              <w:top w:val="nil"/>
              <w:left w:val="single" w:sz="8" w:space="0" w:color="auto"/>
              <w:bottom w:val="single" w:sz="8" w:space="0" w:color="auto"/>
              <w:right w:val="single" w:sz="8" w:space="0" w:color="auto"/>
            </w:tcBorders>
            <w:shd w:val="clear" w:color="auto" w:fill="auto"/>
            <w:noWrap/>
            <w:vAlign w:val="bottom"/>
          </w:tcPr>
          <w:p w:rsidR="005640A4" w:rsidRPr="003D06FB" w:rsidP="003E2BCD" w14:paraId="478DD6FD" w14:textId="1F650BDA">
            <w:pPr>
              <w:keepNext/>
              <w:rPr>
                <w:sz w:val="20"/>
                <w:szCs w:val="20"/>
              </w:rPr>
            </w:pPr>
            <w:r w:rsidRPr="003D06FB">
              <w:rPr>
                <w:sz w:val="20"/>
                <w:szCs w:val="20"/>
              </w:rPr>
              <w:t>Research/Policy Assistant</w:t>
            </w:r>
          </w:p>
        </w:tc>
        <w:tc>
          <w:tcPr>
            <w:tcW w:w="1452" w:type="dxa"/>
            <w:gridSpan w:val="2"/>
            <w:tcBorders>
              <w:top w:val="single" w:sz="8" w:space="0" w:color="auto"/>
              <w:left w:val="nil"/>
              <w:bottom w:val="single" w:sz="8" w:space="0" w:color="auto"/>
              <w:right w:val="single" w:sz="8" w:space="0" w:color="000000" w:themeColor="text1"/>
            </w:tcBorders>
            <w:shd w:val="clear" w:color="auto" w:fill="auto"/>
            <w:noWrap/>
            <w:vAlign w:val="center"/>
          </w:tcPr>
          <w:p w:rsidR="005640A4" w:rsidRPr="003D06FB" w:rsidP="00335793" w14:paraId="277D758A" w14:textId="2CCDCF88">
            <w:pPr>
              <w:keepNext/>
              <w:jc w:val="right"/>
              <w:rPr>
                <w:sz w:val="20"/>
                <w:szCs w:val="20"/>
              </w:rPr>
            </w:pPr>
            <w:r w:rsidRPr="003D06FB">
              <w:rPr>
                <w:sz w:val="20"/>
                <w:szCs w:val="20"/>
              </w:rPr>
              <w:t>48</w:t>
            </w:r>
          </w:p>
        </w:tc>
        <w:tc>
          <w:tcPr>
            <w:tcW w:w="1260" w:type="dxa"/>
            <w:tcBorders>
              <w:top w:val="nil"/>
              <w:left w:val="nil"/>
              <w:bottom w:val="single" w:sz="8" w:space="0" w:color="auto"/>
              <w:right w:val="single" w:sz="8" w:space="0" w:color="auto"/>
            </w:tcBorders>
            <w:shd w:val="clear" w:color="auto" w:fill="auto"/>
            <w:noWrap/>
            <w:vAlign w:val="center"/>
          </w:tcPr>
          <w:p w:rsidR="005640A4" w:rsidRPr="003D06FB" w:rsidP="00335793" w14:paraId="1312E981" w14:textId="338A3675">
            <w:pPr>
              <w:keepNext/>
              <w:jc w:val="right"/>
              <w:rPr>
                <w:sz w:val="20"/>
                <w:szCs w:val="20"/>
              </w:rPr>
            </w:pPr>
            <w:r w:rsidRPr="003D06FB">
              <w:rPr>
                <w:sz w:val="20"/>
                <w:szCs w:val="20"/>
              </w:rPr>
              <w:t>$71.07</w:t>
            </w:r>
          </w:p>
        </w:tc>
        <w:tc>
          <w:tcPr>
            <w:tcW w:w="1789" w:type="dxa"/>
            <w:tcBorders>
              <w:top w:val="single" w:sz="8" w:space="0" w:color="auto"/>
              <w:left w:val="nil"/>
              <w:bottom w:val="single" w:sz="8" w:space="0" w:color="auto"/>
              <w:right w:val="single" w:sz="8" w:space="0" w:color="000000" w:themeColor="text1"/>
            </w:tcBorders>
            <w:shd w:val="clear" w:color="auto" w:fill="auto"/>
            <w:noWrap/>
            <w:vAlign w:val="center"/>
          </w:tcPr>
          <w:p w:rsidR="005640A4" w:rsidRPr="003D06FB" w:rsidP="00335793" w14:paraId="5794C072" w14:textId="65ED53A3">
            <w:pPr>
              <w:keepNext/>
              <w:jc w:val="right"/>
              <w:rPr>
                <w:sz w:val="20"/>
                <w:szCs w:val="20"/>
              </w:rPr>
            </w:pPr>
            <w:r w:rsidRPr="003D06FB">
              <w:rPr>
                <w:sz w:val="20"/>
                <w:szCs w:val="20"/>
              </w:rPr>
              <w:t xml:space="preserve">$3,411.36  </w:t>
            </w:r>
          </w:p>
        </w:tc>
      </w:tr>
      <w:tr w14:paraId="69C2BBB3" w14:textId="77777777" w:rsidTr="47E0597D">
        <w:tblPrEx>
          <w:tblW w:w="8377" w:type="dxa"/>
          <w:tblInd w:w="602" w:type="dxa"/>
          <w:tblLook w:val="04A0"/>
        </w:tblPrEx>
        <w:trPr>
          <w:trHeight w:val="315"/>
        </w:trPr>
        <w:tc>
          <w:tcPr>
            <w:tcW w:w="3876" w:type="dxa"/>
            <w:tcBorders>
              <w:top w:val="nil"/>
              <w:left w:val="single" w:sz="8" w:space="0" w:color="auto"/>
              <w:bottom w:val="single" w:sz="8" w:space="0" w:color="auto"/>
              <w:right w:val="single" w:sz="8" w:space="0" w:color="auto"/>
            </w:tcBorders>
            <w:shd w:val="clear" w:color="auto" w:fill="auto"/>
            <w:noWrap/>
            <w:vAlign w:val="bottom"/>
          </w:tcPr>
          <w:p w:rsidR="005640A4" w:rsidRPr="003D06FB" w:rsidP="003E2BCD" w14:paraId="6A253645" w14:textId="02845BE0">
            <w:pPr>
              <w:keepNext/>
              <w:rPr>
                <w:sz w:val="20"/>
                <w:szCs w:val="20"/>
              </w:rPr>
            </w:pPr>
            <w:r w:rsidRPr="003D06FB">
              <w:rPr>
                <w:sz w:val="20"/>
                <w:szCs w:val="20"/>
              </w:rPr>
              <w:t>Editorial</w:t>
            </w:r>
          </w:p>
        </w:tc>
        <w:tc>
          <w:tcPr>
            <w:tcW w:w="1452" w:type="dxa"/>
            <w:gridSpan w:val="2"/>
            <w:tcBorders>
              <w:top w:val="single" w:sz="8" w:space="0" w:color="auto"/>
              <w:left w:val="nil"/>
              <w:bottom w:val="single" w:sz="8" w:space="0" w:color="auto"/>
              <w:right w:val="single" w:sz="8" w:space="0" w:color="000000" w:themeColor="text1"/>
            </w:tcBorders>
            <w:shd w:val="clear" w:color="auto" w:fill="auto"/>
            <w:noWrap/>
            <w:vAlign w:val="center"/>
          </w:tcPr>
          <w:p w:rsidR="005640A4" w:rsidRPr="003D06FB" w:rsidP="00335793" w14:paraId="309FD6D9" w14:textId="358B1F3E">
            <w:pPr>
              <w:keepNext/>
              <w:jc w:val="right"/>
              <w:rPr>
                <w:sz w:val="20"/>
                <w:szCs w:val="20"/>
              </w:rPr>
            </w:pPr>
            <w:r w:rsidRPr="003D06FB">
              <w:rPr>
                <w:sz w:val="20"/>
                <w:szCs w:val="20"/>
              </w:rPr>
              <w:t>6.3</w:t>
            </w:r>
          </w:p>
        </w:tc>
        <w:tc>
          <w:tcPr>
            <w:tcW w:w="1260" w:type="dxa"/>
            <w:tcBorders>
              <w:top w:val="nil"/>
              <w:left w:val="nil"/>
              <w:bottom w:val="single" w:sz="8" w:space="0" w:color="auto"/>
              <w:right w:val="single" w:sz="8" w:space="0" w:color="auto"/>
            </w:tcBorders>
            <w:shd w:val="clear" w:color="auto" w:fill="auto"/>
            <w:noWrap/>
            <w:vAlign w:val="center"/>
          </w:tcPr>
          <w:p w:rsidR="005640A4" w:rsidRPr="003D06FB" w:rsidP="00335793" w14:paraId="7F021E3E" w14:textId="28120F14">
            <w:pPr>
              <w:keepNext/>
              <w:jc w:val="right"/>
              <w:rPr>
                <w:sz w:val="20"/>
                <w:szCs w:val="20"/>
              </w:rPr>
            </w:pPr>
            <w:r w:rsidRPr="003D06FB">
              <w:rPr>
                <w:sz w:val="20"/>
                <w:szCs w:val="20"/>
              </w:rPr>
              <w:t>$115.72</w:t>
            </w:r>
          </w:p>
        </w:tc>
        <w:tc>
          <w:tcPr>
            <w:tcW w:w="1789" w:type="dxa"/>
            <w:tcBorders>
              <w:top w:val="single" w:sz="8" w:space="0" w:color="auto"/>
              <w:left w:val="nil"/>
              <w:bottom w:val="single" w:sz="8" w:space="0" w:color="auto"/>
              <w:right w:val="single" w:sz="8" w:space="0" w:color="000000" w:themeColor="text1"/>
            </w:tcBorders>
            <w:shd w:val="clear" w:color="auto" w:fill="auto"/>
            <w:noWrap/>
            <w:vAlign w:val="center"/>
          </w:tcPr>
          <w:p w:rsidR="005640A4" w:rsidRPr="003D06FB" w:rsidP="00335793" w14:paraId="0F4F2172" w14:textId="1C7E5010">
            <w:pPr>
              <w:keepNext/>
              <w:jc w:val="right"/>
              <w:rPr>
                <w:sz w:val="20"/>
                <w:szCs w:val="20"/>
              </w:rPr>
            </w:pPr>
            <w:r w:rsidRPr="003D06FB">
              <w:rPr>
                <w:sz w:val="20"/>
                <w:szCs w:val="20"/>
              </w:rPr>
              <w:t>$729.04</w:t>
            </w:r>
          </w:p>
        </w:tc>
      </w:tr>
      <w:tr w14:paraId="15D47481" w14:textId="77777777" w:rsidTr="47E0597D">
        <w:tblPrEx>
          <w:tblW w:w="8377" w:type="dxa"/>
          <w:tblInd w:w="602" w:type="dxa"/>
          <w:tblLook w:val="04A0"/>
        </w:tblPrEx>
        <w:trPr>
          <w:trHeight w:val="295"/>
        </w:trPr>
        <w:tc>
          <w:tcPr>
            <w:tcW w:w="3876" w:type="dxa"/>
            <w:tcBorders>
              <w:top w:val="nil"/>
              <w:left w:val="single" w:sz="8" w:space="0" w:color="auto"/>
              <w:bottom w:val="single" w:sz="8" w:space="0" w:color="auto"/>
              <w:right w:val="single" w:sz="8" w:space="0" w:color="auto"/>
            </w:tcBorders>
            <w:shd w:val="clear" w:color="auto" w:fill="auto"/>
            <w:noWrap/>
            <w:vAlign w:val="bottom"/>
          </w:tcPr>
          <w:p w:rsidR="005640A4" w:rsidRPr="003D06FB" w:rsidP="003E2BCD" w14:paraId="2CEB77B3" w14:textId="2AC56443">
            <w:pPr>
              <w:keepNext/>
              <w:rPr>
                <w:sz w:val="20"/>
                <w:szCs w:val="20"/>
              </w:rPr>
            </w:pPr>
            <w:r w:rsidRPr="003D06FB">
              <w:rPr>
                <w:sz w:val="20"/>
                <w:szCs w:val="20"/>
              </w:rPr>
              <w:t>Administrative</w:t>
            </w:r>
          </w:p>
        </w:tc>
        <w:tc>
          <w:tcPr>
            <w:tcW w:w="1452" w:type="dxa"/>
            <w:gridSpan w:val="2"/>
            <w:tcBorders>
              <w:top w:val="single" w:sz="8" w:space="0" w:color="auto"/>
              <w:left w:val="nil"/>
              <w:bottom w:val="single" w:sz="8" w:space="0" w:color="auto"/>
              <w:right w:val="single" w:sz="8" w:space="0" w:color="000000" w:themeColor="text1"/>
            </w:tcBorders>
            <w:shd w:val="clear" w:color="auto" w:fill="auto"/>
            <w:noWrap/>
            <w:vAlign w:val="center"/>
          </w:tcPr>
          <w:p w:rsidR="005640A4" w:rsidRPr="003D06FB" w:rsidP="00335793" w14:paraId="605BD6B5" w14:textId="353A5395">
            <w:pPr>
              <w:keepNext/>
              <w:jc w:val="right"/>
              <w:rPr>
                <w:sz w:val="20"/>
                <w:szCs w:val="20"/>
              </w:rPr>
            </w:pPr>
            <w:r w:rsidRPr="003D06FB">
              <w:rPr>
                <w:sz w:val="20"/>
                <w:szCs w:val="20"/>
              </w:rPr>
              <w:t>56</w:t>
            </w:r>
          </w:p>
        </w:tc>
        <w:tc>
          <w:tcPr>
            <w:tcW w:w="1260" w:type="dxa"/>
            <w:tcBorders>
              <w:top w:val="nil"/>
              <w:left w:val="nil"/>
              <w:bottom w:val="single" w:sz="8" w:space="0" w:color="auto"/>
              <w:right w:val="single" w:sz="8" w:space="0" w:color="auto"/>
            </w:tcBorders>
            <w:shd w:val="clear" w:color="auto" w:fill="auto"/>
            <w:noWrap/>
            <w:vAlign w:val="center"/>
          </w:tcPr>
          <w:p w:rsidR="005640A4" w:rsidRPr="003D06FB" w:rsidP="00335793" w14:paraId="3E48BEF0" w14:textId="45BC06A4">
            <w:pPr>
              <w:keepNext/>
              <w:jc w:val="right"/>
              <w:rPr>
                <w:sz w:val="20"/>
                <w:szCs w:val="20"/>
              </w:rPr>
            </w:pPr>
            <w:r w:rsidRPr="003D06FB">
              <w:rPr>
                <w:sz w:val="20"/>
                <w:szCs w:val="20"/>
              </w:rPr>
              <w:t>$115.72</w:t>
            </w:r>
          </w:p>
        </w:tc>
        <w:tc>
          <w:tcPr>
            <w:tcW w:w="1789" w:type="dxa"/>
            <w:tcBorders>
              <w:top w:val="single" w:sz="8" w:space="0" w:color="auto"/>
              <w:left w:val="nil"/>
              <w:bottom w:val="single" w:sz="8" w:space="0" w:color="auto"/>
              <w:right w:val="single" w:sz="8" w:space="0" w:color="000000" w:themeColor="text1"/>
            </w:tcBorders>
            <w:shd w:val="clear" w:color="auto" w:fill="auto"/>
            <w:noWrap/>
            <w:vAlign w:val="center"/>
          </w:tcPr>
          <w:p w:rsidR="005640A4" w:rsidRPr="003D06FB" w:rsidP="00335793" w14:paraId="07D1C738" w14:textId="787EA86F">
            <w:pPr>
              <w:keepNext/>
              <w:jc w:val="right"/>
              <w:rPr>
                <w:sz w:val="20"/>
                <w:szCs w:val="20"/>
              </w:rPr>
            </w:pPr>
            <w:r w:rsidRPr="003D06FB">
              <w:rPr>
                <w:sz w:val="20"/>
                <w:szCs w:val="20"/>
              </w:rPr>
              <w:t xml:space="preserve">$6,480.32 </w:t>
            </w:r>
          </w:p>
        </w:tc>
      </w:tr>
      <w:tr w14:paraId="2D98ACF3" w14:textId="77777777" w:rsidTr="47E0597D">
        <w:tblPrEx>
          <w:tblW w:w="8377" w:type="dxa"/>
          <w:tblInd w:w="602" w:type="dxa"/>
          <w:tblLook w:val="04A0"/>
        </w:tblPrEx>
        <w:trPr>
          <w:trHeight w:val="315"/>
        </w:trPr>
        <w:tc>
          <w:tcPr>
            <w:tcW w:w="8377" w:type="dxa"/>
            <w:gridSpan w:val="5"/>
            <w:tcBorders>
              <w:top w:val="single" w:sz="8" w:space="0" w:color="auto"/>
              <w:left w:val="single" w:sz="8" w:space="0" w:color="auto"/>
              <w:bottom w:val="double" w:sz="6" w:space="0" w:color="auto"/>
              <w:right w:val="single" w:sz="8" w:space="0" w:color="000000" w:themeColor="text1"/>
            </w:tcBorders>
            <w:shd w:val="clear" w:color="auto" w:fill="auto"/>
            <w:noWrap/>
            <w:vAlign w:val="center"/>
            <w:hideMark/>
          </w:tcPr>
          <w:p w:rsidR="00773A8F" w:rsidRPr="003D06FB" w:rsidP="00983179" w14:paraId="057D28F3" w14:textId="77777777">
            <w:pPr>
              <w:keepNext/>
              <w:rPr>
                <w:sz w:val="20"/>
                <w:szCs w:val="20"/>
              </w:rPr>
            </w:pPr>
            <w:r w:rsidRPr="003D06FB">
              <w:rPr>
                <w:sz w:val="20"/>
                <w:szCs w:val="20"/>
              </w:rPr>
              <w:t>Other Direct Costs</w:t>
            </w:r>
          </w:p>
        </w:tc>
      </w:tr>
      <w:tr w14:paraId="625853D5" w14:textId="77777777" w:rsidTr="47E0597D">
        <w:tblPrEx>
          <w:tblW w:w="8377" w:type="dxa"/>
          <w:tblInd w:w="602" w:type="dxa"/>
          <w:tblLook w:val="04A0"/>
        </w:tblPrEx>
        <w:trPr>
          <w:trHeight w:val="330"/>
        </w:trPr>
        <w:tc>
          <w:tcPr>
            <w:tcW w:w="6588" w:type="dxa"/>
            <w:gridSpan w:val="4"/>
            <w:tcBorders>
              <w:top w:val="double" w:sz="6" w:space="0" w:color="auto"/>
              <w:left w:val="single" w:sz="8" w:space="0" w:color="auto"/>
              <w:bottom w:val="single" w:sz="8" w:space="0" w:color="auto"/>
              <w:right w:val="single" w:sz="8" w:space="0" w:color="000000" w:themeColor="text1"/>
            </w:tcBorders>
            <w:shd w:val="clear" w:color="auto" w:fill="auto"/>
            <w:noWrap/>
            <w:vAlign w:val="center"/>
            <w:hideMark/>
          </w:tcPr>
          <w:p w:rsidR="002910E6" w:rsidRPr="003D06FB" w:rsidP="002910E6" w14:paraId="552FA25E" w14:textId="77777777">
            <w:pPr>
              <w:keepNext/>
              <w:rPr>
                <w:sz w:val="20"/>
                <w:szCs w:val="20"/>
              </w:rPr>
            </w:pPr>
            <w:r w:rsidRPr="003D06FB">
              <w:rPr>
                <w:sz w:val="20"/>
                <w:szCs w:val="20"/>
              </w:rPr>
              <w:t>Computer Network Services</w:t>
            </w:r>
          </w:p>
        </w:tc>
        <w:tc>
          <w:tcPr>
            <w:tcW w:w="1789" w:type="dxa"/>
            <w:tcBorders>
              <w:top w:val="nil"/>
              <w:left w:val="nil"/>
              <w:bottom w:val="single" w:sz="4" w:space="0" w:color="auto"/>
              <w:right w:val="single" w:sz="8" w:space="0" w:color="auto"/>
            </w:tcBorders>
            <w:shd w:val="clear" w:color="auto" w:fill="auto"/>
            <w:noWrap/>
            <w:vAlign w:val="bottom"/>
            <w:hideMark/>
          </w:tcPr>
          <w:p w:rsidR="002910E6" w:rsidRPr="003D06FB" w:rsidP="00335793" w14:paraId="1F74E3EA" w14:textId="75F1CA34">
            <w:pPr>
              <w:keepNext/>
              <w:jc w:val="right"/>
              <w:rPr>
                <w:sz w:val="20"/>
                <w:szCs w:val="20"/>
              </w:rPr>
            </w:pPr>
            <w:r w:rsidRPr="003D06FB">
              <w:rPr>
                <w:sz w:val="20"/>
                <w:szCs w:val="20"/>
              </w:rPr>
              <w:t xml:space="preserve">$4,159 </w:t>
            </w:r>
          </w:p>
        </w:tc>
      </w:tr>
      <w:tr w14:paraId="37751712" w14:textId="77777777" w:rsidTr="47E0597D">
        <w:tblPrEx>
          <w:tblW w:w="8377" w:type="dxa"/>
          <w:tblInd w:w="602" w:type="dxa"/>
          <w:tblLook w:val="04A0"/>
        </w:tblPrEx>
        <w:trPr>
          <w:trHeight w:val="330"/>
        </w:trPr>
        <w:tc>
          <w:tcPr>
            <w:tcW w:w="6588"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2910E6" w:rsidRPr="003D06FB" w:rsidP="002910E6" w14:paraId="71950BAF" w14:textId="77777777">
            <w:pPr>
              <w:keepNext/>
              <w:rPr>
                <w:sz w:val="20"/>
                <w:szCs w:val="20"/>
              </w:rPr>
            </w:pPr>
            <w:r w:rsidRPr="003D06FB">
              <w:rPr>
                <w:sz w:val="20"/>
                <w:szCs w:val="20"/>
              </w:rPr>
              <w:t>Books/Periodicals/Library Services</w:t>
            </w:r>
          </w:p>
        </w:tc>
        <w:tc>
          <w:tcPr>
            <w:tcW w:w="1789" w:type="dxa"/>
            <w:tcBorders>
              <w:top w:val="single" w:sz="4" w:space="0" w:color="auto"/>
              <w:left w:val="nil"/>
              <w:bottom w:val="single" w:sz="8" w:space="0" w:color="auto"/>
              <w:right w:val="single" w:sz="8" w:space="0" w:color="auto"/>
            </w:tcBorders>
            <w:shd w:val="clear" w:color="auto" w:fill="auto"/>
            <w:noWrap/>
            <w:vAlign w:val="bottom"/>
            <w:hideMark/>
          </w:tcPr>
          <w:p w:rsidR="002910E6" w:rsidRPr="003D06FB" w:rsidP="00335793" w14:paraId="7DEE3BB2" w14:textId="7630A31A">
            <w:pPr>
              <w:keepNext/>
              <w:jc w:val="right"/>
              <w:rPr>
                <w:sz w:val="20"/>
                <w:szCs w:val="20"/>
              </w:rPr>
            </w:pPr>
            <w:r w:rsidRPr="003D06FB">
              <w:rPr>
                <w:sz w:val="20"/>
                <w:szCs w:val="20"/>
              </w:rPr>
              <w:t xml:space="preserve">$14 </w:t>
            </w:r>
          </w:p>
        </w:tc>
      </w:tr>
      <w:tr w14:paraId="646893D9" w14:textId="77777777" w:rsidTr="47E0597D">
        <w:tblPrEx>
          <w:tblW w:w="8377" w:type="dxa"/>
          <w:tblInd w:w="602" w:type="dxa"/>
          <w:tblLook w:val="04A0"/>
        </w:tblPrEx>
        <w:trPr>
          <w:trHeight w:val="315"/>
        </w:trPr>
        <w:tc>
          <w:tcPr>
            <w:tcW w:w="6588"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2910E6" w:rsidRPr="003D06FB" w:rsidP="002910E6" w14:paraId="2202EDAD" w14:textId="77777777">
            <w:pPr>
              <w:keepNext/>
              <w:rPr>
                <w:sz w:val="20"/>
                <w:szCs w:val="20"/>
              </w:rPr>
            </w:pPr>
            <w:r w:rsidRPr="003D06FB">
              <w:rPr>
                <w:sz w:val="20"/>
                <w:szCs w:val="20"/>
              </w:rPr>
              <w:t>Reproduction @ $.095/page</w:t>
            </w:r>
          </w:p>
        </w:tc>
        <w:tc>
          <w:tcPr>
            <w:tcW w:w="1789" w:type="dxa"/>
            <w:tcBorders>
              <w:top w:val="nil"/>
              <w:left w:val="nil"/>
              <w:bottom w:val="single" w:sz="8" w:space="0" w:color="auto"/>
              <w:right w:val="single" w:sz="8" w:space="0" w:color="auto"/>
            </w:tcBorders>
            <w:shd w:val="clear" w:color="auto" w:fill="auto"/>
            <w:noWrap/>
            <w:vAlign w:val="bottom"/>
            <w:hideMark/>
          </w:tcPr>
          <w:p w:rsidR="002910E6" w:rsidRPr="003D06FB" w:rsidP="00335793" w14:paraId="6564BB0B" w14:textId="42EE0532">
            <w:pPr>
              <w:keepNext/>
              <w:jc w:val="right"/>
              <w:rPr>
                <w:sz w:val="20"/>
                <w:szCs w:val="20"/>
              </w:rPr>
            </w:pPr>
            <w:r w:rsidRPr="003D06FB">
              <w:rPr>
                <w:sz w:val="20"/>
                <w:szCs w:val="20"/>
              </w:rPr>
              <w:t xml:space="preserve">$27 </w:t>
            </w:r>
          </w:p>
        </w:tc>
      </w:tr>
      <w:tr w14:paraId="227359F3" w14:textId="77777777" w:rsidTr="47E0597D">
        <w:tblPrEx>
          <w:tblW w:w="8377" w:type="dxa"/>
          <w:tblInd w:w="602" w:type="dxa"/>
          <w:tblLook w:val="04A0"/>
        </w:tblPrEx>
        <w:trPr>
          <w:trHeight w:val="315"/>
        </w:trPr>
        <w:tc>
          <w:tcPr>
            <w:tcW w:w="6588"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2910E6" w:rsidRPr="003D06FB" w:rsidP="002910E6" w14:paraId="1AFCD988" w14:textId="77777777">
            <w:pPr>
              <w:keepNext/>
              <w:rPr>
                <w:sz w:val="20"/>
                <w:szCs w:val="20"/>
              </w:rPr>
            </w:pPr>
            <w:r w:rsidRPr="003D06FB">
              <w:rPr>
                <w:sz w:val="20"/>
                <w:szCs w:val="20"/>
              </w:rPr>
              <w:t>Telephone Expenses</w:t>
            </w:r>
          </w:p>
        </w:tc>
        <w:tc>
          <w:tcPr>
            <w:tcW w:w="1789" w:type="dxa"/>
            <w:tcBorders>
              <w:top w:val="nil"/>
              <w:left w:val="nil"/>
              <w:bottom w:val="single" w:sz="8" w:space="0" w:color="auto"/>
              <w:right w:val="single" w:sz="8" w:space="0" w:color="auto"/>
            </w:tcBorders>
            <w:shd w:val="clear" w:color="auto" w:fill="auto"/>
            <w:noWrap/>
            <w:vAlign w:val="bottom"/>
            <w:hideMark/>
          </w:tcPr>
          <w:p w:rsidR="002910E6" w:rsidRPr="003D06FB" w:rsidP="00335793" w14:paraId="7131E6E2" w14:textId="404A269B">
            <w:pPr>
              <w:keepNext/>
              <w:jc w:val="right"/>
              <w:rPr>
                <w:sz w:val="20"/>
                <w:szCs w:val="20"/>
              </w:rPr>
            </w:pPr>
            <w:r w:rsidRPr="003D06FB">
              <w:rPr>
                <w:sz w:val="20"/>
                <w:szCs w:val="20"/>
              </w:rPr>
              <w:t xml:space="preserve">$41 </w:t>
            </w:r>
          </w:p>
        </w:tc>
      </w:tr>
      <w:tr w14:paraId="4FD95B3A" w14:textId="77777777" w:rsidTr="47E0597D">
        <w:tblPrEx>
          <w:tblW w:w="8377" w:type="dxa"/>
          <w:tblInd w:w="602" w:type="dxa"/>
          <w:tblLook w:val="04A0"/>
        </w:tblPrEx>
        <w:trPr>
          <w:trHeight w:val="315"/>
        </w:trPr>
        <w:tc>
          <w:tcPr>
            <w:tcW w:w="6588"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2910E6" w:rsidRPr="003D06FB" w:rsidP="002910E6" w14:paraId="3E4E7DD8" w14:textId="77777777">
            <w:pPr>
              <w:keepNext/>
              <w:rPr>
                <w:sz w:val="20"/>
                <w:szCs w:val="20"/>
              </w:rPr>
            </w:pPr>
            <w:r w:rsidRPr="003D06FB">
              <w:rPr>
                <w:sz w:val="20"/>
                <w:szCs w:val="20"/>
              </w:rPr>
              <w:t>Postage/Delivery</w:t>
            </w:r>
          </w:p>
        </w:tc>
        <w:tc>
          <w:tcPr>
            <w:tcW w:w="1789" w:type="dxa"/>
            <w:tcBorders>
              <w:top w:val="nil"/>
              <w:left w:val="nil"/>
              <w:bottom w:val="single" w:sz="8" w:space="0" w:color="auto"/>
              <w:right w:val="single" w:sz="8" w:space="0" w:color="auto"/>
            </w:tcBorders>
            <w:shd w:val="clear" w:color="auto" w:fill="auto"/>
            <w:noWrap/>
            <w:vAlign w:val="bottom"/>
            <w:hideMark/>
          </w:tcPr>
          <w:p w:rsidR="002910E6" w:rsidRPr="003D06FB" w:rsidP="00335793" w14:paraId="643E94A5" w14:textId="77B7E12C">
            <w:pPr>
              <w:keepNext/>
              <w:jc w:val="right"/>
              <w:rPr>
                <w:sz w:val="20"/>
                <w:szCs w:val="20"/>
              </w:rPr>
            </w:pPr>
            <w:r w:rsidRPr="003D06FB">
              <w:rPr>
                <w:sz w:val="20"/>
                <w:szCs w:val="20"/>
              </w:rPr>
              <w:t xml:space="preserve">$14 </w:t>
            </w:r>
          </w:p>
        </w:tc>
      </w:tr>
      <w:tr w14:paraId="038E9BD6" w14:textId="77777777" w:rsidTr="47E0597D">
        <w:tblPrEx>
          <w:tblW w:w="8377" w:type="dxa"/>
          <w:tblInd w:w="602" w:type="dxa"/>
          <w:tblLook w:val="04A0"/>
        </w:tblPrEx>
        <w:trPr>
          <w:trHeight w:val="315"/>
        </w:trPr>
        <w:tc>
          <w:tcPr>
            <w:tcW w:w="6588"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2910E6" w:rsidRPr="003D06FB" w:rsidP="002910E6" w14:paraId="608D9F61" w14:textId="77777777">
            <w:pPr>
              <w:keepNext/>
              <w:rPr>
                <w:sz w:val="20"/>
                <w:szCs w:val="20"/>
              </w:rPr>
            </w:pPr>
            <w:r w:rsidRPr="003D06FB">
              <w:rPr>
                <w:sz w:val="20"/>
                <w:szCs w:val="20"/>
              </w:rPr>
              <w:t>Supplies and Miscellaneous</w:t>
            </w:r>
          </w:p>
        </w:tc>
        <w:tc>
          <w:tcPr>
            <w:tcW w:w="1789" w:type="dxa"/>
            <w:tcBorders>
              <w:top w:val="nil"/>
              <w:left w:val="nil"/>
              <w:bottom w:val="single" w:sz="8" w:space="0" w:color="auto"/>
              <w:right w:val="single" w:sz="8" w:space="0" w:color="auto"/>
            </w:tcBorders>
            <w:shd w:val="clear" w:color="auto" w:fill="auto"/>
            <w:noWrap/>
            <w:vAlign w:val="bottom"/>
            <w:hideMark/>
          </w:tcPr>
          <w:p w:rsidR="002910E6" w:rsidRPr="003D06FB" w:rsidP="00335793" w14:paraId="342827E0" w14:textId="64463F28">
            <w:pPr>
              <w:keepNext/>
              <w:jc w:val="right"/>
              <w:rPr>
                <w:sz w:val="20"/>
                <w:szCs w:val="20"/>
              </w:rPr>
            </w:pPr>
            <w:r w:rsidRPr="003D06FB">
              <w:rPr>
                <w:sz w:val="20"/>
                <w:szCs w:val="20"/>
              </w:rPr>
              <w:t xml:space="preserve">$14 </w:t>
            </w:r>
          </w:p>
        </w:tc>
      </w:tr>
      <w:tr w14:paraId="4C73AF33" w14:textId="77777777" w:rsidTr="47E0597D">
        <w:tblPrEx>
          <w:tblW w:w="8377" w:type="dxa"/>
          <w:tblInd w:w="602" w:type="dxa"/>
          <w:tblLook w:val="04A0"/>
        </w:tblPrEx>
        <w:trPr>
          <w:cantSplit/>
          <w:trHeight w:val="832"/>
        </w:trPr>
        <w:tc>
          <w:tcPr>
            <w:tcW w:w="4734" w:type="dxa"/>
            <w:gridSpan w:val="2"/>
            <w:tcBorders>
              <w:top w:val="single" w:sz="8" w:space="0" w:color="auto"/>
              <w:left w:val="single" w:sz="8" w:space="0" w:color="auto"/>
              <w:bottom w:val="single" w:sz="8" w:space="0" w:color="000000" w:themeColor="text1"/>
              <w:right w:val="nil"/>
            </w:tcBorders>
            <w:shd w:val="clear" w:color="auto" w:fill="FCD5B4"/>
            <w:noWrap/>
            <w:vAlign w:val="center"/>
            <w:hideMark/>
          </w:tcPr>
          <w:p w:rsidR="00773A8F" w:rsidRPr="003D06FB" w:rsidP="00983179" w14:paraId="61AC2B46" w14:textId="77777777">
            <w:pPr>
              <w:keepNext/>
              <w:rPr>
                <w:sz w:val="20"/>
                <w:szCs w:val="20"/>
              </w:rPr>
            </w:pPr>
            <w:r w:rsidRPr="003D06FB">
              <w:rPr>
                <w:sz w:val="20"/>
                <w:szCs w:val="20"/>
              </w:rPr>
              <w:t>Total Expenses:</w:t>
            </w:r>
          </w:p>
        </w:tc>
        <w:tc>
          <w:tcPr>
            <w:tcW w:w="3643" w:type="dxa"/>
            <w:gridSpan w:val="3"/>
            <w:tcBorders>
              <w:top w:val="single" w:sz="8" w:space="0" w:color="auto"/>
              <w:left w:val="nil"/>
              <w:bottom w:val="single" w:sz="8" w:space="0" w:color="000000" w:themeColor="text1"/>
              <w:right w:val="single" w:sz="8" w:space="0" w:color="000000" w:themeColor="text1"/>
            </w:tcBorders>
            <w:shd w:val="clear" w:color="auto" w:fill="FCD5B4"/>
            <w:noWrap/>
            <w:vAlign w:val="center"/>
            <w:hideMark/>
          </w:tcPr>
          <w:p w:rsidR="00773A8F" w:rsidRPr="003D06FB" w:rsidP="00335793" w14:paraId="250503E8" w14:textId="1C72DAA9">
            <w:pPr>
              <w:keepNext/>
              <w:jc w:val="right"/>
              <w:rPr>
                <w:sz w:val="20"/>
                <w:szCs w:val="20"/>
              </w:rPr>
            </w:pPr>
            <w:r w:rsidRPr="003D06FB">
              <w:rPr>
                <w:sz w:val="20"/>
                <w:szCs w:val="20"/>
              </w:rPr>
              <w:t>$32,184.04</w:t>
            </w:r>
          </w:p>
        </w:tc>
      </w:tr>
    </w:tbl>
    <w:p w:rsidR="00773A8F" w:rsidRPr="00B52157" w:rsidP="00983179" w14:paraId="359DDC83" w14:textId="77777777">
      <w:pPr>
        <w:pStyle w:val="NoSpacing"/>
        <w:ind w:left="0"/>
      </w:pPr>
    </w:p>
    <w:p w:rsidR="00C14916" w:rsidRPr="0057092B" w:rsidP="00E654A8" w14:paraId="44440693" w14:textId="45E9CE58">
      <w:pPr>
        <w:pStyle w:val="Heading2"/>
        <w:numPr>
          <w:ilvl w:val="0"/>
          <w:numId w:val="46"/>
        </w:numPr>
        <w:ind w:left="360"/>
        <w:rPr>
          <w:b/>
          <w:u w:val="none"/>
        </w:rPr>
      </w:pPr>
      <w:r w:rsidRPr="0057092B">
        <w:rPr>
          <w:b/>
          <w:u w:val="none"/>
        </w:rPr>
        <w:t>Explain the reasons for any program changes or adjustments reported on the burden worksheet.</w:t>
      </w:r>
    </w:p>
    <w:p w:rsidR="00C14916" w:rsidRPr="00B52157" w:rsidP="00983179" w14:paraId="00BD0D86" w14:textId="603D9970">
      <w:pPr>
        <w:pStyle w:val="NoSpacing"/>
        <w:ind w:left="0"/>
      </w:pPr>
      <w:r>
        <w:t xml:space="preserve">Since the last OMB package submission, there has been attrition in sites actively participating in the Demonstration – reduced from six to four sites. This shift has decreased the total number of eligible respondents </w:t>
      </w:r>
      <w:r w:rsidR="00A161D6">
        <w:t xml:space="preserve">across sites </w:t>
      </w:r>
      <w:r>
        <w:t>for both the Partnership Survey and the Time Use Survey.</w:t>
      </w:r>
    </w:p>
    <w:p w:rsidR="00C14916" w:rsidRPr="00B52157" w:rsidP="00983179" w14:paraId="2B74C712" w14:textId="77777777">
      <w:pPr>
        <w:pStyle w:val="NoSpacing"/>
        <w:ind w:left="0"/>
      </w:pPr>
    </w:p>
    <w:p w:rsidR="00C14916" w:rsidRPr="0057092B" w:rsidP="00155117" w14:paraId="3A05CEB0" w14:textId="77777777">
      <w:pPr>
        <w:pStyle w:val="Heading2"/>
        <w:numPr>
          <w:ilvl w:val="0"/>
          <w:numId w:val="46"/>
        </w:numPr>
        <w:ind w:left="360"/>
        <w:rPr>
          <w:b/>
          <w:bCs/>
          <w:u w:val="none"/>
        </w:rPr>
      </w:pPr>
      <w:r w:rsidRPr="0057092B">
        <w:rPr>
          <w:b/>
          <w:bCs/>
          <w:u w:val="none"/>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6542B" w:rsidRPr="00B52157" w:rsidP="00983179" w14:paraId="1AECE0FA" w14:textId="77777777">
      <w:pPr>
        <w:pStyle w:val="NoSpacing"/>
        <w:ind w:left="0"/>
      </w:pPr>
    </w:p>
    <w:p w:rsidR="00C27118" w:rsidRPr="00B52157" w:rsidP="00983179" w14:paraId="77DCC2B6" w14:textId="3E887F42">
      <w:pPr>
        <w:pStyle w:val="Heading3"/>
        <w:ind w:left="0"/>
        <w:rPr>
          <w:b w:val="0"/>
          <w:i/>
          <w:u w:val="single"/>
        </w:rPr>
      </w:pPr>
      <w:r w:rsidRPr="00B52157">
        <w:rPr>
          <w:b w:val="0"/>
          <w:u w:val="single"/>
        </w:rPr>
        <w:t>Partnership Survey</w:t>
      </w:r>
    </w:p>
    <w:p w:rsidR="0036542B" w:rsidRPr="00B52157" w:rsidP="00983179" w14:paraId="6B26CB42" w14:textId="77777777">
      <w:pPr>
        <w:pStyle w:val="NoSpacing"/>
        <w:ind w:left="0"/>
      </w:pPr>
    </w:p>
    <w:p w:rsidR="00D2285B" w:rsidRPr="00B52157" w:rsidP="00983179" w14:paraId="4A5088A7" w14:textId="14B8955C">
      <w:pPr>
        <w:pStyle w:val="NoSpacing"/>
        <w:ind w:left="0"/>
      </w:pPr>
      <w:r>
        <w:t>After receiving our original OMB approval, the Urban Institute has conducted the Partnership Survey on an annual basis, from January 2018 through March 2024. This renewal application requests approval for these activities through February 2026.</w:t>
      </w:r>
    </w:p>
    <w:p w:rsidR="002A011D" w:rsidRPr="00B52157" w:rsidP="00983179" w14:paraId="0E975B3E" w14:textId="77777777">
      <w:pPr>
        <w:pStyle w:val="NoSpacing"/>
        <w:ind w:left="0"/>
      </w:pPr>
    </w:p>
    <w:p w:rsidR="00D2285B" w:rsidRPr="00B52157" w:rsidP="00983179" w14:paraId="5F941491" w14:textId="63C38ABB">
      <w:pPr>
        <w:pStyle w:val="NoSpacing"/>
        <w:ind w:left="0"/>
      </w:pPr>
      <w:r>
        <w:t xml:space="preserve">During the survey fielding period, progress on survey administration will be reported bi-monthly to HUD. A summary will be provided upon survey completion with tables of frequencies for all survey questions. </w:t>
      </w:r>
    </w:p>
    <w:p w:rsidR="002A011D" w:rsidRPr="00B52157" w:rsidP="00983179" w14:paraId="4EE5DD9C" w14:textId="77777777">
      <w:pPr>
        <w:pStyle w:val="NoSpacing"/>
        <w:ind w:left="0"/>
      </w:pPr>
    </w:p>
    <w:p w:rsidR="002A011D" w:rsidRPr="00B52157" w14:paraId="76E2E3F7" w14:textId="7C92D330">
      <w:pPr>
        <w:pStyle w:val="NoSpacing"/>
        <w:ind w:left="0"/>
      </w:pPr>
      <w:r>
        <w:t>Results from the Partnership Survey are included in the Year</w:t>
      </w:r>
      <w:r w:rsidR="00113634">
        <w:t>s</w:t>
      </w:r>
      <w:r>
        <w:t xml:space="preserve"> 4</w:t>
      </w:r>
      <w:r w:rsidR="00113634">
        <w:t xml:space="preserve"> and </w:t>
      </w:r>
      <w:r>
        <w:t xml:space="preserve">5 Evaluation Report, which is currently undergoing HUD clearance and will be made publicly available. Results were also included in the Year 3 Evaluation Report, which is already public. Additional results, including looking at change over time will be presented in the remaining annual reports and comprehensive final report, along with descriptive statistics and correlations. Crosstabs of survey responses by organization type and respondent role will also be produced. </w:t>
      </w:r>
    </w:p>
    <w:p w:rsidR="00447517" w:rsidRPr="00B52157" w:rsidP="00983179" w14:paraId="31B2EF8C" w14:textId="389C9138">
      <w:pPr>
        <w:pStyle w:val="NoSpacing"/>
        <w:ind w:left="0"/>
      </w:pPr>
    </w:p>
    <w:p w:rsidR="00447517" w:rsidRPr="00B52157" w:rsidP="00983179" w14:paraId="53AC4838" w14:textId="55AC9B6A">
      <w:pPr>
        <w:pStyle w:val="Heading3"/>
        <w:ind w:left="0"/>
        <w:rPr>
          <w:b w:val="0"/>
          <w:i/>
          <w:u w:val="single"/>
        </w:rPr>
      </w:pPr>
      <w:r>
        <w:rPr>
          <w:b w:val="0"/>
          <w:u w:val="single"/>
        </w:rPr>
        <w:t>Time Use Survey</w:t>
      </w:r>
    </w:p>
    <w:p w:rsidR="00447517" w:rsidRPr="00B52157" w:rsidP="00983179" w14:paraId="135B5D45" w14:textId="77777777">
      <w:pPr>
        <w:pStyle w:val="NoSpacing"/>
        <w:ind w:left="0"/>
      </w:pPr>
    </w:p>
    <w:p w:rsidR="00447517" w:rsidRPr="00B52157" w:rsidP="00983179" w14:paraId="3315DA23" w14:textId="59D327BE">
      <w:pPr>
        <w:pStyle w:val="NoSpacing"/>
        <w:ind w:left="0"/>
      </w:pPr>
      <w:r>
        <w:t xml:space="preserve">The Urban Institute will conduct the </w:t>
      </w:r>
      <w:r w:rsidR="0018218A">
        <w:t>Time Use Survey</w:t>
      </w:r>
      <w:r>
        <w:t xml:space="preserve"> data collection on a</w:t>
      </w:r>
      <w:r w:rsidR="00F51BEF">
        <w:t xml:space="preserve"> quarterly</w:t>
      </w:r>
      <w:r>
        <w:t xml:space="preserve"> basis from the time of this renewal to the conclusion of </w:t>
      </w:r>
      <w:r w:rsidR="00E07482">
        <w:t>the demonstration</w:t>
      </w:r>
      <w:r>
        <w:t xml:space="preserve">. </w:t>
      </w:r>
    </w:p>
    <w:p w:rsidR="00447517" w:rsidRPr="00B52157" w:rsidP="00983179" w14:paraId="030EAA65" w14:textId="77777777">
      <w:pPr>
        <w:pStyle w:val="NoSpacing"/>
        <w:ind w:left="0"/>
      </w:pPr>
    </w:p>
    <w:p w:rsidR="00447517" w:rsidRPr="00B52157" w:rsidP="00983179" w14:paraId="64AB8728" w14:textId="14A895FE">
      <w:pPr>
        <w:pStyle w:val="NoSpacing"/>
        <w:ind w:left="0"/>
      </w:pPr>
      <w:r w:rsidRPr="00B52157">
        <w:t xml:space="preserve">The </w:t>
      </w:r>
      <w:r w:rsidRPr="00B52157">
        <w:t xml:space="preserve">Urban Institute will analyze the data annually and summarize the </w:t>
      </w:r>
      <w:r w:rsidR="0018218A">
        <w:t>Time Use Survey</w:t>
      </w:r>
      <w:r w:rsidRPr="00B52157">
        <w:t xml:space="preserve"> </w:t>
      </w:r>
      <w:r w:rsidRPr="00B52157">
        <w:t xml:space="preserve">costs of each PFS </w:t>
      </w:r>
      <w:r w:rsidRPr="00B52157" w:rsidR="00046EE6">
        <w:t>phase</w:t>
      </w:r>
      <w:r w:rsidRPr="00B52157">
        <w:t xml:space="preserve"> as projects move through feasibility analysis, transaction structuring, and implementation. By combining information from actual grant spending from DRGR with time estimates from staff informants and any information about additional funding, we will develop descriptions of the overall time spent. </w:t>
      </w:r>
      <w:r w:rsidRPr="00B52157" w:rsidR="000C06EB">
        <w:t xml:space="preserve">The research team </w:t>
      </w:r>
      <w:r w:rsidRPr="00B52157">
        <w:t>will break this down by partner</w:t>
      </w:r>
      <w:r w:rsidRPr="00B52157">
        <w:t xml:space="preserve"> organizations</w:t>
      </w:r>
      <w:r w:rsidRPr="00B52157">
        <w:t xml:space="preserve"> and by site, how many people at what level are involved in working on each PFS project, and what portion of PFS project time is and is not covered by the HUD grant. In addition, </w:t>
      </w:r>
      <w:r w:rsidRPr="00B52157" w:rsidR="000C06EB">
        <w:t>a description will be included of</w:t>
      </w:r>
      <w:r w:rsidRPr="00B52157">
        <w:t xml:space="preserve"> these time costs by PFS phase. Because different </w:t>
      </w:r>
      <w:r w:rsidR="00335793">
        <w:t>Demonstration</w:t>
      </w:r>
      <w:r w:rsidRPr="00B52157">
        <w:t xml:space="preserve"> sites’ grants cover different PFS phases, data from different sites will be involved in the estimates for the different phases.</w:t>
      </w:r>
    </w:p>
    <w:p w:rsidR="00EA2223" w:rsidRPr="00B52157" w:rsidP="00983179" w14:paraId="11988177" w14:textId="22AB7140">
      <w:pPr>
        <w:pStyle w:val="NoSpacing"/>
        <w:ind w:left="0"/>
      </w:pPr>
    </w:p>
    <w:p w:rsidR="00EA2223" w:rsidRPr="00335793" w:rsidP="078D9CD3" w14:paraId="26246584" w14:textId="1099BCC6">
      <w:pPr>
        <w:pStyle w:val="NoSpacing"/>
        <w:ind w:left="0"/>
        <w:rPr>
          <w:b/>
        </w:rPr>
      </w:pPr>
      <w:r>
        <w:t>Time use results have been included in the Year</w:t>
      </w:r>
      <w:r w:rsidR="00462B47">
        <w:t>s</w:t>
      </w:r>
      <w:r>
        <w:t xml:space="preserve"> 4</w:t>
      </w:r>
      <w:r w:rsidR="00462B47">
        <w:t xml:space="preserve"> and </w:t>
      </w:r>
      <w:r>
        <w:t>5 Evaluation Report, which is currently undergoing HUD clearance and will be made publicly available. Additional results, including looking at change over time, will be presented in the final report, along with analyses of survey responses by organization type and respondent role.</w:t>
      </w:r>
    </w:p>
    <w:p w:rsidR="00890571" w:rsidRPr="00B52157" w:rsidP="00983179" w14:paraId="3EDBCC2B" w14:textId="2A531DC1">
      <w:pPr>
        <w:pStyle w:val="NoSpacing"/>
        <w:ind w:left="0"/>
      </w:pPr>
    </w:p>
    <w:p w:rsidR="00447517" w:rsidRPr="00B52157" w:rsidP="00983179" w14:paraId="62A126B5" w14:textId="607FB92F">
      <w:pPr>
        <w:pStyle w:val="NoSpacing"/>
        <w:ind w:left="0"/>
      </w:pPr>
      <w:r>
        <w:t xml:space="preserve">Findings will be discussed in annual reports and briefs and considered in relation to findings across other research objectives. Since receiving our original OMB approval, we have included </w:t>
      </w:r>
      <w:r w:rsidR="0018218A">
        <w:t>Time Use Survey</w:t>
      </w:r>
      <w:r>
        <w:t xml:space="preserve"> findings in three annual reports and in briefings to HUD and DOJ project leadership. After this renewal, we will include </w:t>
      </w:r>
      <w:r w:rsidR="0018218A">
        <w:t>Time Use Survey</w:t>
      </w:r>
      <w:r>
        <w:t xml:space="preserve"> findings in the remaining annual reports and comprehensive final report, and in a final briefing at the end of the Demonstration.  </w:t>
      </w:r>
    </w:p>
    <w:p w:rsidR="00447517" w:rsidRPr="00B52157" w:rsidP="00983179" w14:paraId="697BF67F" w14:textId="77777777">
      <w:pPr>
        <w:pStyle w:val="NoSpacing"/>
        <w:ind w:left="0"/>
      </w:pPr>
    </w:p>
    <w:p w:rsidR="00C14916" w:rsidRPr="00A00284" w:rsidP="00293E9F" w14:paraId="1C081CEC" w14:textId="77777777">
      <w:pPr>
        <w:pStyle w:val="Heading2"/>
        <w:numPr>
          <w:ilvl w:val="0"/>
          <w:numId w:val="46"/>
        </w:numPr>
        <w:ind w:left="360"/>
        <w:rPr>
          <w:b/>
          <w:u w:val="none"/>
        </w:rPr>
      </w:pPr>
      <w:r w:rsidRPr="00A00284">
        <w:rPr>
          <w:b/>
          <w:u w:val="none"/>
        </w:rPr>
        <w:t>If you are seeking approval to not display the expiration date for OMB approval of the information collection, explain the reasons that display would be inappropriate.</w:t>
      </w:r>
    </w:p>
    <w:p w:rsidR="00C14916" w:rsidRPr="00B52157" w:rsidP="00983179" w14:paraId="7E4A5795" w14:textId="77777777">
      <w:pPr>
        <w:pStyle w:val="NoSpacing"/>
        <w:ind w:left="0"/>
      </w:pPr>
    </w:p>
    <w:p w:rsidR="00C14916" w:rsidRPr="00B52157" w:rsidP="00983179" w14:paraId="050EE4C5" w14:textId="77777777">
      <w:pPr>
        <w:pStyle w:val="NoSpacing"/>
        <w:ind w:left="0"/>
      </w:pPr>
      <w:r w:rsidRPr="00B52157">
        <w:t>The expiration date for OMB approval will be displayed on any forms completed as part of the data collection.</w:t>
      </w:r>
    </w:p>
    <w:p w:rsidR="00C14916" w:rsidRPr="00B52157" w:rsidP="00983179" w14:paraId="276B13F0" w14:textId="77777777">
      <w:pPr>
        <w:pStyle w:val="NoSpacing"/>
        <w:ind w:left="0"/>
      </w:pPr>
    </w:p>
    <w:p w:rsidR="00C14916" w:rsidRPr="0057092B" w:rsidP="00293E9F" w14:paraId="51E8A4C5" w14:textId="77777777">
      <w:pPr>
        <w:pStyle w:val="Heading2"/>
        <w:numPr>
          <w:ilvl w:val="0"/>
          <w:numId w:val="46"/>
        </w:numPr>
        <w:ind w:left="360"/>
        <w:rPr>
          <w:b/>
          <w:u w:val="none"/>
        </w:rPr>
      </w:pPr>
      <w:r w:rsidRPr="0057092B">
        <w:rPr>
          <w:b/>
          <w:u w:val="none"/>
        </w:rPr>
        <w:t>Explain each exception to the topics of the certification statement identified in Certification for Paperwork Reduction Act Submissions.</w:t>
      </w:r>
    </w:p>
    <w:p w:rsidR="00C14916" w:rsidRPr="00B52157" w:rsidP="00983179" w14:paraId="6505F773" w14:textId="77777777">
      <w:pPr>
        <w:pStyle w:val="NoSpacing"/>
        <w:ind w:left="0"/>
      </w:pPr>
    </w:p>
    <w:p w:rsidR="00C14916" w:rsidRPr="004909FB" w:rsidP="00983179" w14:paraId="30F2E779" w14:textId="77777777">
      <w:pPr>
        <w:pStyle w:val="NoSpacing"/>
        <w:ind w:left="0"/>
      </w:pPr>
      <w:r w:rsidRPr="00B52157">
        <w:t>No exceptions are necessary for this information collection.</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Regular">
    <w:altName w:val="Calibri"/>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Lato Medium">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Lato Bold">
    <w:altName w:val="Segoe UI"/>
    <w:charset w:val="00"/>
    <w:family w:val="auto"/>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Arial"/>
    <w:charset w:val="B1"/>
    <w:family w:val="swiss"/>
    <w:pitch w:val="variable"/>
    <w:sig w:usb0="80000A67" w:usb1="00000000" w:usb2="00000000" w:usb3="00000000" w:csb0="000001F7" w:csb1="00000000"/>
  </w:font>
  <w:font w:name="Lato Light">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7644244"/>
      <w:docPartObj>
        <w:docPartGallery w:val="Page Numbers (Bottom of Page)"/>
        <w:docPartUnique/>
      </w:docPartObj>
    </w:sdtPr>
    <w:sdtEndPr>
      <w:rPr>
        <w:noProof/>
      </w:rPr>
    </w:sdtEndPr>
    <w:sdtContent>
      <w:p w:rsidR="00E1433E" w14:paraId="4337B942" w14:textId="3C711256">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E1433E" w14:paraId="4BB3E2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62A08" w:rsidP="001E7E6E" w14:paraId="1E260419" w14:textId="77777777">
      <w:r>
        <w:separator/>
      </w:r>
    </w:p>
  </w:footnote>
  <w:footnote w:type="continuationSeparator" w:id="1">
    <w:p w:rsidR="00F62A08" w:rsidP="001E7E6E" w14:paraId="1A8CC559" w14:textId="77777777">
      <w:r>
        <w:continuationSeparator/>
      </w:r>
    </w:p>
  </w:footnote>
  <w:footnote w:id="2">
    <w:p w:rsidR="00950E08" w:rsidRPr="00B52157" w:rsidP="00950E08" w14:paraId="191D4802" w14:textId="77777777">
      <w:r>
        <w:rPr>
          <w:rStyle w:val="FootnoteReference"/>
        </w:rPr>
        <w:footnoteRef/>
      </w:r>
      <w:r>
        <w:t xml:space="preserve"> </w:t>
      </w:r>
    </w:p>
    <w:tbl>
      <w:tblPr>
        <w:tblW w:w="0" w:type="auto"/>
        <w:tblCellSpacing w:w="15" w:type="dxa"/>
        <w:tblCellMar>
          <w:top w:w="150" w:type="dxa"/>
          <w:left w:w="150" w:type="dxa"/>
          <w:bottom w:w="150" w:type="dxa"/>
          <w:right w:w="150" w:type="dxa"/>
        </w:tblCellMar>
        <w:tblLook w:val="04A0"/>
      </w:tblPr>
      <w:tblGrid>
        <w:gridCol w:w="1893"/>
        <w:gridCol w:w="2967"/>
        <w:gridCol w:w="1260"/>
        <w:gridCol w:w="1505"/>
        <w:gridCol w:w="1735"/>
      </w:tblGrid>
      <w:tr w14:paraId="522FDBAE" w14:textId="77777777" w:rsidTr="00C25396">
        <w:tblPrEx>
          <w:tblW w:w="0" w:type="auto"/>
          <w:tblCellSpacing w:w="15" w:type="dxa"/>
          <w:tblCellMar>
            <w:top w:w="150" w:type="dxa"/>
            <w:left w:w="150" w:type="dxa"/>
            <w:bottom w:w="150" w:type="dxa"/>
            <w:right w:w="150" w:type="dxa"/>
          </w:tblCellMar>
          <w:tblLook w:val="04A0"/>
        </w:tblPrEx>
        <w:trPr>
          <w:trHeight w:val="855"/>
          <w:tblHeader/>
          <w:tblCellSpacing w:w="15" w:type="dxa"/>
        </w:trPr>
        <w:tc>
          <w:tcPr>
            <w:tcW w:w="0" w:type="auto"/>
            <w:tcBorders>
              <w:top w:val="single" w:sz="6" w:space="0" w:color="333333"/>
              <w:left w:val="nil"/>
              <w:bottom w:val="single" w:sz="6" w:space="0" w:color="333333"/>
              <w:right w:val="single" w:sz="6" w:space="0" w:color="333333"/>
            </w:tcBorders>
            <w:shd w:val="clear" w:color="auto" w:fill="F1F1F1"/>
            <w:tcMar>
              <w:top w:w="90" w:type="dxa"/>
              <w:left w:w="90" w:type="dxa"/>
              <w:bottom w:w="90" w:type="dxa"/>
              <w:right w:w="90" w:type="dxa"/>
            </w:tcMar>
            <w:vAlign w:val="center"/>
            <w:hideMark/>
          </w:tcPr>
          <w:p w:rsidR="00950E08" w:rsidRPr="00C25396" w:rsidP="00950E08" w14:paraId="1360455A" w14:textId="77777777">
            <w:pPr>
              <w:rPr>
                <w:b/>
                <w:bCs/>
                <w:sz w:val="16"/>
                <w:szCs w:val="16"/>
              </w:rPr>
            </w:pPr>
            <w:r w:rsidRPr="00C25396">
              <w:rPr>
                <w:b/>
                <w:bCs/>
                <w:sz w:val="16"/>
                <w:szCs w:val="16"/>
              </w:rPr>
              <w:t>Respondent</w:t>
            </w:r>
          </w:p>
        </w:tc>
        <w:tc>
          <w:tcPr>
            <w:tcW w:w="2937" w:type="dxa"/>
            <w:tcBorders>
              <w:top w:val="single" w:sz="6" w:space="0" w:color="333333"/>
              <w:left w:val="nil"/>
              <w:bottom w:val="single" w:sz="6" w:space="0" w:color="333333"/>
              <w:right w:val="single" w:sz="6" w:space="0" w:color="333333"/>
            </w:tcBorders>
            <w:shd w:val="clear" w:color="auto" w:fill="F1F1F1"/>
            <w:tcMar>
              <w:top w:w="90" w:type="dxa"/>
              <w:left w:w="90" w:type="dxa"/>
              <w:bottom w:w="90" w:type="dxa"/>
              <w:right w:w="90" w:type="dxa"/>
            </w:tcMar>
            <w:vAlign w:val="center"/>
            <w:hideMark/>
          </w:tcPr>
          <w:p w:rsidR="00950E08" w:rsidRPr="00C25396" w:rsidP="00950E08" w14:paraId="6F515241" w14:textId="77777777">
            <w:pPr>
              <w:rPr>
                <w:b/>
                <w:bCs/>
                <w:sz w:val="16"/>
                <w:szCs w:val="16"/>
              </w:rPr>
            </w:pPr>
            <w:r w:rsidRPr="00C25396">
              <w:rPr>
                <w:b/>
                <w:bCs/>
                <w:sz w:val="16"/>
                <w:szCs w:val="16"/>
              </w:rPr>
              <w:t>Occupation</w:t>
            </w:r>
          </w:p>
        </w:tc>
        <w:tc>
          <w:tcPr>
            <w:tcW w:w="1230" w:type="dxa"/>
            <w:tcBorders>
              <w:top w:val="single" w:sz="6" w:space="0" w:color="333333"/>
              <w:left w:val="nil"/>
              <w:bottom w:val="single" w:sz="6" w:space="0" w:color="333333"/>
              <w:right w:val="single" w:sz="6" w:space="0" w:color="333333"/>
            </w:tcBorders>
            <w:shd w:val="clear" w:color="auto" w:fill="F1F1F1"/>
            <w:tcMar>
              <w:top w:w="90" w:type="dxa"/>
              <w:left w:w="90" w:type="dxa"/>
              <w:bottom w:w="90" w:type="dxa"/>
              <w:right w:w="90" w:type="dxa"/>
            </w:tcMar>
            <w:vAlign w:val="center"/>
            <w:hideMark/>
          </w:tcPr>
          <w:p w:rsidR="00950E08" w:rsidRPr="00C25396" w:rsidP="00950E08" w14:paraId="1DCD692C" w14:textId="77777777">
            <w:pPr>
              <w:spacing w:before="240"/>
              <w:rPr>
                <w:b/>
                <w:bCs/>
                <w:sz w:val="16"/>
                <w:szCs w:val="16"/>
              </w:rPr>
            </w:pPr>
            <w:r w:rsidRPr="00C25396">
              <w:rPr>
                <w:b/>
                <w:bCs/>
                <w:sz w:val="16"/>
                <w:szCs w:val="16"/>
              </w:rPr>
              <w:t>SOC Code</w:t>
            </w:r>
          </w:p>
        </w:tc>
        <w:tc>
          <w:tcPr>
            <w:tcW w:w="1475" w:type="dxa"/>
            <w:tcBorders>
              <w:top w:val="single" w:sz="6" w:space="0" w:color="333333"/>
              <w:left w:val="nil"/>
              <w:bottom w:val="single" w:sz="6" w:space="0" w:color="333333"/>
              <w:right w:val="single" w:sz="6" w:space="0" w:color="333333"/>
            </w:tcBorders>
            <w:shd w:val="clear" w:color="auto" w:fill="F1F1F1"/>
            <w:tcMar>
              <w:top w:w="90" w:type="dxa"/>
              <w:left w:w="90" w:type="dxa"/>
              <w:bottom w:w="90" w:type="dxa"/>
              <w:right w:w="90" w:type="dxa"/>
            </w:tcMar>
            <w:vAlign w:val="center"/>
            <w:hideMark/>
          </w:tcPr>
          <w:p w:rsidR="00950E08" w:rsidRPr="00C25396" w:rsidP="00950E08" w14:paraId="6C4883A4" w14:textId="77777777">
            <w:pPr>
              <w:spacing w:before="240"/>
              <w:rPr>
                <w:b/>
                <w:bCs/>
                <w:sz w:val="16"/>
                <w:szCs w:val="16"/>
              </w:rPr>
            </w:pPr>
            <w:r w:rsidRPr="00C25396">
              <w:rPr>
                <w:b/>
                <w:bCs/>
                <w:sz w:val="16"/>
                <w:szCs w:val="16"/>
              </w:rPr>
              <w:t>Median hourly wage rate</w:t>
            </w:r>
          </w:p>
        </w:tc>
        <w:tc>
          <w:tcPr>
            <w:tcW w:w="1690" w:type="dxa"/>
            <w:tcBorders>
              <w:top w:val="single" w:sz="6" w:space="0" w:color="333333"/>
              <w:left w:val="nil"/>
              <w:bottom w:val="single" w:sz="6" w:space="0" w:color="333333"/>
              <w:right w:val="nil"/>
            </w:tcBorders>
            <w:shd w:val="clear" w:color="auto" w:fill="auto"/>
            <w:tcMar>
              <w:top w:w="90" w:type="dxa"/>
              <w:left w:w="90" w:type="dxa"/>
              <w:bottom w:w="90" w:type="dxa"/>
              <w:right w:w="90" w:type="dxa"/>
            </w:tcMar>
            <w:vAlign w:val="center"/>
            <w:hideMark/>
          </w:tcPr>
          <w:p w:rsidR="00950E08" w:rsidRPr="00C25396" w:rsidP="00950E08" w14:paraId="34EF0F6F" w14:textId="77777777">
            <w:pPr>
              <w:spacing w:before="240"/>
              <w:rPr>
                <w:b/>
                <w:bCs/>
                <w:sz w:val="16"/>
                <w:szCs w:val="16"/>
              </w:rPr>
            </w:pPr>
            <w:r w:rsidRPr="00C25396">
              <w:rPr>
                <w:b/>
                <w:bCs/>
                <w:sz w:val="16"/>
                <w:szCs w:val="16"/>
              </w:rPr>
              <w:t>Average (median) hourly wage rate</w:t>
            </w:r>
          </w:p>
        </w:tc>
      </w:tr>
      <w:tr w14:paraId="5A9960A7" w14:textId="77777777" w:rsidTr="00C25396">
        <w:tblPrEx>
          <w:tblW w:w="0" w:type="auto"/>
          <w:tblCellSpacing w:w="15" w:type="dxa"/>
          <w:tblCellMar>
            <w:top w:w="150" w:type="dxa"/>
            <w:left w:w="150" w:type="dxa"/>
            <w:bottom w:w="150" w:type="dxa"/>
            <w:right w:w="150" w:type="dxa"/>
          </w:tblCellMar>
          <w:tblLook w:val="04A0"/>
        </w:tblPrEx>
        <w:trPr>
          <w:trHeight w:val="276"/>
          <w:tblCellSpacing w:w="15" w:type="dxa"/>
        </w:trPr>
        <w:tc>
          <w:tcPr>
            <w:tcW w:w="0" w:type="auto"/>
            <w:tcBorders>
              <w:top w:val="single" w:sz="6" w:space="0" w:color="333333"/>
              <w:left w:val="nil"/>
              <w:bottom w:val="single" w:sz="4" w:space="0" w:color="auto"/>
              <w:right w:val="single" w:sz="6" w:space="0" w:color="333333"/>
            </w:tcBorders>
            <w:shd w:val="clear" w:color="auto" w:fill="auto"/>
            <w:tcMar>
              <w:top w:w="90" w:type="dxa"/>
              <w:left w:w="90" w:type="dxa"/>
              <w:bottom w:w="90" w:type="dxa"/>
              <w:right w:w="90" w:type="dxa"/>
            </w:tcMar>
            <w:vAlign w:val="bottom"/>
            <w:hideMark/>
          </w:tcPr>
          <w:p w:rsidR="00950E08" w:rsidRPr="00C25396" w:rsidP="00950E08" w14:paraId="110B918F" w14:textId="77777777">
            <w:pPr>
              <w:rPr>
                <w:sz w:val="16"/>
                <w:szCs w:val="16"/>
              </w:rPr>
            </w:pPr>
            <w:r w:rsidRPr="00C25396">
              <w:rPr>
                <w:sz w:val="16"/>
                <w:szCs w:val="16"/>
              </w:rPr>
              <w:t>HUD-DOJ PFS Key Project Partners</w:t>
            </w:r>
          </w:p>
        </w:tc>
        <w:tc>
          <w:tcPr>
            <w:tcW w:w="2937" w:type="dxa"/>
            <w:tcBorders>
              <w:top w:val="single" w:sz="6" w:space="0" w:color="333333"/>
              <w:left w:val="nil"/>
              <w:bottom w:val="single" w:sz="4" w:space="0" w:color="auto"/>
              <w:right w:val="single" w:sz="6" w:space="0" w:color="333333"/>
            </w:tcBorders>
            <w:shd w:val="clear" w:color="auto" w:fill="auto"/>
            <w:tcMar>
              <w:top w:w="90" w:type="dxa"/>
              <w:left w:w="90" w:type="dxa"/>
              <w:bottom w:w="90" w:type="dxa"/>
              <w:right w:w="90" w:type="dxa"/>
            </w:tcMar>
            <w:vAlign w:val="bottom"/>
            <w:hideMark/>
          </w:tcPr>
          <w:p w:rsidR="00950E08" w:rsidRPr="00C25396" w:rsidP="00950E08" w14:paraId="03DBCB48" w14:textId="77777777">
            <w:pPr>
              <w:rPr>
                <w:sz w:val="16"/>
                <w:szCs w:val="16"/>
              </w:rPr>
            </w:pPr>
            <w:r w:rsidRPr="00C25396">
              <w:rPr>
                <w:sz w:val="16"/>
                <w:szCs w:val="16"/>
              </w:rPr>
              <w:t xml:space="preserve">Social and Community Services </w:t>
            </w:r>
          </w:p>
          <w:p w:rsidR="00950E08" w:rsidRPr="00C25396" w:rsidP="00950E08" w14:paraId="221242B4" w14:textId="77777777">
            <w:pPr>
              <w:rPr>
                <w:sz w:val="16"/>
                <w:szCs w:val="16"/>
              </w:rPr>
            </w:pPr>
            <w:r w:rsidRPr="00C25396">
              <w:rPr>
                <w:sz w:val="16"/>
                <w:szCs w:val="16"/>
              </w:rPr>
              <w:t>Manager Community and Social Service Specialist, All Other</w:t>
            </w:r>
          </w:p>
        </w:tc>
        <w:tc>
          <w:tcPr>
            <w:tcW w:w="1230" w:type="dxa"/>
            <w:tcBorders>
              <w:top w:val="single" w:sz="6" w:space="0" w:color="333333"/>
              <w:left w:val="nil"/>
              <w:bottom w:val="single" w:sz="4" w:space="0" w:color="auto"/>
              <w:right w:val="single" w:sz="6" w:space="0" w:color="333333"/>
            </w:tcBorders>
            <w:shd w:val="clear" w:color="auto" w:fill="auto"/>
            <w:tcMar>
              <w:top w:w="90" w:type="dxa"/>
              <w:left w:w="90" w:type="dxa"/>
              <w:bottom w:w="90" w:type="dxa"/>
              <w:right w:w="90" w:type="dxa"/>
            </w:tcMar>
            <w:vAlign w:val="bottom"/>
            <w:hideMark/>
          </w:tcPr>
          <w:p w:rsidR="00950E08" w:rsidRPr="00C25396" w:rsidP="00950E08" w14:paraId="3195BA0D" w14:textId="77777777">
            <w:pPr>
              <w:spacing w:before="240"/>
              <w:rPr>
                <w:sz w:val="16"/>
                <w:szCs w:val="16"/>
              </w:rPr>
            </w:pPr>
            <w:r w:rsidRPr="00C25396">
              <w:rPr>
                <w:sz w:val="16"/>
                <w:szCs w:val="16"/>
              </w:rPr>
              <w:t xml:space="preserve">11-9151 </w:t>
            </w:r>
          </w:p>
          <w:p w:rsidR="00950E08" w:rsidRPr="00C25396" w:rsidP="00950E08" w14:paraId="580F4336" w14:textId="77777777">
            <w:pPr>
              <w:spacing w:before="240"/>
              <w:rPr>
                <w:sz w:val="16"/>
                <w:szCs w:val="16"/>
              </w:rPr>
            </w:pPr>
            <w:r w:rsidRPr="00C25396">
              <w:rPr>
                <w:sz w:val="16"/>
                <w:szCs w:val="16"/>
              </w:rPr>
              <w:t>21-1099</w:t>
            </w:r>
          </w:p>
        </w:tc>
        <w:tc>
          <w:tcPr>
            <w:tcW w:w="1475" w:type="dxa"/>
            <w:tcBorders>
              <w:top w:val="single" w:sz="6" w:space="0" w:color="333333"/>
              <w:left w:val="nil"/>
              <w:bottom w:val="single" w:sz="4" w:space="0" w:color="auto"/>
              <w:right w:val="single" w:sz="6" w:space="0" w:color="333333"/>
            </w:tcBorders>
            <w:shd w:val="clear" w:color="auto" w:fill="auto"/>
            <w:tcMar>
              <w:top w:w="90" w:type="dxa"/>
              <w:left w:w="90" w:type="dxa"/>
              <w:bottom w:w="90" w:type="dxa"/>
              <w:right w:w="90" w:type="dxa"/>
            </w:tcMar>
            <w:vAlign w:val="bottom"/>
            <w:hideMark/>
          </w:tcPr>
          <w:p w:rsidR="00950E08" w:rsidRPr="00C25396" w:rsidP="00950E08" w14:paraId="5C925B30" w14:textId="77777777">
            <w:pPr>
              <w:spacing w:before="240"/>
              <w:rPr>
                <w:sz w:val="16"/>
                <w:szCs w:val="16"/>
              </w:rPr>
            </w:pPr>
            <w:r w:rsidRPr="00C25396">
              <w:rPr>
                <w:sz w:val="16"/>
                <w:szCs w:val="16"/>
              </w:rPr>
              <w:t xml:space="preserve">$ 40.10 </w:t>
            </w:r>
          </w:p>
          <w:p w:rsidR="00950E08" w:rsidRPr="00C25396" w:rsidP="00950E08" w14:paraId="75C121D7" w14:textId="77777777">
            <w:pPr>
              <w:spacing w:before="240"/>
              <w:rPr>
                <w:sz w:val="16"/>
                <w:szCs w:val="16"/>
              </w:rPr>
            </w:pPr>
            <w:r w:rsidRPr="00C25396">
              <w:rPr>
                <w:sz w:val="16"/>
                <w:szCs w:val="16"/>
              </w:rPr>
              <w:t>$ 25.00</w:t>
            </w:r>
          </w:p>
        </w:tc>
        <w:tc>
          <w:tcPr>
            <w:tcW w:w="1690" w:type="dxa"/>
            <w:tcBorders>
              <w:top w:val="single" w:sz="6" w:space="0" w:color="333333"/>
              <w:left w:val="nil"/>
              <w:bottom w:val="single" w:sz="4" w:space="0" w:color="auto"/>
              <w:right w:val="nil"/>
            </w:tcBorders>
            <w:shd w:val="clear" w:color="auto" w:fill="auto"/>
            <w:tcMar>
              <w:top w:w="90" w:type="dxa"/>
              <w:left w:w="90" w:type="dxa"/>
              <w:bottom w:w="90" w:type="dxa"/>
              <w:right w:w="90" w:type="dxa"/>
            </w:tcMar>
            <w:vAlign w:val="bottom"/>
            <w:hideMark/>
          </w:tcPr>
          <w:p w:rsidR="00950E08" w:rsidRPr="00C25396" w:rsidP="00950E08" w14:paraId="0D3C3A68" w14:textId="77777777">
            <w:pPr>
              <w:spacing w:before="240"/>
              <w:rPr>
                <w:sz w:val="16"/>
                <w:szCs w:val="16"/>
              </w:rPr>
            </w:pPr>
            <w:r w:rsidRPr="00C25396">
              <w:rPr>
                <w:sz w:val="16"/>
                <w:szCs w:val="16"/>
              </w:rPr>
              <w:t>$32.55</w:t>
            </w:r>
          </w:p>
        </w:tc>
      </w:tr>
      <w:tr w14:paraId="2754227D" w14:textId="77777777" w:rsidTr="00C25396">
        <w:tblPrEx>
          <w:tblW w:w="0" w:type="auto"/>
          <w:tblCellSpacing w:w="15" w:type="dxa"/>
          <w:tblCellMar>
            <w:top w:w="150" w:type="dxa"/>
            <w:left w:w="150" w:type="dxa"/>
            <w:bottom w:w="150" w:type="dxa"/>
            <w:right w:w="150" w:type="dxa"/>
          </w:tblCellMar>
          <w:tblLook w:val="04A0"/>
        </w:tblPrEx>
        <w:trPr>
          <w:trHeight w:val="20"/>
          <w:tblCellSpacing w:w="15" w:type="dxa"/>
        </w:trPr>
        <w:tc>
          <w:tcPr>
            <w:tcW w:w="0" w:type="auto"/>
            <w:gridSpan w:val="5"/>
            <w:tcBorders>
              <w:top w:val="nil"/>
              <w:left w:val="nil"/>
              <w:bottom w:val="nil"/>
              <w:right w:val="nil"/>
            </w:tcBorders>
            <w:shd w:val="clear" w:color="auto" w:fill="auto"/>
            <w:tcMar>
              <w:top w:w="300" w:type="dxa"/>
              <w:left w:w="90" w:type="dxa"/>
              <w:bottom w:w="90" w:type="dxa"/>
              <w:right w:w="90" w:type="dxa"/>
            </w:tcMar>
            <w:vAlign w:val="bottom"/>
          </w:tcPr>
          <w:p w:rsidR="00950E08" w:rsidRPr="00C25396" w:rsidP="00950E08" w14:paraId="14A8B5D3" w14:textId="77777777">
            <w:pPr>
              <w:rPr>
                <w:i/>
                <w:iCs/>
                <w:sz w:val="16"/>
                <w:szCs w:val="16"/>
              </w:rPr>
            </w:pPr>
            <w:bookmarkStart w:id="5" w:name="_Hlk179191462"/>
          </w:p>
        </w:tc>
      </w:tr>
      <w:bookmarkEnd w:id="5"/>
    </w:tbl>
    <w:p w:rsidR="00950E08" w14:paraId="5A67CACA" w14:textId="61BBF02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C36514C"/>
    <w:lvl w:ilvl="0">
      <w:start w:val="1"/>
      <w:numFmt w:val="decimal"/>
      <w:lvlText w:val="%1."/>
      <w:lvlJc w:val="left"/>
      <w:pPr>
        <w:tabs>
          <w:tab w:val="num" w:pos="1800"/>
        </w:tabs>
        <w:ind w:left="1800" w:hanging="360"/>
      </w:pPr>
    </w:lvl>
  </w:abstractNum>
  <w:abstractNum w:abstractNumId="1">
    <w:nsid w:val="FFFFFF7D"/>
    <w:multiLevelType w:val="singleLevel"/>
    <w:tmpl w:val="65A4B9BC"/>
    <w:lvl w:ilvl="0">
      <w:start w:val="1"/>
      <w:numFmt w:val="decimal"/>
      <w:lvlText w:val="%1."/>
      <w:lvlJc w:val="left"/>
      <w:pPr>
        <w:tabs>
          <w:tab w:val="num" w:pos="1440"/>
        </w:tabs>
        <w:ind w:left="1440" w:hanging="360"/>
      </w:pPr>
    </w:lvl>
  </w:abstractNum>
  <w:abstractNum w:abstractNumId="2">
    <w:nsid w:val="FFFFFF7E"/>
    <w:multiLevelType w:val="singleLevel"/>
    <w:tmpl w:val="2B4A3E38"/>
    <w:lvl w:ilvl="0">
      <w:start w:val="1"/>
      <w:numFmt w:val="decimal"/>
      <w:lvlText w:val="%1."/>
      <w:lvlJc w:val="left"/>
      <w:pPr>
        <w:tabs>
          <w:tab w:val="num" w:pos="1080"/>
        </w:tabs>
        <w:ind w:left="1080" w:hanging="360"/>
      </w:pPr>
    </w:lvl>
  </w:abstractNum>
  <w:abstractNum w:abstractNumId="3">
    <w:nsid w:val="FFFFFF7F"/>
    <w:multiLevelType w:val="singleLevel"/>
    <w:tmpl w:val="EBD01D44"/>
    <w:lvl w:ilvl="0">
      <w:start w:val="1"/>
      <w:numFmt w:val="decimal"/>
      <w:lvlText w:val="%1."/>
      <w:lvlJc w:val="left"/>
      <w:pPr>
        <w:tabs>
          <w:tab w:val="num" w:pos="720"/>
        </w:tabs>
        <w:ind w:left="720" w:hanging="360"/>
      </w:pPr>
    </w:lvl>
  </w:abstractNum>
  <w:abstractNum w:abstractNumId="4">
    <w:nsid w:val="FFFFFF80"/>
    <w:multiLevelType w:val="singleLevel"/>
    <w:tmpl w:val="20C8E4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ECD8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91823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8FCF7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3BE0BF0"/>
    <w:lvl w:ilvl="0">
      <w:start w:val="1"/>
      <w:numFmt w:val="decimal"/>
      <w:lvlText w:val="%1."/>
      <w:lvlJc w:val="left"/>
      <w:pPr>
        <w:tabs>
          <w:tab w:val="num" w:pos="360"/>
        </w:tabs>
        <w:ind w:left="360" w:hanging="360"/>
      </w:pPr>
    </w:lvl>
  </w:abstractNum>
  <w:abstractNum w:abstractNumId="9">
    <w:nsid w:val="FFFFFF89"/>
    <w:multiLevelType w:val="singleLevel"/>
    <w:tmpl w:val="60120BD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26EA4E0"/>
    <w:lvl w:ilvl="0">
      <w:start w:val="0"/>
      <w:numFmt w:val="decimal"/>
      <w:lvlText w:val="*"/>
      <w:lvlJc w:val="left"/>
    </w:lvl>
  </w:abstractNum>
  <w:abstractNum w:abstractNumId="11">
    <w:nsid w:val="01F0728F"/>
    <w:multiLevelType w:val="hybridMultilevel"/>
    <w:tmpl w:val="44C6B3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046A0FA2"/>
    <w:multiLevelType w:val="hybridMultilevel"/>
    <w:tmpl w:val="9D8EC6B6"/>
    <w:lvl w:ilvl="0">
      <w:start w:val="1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06C7411A"/>
    <w:multiLevelType w:val="hybridMultilevel"/>
    <w:tmpl w:val="699A9C94"/>
    <w:lvl w:ilvl="0">
      <w:start w:val="1"/>
      <w:numFmt w:val="decimal"/>
      <w:pStyle w:val="NumberedList"/>
      <w:lvlText w:val="%1."/>
      <w:lvlJc w:val="left"/>
      <w:pPr>
        <w:ind w:left="360" w:hanging="360"/>
      </w:pPr>
      <w:rPr>
        <w:rFonts w:ascii="Lato Regular" w:hAnsi="Lato Regular" w:hint="default"/>
        <w:b w:val="0"/>
        <w:bCs w:val="0"/>
        <w:i w:val="0"/>
        <w:iCs w:val="0"/>
        <w:color w:val="auto"/>
        <w:sz w:val="20"/>
        <w:szCs w:val="2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4">
    <w:nsid w:val="071561F7"/>
    <w:multiLevelType w:val="hybridMultilevel"/>
    <w:tmpl w:val="16CAB644"/>
    <w:lvl w:ilvl="0">
      <w:start w:val="1"/>
      <w:numFmt w:val="upperRoman"/>
      <w:lvlText w:val="%1."/>
      <w:lvlJc w:val="righ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82522B5"/>
    <w:multiLevelType w:val="hybridMultilevel"/>
    <w:tmpl w:val="879AB2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09A07593"/>
    <w:multiLevelType w:val="hybridMultilevel"/>
    <w:tmpl w:val="D7F2E2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0BD234F4"/>
    <w:multiLevelType w:val="hybridMultilevel"/>
    <w:tmpl w:val="F3AC9C38"/>
    <w:lvl w:ilvl="0">
      <w:start w:val="1"/>
      <w:numFmt w:val="bullet"/>
      <w:pStyle w:val="BulletedList"/>
      <w:lvlText w:val=""/>
      <w:lvlJc w:val="left"/>
      <w:pPr>
        <w:ind w:left="720" w:hanging="360"/>
      </w:pPr>
      <w:rPr>
        <w:rFonts w:ascii="Monotype Sorts" w:hAnsi="Monotype Sorts" w:hint="default"/>
        <w:b w:val="0"/>
        <w:bCs w:val="0"/>
        <w:i w:val="0"/>
        <w:iCs w:val="0"/>
        <w:color w:val="4F81BD" w:themeColor="accent1"/>
        <w:position w:val="2"/>
        <w:sz w:val="10"/>
        <w:szCs w:val="10"/>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8">
    <w:nsid w:val="0E770E94"/>
    <w:multiLevelType w:val="hybridMultilevel"/>
    <w:tmpl w:val="73620A06"/>
    <w:lvl w:ilvl="0">
      <w:start w:val="1"/>
      <w:numFmt w:val="bullet"/>
      <w:pStyle w:val="BulletedList2"/>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0F9D3735"/>
    <w:multiLevelType w:val="hybridMultilevel"/>
    <w:tmpl w:val="2E08520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C00508B"/>
    <w:multiLevelType w:val="hybridMultilevel"/>
    <w:tmpl w:val="2FA8C1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D370CD6"/>
    <w:multiLevelType w:val="hybridMultilevel"/>
    <w:tmpl w:val="C92ADFBE"/>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D5A4B43"/>
    <w:multiLevelType w:val="hybridMultilevel"/>
    <w:tmpl w:val="5FC09D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9DD3700"/>
    <w:multiLevelType w:val="hybridMultilevel"/>
    <w:tmpl w:val="6798A96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DD574E4"/>
    <w:multiLevelType w:val="hybridMultilevel"/>
    <w:tmpl w:val="4CA6CCF6"/>
    <w:lvl w:ilvl="0">
      <w:start w:val="1"/>
      <w:numFmt w:val="decimal"/>
      <w:lvlText w:val="%1."/>
      <w:lvlJc w:val="left"/>
      <w:pPr>
        <w:ind w:left="720" w:hanging="360"/>
      </w:pPr>
      <w:rPr>
        <w:rFonts w:eastAsia="Calibri"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E1520F3"/>
    <w:multiLevelType w:val="hybridMultilevel"/>
    <w:tmpl w:val="7A80F49C"/>
    <w:lvl w:ilvl="0">
      <w:start w:val="1"/>
      <w:numFmt w:val="decimal"/>
      <w:lvlText w:val="%1."/>
      <w:lvlJc w:val="left"/>
      <w:pPr>
        <w:ind w:left="720" w:hanging="360"/>
      </w:pPr>
      <w:rPr>
        <w:rFonts w:ascii="Lato" w:eastAsia="Lato" w:hAnsi="Lato" w:cs="Lato"/>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1252212"/>
    <w:multiLevelType w:val="hybridMultilevel"/>
    <w:tmpl w:val="96085514"/>
    <w:lvl w:ilvl="0">
      <w:start w:val="1"/>
      <w:numFmt w:val="bullet"/>
      <w:lvlText w:val="»"/>
      <w:lvlJc w:val="left"/>
      <w:pPr>
        <w:ind w:left="1800" w:hanging="360"/>
      </w:pPr>
      <w:rPr>
        <w:rFonts w:ascii="Lato Medium" w:hAnsi="Lato Medium" w:cs="Times New Roman" w:hint="default"/>
        <w:b w:val="0"/>
        <w:bCs w:val="0"/>
        <w:i w:val="0"/>
        <w:iCs w:val="0"/>
        <w:color w:val="000000" w:themeColor="text1"/>
        <w:position w:val="2"/>
        <w:sz w:val="22"/>
        <w:szCs w:val="22"/>
      </w:rPr>
    </w:lvl>
    <w:lvl w:ilvl="1">
      <w:start w:val="1"/>
      <w:numFmt w:val="bullet"/>
      <w:lvlText w:val="»"/>
      <w:lvlJc w:val="left"/>
      <w:pPr>
        <w:ind w:left="1440" w:hanging="360"/>
      </w:pPr>
      <w:rPr>
        <w:rFonts w:ascii="Lato Medium" w:hAnsi="Lato Medium" w:cs="Times New Roman" w:hint="default"/>
        <w:b w:val="0"/>
        <w:bCs w:val="0"/>
        <w:i w:val="0"/>
        <w:iCs w:val="0"/>
        <w:color w:val="FCB918"/>
        <w:position w:val="2"/>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7BF5155"/>
    <w:multiLevelType w:val="hybridMultilevel"/>
    <w:tmpl w:val="60DC3286"/>
    <w:lvl w:ilvl="0">
      <w:start w:val="1"/>
      <w:numFmt w:val="decimal"/>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A8C5662"/>
    <w:multiLevelType w:val="hybridMultilevel"/>
    <w:tmpl w:val="E3327D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DD6702C"/>
    <w:multiLevelType w:val="hybridMultilevel"/>
    <w:tmpl w:val="D206CE1C"/>
    <w:lvl w:ilvl="0">
      <w:start w:val="1"/>
      <w:numFmt w:val="decimal"/>
      <w:lvlText w:val="%1."/>
      <w:lvlJc w:val="left"/>
      <w:pPr>
        <w:ind w:left="360" w:hanging="360"/>
      </w:pPr>
      <w:rPr>
        <w:rFonts w:ascii="Lato" w:hAnsi="Lato" w:hint="default"/>
      </w:rPr>
    </w:lvl>
    <w:lvl w:ilvl="1">
      <w:start w:val="1"/>
      <w:numFmt w:val="lowerLetter"/>
      <w:lvlText w:val="%2."/>
      <w:lvlJc w:val="left"/>
      <w:pPr>
        <w:ind w:left="450" w:hanging="360"/>
      </w:pPr>
    </w:lvl>
    <w:lvl w:ilvl="2">
      <w:start w:val="1"/>
      <w:numFmt w:val="lowerLetter"/>
      <w:lvlText w:val="%3)"/>
      <w:lvlJc w:val="lef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30">
    <w:nsid w:val="41174E59"/>
    <w:multiLevelType w:val="singleLevel"/>
    <w:tmpl w:val="B26EA4E0"/>
    <w:lvl w:ilvl="0">
      <w:start w:val="0"/>
      <w:numFmt w:val="decimal"/>
      <w:lvlText w:val="*"/>
      <w:lvlJc w:val="left"/>
    </w:lvl>
  </w:abstractNum>
  <w:abstractNum w:abstractNumId="31">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32">
    <w:nsid w:val="4B582FE3"/>
    <w:multiLevelType w:val="hybridMultilevel"/>
    <w:tmpl w:val="4300A752"/>
    <w:lvl w:ilvl="0">
      <w:start w:val="10"/>
      <w:numFmt w:val="bullet"/>
      <w:lvlText w:val="-"/>
      <w:lvlJc w:val="left"/>
      <w:pPr>
        <w:ind w:left="720" w:hanging="360"/>
      </w:pPr>
      <w:rPr>
        <w:rFonts w:ascii="Lato" w:eastAsia="Calibri" w:hAnsi="Lato" w:cs="Times New Roman" w:hint="default"/>
        <w:b w:val="0"/>
        <w:bCs w:val="0"/>
        <w:i w:val="0"/>
        <w:iCs w:val="0"/>
        <w:color w:val="auto"/>
        <w:position w:val="2"/>
        <w:sz w:val="10"/>
        <w:szCs w:val="1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4AF0E1D"/>
    <w:multiLevelType w:val="hybridMultilevel"/>
    <w:tmpl w:val="40FC4F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C1A1384"/>
    <w:multiLevelType w:val="hybridMultilevel"/>
    <w:tmpl w:val="B0843B1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19404E"/>
    <w:multiLevelType w:val="hybridMultilevel"/>
    <w:tmpl w:val="5B227DF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26227D6"/>
    <w:multiLevelType w:val="hybridMultilevel"/>
    <w:tmpl w:val="49E2E2D6"/>
    <w:lvl w:ilvl="0">
      <w:start w:val="1"/>
      <w:numFmt w:val="decimal"/>
      <w:lvlText w:val="%1."/>
      <w:lvlJc w:val="left"/>
      <w:pPr>
        <w:ind w:left="360" w:hanging="360"/>
      </w:pPr>
      <w:rPr>
        <w:rFonts w:ascii="Times New Roman" w:hAnsi="Times New Roman" w:cs="Times New Roman" w:hint="default"/>
        <w:b/>
      </w:rPr>
    </w:lvl>
    <w:lvl w:ilvl="1">
      <w:start w:val="0"/>
      <w:numFmt w:val="bullet"/>
      <w:lvlText w:val=""/>
      <w:lvlJc w:val="left"/>
      <w:pPr>
        <w:ind w:left="450" w:hanging="360"/>
      </w:pPr>
      <w:rPr>
        <w:rFonts w:ascii="Symbol" w:eastAsia="Calibri" w:hAnsi="Symbol" w:cs="Times New Roman" w:hint="default"/>
      </w:rPr>
    </w:lvl>
    <w:lvl w:ilvl="2">
      <w:start w:val="1"/>
      <w:numFmt w:val="lowerLetter"/>
      <w:lvlText w:val="%3)"/>
      <w:lvlJc w:val="left"/>
      <w:pPr>
        <w:ind w:left="1170" w:hanging="180"/>
      </w:pPr>
    </w:lvl>
    <w:lvl w:ilvl="3">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37">
    <w:nsid w:val="63755D0F"/>
    <w:multiLevelType w:val="hybridMultilevel"/>
    <w:tmpl w:val="4FEEDC7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6811F2D"/>
    <w:multiLevelType w:val="hybridMultilevel"/>
    <w:tmpl w:val="7690EB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AAB0216"/>
    <w:multiLevelType w:val="hybridMultilevel"/>
    <w:tmpl w:val="D206CE1C"/>
    <w:lvl w:ilvl="0">
      <w:start w:val="1"/>
      <w:numFmt w:val="decimal"/>
      <w:lvlText w:val="%1."/>
      <w:lvlJc w:val="left"/>
      <w:pPr>
        <w:ind w:left="360" w:hanging="360"/>
      </w:pPr>
      <w:rPr>
        <w:rFonts w:ascii="Lato" w:hAnsi="Lato" w:hint="default"/>
      </w:rPr>
    </w:lvl>
    <w:lvl w:ilvl="1">
      <w:start w:val="1"/>
      <w:numFmt w:val="lowerLetter"/>
      <w:lvlText w:val="%2."/>
      <w:lvlJc w:val="left"/>
      <w:pPr>
        <w:ind w:left="450" w:hanging="360"/>
      </w:pPr>
    </w:lvl>
    <w:lvl w:ilvl="2">
      <w:start w:val="1"/>
      <w:numFmt w:val="lowerLetter"/>
      <w:lvlText w:val="%3)"/>
      <w:lvlJc w:val="lef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40">
    <w:nsid w:val="74AA6C56"/>
    <w:multiLevelType w:val="hybridMultilevel"/>
    <w:tmpl w:val="5044AC8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CA403EE"/>
    <w:multiLevelType w:val="hybridMultilevel"/>
    <w:tmpl w:val="DBF6FA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E474624"/>
    <w:multiLevelType w:val="hybridMultilevel"/>
    <w:tmpl w:val="173CCA6A"/>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69836639">
    <w:abstractNumId w:val="17"/>
  </w:num>
  <w:num w:numId="2" w16cid:durableId="1022125182">
    <w:abstractNumId w:val="36"/>
  </w:num>
  <w:num w:numId="3" w16cid:durableId="2038113884">
    <w:abstractNumId w:val="13"/>
  </w:num>
  <w:num w:numId="4" w16cid:durableId="1023937354">
    <w:abstractNumId w:val="13"/>
    <w:lvlOverride w:ilvl="0">
      <w:startOverride w:val="1"/>
    </w:lvlOverride>
  </w:num>
  <w:num w:numId="5" w16cid:durableId="902452135">
    <w:abstractNumId w:val="25"/>
  </w:num>
  <w:num w:numId="6" w16cid:durableId="1744643360">
    <w:abstractNumId w:val="26"/>
  </w:num>
  <w:num w:numId="7" w16cid:durableId="181940798">
    <w:abstractNumId w:val="42"/>
  </w:num>
  <w:num w:numId="8" w16cid:durableId="1645891315">
    <w:abstractNumId w:val="34"/>
  </w:num>
  <w:num w:numId="9" w16cid:durableId="656033064">
    <w:abstractNumId w:val="33"/>
  </w:num>
  <w:num w:numId="10" w16cid:durableId="928541939">
    <w:abstractNumId w:val="15"/>
  </w:num>
  <w:num w:numId="11" w16cid:durableId="703866023">
    <w:abstractNumId w:val="37"/>
  </w:num>
  <w:num w:numId="12" w16cid:durableId="288441092">
    <w:abstractNumId w:val="38"/>
  </w:num>
  <w:num w:numId="13" w16cid:durableId="1356999554">
    <w:abstractNumId w:val="18"/>
  </w:num>
  <w:num w:numId="14" w16cid:durableId="1630819742">
    <w:abstractNumId w:val="11"/>
  </w:num>
  <w:num w:numId="15" w16cid:durableId="828985128">
    <w:abstractNumId w:val="14"/>
  </w:num>
  <w:num w:numId="16" w16cid:durableId="1798068313">
    <w:abstractNumId w:val="29"/>
  </w:num>
  <w:num w:numId="17" w16cid:durableId="294261895">
    <w:abstractNumId w:val="39"/>
  </w:num>
  <w:num w:numId="18" w16cid:durableId="595329349">
    <w:abstractNumId w:val="32"/>
  </w:num>
  <w:num w:numId="19" w16cid:durableId="20698431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146544">
    <w:abstractNumId w:val="21"/>
  </w:num>
  <w:num w:numId="21" w16cid:durableId="1077169967">
    <w:abstractNumId w:val="28"/>
  </w:num>
  <w:num w:numId="22" w16cid:durableId="12148949">
    <w:abstractNumId w:val="16"/>
  </w:num>
  <w:num w:numId="23" w16cid:durableId="1191256912">
    <w:abstractNumId w:val="20"/>
  </w:num>
  <w:num w:numId="24" w16cid:durableId="238908629">
    <w:abstractNumId w:val="35"/>
  </w:num>
  <w:num w:numId="25" w16cid:durableId="1115834663">
    <w:abstractNumId w:val="13"/>
  </w:num>
  <w:num w:numId="26" w16cid:durableId="1971127298">
    <w:abstractNumId w:val="9"/>
  </w:num>
  <w:num w:numId="27" w16cid:durableId="1214390520">
    <w:abstractNumId w:val="7"/>
  </w:num>
  <w:num w:numId="28" w16cid:durableId="1055742424">
    <w:abstractNumId w:val="6"/>
  </w:num>
  <w:num w:numId="29" w16cid:durableId="1244340860">
    <w:abstractNumId w:val="5"/>
  </w:num>
  <w:num w:numId="30" w16cid:durableId="1054501059">
    <w:abstractNumId w:val="4"/>
  </w:num>
  <w:num w:numId="31" w16cid:durableId="1465389832">
    <w:abstractNumId w:val="8"/>
  </w:num>
  <w:num w:numId="32" w16cid:durableId="183830374">
    <w:abstractNumId w:val="3"/>
  </w:num>
  <w:num w:numId="33" w16cid:durableId="1048339434">
    <w:abstractNumId w:val="2"/>
  </w:num>
  <w:num w:numId="34" w16cid:durableId="639459130">
    <w:abstractNumId w:val="1"/>
  </w:num>
  <w:num w:numId="35" w16cid:durableId="1052584696">
    <w:abstractNumId w:val="0"/>
  </w:num>
  <w:num w:numId="36" w16cid:durableId="812141429">
    <w:abstractNumId w:val="27"/>
  </w:num>
  <w:num w:numId="37" w16cid:durableId="2116362520">
    <w:abstractNumId w:val="22"/>
  </w:num>
  <w:num w:numId="38" w16cid:durableId="1202128423">
    <w:abstractNumId w:val="40"/>
  </w:num>
  <w:num w:numId="39" w16cid:durableId="1358241654">
    <w:abstractNumId w:val="24"/>
  </w:num>
  <w:num w:numId="40" w16cid:durableId="972757831">
    <w:abstractNumId w:val="23"/>
  </w:num>
  <w:num w:numId="41" w16cid:durableId="1344088469">
    <w:abstractNumId w:val="41"/>
  </w:num>
  <w:num w:numId="42" w16cid:durableId="287010132">
    <w:abstractNumId w:val="19"/>
  </w:num>
  <w:num w:numId="43" w16cid:durableId="1152136730">
    <w:abstractNumId w:val="31"/>
  </w:num>
  <w:num w:numId="44" w16cid:durableId="1128278369">
    <w:abstractNumId w:val="1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45" w16cid:durableId="2067290731">
    <w:abstractNumId w:val="30"/>
  </w:num>
  <w:num w:numId="46" w16cid:durableId="1988581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916"/>
    <w:rsid w:val="000002F2"/>
    <w:rsid w:val="000022F3"/>
    <w:rsid w:val="000063E1"/>
    <w:rsid w:val="000068DA"/>
    <w:rsid w:val="0000794E"/>
    <w:rsid w:val="000121D8"/>
    <w:rsid w:val="00015ACF"/>
    <w:rsid w:val="00023401"/>
    <w:rsid w:val="00024DF7"/>
    <w:rsid w:val="00027D9E"/>
    <w:rsid w:val="000306F8"/>
    <w:rsid w:val="000308AE"/>
    <w:rsid w:val="00033890"/>
    <w:rsid w:val="00037981"/>
    <w:rsid w:val="00046EE6"/>
    <w:rsid w:val="00063488"/>
    <w:rsid w:val="000665F7"/>
    <w:rsid w:val="00074171"/>
    <w:rsid w:val="00083D00"/>
    <w:rsid w:val="00085456"/>
    <w:rsid w:val="00085980"/>
    <w:rsid w:val="000905E7"/>
    <w:rsid w:val="00091859"/>
    <w:rsid w:val="00093229"/>
    <w:rsid w:val="00093B4A"/>
    <w:rsid w:val="0009714E"/>
    <w:rsid w:val="0009722A"/>
    <w:rsid w:val="00097E06"/>
    <w:rsid w:val="000A1203"/>
    <w:rsid w:val="000B5F2C"/>
    <w:rsid w:val="000B7521"/>
    <w:rsid w:val="000C01BD"/>
    <w:rsid w:val="000C06EB"/>
    <w:rsid w:val="000C1FD1"/>
    <w:rsid w:val="000C3552"/>
    <w:rsid w:val="000C65D9"/>
    <w:rsid w:val="000D0C75"/>
    <w:rsid w:val="000D0E41"/>
    <w:rsid w:val="000D63AD"/>
    <w:rsid w:val="000F363E"/>
    <w:rsid w:val="0010293D"/>
    <w:rsid w:val="00102FB2"/>
    <w:rsid w:val="001057DA"/>
    <w:rsid w:val="00106CF1"/>
    <w:rsid w:val="00110B23"/>
    <w:rsid w:val="00113537"/>
    <w:rsid w:val="00113634"/>
    <w:rsid w:val="00115A05"/>
    <w:rsid w:val="00124208"/>
    <w:rsid w:val="001367B2"/>
    <w:rsid w:val="00137880"/>
    <w:rsid w:val="00137C44"/>
    <w:rsid w:val="00150616"/>
    <w:rsid w:val="001515A5"/>
    <w:rsid w:val="00155117"/>
    <w:rsid w:val="0015610B"/>
    <w:rsid w:val="0015617E"/>
    <w:rsid w:val="00157D5F"/>
    <w:rsid w:val="00157EAD"/>
    <w:rsid w:val="00161835"/>
    <w:rsid w:val="001633F6"/>
    <w:rsid w:val="0017137F"/>
    <w:rsid w:val="00172D99"/>
    <w:rsid w:val="00173064"/>
    <w:rsid w:val="00176FDB"/>
    <w:rsid w:val="001800F5"/>
    <w:rsid w:val="0018218A"/>
    <w:rsid w:val="001840DE"/>
    <w:rsid w:val="001856BD"/>
    <w:rsid w:val="001921EB"/>
    <w:rsid w:val="001A2E62"/>
    <w:rsid w:val="001A3235"/>
    <w:rsid w:val="001A42B1"/>
    <w:rsid w:val="001B1005"/>
    <w:rsid w:val="001B3392"/>
    <w:rsid w:val="001B4815"/>
    <w:rsid w:val="001C15F4"/>
    <w:rsid w:val="001E6F75"/>
    <w:rsid w:val="001E7E6E"/>
    <w:rsid w:val="00201ACF"/>
    <w:rsid w:val="0020496E"/>
    <w:rsid w:val="0020614B"/>
    <w:rsid w:val="002215F7"/>
    <w:rsid w:val="0022632B"/>
    <w:rsid w:val="00230028"/>
    <w:rsid w:val="002300CA"/>
    <w:rsid w:val="002453A5"/>
    <w:rsid w:val="00255FE1"/>
    <w:rsid w:val="00261123"/>
    <w:rsid w:val="00264739"/>
    <w:rsid w:val="00265350"/>
    <w:rsid w:val="00270DFD"/>
    <w:rsid w:val="00273E21"/>
    <w:rsid w:val="00275B57"/>
    <w:rsid w:val="002853A0"/>
    <w:rsid w:val="002865B7"/>
    <w:rsid w:val="00287B23"/>
    <w:rsid w:val="002910E6"/>
    <w:rsid w:val="00293E9F"/>
    <w:rsid w:val="002A011D"/>
    <w:rsid w:val="002A2908"/>
    <w:rsid w:val="002A6607"/>
    <w:rsid w:val="002A7E04"/>
    <w:rsid w:val="002B5274"/>
    <w:rsid w:val="002C1A2E"/>
    <w:rsid w:val="002C3759"/>
    <w:rsid w:val="002C652C"/>
    <w:rsid w:val="002D4C17"/>
    <w:rsid w:val="002E0D71"/>
    <w:rsid w:val="002E1B6C"/>
    <w:rsid w:val="002E5A2F"/>
    <w:rsid w:val="002F1E7B"/>
    <w:rsid w:val="002F3718"/>
    <w:rsid w:val="002F58D4"/>
    <w:rsid w:val="002F5C41"/>
    <w:rsid w:val="002F7FC3"/>
    <w:rsid w:val="00303113"/>
    <w:rsid w:val="00305B45"/>
    <w:rsid w:val="00310ED2"/>
    <w:rsid w:val="00312CDD"/>
    <w:rsid w:val="003147DD"/>
    <w:rsid w:val="00314D9E"/>
    <w:rsid w:val="00314F22"/>
    <w:rsid w:val="00321C52"/>
    <w:rsid w:val="00322B15"/>
    <w:rsid w:val="0032477A"/>
    <w:rsid w:val="00327582"/>
    <w:rsid w:val="00333023"/>
    <w:rsid w:val="00334D2E"/>
    <w:rsid w:val="00335793"/>
    <w:rsid w:val="00337DAC"/>
    <w:rsid w:val="0034275E"/>
    <w:rsid w:val="00343FFC"/>
    <w:rsid w:val="00347299"/>
    <w:rsid w:val="003546D2"/>
    <w:rsid w:val="00362682"/>
    <w:rsid w:val="0036542B"/>
    <w:rsid w:val="00375679"/>
    <w:rsid w:val="00375C2E"/>
    <w:rsid w:val="00377578"/>
    <w:rsid w:val="00382CBE"/>
    <w:rsid w:val="00392375"/>
    <w:rsid w:val="00393689"/>
    <w:rsid w:val="0039492B"/>
    <w:rsid w:val="00394B7F"/>
    <w:rsid w:val="00396956"/>
    <w:rsid w:val="00397AF0"/>
    <w:rsid w:val="003A3390"/>
    <w:rsid w:val="003A3444"/>
    <w:rsid w:val="003A5608"/>
    <w:rsid w:val="003A67F0"/>
    <w:rsid w:val="003B3EB6"/>
    <w:rsid w:val="003B43CB"/>
    <w:rsid w:val="003B452D"/>
    <w:rsid w:val="003B6C97"/>
    <w:rsid w:val="003C147B"/>
    <w:rsid w:val="003C1D04"/>
    <w:rsid w:val="003C4AF7"/>
    <w:rsid w:val="003C6AB1"/>
    <w:rsid w:val="003D06FB"/>
    <w:rsid w:val="003E2BCD"/>
    <w:rsid w:val="003F13D6"/>
    <w:rsid w:val="004173A7"/>
    <w:rsid w:val="004214E6"/>
    <w:rsid w:val="004226F2"/>
    <w:rsid w:val="00422E53"/>
    <w:rsid w:val="0042589C"/>
    <w:rsid w:val="004267B7"/>
    <w:rsid w:val="0042778D"/>
    <w:rsid w:val="00434674"/>
    <w:rsid w:val="0043663F"/>
    <w:rsid w:val="004435E1"/>
    <w:rsid w:val="00447517"/>
    <w:rsid w:val="004477CD"/>
    <w:rsid w:val="004567BD"/>
    <w:rsid w:val="004579AB"/>
    <w:rsid w:val="00462B47"/>
    <w:rsid w:val="00470D42"/>
    <w:rsid w:val="00472368"/>
    <w:rsid w:val="00474960"/>
    <w:rsid w:val="00476212"/>
    <w:rsid w:val="00476587"/>
    <w:rsid w:val="0048078C"/>
    <w:rsid w:val="0048079D"/>
    <w:rsid w:val="00481AB6"/>
    <w:rsid w:val="00482BB2"/>
    <w:rsid w:val="00486C5C"/>
    <w:rsid w:val="004909FB"/>
    <w:rsid w:val="00492BDD"/>
    <w:rsid w:val="00497A25"/>
    <w:rsid w:val="004B0874"/>
    <w:rsid w:val="004B3D43"/>
    <w:rsid w:val="004B6E4B"/>
    <w:rsid w:val="004C5DD1"/>
    <w:rsid w:val="004D73B4"/>
    <w:rsid w:val="004E00B8"/>
    <w:rsid w:val="004E6E60"/>
    <w:rsid w:val="004F0768"/>
    <w:rsid w:val="005014FE"/>
    <w:rsid w:val="005037B5"/>
    <w:rsid w:val="0050409D"/>
    <w:rsid w:val="005114B6"/>
    <w:rsid w:val="00512B6A"/>
    <w:rsid w:val="005231E7"/>
    <w:rsid w:val="00525981"/>
    <w:rsid w:val="00530EC0"/>
    <w:rsid w:val="00540B95"/>
    <w:rsid w:val="00541002"/>
    <w:rsid w:val="00541219"/>
    <w:rsid w:val="0054285E"/>
    <w:rsid w:val="00545BB0"/>
    <w:rsid w:val="0054770D"/>
    <w:rsid w:val="00557103"/>
    <w:rsid w:val="00561D39"/>
    <w:rsid w:val="005623F1"/>
    <w:rsid w:val="0056326C"/>
    <w:rsid w:val="005633F3"/>
    <w:rsid w:val="005640A4"/>
    <w:rsid w:val="0056576C"/>
    <w:rsid w:val="00567EA8"/>
    <w:rsid w:val="0057092B"/>
    <w:rsid w:val="0057498F"/>
    <w:rsid w:val="00581631"/>
    <w:rsid w:val="005914F2"/>
    <w:rsid w:val="005A1DF8"/>
    <w:rsid w:val="005A3BB3"/>
    <w:rsid w:val="005A3EE4"/>
    <w:rsid w:val="005A5D06"/>
    <w:rsid w:val="005B400E"/>
    <w:rsid w:val="005B49DE"/>
    <w:rsid w:val="005B4B9B"/>
    <w:rsid w:val="005C064C"/>
    <w:rsid w:val="005C2D10"/>
    <w:rsid w:val="005C5CB9"/>
    <w:rsid w:val="005D3332"/>
    <w:rsid w:val="005D3470"/>
    <w:rsid w:val="005D61C4"/>
    <w:rsid w:val="005E1ED7"/>
    <w:rsid w:val="005E35CD"/>
    <w:rsid w:val="005E4CFA"/>
    <w:rsid w:val="005E756C"/>
    <w:rsid w:val="005E782D"/>
    <w:rsid w:val="005F3C50"/>
    <w:rsid w:val="006018C6"/>
    <w:rsid w:val="00603591"/>
    <w:rsid w:val="00605208"/>
    <w:rsid w:val="00607202"/>
    <w:rsid w:val="00612FE6"/>
    <w:rsid w:val="0062362B"/>
    <w:rsid w:val="0062392B"/>
    <w:rsid w:val="00632B67"/>
    <w:rsid w:val="006555CF"/>
    <w:rsid w:val="00655765"/>
    <w:rsid w:val="006638B1"/>
    <w:rsid w:val="006717FD"/>
    <w:rsid w:val="00675604"/>
    <w:rsid w:val="006811D0"/>
    <w:rsid w:val="00683F8A"/>
    <w:rsid w:val="00685C54"/>
    <w:rsid w:val="0068783B"/>
    <w:rsid w:val="00691906"/>
    <w:rsid w:val="00693367"/>
    <w:rsid w:val="006940AB"/>
    <w:rsid w:val="00695A3D"/>
    <w:rsid w:val="006A11B5"/>
    <w:rsid w:val="006A5F9F"/>
    <w:rsid w:val="006B13E4"/>
    <w:rsid w:val="006B3166"/>
    <w:rsid w:val="006B4C4D"/>
    <w:rsid w:val="006B5036"/>
    <w:rsid w:val="006B5D7D"/>
    <w:rsid w:val="006C4C2D"/>
    <w:rsid w:val="006C6F2A"/>
    <w:rsid w:val="006C7966"/>
    <w:rsid w:val="006C7FAE"/>
    <w:rsid w:val="006E2806"/>
    <w:rsid w:val="006F1C8B"/>
    <w:rsid w:val="006F56C7"/>
    <w:rsid w:val="00705FCF"/>
    <w:rsid w:val="007062C9"/>
    <w:rsid w:val="00716967"/>
    <w:rsid w:val="00717320"/>
    <w:rsid w:val="00721509"/>
    <w:rsid w:val="007215A9"/>
    <w:rsid w:val="007221E8"/>
    <w:rsid w:val="00723720"/>
    <w:rsid w:val="00734410"/>
    <w:rsid w:val="00744ED5"/>
    <w:rsid w:val="00746CA3"/>
    <w:rsid w:val="00756B78"/>
    <w:rsid w:val="00764801"/>
    <w:rsid w:val="00773A8F"/>
    <w:rsid w:val="00775682"/>
    <w:rsid w:val="00777072"/>
    <w:rsid w:val="007778E8"/>
    <w:rsid w:val="00782F02"/>
    <w:rsid w:val="00783370"/>
    <w:rsid w:val="00783D7A"/>
    <w:rsid w:val="007842D5"/>
    <w:rsid w:val="007912A9"/>
    <w:rsid w:val="007948EC"/>
    <w:rsid w:val="007957D8"/>
    <w:rsid w:val="00797904"/>
    <w:rsid w:val="007A10E0"/>
    <w:rsid w:val="007A3D51"/>
    <w:rsid w:val="007A437A"/>
    <w:rsid w:val="007A5F42"/>
    <w:rsid w:val="007A7100"/>
    <w:rsid w:val="007B1B74"/>
    <w:rsid w:val="007B22EA"/>
    <w:rsid w:val="007B77EB"/>
    <w:rsid w:val="007C2E83"/>
    <w:rsid w:val="007C4952"/>
    <w:rsid w:val="007C5160"/>
    <w:rsid w:val="007C6C35"/>
    <w:rsid w:val="007D1783"/>
    <w:rsid w:val="007D5B81"/>
    <w:rsid w:val="007D756D"/>
    <w:rsid w:val="007E014A"/>
    <w:rsid w:val="007F0796"/>
    <w:rsid w:val="007F086B"/>
    <w:rsid w:val="007F5F61"/>
    <w:rsid w:val="007F6010"/>
    <w:rsid w:val="0080145C"/>
    <w:rsid w:val="00801E67"/>
    <w:rsid w:val="00814608"/>
    <w:rsid w:val="00817208"/>
    <w:rsid w:val="00822296"/>
    <w:rsid w:val="0082672C"/>
    <w:rsid w:val="00834BCC"/>
    <w:rsid w:val="00835FF6"/>
    <w:rsid w:val="0084218A"/>
    <w:rsid w:val="008440B3"/>
    <w:rsid w:val="00845F9C"/>
    <w:rsid w:val="00863D9E"/>
    <w:rsid w:val="00866AAC"/>
    <w:rsid w:val="008715E1"/>
    <w:rsid w:val="00873095"/>
    <w:rsid w:val="00873E92"/>
    <w:rsid w:val="008757E4"/>
    <w:rsid w:val="008809E2"/>
    <w:rsid w:val="00880BF4"/>
    <w:rsid w:val="00882B11"/>
    <w:rsid w:val="008855F7"/>
    <w:rsid w:val="00890570"/>
    <w:rsid w:val="00890571"/>
    <w:rsid w:val="0089070D"/>
    <w:rsid w:val="00895146"/>
    <w:rsid w:val="00895EEF"/>
    <w:rsid w:val="008A0B64"/>
    <w:rsid w:val="008A2519"/>
    <w:rsid w:val="008A359F"/>
    <w:rsid w:val="008A52CD"/>
    <w:rsid w:val="008A5A4C"/>
    <w:rsid w:val="008B2C93"/>
    <w:rsid w:val="008B5892"/>
    <w:rsid w:val="008B7250"/>
    <w:rsid w:val="008C0B8A"/>
    <w:rsid w:val="008C1CDB"/>
    <w:rsid w:val="008E0B56"/>
    <w:rsid w:val="008E4DBA"/>
    <w:rsid w:val="008F3D49"/>
    <w:rsid w:val="008F5F93"/>
    <w:rsid w:val="008F6394"/>
    <w:rsid w:val="009116B3"/>
    <w:rsid w:val="00915492"/>
    <w:rsid w:val="00922D7A"/>
    <w:rsid w:val="00927507"/>
    <w:rsid w:val="00930D76"/>
    <w:rsid w:val="00934898"/>
    <w:rsid w:val="00935A6E"/>
    <w:rsid w:val="00943CDB"/>
    <w:rsid w:val="00950E08"/>
    <w:rsid w:val="00960D62"/>
    <w:rsid w:val="0096258E"/>
    <w:rsid w:val="0096300D"/>
    <w:rsid w:val="00963161"/>
    <w:rsid w:val="009663D6"/>
    <w:rsid w:val="00971FB7"/>
    <w:rsid w:val="00972330"/>
    <w:rsid w:val="009741BF"/>
    <w:rsid w:val="00981B06"/>
    <w:rsid w:val="00983179"/>
    <w:rsid w:val="00986CB3"/>
    <w:rsid w:val="0098781D"/>
    <w:rsid w:val="00990A44"/>
    <w:rsid w:val="00992E60"/>
    <w:rsid w:val="00995238"/>
    <w:rsid w:val="00997A91"/>
    <w:rsid w:val="00997E39"/>
    <w:rsid w:val="009A11DF"/>
    <w:rsid w:val="009A146F"/>
    <w:rsid w:val="009A658B"/>
    <w:rsid w:val="009B015D"/>
    <w:rsid w:val="009B1109"/>
    <w:rsid w:val="009B4AC5"/>
    <w:rsid w:val="009B5F15"/>
    <w:rsid w:val="009B62BE"/>
    <w:rsid w:val="009C650A"/>
    <w:rsid w:val="009D7550"/>
    <w:rsid w:val="009E31C5"/>
    <w:rsid w:val="009E4AFE"/>
    <w:rsid w:val="009E6057"/>
    <w:rsid w:val="009F0B63"/>
    <w:rsid w:val="009F138C"/>
    <w:rsid w:val="009F52BA"/>
    <w:rsid w:val="009F69D3"/>
    <w:rsid w:val="00A00284"/>
    <w:rsid w:val="00A00D79"/>
    <w:rsid w:val="00A01F88"/>
    <w:rsid w:val="00A0284B"/>
    <w:rsid w:val="00A0304E"/>
    <w:rsid w:val="00A0305F"/>
    <w:rsid w:val="00A045CF"/>
    <w:rsid w:val="00A04DD1"/>
    <w:rsid w:val="00A04E96"/>
    <w:rsid w:val="00A062E4"/>
    <w:rsid w:val="00A10A0F"/>
    <w:rsid w:val="00A111BD"/>
    <w:rsid w:val="00A161D6"/>
    <w:rsid w:val="00A21EB1"/>
    <w:rsid w:val="00A22C76"/>
    <w:rsid w:val="00A23141"/>
    <w:rsid w:val="00A32BC6"/>
    <w:rsid w:val="00A3795F"/>
    <w:rsid w:val="00A402C5"/>
    <w:rsid w:val="00A409C4"/>
    <w:rsid w:val="00A433E0"/>
    <w:rsid w:val="00A4718E"/>
    <w:rsid w:val="00A55A40"/>
    <w:rsid w:val="00A55E82"/>
    <w:rsid w:val="00A57DD5"/>
    <w:rsid w:val="00A619DE"/>
    <w:rsid w:val="00A61CA4"/>
    <w:rsid w:val="00A64D6E"/>
    <w:rsid w:val="00A70212"/>
    <w:rsid w:val="00A71BBE"/>
    <w:rsid w:val="00A80AF1"/>
    <w:rsid w:val="00A810AA"/>
    <w:rsid w:val="00A8374D"/>
    <w:rsid w:val="00A9671A"/>
    <w:rsid w:val="00A96B1E"/>
    <w:rsid w:val="00AA0079"/>
    <w:rsid w:val="00AA24AC"/>
    <w:rsid w:val="00AA27D6"/>
    <w:rsid w:val="00AB0967"/>
    <w:rsid w:val="00AB4701"/>
    <w:rsid w:val="00AB5ECC"/>
    <w:rsid w:val="00AC026B"/>
    <w:rsid w:val="00AC3DCA"/>
    <w:rsid w:val="00AC5429"/>
    <w:rsid w:val="00AD092A"/>
    <w:rsid w:val="00AD5193"/>
    <w:rsid w:val="00AD59A7"/>
    <w:rsid w:val="00AE0126"/>
    <w:rsid w:val="00AE53D2"/>
    <w:rsid w:val="00AE6332"/>
    <w:rsid w:val="00AE725B"/>
    <w:rsid w:val="00AF79D9"/>
    <w:rsid w:val="00AF7BF4"/>
    <w:rsid w:val="00B04194"/>
    <w:rsid w:val="00B06684"/>
    <w:rsid w:val="00B10040"/>
    <w:rsid w:val="00B20275"/>
    <w:rsid w:val="00B20DB5"/>
    <w:rsid w:val="00B220AC"/>
    <w:rsid w:val="00B2463A"/>
    <w:rsid w:val="00B25530"/>
    <w:rsid w:val="00B27F09"/>
    <w:rsid w:val="00B4189B"/>
    <w:rsid w:val="00B41939"/>
    <w:rsid w:val="00B42F0D"/>
    <w:rsid w:val="00B4654A"/>
    <w:rsid w:val="00B47570"/>
    <w:rsid w:val="00B51456"/>
    <w:rsid w:val="00B515F7"/>
    <w:rsid w:val="00B52157"/>
    <w:rsid w:val="00B57CF6"/>
    <w:rsid w:val="00B64DD9"/>
    <w:rsid w:val="00B74956"/>
    <w:rsid w:val="00B8329D"/>
    <w:rsid w:val="00B96830"/>
    <w:rsid w:val="00BA6A79"/>
    <w:rsid w:val="00BB7079"/>
    <w:rsid w:val="00BC249A"/>
    <w:rsid w:val="00BC6529"/>
    <w:rsid w:val="00BC720A"/>
    <w:rsid w:val="00BD3A3E"/>
    <w:rsid w:val="00BD52F2"/>
    <w:rsid w:val="00BD6EDA"/>
    <w:rsid w:val="00BE2EF9"/>
    <w:rsid w:val="00BF06D5"/>
    <w:rsid w:val="00BF1933"/>
    <w:rsid w:val="00BF7646"/>
    <w:rsid w:val="00C04790"/>
    <w:rsid w:val="00C04C4A"/>
    <w:rsid w:val="00C04EA5"/>
    <w:rsid w:val="00C0518F"/>
    <w:rsid w:val="00C1034F"/>
    <w:rsid w:val="00C11A1D"/>
    <w:rsid w:val="00C1405C"/>
    <w:rsid w:val="00C14916"/>
    <w:rsid w:val="00C16761"/>
    <w:rsid w:val="00C24107"/>
    <w:rsid w:val="00C25396"/>
    <w:rsid w:val="00C25E61"/>
    <w:rsid w:val="00C27118"/>
    <w:rsid w:val="00C3068C"/>
    <w:rsid w:val="00C31F2C"/>
    <w:rsid w:val="00C36126"/>
    <w:rsid w:val="00C464B3"/>
    <w:rsid w:val="00C47D43"/>
    <w:rsid w:val="00C5120A"/>
    <w:rsid w:val="00C63859"/>
    <w:rsid w:val="00C6438E"/>
    <w:rsid w:val="00C659E2"/>
    <w:rsid w:val="00C8277F"/>
    <w:rsid w:val="00C839ED"/>
    <w:rsid w:val="00C908DB"/>
    <w:rsid w:val="00C935F3"/>
    <w:rsid w:val="00CA6080"/>
    <w:rsid w:val="00CA794F"/>
    <w:rsid w:val="00CB1C57"/>
    <w:rsid w:val="00CB4950"/>
    <w:rsid w:val="00CB7047"/>
    <w:rsid w:val="00CB72DC"/>
    <w:rsid w:val="00CC1300"/>
    <w:rsid w:val="00CC60A2"/>
    <w:rsid w:val="00CD0EB3"/>
    <w:rsid w:val="00CE11B6"/>
    <w:rsid w:val="00CE4107"/>
    <w:rsid w:val="00CE5B7C"/>
    <w:rsid w:val="00CE7BD8"/>
    <w:rsid w:val="00CF2C34"/>
    <w:rsid w:val="00D057C3"/>
    <w:rsid w:val="00D05EF8"/>
    <w:rsid w:val="00D06D08"/>
    <w:rsid w:val="00D07651"/>
    <w:rsid w:val="00D1011F"/>
    <w:rsid w:val="00D132AA"/>
    <w:rsid w:val="00D14D0C"/>
    <w:rsid w:val="00D14FC9"/>
    <w:rsid w:val="00D1730F"/>
    <w:rsid w:val="00D21A46"/>
    <w:rsid w:val="00D21A81"/>
    <w:rsid w:val="00D2285B"/>
    <w:rsid w:val="00D26A6D"/>
    <w:rsid w:val="00D32751"/>
    <w:rsid w:val="00D3585E"/>
    <w:rsid w:val="00D42015"/>
    <w:rsid w:val="00D500B6"/>
    <w:rsid w:val="00D51191"/>
    <w:rsid w:val="00D518C2"/>
    <w:rsid w:val="00D538BB"/>
    <w:rsid w:val="00D55264"/>
    <w:rsid w:val="00D55BB8"/>
    <w:rsid w:val="00D56EEC"/>
    <w:rsid w:val="00D5710C"/>
    <w:rsid w:val="00D57AD9"/>
    <w:rsid w:val="00D631A0"/>
    <w:rsid w:val="00D63820"/>
    <w:rsid w:val="00D72ACA"/>
    <w:rsid w:val="00D75038"/>
    <w:rsid w:val="00D85383"/>
    <w:rsid w:val="00D9388C"/>
    <w:rsid w:val="00D94772"/>
    <w:rsid w:val="00D94C4B"/>
    <w:rsid w:val="00DA065C"/>
    <w:rsid w:val="00DB137B"/>
    <w:rsid w:val="00DB1D0B"/>
    <w:rsid w:val="00DB54C6"/>
    <w:rsid w:val="00DB56EF"/>
    <w:rsid w:val="00DD0B18"/>
    <w:rsid w:val="00DE028E"/>
    <w:rsid w:val="00DE1A3B"/>
    <w:rsid w:val="00DF4AF4"/>
    <w:rsid w:val="00E003FD"/>
    <w:rsid w:val="00E07482"/>
    <w:rsid w:val="00E1433E"/>
    <w:rsid w:val="00E1575A"/>
    <w:rsid w:val="00E15E1C"/>
    <w:rsid w:val="00E21145"/>
    <w:rsid w:val="00E21E0B"/>
    <w:rsid w:val="00E23D52"/>
    <w:rsid w:val="00E400CF"/>
    <w:rsid w:val="00E44FB0"/>
    <w:rsid w:val="00E510C6"/>
    <w:rsid w:val="00E57E23"/>
    <w:rsid w:val="00E6295B"/>
    <w:rsid w:val="00E654A8"/>
    <w:rsid w:val="00E65648"/>
    <w:rsid w:val="00E657F5"/>
    <w:rsid w:val="00E76C52"/>
    <w:rsid w:val="00E77980"/>
    <w:rsid w:val="00E912F7"/>
    <w:rsid w:val="00E91C5A"/>
    <w:rsid w:val="00E92BA4"/>
    <w:rsid w:val="00E960DB"/>
    <w:rsid w:val="00EA1269"/>
    <w:rsid w:val="00EA2223"/>
    <w:rsid w:val="00EA7B90"/>
    <w:rsid w:val="00EB6159"/>
    <w:rsid w:val="00EC2BDA"/>
    <w:rsid w:val="00ED2504"/>
    <w:rsid w:val="00EE4E63"/>
    <w:rsid w:val="00EE64F5"/>
    <w:rsid w:val="00EE6A90"/>
    <w:rsid w:val="00EF47F6"/>
    <w:rsid w:val="00F04895"/>
    <w:rsid w:val="00F2496E"/>
    <w:rsid w:val="00F3115A"/>
    <w:rsid w:val="00F36F6D"/>
    <w:rsid w:val="00F41946"/>
    <w:rsid w:val="00F45988"/>
    <w:rsid w:val="00F5075F"/>
    <w:rsid w:val="00F51BEF"/>
    <w:rsid w:val="00F52B2F"/>
    <w:rsid w:val="00F57E1E"/>
    <w:rsid w:val="00F60E6B"/>
    <w:rsid w:val="00F6129F"/>
    <w:rsid w:val="00F62A08"/>
    <w:rsid w:val="00F6588D"/>
    <w:rsid w:val="00F661DE"/>
    <w:rsid w:val="00F66554"/>
    <w:rsid w:val="00F71ADA"/>
    <w:rsid w:val="00F753EA"/>
    <w:rsid w:val="00F7591E"/>
    <w:rsid w:val="00F7651C"/>
    <w:rsid w:val="00F77224"/>
    <w:rsid w:val="00F86D7A"/>
    <w:rsid w:val="00F94612"/>
    <w:rsid w:val="00FA1A43"/>
    <w:rsid w:val="00FB4B36"/>
    <w:rsid w:val="00FC3F2C"/>
    <w:rsid w:val="00FC5C39"/>
    <w:rsid w:val="00FC75FE"/>
    <w:rsid w:val="00FD5762"/>
    <w:rsid w:val="00FE23B4"/>
    <w:rsid w:val="00FE2BD3"/>
    <w:rsid w:val="00FE3C56"/>
    <w:rsid w:val="00FE51A4"/>
    <w:rsid w:val="06B657ED"/>
    <w:rsid w:val="06F10BCB"/>
    <w:rsid w:val="078D9CD3"/>
    <w:rsid w:val="091CF02D"/>
    <w:rsid w:val="1129278D"/>
    <w:rsid w:val="1221E2AE"/>
    <w:rsid w:val="1A92C301"/>
    <w:rsid w:val="2A3314F0"/>
    <w:rsid w:val="47E0597D"/>
    <w:rsid w:val="482076E3"/>
    <w:rsid w:val="4EC32DA1"/>
    <w:rsid w:val="517A6E2A"/>
    <w:rsid w:val="6B2F1585"/>
    <w:rsid w:val="71581361"/>
    <w:rsid w:val="71EA548F"/>
    <w:rsid w:val="7DFC1C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E86B88"/>
  <w15:docId w15:val="{90BF07B5-9693-4BC6-90C5-C69A2401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E23"/>
    <w:rPr>
      <w:rFonts w:ascii="Times New Roman" w:hAnsi="Times New Roman" w:cs="Times New Roman"/>
      <w:sz w:val="24"/>
      <w:szCs w:val="24"/>
    </w:rPr>
  </w:style>
  <w:style w:type="paragraph" w:styleId="Heading1">
    <w:name w:val="heading 1"/>
    <w:basedOn w:val="Normal"/>
    <w:next w:val="Normal"/>
    <w:link w:val="Heading1Char"/>
    <w:uiPriority w:val="9"/>
    <w:qFormat/>
    <w:rsid w:val="008A5A4C"/>
    <w:pPr>
      <w:outlineLvl w:val="0"/>
    </w:pPr>
    <w:rPr>
      <w:b/>
    </w:rPr>
  </w:style>
  <w:style w:type="paragraph" w:styleId="Heading2">
    <w:name w:val="heading 2"/>
    <w:aliases w:val="Heading 2 (A-level text heading)"/>
    <w:next w:val="Normal"/>
    <w:link w:val="Heading2Char"/>
    <w:uiPriority w:val="99"/>
    <w:qFormat/>
    <w:rsid w:val="00E57E23"/>
    <w:pPr>
      <w:keepNext/>
      <w:keepLines/>
      <w:numPr>
        <w:numId w:val="36"/>
      </w:numPr>
      <w:spacing w:before="120" w:after="120"/>
      <w:outlineLvl w:val="1"/>
    </w:pPr>
    <w:rPr>
      <w:rFonts w:ascii="Times New Roman" w:eastAsia="Calibri" w:hAnsi="Times New Roman" w:cs="Times New Roman"/>
      <w:color w:val="000000" w:themeColor="text1"/>
      <w:sz w:val="24"/>
      <w:szCs w:val="24"/>
      <w:u w:val="single"/>
    </w:rPr>
  </w:style>
  <w:style w:type="paragraph" w:styleId="Heading3">
    <w:name w:val="heading 3"/>
    <w:basedOn w:val="NoSpacing"/>
    <w:next w:val="Normal"/>
    <w:link w:val="Heading3Char"/>
    <w:uiPriority w:val="9"/>
    <w:unhideWhenUsed/>
    <w:qFormat/>
    <w:rsid w:val="008A5A4C"/>
    <w:pPr>
      <w:outlineLvl w:val="2"/>
    </w:pPr>
    <w:rPr>
      <w:b/>
      <w:bCs w:val="0"/>
    </w:rPr>
  </w:style>
  <w:style w:type="paragraph" w:styleId="Heading4">
    <w:name w:val="heading 4"/>
    <w:basedOn w:val="NoSpacing"/>
    <w:next w:val="Normal"/>
    <w:link w:val="Heading4Char"/>
    <w:uiPriority w:val="9"/>
    <w:unhideWhenUsed/>
    <w:qFormat/>
    <w:rsid w:val="00FC5C39"/>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A4C"/>
    <w:rPr>
      <w:rFonts w:ascii="Times New Roman" w:hAnsi="Times New Roman" w:cs="Times New Roman"/>
      <w:b/>
      <w:sz w:val="24"/>
      <w:szCs w:val="24"/>
    </w:rPr>
  </w:style>
  <w:style w:type="character" w:customStyle="1" w:styleId="Heading2Char">
    <w:name w:val="Heading 2 Char"/>
    <w:aliases w:val="Heading 2 (A-level text heading) Char"/>
    <w:basedOn w:val="DefaultParagraphFont"/>
    <w:link w:val="Heading2"/>
    <w:uiPriority w:val="99"/>
    <w:rsid w:val="00E57E23"/>
    <w:rPr>
      <w:rFonts w:ascii="Times New Roman" w:eastAsia="Calibri" w:hAnsi="Times New Roman" w:cs="Times New Roman"/>
      <w:color w:val="000000" w:themeColor="text1"/>
      <w:sz w:val="24"/>
      <w:szCs w:val="24"/>
      <w:u w:val="single"/>
    </w:rPr>
  </w:style>
  <w:style w:type="character" w:customStyle="1" w:styleId="Heading3Char">
    <w:name w:val="Heading 3 Char"/>
    <w:basedOn w:val="DefaultParagraphFont"/>
    <w:link w:val="Heading3"/>
    <w:uiPriority w:val="9"/>
    <w:rsid w:val="008A5A4C"/>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FC5C39"/>
    <w:rPr>
      <w:rFonts w:ascii="Times New Roman" w:hAnsi="Times New Roman" w:cs="Times New Roman"/>
      <w:bCs/>
      <w:i/>
      <w:sz w:val="24"/>
      <w:szCs w:val="24"/>
    </w:rPr>
  </w:style>
  <w:style w:type="character" w:styleId="Hyperlink">
    <w:name w:val="Hyperlink"/>
    <w:uiPriority w:val="99"/>
    <w:unhideWhenUsed/>
    <w:rsid w:val="00C14916"/>
    <w:rPr>
      <w:rFonts w:ascii="Lato" w:hAnsi="Lato" w:cs="Times New Roman"/>
      <w:color w:val="1F497D" w:themeColor="text2"/>
      <w:u w:val="none"/>
    </w:rPr>
  </w:style>
  <w:style w:type="table" w:styleId="TableGrid">
    <w:name w:val="Table Grid"/>
    <w:basedOn w:val="TableNormal"/>
    <w:rsid w:val="00C14916"/>
    <w:rPr>
      <w:rFonts w:ascii="Lato" w:hAnsi="La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C14916"/>
    <w:pPr>
      <w:spacing w:after="60"/>
    </w:pPr>
    <w:rPr>
      <w:rFonts w:eastAsia="Times New Roman"/>
      <w:snapToGrid w:val="0"/>
      <w:sz w:val="18"/>
    </w:rPr>
  </w:style>
  <w:style w:type="paragraph" w:customStyle="1" w:styleId="FigureTableNumber">
    <w:name w:val="Figure/Table Number"/>
    <w:basedOn w:val="Normal"/>
    <w:qFormat/>
    <w:rsid w:val="00C14916"/>
    <w:pPr>
      <w:keepNext/>
      <w:spacing w:before="360" w:after="40" w:line="240" w:lineRule="exact"/>
    </w:pPr>
    <w:rPr>
      <w:caps/>
      <w:color w:val="4F81BD" w:themeColor="accent1"/>
      <w:sz w:val="18"/>
      <w:szCs w:val="18"/>
    </w:rPr>
  </w:style>
  <w:style w:type="paragraph" w:customStyle="1" w:styleId="TableRow">
    <w:name w:val="Table Row"/>
    <w:basedOn w:val="Normal"/>
    <w:qFormat/>
    <w:rsid w:val="00C14916"/>
    <w:rPr>
      <w:sz w:val="18"/>
    </w:rPr>
  </w:style>
  <w:style w:type="paragraph" w:customStyle="1" w:styleId="BulletedList">
    <w:name w:val="Bulleted List"/>
    <w:basedOn w:val="BodyText"/>
    <w:qFormat/>
    <w:rsid w:val="00C14916"/>
    <w:pPr>
      <w:numPr>
        <w:numId w:val="1"/>
      </w:numPr>
    </w:pPr>
  </w:style>
  <w:style w:type="paragraph" w:styleId="BodyText">
    <w:name w:val="Body Text"/>
    <w:basedOn w:val="Normal"/>
    <w:link w:val="BodyTextChar"/>
    <w:uiPriority w:val="99"/>
    <w:qFormat/>
    <w:rsid w:val="00C14916"/>
    <w:pPr>
      <w:spacing w:after="180"/>
    </w:pPr>
    <w:rPr>
      <w:rFonts w:eastAsia="Times New Roman"/>
      <w:bCs/>
    </w:rPr>
  </w:style>
  <w:style w:type="character" w:customStyle="1" w:styleId="BodyTextChar">
    <w:name w:val="Body Text Char"/>
    <w:basedOn w:val="DefaultParagraphFont"/>
    <w:link w:val="BodyText"/>
    <w:uiPriority w:val="99"/>
    <w:rsid w:val="00C14916"/>
    <w:rPr>
      <w:rFonts w:ascii="Lato" w:eastAsia="Times New Roman" w:hAnsi="Lato"/>
      <w:bCs/>
      <w:sz w:val="20"/>
      <w:szCs w:val="20"/>
    </w:rPr>
  </w:style>
  <w:style w:type="paragraph" w:styleId="ListParagraph">
    <w:name w:val="List Paragraph"/>
    <w:basedOn w:val="Normal"/>
    <w:uiPriority w:val="34"/>
    <w:qFormat/>
    <w:rsid w:val="00C14916"/>
    <w:pPr>
      <w:spacing w:after="200" w:line="276" w:lineRule="auto"/>
      <w:ind w:left="720"/>
      <w:contextualSpacing/>
    </w:pPr>
    <w:rPr>
      <w:rFonts w:asciiTheme="minorHAnsi" w:eastAsiaTheme="minorEastAsia" w:hAnsiTheme="minorHAnsi"/>
      <w:sz w:val="22"/>
      <w:szCs w:val="22"/>
    </w:rPr>
  </w:style>
  <w:style w:type="character" w:customStyle="1" w:styleId="tx2">
    <w:name w:val="tx2"/>
    <w:basedOn w:val="DefaultParagraphFont"/>
    <w:rsid w:val="00C14916"/>
  </w:style>
  <w:style w:type="paragraph" w:customStyle="1" w:styleId="NumberedList">
    <w:name w:val="Numbered List"/>
    <w:basedOn w:val="Normal"/>
    <w:qFormat/>
    <w:rsid w:val="00C14916"/>
    <w:pPr>
      <w:numPr>
        <w:numId w:val="3"/>
      </w:numPr>
      <w:spacing w:after="180"/>
      <w:contextualSpacing/>
    </w:pPr>
  </w:style>
  <w:style w:type="character" w:styleId="CommentReference">
    <w:name w:val="annotation reference"/>
    <w:basedOn w:val="DefaultParagraphFont"/>
    <w:uiPriority w:val="99"/>
    <w:semiHidden/>
    <w:unhideWhenUsed/>
    <w:rsid w:val="00C14916"/>
    <w:rPr>
      <w:sz w:val="16"/>
      <w:szCs w:val="16"/>
    </w:rPr>
  </w:style>
  <w:style w:type="paragraph" w:styleId="CommentText">
    <w:name w:val="annotation text"/>
    <w:basedOn w:val="Normal"/>
    <w:link w:val="CommentTextChar"/>
    <w:unhideWhenUsed/>
    <w:rsid w:val="00C14916"/>
  </w:style>
  <w:style w:type="character" w:customStyle="1" w:styleId="CommentTextChar">
    <w:name w:val="Comment Text Char"/>
    <w:basedOn w:val="DefaultParagraphFont"/>
    <w:link w:val="CommentText"/>
    <w:rsid w:val="00C14916"/>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14916"/>
    <w:rPr>
      <w:b/>
      <w:bCs/>
    </w:rPr>
  </w:style>
  <w:style w:type="character" w:customStyle="1" w:styleId="CommentSubjectChar">
    <w:name w:val="Comment Subject Char"/>
    <w:basedOn w:val="CommentTextChar"/>
    <w:link w:val="CommentSubject"/>
    <w:uiPriority w:val="99"/>
    <w:semiHidden/>
    <w:rsid w:val="00C14916"/>
    <w:rPr>
      <w:rFonts w:ascii="Lato" w:hAnsi="Lato"/>
      <w:b/>
      <w:bCs/>
      <w:sz w:val="20"/>
      <w:szCs w:val="20"/>
    </w:rPr>
  </w:style>
  <w:style w:type="paragraph" w:styleId="BalloonText">
    <w:name w:val="Balloon Text"/>
    <w:basedOn w:val="Normal"/>
    <w:link w:val="BalloonTextChar"/>
    <w:uiPriority w:val="99"/>
    <w:semiHidden/>
    <w:unhideWhenUsed/>
    <w:rsid w:val="00C14916"/>
    <w:rPr>
      <w:rFonts w:ascii="Tahoma" w:hAnsi="Tahoma" w:cs="Tahoma"/>
      <w:sz w:val="16"/>
      <w:szCs w:val="16"/>
    </w:rPr>
  </w:style>
  <w:style w:type="character" w:customStyle="1" w:styleId="BalloonTextChar">
    <w:name w:val="Balloon Text Char"/>
    <w:basedOn w:val="DefaultParagraphFont"/>
    <w:link w:val="BalloonText"/>
    <w:uiPriority w:val="99"/>
    <w:semiHidden/>
    <w:rsid w:val="00C14916"/>
    <w:rPr>
      <w:rFonts w:ascii="Tahoma" w:hAnsi="Tahoma" w:cs="Tahoma"/>
      <w:sz w:val="16"/>
      <w:szCs w:val="16"/>
    </w:rPr>
  </w:style>
  <w:style w:type="paragraph" w:customStyle="1" w:styleId="BulletedList2">
    <w:name w:val="Bulleted List 2"/>
    <w:basedOn w:val="NumberedList"/>
    <w:qFormat/>
    <w:rsid w:val="00F6588D"/>
    <w:pPr>
      <w:numPr>
        <w:numId w:val="13"/>
      </w:numPr>
      <w:spacing w:after="120"/>
      <w:contextualSpacing w:val="0"/>
    </w:pPr>
  </w:style>
  <w:style w:type="table" w:styleId="LightShading">
    <w:name w:val="Light Shading"/>
    <w:basedOn w:val="TableNormal"/>
    <w:uiPriority w:val="60"/>
    <w:rsid w:val="00C14916"/>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D">
    <w:name w:val="Heading 4 (D)"/>
    <w:basedOn w:val="DefaultParagraphFont"/>
    <w:uiPriority w:val="1"/>
    <w:qFormat/>
    <w:rsid w:val="00C14916"/>
    <w:rPr>
      <w:rFonts w:ascii="Lato Bold" w:hAnsi="Lato Bold"/>
      <w:i/>
    </w:rPr>
  </w:style>
  <w:style w:type="numbering" w:customStyle="1" w:styleId="NoList1">
    <w:name w:val="No List1"/>
    <w:next w:val="NoList"/>
    <w:uiPriority w:val="99"/>
    <w:semiHidden/>
    <w:unhideWhenUsed/>
    <w:rsid w:val="00C14916"/>
  </w:style>
  <w:style w:type="table" w:customStyle="1" w:styleId="TableGrid1">
    <w:name w:val="Table Grid1"/>
    <w:basedOn w:val="TableNormal"/>
    <w:next w:val="TableGrid"/>
    <w:uiPriority w:val="59"/>
    <w:rsid w:val="00C1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14916"/>
    <w:pPr>
      <w:spacing w:line="360" w:lineRule="auto"/>
    </w:pPr>
    <w:rPr>
      <w:rFonts w:eastAsia="Times New Roman"/>
      <w:sz w:val="23"/>
      <w:szCs w:val="23"/>
    </w:rPr>
  </w:style>
  <w:style w:type="paragraph" w:styleId="Footer">
    <w:name w:val="footer"/>
    <w:basedOn w:val="Normal"/>
    <w:link w:val="FooterChar"/>
    <w:uiPriority w:val="99"/>
    <w:rsid w:val="00C14916"/>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C14916"/>
    <w:rPr>
      <w:rFonts w:ascii="Calibri" w:eastAsia="Calibri" w:hAnsi="Calibri" w:cs="Times New Roman"/>
    </w:rPr>
  </w:style>
  <w:style w:type="table" w:customStyle="1" w:styleId="TableGrid11">
    <w:name w:val="Table Grid11"/>
    <w:basedOn w:val="TableNormal"/>
    <w:next w:val="TableGrid"/>
    <w:uiPriority w:val="59"/>
    <w:rsid w:val="00C1491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916"/>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C14916"/>
  </w:style>
  <w:style w:type="table" w:customStyle="1" w:styleId="TableGrid2">
    <w:name w:val="Table Grid2"/>
    <w:basedOn w:val="TableNormal"/>
    <w:next w:val="TableGrid"/>
    <w:uiPriority w:val="59"/>
    <w:rsid w:val="00C1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
    <w:name w:val="Exhibit"/>
    <w:basedOn w:val="Normal"/>
    <w:uiPriority w:val="99"/>
    <w:rsid w:val="00C14916"/>
    <w:pPr>
      <w:spacing w:line="288" w:lineRule="auto"/>
    </w:pPr>
    <w:rPr>
      <w:rFonts w:ascii="Arial" w:eastAsia="Times New Roman" w:hAnsi="Arial"/>
      <w:b/>
      <w:szCs w:val="22"/>
    </w:rPr>
  </w:style>
  <w:style w:type="paragraph" w:customStyle="1" w:styleId="Authors">
    <w:name w:val="Authors"/>
    <w:basedOn w:val="Normal"/>
    <w:uiPriority w:val="99"/>
    <w:qFormat/>
    <w:rsid w:val="00C14916"/>
    <w:rPr>
      <w:rFonts w:ascii="Georgia" w:eastAsia="Times New Roman" w:hAnsi="Georgia" w:cs="Gill Sans"/>
      <w:i/>
      <w:iCs/>
      <w:color w:val="000000" w:themeColor="text1"/>
      <w:sz w:val="23"/>
      <w:szCs w:val="22"/>
    </w:rPr>
  </w:style>
  <w:style w:type="paragraph" w:customStyle="1" w:styleId="ReportIdentifier">
    <w:name w:val="Report Identifier"/>
    <w:qFormat/>
    <w:rsid w:val="00C14916"/>
    <w:pPr>
      <w:spacing w:after="360" w:line="360" w:lineRule="exact"/>
    </w:pPr>
    <w:rPr>
      <w:rFonts w:ascii="Lato Bold" w:hAnsi="Lato Bold" w:cs="Times New Roman"/>
      <w:caps/>
      <w:color w:val="00AEEF"/>
      <w:spacing w:val="20"/>
    </w:rPr>
  </w:style>
  <w:style w:type="paragraph" w:customStyle="1" w:styleId="AuthorsAffiliation">
    <w:name w:val="Authors Affiliation"/>
    <w:basedOn w:val="Authors"/>
    <w:qFormat/>
    <w:rsid w:val="00C14916"/>
    <w:pPr>
      <w:spacing w:after="60" w:line="200" w:lineRule="exact"/>
    </w:pPr>
    <w:rPr>
      <w:rFonts w:ascii="Lato Bold" w:hAnsi="Lato Bold" w:eastAsiaTheme="minorHAnsi"/>
      <w:i w:val="0"/>
      <w:iCs w:val="0"/>
      <w:caps/>
      <w:spacing w:val="10"/>
      <w:sz w:val="15"/>
      <w:szCs w:val="16"/>
    </w:rPr>
  </w:style>
  <w:style w:type="paragraph" w:customStyle="1" w:styleId="ReportTitle">
    <w:name w:val="Report Title"/>
    <w:qFormat/>
    <w:rsid w:val="00C1491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14916"/>
    <w:pPr>
      <w:spacing w:after="360" w:line="360" w:lineRule="exact"/>
    </w:pPr>
    <w:rPr>
      <w:rFonts w:ascii="Lato Bold" w:hAnsi="Lato Bold" w:eastAsiaTheme="majorEastAsia" w:cstheme="majorBidi"/>
      <w:bCs/>
      <w:iCs/>
      <w:color w:val="00AEEF"/>
      <w:sz w:val="28"/>
      <w:szCs w:val="20"/>
    </w:rPr>
  </w:style>
  <w:style w:type="paragraph" w:styleId="Date">
    <w:name w:val="Date"/>
    <w:next w:val="Normal"/>
    <w:link w:val="DateChar"/>
    <w:rsid w:val="00C14916"/>
    <w:pPr>
      <w:spacing w:before="60" w:after="180" w:line="220" w:lineRule="exact"/>
    </w:pPr>
    <w:rPr>
      <w:rFonts w:ascii="Georgia" w:hAnsi="Georgia" w:cs="Gill Sans"/>
      <w:i/>
      <w:iCs/>
      <w:color w:val="7F7F7F" w:themeColor="text1" w:themeTint="80"/>
      <w:sz w:val="23"/>
    </w:rPr>
  </w:style>
  <w:style w:type="character" w:customStyle="1" w:styleId="DateChar">
    <w:name w:val="Date Char"/>
    <w:basedOn w:val="DefaultParagraphFont"/>
    <w:link w:val="Date"/>
    <w:rsid w:val="00C14916"/>
    <w:rPr>
      <w:rFonts w:ascii="Georgia" w:hAnsi="Georgia" w:cs="Gill Sans"/>
      <w:i/>
      <w:iCs/>
      <w:color w:val="7F7F7F" w:themeColor="text1" w:themeTint="80"/>
      <w:sz w:val="23"/>
    </w:rPr>
  </w:style>
  <w:style w:type="paragraph" w:styleId="TOC2">
    <w:name w:val="toc 2"/>
    <w:basedOn w:val="Normal"/>
    <w:next w:val="Normal"/>
    <w:autoRedefine/>
    <w:uiPriority w:val="39"/>
    <w:unhideWhenUsed/>
    <w:rsid w:val="00C14916"/>
    <w:pPr>
      <w:tabs>
        <w:tab w:val="right" w:leader="dot" w:pos="9350"/>
      </w:tabs>
      <w:spacing w:after="100" w:line="276" w:lineRule="auto"/>
    </w:pPr>
    <w:rPr>
      <w:rFonts w:asciiTheme="minorHAnsi" w:hAnsiTheme="minorHAnsi"/>
      <w:sz w:val="22"/>
      <w:szCs w:val="22"/>
    </w:rPr>
  </w:style>
  <w:style w:type="paragraph" w:styleId="TOC1">
    <w:name w:val="toc 1"/>
    <w:basedOn w:val="Normal"/>
    <w:next w:val="Normal"/>
    <w:autoRedefine/>
    <w:uiPriority w:val="39"/>
    <w:unhideWhenUsed/>
    <w:rsid w:val="00C14916"/>
    <w:pPr>
      <w:spacing w:after="100" w:line="276" w:lineRule="auto"/>
    </w:pPr>
    <w:rPr>
      <w:rFonts w:asciiTheme="minorHAnsi" w:hAnsiTheme="minorHAnsi"/>
      <w:sz w:val="22"/>
      <w:szCs w:val="22"/>
    </w:rPr>
  </w:style>
  <w:style w:type="paragraph" w:customStyle="1" w:styleId="ChapterTitle">
    <w:name w:val="Chapter Title"/>
    <w:basedOn w:val="NormalWeb"/>
    <w:qFormat/>
    <w:rsid w:val="00C14916"/>
    <w:pPr>
      <w:spacing w:after="180" w:line="720" w:lineRule="exact"/>
      <w:contextualSpacing/>
    </w:pPr>
    <w:rPr>
      <w:rFonts w:ascii="Lato Regular" w:hAnsi="Lato Regular" w:eastAsiaTheme="minorHAnsi"/>
      <w:color w:val="0096D2"/>
      <w:sz w:val="56"/>
      <w:szCs w:val="48"/>
    </w:rPr>
  </w:style>
  <w:style w:type="paragraph" w:styleId="BodyTextFirstIndent">
    <w:name w:val="Body Text First Indent"/>
    <w:basedOn w:val="BodyText"/>
    <w:link w:val="BodyTextFirstIndentChar"/>
    <w:uiPriority w:val="99"/>
    <w:unhideWhenUsed/>
    <w:rsid w:val="00C14916"/>
    <w:pPr>
      <w:spacing w:after="200" w:line="276" w:lineRule="auto"/>
      <w:ind w:firstLine="360"/>
    </w:pPr>
    <w:rPr>
      <w:rFonts w:asciiTheme="minorHAnsi" w:eastAsiaTheme="minorHAnsi" w:hAnsiTheme="minorHAnsi"/>
      <w:bCs w:val="0"/>
      <w:sz w:val="22"/>
      <w:szCs w:val="22"/>
    </w:rPr>
  </w:style>
  <w:style w:type="character" w:customStyle="1" w:styleId="BodyTextFirstIndentChar">
    <w:name w:val="Body Text First Indent Char"/>
    <w:basedOn w:val="BodyTextChar"/>
    <w:link w:val="BodyTextFirstIndent"/>
    <w:uiPriority w:val="99"/>
    <w:rsid w:val="00C14916"/>
    <w:rPr>
      <w:rFonts w:ascii="Lato" w:eastAsia="Times New Roman" w:hAnsi="Lato"/>
      <w:bCs w:val="0"/>
      <w:sz w:val="20"/>
      <w:szCs w:val="20"/>
    </w:rPr>
  </w:style>
  <w:style w:type="table" w:customStyle="1" w:styleId="TableGrid3">
    <w:name w:val="Table Grid3"/>
    <w:basedOn w:val="TableNormal"/>
    <w:next w:val="TableGrid"/>
    <w:uiPriority w:val="59"/>
    <w:rsid w:val="00C1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C149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C149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C14916"/>
  </w:style>
  <w:style w:type="paragraph" w:customStyle="1" w:styleId="paragraph">
    <w:name w:val="paragraph"/>
    <w:basedOn w:val="Normal"/>
    <w:rsid w:val="00C14916"/>
    <w:pPr>
      <w:spacing w:before="100" w:beforeAutospacing="1" w:after="100" w:afterAutospacing="1"/>
    </w:pPr>
    <w:rPr>
      <w:rFonts w:eastAsia="Times New Roman"/>
    </w:rPr>
  </w:style>
  <w:style w:type="character" w:customStyle="1" w:styleId="normaltextrun">
    <w:name w:val="normaltextrun"/>
    <w:basedOn w:val="DefaultParagraphFont"/>
    <w:rsid w:val="00C14916"/>
  </w:style>
  <w:style w:type="character" w:customStyle="1" w:styleId="eop">
    <w:name w:val="eop"/>
    <w:basedOn w:val="DefaultParagraphFont"/>
    <w:rsid w:val="00C14916"/>
  </w:style>
  <w:style w:type="paragraph" w:customStyle="1" w:styleId="FigureTableTitle">
    <w:name w:val="Figure/Table Title"/>
    <w:basedOn w:val="Normal"/>
    <w:uiPriority w:val="99"/>
    <w:qFormat/>
    <w:rsid w:val="00C14916"/>
    <w:pPr>
      <w:keepNext/>
      <w:spacing w:line="320" w:lineRule="exact"/>
    </w:pPr>
    <w:rPr>
      <w:rFonts w:ascii="Lato Bold" w:hAnsi="Lato Bold"/>
      <w:szCs w:val="28"/>
    </w:rPr>
  </w:style>
  <w:style w:type="paragraph" w:customStyle="1" w:styleId="TableColumnHeading">
    <w:name w:val="Table Column Heading"/>
    <w:basedOn w:val="Normal"/>
    <w:qFormat/>
    <w:rsid w:val="00C14916"/>
    <w:pPr>
      <w:widowControl w:val="0"/>
      <w:spacing w:before="240"/>
      <w:jc w:val="center"/>
    </w:pPr>
    <w:rPr>
      <w:rFonts w:ascii="Lato Bold" w:eastAsia="Times New Roman" w:hAnsi="Lato Bold"/>
      <w:sz w:val="19"/>
    </w:rPr>
  </w:style>
  <w:style w:type="paragraph" w:customStyle="1" w:styleId="TableRowHeading">
    <w:name w:val="Table Row Heading"/>
    <w:basedOn w:val="Normal"/>
    <w:qFormat/>
    <w:rsid w:val="00C14916"/>
    <w:pPr>
      <w:spacing w:before="60"/>
      <w:ind w:left="216" w:hanging="216"/>
    </w:pPr>
    <w:rPr>
      <w:rFonts w:ascii="Lato Bold" w:eastAsia="Times New Roman" w:hAnsi="Lato Bold"/>
      <w:sz w:val="18"/>
      <w:szCs w:val="18"/>
    </w:rPr>
  </w:style>
  <w:style w:type="table" w:customStyle="1" w:styleId="LightShading1">
    <w:name w:val="Light Shading1"/>
    <w:basedOn w:val="TableNormal"/>
    <w:next w:val="LightShading"/>
    <w:uiPriority w:val="60"/>
    <w:rsid w:val="00C14916"/>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1Light1">
    <w:name w:val="Grid Table 1 Light1"/>
    <w:basedOn w:val="TableNormal"/>
    <w:uiPriority w:val="46"/>
    <w:rsid w:val="00C149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ocument6">
    <w:name w:val="Document 6"/>
    <w:basedOn w:val="DefaultParagraphFont"/>
    <w:rsid w:val="00EC2BDA"/>
  </w:style>
  <w:style w:type="character" w:customStyle="1" w:styleId="Document4">
    <w:name w:val="Document 4"/>
    <w:basedOn w:val="DefaultParagraphFont"/>
    <w:rsid w:val="00EC2BDA"/>
    <w:rPr>
      <w:b/>
      <w:i/>
      <w:sz w:val="24"/>
    </w:rPr>
  </w:style>
  <w:style w:type="character" w:customStyle="1" w:styleId="Mention1">
    <w:name w:val="Mention1"/>
    <w:basedOn w:val="DefaultParagraphFont"/>
    <w:uiPriority w:val="99"/>
    <w:semiHidden/>
    <w:unhideWhenUsed/>
    <w:rsid w:val="00675604"/>
    <w:rPr>
      <w:color w:val="2B579A"/>
      <w:shd w:val="clear" w:color="auto" w:fill="E6E6E6"/>
    </w:rPr>
  </w:style>
  <w:style w:type="paragraph" w:styleId="NoSpacing">
    <w:name w:val="No Spacing"/>
    <w:uiPriority w:val="1"/>
    <w:qFormat/>
    <w:rsid w:val="008A5A4C"/>
    <w:pPr>
      <w:ind w:left="720"/>
    </w:pPr>
    <w:rPr>
      <w:rFonts w:ascii="Times New Roman" w:hAnsi="Times New Roman" w:cs="Times New Roman"/>
      <w:bCs/>
      <w:sz w:val="24"/>
      <w:szCs w:val="24"/>
    </w:rPr>
  </w:style>
  <w:style w:type="character" w:styleId="FollowedHyperlink">
    <w:name w:val="FollowedHyperlink"/>
    <w:basedOn w:val="DefaultParagraphFont"/>
    <w:uiPriority w:val="99"/>
    <w:semiHidden/>
    <w:unhideWhenUsed/>
    <w:rsid w:val="00F86D7A"/>
    <w:rPr>
      <w:color w:val="800080" w:themeColor="followedHyperlink"/>
      <w:u w:val="single"/>
    </w:rPr>
  </w:style>
  <w:style w:type="character" w:styleId="UnresolvedMention">
    <w:name w:val="Unresolved Mention"/>
    <w:basedOn w:val="DefaultParagraphFont"/>
    <w:uiPriority w:val="99"/>
    <w:semiHidden/>
    <w:unhideWhenUsed/>
    <w:rsid w:val="00327582"/>
    <w:rPr>
      <w:color w:val="605E5C"/>
      <w:shd w:val="clear" w:color="auto" w:fill="E1DFDD"/>
    </w:rPr>
  </w:style>
  <w:style w:type="paragraph" w:styleId="FootnoteText">
    <w:name w:val="footnote text"/>
    <w:basedOn w:val="Normal"/>
    <w:link w:val="FootnoteTextChar"/>
    <w:uiPriority w:val="99"/>
    <w:semiHidden/>
    <w:unhideWhenUsed/>
    <w:rsid w:val="0057498F"/>
    <w:rPr>
      <w:rFonts w:asciiTheme="minorHAnsi" w:hAnsiTheme="minorHAnsi" w:cstheme="minorBidi"/>
      <w:sz w:val="20"/>
      <w:szCs w:val="20"/>
      <w:lang w:eastAsia="ja-JP"/>
    </w:rPr>
  </w:style>
  <w:style w:type="character" w:customStyle="1" w:styleId="FootnoteTextChar">
    <w:name w:val="Footnote Text Char"/>
    <w:basedOn w:val="DefaultParagraphFont"/>
    <w:link w:val="FootnoteText"/>
    <w:uiPriority w:val="99"/>
    <w:semiHidden/>
    <w:rsid w:val="0057498F"/>
    <w:rPr>
      <w:sz w:val="20"/>
      <w:szCs w:val="20"/>
      <w:lang w:eastAsia="ja-JP"/>
    </w:rPr>
  </w:style>
  <w:style w:type="character" w:styleId="FootnoteReference">
    <w:name w:val="footnote reference"/>
    <w:basedOn w:val="DefaultParagraphFont"/>
    <w:uiPriority w:val="99"/>
    <w:semiHidden/>
    <w:unhideWhenUsed/>
    <w:rsid w:val="0057498F"/>
    <w:rPr>
      <w:vertAlign w:val="superscript"/>
    </w:rPr>
  </w:style>
  <w:style w:type="paragraph" w:customStyle="1" w:styleId="Default">
    <w:name w:val="Default"/>
    <w:rsid w:val="008A359F"/>
    <w:pPr>
      <w:autoSpaceDE w:val="0"/>
      <w:autoSpaceDN w:val="0"/>
      <w:adjustRightInd w:val="0"/>
    </w:pPr>
    <w:rPr>
      <w:rFonts w:ascii="Georgia" w:eastAsia="Times New Roman"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6d93d11-28f8-4e6d-ae4f-5893c68de00b"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8" ma:contentTypeDescription="Create a new document." ma:contentTypeScope="" ma:versionID="524bd72cfc0c69f08df33e9e6bc9f05e">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13a0a899a2daeb2ec0456b31d65bc1c3"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CA86E-7FC2-4CBF-B15B-072A58091AA9}">
  <ds:schemaRefs>
    <ds:schemaRef ds:uri="http://schemas.openxmlformats.org/officeDocument/2006/bibliography"/>
  </ds:schemaRefs>
</ds:datastoreItem>
</file>

<file path=customXml/itemProps2.xml><?xml version="1.0" encoding="utf-8"?>
<ds:datastoreItem xmlns:ds="http://schemas.openxmlformats.org/officeDocument/2006/customXml" ds:itemID="{CF647E86-980B-472E-9645-3F2A55B44586}">
  <ds:schemaRefs>
    <ds:schemaRef ds:uri="http://schemas.microsoft.com/office/2006/metadata/properties"/>
    <ds:schemaRef ds:uri="http://schemas.microsoft.com/office/infopath/2007/PartnerControls"/>
    <ds:schemaRef ds:uri="http://schemas.microsoft.com/sharepoint/v3"/>
    <ds:schemaRef ds:uri="c6d93d11-28f8-4e6d-ae4f-5893c68de00b"/>
  </ds:schemaRefs>
</ds:datastoreItem>
</file>

<file path=customXml/itemProps3.xml><?xml version="1.0" encoding="utf-8"?>
<ds:datastoreItem xmlns:ds="http://schemas.openxmlformats.org/officeDocument/2006/customXml" ds:itemID="{6FA6E357-24D6-4FD3-A57D-48CF2393A6BF}">
  <ds:schemaRefs>
    <ds:schemaRef ds:uri="http://schemas.microsoft.com/sharepoint/v3/contenttype/forms"/>
  </ds:schemaRefs>
</ds:datastoreItem>
</file>

<file path=customXml/itemProps4.xml><?xml version="1.0" encoding="utf-8"?>
<ds:datastoreItem xmlns:ds="http://schemas.openxmlformats.org/officeDocument/2006/customXml" ds:itemID="{588C2DA0-4468-418C-94E3-3C3C48DE3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4295</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Myhre, Marina L</dc:creator>
  <cp:lastModifiedBy>Hill, Ronald M</cp:lastModifiedBy>
  <cp:revision>2</cp:revision>
  <dcterms:created xsi:type="dcterms:W3CDTF">2024-10-15T19:15:00Z</dcterms:created>
  <dcterms:modified xsi:type="dcterms:W3CDTF">2024-10-15T19:15:00Z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0896dad2-6984-4700-82b3-086277dd913c</vt:lpwstr>
  </property>
</Properties>
</file>