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0D9B" w:rsidRPr="007C5E17" w:rsidP="006E563D" w14:paraId="5C5495F6" w14:textId="77777777">
      <w:pPr>
        <w:spacing w:after="0" w:line="240" w:lineRule="auto"/>
        <w:rPr>
          <w:rFonts w:asciiTheme="majorHAnsi" w:hAnsiTheme="majorHAnsi"/>
          <w:i/>
          <w:iCs/>
          <w:sz w:val="24"/>
        </w:rPr>
      </w:pPr>
    </w:p>
    <w:tbl>
      <w:tblPr>
        <w:tblStyle w:val="TableGrid"/>
        <w:tblW w:w="9515" w:type="dxa"/>
        <w:tblInd w:w="-5" w:type="dxa"/>
        <w:tblLook w:val="04A0"/>
      </w:tblPr>
      <w:tblGrid>
        <w:gridCol w:w="9515"/>
      </w:tblGrid>
      <w:tr w14:paraId="3600C9C2" w14:textId="77777777" w:rsidTr="00594B6B">
        <w:tblPrEx>
          <w:tblW w:w="9515" w:type="dxa"/>
          <w:tblInd w:w="-5" w:type="dxa"/>
          <w:tblLook w:val="04A0"/>
        </w:tblPrEx>
        <w:trPr>
          <w:trHeight w:val="595"/>
        </w:trPr>
        <w:tc>
          <w:tcPr>
            <w:tcW w:w="9515" w:type="dxa"/>
          </w:tcPr>
          <w:p w:rsidR="00363720" w:rsidRPr="00CB0492" w:rsidP="00363720" w14:paraId="6D2CE40F" w14:textId="7BB7C643">
            <w:pPr>
              <w:rPr>
                <w:rFonts w:ascii="Times New Roman" w:hAnsi="Times New Roman" w:cs="Times New Roman"/>
                <w:sz w:val="24"/>
              </w:rPr>
            </w:pPr>
            <w:r w:rsidRPr="00CB0492">
              <w:rPr>
                <w:rFonts w:ascii="Times New Roman" w:hAnsi="Times New Roman" w:cs="Times New Roman"/>
                <w:sz w:val="24"/>
              </w:rPr>
              <w:t xml:space="preserve">Summary of Changes from Previously Approved Collection </w:t>
            </w:r>
          </w:p>
          <w:p w:rsidR="00594B6B" w:rsidRPr="00B50D8F" w:rsidP="00CB0492" w14:paraId="5FDAFFC1" w14:textId="77777777">
            <w:pPr>
              <w:pStyle w:val="ListParagraph"/>
              <w:numPr>
                <w:ilvl w:val="0"/>
                <w:numId w:val="23"/>
              </w:numPr>
              <w:rPr>
                <w:rFonts w:ascii="Times New Roman" w:hAnsi="Times New Roman" w:cs="Times New Roman"/>
                <w:i/>
                <w:iCs/>
                <w:sz w:val="24"/>
              </w:rPr>
            </w:pPr>
            <w:r w:rsidRPr="00CB0492">
              <w:rPr>
                <w:rFonts w:ascii="Times New Roman" w:hAnsi="Times New Roman" w:cs="Times New Roman"/>
                <w:sz w:val="24"/>
                <w:szCs w:val="24"/>
              </w:rPr>
              <w:t xml:space="preserve">No changes have been made to this form. The respondent burden has </w:t>
            </w:r>
            <w:r w:rsidR="003D557E">
              <w:rPr>
                <w:rFonts w:ascii="Times New Roman" w:hAnsi="Times New Roman" w:cs="Times New Roman"/>
                <w:sz w:val="24"/>
                <w:szCs w:val="24"/>
              </w:rPr>
              <w:t>remained the same</w:t>
            </w:r>
            <w:r w:rsidRPr="00CB0492">
              <w:rPr>
                <w:rFonts w:ascii="Times New Roman" w:hAnsi="Times New Roman" w:cs="Times New Roman"/>
                <w:sz w:val="24"/>
                <w:szCs w:val="24"/>
              </w:rPr>
              <w:t>.</w:t>
            </w:r>
          </w:p>
          <w:p w:rsidR="00B50D8F" w:rsidRPr="00B50D8F" w:rsidP="00CB0492" w14:paraId="4A54E5CD" w14:textId="7F3FC339">
            <w:pPr>
              <w:pStyle w:val="ListParagraph"/>
              <w:numPr>
                <w:ilvl w:val="0"/>
                <w:numId w:val="23"/>
              </w:numPr>
              <w:rPr>
                <w:rFonts w:ascii="Times New Roman" w:hAnsi="Times New Roman" w:cs="Times New Roman"/>
                <w:sz w:val="24"/>
              </w:rPr>
            </w:pPr>
            <w:r w:rsidRPr="00B50D8F">
              <w:rPr>
                <w:rFonts w:ascii="Times New Roman" w:hAnsi="Times New Roman" w:cs="Times New Roman"/>
                <w:sz w:val="24"/>
                <w:szCs w:val="24"/>
              </w:rPr>
              <w:t>No comments were received during the 60-day public comment period.</w:t>
            </w:r>
          </w:p>
        </w:tc>
      </w:tr>
    </w:tbl>
    <w:p w:rsidR="00340D9B" w:rsidRPr="00CB0492" w:rsidP="006E563D" w14:paraId="22AF5580" w14:textId="77777777">
      <w:pPr>
        <w:spacing w:after="0" w:line="240" w:lineRule="auto"/>
        <w:rPr>
          <w:rFonts w:ascii="Times New Roman" w:hAnsi="Times New Roman" w:cs="Times New Roman"/>
          <w:sz w:val="24"/>
        </w:rPr>
      </w:pPr>
    </w:p>
    <w:p w:rsidR="005C7428" w:rsidRPr="00CB0492" w:rsidP="00CB0492" w14:paraId="3B6FC6DF" w14:textId="4D62F185">
      <w:pPr>
        <w:spacing w:after="120" w:line="240" w:lineRule="auto"/>
        <w:rPr>
          <w:rFonts w:ascii="Times New Roman" w:hAnsi="Times New Roman" w:cs="Times New Roman"/>
          <w:sz w:val="24"/>
        </w:rPr>
      </w:pPr>
      <w:r w:rsidRPr="00CB0492">
        <w:rPr>
          <w:rFonts w:ascii="Times New Roman" w:hAnsi="Times New Roman" w:cs="Times New Roman"/>
          <w:b/>
          <w:bCs/>
          <w:sz w:val="24"/>
        </w:rPr>
        <w:t>1</w:t>
      </w:r>
      <w:r w:rsidRPr="00CB0492">
        <w:rPr>
          <w:rFonts w:ascii="Times New Roman" w:hAnsi="Times New Roman" w:cs="Times New Roman"/>
          <w:sz w:val="24"/>
        </w:rPr>
        <w:t>.</w:t>
      </w:r>
      <w:r w:rsidRPr="00CB0492" w:rsidR="00211832">
        <w:rPr>
          <w:rFonts w:ascii="Times New Roman" w:hAnsi="Times New Roman" w:cs="Times New Roman"/>
          <w:sz w:val="24"/>
        </w:rPr>
        <w:t xml:space="preserve"> </w:t>
      </w:r>
      <w:r w:rsidRPr="00CB0492" w:rsidR="00510F0C">
        <w:rPr>
          <w:rFonts w:ascii="Times New Roman" w:hAnsi="Times New Roman" w:cs="Times New Roman"/>
          <w:sz w:val="24"/>
        </w:rPr>
        <w:tab/>
      </w:r>
      <w:r w:rsidRPr="00CB0492">
        <w:rPr>
          <w:rFonts w:ascii="Times New Roman" w:hAnsi="Times New Roman" w:cs="Times New Roman"/>
          <w:b/>
          <w:bCs/>
          <w:sz w:val="24"/>
          <w:u w:val="single"/>
        </w:rPr>
        <w:t xml:space="preserve">Need for the Information </w:t>
      </w:r>
      <w:r w:rsidRPr="00CB0492" w:rsidR="0085688C">
        <w:rPr>
          <w:rFonts w:ascii="Times New Roman" w:hAnsi="Times New Roman" w:cs="Times New Roman"/>
          <w:b/>
          <w:bCs/>
          <w:sz w:val="24"/>
          <w:u w:val="single"/>
        </w:rPr>
        <w:t>Collection</w:t>
      </w:r>
    </w:p>
    <w:p w:rsidR="00F92DBE" w:rsidP="00F92DBE" w14:paraId="0589096E" w14:textId="737B17DA">
      <w:pPr>
        <w:spacing w:after="0" w:line="240" w:lineRule="auto"/>
        <w:rPr>
          <w:rFonts w:ascii="Times New Roman" w:hAnsi="Times New Roman" w:cs="Times New Roman"/>
          <w:iCs/>
          <w:sz w:val="24"/>
        </w:rPr>
      </w:pPr>
      <w:r w:rsidRPr="00F92DBE">
        <w:rPr>
          <w:rFonts w:ascii="Times New Roman" w:hAnsi="Times New Roman" w:cs="Times New Roman"/>
          <w:iCs/>
          <w:sz w:val="24"/>
        </w:rPr>
        <w:t xml:space="preserve">The Department of Veterans Affairs (VA), through its Veterans Benefits Administration (VBA), administers an integrated program of benefits and services, established by law, for veterans, service personnel, and their </w:t>
      </w:r>
      <w:r w:rsidRPr="00F92DBE">
        <w:rPr>
          <w:rFonts w:ascii="Times New Roman" w:hAnsi="Times New Roman" w:cs="Times New Roman"/>
          <w:iCs/>
          <w:sz w:val="24"/>
        </w:rPr>
        <w:t>dependents and/or beneficiaries.</w:t>
      </w:r>
    </w:p>
    <w:p w:rsidR="00F92DBE" w:rsidRPr="00F92DBE" w:rsidP="00F92DBE" w14:paraId="76538D32" w14:textId="77777777">
      <w:pPr>
        <w:spacing w:after="0" w:line="240" w:lineRule="auto"/>
        <w:rPr>
          <w:rFonts w:ascii="Times New Roman" w:hAnsi="Times New Roman" w:cs="Times New Roman"/>
          <w:iCs/>
          <w:sz w:val="24"/>
        </w:rPr>
      </w:pPr>
    </w:p>
    <w:p w:rsidR="00F92DBE" w:rsidP="00F92DBE" w14:paraId="44EDCE97" w14:textId="15A6AFE8">
      <w:pPr>
        <w:spacing w:after="0" w:line="240" w:lineRule="auto"/>
        <w:rPr>
          <w:rFonts w:ascii="Times New Roman" w:hAnsi="Times New Roman" w:cs="Times New Roman"/>
          <w:iCs/>
          <w:sz w:val="24"/>
        </w:rPr>
      </w:pPr>
      <w:r w:rsidRPr="00F92DBE">
        <w:rPr>
          <w:rFonts w:ascii="Times New Roman" w:hAnsi="Times New Roman" w:cs="Times New Roman"/>
          <w:iCs/>
          <w:sz w:val="24"/>
        </w:rPr>
        <w:t>Restored Entitlement Program for Survivors (REPS) benefits are payable to certain surviving spouses and children of veterans who died in service prior to August 13, 1981 or who died as a result of a service-connected disab</w:t>
      </w:r>
      <w:r w:rsidRPr="00F92DBE">
        <w:rPr>
          <w:rFonts w:ascii="Times New Roman" w:hAnsi="Times New Roman" w:cs="Times New Roman"/>
          <w:iCs/>
          <w:sz w:val="24"/>
        </w:rPr>
        <w:t>ility incurred or aggravated prior to August 13, 1981.  Child beneficiaries over age 18 and under age 23 must be enrolled full-time in an approved post-secondary school.</w:t>
      </w:r>
    </w:p>
    <w:p w:rsidR="00F92DBE" w:rsidRPr="00F92DBE" w:rsidP="00F92DBE" w14:paraId="2680AD86" w14:textId="77777777">
      <w:pPr>
        <w:spacing w:after="0" w:line="240" w:lineRule="auto"/>
        <w:rPr>
          <w:rFonts w:ascii="Times New Roman" w:hAnsi="Times New Roman" w:cs="Times New Roman"/>
          <w:iCs/>
          <w:sz w:val="24"/>
        </w:rPr>
      </w:pPr>
    </w:p>
    <w:p w:rsidR="00510F0C" w:rsidRPr="00F92DBE" w:rsidP="00F92DBE" w14:paraId="42F0D1FD" w14:textId="046A8450">
      <w:pPr>
        <w:spacing w:after="120" w:line="240" w:lineRule="auto"/>
        <w:rPr>
          <w:rFonts w:ascii="Times New Roman" w:hAnsi="Times New Roman" w:cs="Times New Roman"/>
          <w:iCs/>
          <w:sz w:val="24"/>
        </w:rPr>
      </w:pPr>
      <w:r w:rsidRPr="00F92DBE">
        <w:rPr>
          <w:rFonts w:ascii="Times New Roman" w:hAnsi="Times New Roman" w:cs="Times New Roman"/>
          <w:iCs/>
          <w:sz w:val="24"/>
        </w:rPr>
        <w:t>Executive Order 12436 “Payment of Certain Benefits to Survivors of Persons Who Died I</w:t>
      </w:r>
      <w:r w:rsidRPr="00F92DBE">
        <w:rPr>
          <w:rFonts w:ascii="Times New Roman" w:hAnsi="Times New Roman" w:cs="Times New Roman"/>
          <w:iCs/>
          <w:sz w:val="24"/>
        </w:rPr>
        <w:t>n or As A Result of Military Service” (found at 42 U.S.C. § 402 (Note)) directs VA administer the provisions of Public Law 97-377 Section 156.  VA codified this authority at 38 CFR §3.812.</w:t>
      </w:r>
    </w:p>
    <w:p w:rsidR="005C7428" w:rsidRPr="00CB0492" w:rsidP="00CB0492" w14:paraId="2BB4A596" w14:textId="33AC73FE">
      <w:pPr>
        <w:spacing w:after="120" w:line="240" w:lineRule="auto"/>
        <w:rPr>
          <w:rFonts w:ascii="Times New Roman" w:hAnsi="Times New Roman" w:cs="Times New Roman"/>
          <w:sz w:val="24"/>
        </w:rPr>
      </w:pPr>
      <w:r w:rsidRPr="00CB0492">
        <w:rPr>
          <w:rFonts w:ascii="Times New Roman" w:hAnsi="Times New Roman" w:cs="Times New Roman"/>
          <w:b/>
          <w:bCs/>
          <w:sz w:val="24"/>
        </w:rPr>
        <w:t>2</w:t>
      </w:r>
      <w:r w:rsidRPr="00CB0492">
        <w:rPr>
          <w:rFonts w:ascii="Times New Roman" w:hAnsi="Times New Roman" w:cs="Times New Roman"/>
          <w:sz w:val="24"/>
        </w:rPr>
        <w:t>.</w:t>
      </w:r>
      <w:r w:rsidRPr="00CB0492">
        <w:rPr>
          <w:rFonts w:ascii="Times New Roman" w:hAnsi="Times New Roman" w:cs="Times New Roman"/>
          <w:sz w:val="24"/>
        </w:rPr>
        <w:tab/>
      </w:r>
      <w:r w:rsidRPr="00CB0492">
        <w:rPr>
          <w:rFonts w:ascii="Times New Roman" w:hAnsi="Times New Roman" w:cs="Times New Roman"/>
          <w:b/>
          <w:bCs/>
          <w:sz w:val="24"/>
          <w:u w:val="single"/>
        </w:rPr>
        <w:t xml:space="preserve">Use of the </w:t>
      </w:r>
      <w:r w:rsidRPr="00CB0492" w:rsidR="0085688C">
        <w:rPr>
          <w:rFonts w:ascii="Times New Roman" w:hAnsi="Times New Roman" w:cs="Times New Roman"/>
          <w:b/>
          <w:bCs/>
          <w:sz w:val="24"/>
          <w:u w:val="single"/>
        </w:rPr>
        <w:t>Information</w:t>
      </w:r>
    </w:p>
    <w:p w:rsidR="005C7428" w:rsidRPr="00F92DBE" w:rsidP="00F92DBE" w14:paraId="124A777F" w14:textId="29E452AF">
      <w:pPr>
        <w:spacing w:after="120" w:line="240" w:lineRule="auto"/>
        <w:rPr>
          <w:rFonts w:ascii="Times New Roman" w:hAnsi="Times New Roman" w:cs="Times New Roman"/>
          <w:iCs/>
          <w:sz w:val="24"/>
        </w:rPr>
      </w:pPr>
      <w:r w:rsidRPr="00F92DBE">
        <w:rPr>
          <w:rFonts w:ascii="Times New Roman" w:hAnsi="Times New Roman" w:cs="Times New Roman"/>
          <w:iCs/>
          <w:sz w:val="24"/>
        </w:rPr>
        <w:t>VBA uses this form to verify that a survi</w:t>
      </w:r>
      <w:r w:rsidRPr="00F92DBE">
        <w:rPr>
          <w:rFonts w:ascii="Times New Roman" w:hAnsi="Times New Roman" w:cs="Times New Roman"/>
          <w:iCs/>
          <w:sz w:val="24"/>
        </w:rPr>
        <w:t>ving child who is receiving REPS benefits based on school-child status is in fact enrolled full-time in an approved school and is otherwise eligible for continued benefits.  VA Form 21</w:t>
      </w:r>
      <w:r w:rsidR="00100FB9">
        <w:rPr>
          <w:rFonts w:ascii="Times New Roman" w:hAnsi="Times New Roman" w:cs="Times New Roman"/>
          <w:iCs/>
          <w:sz w:val="24"/>
        </w:rPr>
        <w:t>P</w:t>
      </w:r>
      <w:r w:rsidRPr="00F92DBE">
        <w:rPr>
          <w:rFonts w:ascii="Times New Roman" w:hAnsi="Times New Roman" w:cs="Times New Roman"/>
          <w:iCs/>
          <w:sz w:val="24"/>
        </w:rPr>
        <w:t>-8938-1 is generated by VA’s central computer system each March and sen</w:t>
      </w:r>
      <w:r w:rsidRPr="00F92DBE">
        <w:rPr>
          <w:rFonts w:ascii="Times New Roman" w:hAnsi="Times New Roman" w:cs="Times New Roman"/>
          <w:iCs/>
          <w:sz w:val="24"/>
        </w:rPr>
        <w:t>t to all student beneficiaries.  If the completed form is not received by the end of May, the beneficiary is sent a system-generated due process letter with another VA Form 21</w:t>
      </w:r>
      <w:r w:rsidR="00100FB9">
        <w:rPr>
          <w:rFonts w:ascii="Times New Roman" w:hAnsi="Times New Roman" w:cs="Times New Roman"/>
          <w:iCs/>
          <w:sz w:val="24"/>
        </w:rPr>
        <w:t>P</w:t>
      </w:r>
      <w:r w:rsidRPr="00F92DBE">
        <w:rPr>
          <w:rFonts w:ascii="Times New Roman" w:hAnsi="Times New Roman" w:cs="Times New Roman"/>
          <w:iCs/>
          <w:sz w:val="24"/>
        </w:rPr>
        <w:t>-8938-1.</w:t>
      </w:r>
    </w:p>
    <w:p w:rsidR="005C7428" w:rsidRPr="00CB0492" w:rsidP="00CB0492" w14:paraId="4DD6F62A" w14:textId="2160FC3E">
      <w:pPr>
        <w:spacing w:after="120" w:line="240" w:lineRule="auto"/>
        <w:rPr>
          <w:rFonts w:ascii="Times New Roman" w:hAnsi="Times New Roman" w:cs="Times New Roman"/>
          <w:sz w:val="24"/>
        </w:rPr>
      </w:pPr>
      <w:r w:rsidRPr="00CB0492">
        <w:rPr>
          <w:rFonts w:ascii="Times New Roman" w:hAnsi="Times New Roman" w:cs="Times New Roman"/>
          <w:b/>
          <w:bCs/>
          <w:sz w:val="24"/>
        </w:rPr>
        <w:t>3</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Use of Information Technology</w:t>
      </w:r>
    </w:p>
    <w:p w:rsidR="00CD0D41" w:rsidRPr="00CD0D41" w:rsidP="00CD0D41" w14:paraId="70EA73D7" w14:textId="77777777">
      <w:pPr>
        <w:spacing w:after="0" w:line="240" w:lineRule="auto"/>
        <w:rPr>
          <w:rFonts w:ascii="Times New Roman" w:hAnsi="Times New Roman" w:cs="Times New Roman"/>
          <w:iCs/>
          <w:sz w:val="24"/>
        </w:rPr>
      </w:pPr>
      <w:r w:rsidRPr="00CD0D41">
        <w:rPr>
          <w:rFonts w:ascii="Times New Roman" w:hAnsi="Times New Roman" w:cs="Times New Roman"/>
          <w:iCs/>
          <w:sz w:val="24"/>
        </w:rPr>
        <w:t xml:space="preserve">The collection of </w:t>
      </w:r>
      <w:r w:rsidRPr="00CD0D41">
        <w:rPr>
          <w:rFonts w:ascii="Times New Roman" w:hAnsi="Times New Roman" w:cs="Times New Roman"/>
          <w:iCs/>
          <w:sz w:val="24"/>
        </w:rPr>
        <w:t>information does not involve the use of automated, electronic, mechanical, or other technological collection techniques.  VA does not currently have technology in place to allow for the electronic submission of this form, though VA may develop this technol</w:t>
      </w:r>
      <w:r w:rsidRPr="00CD0D41">
        <w:rPr>
          <w:rFonts w:ascii="Times New Roman" w:hAnsi="Times New Roman" w:cs="Times New Roman"/>
          <w:iCs/>
          <w:sz w:val="24"/>
        </w:rPr>
        <w:t>ogy in the future.</w:t>
      </w:r>
    </w:p>
    <w:p w:rsidR="00CD0D41" w:rsidRPr="00CD0D41" w:rsidP="00CD0D41" w14:paraId="367B83F9" w14:textId="77777777">
      <w:pPr>
        <w:spacing w:after="0" w:line="240" w:lineRule="auto"/>
        <w:rPr>
          <w:rFonts w:ascii="Times New Roman" w:hAnsi="Times New Roman" w:cs="Times New Roman"/>
          <w:iCs/>
          <w:sz w:val="24"/>
        </w:rPr>
      </w:pPr>
    </w:p>
    <w:p w:rsidR="008635C4" w:rsidRPr="00CD0D41" w:rsidP="00CD0D41" w14:paraId="47452CA7" w14:textId="12FA519F">
      <w:pPr>
        <w:spacing w:after="120" w:line="240" w:lineRule="auto"/>
        <w:rPr>
          <w:rFonts w:ascii="Times New Roman" w:hAnsi="Times New Roman" w:cs="Times New Roman"/>
          <w:iCs/>
          <w:sz w:val="24"/>
        </w:rPr>
      </w:pPr>
      <w:r w:rsidRPr="00CD0D41">
        <w:rPr>
          <w:rFonts w:ascii="Times New Roman" w:hAnsi="Times New Roman" w:cs="Times New Roman"/>
          <w:iCs/>
          <w:sz w:val="24"/>
        </w:rPr>
        <w:t>The form is available in electronically-fillable</w:t>
      </w:r>
      <w:r w:rsidRPr="00CD0D41">
        <w:rPr>
          <w:rFonts w:ascii="Times New Roman" w:hAnsi="Times New Roman" w:cs="Times New Roman"/>
          <w:iCs/>
          <w:sz w:val="24"/>
        </w:rPr>
        <w:t xml:space="preserve"> format on the benefits.va.gov website.  However, the form must be printed and physically submitted.</w:t>
      </w:r>
    </w:p>
    <w:p w:rsidR="00B55E9F" w:rsidRPr="007C5E17" w:rsidP="007C5E17" w14:paraId="12E96233" w14:textId="04A5511D">
      <w:pPr>
        <w:spacing w:after="120" w:line="240" w:lineRule="auto"/>
        <w:rPr>
          <w:rFonts w:ascii="Times New Roman" w:hAnsi="Times New Roman" w:cs="Times New Roman"/>
          <w:sz w:val="24"/>
        </w:rPr>
      </w:pPr>
      <w:r w:rsidRPr="00CB0492">
        <w:rPr>
          <w:rFonts w:ascii="Times New Roman" w:hAnsi="Times New Roman" w:cs="Times New Roman"/>
          <w:b/>
          <w:bCs/>
          <w:sz w:val="24"/>
        </w:rPr>
        <w:t>4</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Non-</w:t>
      </w:r>
      <w:r w:rsidRPr="00CB0492" w:rsidR="00CB0492">
        <w:rPr>
          <w:rFonts w:ascii="Times New Roman" w:hAnsi="Times New Roman" w:cs="Times New Roman"/>
          <w:b/>
          <w:bCs/>
          <w:sz w:val="24"/>
          <w:u w:val="single"/>
        </w:rPr>
        <w:t>D</w:t>
      </w:r>
      <w:r w:rsidRPr="00CB0492">
        <w:rPr>
          <w:rFonts w:ascii="Times New Roman" w:hAnsi="Times New Roman" w:cs="Times New Roman"/>
          <w:b/>
          <w:bCs/>
          <w:sz w:val="24"/>
          <w:u w:val="single"/>
        </w:rPr>
        <w:t>uplication</w:t>
      </w:r>
    </w:p>
    <w:p w:rsidR="00CA15B1" w:rsidRPr="00CB0492" w:rsidP="00A67A63" w14:paraId="397AF4A9" w14:textId="09D6CAB7">
      <w:pPr>
        <w:spacing w:after="120" w:line="240" w:lineRule="auto"/>
        <w:rPr>
          <w:rFonts w:ascii="Times New Roman" w:hAnsi="Times New Roman" w:cs="Times New Roman"/>
          <w:i/>
          <w:sz w:val="24"/>
        </w:rPr>
      </w:pPr>
      <w:r w:rsidRPr="00A67A63">
        <w:rPr>
          <w:rFonts w:ascii="Times New Roman" w:hAnsi="Times New Roman" w:cs="Times New Roman"/>
          <w:sz w:val="24"/>
        </w:rPr>
        <w:t>The information obtained through this collection is unique and is not already available for use or adaptation from another cleared sour</w:t>
      </w:r>
      <w:r w:rsidRPr="00A67A63">
        <w:rPr>
          <w:rFonts w:ascii="Times New Roman" w:hAnsi="Times New Roman" w:cs="Times New Roman"/>
          <w:sz w:val="24"/>
        </w:rPr>
        <w:t>ce.</w:t>
      </w:r>
    </w:p>
    <w:p w:rsidR="00CA15B1" w:rsidRPr="00CB0492" w:rsidP="00CB0492" w14:paraId="3D08BC67" w14:textId="3D880291">
      <w:pPr>
        <w:spacing w:after="120" w:line="240" w:lineRule="auto"/>
        <w:rPr>
          <w:rFonts w:ascii="Times New Roman" w:hAnsi="Times New Roman" w:cs="Times New Roman"/>
          <w:sz w:val="24"/>
        </w:rPr>
      </w:pPr>
      <w:r w:rsidRPr="00CB0492">
        <w:rPr>
          <w:rFonts w:ascii="Times New Roman" w:hAnsi="Times New Roman" w:cs="Times New Roman"/>
          <w:b/>
          <w:bCs/>
          <w:sz w:val="24"/>
        </w:rPr>
        <w:t>5</w:t>
      </w:r>
      <w:r w:rsidRPr="00CB0492">
        <w:rPr>
          <w:rFonts w:ascii="Times New Roman" w:hAnsi="Times New Roman" w:cs="Times New Roman"/>
          <w:sz w:val="24"/>
        </w:rPr>
        <w:t xml:space="preserve">. </w:t>
      </w:r>
      <w:r w:rsidRPr="00CB0492">
        <w:rPr>
          <w:rFonts w:ascii="Times New Roman" w:hAnsi="Times New Roman" w:cs="Times New Roman"/>
          <w:sz w:val="24"/>
        </w:rPr>
        <w:tab/>
      </w:r>
      <w:r w:rsidRPr="00CB0492">
        <w:rPr>
          <w:rFonts w:ascii="Times New Roman" w:hAnsi="Times New Roman" w:cs="Times New Roman"/>
          <w:b/>
          <w:bCs/>
          <w:sz w:val="24"/>
          <w:u w:val="single"/>
        </w:rPr>
        <w:t>Burden on Small Businesses</w:t>
      </w:r>
    </w:p>
    <w:p w:rsidR="002567F9" w:rsidP="006E563D" w14:paraId="1A651968" w14:textId="2F07021F">
      <w:pPr>
        <w:spacing w:after="0" w:line="240" w:lineRule="auto"/>
        <w:rPr>
          <w:rFonts w:ascii="Times New Roman" w:hAnsi="Times New Roman" w:cs="Times New Roman"/>
          <w:sz w:val="24"/>
        </w:rPr>
      </w:pPr>
      <w:r w:rsidRPr="00825148">
        <w:rPr>
          <w:rFonts w:ascii="Times New Roman" w:hAnsi="Times New Roman" w:cs="Times New Roman"/>
          <w:sz w:val="24"/>
        </w:rPr>
        <w:t>This information collection does not impose a significant economic impact on a substantial number of small businesses or entities.</w:t>
      </w:r>
    </w:p>
    <w:p w:rsidR="00822865" w:rsidRPr="00825148" w:rsidP="006E563D" w14:paraId="2E48AE09" w14:textId="77777777">
      <w:pPr>
        <w:spacing w:after="0" w:line="240" w:lineRule="auto"/>
        <w:rPr>
          <w:rFonts w:ascii="Times New Roman" w:hAnsi="Times New Roman" w:cs="Times New Roman"/>
          <w:iCs/>
          <w:sz w:val="24"/>
        </w:rPr>
      </w:pPr>
    </w:p>
    <w:p w:rsidR="002567F9" w:rsidRPr="00CB0492" w:rsidP="006E563D" w14:paraId="338C641A" w14:textId="77777777">
      <w:pPr>
        <w:spacing w:after="0" w:line="240" w:lineRule="auto"/>
        <w:rPr>
          <w:rFonts w:ascii="Times New Roman" w:hAnsi="Times New Roman" w:cs="Times New Roman"/>
          <w:i/>
          <w:sz w:val="24"/>
        </w:rPr>
      </w:pPr>
    </w:p>
    <w:p w:rsidR="002567F9" w:rsidRPr="00CB0492" w:rsidP="00CB0492" w14:paraId="2BE91190" w14:textId="5E21BEC0">
      <w:pPr>
        <w:spacing w:after="120" w:line="240" w:lineRule="auto"/>
        <w:rPr>
          <w:rFonts w:ascii="Times New Roman" w:hAnsi="Times New Roman" w:cs="Times New Roman"/>
          <w:sz w:val="24"/>
        </w:rPr>
      </w:pPr>
      <w:r w:rsidRPr="00CB0492">
        <w:rPr>
          <w:rFonts w:ascii="Times New Roman" w:hAnsi="Times New Roman" w:cs="Times New Roman"/>
          <w:b/>
          <w:bCs/>
          <w:sz w:val="24"/>
        </w:rPr>
        <w:t>6</w:t>
      </w:r>
      <w:r w:rsidRPr="00CB0492">
        <w:rPr>
          <w:rFonts w:ascii="Times New Roman" w:hAnsi="Times New Roman" w:cs="Times New Roman"/>
          <w:sz w:val="24"/>
        </w:rPr>
        <w:t>.</w:t>
      </w:r>
      <w:r w:rsidRPr="00CB0492">
        <w:rPr>
          <w:rFonts w:ascii="Times New Roman" w:hAnsi="Times New Roman" w:cs="Times New Roman"/>
          <w:sz w:val="24"/>
        </w:rPr>
        <w:tab/>
        <w:t xml:space="preserve"> </w:t>
      </w:r>
      <w:r w:rsidRPr="00CB0492">
        <w:rPr>
          <w:rFonts w:ascii="Times New Roman" w:hAnsi="Times New Roman" w:cs="Times New Roman"/>
          <w:b/>
          <w:bCs/>
          <w:sz w:val="24"/>
          <w:u w:val="single"/>
        </w:rPr>
        <w:t xml:space="preserve">Less Frequent </w:t>
      </w:r>
      <w:r w:rsidRPr="00CB0492" w:rsidR="0085688C">
        <w:rPr>
          <w:rFonts w:ascii="Times New Roman" w:hAnsi="Times New Roman" w:cs="Times New Roman"/>
          <w:b/>
          <w:bCs/>
          <w:sz w:val="24"/>
          <w:u w:val="single"/>
        </w:rPr>
        <w:t>Collection</w:t>
      </w:r>
    </w:p>
    <w:p w:rsidR="00825148" w:rsidP="00825148" w14:paraId="063307C9" w14:textId="77777777">
      <w:pPr>
        <w:spacing w:after="0" w:line="240" w:lineRule="auto"/>
        <w:rPr>
          <w:rFonts w:ascii="Times New Roman" w:hAnsi="Times New Roman" w:cs="Times New Roman"/>
          <w:iCs/>
          <w:sz w:val="24"/>
        </w:rPr>
      </w:pPr>
      <w:r w:rsidRPr="00825148">
        <w:rPr>
          <w:rFonts w:ascii="Times New Roman" w:hAnsi="Times New Roman" w:cs="Times New Roman"/>
          <w:iCs/>
          <w:sz w:val="24"/>
        </w:rPr>
        <w:t xml:space="preserve">If this collection is not conducted, VBA will not be </w:t>
      </w:r>
      <w:r w:rsidRPr="00825148">
        <w:rPr>
          <w:rFonts w:ascii="Times New Roman" w:hAnsi="Times New Roman" w:cs="Times New Roman"/>
          <w:iCs/>
          <w:sz w:val="24"/>
        </w:rPr>
        <w:t>able to adequately evaluate a student’s ongoing eligibility to REPS benefits.</w:t>
      </w:r>
    </w:p>
    <w:p w:rsidR="00825148" w:rsidRPr="00825148" w:rsidP="00825148" w14:paraId="658887AF" w14:textId="77777777">
      <w:pPr>
        <w:spacing w:after="0" w:line="240" w:lineRule="auto"/>
        <w:rPr>
          <w:rFonts w:ascii="Times New Roman" w:hAnsi="Times New Roman" w:cs="Times New Roman"/>
          <w:iCs/>
          <w:sz w:val="24"/>
        </w:rPr>
      </w:pPr>
    </w:p>
    <w:p w:rsidR="00F86C35" w:rsidRPr="00DA4CB9" w:rsidP="00825148" w14:paraId="4B3512B4" w14:textId="6EBE6656">
      <w:pPr>
        <w:spacing w:after="120" w:line="240" w:lineRule="auto"/>
        <w:rPr>
          <w:rFonts w:ascii="Times New Roman" w:hAnsi="Times New Roman" w:cs="Times New Roman"/>
          <w:iCs/>
          <w:sz w:val="24"/>
        </w:rPr>
      </w:pPr>
      <w:r w:rsidRPr="00825148">
        <w:rPr>
          <w:rFonts w:ascii="Times New Roman" w:hAnsi="Times New Roman" w:cs="Times New Roman"/>
          <w:iCs/>
          <w:sz w:val="24"/>
        </w:rPr>
        <w:t>The information is collected annually and cannot be collected less frequently.</w:t>
      </w:r>
    </w:p>
    <w:p w:rsidR="00F86C35" w:rsidRPr="00CB0492" w:rsidP="00CB0492" w14:paraId="4E1B6F5D" w14:textId="4C26145D">
      <w:pPr>
        <w:spacing w:after="120" w:line="240" w:lineRule="auto"/>
        <w:rPr>
          <w:rFonts w:ascii="Times New Roman" w:hAnsi="Times New Roman" w:cs="Times New Roman"/>
          <w:sz w:val="24"/>
          <w:u w:val="single"/>
        </w:rPr>
      </w:pPr>
      <w:r w:rsidRPr="00CB0492">
        <w:rPr>
          <w:rFonts w:ascii="Times New Roman" w:hAnsi="Times New Roman" w:cs="Times New Roman"/>
          <w:b/>
          <w:bCs/>
          <w:iCs/>
          <w:sz w:val="24"/>
        </w:rPr>
        <w:t>7</w:t>
      </w:r>
      <w:r w:rsidRPr="00CB0492">
        <w:rPr>
          <w:rFonts w:ascii="Times New Roman" w:hAnsi="Times New Roman" w:cs="Times New Roman"/>
          <w:i/>
          <w:sz w:val="24"/>
        </w:rPr>
        <w:t xml:space="preserve">. </w:t>
      </w:r>
      <w:r w:rsidRPr="00CB0492">
        <w:rPr>
          <w:rFonts w:ascii="Times New Roman" w:hAnsi="Times New Roman" w:cs="Times New Roman"/>
          <w:i/>
          <w:sz w:val="24"/>
        </w:rPr>
        <w:tab/>
      </w:r>
      <w:r w:rsidRPr="00CB0492">
        <w:rPr>
          <w:rFonts w:ascii="Times New Roman" w:hAnsi="Times New Roman" w:cs="Times New Roman"/>
          <w:b/>
          <w:bCs/>
          <w:sz w:val="24"/>
          <w:u w:val="single"/>
        </w:rPr>
        <w:t>Paperwork Reduction Act Guidelines</w:t>
      </w:r>
    </w:p>
    <w:p w:rsidR="00200261" w:rsidRPr="00CB0492" w:rsidP="00822865" w14:paraId="7256108C" w14:textId="6BE80BC0">
      <w:pPr>
        <w:pStyle w:val="NormalWeb"/>
        <w:spacing w:after="120" w:afterAutospacing="0" w:line="288" w:lineRule="atLeast"/>
        <w:rPr>
          <w:rFonts w:eastAsiaTheme="minorHAnsi"/>
          <w:i/>
          <w:szCs w:val="22"/>
        </w:rPr>
      </w:pPr>
      <w:r w:rsidRPr="00822865">
        <w:rPr>
          <w:rFonts w:eastAsiaTheme="minorHAnsi"/>
          <w:szCs w:val="22"/>
        </w:rPr>
        <w:t xml:space="preserve">This collection of information does not require collection </w:t>
      </w:r>
      <w:r w:rsidRPr="00822865">
        <w:rPr>
          <w:rFonts w:eastAsiaTheme="minorHAnsi"/>
          <w:szCs w:val="22"/>
        </w:rPr>
        <w:t>to be conducted in a manner inconsistent with the guidelines delineated in 5 CFR 1320.5(d)(2).</w:t>
      </w:r>
    </w:p>
    <w:p w:rsidR="00200261" w:rsidRPr="00CB0492" w:rsidP="00DA4CB9" w14:paraId="6AC5CBA9" w14:textId="77777777">
      <w:pPr>
        <w:pStyle w:val="NormalWeb"/>
        <w:spacing w:before="0" w:beforeAutospacing="0" w:after="120" w:afterAutospacing="0"/>
        <w:rPr>
          <w:rFonts w:eastAsiaTheme="minorHAnsi"/>
          <w:szCs w:val="22"/>
          <w:u w:val="single"/>
        </w:rPr>
      </w:pPr>
      <w:r w:rsidRPr="00DA4CB9">
        <w:rPr>
          <w:rFonts w:eastAsiaTheme="minorHAnsi"/>
          <w:b/>
          <w:bCs/>
          <w:szCs w:val="22"/>
        </w:rPr>
        <w:t>8</w:t>
      </w:r>
      <w:r w:rsidRPr="00CB0492">
        <w:rPr>
          <w:rFonts w:eastAsiaTheme="minorHAnsi"/>
          <w:szCs w:val="22"/>
        </w:rPr>
        <w:t xml:space="preserve">. </w:t>
      </w:r>
      <w:r w:rsidRPr="00CB0492">
        <w:rPr>
          <w:rFonts w:eastAsiaTheme="minorHAnsi"/>
          <w:szCs w:val="22"/>
        </w:rPr>
        <w:tab/>
      </w:r>
      <w:r w:rsidRPr="00DA4CB9">
        <w:rPr>
          <w:rFonts w:eastAsiaTheme="minorHAnsi"/>
          <w:b/>
          <w:bCs/>
          <w:szCs w:val="22"/>
          <w:u w:val="single"/>
        </w:rPr>
        <w:t>Consultation and Public Comments</w:t>
      </w:r>
    </w:p>
    <w:p w:rsidR="00200261" w:rsidRPr="00CB0492" w:rsidP="00200261" w14:paraId="4122F586" w14:textId="77777777">
      <w:pPr>
        <w:pStyle w:val="NormalWeb"/>
        <w:spacing w:line="288" w:lineRule="atLeast"/>
        <w:rPr>
          <w:rFonts w:eastAsiaTheme="minorHAnsi"/>
          <w:szCs w:val="22"/>
        </w:rPr>
      </w:pPr>
      <w:r w:rsidRPr="00CB0492">
        <w:rPr>
          <w:rFonts w:eastAsiaTheme="minorHAnsi"/>
          <w:szCs w:val="22"/>
        </w:rPr>
        <w:t>Part A: PUBLIC NOTICE</w:t>
      </w:r>
    </w:p>
    <w:p w:rsidR="00200261" w:rsidRPr="00CB0492" w:rsidP="00200261" w14:paraId="7531FB81" w14:textId="2862A963">
      <w:pPr>
        <w:pStyle w:val="NormalWeb"/>
        <w:spacing w:line="288" w:lineRule="atLeast"/>
        <w:rPr>
          <w:rFonts w:eastAsiaTheme="minorHAnsi"/>
          <w:szCs w:val="22"/>
        </w:rPr>
      </w:pPr>
      <w:r w:rsidRPr="00CB0492">
        <w:rPr>
          <w:rFonts w:eastAsiaTheme="minorHAnsi"/>
          <w:szCs w:val="22"/>
        </w:rPr>
        <w:t xml:space="preserve">A 60-Day Federal Register Notice </w:t>
      </w:r>
      <w:r w:rsidRPr="00CB0492" w:rsidR="00502FF3">
        <w:rPr>
          <w:rFonts w:eastAsiaTheme="minorHAnsi"/>
          <w:szCs w:val="22"/>
        </w:rPr>
        <w:t xml:space="preserve">(FRN) </w:t>
      </w:r>
      <w:r w:rsidRPr="00CB0492">
        <w:rPr>
          <w:rFonts w:eastAsiaTheme="minorHAnsi"/>
          <w:szCs w:val="22"/>
        </w:rPr>
        <w:t xml:space="preserve">for the collection published on </w:t>
      </w:r>
      <w:r w:rsidR="00573D14">
        <w:rPr>
          <w:rFonts w:eastAsiaTheme="minorHAnsi"/>
          <w:szCs w:val="22"/>
        </w:rPr>
        <w:t>Friday, May 10, 2024</w:t>
      </w:r>
      <w:r w:rsidRPr="00CB0492">
        <w:rPr>
          <w:rFonts w:eastAsiaTheme="minorHAnsi"/>
          <w:szCs w:val="22"/>
        </w:rPr>
        <w:t xml:space="preserve">.  The 60-Day FRN citation is </w:t>
      </w:r>
      <w:r w:rsidR="00573D14">
        <w:rPr>
          <w:rFonts w:eastAsiaTheme="minorHAnsi"/>
          <w:szCs w:val="22"/>
        </w:rPr>
        <w:t>89</w:t>
      </w:r>
      <w:r w:rsidRPr="00CB0492">
        <w:rPr>
          <w:rFonts w:eastAsiaTheme="minorHAnsi"/>
          <w:szCs w:val="22"/>
        </w:rPr>
        <w:t xml:space="preserve"> FRN </w:t>
      </w:r>
      <w:r w:rsidR="00573D14">
        <w:rPr>
          <w:rFonts w:eastAsiaTheme="minorHAnsi"/>
          <w:szCs w:val="22"/>
        </w:rPr>
        <w:t>40539</w:t>
      </w:r>
      <w:r w:rsidRPr="00CB0492">
        <w:rPr>
          <w:rFonts w:eastAsiaTheme="minorHAnsi"/>
          <w:szCs w:val="22"/>
        </w:rPr>
        <w:t xml:space="preserve">. </w:t>
      </w:r>
    </w:p>
    <w:p w:rsidR="00200261" w:rsidRPr="00CB0492" w:rsidP="00200261" w14:paraId="198A7E4C" w14:textId="34B0C8E3">
      <w:pPr>
        <w:pStyle w:val="NormalWeb"/>
        <w:spacing w:line="288" w:lineRule="atLeast"/>
        <w:rPr>
          <w:rFonts w:eastAsiaTheme="minorHAnsi"/>
          <w:szCs w:val="22"/>
        </w:rPr>
      </w:pPr>
      <w:r w:rsidRPr="00DA4CB9">
        <w:rPr>
          <w:rFonts w:eastAsiaTheme="minorHAnsi"/>
          <w:szCs w:val="22"/>
        </w:rPr>
        <w:t>No comments were received during the 60-Day Comment Period.</w:t>
      </w:r>
      <w:r w:rsidRPr="00CB0492">
        <w:rPr>
          <w:rFonts w:eastAsiaTheme="minorHAnsi"/>
          <w:szCs w:val="22"/>
        </w:rPr>
        <w:t xml:space="preserve"> </w:t>
      </w:r>
    </w:p>
    <w:p w:rsidR="00502FF3" w:rsidRPr="00CB0492" w:rsidP="00DA4CB9" w14:paraId="599DB161" w14:textId="009B9D92">
      <w:pPr>
        <w:pStyle w:val="NormalWeb"/>
        <w:spacing w:line="288" w:lineRule="atLeast"/>
        <w:rPr>
          <w:rFonts w:eastAsiaTheme="minorHAnsi"/>
          <w:szCs w:val="22"/>
        </w:rPr>
      </w:pPr>
      <w:r w:rsidRPr="004B0D88">
        <w:rPr>
          <w:rFonts w:eastAsiaTheme="minorHAnsi"/>
        </w:rPr>
        <w:t xml:space="preserve">A 30-Day Federal Register Notice for the collection published on </w:t>
      </w:r>
      <w:r>
        <w:rPr>
          <w:rFonts w:eastAsiaTheme="minorHAnsi"/>
        </w:rPr>
        <w:t>Tuesday</w:t>
      </w:r>
      <w:r w:rsidRPr="004B0D88" w:rsidR="004B0D88">
        <w:rPr>
          <w:rFonts w:eastAsiaTheme="minorHAnsi"/>
        </w:rPr>
        <w:t>, July 1</w:t>
      </w:r>
      <w:r w:rsidR="009F1792">
        <w:rPr>
          <w:rFonts w:eastAsiaTheme="minorHAnsi"/>
        </w:rPr>
        <w:t>6</w:t>
      </w:r>
      <w:r w:rsidRPr="004B0D88" w:rsidR="004B0D88">
        <w:rPr>
          <w:rFonts w:eastAsiaTheme="minorHAnsi"/>
        </w:rPr>
        <w:t>, 2024</w:t>
      </w:r>
      <w:r w:rsidRPr="004B0D88">
        <w:rPr>
          <w:rFonts w:eastAsiaTheme="minorHAnsi"/>
        </w:rPr>
        <w:t>.  The 30-Da</w:t>
      </w:r>
      <w:r w:rsidRPr="004B0D88">
        <w:rPr>
          <w:rFonts w:eastAsiaTheme="minorHAnsi"/>
        </w:rPr>
        <w:t xml:space="preserve">y FRN citation is </w:t>
      </w:r>
      <w:r w:rsidRPr="004B0D88" w:rsidR="004B0D88">
        <w:rPr>
          <w:rFonts w:eastAsiaTheme="minorHAnsi"/>
        </w:rPr>
        <w:t>89</w:t>
      </w:r>
      <w:r w:rsidRPr="004B0D88">
        <w:rPr>
          <w:rFonts w:eastAsiaTheme="minorHAnsi"/>
        </w:rPr>
        <w:t xml:space="preserve"> FRN </w:t>
      </w:r>
      <w:r w:rsidRPr="004B0D88" w:rsidR="004B0D88">
        <w:rPr>
          <w:rFonts w:eastAsiaTheme="minorHAnsi"/>
        </w:rPr>
        <w:t>57</w:t>
      </w:r>
      <w:r w:rsidR="009F1792">
        <w:rPr>
          <w:rFonts w:eastAsiaTheme="minorHAnsi"/>
        </w:rPr>
        <w:t>995</w:t>
      </w:r>
      <w:r w:rsidRPr="004B0D88">
        <w:rPr>
          <w:rFonts w:eastAsiaTheme="minorHAnsi"/>
        </w:rPr>
        <w:t>.</w:t>
      </w:r>
    </w:p>
    <w:p w:rsidR="00200261" w:rsidRPr="00CB0492" w:rsidP="00200261" w14:paraId="11AACC41" w14:textId="2015CEA1">
      <w:pPr>
        <w:pStyle w:val="NormalWeb"/>
        <w:spacing w:line="288" w:lineRule="atLeast"/>
        <w:rPr>
          <w:rFonts w:eastAsiaTheme="minorHAnsi"/>
          <w:szCs w:val="22"/>
        </w:rPr>
      </w:pPr>
      <w:r w:rsidRPr="00CB0492">
        <w:rPr>
          <w:rFonts w:eastAsiaTheme="minorHAnsi"/>
          <w:szCs w:val="22"/>
        </w:rPr>
        <w:t>Part B: CONSULTATION</w:t>
      </w:r>
    </w:p>
    <w:p w:rsidR="00571698" w:rsidRPr="00CB0492" w:rsidP="00822865" w14:paraId="70A4183A" w14:textId="0D4DEA36">
      <w:pPr>
        <w:pStyle w:val="NormalWeb"/>
        <w:spacing w:after="120" w:afterAutospacing="0"/>
        <w:rPr>
          <w:i/>
        </w:rPr>
      </w:pPr>
      <w:r w:rsidRPr="00DA4CB9">
        <w:rPr>
          <w:rFonts w:eastAsiaTheme="minorHAnsi"/>
          <w:szCs w:val="22"/>
        </w:rPr>
        <w:t>No additional consultation apart from soliciting public comments through the Federal Register was conducted for this submission.</w:t>
      </w:r>
      <w:r w:rsidRPr="00CB0492">
        <w:rPr>
          <w:rFonts w:eastAsiaTheme="minorHAnsi"/>
          <w:szCs w:val="22"/>
        </w:rPr>
        <w:t xml:space="preserve"> </w:t>
      </w:r>
    </w:p>
    <w:p w:rsidR="00571698" w:rsidRPr="00CB0492" w:rsidP="00DA4CB9" w14:paraId="62426DC4" w14:textId="6E6EF3FD">
      <w:pPr>
        <w:spacing w:after="120" w:line="240" w:lineRule="auto"/>
        <w:rPr>
          <w:rFonts w:ascii="Times New Roman" w:hAnsi="Times New Roman" w:cs="Times New Roman"/>
          <w:sz w:val="24"/>
        </w:rPr>
      </w:pPr>
      <w:r w:rsidRPr="00DA4CB9">
        <w:rPr>
          <w:rFonts w:ascii="Times New Roman" w:hAnsi="Times New Roman" w:cs="Times New Roman"/>
          <w:b/>
          <w:bCs/>
          <w:sz w:val="24"/>
        </w:rPr>
        <w:t>9</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Gifts or Payment</w:t>
      </w:r>
    </w:p>
    <w:p w:rsidR="006A13FA" w:rsidRPr="00CB0492" w:rsidP="006A13FA" w14:paraId="53A391A2" w14:textId="4818B034">
      <w:pPr>
        <w:spacing w:after="0" w:line="240" w:lineRule="auto"/>
        <w:rPr>
          <w:rFonts w:ascii="Times New Roman" w:hAnsi="Times New Roman" w:cs="Times New Roman"/>
          <w:i/>
          <w:sz w:val="24"/>
        </w:rPr>
      </w:pPr>
      <w:r w:rsidRPr="00822865">
        <w:rPr>
          <w:rFonts w:ascii="Times New Roman" w:hAnsi="Times New Roman" w:cs="Times New Roman"/>
          <w:sz w:val="24"/>
        </w:rPr>
        <w:t xml:space="preserve">No payments or gifts are being offered to </w:t>
      </w:r>
      <w:r w:rsidRPr="00822865">
        <w:rPr>
          <w:rFonts w:ascii="Times New Roman" w:hAnsi="Times New Roman" w:cs="Times New Roman"/>
          <w:sz w:val="24"/>
        </w:rPr>
        <w:t>respondents as an incentive to participate in the collection.</w:t>
      </w:r>
      <w:r w:rsidRPr="00CB0492">
        <w:rPr>
          <w:rFonts w:ascii="Times New Roman" w:hAnsi="Times New Roman" w:cs="Times New Roman"/>
          <w:i/>
          <w:sz w:val="24"/>
        </w:rPr>
        <w:t xml:space="preserve"> </w:t>
      </w:r>
    </w:p>
    <w:p w:rsidR="006A13FA" w:rsidRPr="00CB0492" w:rsidP="006A13FA" w14:paraId="4516DC00" w14:textId="77777777">
      <w:pPr>
        <w:spacing w:after="0" w:line="240" w:lineRule="auto"/>
        <w:rPr>
          <w:rFonts w:ascii="Times New Roman" w:hAnsi="Times New Roman" w:cs="Times New Roman"/>
          <w:i/>
          <w:sz w:val="24"/>
        </w:rPr>
      </w:pPr>
    </w:p>
    <w:p w:rsidR="00F97482" w:rsidRPr="00CB0492" w:rsidP="00DA4CB9" w14:paraId="1902D846" w14:textId="5BC7110F">
      <w:pPr>
        <w:spacing w:after="120" w:line="240" w:lineRule="auto"/>
        <w:rPr>
          <w:rFonts w:ascii="Times New Roman" w:hAnsi="Times New Roman" w:cs="Times New Roman"/>
          <w:sz w:val="24"/>
          <w:u w:val="single"/>
        </w:rPr>
      </w:pPr>
      <w:r w:rsidRPr="00CB0492">
        <w:rPr>
          <w:rFonts w:ascii="Times New Roman" w:hAnsi="Times New Roman" w:cs="Times New Roman"/>
          <w:sz w:val="24"/>
        </w:rPr>
        <w:t xml:space="preserve">10. </w:t>
      </w:r>
      <w:r w:rsidRPr="00CB0492">
        <w:rPr>
          <w:rFonts w:ascii="Times New Roman" w:hAnsi="Times New Roman" w:cs="Times New Roman"/>
          <w:sz w:val="24"/>
        </w:rPr>
        <w:tab/>
      </w:r>
      <w:r w:rsidRPr="00DA4CB9">
        <w:rPr>
          <w:rFonts w:ascii="Times New Roman" w:hAnsi="Times New Roman" w:cs="Times New Roman"/>
          <w:b/>
          <w:bCs/>
          <w:sz w:val="24"/>
          <w:u w:val="single"/>
        </w:rPr>
        <w:t>Confidentiality</w:t>
      </w:r>
    </w:p>
    <w:p w:rsidR="00996894" w:rsidRPr="00822865" w:rsidP="00822865" w14:paraId="399AE8B8" w14:textId="772FF7D1">
      <w:pPr>
        <w:spacing w:after="120" w:line="240" w:lineRule="auto"/>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The records are maintained in the appropriate Privacy Act System of Records identified as “Compensation, Pension, Education, and Veteran Readiness and Employment Records-V</w:t>
      </w:r>
      <w:r w:rsidRPr="00DA4CB9">
        <w:rPr>
          <w:rFonts w:ascii="Times New Roman" w:eastAsia="Times New Roman" w:hAnsi="Times New Roman" w:cs="Times New Roman"/>
          <w:sz w:val="24"/>
          <w:szCs w:val="24"/>
        </w:rPr>
        <w:t>A (58VA21/22/28),” published at 74 FR 29275 on June 19, 2009, and last amended at 87 FR 8740 (February 16, 2022).</w:t>
      </w:r>
    </w:p>
    <w:p w:rsidR="00996894" w:rsidRPr="00CB0492" w:rsidP="00DA4CB9" w14:paraId="06DEAD58" w14:textId="323AD1E8">
      <w:pPr>
        <w:spacing w:after="120" w:line="240" w:lineRule="auto"/>
        <w:rPr>
          <w:rFonts w:ascii="Times New Roman" w:hAnsi="Times New Roman" w:cs="Times New Roman"/>
          <w:sz w:val="24"/>
        </w:rPr>
      </w:pPr>
      <w:r w:rsidRPr="00DA4CB9">
        <w:rPr>
          <w:rFonts w:ascii="Times New Roman" w:hAnsi="Times New Roman" w:cs="Times New Roman"/>
          <w:b/>
          <w:bCs/>
          <w:sz w:val="24"/>
        </w:rPr>
        <w:t>11</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Sensitive Questions</w:t>
      </w:r>
    </w:p>
    <w:p w:rsidR="00DA4CB9" w:rsidRPr="00DA4CB9" w:rsidP="00DA4CB9" w14:paraId="126A3A8D" w14:textId="77777777">
      <w:pPr>
        <w:tabs>
          <w:tab w:val="left" w:pos="360"/>
          <w:tab w:val="right" w:pos="8640"/>
        </w:tabs>
        <w:spacing w:after="0" w:line="240" w:lineRule="auto"/>
        <w:ind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No questions considered sensitive are being asked in this collection.</w:t>
      </w:r>
    </w:p>
    <w:p w:rsidR="00D21AA6" w:rsidRPr="00CB0492" w:rsidP="00337EF1" w14:paraId="07A4B1CF" w14:textId="77777777">
      <w:pPr>
        <w:spacing w:after="0" w:line="240" w:lineRule="auto"/>
        <w:rPr>
          <w:rFonts w:ascii="Times New Roman" w:hAnsi="Times New Roman" w:cs="Times New Roman"/>
          <w:sz w:val="24"/>
        </w:rPr>
      </w:pPr>
    </w:p>
    <w:p w:rsidR="00D21AA6" w:rsidRPr="00CB0492" w:rsidP="00DA4CB9" w14:paraId="5445FF9B" w14:textId="77777777">
      <w:pPr>
        <w:spacing w:after="120" w:line="240" w:lineRule="auto"/>
        <w:rPr>
          <w:rFonts w:ascii="Times New Roman" w:hAnsi="Times New Roman" w:cs="Times New Roman"/>
          <w:sz w:val="24"/>
        </w:rPr>
      </w:pPr>
      <w:r w:rsidRPr="00DA4CB9">
        <w:rPr>
          <w:rFonts w:ascii="Times New Roman" w:hAnsi="Times New Roman" w:cs="Times New Roman"/>
          <w:b/>
          <w:bCs/>
          <w:sz w:val="24"/>
        </w:rPr>
        <w:t>12</w:t>
      </w:r>
      <w:r w:rsidRPr="00CB0492">
        <w:rPr>
          <w:rFonts w:ascii="Times New Roman" w:hAnsi="Times New Roman" w:cs="Times New Roman"/>
          <w:sz w:val="24"/>
        </w:rPr>
        <w:t xml:space="preserve">. </w:t>
      </w:r>
      <w:r w:rsidRPr="00CB0492" w:rsidR="00A76F7E">
        <w:rPr>
          <w:rFonts w:ascii="Times New Roman" w:hAnsi="Times New Roman" w:cs="Times New Roman"/>
          <w:sz w:val="24"/>
        </w:rPr>
        <w:tab/>
      </w:r>
      <w:r w:rsidRPr="00DA4CB9" w:rsidR="00A76F7E">
        <w:rPr>
          <w:rFonts w:ascii="Times New Roman" w:hAnsi="Times New Roman" w:cs="Times New Roman"/>
          <w:b/>
          <w:bCs/>
          <w:sz w:val="24"/>
          <w:u w:val="single"/>
        </w:rPr>
        <w:t>Respondent Burden and its Labor Costs</w:t>
      </w:r>
    </w:p>
    <w:p w:rsidR="00DA4CB9" w:rsidRPr="00DA4CB9" w:rsidP="00DA4CB9" w14:paraId="6D783D1D" w14:textId="7D1D126B">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Number of Respondents is estimated at </w:t>
      </w:r>
      <w:r w:rsidR="003A124D">
        <w:rPr>
          <w:rFonts w:ascii="Times New Roman" w:eastAsia="Times New Roman" w:hAnsi="Times New Roman" w:cs="Times New Roman"/>
          <w:sz w:val="24"/>
          <w:szCs w:val="24"/>
        </w:rPr>
        <w:t>1,200</w:t>
      </w:r>
      <w:r w:rsidRPr="00DA4CB9">
        <w:rPr>
          <w:rFonts w:ascii="Times New Roman" w:eastAsia="Times New Roman" w:hAnsi="Times New Roman" w:cs="Times New Roman"/>
          <w:sz w:val="24"/>
          <w:szCs w:val="24"/>
        </w:rPr>
        <w:t xml:space="preserve"> per year. </w:t>
      </w:r>
    </w:p>
    <w:p w:rsidR="00DA4CB9" w:rsidRPr="00DA4CB9" w:rsidP="00DA4CB9" w14:paraId="38CD6D0F" w14:textId="77777777">
      <w:pPr>
        <w:tabs>
          <w:tab w:val="left" w:pos="480"/>
          <w:tab w:val="right" w:pos="8640"/>
        </w:tabs>
        <w:spacing w:after="0" w:line="240" w:lineRule="auto"/>
        <w:ind w:left="720" w:right="684"/>
        <w:contextualSpacing/>
        <w:rPr>
          <w:rFonts w:ascii="Times New Roman" w:eastAsia="Times New Roman" w:hAnsi="Times New Roman" w:cs="Times New Roman"/>
          <w:sz w:val="24"/>
          <w:szCs w:val="24"/>
        </w:rPr>
      </w:pPr>
    </w:p>
    <w:p w:rsidR="00DA4CB9" w:rsidRPr="00DA4CB9" w:rsidP="00DA4CB9" w14:paraId="3BDDA51A" w14:textId="77777777">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Frequency of Response is one time.  </w:t>
      </w:r>
    </w:p>
    <w:p w:rsidR="00DA4CB9" w:rsidRPr="00DA4CB9" w:rsidP="00DA4CB9" w14:paraId="4113A951"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2A535E38" w14:textId="6110A723">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Annual burden hours are </w:t>
      </w:r>
      <w:r w:rsidR="003A124D">
        <w:rPr>
          <w:rFonts w:ascii="Times New Roman" w:eastAsia="Times New Roman" w:hAnsi="Times New Roman" w:cs="Times New Roman"/>
          <w:sz w:val="24"/>
          <w:szCs w:val="24"/>
        </w:rPr>
        <w:t>300</w:t>
      </w:r>
      <w:r w:rsidRPr="00DA4CB9">
        <w:rPr>
          <w:rFonts w:ascii="Times New Roman" w:eastAsia="Times New Roman" w:hAnsi="Times New Roman" w:cs="Times New Roman"/>
          <w:sz w:val="24"/>
          <w:szCs w:val="24"/>
        </w:rPr>
        <w:t xml:space="preserve"> hours.</w:t>
      </w:r>
    </w:p>
    <w:p w:rsidR="00DA4CB9" w:rsidRPr="00DA4CB9" w:rsidP="00DA4CB9" w14:paraId="5B52635B" w14:textId="77777777">
      <w:pPr>
        <w:tabs>
          <w:tab w:val="left" w:pos="480"/>
          <w:tab w:val="right" w:pos="8640"/>
        </w:tabs>
        <w:spacing w:after="0" w:line="240" w:lineRule="auto"/>
        <w:ind w:right="684"/>
        <w:rPr>
          <w:rFonts w:ascii="Times New Roman" w:eastAsia="Times New Roman" w:hAnsi="Times New Roman" w:cs="Times New Roman"/>
          <w:sz w:val="24"/>
          <w:szCs w:val="24"/>
        </w:rPr>
      </w:pPr>
    </w:p>
    <w:p w:rsidR="00DA4CB9" w:rsidRPr="00DA4CB9" w:rsidP="00DA4CB9" w14:paraId="02BA922C" w14:textId="0B668F06">
      <w:pPr>
        <w:numPr>
          <w:ilvl w:val="0"/>
          <w:numId w:val="25"/>
        </w:numPr>
        <w:tabs>
          <w:tab w:val="left" w:pos="480"/>
          <w:tab w:val="right" w:pos="8640"/>
        </w:tabs>
        <w:spacing w:after="0" w:line="240" w:lineRule="auto"/>
        <w:ind w:right="684"/>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estimated completion time for this form is </w:t>
      </w:r>
      <w:r w:rsidR="003A124D">
        <w:rPr>
          <w:rFonts w:ascii="Times New Roman" w:eastAsia="Times New Roman" w:hAnsi="Times New Roman" w:cs="Times New Roman"/>
          <w:sz w:val="24"/>
          <w:szCs w:val="24"/>
        </w:rPr>
        <w:t>20</w:t>
      </w:r>
      <w:r w:rsidRPr="00DA4CB9">
        <w:rPr>
          <w:rFonts w:ascii="Times New Roman" w:eastAsia="Times New Roman" w:hAnsi="Times New Roman" w:cs="Times New Roman"/>
          <w:sz w:val="24"/>
          <w:szCs w:val="24"/>
        </w:rPr>
        <w:t xml:space="preserve"> minutes.</w:t>
      </w:r>
    </w:p>
    <w:p w:rsidR="00DA4CB9" w:rsidRPr="00DA4CB9" w:rsidP="00DA4CB9" w14:paraId="4A865BFB" w14:textId="77777777">
      <w:pPr>
        <w:spacing w:after="0" w:line="240" w:lineRule="auto"/>
        <w:ind w:left="720"/>
        <w:contextualSpacing/>
        <w:rPr>
          <w:rFonts w:ascii="Times New Roman" w:eastAsia="Times New Roman" w:hAnsi="Times New Roman" w:cs="Times New Roman"/>
          <w:sz w:val="24"/>
          <w:szCs w:val="24"/>
        </w:rPr>
      </w:pPr>
    </w:p>
    <w:p w:rsidR="00DA4CB9" w:rsidRPr="00DA4CB9" w:rsidP="00DA4CB9" w14:paraId="1F83764B" w14:textId="77777777">
      <w:pPr>
        <w:numPr>
          <w:ilvl w:val="0"/>
          <w:numId w:val="25"/>
        </w:numPr>
        <w:tabs>
          <w:tab w:val="left" w:pos="480"/>
          <w:tab w:val="right" w:pos="720"/>
        </w:tabs>
        <w:spacing w:after="0" w:line="240" w:lineRule="auto"/>
        <w:ind w:right="684"/>
        <w:contextualSpacing/>
        <w:rPr>
          <w:rFonts w:ascii="Times New Roman" w:eastAsia="Times New Roman" w:hAnsi="Times New Roman" w:cs="Times New Roman"/>
          <w:sz w:val="24"/>
          <w:szCs w:val="24"/>
        </w:rPr>
      </w:pPr>
      <w:bookmarkStart w:id="0" w:name="_Hlk100146777"/>
      <w:r w:rsidRPr="00DA4CB9">
        <w:rPr>
          <w:rFonts w:ascii="Times New Roman" w:eastAsia="Times New Roman" w:hAnsi="Times New Roman" w:cs="Times New Roman"/>
          <w:sz w:val="24"/>
          <w:szCs w:val="24"/>
        </w:rPr>
        <w:t>VA cannot make further assumptions about the population of respondents because of the variability of factors such as the educational background and wage potential of respondents. Therefore, VBA used general wage data to estimate the respondents’ costs asso</w:t>
      </w:r>
      <w:r w:rsidRPr="00DA4CB9">
        <w:rPr>
          <w:rFonts w:ascii="Times New Roman" w:eastAsia="Times New Roman" w:hAnsi="Times New Roman" w:cs="Times New Roman"/>
          <w:sz w:val="24"/>
          <w:szCs w:val="24"/>
        </w:rPr>
        <w:t xml:space="preserve">ciated with completing the information collection. </w:t>
      </w:r>
    </w:p>
    <w:p w:rsidR="00DA4CB9" w:rsidRPr="00DA4CB9" w:rsidP="00DA4CB9" w14:paraId="115DD804" w14:textId="77777777">
      <w:pPr>
        <w:tabs>
          <w:tab w:val="right" w:pos="720"/>
        </w:tabs>
        <w:spacing w:after="0" w:line="240" w:lineRule="auto"/>
        <w:ind w:left="720"/>
        <w:rPr>
          <w:rFonts w:ascii="Times New Roman" w:eastAsia="Times New Roman" w:hAnsi="Times New Roman" w:cs="Times New Roman"/>
          <w:sz w:val="24"/>
          <w:szCs w:val="24"/>
        </w:rPr>
      </w:pPr>
    </w:p>
    <w:p w:rsidR="00DA4CB9" w:rsidRPr="00DA4CB9" w:rsidP="00DA4CB9" w14:paraId="5834D0D7" w14:textId="1034C87B">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bookmarkStart w:id="1" w:name="_Hlk2954761"/>
      <w:r w:rsidRPr="00DA4CB9">
        <w:rPr>
          <w:rFonts w:ascii="Times New Roman" w:eastAsia="Times New Roman" w:hAnsi="Times New Roman" w:cs="Times New Roman"/>
          <w:sz w:val="24"/>
          <w:szCs w:val="24"/>
        </w:rPr>
        <w:t xml:space="preserve">The Bureau of Labor Statistics (BLS) gathers information on full-time wage and salary workers.  According to the latest available BLS data, the mean hourly wage is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based on the BLS wage code – “00</w:t>
      </w:r>
      <w:r w:rsidRPr="00DA4CB9">
        <w:rPr>
          <w:rFonts w:ascii="Times New Roman" w:eastAsia="Times New Roman" w:hAnsi="Times New Roman" w:cs="Times New Roman"/>
          <w:sz w:val="24"/>
          <w:szCs w:val="24"/>
        </w:rPr>
        <w:t xml:space="preserve">-0000 All Occupations.”  This information was taken from the following website: </w:t>
      </w:r>
      <w:hyperlink r:id="rId4" w:history="1">
        <w:r w:rsidRPr="00DA4CB9">
          <w:rPr>
            <w:rFonts w:ascii="Times New Roman" w:eastAsia="Times New Roman" w:hAnsi="Times New Roman" w:cs="Times New Roman"/>
            <w:color w:val="0000FF"/>
            <w:sz w:val="24"/>
            <w:szCs w:val="24"/>
            <w:u w:val="single"/>
          </w:rPr>
          <w:t>https://www.bls.gov/oes/current/oes_nat.htm</w:t>
        </w:r>
      </w:hyperlink>
      <w:r w:rsidRPr="00DA4CB9">
        <w:rPr>
          <w:rFonts w:ascii="Times New Roman" w:eastAsia="Times New Roman" w:hAnsi="Times New Roman" w:cs="Times New Roman"/>
          <w:sz w:val="24"/>
          <w:szCs w:val="24"/>
        </w:rPr>
        <w:t xml:space="preserve">.   </w:t>
      </w:r>
    </w:p>
    <w:p w:rsidR="00DA4CB9" w:rsidRPr="00DA4CB9" w:rsidP="00DA4CB9" w14:paraId="7D3CBB91" w14:textId="77777777">
      <w:pPr>
        <w:tabs>
          <w:tab w:val="left" w:pos="480"/>
          <w:tab w:val="right" w:pos="8640"/>
          <w:tab w:val="left" w:pos="9504"/>
        </w:tabs>
        <w:spacing w:after="0" w:line="240" w:lineRule="auto"/>
        <w:ind w:left="720" w:right="54"/>
        <w:rPr>
          <w:rFonts w:ascii="Times New Roman" w:eastAsia="Times New Roman" w:hAnsi="Times New Roman" w:cs="Times New Roman"/>
          <w:sz w:val="24"/>
          <w:szCs w:val="24"/>
        </w:rPr>
      </w:pPr>
    </w:p>
    <w:p w:rsidR="00DA4CB9" w:rsidRPr="00DA4CB9" w:rsidP="00DA4CB9" w14:paraId="1DF4A65C" w14:textId="4585D4F2">
      <w:pPr>
        <w:spacing w:after="0" w:line="240" w:lineRule="auto"/>
        <w:ind w:left="720"/>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Legally, respondents may not </w:t>
      </w:r>
      <w:r w:rsidRPr="00DA4CB9">
        <w:rPr>
          <w:rFonts w:ascii="Times New Roman" w:eastAsia="Times New Roman" w:hAnsi="Times New Roman" w:cs="Times New Roman"/>
          <w:sz w:val="24"/>
          <w:szCs w:val="24"/>
        </w:rPr>
        <w:t>pay a person or business for assistance in completing the information collection. Therefore, there are no expected overhead costs for completing the information collection. VBA estimates the total cost to all respondents to be $</w:t>
      </w:r>
      <w:r w:rsidR="00143D60">
        <w:rPr>
          <w:rFonts w:ascii="Times New Roman" w:eastAsia="Times New Roman" w:hAnsi="Times New Roman" w:cs="Times New Roman"/>
          <w:sz w:val="24"/>
          <w:szCs w:val="24"/>
        </w:rPr>
        <w:t>9,444</w:t>
      </w:r>
      <w:r w:rsidRPr="00DA4CB9">
        <w:rPr>
          <w:rFonts w:ascii="Times New Roman" w:eastAsia="Times New Roman" w:hAnsi="Times New Roman" w:cs="Times New Roman"/>
          <w:sz w:val="24"/>
          <w:szCs w:val="24"/>
        </w:rPr>
        <w:t xml:space="preserve"> (</w:t>
      </w:r>
      <w:r w:rsidR="00143D60">
        <w:rPr>
          <w:rFonts w:ascii="Times New Roman" w:eastAsia="Times New Roman" w:hAnsi="Times New Roman" w:cs="Times New Roman"/>
          <w:sz w:val="24"/>
          <w:szCs w:val="24"/>
        </w:rPr>
        <w:t>300</w:t>
      </w:r>
      <w:r w:rsidRPr="00DA4CB9">
        <w:rPr>
          <w:rFonts w:ascii="Times New Roman" w:eastAsia="Times New Roman" w:hAnsi="Times New Roman" w:cs="Times New Roman"/>
          <w:sz w:val="24"/>
          <w:szCs w:val="24"/>
        </w:rPr>
        <w:t xml:space="preserve"> burden hours x </w:t>
      </w:r>
      <w:r w:rsidRPr="00776A01" w:rsidR="00776A01">
        <w:rPr>
          <w:rFonts w:ascii="Times New Roman" w:hAnsi="Times New Roman" w:cs="Times New Roman"/>
          <w:sz w:val="24"/>
          <w:szCs w:val="24"/>
        </w:rPr>
        <w:t>$31.48</w:t>
      </w:r>
      <w:r w:rsidRPr="00DA4CB9">
        <w:rPr>
          <w:rFonts w:ascii="Times New Roman" w:eastAsia="Times New Roman" w:hAnsi="Times New Roman" w:cs="Times New Roman"/>
          <w:sz w:val="24"/>
          <w:szCs w:val="24"/>
        </w:rPr>
        <w:t xml:space="preserve"> per hour).</w:t>
      </w:r>
      <w:bookmarkEnd w:id="0"/>
      <w:bookmarkEnd w:id="1"/>
    </w:p>
    <w:p w:rsidR="006F2DF8" w:rsidRPr="00CB0492" w:rsidP="00337EF1" w14:paraId="49ECAE60" w14:textId="77777777">
      <w:pPr>
        <w:spacing w:after="0" w:line="240" w:lineRule="auto"/>
        <w:rPr>
          <w:rFonts w:ascii="Times New Roman" w:hAnsi="Times New Roman" w:cs="Times New Roman"/>
          <w:sz w:val="24"/>
        </w:rPr>
      </w:pPr>
    </w:p>
    <w:p w:rsidR="0019309D" w:rsidRPr="00CB0492" w:rsidP="00DA4CB9" w14:paraId="17EA69A7" w14:textId="47B2CC34">
      <w:pPr>
        <w:spacing w:after="120" w:line="240" w:lineRule="auto"/>
        <w:rPr>
          <w:rFonts w:ascii="Times New Roman" w:hAnsi="Times New Roman" w:cs="Times New Roman"/>
          <w:sz w:val="24"/>
        </w:rPr>
      </w:pPr>
      <w:r w:rsidRPr="00DA4CB9">
        <w:rPr>
          <w:rFonts w:ascii="Times New Roman" w:hAnsi="Times New Roman" w:cs="Times New Roman"/>
          <w:b/>
          <w:bCs/>
          <w:sz w:val="24"/>
        </w:rPr>
        <w:t>13</w:t>
      </w:r>
      <w:r w:rsidRPr="00CB0492">
        <w:rPr>
          <w:rFonts w:ascii="Times New Roman" w:hAnsi="Times New Roman" w:cs="Times New Roman"/>
          <w:sz w:val="24"/>
        </w:rPr>
        <w:t>.</w:t>
      </w:r>
      <w:r w:rsidRPr="00CB0492">
        <w:rPr>
          <w:rFonts w:ascii="Times New Roman" w:hAnsi="Times New Roman" w:cs="Times New Roman"/>
          <w:sz w:val="24"/>
        </w:rPr>
        <w:tab/>
      </w:r>
      <w:r w:rsidRPr="00DA4CB9">
        <w:rPr>
          <w:rFonts w:ascii="Times New Roman" w:hAnsi="Times New Roman" w:cs="Times New Roman"/>
          <w:b/>
          <w:bCs/>
          <w:sz w:val="24"/>
          <w:u w:val="single"/>
        </w:rPr>
        <w:t>Respondent Costs Other Than Burden Hour Costs</w:t>
      </w:r>
    </w:p>
    <w:p w:rsidR="0019309D" w:rsidRPr="00CB0492" w:rsidP="0019309D" w14:paraId="64B2ECBE" w14:textId="7EB357AF">
      <w:pPr>
        <w:spacing w:after="0" w:line="240" w:lineRule="auto"/>
        <w:rPr>
          <w:rFonts w:ascii="Times New Roman" w:hAnsi="Times New Roman" w:cs="Times New Roman"/>
          <w:sz w:val="24"/>
        </w:rPr>
      </w:pPr>
      <w:r w:rsidRPr="005F711F">
        <w:rPr>
          <w:rFonts w:ascii="Times New Roman" w:hAnsi="Times New Roman" w:cs="Times New Roman"/>
          <w:sz w:val="24"/>
        </w:rPr>
        <w:t>There are no annualized costs to respondents other than the labor burden costs addressed in Section 12 of this document to complete this collection.</w:t>
      </w:r>
      <w:r w:rsidRPr="00CB0492">
        <w:rPr>
          <w:rFonts w:ascii="Times New Roman" w:hAnsi="Times New Roman" w:cs="Times New Roman"/>
          <w:sz w:val="24"/>
        </w:rPr>
        <w:t xml:space="preserve"> </w:t>
      </w:r>
    </w:p>
    <w:p w:rsidR="0019309D" w:rsidRPr="00CB0492" w:rsidP="0019309D" w14:paraId="3F31196D" w14:textId="77777777">
      <w:pPr>
        <w:spacing w:after="0" w:line="240" w:lineRule="auto"/>
        <w:rPr>
          <w:rFonts w:ascii="Times New Roman" w:hAnsi="Times New Roman" w:cs="Times New Roman"/>
          <w:sz w:val="24"/>
        </w:rPr>
      </w:pPr>
    </w:p>
    <w:p w:rsidR="00235D71" w:rsidRPr="00CB0492" w:rsidP="00DA4CB9" w14:paraId="4FFDB3FA" w14:textId="606FE5F1">
      <w:pPr>
        <w:spacing w:after="120" w:line="240" w:lineRule="auto"/>
        <w:rPr>
          <w:rFonts w:ascii="Times New Roman" w:hAnsi="Times New Roman" w:cs="Times New Roman"/>
          <w:sz w:val="24"/>
        </w:rPr>
      </w:pPr>
      <w:r w:rsidRPr="00DA4CB9">
        <w:rPr>
          <w:rFonts w:ascii="Times New Roman" w:hAnsi="Times New Roman" w:cs="Times New Roman"/>
          <w:b/>
          <w:bCs/>
          <w:sz w:val="24"/>
        </w:rPr>
        <w:t>14</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 xml:space="preserve">Cost to the Federal </w:t>
      </w:r>
      <w:r w:rsidRPr="00DA4CB9">
        <w:rPr>
          <w:rFonts w:ascii="Times New Roman" w:hAnsi="Times New Roman" w:cs="Times New Roman"/>
          <w:b/>
          <w:bCs/>
          <w:sz w:val="24"/>
          <w:u w:val="single"/>
        </w:rPr>
        <w:t>Government</w:t>
      </w:r>
    </w:p>
    <w:tbl>
      <w:tblPr>
        <w:tblW w:w="8476" w:type="dxa"/>
        <w:tblInd w:w="424" w:type="dxa"/>
        <w:tblLook w:val="04A0"/>
      </w:tblPr>
      <w:tblGrid>
        <w:gridCol w:w="803"/>
        <w:gridCol w:w="643"/>
        <w:gridCol w:w="923"/>
        <w:gridCol w:w="1016"/>
        <w:gridCol w:w="896"/>
        <w:gridCol w:w="1136"/>
        <w:gridCol w:w="1230"/>
        <w:gridCol w:w="1829"/>
      </w:tblGrid>
      <w:tr w14:paraId="27C43B97" w14:textId="77777777" w:rsidTr="00302BDD">
        <w:tblPrEx>
          <w:tblW w:w="8476" w:type="dxa"/>
          <w:tblInd w:w="424" w:type="dxa"/>
          <w:tblLook w:val="04A0"/>
        </w:tblPrEx>
        <w:trPr>
          <w:trHeight w:val="570"/>
        </w:trPr>
        <w:tc>
          <w:tcPr>
            <w:tcW w:w="803" w:type="dxa"/>
            <w:tcBorders>
              <w:top w:val="single" w:sz="8" w:space="0" w:color="auto"/>
              <w:left w:val="single" w:sz="8" w:space="0" w:color="auto"/>
              <w:bottom w:val="single" w:sz="8" w:space="0" w:color="auto"/>
              <w:right w:val="single" w:sz="8" w:space="0" w:color="auto"/>
            </w:tcBorders>
            <w:shd w:val="clear" w:color="000000" w:fill="DCE6F1"/>
            <w:vAlign w:val="center"/>
            <w:hideMark/>
          </w:tcPr>
          <w:p w:rsidR="00DA4CB9" w:rsidRPr="00DA4CB9" w:rsidP="00DA4CB9" w14:paraId="461D763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Grade</w:t>
            </w:r>
          </w:p>
        </w:tc>
        <w:tc>
          <w:tcPr>
            <w:tcW w:w="64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734CA7D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Step</w:t>
            </w:r>
          </w:p>
        </w:tc>
        <w:tc>
          <w:tcPr>
            <w:tcW w:w="923"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5ECEF19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Burden Time</w:t>
            </w:r>
          </w:p>
        </w:tc>
        <w:tc>
          <w:tcPr>
            <w:tcW w:w="101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41700A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Fraction of Hour</w:t>
            </w:r>
          </w:p>
        </w:tc>
        <w:tc>
          <w:tcPr>
            <w:tcW w:w="89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4180D57E"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Hourly Rate</w:t>
            </w:r>
          </w:p>
        </w:tc>
        <w:tc>
          <w:tcPr>
            <w:tcW w:w="1136"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68B1FEA"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Cost Per Response</w:t>
            </w:r>
          </w:p>
        </w:tc>
        <w:tc>
          <w:tcPr>
            <w:tcW w:w="1230"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2253FF0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Responses</w:t>
            </w:r>
          </w:p>
        </w:tc>
        <w:tc>
          <w:tcPr>
            <w:tcW w:w="1829" w:type="dxa"/>
            <w:tcBorders>
              <w:top w:val="single" w:sz="8" w:space="0" w:color="auto"/>
              <w:left w:val="nil"/>
              <w:bottom w:val="single" w:sz="8" w:space="0" w:color="auto"/>
              <w:right w:val="single" w:sz="8" w:space="0" w:color="auto"/>
            </w:tcBorders>
            <w:shd w:val="clear" w:color="000000" w:fill="DCE6F1"/>
            <w:vAlign w:val="center"/>
            <w:hideMark/>
          </w:tcPr>
          <w:p w:rsidR="00DA4CB9" w:rsidRPr="00DA4CB9" w:rsidP="00DA4CB9" w14:paraId="0B6B2056"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w:t>
            </w:r>
          </w:p>
        </w:tc>
      </w:tr>
      <w:tr w14:paraId="1021376D"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2E2EDA1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9</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56723E3C"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77CA6A5F"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15</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2B5FB1E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0.25</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1138BA4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$26.24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484EAA4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6.560</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0CE65A81" w14:textId="467924C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1,</w:t>
            </w:r>
            <w:r w:rsidR="0029091D">
              <w:rPr>
                <w:rFonts w:ascii="Times New Roman" w:eastAsia="Times New Roman" w:hAnsi="Times New Roman" w:cs="Times New Roman"/>
                <w:color w:val="000000"/>
                <w:sz w:val="24"/>
                <w:szCs w:val="24"/>
              </w:rPr>
              <w:t>200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C2AC700" w14:textId="45941AC6">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7</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872</w:t>
            </w:r>
            <w:r w:rsidRPr="00DA4CB9">
              <w:rPr>
                <w:rFonts w:ascii="Times New Roman" w:eastAsia="Times New Roman" w:hAnsi="Times New Roman" w:cs="Times New Roman"/>
                <w:color w:val="000000"/>
                <w:sz w:val="24"/>
                <w:szCs w:val="24"/>
              </w:rPr>
              <w:t>.0</w:t>
            </w:r>
            <w:r w:rsidR="0029091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1D0407FB"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6557FDC7"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BAFA96F" w14:textId="5532FBFF">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7</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872</w:t>
            </w:r>
            <w:r w:rsidRPr="00DA4CB9">
              <w:rPr>
                <w:rFonts w:ascii="Times New Roman" w:eastAsia="Times New Roman" w:hAnsi="Times New Roman" w:cs="Times New Roman"/>
                <w:color w:val="000000"/>
                <w:sz w:val="24"/>
                <w:szCs w:val="24"/>
              </w:rPr>
              <w:t>.0</w:t>
            </w:r>
            <w:r w:rsidR="0029091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031DBD8F" w14:textId="77777777" w:rsidTr="00302BDD">
        <w:tblPrEx>
          <w:tblW w:w="8476" w:type="dxa"/>
          <w:tblInd w:w="424" w:type="dxa"/>
          <w:tblLook w:val="04A0"/>
        </w:tblPrEx>
        <w:trPr>
          <w:trHeight w:val="290"/>
        </w:trPr>
        <w:tc>
          <w:tcPr>
            <w:tcW w:w="803" w:type="dxa"/>
            <w:tcBorders>
              <w:top w:val="nil"/>
              <w:left w:val="single" w:sz="8" w:space="0" w:color="auto"/>
              <w:bottom w:val="single" w:sz="4" w:space="0" w:color="auto"/>
              <w:right w:val="single" w:sz="4" w:space="0" w:color="auto"/>
            </w:tcBorders>
            <w:shd w:val="clear" w:color="auto" w:fill="auto"/>
            <w:vAlign w:val="bottom"/>
            <w:hideMark/>
          </w:tcPr>
          <w:p w:rsidR="00DA4CB9" w:rsidRPr="00DA4CB9" w:rsidP="00DA4CB9" w14:paraId="3EB2D704"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12</w:t>
            </w:r>
          </w:p>
        </w:tc>
        <w:tc>
          <w:tcPr>
            <w:tcW w:w="643" w:type="dxa"/>
            <w:tcBorders>
              <w:top w:val="nil"/>
              <w:left w:val="nil"/>
              <w:bottom w:val="single" w:sz="4" w:space="0" w:color="auto"/>
              <w:right w:val="single" w:sz="4" w:space="0" w:color="auto"/>
            </w:tcBorders>
            <w:shd w:val="clear" w:color="auto" w:fill="auto"/>
            <w:vAlign w:val="bottom"/>
            <w:hideMark/>
          </w:tcPr>
          <w:p w:rsidR="00DA4CB9" w:rsidRPr="00DA4CB9" w:rsidP="00DA4CB9" w14:paraId="6DEF7C15"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3</w:t>
            </w:r>
          </w:p>
        </w:tc>
        <w:tc>
          <w:tcPr>
            <w:tcW w:w="923" w:type="dxa"/>
            <w:tcBorders>
              <w:top w:val="nil"/>
              <w:left w:val="nil"/>
              <w:bottom w:val="single" w:sz="4" w:space="0" w:color="auto"/>
              <w:right w:val="single" w:sz="4" w:space="0" w:color="auto"/>
            </w:tcBorders>
            <w:shd w:val="clear" w:color="auto" w:fill="auto"/>
            <w:vAlign w:val="bottom"/>
            <w:hideMark/>
          </w:tcPr>
          <w:p w:rsidR="00DA4CB9" w:rsidRPr="00DA4CB9" w:rsidP="00DA4CB9" w14:paraId="17782459" w14:textId="440A617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16" w:type="dxa"/>
            <w:tcBorders>
              <w:top w:val="nil"/>
              <w:left w:val="nil"/>
              <w:bottom w:val="single" w:sz="4" w:space="0" w:color="auto"/>
              <w:right w:val="single" w:sz="4" w:space="0" w:color="auto"/>
            </w:tcBorders>
            <w:shd w:val="clear" w:color="auto" w:fill="auto"/>
            <w:vAlign w:val="bottom"/>
            <w:hideMark/>
          </w:tcPr>
          <w:p w:rsidR="00DA4CB9" w:rsidRPr="00DA4CB9" w:rsidP="00DA4CB9" w14:paraId="77172167" w14:textId="0C27A1F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0.</w:t>
            </w:r>
            <w:r w:rsidR="0029091D">
              <w:rPr>
                <w:rFonts w:ascii="Times New Roman" w:eastAsia="Times New Roman" w:hAnsi="Times New Roman" w:cs="Times New Roman"/>
                <w:color w:val="000000"/>
                <w:sz w:val="24"/>
                <w:szCs w:val="24"/>
              </w:rPr>
              <w:t>17</w:t>
            </w:r>
          </w:p>
        </w:tc>
        <w:tc>
          <w:tcPr>
            <w:tcW w:w="896" w:type="dxa"/>
            <w:tcBorders>
              <w:top w:val="nil"/>
              <w:left w:val="nil"/>
              <w:bottom w:val="single" w:sz="4" w:space="0" w:color="auto"/>
              <w:right w:val="single" w:sz="4" w:space="0" w:color="auto"/>
            </w:tcBorders>
            <w:shd w:val="clear" w:color="auto" w:fill="auto"/>
            <w:vAlign w:val="bottom"/>
            <w:hideMark/>
          </w:tcPr>
          <w:p w:rsidR="00DA4CB9" w:rsidRPr="00DA4CB9" w:rsidP="00DA4CB9" w14:paraId="4D6959AA" w14:textId="233A858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w:t>
            </w:r>
            <w:r w:rsidR="0029091D">
              <w:rPr>
                <w:rFonts w:ascii="Times New Roman" w:eastAsia="Times New Roman" w:hAnsi="Times New Roman" w:cs="Times New Roman"/>
                <w:color w:val="000000"/>
                <w:sz w:val="24"/>
                <w:szCs w:val="24"/>
              </w:rPr>
              <w:t>38</w:t>
            </w:r>
            <w:r w:rsidRPr="00DA4CB9">
              <w:rPr>
                <w:rFonts w:ascii="Times New Roman" w:eastAsia="Times New Roman" w:hAnsi="Times New Roman" w:cs="Times New Roman"/>
                <w:color w:val="000000"/>
                <w:sz w:val="24"/>
                <w:szCs w:val="24"/>
              </w:rPr>
              <w:t xml:space="preserve">.05 </w:t>
            </w:r>
          </w:p>
        </w:tc>
        <w:tc>
          <w:tcPr>
            <w:tcW w:w="1136" w:type="dxa"/>
            <w:tcBorders>
              <w:top w:val="nil"/>
              <w:left w:val="nil"/>
              <w:bottom w:val="single" w:sz="4" w:space="0" w:color="auto"/>
              <w:right w:val="single" w:sz="4" w:space="0" w:color="auto"/>
            </w:tcBorders>
            <w:shd w:val="clear" w:color="auto" w:fill="auto"/>
            <w:vAlign w:val="bottom"/>
            <w:hideMark/>
          </w:tcPr>
          <w:p w:rsidR="00DA4CB9" w:rsidRPr="00DA4CB9" w:rsidP="00DA4CB9" w14:paraId="5DA1A24D" w14:textId="43F133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6.342</w:t>
            </w:r>
          </w:p>
        </w:tc>
        <w:tc>
          <w:tcPr>
            <w:tcW w:w="1230" w:type="dxa"/>
            <w:tcBorders>
              <w:top w:val="nil"/>
              <w:left w:val="nil"/>
              <w:bottom w:val="single" w:sz="4" w:space="0" w:color="auto"/>
              <w:right w:val="single" w:sz="4" w:space="0" w:color="auto"/>
            </w:tcBorders>
            <w:shd w:val="clear" w:color="auto" w:fill="auto"/>
            <w:vAlign w:val="bottom"/>
            <w:hideMark/>
          </w:tcPr>
          <w:p w:rsidR="00DA4CB9" w:rsidRPr="00DA4CB9" w:rsidP="00DA4CB9" w14:paraId="1CDC521F" w14:textId="4E446B68">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1,</w:t>
            </w:r>
            <w:r w:rsidR="0029091D">
              <w:rPr>
                <w:rFonts w:ascii="Times New Roman" w:eastAsia="Times New Roman" w:hAnsi="Times New Roman" w:cs="Times New Roman"/>
                <w:color w:val="000000"/>
                <w:sz w:val="24"/>
                <w:szCs w:val="24"/>
              </w:rPr>
              <w:t>200</w:t>
            </w:r>
            <w:r w:rsidRPr="00DA4CB9">
              <w:rPr>
                <w:rFonts w:ascii="Times New Roman" w:eastAsia="Times New Roman" w:hAnsi="Times New Roman" w:cs="Times New Roman"/>
                <w:color w:val="000000"/>
                <w:sz w:val="24"/>
                <w:szCs w:val="24"/>
              </w:rPr>
              <w:t xml:space="preserve">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4B472330" w14:textId="068C0732">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7</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610</w:t>
            </w:r>
            <w:r w:rsidRPr="00DA4CB9">
              <w:rPr>
                <w:rFonts w:ascii="Times New Roman" w:eastAsia="Times New Roman" w:hAnsi="Times New Roman" w:cs="Times New Roman"/>
                <w:color w:val="000000"/>
                <w:sz w:val="24"/>
                <w:szCs w:val="24"/>
              </w:rPr>
              <w:t>.0</w:t>
            </w:r>
            <w:r w:rsidR="0029091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4A46D937"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26FDD79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Overhead at 100% Salary</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3457282" w14:textId="645A468C">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7</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610</w:t>
            </w:r>
            <w:r w:rsidRPr="00DA4CB9">
              <w:rPr>
                <w:rFonts w:ascii="Times New Roman" w:eastAsia="Times New Roman" w:hAnsi="Times New Roman" w:cs="Times New Roman"/>
                <w:color w:val="000000"/>
                <w:sz w:val="24"/>
                <w:szCs w:val="24"/>
              </w:rPr>
              <w:t>.0</w:t>
            </w:r>
            <w:r w:rsidR="0029091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 </w:t>
            </w:r>
          </w:p>
        </w:tc>
      </w:tr>
      <w:tr w14:paraId="54E095B2"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1B07F3B7"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1B1D7A11" w14:textId="77777777">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w:t>
            </w:r>
          </w:p>
        </w:tc>
      </w:tr>
      <w:tr w14:paraId="031876D1"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46DBBE5B"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Processing / Analyzing Costs</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77228A16" w14:textId="0E2BB313">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30</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964</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0</w:t>
            </w:r>
            <w:r w:rsidRPr="00DA4CB9">
              <w:rPr>
                <w:rFonts w:ascii="Times New Roman" w:eastAsia="Times New Roman" w:hAnsi="Times New Roman" w:cs="Times New Roman"/>
                <w:color w:val="000000"/>
                <w:sz w:val="24"/>
                <w:szCs w:val="24"/>
              </w:rPr>
              <w:t xml:space="preserve">0 </w:t>
            </w:r>
          </w:p>
        </w:tc>
      </w:tr>
      <w:tr w14:paraId="7EC964AD" w14:textId="77777777" w:rsidTr="00302BDD">
        <w:tblPrEx>
          <w:tblW w:w="8476" w:type="dxa"/>
          <w:tblInd w:w="424" w:type="dxa"/>
          <w:tblLook w:val="04A0"/>
        </w:tblPrEx>
        <w:trPr>
          <w:trHeight w:val="290"/>
        </w:trPr>
        <w:tc>
          <w:tcPr>
            <w:tcW w:w="6647"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DA4CB9" w:rsidRPr="00DA4CB9" w:rsidP="00DA4CB9" w14:paraId="5C92D71D"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Printing and Production Cost</w:t>
            </w:r>
          </w:p>
        </w:tc>
        <w:tc>
          <w:tcPr>
            <w:tcW w:w="1829" w:type="dxa"/>
            <w:tcBorders>
              <w:top w:val="nil"/>
              <w:left w:val="nil"/>
              <w:bottom w:val="single" w:sz="4" w:space="0" w:color="auto"/>
              <w:right w:val="single" w:sz="8" w:space="0" w:color="auto"/>
            </w:tcBorders>
            <w:shd w:val="clear" w:color="auto" w:fill="auto"/>
            <w:vAlign w:val="bottom"/>
            <w:hideMark/>
          </w:tcPr>
          <w:p w:rsidR="00DA4CB9" w:rsidRPr="00DA4CB9" w:rsidP="00DA4CB9" w14:paraId="08534D4E" w14:textId="64A6666A">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344</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04</w:t>
            </w:r>
            <w:r w:rsidRPr="00DA4CB9">
              <w:rPr>
                <w:rFonts w:ascii="Times New Roman" w:eastAsia="Times New Roman" w:hAnsi="Times New Roman" w:cs="Times New Roman"/>
                <w:color w:val="000000"/>
                <w:sz w:val="24"/>
                <w:szCs w:val="24"/>
              </w:rPr>
              <w:t xml:space="preserve"> </w:t>
            </w:r>
          </w:p>
        </w:tc>
      </w:tr>
      <w:tr w14:paraId="3A5E50D3" w14:textId="77777777" w:rsidTr="00302BDD">
        <w:tblPrEx>
          <w:tblW w:w="8476" w:type="dxa"/>
          <w:tblInd w:w="424" w:type="dxa"/>
          <w:tblLook w:val="04A0"/>
        </w:tblPrEx>
        <w:trPr>
          <w:trHeight w:val="300"/>
        </w:trPr>
        <w:tc>
          <w:tcPr>
            <w:tcW w:w="6647"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DA4CB9" w:rsidRPr="00DA4CB9" w:rsidP="00DA4CB9" w14:paraId="0F283BA9" w14:textId="77777777">
            <w:pPr>
              <w:spacing w:after="0" w:line="240" w:lineRule="auto"/>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Total Cost to Government</w:t>
            </w:r>
          </w:p>
        </w:tc>
        <w:tc>
          <w:tcPr>
            <w:tcW w:w="1829" w:type="dxa"/>
            <w:tcBorders>
              <w:top w:val="nil"/>
              <w:left w:val="nil"/>
              <w:bottom w:val="single" w:sz="8" w:space="0" w:color="auto"/>
              <w:right w:val="single" w:sz="8" w:space="0" w:color="auto"/>
            </w:tcBorders>
            <w:shd w:val="clear" w:color="auto" w:fill="auto"/>
            <w:vAlign w:val="bottom"/>
            <w:hideMark/>
          </w:tcPr>
          <w:p w:rsidR="00DA4CB9" w:rsidRPr="00DA4CB9" w:rsidP="00DA4CB9" w14:paraId="15856AC9" w14:textId="48D74EE5">
            <w:pPr>
              <w:spacing w:after="0" w:line="240" w:lineRule="auto"/>
              <w:jc w:val="center"/>
              <w:rPr>
                <w:rFonts w:ascii="Times New Roman" w:eastAsia="Times New Roman" w:hAnsi="Times New Roman" w:cs="Times New Roman"/>
                <w:color w:val="000000"/>
                <w:sz w:val="24"/>
                <w:szCs w:val="24"/>
              </w:rPr>
            </w:pPr>
            <w:r w:rsidRPr="00DA4CB9">
              <w:rPr>
                <w:rFonts w:ascii="Times New Roman" w:eastAsia="Times New Roman" w:hAnsi="Times New Roman" w:cs="Times New Roman"/>
                <w:color w:val="000000"/>
                <w:sz w:val="24"/>
                <w:szCs w:val="24"/>
              </w:rPr>
              <w:t xml:space="preserve"> $   </w:t>
            </w:r>
            <w:r w:rsidR="0029091D">
              <w:rPr>
                <w:rFonts w:ascii="Times New Roman" w:eastAsia="Times New Roman" w:hAnsi="Times New Roman" w:cs="Times New Roman"/>
                <w:color w:val="000000"/>
                <w:sz w:val="24"/>
                <w:szCs w:val="24"/>
              </w:rPr>
              <w:t>31</w:t>
            </w:r>
            <w:r w:rsidRPr="00DA4CB9">
              <w:rPr>
                <w:rFonts w:ascii="Times New Roman" w:eastAsia="Times New Roman" w:hAnsi="Times New Roman" w:cs="Times New Roman"/>
                <w:color w:val="000000"/>
                <w:sz w:val="24"/>
                <w:szCs w:val="24"/>
              </w:rPr>
              <w:t>,3</w:t>
            </w:r>
            <w:r w:rsidR="0029091D">
              <w:rPr>
                <w:rFonts w:ascii="Times New Roman" w:eastAsia="Times New Roman" w:hAnsi="Times New Roman" w:cs="Times New Roman"/>
                <w:color w:val="000000"/>
                <w:sz w:val="24"/>
                <w:szCs w:val="24"/>
              </w:rPr>
              <w:t>08</w:t>
            </w:r>
            <w:r w:rsidRPr="00DA4CB9">
              <w:rPr>
                <w:rFonts w:ascii="Times New Roman" w:eastAsia="Times New Roman" w:hAnsi="Times New Roman" w:cs="Times New Roman"/>
                <w:color w:val="000000"/>
                <w:sz w:val="24"/>
                <w:szCs w:val="24"/>
              </w:rPr>
              <w:t>.</w:t>
            </w:r>
            <w:r w:rsidR="0029091D">
              <w:rPr>
                <w:rFonts w:ascii="Times New Roman" w:eastAsia="Times New Roman" w:hAnsi="Times New Roman" w:cs="Times New Roman"/>
                <w:color w:val="000000"/>
                <w:sz w:val="24"/>
                <w:szCs w:val="24"/>
              </w:rPr>
              <w:t>04</w:t>
            </w:r>
            <w:r w:rsidRPr="00DA4CB9">
              <w:rPr>
                <w:rFonts w:ascii="Times New Roman" w:eastAsia="Times New Roman" w:hAnsi="Times New Roman" w:cs="Times New Roman"/>
                <w:color w:val="000000"/>
                <w:sz w:val="24"/>
                <w:szCs w:val="24"/>
              </w:rPr>
              <w:t xml:space="preserve"> </w:t>
            </w:r>
          </w:p>
        </w:tc>
      </w:tr>
    </w:tbl>
    <w:p w:rsidR="00DA4CB9" w:rsidRPr="00DA4CB9" w:rsidP="00DA4CB9" w14:paraId="4F4F8425" w14:textId="77777777">
      <w:pPr>
        <w:tabs>
          <w:tab w:val="right" w:pos="8370"/>
        </w:tabs>
        <w:spacing w:after="0" w:line="240" w:lineRule="auto"/>
        <w:ind w:left="360" w:right="576"/>
        <w:contextualSpacing/>
        <w:jc w:val="both"/>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ab/>
      </w:r>
    </w:p>
    <w:p w:rsidR="00DA4CB9" w:rsidRPr="00DA4CB9" w:rsidP="00DA4CB9" w14:paraId="388D62F2"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Overhead costs are 100% of salary and are the same as the wage listed above and the amounts are included in the total.  </w:t>
      </w:r>
    </w:p>
    <w:p w:rsidR="00DA4CB9" w:rsidRPr="00DA4CB9" w:rsidP="00DA4CB9" w14:paraId="2319C026" w14:textId="77777777">
      <w:pPr>
        <w:spacing w:after="0" w:line="240" w:lineRule="auto"/>
        <w:ind w:left="360" w:right="576"/>
        <w:contextualSpacing/>
        <w:rPr>
          <w:rFonts w:ascii="Times New Roman" w:eastAsia="Times New Roman" w:hAnsi="Times New Roman" w:cs="Times New Roman"/>
          <w:sz w:val="24"/>
          <w:szCs w:val="24"/>
        </w:rPr>
      </w:pPr>
    </w:p>
    <w:p w:rsidR="00DA4CB9" w:rsidRPr="00DA4CB9" w:rsidP="00DA4CB9" w14:paraId="2DED2A4D" w14:textId="77777777">
      <w:pPr>
        <w:spacing w:after="0" w:line="240" w:lineRule="auto"/>
        <w:ind w:left="360" w:right="576"/>
        <w:contextualSpacing/>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Printing and production costs approximates the cost of printing this information collection per year. (Processing/Analyzing Cost total</w:t>
      </w:r>
      <w:r w:rsidRPr="00DA4CB9">
        <w:rPr>
          <w:rFonts w:ascii="Times New Roman" w:eastAsia="Times New Roman" w:hAnsi="Times New Roman" w:cs="Times New Roman"/>
          <w:sz w:val="24"/>
          <w:szCs w:val="24"/>
        </w:rPr>
        <w:t xml:space="preserve"> divided by $90).</w:t>
      </w:r>
    </w:p>
    <w:p w:rsidR="00DA4CB9" w:rsidRPr="00DA4CB9" w:rsidP="00DA4CB9" w14:paraId="7E7CA429" w14:textId="77777777">
      <w:pPr>
        <w:spacing w:after="0" w:line="240" w:lineRule="auto"/>
        <w:ind w:right="576"/>
        <w:contextualSpacing/>
        <w:jc w:val="both"/>
        <w:rPr>
          <w:rFonts w:ascii="Times New Roman" w:eastAsia="Times New Roman" w:hAnsi="Times New Roman" w:cs="Times New Roman"/>
          <w:sz w:val="24"/>
          <w:szCs w:val="24"/>
        </w:rPr>
      </w:pPr>
    </w:p>
    <w:p w:rsidR="00DA4CB9" w:rsidRPr="00DA4CB9" w:rsidP="00DA4CB9" w14:paraId="0EB2B115" w14:textId="77777777">
      <w:pPr>
        <w:spacing w:after="0" w:line="240" w:lineRule="auto"/>
        <w:ind w:left="360"/>
        <w:rPr>
          <w:rFonts w:ascii="Times New Roman" w:eastAsia="Times New Roman" w:hAnsi="Times New Roman" w:cs="Times New Roman"/>
          <w:sz w:val="24"/>
          <w:szCs w:val="24"/>
        </w:rPr>
      </w:pPr>
      <w:bookmarkStart w:id="2" w:name="_Hlk29579534"/>
      <w:r w:rsidRPr="00DA4CB9">
        <w:rPr>
          <w:rFonts w:ascii="Times New Roman" w:eastAsia="Times New Roman" w:hAnsi="Times New Roman" w:cs="Times New Roman"/>
          <w:sz w:val="24"/>
          <w:szCs w:val="24"/>
        </w:rPr>
        <w:t>Note: The hourly wage information above is based on the hourly 2024 General Schedule (Base) Pay (</w:t>
      </w:r>
      <w:hyperlink r:id="rId5" w:history="1">
        <w:r w:rsidRPr="00DA4CB9">
          <w:rPr>
            <w:rFonts w:ascii="Times New Roman" w:eastAsia="Times New Roman" w:hAnsi="Times New Roman" w:cs="Times New Roman"/>
            <w:color w:val="0000FF"/>
            <w:sz w:val="24"/>
            <w:szCs w:val="24"/>
            <w:u w:val="single"/>
          </w:rPr>
          <w:t>Pay &amp; Leave : Salarie</w:t>
        </w:r>
        <w:r w:rsidRPr="00DA4CB9">
          <w:rPr>
            <w:rFonts w:ascii="Times New Roman" w:eastAsia="Times New Roman" w:hAnsi="Times New Roman" w:cs="Times New Roman"/>
            <w:color w:val="0000FF"/>
            <w:sz w:val="24"/>
            <w:szCs w:val="24"/>
            <w:u w:val="single"/>
          </w:rPr>
          <w:t>s &amp; Wages - OPM.gov</w:t>
        </w:r>
      </w:hyperlink>
      <w:r w:rsidRPr="00DA4CB9">
        <w:rPr>
          <w:rFonts w:ascii="Times New Roman" w:eastAsia="Times New Roman" w:hAnsi="Times New Roman" w:cs="Times New Roman"/>
          <w:sz w:val="24"/>
          <w:szCs w:val="24"/>
        </w:rPr>
        <w:t>). This rate does not include any locality adjustment as applicable.</w:t>
      </w:r>
    </w:p>
    <w:bookmarkEnd w:id="2"/>
    <w:p w:rsidR="00DA4CB9" w:rsidRPr="00DA4CB9" w:rsidP="00DA4CB9" w14:paraId="78403397" w14:textId="77777777">
      <w:pPr>
        <w:spacing w:after="0" w:line="240" w:lineRule="auto"/>
        <w:ind w:left="360"/>
        <w:rPr>
          <w:rFonts w:ascii="Times New Roman" w:eastAsia="Times New Roman" w:hAnsi="Times New Roman" w:cs="Times New Roman"/>
          <w:sz w:val="24"/>
          <w:szCs w:val="24"/>
        </w:rPr>
      </w:pPr>
    </w:p>
    <w:p w:rsidR="00DA4CB9" w:rsidRPr="00DA4CB9" w:rsidP="00DA4CB9" w14:paraId="52081433" w14:textId="77777777">
      <w:pPr>
        <w:spacing w:after="0" w:line="240" w:lineRule="auto"/>
        <w:ind w:left="360" w:right="684"/>
        <w:rPr>
          <w:rFonts w:ascii="Times New Roman" w:eastAsia="Times New Roman" w:hAnsi="Times New Roman" w:cs="Times New Roman"/>
          <w:sz w:val="24"/>
          <w:szCs w:val="24"/>
        </w:rPr>
      </w:pPr>
      <w:r w:rsidRPr="00DA4CB9">
        <w:rPr>
          <w:rFonts w:ascii="Times New Roman" w:eastAsia="Times New Roman" w:hAnsi="Times New Roman" w:cs="Times New Roman"/>
          <w:sz w:val="24"/>
          <w:szCs w:val="24"/>
        </w:rPr>
        <w:t xml:space="preserve">The processing time estimates above are based on the actual amount of time employees of each grade level spend to process to </w:t>
      </w:r>
      <w:r w:rsidRPr="00DA4CB9">
        <w:rPr>
          <w:rFonts w:ascii="Times New Roman" w:eastAsia="Times New Roman" w:hAnsi="Times New Roman" w:cs="Times New Roman"/>
          <w:sz w:val="24"/>
          <w:szCs w:val="24"/>
        </w:rPr>
        <w:t>completion a claim received on this form. The within-grade step (3) of each employee represents the average experience of employees within each grade.</w:t>
      </w:r>
    </w:p>
    <w:p w:rsidR="00486235" w:rsidRPr="00CB0492" w:rsidP="00486235" w14:paraId="00E8F084" w14:textId="77777777">
      <w:pPr>
        <w:spacing w:after="0" w:line="240" w:lineRule="auto"/>
        <w:rPr>
          <w:rFonts w:ascii="Times New Roman" w:hAnsi="Times New Roman" w:cs="Times New Roman"/>
          <w:sz w:val="24"/>
        </w:rPr>
      </w:pPr>
    </w:p>
    <w:p w:rsidR="00DA2B37" w:rsidRPr="00CB0492" w:rsidP="00DA4CB9" w14:paraId="035FA49D" w14:textId="07DD0EED">
      <w:pPr>
        <w:spacing w:after="120" w:line="240" w:lineRule="auto"/>
        <w:rPr>
          <w:rFonts w:ascii="Times New Roman" w:hAnsi="Times New Roman" w:cs="Times New Roman"/>
          <w:sz w:val="24"/>
          <w:u w:val="single"/>
        </w:rPr>
      </w:pPr>
      <w:r w:rsidRPr="00DA4CB9">
        <w:rPr>
          <w:rFonts w:ascii="Times New Roman" w:hAnsi="Times New Roman" w:cs="Times New Roman"/>
          <w:b/>
          <w:bCs/>
          <w:sz w:val="24"/>
        </w:rPr>
        <w:t>15</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Reasons for Change in Burden</w:t>
      </w:r>
    </w:p>
    <w:p w:rsidR="00DA2B37" w:rsidRPr="00CB0492" w:rsidP="00647F2D" w14:paraId="11503C89" w14:textId="77777777">
      <w:pPr>
        <w:spacing w:after="0" w:line="240" w:lineRule="auto"/>
        <w:rPr>
          <w:rFonts w:ascii="Times New Roman" w:hAnsi="Times New Roman" w:cs="Times New Roman"/>
          <w:sz w:val="24"/>
        </w:rPr>
      </w:pPr>
      <w:r w:rsidRPr="00647F2D">
        <w:rPr>
          <w:rFonts w:ascii="Times New Roman" w:hAnsi="Times New Roman" w:cs="Times New Roman"/>
          <w:sz w:val="24"/>
        </w:rPr>
        <w:t>There has been no change in burden since the last approval.</w:t>
      </w:r>
      <w:r w:rsidRPr="00CB0492">
        <w:rPr>
          <w:rFonts w:ascii="Times New Roman" w:hAnsi="Times New Roman" w:cs="Times New Roman"/>
          <w:sz w:val="24"/>
        </w:rPr>
        <w:t xml:space="preserve"> </w:t>
      </w:r>
    </w:p>
    <w:p w:rsidR="00DA2B37" w:rsidRPr="00CB0492" w:rsidP="00486235" w14:paraId="4F64A43C" w14:textId="77777777">
      <w:pPr>
        <w:spacing w:after="0" w:line="240" w:lineRule="auto"/>
        <w:rPr>
          <w:rFonts w:ascii="Times New Roman" w:hAnsi="Times New Roman" w:cs="Times New Roman"/>
          <w:sz w:val="24"/>
        </w:rPr>
      </w:pPr>
    </w:p>
    <w:p w:rsidR="00DA2B37" w:rsidRPr="00CB0492" w:rsidP="00DA4CB9" w14:paraId="62FD7680" w14:textId="519C3F3F">
      <w:pPr>
        <w:spacing w:after="120" w:line="240" w:lineRule="auto"/>
        <w:rPr>
          <w:rFonts w:ascii="Times New Roman" w:hAnsi="Times New Roman" w:cs="Times New Roman"/>
          <w:sz w:val="24"/>
        </w:rPr>
      </w:pPr>
      <w:r w:rsidRPr="00DA4CB9">
        <w:rPr>
          <w:rFonts w:ascii="Times New Roman" w:hAnsi="Times New Roman" w:cs="Times New Roman"/>
          <w:b/>
          <w:bCs/>
          <w:sz w:val="24"/>
        </w:rPr>
        <w:t>16</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Publication of Results</w:t>
      </w:r>
    </w:p>
    <w:p w:rsidR="00DA2B37" w:rsidRPr="00CB0492" w:rsidP="00486235" w14:paraId="1D5240A1" w14:textId="2A729E17">
      <w:pPr>
        <w:spacing w:after="0" w:line="240" w:lineRule="auto"/>
        <w:rPr>
          <w:rFonts w:ascii="Times New Roman" w:hAnsi="Times New Roman" w:cs="Times New Roman"/>
          <w:sz w:val="24"/>
        </w:rPr>
      </w:pPr>
      <w:r w:rsidRPr="00DA4CB9">
        <w:rPr>
          <w:rFonts w:ascii="Times New Roman" w:hAnsi="Times New Roman" w:cs="Times New Roman"/>
          <w:sz w:val="24"/>
        </w:rPr>
        <w:t>The results of this information collection will not be published.</w:t>
      </w:r>
      <w:r w:rsidRPr="00CB0492">
        <w:rPr>
          <w:rFonts w:ascii="Times New Roman" w:hAnsi="Times New Roman" w:cs="Times New Roman"/>
          <w:sz w:val="24"/>
        </w:rPr>
        <w:t xml:space="preserve"> </w:t>
      </w:r>
    </w:p>
    <w:p w:rsidR="005C3A95" w:rsidRPr="00CB0492" w:rsidP="00486235" w14:paraId="7786269E" w14:textId="77777777">
      <w:pPr>
        <w:spacing w:after="0" w:line="240" w:lineRule="auto"/>
        <w:rPr>
          <w:rFonts w:ascii="Times New Roman" w:hAnsi="Times New Roman" w:cs="Times New Roman"/>
          <w:sz w:val="24"/>
        </w:rPr>
      </w:pPr>
    </w:p>
    <w:p w:rsidR="005C3A95" w:rsidRPr="00CB0492" w:rsidP="00486235" w14:paraId="70847C33" w14:textId="6D557F13">
      <w:pPr>
        <w:spacing w:after="0" w:line="240" w:lineRule="auto"/>
        <w:rPr>
          <w:rFonts w:ascii="Times New Roman" w:hAnsi="Times New Roman" w:cs="Times New Roman"/>
          <w:sz w:val="24"/>
        </w:rPr>
      </w:pPr>
      <w:r w:rsidRPr="00DA4CB9">
        <w:rPr>
          <w:rFonts w:ascii="Times New Roman" w:hAnsi="Times New Roman" w:cs="Times New Roman"/>
          <w:b/>
          <w:bCs/>
          <w:sz w:val="24"/>
        </w:rPr>
        <w:t>17</w:t>
      </w:r>
      <w:r w:rsidRPr="00CB0492">
        <w:rPr>
          <w:rFonts w:ascii="Times New Roman" w:hAnsi="Times New Roman" w:cs="Times New Roman"/>
          <w:sz w:val="24"/>
        </w:rPr>
        <w:t xml:space="preserve">. </w:t>
      </w:r>
      <w:r w:rsidRPr="00CB0492" w:rsidR="00C62D17">
        <w:rPr>
          <w:rFonts w:ascii="Times New Roman" w:hAnsi="Times New Roman" w:cs="Times New Roman"/>
          <w:sz w:val="24"/>
        </w:rPr>
        <w:tab/>
      </w:r>
      <w:r w:rsidRPr="00DA4CB9" w:rsidR="00C62D17">
        <w:rPr>
          <w:rFonts w:ascii="Times New Roman" w:hAnsi="Times New Roman" w:cs="Times New Roman"/>
          <w:b/>
          <w:bCs/>
          <w:sz w:val="24"/>
          <w:u w:val="single"/>
        </w:rPr>
        <w:t>Non-Display of OMB Expiration Date</w:t>
      </w:r>
    </w:p>
    <w:p w:rsidR="00C62D17" w:rsidRPr="00CB0492" w:rsidP="00486235" w14:paraId="2111A279" w14:textId="7F50C011">
      <w:pPr>
        <w:spacing w:after="0" w:line="240" w:lineRule="auto"/>
        <w:rPr>
          <w:rFonts w:ascii="Times New Roman" w:hAnsi="Times New Roman" w:cs="Times New Roman"/>
          <w:sz w:val="24"/>
        </w:rPr>
      </w:pPr>
      <w:r w:rsidRPr="00647F2D">
        <w:rPr>
          <w:rFonts w:ascii="Times New Roman" w:hAnsi="Times New Roman" w:cs="Times New Roman"/>
          <w:sz w:val="24"/>
        </w:rPr>
        <w:t>We are not seeking approval to omit the display of the expiration date of the OMB approval on the collection instrument.</w:t>
      </w:r>
      <w:r w:rsidRPr="00CB0492">
        <w:rPr>
          <w:rFonts w:ascii="Times New Roman" w:hAnsi="Times New Roman" w:cs="Times New Roman"/>
          <w:sz w:val="24"/>
        </w:rPr>
        <w:t xml:space="preserve"> </w:t>
      </w:r>
    </w:p>
    <w:p w:rsidR="00C62D17" w:rsidRPr="00CB0492" w:rsidP="00486235" w14:paraId="3C92B966" w14:textId="77777777">
      <w:pPr>
        <w:spacing w:after="0" w:line="240" w:lineRule="auto"/>
        <w:rPr>
          <w:rFonts w:ascii="Times New Roman" w:hAnsi="Times New Roman" w:cs="Times New Roman"/>
          <w:sz w:val="24"/>
        </w:rPr>
      </w:pPr>
    </w:p>
    <w:p w:rsidR="00C62D17" w:rsidRPr="00CB0492" w:rsidP="00DA4CB9" w14:paraId="63DF55CB" w14:textId="0CB44804">
      <w:pPr>
        <w:spacing w:after="120" w:line="240" w:lineRule="auto"/>
        <w:rPr>
          <w:rFonts w:ascii="Times New Roman" w:hAnsi="Times New Roman" w:cs="Times New Roman"/>
          <w:sz w:val="24"/>
        </w:rPr>
      </w:pPr>
      <w:r w:rsidRPr="00DA4CB9">
        <w:rPr>
          <w:rFonts w:ascii="Times New Roman" w:hAnsi="Times New Roman" w:cs="Times New Roman"/>
          <w:b/>
          <w:bCs/>
          <w:sz w:val="24"/>
        </w:rPr>
        <w:t>18</w:t>
      </w:r>
      <w:r w:rsidRPr="00CB0492">
        <w:rPr>
          <w:rFonts w:ascii="Times New Roman" w:hAnsi="Times New Roman" w:cs="Times New Roman"/>
          <w:sz w:val="24"/>
        </w:rPr>
        <w:t xml:space="preserve">. </w:t>
      </w:r>
      <w:r w:rsidRPr="00CB0492">
        <w:rPr>
          <w:rFonts w:ascii="Times New Roman" w:hAnsi="Times New Roman" w:cs="Times New Roman"/>
          <w:sz w:val="24"/>
        </w:rPr>
        <w:tab/>
      </w:r>
      <w:r w:rsidRPr="00DA4CB9">
        <w:rPr>
          <w:rFonts w:ascii="Times New Roman" w:hAnsi="Times New Roman" w:cs="Times New Roman"/>
          <w:b/>
          <w:bCs/>
          <w:sz w:val="24"/>
          <w:u w:val="single"/>
        </w:rPr>
        <w:t>Exceptions to “Certification for Paperwork Reduction Submissions”</w:t>
      </w:r>
    </w:p>
    <w:p w:rsidR="00A50A0F" w:rsidRPr="00CB0492" w:rsidP="00B55E9F" w14:paraId="4F232EA1" w14:textId="57E54E06">
      <w:pPr>
        <w:spacing w:after="0" w:line="240" w:lineRule="auto"/>
        <w:rPr>
          <w:rFonts w:ascii="Times New Roman" w:hAnsi="Times New Roman" w:cs="Times New Roman"/>
          <w:i/>
          <w:sz w:val="24"/>
        </w:rPr>
      </w:pPr>
      <w:r w:rsidRPr="00647F2D">
        <w:rPr>
          <w:rFonts w:ascii="Times New Roman" w:hAnsi="Times New Roman" w:cs="Times New Roman"/>
          <w:sz w:val="24"/>
        </w:rPr>
        <w:t>We are not requesting an</w:t>
      </w:r>
      <w:r w:rsidRPr="00647F2D" w:rsidR="00420AE9">
        <w:rPr>
          <w:rFonts w:ascii="Times New Roman" w:hAnsi="Times New Roman" w:cs="Times New Roman"/>
          <w:sz w:val="24"/>
        </w:rPr>
        <w:t>y</w:t>
      </w:r>
      <w:r w:rsidRPr="00647F2D">
        <w:rPr>
          <w:rFonts w:ascii="Times New Roman" w:hAnsi="Times New Roman" w:cs="Times New Roman"/>
          <w:sz w:val="24"/>
        </w:rPr>
        <w:t xml:space="preserve"> exemption</w:t>
      </w:r>
      <w:r w:rsidRPr="00647F2D" w:rsidR="00420AE9">
        <w:rPr>
          <w:rFonts w:ascii="Times New Roman" w:hAnsi="Times New Roman" w:cs="Times New Roman"/>
          <w:sz w:val="24"/>
        </w:rPr>
        <w:t>s</w:t>
      </w:r>
      <w:r w:rsidRPr="00647F2D">
        <w:rPr>
          <w:rFonts w:ascii="Times New Roman" w:hAnsi="Times New Roman" w:cs="Times New Roman"/>
          <w:sz w:val="24"/>
        </w:rPr>
        <w:t xml:space="preserve"> to the provisions </w:t>
      </w:r>
      <w:r w:rsidRPr="00647F2D" w:rsidR="00420AE9">
        <w:rPr>
          <w:rFonts w:ascii="Times New Roman" w:hAnsi="Times New Roman" w:cs="Times New Roman"/>
          <w:sz w:val="24"/>
        </w:rPr>
        <w:t xml:space="preserve">stated in 5 CFR 1320.9. </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3510" w:rsidRPr="00893510" w:rsidP="00893510" w14:paraId="4829C994" w14:textId="77777777">
    <w:pPr>
      <w:spacing w:after="0" w:line="240" w:lineRule="auto"/>
      <w:jc w:val="center"/>
      <w:rPr>
        <w:rFonts w:ascii="Times New Roman" w:eastAsia="Times New Roman" w:hAnsi="Times New Roman" w:cs="Times New Roman"/>
        <w:sz w:val="24"/>
        <w:szCs w:val="24"/>
        <w:u w:val="single"/>
      </w:rPr>
    </w:pPr>
    <w:r w:rsidRPr="00893510">
      <w:rPr>
        <w:rFonts w:ascii="Times New Roman" w:eastAsia="Times New Roman" w:hAnsi="Times New Roman" w:cs="Times New Roman"/>
        <w:sz w:val="24"/>
        <w:szCs w:val="24"/>
        <w:u w:val="single"/>
      </w:rPr>
      <w:t xml:space="preserve">Supporting Statement - Part A </w:t>
    </w:r>
  </w:p>
  <w:p w:rsidR="00893510" w:rsidRPr="00893510" w:rsidP="00893510" w14:paraId="062704F7" w14:textId="77777777">
    <w:pPr>
      <w:tabs>
        <w:tab w:val="left" w:pos="480"/>
        <w:tab w:val="right" w:pos="8640"/>
      </w:tabs>
      <w:spacing w:after="0" w:line="240" w:lineRule="auto"/>
      <w:ind w:right="684"/>
      <w:jc w:val="center"/>
      <w:rPr>
        <w:rFonts w:ascii="Times New Roman" w:eastAsia="Times New Roman" w:hAnsi="Times New Roman" w:cs="Times New Roman"/>
        <w:sz w:val="24"/>
        <w:szCs w:val="24"/>
        <w:u w:val="single"/>
      </w:rPr>
    </w:pPr>
  </w:p>
  <w:p w:rsidR="00893510" w:rsidRPr="00893510" w:rsidP="00E67424" w14:paraId="21F6352D" w14:textId="0A343CE9">
    <w:pPr>
      <w:tabs>
        <w:tab w:val="left" w:pos="480"/>
        <w:tab w:val="right" w:pos="8640"/>
      </w:tabs>
      <w:spacing w:after="0" w:line="240" w:lineRule="auto"/>
      <w:ind w:right="684"/>
      <w:jc w:val="center"/>
      <w:rPr>
        <w:rFonts w:ascii="Times New Roman" w:eastAsia="Times New Roman" w:hAnsi="Times New Roman" w:cs="Times New Roman"/>
        <w:bCs/>
        <w:i/>
        <w:iCs/>
        <w:sz w:val="24"/>
        <w:szCs w:val="20"/>
      </w:rPr>
    </w:pPr>
    <w:r>
      <w:rPr>
        <w:rFonts w:ascii="Times New Roman" w:eastAsia="Times New Roman" w:hAnsi="Times New Roman" w:cs="Times New Roman"/>
        <w:bCs/>
        <w:i/>
        <w:iCs/>
        <w:sz w:val="24"/>
        <w:szCs w:val="20"/>
      </w:rPr>
      <w:tab/>
    </w:r>
    <w:r w:rsidR="00265F61">
      <w:rPr>
        <w:rFonts w:ascii="Times New Roman" w:eastAsia="Times New Roman" w:hAnsi="Times New Roman" w:cs="Times New Roman"/>
        <w:bCs/>
        <w:i/>
        <w:iCs/>
        <w:sz w:val="24"/>
        <w:szCs w:val="20"/>
      </w:rPr>
      <w:t>Student Beneficiary Report – REPS (Restored Entitlement Program for Survivors)</w:t>
    </w:r>
  </w:p>
  <w:p w:rsidR="00893510" w:rsidRPr="00893510" w:rsidP="00E67424" w14:paraId="786B3EC0" w14:textId="019C055B">
    <w:pPr>
      <w:spacing w:after="0" w:line="240" w:lineRule="auto"/>
      <w:ind w:left="2880" w:firstLine="720"/>
      <w:rPr>
        <w:rFonts w:ascii="Times New Roman" w:eastAsia="Times New Roman" w:hAnsi="Times New Roman" w:cs="Times New Roman"/>
        <w:sz w:val="24"/>
        <w:szCs w:val="24"/>
      </w:rPr>
    </w:pPr>
    <w:r w:rsidRPr="00893510">
      <w:rPr>
        <w:rFonts w:ascii="Times New Roman" w:eastAsia="Times New Roman" w:hAnsi="Times New Roman" w:cs="Times New Roman"/>
        <w:sz w:val="24"/>
        <w:szCs w:val="24"/>
      </w:rPr>
      <w:t>Control #2900-</w:t>
    </w:r>
    <w:r w:rsidR="00265F61">
      <w:rPr>
        <w:rFonts w:ascii="Times New Roman" w:eastAsia="Times New Roman" w:hAnsi="Times New Roman" w:cs="Times New Roman"/>
        <w:sz w:val="24"/>
        <w:szCs w:val="24"/>
      </w:rPr>
      <w:t>0399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232075">
    <w:abstractNumId w:val="15"/>
  </w:num>
  <w:num w:numId="2" w16cid:durableId="1482695173">
    <w:abstractNumId w:val="0"/>
  </w:num>
  <w:num w:numId="3" w16cid:durableId="316612182">
    <w:abstractNumId w:val="11"/>
  </w:num>
  <w:num w:numId="4" w16cid:durableId="1955089295">
    <w:abstractNumId w:val="10"/>
  </w:num>
  <w:num w:numId="5" w16cid:durableId="872226322">
    <w:abstractNumId w:val="19"/>
  </w:num>
  <w:num w:numId="6" w16cid:durableId="566115916">
    <w:abstractNumId w:val="1"/>
  </w:num>
  <w:num w:numId="7" w16cid:durableId="478309871">
    <w:abstractNumId w:val="20"/>
  </w:num>
  <w:num w:numId="8" w16cid:durableId="2105303523">
    <w:abstractNumId w:val="17"/>
  </w:num>
  <w:num w:numId="9" w16cid:durableId="1635792953">
    <w:abstractNumId w:val="21"/>
  </w:num>
  <w:num w:numId="10" w16cid:durableId="373308623">
    <w:abstractNumId w:val="3"/>
  </w:num>
  <w:num w:numId="11" w16cid:durableId="21369453">
    <w:abstractNumId w:val="16"/>
  </w:num>
  <w:num w:numId="12" w16cid:durableId="1498229727">
    <w:abstractNumId w:val="18"/>
  </w:num>
  <w:num w:numId="13" w16cid:durableId="665396776">
    <w:abstractNumId w:val="23"/>
  </w:num>
  <w:num w:numId="14" w16cid:durableId="932128350">
    <w:abstractNumId w:val="24"/>
  </w:num>
  <w:num w:numId="15" w16cid:durableId="131096987">
    <w:abstractNumId w:val="9"/>
  </w:num>
  <w:num w:numId="16" w16cid:durableId="1791894794">
    <w:abstractNumId w:val="8"/>
  </w:num>
  <w:num w:numId="17" w16cid:durableId="204560230">
    <w:abstractNumId w:val="12"/>
  </w:num>
  <w:num w:numId="18" w16cid:durableId="2037191835">
    <w:abstractNumId w:val="7"/>
  </w:num>
  <w:num w:numId="19" w16cid:durableId="700475658">
    <w:abstractNumId w:val="6"/>
  </w:num>
  <w:num w:numId="20" w16cid:durableId="805969465">
    <w:abstractNumId w:val="5"/>
  </w:num>
  <w:num w:numId="21" w16cid:durableId="472255321">
    <w:abstractNumId w:val="13"/>
  </w:num>
  <w:num w:numId="22" w16cid:durableId="1141387440">
    <w:abstractNumId w:val="2"/>
  </w:num>
  <w:num w:numId="23" w16cid:durableId="817233956">
    <w:abstractNumId w:val="4"/>
  </w:num>
  <w:num w:numId="24" w16cid:durableId="639655722">
    <w:abstractNumId w:val="22"/>
  </w:num>
  <w:num w:numId="25" w16cid:durableId="1656563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B0E70"/>
    <w:rsid w:val="00100FB9"/>
    <w:rsid w:val="0010116A"/>
    <w:rsid w:val="00105F45"/>
    <w:rsid w:val="00127B46"/>
    <w:rsid w:val="00143D60"/>
    <w:rsid w:val="0019309D"/>
    <w:rsid w:val="001F526C"/>
    <w:rsid w:val="00200261"/>
    <w:rsid w:val="00203BC2"/>
    <w:rsid w:val="00204B8B"/>
    <w:rsid w:val="00211832"/>
    <w:rsid w:val="00222D1B"/>
    <w:rsid w:val="00235D71"/>
    <w:rsid w:val="0024335E"/>
    <w:rsid w:val="00254DCF"/>
    <w:rsid w:val="002567F9"/>
    <w:rsid w:val="00265F61"/>
    <w:rsid w:val="0027743E"/>
    <w:rsid w:val="0029091D"/>
    <w:rsid w:val="00294E92"/>
    <w:rsid w:val="002D7713"/>
    <w:rsid w:val="003132E7"/>
    <w:rsid w:val="00331D7E"/>
    <w:rsid w:val="00334DC2"/>
    <w:rsid w:val="00337EF1"/>
    <w:rsid w:val="00340D9B"/>
    <w:rsid w:val="00363720"/>
    <w:rsid w:val="00394A8A"/>
    <w:rsid w:val="003A124D"/>
    <w:rsid w:val="003C0540"/>
    <w:rsid w:val="003D557E"/>
    <w:rsid w:val="00407286"/>
    <w:rsid w:val="00420AE9"/>
    <w:rsid w:val="00480AFF"/>
    <w:rsid w:val="00486235"/>
    <w:rsid w:val="00490797"/>
    <w:rsid w:val="004B0D88"/>
    <w:rsid w:val="004C0307"/>
    <w:rsid w:val="004C74D6"/>
    <w:rsid w:val="004F4F5D"/>
    <w:rsid w:val="00502FF3"/>
    <w:rsid w:val="00510F0C"/>
    <w:rsid w:val="00520B36"/>
    <w:rsid w:val="00571698"/>
    <w:rsid w:val="00573D14"/>
    <w:rsid w:val="00576EDB"/>
    <w:rsid w:val="00594B6B"/>
    <w:rsid w:val="00596BBA"/>
    <w:rsid w:val="005C3A95"/>
    <w:rsid w:val="005C7428"/>
    <w:rsid w:val="005D5C81"/>
    <w:rsid w:val="005F711F"/>
    <w:rsid w:val="00607E01"/>
    <w:rsid w:val="0062593C"/>
    <w:rsid w:val="00642741"/>
    <w:rsid w:val="00647F2D"/>
    <w:rsid w:val="0065530D"/>
    <w:rsid w:val="006A13FA"/>
    <w:rsid w:val="006E563D"/>
    <w:rsid w:val="006F2DF8"/>
    <w:rsid w:val="00722FDB"/>
    <w:rsid w:val="0077261C"/>
    <w:rsid w:val="00776A01"/>
    <w:rsid w:val="007C5E17"/>
    <w:rsid w:val="00822865"/>
    <w:rsid w:val="00825148"/>
    <w:rsid w:val="0085688C"/>
    <w:rsid w:val="008635C4"/>
    <w:rsid w:val="00893510"/>
    <w:rsid w:val="008A06EF"/>
    <w:rsid w:val="008D1294"/>
    <w:rsid w:val="008E3029"/>
    <w:rsid w:val="00962D98"/>
    <w:rsid w:val="0098628F"/>
    <w:rsid w:val="00994F2B"/>
    <w:rsid w:val="00996894"/>
    <w:rsid w:val="009A197A"/>
    <w:rsid w:val="009A6246"/>
    <w:rsid w:val="009F1792"/>
    <w:rsid w:val="009F2544"/>
    <w:rsid w:val="009F415D"/>
    <w:rsid w:val="00A50A0F"/>
    <w:rsid w:val="00A67A63"/>
    <w:rsid w:val="00A76F7E"/>
    <w:rsid w:val="00A77157"/>
    <w:rsid w:val="00B50D8F"/>
    <w:rsid w:val="00B52F4E"/>
    <w:rsid w:val="00B55E9F"/>
    <w:rsid w:val="00B71A11"/>
    <w:rsid w:val="00B933B0"/>
    <w:rsid w:val="00BC7E62"/>
    <w:rsid w:val="00BD7755"/>
    <w:rsid w:val="00BE535D"/>
    <w:rsid w:val="00C33684"/>
    <w:rsid w:val="00C62D17"/>
    <w:rsid w:val="00C808F4"/>
    <w:rsid w:val="00CA15B1"/>
    <w:rsid w:val="00CB0492"/>
    <w:rsid w:val="00CC24D5"/>
    <w:rsid w:val="00CC2835"/>
    <w:rsid w:val="00CD0D41"/>
    <w:rsid w:val="00D21AA6"/>
    <w:rsid w:val="00D462F7"/>
    <w:rsid w:val="00D734A2"/>
    <w:rsid w:val="00DA2B37"/>
    <w:rsid w:val="00DA4CB9"/>
    <w:rsid w:val="00DD02DF"/>
    <w:rsid w:val="00E2489B"/>
    <w:rsid w:val="00E5409A"/>
    <w:rsid w:val="00E65D41"/>
    <w:rsid w:val="00E67424"/>
    <w:rsid w:val="00E74D91"/>
    <w:rsid w:val="00E95FFB"/>
    <w:rsid w:val="00EA6C04"/>
    <w:rsid w:val="00F25499"/>
    <w:rsid w:val="00F65388"/>
    <w:rsid w:val="00F66D66"/>
    <w:rsid w:val="00F86C35"/>
    <w:rsid w:val="00F92DBE"/>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3231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chline">
    <w:name w:val="catchline"/>
    <w:basedOn w:val="Normal"/>
    <w:rsid w:val="00DA4CB9"/>
    <w:pPr>
      <w:spacing w:before="100" w:beforeAutospacing="1" w:after="100" w:afterAutospacing="1" w:line="240" w:lineRule="auto"/>
    </w:pPr>
    <w:rPr>
      <w:rFonts w:ascii="Arial Unicode MS" w:eastAsia="Arial Unicode MS" w:hAnsi="Arial Unicode MS" w:cs="Arial Unicode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Allmond, Yvette M., VBAVACO</cp:lastModifiedBy>
  <cp:revision>2</cp:revision>
  <cp:lastPrinted>2016-09-20T19:55:00Z</cp:lastPrinted>
  <dcterms:created xsi:type="dcterms:W3CDTF">2024-07-17T12:51:00Z</dcterms:created>
  <dcterms:modified xsi:type="dcterms:W3CDTF">2024-07-17T12:51:00Z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ed2e68107abd8da0e71827caa05381a5af2cf02c06428af46d1af52d69b9b9ce</vt:lpwstr>
  </property>
</Properties>
</file>