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7623C" w:rsidRPr="00A2402C" w:rsidP="00A2402C" w14:paraId="16CE4B7B" w14:textId="036615F7">
      <w:pPr>
        <w:jc w:val="center"/>
        <w:rPr>
          <w:b/>
          <w:bCs/>
        </w:rPr>
      </w:pPr>
      <w:r w:rsidRPr="00A2402C">
        <w:rPr>
          <w:b/>
          <w:bCs/>
        </w:rPr>
        <w:t>Justification of Non-</w:t>
      </w:r>
      <w:r w:rsidR="00E96222">
        <w:rPr>
          <w:b/>
          <w:bCs/>
        </w:rPr>
        <w:t>Substantive</w:t>
      </w:r>
      <w:r w:rsidRPr="00A2402C">
        <w:rPr>
          <w:b/>
          <w:bCs/>
        </w:rPr>
        <w:t xml:space="preserve"> Change</w:t>
      </w:r>
    </w:p>
    <w:p w:rsidR="00AF34C9" w:rsidP="00626002" w14:paraId="2107D98E" w14:textId="7E6552BC">
      <w:pPr>
        <w:jc w:val="center"/>
        <w:rPr>
          <w:b/>
          <w:bCs/>
        </w:rPr>
      </w:pPr>
      <w:r w:rsidRPr="00AF34C9">
        <w:rPr>
          <w:b/>
          <w:bCs/>
        </w:rPr>
        <w:t xml:space="preserve">Collection of Information for Planning and Executing National and Regional Veterans Day Observances </w:t>
      </w:r>
    </w:p>
    <w:p w:rsidR="00626002" w:rsidP="00626002" w14:paraId="1E9CADE6" w14:textId="271E1869">
      <w:pPr>
        <w:jc w:val="center"/>
        <w:rPr>
          <w:b/>
        </w:rPr>
      </w:pPr>
      <w:r w:rsidRPr="00AF34C9">
        <w:rPr>
          <w:b/>
          <w:bCs/>
        </w:rPr>
        <w:t>OMB 2900- 0921</w:t>
      </w:r>
    </w:p>
    <w:p w:rsidR="00A2402C" w14:paraId="105DF995" w14:textId="0842D755"/>
    <w:p w:rsidR="00913128" w:rsidP="00913128" w14:paraId="7C96735B" w14:textId="54310CDD">
      <w:pPr>
        <w:rPr>
          <w:szCs w:val="24"/>
        </w:rPr>
      </w:pPr>
      <w:r w:rsidRPr="008B2653">
        <w:rPr>
          <w:szCs w:val="24"/>
        </w:rPr>
        <w:t>To</w:t>
      </w:r>
      <w:r w:rsidRPr="008B2653" w:rsidR="008B2653">
        <w:rPr>
          <w:szCs w:val="24"/>
        </w:rPr>
        <w:t xml:space="preserve"> insure proper and widespread observance of </w:t>
      </w:r>
      <w:r>
        <w:rPr>
          <w:szCs w:val="24"/>
        </w:rPr>
        <w:t>Veterans Day, the Veterans Day National Committee (VDNC) was established by Presidential Proclamation in 1954.</w:t>
      </w:r>
      <w:r w:rsidRPr="008B2653" w:rsidR="008B2653">
        <w:rPr>
          <w:szCs w:val="24"/>
        </w:rPr>
        <w:t xml:space="preserve"> </w:t>
      </w:r>
      <w:r>
        <w:rPr>
          <w:szCs w:val="24"/>
        </w:rPr>
        <w:t xml:space="preserve">This committee </w:t>
      </w:r>
      <w:r w:rsidRPr="008B2653">
        <w:rPr>
          <w:szCs w:val="24"/>
        </w:rPr>
        <w:t>coordinate</w:t>
      </w:r>
      <w:r>
        <w:rPr>
          <w:szCs w:val="24"/>
        </w:rPr>
        <w:t xml:space="preserve">s </w:t>
      </w:r>
      <w:r w:rsidR="007914C8">
        <w:rPr>
          <w:szCs w:val="24"/>
        </w:rPr>
        <w:t xml:space="preserve">the </w:t>
      </w:r>
      <w:r>
        <w:rPr>
          <w:szCs w:val="24"/>
        </w:rPr>
        <w:t xml:space="preserve">planning and execution of the </w:t>
      </w:r>
      <w:r w:rsidRPr="008B2653">
        <w:rPr>
          <w:szCs w:val="24"/>
        </w:rPr>
        <w:t xml:space="preserve">national </w:t>
      </w:r>
      <w:r>
        <w:rPr>
          <w:szCs w:val="24"/>
        </w:rPr>
        <w:t xml:space="preserve">Veterans Day Observance </w:t>
      </w:r>
      <w:r w:rsidR="007914C8">
        <w:rPr>
          <w:szCs w:val="24"/>
        </w:rPr>
        <w:t>and</w:t>
      </w:r>
      <w:r>
        <w:rPr>
          <w:szCs w:val="24"/>
        </w:rPr>
        <w:t xml:space="preserve"> supports </w:t>
      </w:r>
      <w:r w:rsidR="007E3563">
        <w:rPr>
          <w:szCs w:val="24"/>
        </w:rPr>
        <w:t>Department of Veterans Affairs (VA)</w:t>
      </w:r>
      <w:r>
        <w:rPr>
          <w:szCs w:val="24"/>
        </w:rPr>
        <w:t xml:space="preserve">-approved regional Veterans Day events. </w:t>
      </w:r>
      <w:r w:rsidR="004C5870">
        <w:rPr>
          <w:szCs w:val="24"/>
        </w:rPr>
        <w:t xml:space="preserve">VA’s National Veterans Outreach Office assists the VDNC through the collection of membership </w:t>
      </w:r>
      <w:r w:rsidR="007E3563">
        <w:rPr>
          <w:szCs w:val="24"/>
        </w:rPr>
        <w:t>applications from</w:t>
      </w:r>
      <w:r>
        <w:rPr>
          <w:szCs w:val="24"/>
        </w:rPr>
        <w:t xml:space="preserve"> Veteran-serving</w:t>
      </w:r>
      <w:r w:rsidR="007E3563">
        <w:rPr>
          <w:szCs w:val="24"/>
        </w:rPr>
        <w:t xml:space="preserve"> organizations </w:t>
      </w:r>
      <w:r>
        <w:rPr>
          <w:szCs w:val="24"/>
        </w:rPr>
        <w:t xml:space="preserve">seeking </w:t>
      </w:r>
      <w:r w:rsidR="007E321A">
        <w:rPr>
          <w:szCs w:val="24"/>
        </w:rPr>
        <w:t xml:space="preserve">to join the </w:t>
      </w:r>
      <w:r>
        <w:rPr>
          <w:szCs w:val="24"/>
        </w:rPr>
        <w:t>VDNC. While are no legal requirements for this collection, VA must gather</w:t>
      </w:r>
      <w:r w:rsidR="007E321A">
        <w:rPr>
          <w:szCs w:val="24"/>
        </w:rPr>
        <w:t xml:space="preserve"> sufficient</w:t>
      </w:r>
      <w:r>
        <w:rPr>
          <w:szCs w:val="24"/>
        </w:rPr>
        <w:t xml:space="preserve"> information to evaluate </w:t>
      </w:r>
      <w:r w:rsidR="007E321A">
        <w:rPr>
          <w:szCs w:val="24"/>
        </w:rPr>
        <w:t xml:space="preserve">these </w:t>
      </w:r>
      <w:r>
        <w:rPr>
          <w:szCs w:val="24"/>
        </w:rPr>
        <w:t xml:space="preserve">organizations for potential membership on the </w:t>
      </w:r>
      <w:r w:rsidR="007E321A">
        <w:rPr>
          <w:szCs w:val="24"/>
        </w:rPr>
        <w:t>committee</w:t>
      </w:r>
      <w:r>
        <w:rPr>
          <w:szCs w:val="24"/>
        </w:rPr>
        <w:t>.</w:t>
      </w:r>
      <w:r w:rsidR="004C5870">
        <w:rPr>
          <w:szCs w:val="24"/>
        </w:rPr>
        <w:t xml:space="preserve"> </w:t>
      </w:r>
      <w:r w:rsidR="004C5870">
        <w:t xml:space="preserve">VA Form 0918e (OMB Control Number 2900-0921) is the </w:t>
      </w:r>
      <w:r w:rsidR="00D7623C">
        <w:t xml:space="preserve">collection instrument </w:t>
      </w:r>
      <w:r w:rsidR="004C5870">
        <w:t>for this purpose.</w:t>
      </w:r>
    </w:p>
    <w:p w:rsidR="00B37AE5" w:rsidP="00D87127" w14:paraId="7A44ADED" w14:textId="77777777"/>
    <w:p w:rsidR="00D87127" w:rsidP="00D87127" w14:paraId="31F4C4D0" w14:textId="1C1918BA">
      <w:r>
        <w:t xml:space="preserve">The Department of </w:t>
      </w:r>
      <w:r w:rsidR="00AF34C9">
        <w:t>Veterans Affairs</w:t>
      </w:r>
      <w:r w:rsidR="0056351E">
        <w:t xml:space="preserve"> (VA)</w:t>
      </w:r>
      <w:r>
        <w:t xml:space="preserve"> is submitting a request for non-material change to</w:t>
      </w:r>
      <w:r w:rsidR="00AF34C9">
        <w:t xml:space="preserve"> VA </w:t>
      </w:r>
      <w:r w:rsidR="00E736F6">
        <w:t>Form</w:t>
      </w:r>
      <w:r w:rsidR="00AF34C9">
        <w:t xml:space="preserve"> 0918e</w:t>
      </w:r>
      <w:r w:rsidR="00A17FC6">
        <w:t xml:space="preserve"> (OMB Control Number 2900-0921)</w:t>
      </w:r>
      <w:r w:rsidR="0094030D">
        <w:t xml:space="preserve">. Specifically, </w:t>
      </w:r>
      <w:r w:rsidR="00A17FC6">
        <w:t>VA requests to remove the word “Associate” from the application.</w:t>
      </w:r>
      <w:r w:rsidR="00E736F6">
        <w:t xml:space="preserve"> </w:t>
      </w:r>
      <w:r w:rsidR="001F0398">
        <w:t>This change will allow the VDNC to consider applicants for other</w:t>
      </w:r>
      <w:r w:rsidR="00BF00B4">
        <w:t xml:space="preserve"> categories of</w:t>
      </w:r>
      <w:r w:rsidR="001F0398">
        <w:t xml:space="preserve"> membership</w:t>
      </w:r>
      <w:r w:rsidR="00BF00B4">
        <w:t xml:space="preserve">. </w:t>
      </w:r>
      <w:r>
        <w:t xml:space="preserve">This does not constitute a new collection of information </w:t>
      </w:r>
      <w:r w:rsidR="00B10799">
        <w:t xml:space="preserve">as there is no material change in the data requested from the public. </w:t>
      </w:r>
    </w:p>
    <w:p w:rsidR="00267C1A" w:rsidP="00D87127" w14:paraId="3CDBE9FD" w14:textId="77777777"/>
    <w:p w:rsidR="001D43E3" w:rsidP="00D87127" w14:paraId="7E60F726" w14:textId="2BF39495">
      <w:pPr>
        <w:rPr>
          <w:szCs w:val="20"/>
        </w:rPr>
      </w:pPr>
      <w:r w:rsidRPr="008B3920">
        <w:rPr>
          <w:szCs w:val="20"/>
        </w:rPr>
        <w:t>Th</w:t>
      </w:r>
      <w:r>
        <w:rPr>
          <w:szCs w:val="20"/>
        </w:rPr>
        <w:t>e collection does not constitute a reporting burden, as there are no documentation or record-keeping requirement from the public. We anticipate no change in the total number of responses</w:t>
      </w:r>
      <w:r w:rsidR="00267C1A">
        <w:rPr>
          <w:szCs w:val="20"/>
        </w:rPr>
        <w:t xml:space="preserve"> (1</w:t>
      </w:r>
      <w:r w:rsidR="00A17FC6">
        <w:rPr>
          <w:szCs w:val="20"/>
        </w:rPr>
        <w:t>0</w:t>
      </w:r>
      <w:r w:rsidR="00267C1A">
        <w:rPr>
          <w:szCs w:val="20"/>
        </w:rPr>
        <w:t>)</w:t>
      </w:r>
      <w:r>
        <w:rPr>
          <w:szCs w:val="20"/>
        </w:rPr>
        <w:t xml:space="preserve">, </w:t>
      </w:r>
      <w:r w:rsidR="00A17FC6">
        <w:rPr>
          <w:szCs w:val="20"/>
        </w:rPr>
        <w:t xml:space="preserve">annual </w:t>
      </w:r>
      <w:r w:rsidR="00267C1A">
        <w:rPr>
          <w:szCs w:val="20"/>
        </w:rPr>
        <w:t>public burden hours (</w:t>
      </w:r>
      <w:r w:rsidR="00A17FC6">
        <w:rPr>
          <w:szCs w:val="20"/>
        </w:rPr>
        <w:t>3</w:t>
      </w:r>
      <w:r w:rsidR="00267C1A">
        <w:rPr>
          <w:szCs w:val="20"/>
        </w:rPr>
        <w:t>) or total cost to all respondents ($</w:t>
      </w:r>
      <w:r w:rsidR="00A17FC6">
        <w:rPr>
          <w:szCs w:val="20"/>
        </w:rPr>
        <w:t>110</w:t>
      </w:r>
      <w:r w:rsidR="00267C1A">
        <w:rPr>
          <w:szCs w:val="20"/>
        </w:rPr>
        <w:t>).</w:t>
      </w:r>
    </w:p>
    <w:p w:rsidR="00267C1A" w:rsidP="00267C1A" w14:paraId="6A4A29F6" w14:textId="77777777">
      <w:pPr>
        <w:tabs>
          <w:tab w:val="left" w:pos="547"/>
          <w:tab w:val="left" w:pos="1080"/>
          <w:tab w:val="left" w:pos="1627"/>
          <w:tab w:val="left" w:pos="2160"/>
          <w:tab w:val="left" w:pos="2880"/>
        </w:tabs>
        <w:rPr>
          <w:b/>
          <w:szCs w:val="24"/>
        </w:rPr>
      </w:pPr>
    </w:p>
    <w:p w:rsidR="00267C1A" w:rsidRPr="00267C1A" w:rsidP="00267C1A" w14:paraId="2630D01A" w14:textId="3AA73C2E">
      <w:pPr>
        <w:tabs>
          <w:tab w:val="left" w:pos="547"/>
          <w:tab w:val="left" w:pos="1080"/>
          <w:tab w:val="left" w:pos="1627"/>
          <w:tab w:val="left" w:pos="2160"/>
          <w:tab w:val="left" w:pos="2880"/>
        </w:tabs>
        <w:rPr>
          <w:b/>
          <w:szCs w:val="24"/>
        </w:rPr>
      </w:pPr>
      <w:r w:rsidRPr="00267C1A">
        <w:rPr>
          <w:b/>
          <w:szCs w:val="24"/>
        </w:rPr>
        <w:t>Estimate of the hour burden</w:t>
      </w:r>
      <w:r>
        <w:rPr>
          <w:b/>
          <w:szCs w:val="24"/>
        </w:rPr>
        <w:t xml:space="preserve"> and cost</w:t>
      </w:r>
      <w:r w:rsidRPr="00267C1A">
        <w:rPr>
          <w:b/>
          <w:szCs w:val="24"/>
        </w:rPr>
        <w:t xml:space="preserve"> of the collection of information:</w:t>
      </w:r>
    </w:p>
    <w:p w:rsidR="00267C1A" w:rsidP="00267C1A" w14:paraId="39AC40AD" w14:textId="77777777">
      <w:pPr>
        <w:tabs>
          <w:tab w:val="left" w:pos="547"/>
          <w:tab w:val="left" w:pos="1080"/>
          <w:tab w:val="left" w:pos="1627"/>
          <w:tab w:val="left" w:pos="2160"/>
          <w:tab w:val="left" w:pos="2880"/>
        </w:tabs>
        <w:rPr>
          <w:b/>
          <w:szCs w:val="24"/>
        </w:rPr>
      </w:pPr>
    </w:p>
    <w:p w:rsidR="00267C1A" w:rsidRPr="00B756DF" w:rsidP="00267C1A" w14:paraId="2039EE6A" w14:textId="77777777">
      <w:pPr>
        <w:tabs>
          <w:tab w:val="left" w:pos="547"/>
          <w:tab w:val="left" w:pos="1080"/>
          <w:tab w:val="left" w:pos="1627"/>
          <w:tab w:val="left" w:pos="2160"/>
          <w:tab w:val="left" w:pos="2880"/>
        </w:tabs>
        <w:rPr>
          <w:bCs/>
          <w:szCs w:val="24"/>
        </w:rPr>
      </w:pPr>
      <w:r>
        <w:rPr>
          <w:b/>
          <w:szCs w:val="24"/>
        </w:rPr>
        <w:t xml:space="preserve">Assumptions:  </w:t>
      </w:r>
      <w:r>
        <w:rPr>
          <w:bCs/>
          <w:szCs w:val="24"/>
        </w:rPr>
        <w:t xml:space="preserve">Employees responsible for completing the form will earn the average hourly U.S. wage as determined by the U.S. Department of Labor - </w:t>
      </w:r>
      <w:hyperlink r:id="rId5" w:history="1">
        <w:r w:rsidRPr="008B076C">
          <w:rPr>
            <w:rStyle w:val="Hyperlink"/>
            <w:bCs/>
            <w:szCs w:val="24"/>
          </w:rPr>
          <w:t>$33.03/hour</w:t>
        </w:r>
      </w:hyperlink>
    </w:p>
    <w:p w:rsidR="00267C1A" w:rsidP="00D87127" w14:paraId="324FA18B" w14:textId="77777777">
      <w:pPr>
        <w:rPr>
          <w:szCs w:val="20"/>
        </w:rPr>
      </w:pPr>
    </w:p>
    <w:p w:rsidR="00396FF9" w:rsidP="00D87127" w14:paraId="0CC5F78C" w14:textId="77777777">
      <w:pPr>
        <w:rPr>
          <w:szCs w:val="20"/>
        </w:rPr>
      </w:pPr>
    </w:p>
    <w:p w:rsidR="00396FF9" w:rsidP="00D87127" w14:paraId="6DE57A8F" w14:textId="77777777">
      <w:pPr>
        <w:rPr>
          <w:szCs w:val="20"/>
        </w:rPr>
      </w:pPr>
    </w:p>
    <w:tbl>
      <w:tblPr>
        <w:tblStyle w:val="TableGrid"/>
        <w:tblpPr w:leftFromText="180" w:rightFromText="180" w:vertAnchor="text" w:horzAnchor="margin" w:tblpXSpec="center" w:tblpY="149"/>
        <w:tblW w:w="8905" w:type="dxa"/>
        <w:tblLook w:val="04A0"/>
      </w:tblPr>
      <w:tblGrid>
        <w:gridCol w:w="1526"/>
        <w:gridCol w:w="1523"/>
        <w:gridCol w:w="1376"/>
        <w:gridCol w:w="1416"/>
        <w:gridCol w:w="1714"/>
        <w:gridCol w:w="1350"/>
      </w:tblGrid>
      <w:tr w14:paraId="69C5FB80" w14:textId="77777777" w:rsidTr="0008441B">
        <w:tblPrEx>
          <w:tblW w:w="8905" w:type="dxa"/>
          <w:tblLook w:val="04A0"/>
        </w:tblPrEx>
        <w:tc>
          <w:tcPr>
            <w:tcW w:w="1526" w:type="dxa"/>
          </w:tcPr>
          <w:p w:rsidR="00267C1A" w:rsidRPr="00D16040" w:rsidP="0008441B" w14:paraId="11343AF0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b/>
                <w:sz w:val="24"/>
                <w:szCs w:val="24"/>
              </w:rPr>
            </w:pPr>
            <w:r w:rsidRPr="00D16040">
              <w:rPr>
                <w:b/>
                <w:sz w:val="24"/>
                <w:szCs w:val="24"/>
              </w:rPr>
              <w:t>Collection</w:t>
            </w:r>
          </w:p>
        </w:tc>
        <w:tc>
          <w:tcPr>
            <w:tcW w:w="1523" w:type="dxa"/>
          </w:tcPr>
          <w:p w:rsidR="00267C1A" w:rsidRPr="00D16040" w:rsidP="0008441B" w14:paraId="1BC5D099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b/>
                <w:sz w:val="24"/>
                <w:szCs w:val="24"/>
              </w:rPr>
            </w:pPr>
            <w:r w:rsidRPr="00D16040">
              <w:rPr>
                <w:b/>
                <w:sz w:val="24"/>
                <w:szCs w:val="24"/>
              </w:rPr>
              <w:t>Number of Respondents</w:t>
            </w:r>
          </w:p>
        </w:tc>
        <w:tc>
          <w:tcPr>
            <w:tcW w:w="1376" w:type="dxa"/>
          </w:tcPr>
          <w:p w:rsidR="00267C1A" w:rsidRPr="00D16040" w:rsidP="0008441B" w14:paraId="0EE03508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b/>
                <w:sz w:val="24"/>
                <w:szCs w:val="24"/>
              </w:rPr>
            </w:pPr>
            <w:r w:rsidRPr="00D16040">
              <w:rPr>
                <w:b/>
                <w:sz w:val="24"/>
                <w:szCs w:val="24"/>
              </w:rPr>
              <w:t>Frequency of Response</w:t>
            </w:r>
          </w:p>
        </w:tc>
        <w:tc>
          <w:tcPr>
            <w:tcW w:w="1416" w:type="dxa"/>
          </w:tcPr>
          <w:p w:rsidR="00267C1A" w:rsidRPr="00D16040" w:rsidP="0008441B" w14:paraId="4A5F3744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b/>
                <w:sz w:val="24"/>
                <w:szCs w:val="24"/>
              </w:rPr>
            </w:pPr>
            <w:r w:rsidRPr="00D16040">
              <w:rPr>
                <w:b/>
                <w:sz w:val="24"/>
                <w:szCs w:val="24"/>
              </w:rPr>
              <w:t>Estimated Completion Time</w:t>
            </w:r>
          </w:p>
        </w:tc>
        <w:tc>
          <w:tcPr>
            <w:tcW w:w="1714" w:type="dxa"/>
          </w:tcPr>
          <w:p w:rsidR="00267C1A" w:rsidRPr="00D16040" w:rsidP="0008441B" w14:paraId="41D810DB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b/>
                <w:sz w:val="24"/>
                <w:szCs w:val="24"/>
              </w:rPr>
            </w:pPr>
            <w:r w:rsidRPr="00D16040">
              <w:rPr>
                <w:b/>
                <w:sz w:val="24"/>
                <w:szCs w:val="24"/>
              </w:rPr>
              <w:t>Annual Burden Hours</w:t>
            </w:r>
          </w:p>
        </w:tc>
        <w:tc>
          <w:tcPr>
            <w:tcW w:w="1350" w:type="dxa"/>
          </w:tcPr>
          <w:p w:rsidR="00267C1A" w:rsidRPr="00D16040" w:rsidP="0008441B" w14:paraId="190B83A4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Cost</w:t>
            </w:r>
          </w:p>
        </w:tc>
      </w:tr>
      <w:tr w14:paraId="2403DC13" w14:textId="77777777" w:rsidTr="0008441B">
        <w:tblPrEx>
          <w:tblW w:w="8905" w:type="dxa"/>
          <w:tblLook w:val="04A0"/>
        </w:tblPrEx>
        <w:tc>
          <w:tcPr>
            <w:tcW w:w="1526" w:type="dxa"/>
          </w:tcPr>
          <w:p w:rsidR="00267C1A" w:rsidRPr="00776200" w:rsidP="0008441B" w14:paraId="6B4E3DEE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 w:rsidRPr="00776200">
              <w:rPr>
                <w:sz w:val="24"/>
                <w:szCs w:val="24"/>
              </w:rPr>
              <w:t xml:space="preserve">Veterans Day Regional Site Application </w:t>
            </w:r>
          </w:p>
        </w:tc>
        <w:tc>
          <w:tcPr>
            <w:tcW w:w="1523" w:type="dxa"/>
          </w:tcPr>
          <w:p w:rsidR="00267C1A" w:rsidRPr="00776200" w:rsidP="0008441B" w14:paraId="33AACAE6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 w:rsidRPr="00776200">
              <w:rPr>
                <w:sz w:val="24"/>
                <w:szCs w:val="24"/>
              </w:rPr>
              <w:t>50</w:t>
            </w:r>
          </w:p>
        </w:tc>
        <w:tc>
          <w:tcPr>
            <w:tcW w:w="1376" w:type="dxa"/>
          </w:tcPr>
          <w:p w:rsidR="00267C1A" w:rsidRPr="00776200" w:rsidP="0008441B" w14:paraId="3A36A1B6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 w:rsidRPr="00776200">
              <w:rPr>
                <w:sz w:val="24"/>
                <w:szCs w:val="24"/>
              </w:rPr>
              <w:t>One time</w:t>
            </w:r>
          </w:p>
        </w:tc>
        <w:tc>
          <w:tcPr>
            <w:tcW w:w="1416" w:type="dxa"/>
          </w:tcPr>
          <w:p w:rsidR="00267C1A" w:rsidRPr="00776200" w:rsidP="0008441B" w14:paraId="5CE699E2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minutes</w:t>
            </w:r>
          </w:p>
        </w:tc>
        <w:tc>
          <w:tcPr>
            <w:tcW w:w="1714" w:type="dxa"/>
          </w:tcPr>
          <w:p w:rsidR="00267C1A" w:rsidRPr="00776200" w:rsidP="0008441B" w14:paraId="15AA59FB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Pr="00B756DF">
              <w:rPr>
                <w:color w:val="000000"/>
                <w:sz w:val="22"/>
                <w:szCs w:val="22"/>
              </w:rPr>
              <w:t xml:space="preserve"> hours</w:t>
            </w:r>
          </w:p>
        </w:tc>
        <w:tc>
          <w:tcPr>
            <w:tcW w:w="1350" w:type="dxa"/>
          </w:tcPr>
          <w:p w:rsidR="00267C1A" w:rsidRPr="00776200" w:rsidP="0008441B" w14:paraId="434AB4B8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$550</w:t>
            </w:r>
          </w:p>
        </w:tc>
      </w:tr>
      <w:tr w14:paraId="6B74F912" w14:textId="77777777" w:rsidTr="0008441B">
        <w:tblPrEx>
          <w:tblW w:w="8905" w:type="dxa"/>
          <w:tblLook w:val="04A0"/>
        </w:tblPrEx>
        <w:tc>
          <w:tcPr>
            <w:tcW w:w="1526" w:type="dxa"/>
          </w:tcPr>
          <w:p w:rsidR="00267C1A" w:rsidRPr="00776200" w:rsidP="0008441B" w14:paraId="431E8797" w14:textId="32225A8C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 w:rsidRPr="00776200">
              <w:rPr>
                <w:sz w:val="24"/>
                <w:szCs w:val="24"/>
              </w:rPr>
              <w:t>Veterans Day National Committee Member Application</w:t>
            </w:r>
          </w:p>
        </w:tc>
        <w:tc>
          <w:tcPr>
            <w:tcW w:w="1523" w:type="dxa"/>
          </w:tcPr>
          <w:p w:rsidR="00267C1A" w:rsidRPr="00776200" w:rsidP="0008441B" w14:paraId="054478A9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 w:rsidRPr="00776200">
              <w:rPr>
                <w:sz w:val="24"/>
                <w:szCs w:val="24"/>
              </w:rPr>
              <w:t>10</w:t>
            </w:r>
          </w:p>
        </w:tc>
        <w:tc>
          <w:tcPr>
            <w:tcW w:w="1376" w:type="dxa"/>
          </w:tcPr>
          <w:p w:rsidR="00267C1A" w:rsidRPr="00776200" w:rsidP="0008441B" w14:paraId="2ED5A5D7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 w:rsidRPr="00776200">
              <w:rPr>
                <w:sz w:val="24"/>
                <w:szCs w:val="24"/>
              </w:rPr>
              <w:t>One time</w:t>
            </w:r>
          </w:p>
        </w:tc>
        <w:tc>
          <w:tcPr>
            <w:tcW w:w="1416" w:type="dxa"/>
          </w:tcPr>
          <w:p w:rsidR="00267C1A" w:rsidRPr="00776200" w:rsidP="0008441B" w14:paraId="5547F6A8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minutes</w:t>
            </w:r>
          </w:p>
        </w:tc>
        <w:tc>
          <w:tcPr>
            <w:tcW w:w="1714" w:type="dxa"/>
          </w:tcPr>
          <w:p w:rsidR="00267C1A" w:rsidRPr="00776200" w:rsidP="0008441B" w14:paraId="44CE64CC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B756DF">
              <w:rPr>
                <w:color w:val="000000"/>
                <w:sz w:val="22"/>
                <w:szCs w:val="22"/>
              </w:rPr>
              <w:t xml:space="preserve"> hours</w:t>
            </w:r>
          </w:p>
        </w:tc>
        <w:tc>
          <w:tcPr>
            <w:tcW w:w="1350" w:type="dxa"/>
          </w:tcPr>
          <w:p w:rsidR="00267C1A" w:rsidRPr="00776200" w:rsidP="0008441B" w14:paraId="3CFDB0D0" w14:textId="338C3832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$11</w:t>
            </w:r>
            <w:r w:rsidR="00B86CA0">
              <w:rPr>
                <w:color w:val="000000"/>
                <w:sz w:val="22"/>
                <w:szCs w:val="22"/>
              </w:rPr>
              <w:t>0</w:t>
            </w:r>
          </w:p>
        </w:tc>
      </w:tr>
      <w:tr w14:paraId="13C56305" w14:textId="77777777" w:rsidTr="0008441B">
        <w:tblPrEx>
          <w:tblW w:w="8905" w:type="dxa"/>
          <w:tblLook w:val="04A0"/>
        </w:tblPrEx>
        <w:tc>
          <w:tcPr>
            <w:tcW w:w="1526" w:type="dxa"/>
          </w:tcPr>
          <w:p w:rsidR="00267C1A" w:rsidRPr="00776200" w:rsidP="0008441B" w14:paraId="01841BC2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 w:rsidRPr="00776200">
              <w:rPr>
                <w:sz w:val="24"/>
                <w:szCs w:val="24"/>
              </w:rPr>
              <w:t>Veterans Day National Committee Dues Payment Form</w:t>
            </w:r>
          </w:p>
        </w:tc>
        <w:tc>
          <w:tcPr>
            <w:tcW w:w="1523" w:type="dxa"/>
          </w:tcPr>
          <w:p w:rsidR="00267C1A" w:rsidRPr="00776200" w:rsidP="0008441B" w14:paraId="44298A76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 w:rsidRPr="00776200">
              <w:rPr>
                <w:sz w:val="24"/>
                <w:szCs w:val="24"/>
              </w:rPr>
              <w:t>49</w:t>
            </w:r>
          </w:p>
        </w:tc>
        <w:tc>
          <w:tcPr>
            <w:tcW w:w="1376" w:type="dxa"/>
          </w:tcPr>
          <w:p w:rsidR="00267C1A" w:rsidRPr="00776200" w:rsidP="0008441B" w14:paraId="08B1B86C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 w:rsidRPr="00776200">
              <w:rPr>
                <w:sz w:val="24"/>
                <w:szCs w:val="24"/>
              </w:rPr>
              <w:t>One time</w:t>
            </w:r>
          </w:p>
        </w:tc>
        <w:tc>
          <w:tcPr>
            <w:tcW w:w="1416" w:type="dxa"/>
          </w:tcPr>
          <w:p w:rsidR="00267C1A" w:rsidRPr="00776200" w:rsidP="0008441B" w14:paraId="24FCC73A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minutes</w:t>
            </w:r>
          </w:p>
        </w:tc>
        <w:tc>
          <w:tcPr>
            <w:tcW w:w="1714" w:type="dxa"/>
          </w:tcPr>
          <w:p w:rsidR="00267C1A" w:rsidRPr="00776200" w:rsidP="0008441B" w14:paraId="1073B432" w14:textId="626F6EA3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4 </w:t>
            </w:r>
            <w:r w:rsidRPr="00B756DF">
              <w:rPr>
                <w:color w:val="000000"/>
                <w:sz w:val="22"/>
                <w:szCs w:val="22"/>
              </w:rPr>
              <w:t>hours</w:t>
            </w:r>
          </w:p>
        </w:tc>
        <w:tc>
          <w:tcPr>
            <w:tcW w:w="1350" w:type="dxa"/>
          </w:tcPr>
          <w:p w:rsidR="00267C1A" w:rsidRPr="00776200" w:rsidP="0008441B" w14:paraId="41D49783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$135</w:t>
            </w:r>
          </w:p>
        </w:tc>
      </w:tr>
      <w:tr w14:paraId="645C1B66" w14:textId="77777777" w:rsidTr="0008441B">
        <w:tblPrEx>
          <w:tblW w:w="8905" w:type="dxa"/>
          <w:tblLook w:val="04A0"/>
        </w:tblPrEx>
        <w:tc>
          <w:tcPr>
            <w:tcW w:w="1526" w:type="dxa"/>
          </w:tcPr>
          <w:p w:rsidR="00267C1A" w:rsidRPr="00776200" w:rsidP="0008441B" w14:paraId="167475E9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 w:rsidRPr="00776200">
              <w:rPr>
                <w:sz w:val="24"/>
                <w:szCs w:val="24"/>
              </w:rPr>
              <w:t>Invitation, Bench Seat Ticket, and Lapel Pin Request Form</w:t>
            </w:r>
          </w:p>
        </w:tc>
        <w:tc>
          <w:tcPr>
            <w:tcW w:w="1523" w:type="dxa"/>
          </w:tcPr>
          <w:p w:rsidR="00267C1A" w:rsidRPr="00776200" w:rsidP="0008441B" w14:paraId="0CDC1CE0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 w:rsidRPr="00776200">
              <w:rPr>
                <w:sz w:val="24"/>
                <w:szCs w:val="24"/>
              </w:rPr>
              <w:t>49</w:t>
            </w:r>
          </w:p>
        </w:tc>
        <w:tc>
          <w:tcPr>
            <w:tcW w:w="1376" w:type="dxa"/>
          </w:tcPr>
          <w:p w:rsidR="00267C1A" w:rsidRPr="00776200" w:rsidP="0008441B" w14:paraId="734C7DCF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 w:rsidRPr="00776200">
              <w:rPr>
                <w:sz w:val="24"/>
                <w:szCs w:val="24"/>
              </w:rPr>
              <w:t>One time</w:t>
            </w:r>
          </w:p>
        </w:tc>
        <w:tc>
          <w:tcPr>
            <w:tcW w:w="1416" w:type="dxa"/>
          </w:tcPr>
          <w:p w:rsidR="00267C1A" w:rsidRPr="00776200" w:rsidP="0008441B" w14:paraId="5883767E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762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minutes</w:t>
            </w:r>
          </w:p>
        </w:tc>
        <w:tc>
          <w:tcPr>
            <w:tcW w:w="1714" w:type="dxa"/>
          </w:tcPr>
          <w:p w:rsidR="00267C1A" w:rsidRPr="00776200" w:rsidP="0008441B" w14:paraId="4665A933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B756DF">
              <w:rPr>
                <w:color w:val="000000"/>
                <w:sz w:val="22"/>
                <w:szCs w:val="22"/>
              </w:rPr>
              <w:t xml:space="preserve"> hours</w:t>
            </w:r>
          </w:p>
        </w:tc>
        <w:tc>
          <w:tcPr>
            <w:tcW w:w="1350" w:type="dxa"/>
          </w:tcPr>
          <w:p w:rsidR="00267C1A" w:rsidRPr="00776200" w:rsidP="0008441B" w14:paraId="4518D2CF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$135</w:t>
            </w:r>
          </w:p>
        </w:tc>
      </w:tr>
      <w:tr w14:paraId="4804B14C" w14:textId="77777777" w:rsidTr="0008441B">
        <w:tblPrEx>
          <w:tblW w:w="8905" w:type="dxa"/>
          <w:tblLook w:val="04A0"/>
        </w:tblPrEx>
        <w:trPr>
          <w:trHeight w:val="70"/>
        </w:trPr>
        <w:tc>
          <w:tcPr>
            <w:tcW w:w="1526" w:type="dxa"/>
          </w:tcPr>
          <w:p w:rsidR="00267C1A" w:rsidRPr="00776200" w:rsidP="0008441B" w14:paraId="3C940DD8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 w:rsidRPr="00776200">
              <w:rPr>
                <w:sz w:val="24"/>
                <w:szCs w:val="24"/>
              </w:rPr>
              <w:t>TOTAL</w:t>
            </w:r>
          </w:p>
        </w:tc>
        <w:tc>
          <w:tcPr>
            <w:tcW w:w="1523" w:type="dxa"/>
          </w:tcPr>
          <w:p w:rsidR="00267C1A" w:rsidRPr="00776200" w:rsidP="0008441B" w14:paraId="16E3DFA1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 w:rsidRPr="00776200">
              <w:rPr>
                <w:sz w:val="24"/>
                <w:szCs w:val="24"/>
              </w:rPr>
              <w:t>158</w:t>
            </w:r>
          </w:p>
        </w:tc>
        <w:tc>
          <w:tcPr>
            <w:tcW w:w="1376" w:type="dxa"/>
          </w:tcPr>
          <w:p w:rsidR="00267C1A" w:rsidRPr="00776200" w:rsidP="0008441B" w14:paraId="3F06D3E4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 w:rsidRPr="00776200">
              <w:rPr>
                <w:sz w:val="24"/>
                <w:szCs w:val="24"/>
              </w:rPr>
              <w:t>One time</w:t>
            </w:r>
          </w:p>
        </w:tc>
        <w:tc>
          <w:tcPr>
            <w:tcW w:w="1416" w:type="dxa"/>
          </w:tcPr>
          <w:p w:rsidR="00267C1A" w:rsidRPr="00776200" w:rsidP="0008441B" w14:paraId="03FBB8B5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267C1A" w:rsidRPr="00776200" w:rsidP="0008441B" w14:paraId="6AE9BA4A" w14:textId="53FF4162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28 </w:t>
            </w:r>
            <w:r w:rsidRPr="00B756DF">
              <w:rPr>
                <w:color w:val="000000"/>
                <w:sz w:val="22"/>
                <w:szCs w:val="22"/>
              </w:rPr>
              <w:t>hours</w:t>
            </w:r>
          </w:p>
        </w:tc>
        <w:tc>
          <w:tcPr>
            <w:tcW w:w="1350" w:type="dxa"/>
          </w:tcPr>
          <w:p w:rsidR="00267C1A" w:rsidRPr="00776200" w:rsidP="0008441B" w14:paraId="239C8E1D" w14:textId="3B0B1DE4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$93</w:t>
            </w:r>
            <w:r w:rsidR="00B86CA0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67C1A" w:rsidP="00D87127" w14:paraId="33099209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BE45655"/>
    <w:multiLevelType w:val="hybridMultilevel"/>
    <w:tmpl w:val="60CE1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969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2C"/>
    <w:rsid w:val="00043EEB"/>
    <w:rsid w:val="0008441B"/>
    <w:rsid w:val="001B1981"/>
    <w:rsid w:val="001C0A31"/>
    <w:rsid w:val="001D1507"/>
    <w:rsid w:val="001D43E3"/>
    <w:rsid w:val="001F0398"/>
    <w:rsid w:val="0021152E"/>
    <w:rsid w:val="00267C1A"/>
    <w:rsid w:val="00396FF9"/>
    <w:rsid w:val="004131B3"/>
    <w:rsid w:val="00437DB0"/>
    <w:rsid w:val="0047791E"/>
    <w:rsid w:val="004C5870"/>
    <w:rsid w:val="004C6740"/>
    <w:rsid w:val="005523DF"/>
    <w:rsid w:val="0056351E"/>
    <w:rsid w:val="005C1BE5"/>
    <w:rsid w:val="00610357"/>
    <w:rsid w:val="00626002"/>
    <w:rsid w:val="00663CBD"/>
    <w:rsid w:val="006B2468"/>
    <w:rsid w:val="00733A6B"/>
    <w:rsid w:val="0074548F"/>
    <w:rsid w:val="00776200"/>
    <w:rsid w:val="007914C8"/>
    <w:rsid w:val="007E321A"/>
    <w:rsid w:val="007E3563"/>
    <w:rsid w:val="008239B2"/>
    <w:rsid w:val="00884C7E"/>
    <w:rsid w:val="00886D3C"/>
    <w:rsid w:val="008A47C9"/>
    <w:rsid w:val="008B076C"/>
    <w:rsid w:val="008B2653"/>
    <w:rsid w:val="008B3920"/>
    <w:rsid w:val="008F2A27"/>
    <w:rsid w:val="00913128"/>
    <w:rsid w:val="00930190"/>
    <w:rsid w:val="0094030D"/>
    <w:rsid w:val="00970EFE"/>
    <w:rsid w:val="00A17FC6"/>
    <w:rsid w:val="00A2402C"/>
    <w:rsid w:val="00AF34C9"/>
    <w:rsid w:val="00B10799"/>
    <w:rsid w:val="00B37AE5"/>
    <w:rsid w:val="00B5401C"/>
    <w:rsid w:val="00B756DF"/>
    <w:rsid w:val="00B86CA0"/>
    <w:rsid w:val="00BF00B4"/>
    <w:rsid w:val="00D16040"/>
    <w:rsid w:val="00D424CB"/>
    <w:rsid w:val="00D7623C"/>
    <w:rsid w:val="00D87127"/>
    <w:rsid w:val="00DA6DA0"/>
    <w:rsid w:val="00DE6745"/>
    <w:rsid w:val="00E2016C"/>
    <w:rsid w:val="00E736F6"/>
    <w:rsid w:val="00E96222"/>
    <w:rsid w:val="00EB73FD"/>
    <w:rsid w:val="00ED040F"/>
    <w:rsid w:val="00EE3BBD"/>
    <w:rsid w:val="00F43B7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AF349A"/>
  <w15:chartTrackingRefBased/>
  <w15:docId w15:val="{6008A871-3454-4B69-9095-27E67317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0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C6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7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7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7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74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540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B5401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B5401C"/>
  </w:style>
  <w:style w:type="character" w:customStyle="1" w:styleId="eop">
    <w:name w:val="eop"/>
    <w:basedOn w:val="DefaultParagraphFont"/>
    <w:rsid w:val="00B5401C"/>
  </w:style>
  <w:style w:type="table" w:styleId="TableGrid">
    <w:name w:val="Table Grid"/>
    <w:basedOn w:val="TableNormal"/>
    <w:uiPriority w:val="59"/>
    <w:rsid w:val="00267C1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67C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7C1A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bls.gov/news.release/empsit.t19.htm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1A382-4509-4B78-8303-D543F897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Oldham, Sarah</dc:creator>
  <cp:lastModifiedBy>Evans, Terri</cp:lastModifiedBy>
  <cp:revision>8</cp:revision>
  <dcterms:created xsi:type="dcterms:W3CDTF">2024-04-25T20:51:00Z</dcterms:created>
  <dcterms:modified xsi:type="dcterms:W3CDTF">2024-05-06T18:07:00Z</dcterms:modified>
</cp:coreProperties>
</file>