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3E52" w:rsidRPr="00A658D8" w:rsidP="004E3E52" w14:paraId="5471CD78" w14:textId="77777777">
      <w:pPr>
        <w:pStyle w:val="Header"/>
        <w:widowControl/>
        <w:tabs>
          <w:tab w:val="clear" w:pos="4320"/>
          <w:tab w:val="center" w:pos="4680"/>
          <w:tab w:val="left" w:pos="5040"/>
          <w:tab w:val="left" w:pos="5400"/>
          <w:tab w:val="left" w:pos="5760"/>
          <w:tab w:val="left" w:pos="6120"/>
          <w:tab w:val="left" w:pos="6480"/>
          <w:tab w:val="left" w:pos="6840"/>
          <w:tab w:val="left" w:pos="7200"/>
          <w:tab w:val="left" w:pos="7560"/>
          <w:tab w:val="clear" w:pos="8640"/>
        </w:tabs>
        <w:jc w:val="center"/>
        <w:rPr>
          <w:rFonts w:ascii="Times New Roman" w:hAnsi="Times New Roman"/>
          <w:szCs w:val="24"/>
        </w:rPr>
      </w:pPr>
      <w:r w:rsidRPr="00A658D8">
        <w:rPr>
          <w:rFonts w:ascii="Times New Roman" w:hAnsi="Times New Roman"/>
          <w:szCs w:val="24"/>
        </w:rPr>
        <w:t>SUPPORTING STATEMENT</w:t>
      </w:r>
    </w:p>
    <w:p w:rsidR="00273787" w:rsidP="00446D1B" w14:paraId="3D9DFAA0" w14:textId="77777777">
      <w:pPr>
        <w:widowControl/>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446D1B">
        <w:rPr>
          <w:rFonts w:ascii="Times New Roman" w:hAnsi="Times New Roman"/>
          <w:szCs w:val="24"/>
        </w:rPr>
        <w:t>RESOLUTION PLANS AND PERIODIC</w:t>
      </w:r>
      <w:r>
        <w:rPr>
          <w:rFonts w:ascii="Times New Roman" w:hAnsi="Times New Roman"/>
          <w:szCs w:val="24"/>
        </w:rPr>
        <w:t xml:space="preserve"> </w:t>
      </w:r>
      <w:r w:rsidRPr="00446D1B">
        <w:rPr>
          <w:rFonts w:ascii="Times New Roman" w:hAnsi="Times New Roman"/>
          <w:szCs w:val="24"/>
        </w:rPr>
        <w:t xml:space="preserve">ENGAGEMENT AND </w:t>
      </w:r>
    </w:p>
    <w:p w:rsidR="00446D1B" w:rsidP="00446D1B" w14:paraId="72EBB2D9" w14:textId="41E65D81">
      <w:pPr>
        <w:widowControl/>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446D1B">
        <w:rPr>
          <w:rFonts w:ascii="Times New Roman" w:hAnsi="Times New Roman"/>
          <w:szCs w:val="24"/>
        </w:rPr>
        <w:t>CAPABILITIES TESTING</w:t>
      </w:r>
      <w:r>
        <w:rPr>
          <w:rFonts w:ascii="Times New Roman" w:hAnsi="Times New Roman"/>
          <w:szCs w:val="24"/>
        </w:rPr>
        <w:t xml:space="preserve"> REQUIRED</w:t>
      </w:r>
    </w:p>
    <w:p w:rsidR="004E3E52" w:rsidRPr="00A658D8" w:rsidP="00446D1B" w14:paraId="4CBD1183" w14:textId="7E85ED40">
      <w:pPr>
        <w:widowControl/>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A658D8">
        <w:rPr>
          <w:rFonts w:ascii="Times New Roman" w:hAnsi="Times New Roman"/>
          <w:szCs w:val="24"/>
        </w:rPr>
        <w:t>(OMB CONTROL NO. 3064</w:t>
      </w:r>
      <w:r w:rsidRPr="00A658D8">
        <w:rPr>
          <w:rFonts w:ascii="Times New Roman" w:hAnsi="Times New Roman"/>
          <w:szCs w:val="24"/>
        </w:rPr>
        <w:noBreakHyphen/>
        <w:t>0185)</w:t>
      </w:r>
    </w:p>
    <w:p w:rsidR="004E3E52" w:rsidRPr="00A658D8" w:rsidP="004513D4" w14:paraId="0C55BD6A" w14:textId="77777777">
      <w:pPr>
        <w:jc w:val="center"/>
        <w:rPr>
          <w:rFonts w:ascii="Times New Roman" w:hAnsi="Times New Roman"/>
          <w:b/>
          <w:bCs/>
          <w:szCs w:val="24"/>
        </w:rPr>
      </w:pPr>
    </w:p>
    <w:p w:rsidR="008D5DF3" w:rsidRPr="00A658D8" w:rsidP="00850D6B" w14:paraId="5050316C" w14:textId="77777777">
      <w:pPr>
        <w:jc w:val="center"/>
        <w:outlineLvl w:val="0"/>
        <w:rPr>
          <w:rFonts w:ascii="Times New Roman" w:hAnsi="Times New Roman"/>
          <w:b/>
          <w:bCs/>
          <w:szCs w:val="24"/>
        </w:rPr>
      </w:pPr>
    </w:p>
    <w:p w:rsidR="004E3E52" w:rsidRPr="00A658D8" w:rsidP="004E3E52" w14:paraId="2F84D2A1"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004E3E52" w:rsidRPr="00A658D8" w:rsidP="004E3E52" w14:paraId="15912E87"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BF6EB1" w:rsidRPr="00A658D8" w:rsidP="00BF6EB1" w14:paraId="7DB2A1D1" w14:textId="0CA1BA9F">
      <w:pPr>
        <w:rPr>
          <w:rFonts w:ascii="Times New Roman" w:hAnsi="Times New Roman"/>
          <w:szCs w:val="24"/>
        </w:rPr>
      </w:pPr>
      <w:r w:rsidRPr="00EA522B">
        <w:rPr>
          <w:rFonts w:ascii="Times New Roman" w:hAnsi="Times New Roman"/>
          <w:szCs w:val="24"/>
        </w:rPr>
        <w:t xml:space="preserve">This submission is being made in connection with </w:t>
      </w:r>
      <w:r w:rsidR="00315695">
        <w:rPr>
          <w:rFonts w:ascii="Times New Roman" w:hAnsi="Times New Roman"/>
          <w:szCs w:val="24"/>
        </w:rPr>
        <w:t xml:space="preserve">the issuance of a final rule </w:t>
      </w:r>
      <w:r w:rsidRPr="00EA522B">
        <w:rPr>
          <w:rFonts w:ascii="Times New Roman" w:hAnsi="Times New Roman"/>
          <w:szCs w:val="24"/>
        </w:rPr>
        <w:t xml:space="preserve">published in the </w:t>
      </w:r>
      <w:r w:rsidRPr="00EA522B">
        <w:rPr>
          <w:rFonts w:ascii="Times New Roman" w:hAnsi="Times New Roman"/>
          <w:i/>
          <w:szCs w:val="24"/>
        </w:rPr>
        <w:t>Federal Register</w:t>
      </w:r>
      <w:r w:rsidRPr="00EA522B">
        <w:rPr>
          <w:rFonts w:ascii="Times New Roman" w:hAnsi="Times New Roman"/>
          <w:szCs w:val="24"/>
        </w:rPr>
        <w:t xml:space="preserve"> </w:t>
      </w:r>
      <w:r>
        <w:rPr>
          <w:rFonts w:ascii="Times New Roman" w:hAnsi="Times New Roman"/>
          <w:szCs w:val="24"/>
        </w:rPr>
        <w:t>by</w:t>
      </w:r>
      <w:r w:rsidRPr="00EA522B">
        <w:rPr>
          <w:rFonts w:ascii="Times New Roman" w:hAnsi="Times New Roman"/>
          <w:szCs w:val="24"/>
        </w:rPr>
        <w:t xml:space="preserve"> the Federal Deposit Insurance Corporation (FDIC).  The current information collection titled, </w:t>
      </w:r>
      <w:r>
        <w:rPr>
          <w:rFonts w:ascii="Times New Roman" w:hAnsi="Times New Roman"/>
          <w:szCs w:val="24"/>
        </w:rPr>
        <w:t>“</w:t>
      </w:r>
      <w:r w:rsidRPr="00EA522B">
        <w:rPr>
          <w:rFonts w:ascii="Times New Roman" w:hAnsi="Times New Roman"/>
          <w:szCs w:val="24"/>
        </w:rPr>
        <w:t>Resolution Plans and Periodic Engagement and Capabilities Testing Required Market Risk Capital Requirements</w:t>
      </w:r>
      <w:r>
        <w:rPr>
          <w:rFonts w:ascii="Times New Roman" w:hAnsi="Times New Roman"/>
          <w:szCs w:val="24"/>
        </w:rPr>
        <w:t>”</w:t>
      </w:r>
      <w:r w:rsidRPr="00EA522B">
        <w:rPr>
          <w:rFonts w:ascii="Times New Roman" w:hAnsi="Times New Roman"/>
          <w:szCs w:val="24"/>
        </w:rPr>
        <w:t xml:space="preserve"> (OMB No. 3064-01</w:t>
      </w:r>
      <w:r>
        <w:rPr>
          <w:rFonts w:ascii="Times New Roman" w:hAnsi="Times New Roman"/>
          <w:szCs w:val="24"/>
        </w:rPr>
        <w:t>85</w:t>
      </w:r>
      <w:r w:rsidRPr="00EA522B">
        <w:rPr>
          <w:rFonts w:ascii="Times New Roman" w:hAnsi="Times New Roman"/>
          <w:szCs w:val="24"/>
        </w:rPr>
        <w:t>)</w:t>
      </w:r>
      <w:r w:rsidR="000511AD">
        <w:rPr>
          <w:rFonts w:ascii="Times New Roman" w:hAnsi="Times New Roman"/>
          <w:szCs w:val="24"/>
        </w:rPr>
        <w:t>, which is in accordance with</w:t>
      </w:r>
      <w:r w:rsidRPr="000511AD" w:rsidR="000511AD">
        <w:rPr>
          <w:rFonts w:ascii="Times New Roman" w:hAnsi="Times New Roman"/>
          <w:szCs w:val="24"/>
        </w:rPr>
        <w:t xml:space="preserve"> 12 C.F.R. Part 360.10 (the Rule)</w:t>
      </w:r>
      <w:r w:rsidR="000511AD">
        <w:rPr>
          <w:rFonts w:ascii="Times New Roman" w:hAnsi="Times New Roman"/>
          <w:szCs w:val="24"/>
        </w:rPr>
        <w:t>,</w:t>
      </w:r>
      <w:r w:rsidRPr="00EA522B">
        <w:rPr>
          <w:rFonts w:ascii="Times New Roman" w:hAnsi="Times New Roman"/>
          <w:szCs w:val="24"/>
        </w:rPr>
        <w:t xml:space="preserve"> expires on </w:t>
      </w:r>
      <w:r>
        <w:rPr>
          <w:rFonts w:ascii="Times New Roman" w:hAnsi="Times New Roman"/>
          <w:szCs w:val="24"/>
        </w:rPr>
        <w:t>February 28</w:t>
      </w:r>
      <w:r w:rsidRPr="00EA522B">
        <w:rPr>
          <w:rFonts w:ascii="Times New Roman" w:hAnsi="Times New Roman"/>
          <w:szCs w:val="24"/>
        </w:rPr>
        <w:t xml:space="preserve">, 2025. </w:t>
      </w:r>
      <w:r w:rsidR="00315695">
        <w:rPr>
          <w:rFonts w:ascii="Times New Roman" w:hAnsi="Times New Roman"/>
          <w:szCs w:val="24"/>
        </w:rPr>
        <w:t>FDIC is seeking the extension, with revisions, of the ICR for a period of three years.</w:t>
      </w:r>
    </w:p>
    <w:p w:rsidR="004E3E52" w:rsidRPr="00A658D8" w:rsidP="004E3E52" w14:paraId="48F6D8A5"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E3E52" w:rsidRPr="00A658D8" w:rsidP="004E3E52" w14:paraId="40E20663" w14:textId="77777777">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008D5DF3" w:rsidRPr="00A658D8" w:rsidP="00850D6B" w14:paraId="3A1BD2A4" w14:textId="77777777">
      <w:pPr>
        <w:rPr>
          <w:rFonts w:ascii="Times New Roman" w:hAnsi="Times New Roman"/>
          <w:szCs w:val="24"/>
        </w:rPr>
      </w:pPr>
    </w:p>
    <w:p w:rsidR="004E3E52" w:rsidRPr="00A658D8" w:rsidP="004E3E52" w14:paraId="586CACC7" w14:textId="77777777">
      <w:pPr>
        <w:widowControl/>
        <w:numPr>
          <w:ilvl w:val="1"/>
          <w:numId w:val="18"/>
        </w:numPr>
        <w:rPr>
          <w:rFonts w:ascii="Times New Roman" w:hAnsi="Times New Roman"/>
          <w:szCs w:val="24"/>
        </w:rPr>
      </w:pPr>
      <w:r w:rsidRPr="00A658D8">
        <w:rPr>
          <w:rFonts w:ascii="Times New Roman" w:hAnsi="Times New Roman"/>
          <w:szCs w:val="24"/>
          <w:u w:val="single"/>
        </w:rPr>
        <w:t>Circumstances and Need</w:t>
      </w:r>
    </w:p>
    <w:p w:rsidR="004E3E52" w:rsidRPr="00A658D8" w:rsidP="00850D6B" w14:paraId="5C2D27E8" w14:textId="77777777">
      <w:pPr>
        <w:rPr>
          <w:rFonts w:ascii="Times New Roman" w:hAnsi="Times New Roman"/>
          <w:szCs w:val="24"/>
        </w:rPr>
      </w:pPr>
    </w:p>
    <w:p w:rsidR="008D5DF3" w:rsidRPr="00A658D8" w:rsidP="00BF6EB1" w14:paraId="4B60D269" w14:textId="3EBD0BB1">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The FDIC’</w:t>
      </w:r>
      <w:r w:rsidRPr="00A658D8">
        <w:rPr>
          <w:rFonts w:ascii="Times New Roman" w:hAnsi="Times New Roman" w:cs="Times New Roman"/>
          <w:sz w:val="24"/>
          <w:szCs w:val="24"/>
        </w:rPr>
        <w:t xml:space="preserve">s roles as insurer and receiver require a distinct focus on potential loss severities, default risks, complexities in structure and operations, and other factors that impact risk to the Deposit Insurance Fund and the ability of the FDIC to conduct an orderly resolution. The </w:t>
      </w:r>
      <w:r w:rsidRPr="00A658D8">
        <w:rPr>
          <w:rFonts w:ascii="Times New Roman" w:hAnsi="Times New Roman" w:cs="Times New Roman"/>
          <w:sz w:val="24"/>
          <w:szCs w:val="24"/>
        </w:rPr>
        <w:t>Federal Deposit Insurance Act (</w:t>
      </w:r>
      <w:r w:rsidRPr="00A658D8">
        <w:rPr>
          <w:rFonts w:ascii="Times New Roman" w:hAnsi="Times New Roman" w:cs="Times New Roman"/>
          <w:sz w:val="24"/>
          <w:szCs w:val="24"/>
        </w:rPr>
        <w:t>FDI Act</w:t>
      </w:r>
      <w:r w:rsidRPr="00A658D8">
        <w:rPr>
          <w:rFonts w:ascii="Times New Roman" w:hAnsi="Times New Roman" w:cs="Times New Roman"/>
          <w:sz w:val="24"/>
          <w:szCs w:val="24"/>
        </w:rPr>
        <w:t>)</w:t>
      </w:r>
      <w:r w:rsidRPr="00A658D8">
        <w:rPr>
          <w:rFonts w:ascii="Times New Roman" w:hAnsi="Times New Roman" w:cs="Times New Roman"/>
          <w:sz w:val="24"/>
          <w:szCs w:val="24"/>
        </w:rPr>
        <w:t xml:space="preserve"> gives the FDIC broad authority to carry out its statutory responsibilities, and to obtain the information required by the Rule.   The authority to issue the Rule is provided by Section 9(a) Tenth of the FDI Act, 12 U.S.C. 1819(a) Tenth, which authorizes the FDIC to prescribe, by its Board of Directors, such rules and regulations as it may deem necessary to carry out the provisions of the FDI Act or of any other law that the FDIC is responsible for administering or enforcing. </w:t>
      </w:r>
    </w:p>
    <w:p w:rsidR="008D5DF3" w:rsidRPr="00A658D8" w:rsidP="006915D9" w14:paraId="5C74EBE5" w14:textId="77777777">
      <w:pPr>
        <w:pStyle w:val="HTMLPreformatted"/>
        <w:rPr>
          <w:rFonts w:ascii="Times New Roman" w:hAnsi="Times New Roman" w:cs="Times New Roman"/>
          <w:sz w:val="24"/>
          <w:szCs w:val="24"/>
        </w:rPr>
      </w:pPr>
    </w:p>
    <w:p w:rsidR="008D5DF3" w:rsidP="00BF6EB1" w14:paraId="0C8AA3A9" w14:textId="30A369EE">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 xml:space="preserve">Since the </w:t>
      </w:r>
      <w:r w:rsidR="006846D8">
        <w:rPr>
          <w:rFonts w:ascii="Times New Roman" w:hAnsi="Times New Roman" w:cs="Times New Roman"/>
          <w:sz w:val="24"/>
          <w:szCs w:val="24"/>
        </w:rPr>
        <w:t xml:space="preserve">2008-2009 </w:t>
      </w:r>
      <w:r w:rsidRPr="00A658D8">
        <w:rPr>
          <w:rFonts w:ascii="Times New Roman" w:hAnsi="Times New Roman" w:cs="Times New Roman"/>
          <w:sz w:val="24"/>
          <w:szCs w:val="24"/>
        </w:rPr>
        <w:t xml:space="preserve">financial crisis, financial authorities throughout the world have recognized and agreed that advance planning for the resolution of large, complex financial institutions is critical to minimizing the disruption that a failure of such an institution may have as well as the costs of its resolution. </w:t>
      </w:r>
    </w:p>
    <w:p w:rsidR="000511AD" w:rsidP="00BF6EB1" w14:paraId="08238DCE" w14:textId="091CA882">
      <w:pPr>
        <w:pStyle w:val="HTMLPreformatted"/>
        <w:ind w:left="1080"/>
        <w:rPr>
          <w:rFonts w:ascii="Times New Roman" w:hAnsi="Times New Roman" w:cs="Times New Roman"/>
          <w:sz w:val="24"/>
          <w:szCs w:val="24"/>
        </w:rPr>
      </w:pPr>
    </w:p>
    <w:p w:rsidR="00BF6EB1" w:rsidP="000511AD" w14:paraId="3DB53A59" w14:textId="4344792A">
      <w:pPr>
        <w:pStyle w:val="HTMLPreformatted"/>
        <w:ind w:left="1080"/>
        <w:rPr>
          <w:rFonts w:ascii="Times New Roman" w:hAnsi="Times New Roman" w:cs="Times New Roman"/>
          <w:sz w:val="24"/>
          <w:szCs w:val="24"/>
        </w:rPr>
      </w:pPr>
      <w:r>
        <w:rPr>
          <w:rFonts w:ascii="Times New Roman" w:hAnsi="Times New Roman" w:cs="Times New Roman"/>
          <w:sz w:val="24"/>
          <w:szCs w:val="24"/>
        </w:rPr>
        <w:t>The rule</w:t>
      </w:r>
      <w:r w:rsidR="000511AD">
        <w:rPr>
          <w:rFonts w:ascii="Times New Roman" w:hAnsi="Times New Roman" w:cs="Times New Roman"/>
          <w:sz w:val="24"/>
          <w:szCs w:val="24"/>
        </w:rPr>
        <w:t xml:space="preserve"> </w:t>
      </w:r>
      <w:r w:rsidRPr="000511AD" w:rsidR="000511AD">
        <w:rPr>
          <w:rFonts w:ascii="Times New Roman" w:hAnsi="Times New Roman" w:cs="Times New Roman"/>
          <w:sz w:val="24"/>
          <w:szCs w:val="24"/>
        </w:rPr>
        <w:t>revise</w:t>
      </w:r>
      <w:r>
        <w:rPr>
          <w:rFonts w:ascii="Times New Roman" w:hAnsi="Times New Roman" w:cs="Times New Roman"/>
          <w:sz w:val="24"/>
          <w:szCs w:val="24"/>
        </w:rPr>
        <w:t>s</w:t>
      </w:r>
      <w:r w:rsidRPr="000511AD" w:rsidR="000511AD">
        <w:rPr>
          <w:rFonts w:ascii="Times New Roman" w:hAnsi="Times New Roman" w:cs="Times New Roman"/>
          <w:sz w:val="24"/>
          <w:szCs w:val="24"/>
        </w:rPr>
        <w:t xml:space="preserve"> </w:t>
      </w:r>
      <w:r w:rsidR="000511AD">
        <w:rPr>
          <w:rFonts w:ascii="Times New Roman" w:hAnsi="Times New Roman" w:cs="Times New Roman"/>
          <w:sz w:val="24"/>
          <w:szCs w:val="24"/>
        </w:rPr>
        <w:t>the</w:t>
      </w:r>
      <w:r>
        <w:rPr>
          <w:rFonts w:ascii="Times New Roman" w:hAnsi="Times New Roman" w:cs="Times New Roman"/>
          <w:sz w:val="24"/>
          <w:szCs w:val="24"/>
        </w:rPr>
        <w:t xml:space="preserve"> current regulation</w:t>
      </w:r>
      <w:r w:rsidRPr="000511AD" w:rsidR="000511AD">
        <w:rPr>
          <w:rFonts w:ascii="Times New Roman" w:hAnsi="Times New Roman" w:cs="Times New Roman"/>
          <w:sz w:val="24"/>
          <w:szCs w:val="24"/>
        </w:rPr>
        <w:t xml:space="preserve"> that requires the submission of resolution plans by insured depository institutions (IDIs) with $50 billion or more in total assets. </w:t>
      </w:r>
      <w:r>
        <w:rPr>
          <w:rFonts w:ascii="Times New Roman" w:hAnsi="Times New Roman" w:cs="Times New Roman"/>
          <w:sz w:val="24"/>
          <w:szCs w:val="24"/>
        </w:rPr>
        <w:t>In particular, the Rule</w:t>
      </w:r>
      <w:r w:rsidR="000511AD">
        <w:rPr>
          <w:rFonts w:ascii="Times New Roman" w:hAnsi="Times New Roman" w:cs="Times New Roman"/>
          <w:sz w:val="24"/>
          <w:szCs w:val="24"/>
        </w:rPr>
        <w:t xml:space="preserve"> </w:t>
      </w:r>
      <w:r>
        <w:rPr>
          <w:rFonts w:ascii="Times New Roman" w:hAnsi="Times New Roman" w:cs="Times New Roman"/>
          <w:sz w:val="24"/>
          <w:szCs w:val="24"/>
        </w:rPr>
        <w:t>revises</w:t>
      </w:r>
      <w:r w:rsidRPr="000511AD" w:rsidR="000511AD">
        <w:rPr>
          <w:rFonts w:ascii="Times New Roman" w:hAnsi="Times New Roman" w:cs="Times New Roman"/>
          <w:sz w:val="24"/>
          <w:szCs w:val="24"/>
        </w:rPr>
        <w:t xml:space="preserve"> the requirements regarding the content and timing of resolution submissions as well as interim supplements to those submissions provided to the FDIC by IDIs with $50 billion or more in total assets in order to support the FDIC’s resolution readiness in the event of material distress and failure of these large IDIs. IDIs with $100 billion or more in total assets </w:t>
      </w:r>
      <w:r>
        <w:rPr>
          <w:rFonts w:ascii="Times New Roman" w:hAnsi="Times New Roman" w:cs="Times New Roman"/>
          <w:sz w:val="24"/>
          <w:szCs w:val="24"/>
        </w:rPr>
        <w:t>are required to</w:t>
      </w:r>
      <w:r w:rsidRPr="000511AD" w:rsidR="00496B2D">
        <w:rPr>
          <w:rFonts w:ascii="Times New Roman" w:hAnsi="Times New Roman" w:cs="Times New Roman"/>
          <w:sz w:val="24"/>
          <w:szCs w:val="24"/>
        </w:rPr>
        <w:t xml:space="preserve"> </w:t>
      </w:r>
      <w:r w:rsidRPr="000511AD" w:rsidR="000511AD">
        <w:rPr>
          <w:rFonts w:ascii="Times New Roman" w:hAnsi="Times New Roman" w:cs="Times New Roman"/>
          <w:sz w:val="24"/>
          <w:szCs w:val="24"/>
        </w:rPr>
        <w:t xml:space="preserve">submit full resolution plans, while IDIs with total assets between $50 and $100 billion </w:t>
      </w:r>
      <w:r>
        <w:rPr>
          <w:rFonts w:ascii="Times New Roman" w:hAnsi="Times New Roman" w:cs="Times New Roman"/>
          <w:sz w:val="24"/>
          <w:szCs w:val="24"/>
        </w:rPr>
        <w:t xml:space="preserve">will </w:t>
      </w:r>
      <w:r w:rsidRPr="000511AD" w:rsidR="000511AD">
        <w:rPr>
          <w:rFonts w:ascii="Times New Roman" w:hAnsi="Times New Roman" w:cs="Times New Roman"/>
          <w:sz w:val="24"/>
          <w:szCs w:val="24"/>
        </w:rPr>
        <w:t xml:space="preserve">submit informational filings. The </w:t>
      </w:r>
      <w:r>
        <w:rPr>
          <w:rFonts w:ascii="Times New Roman" w:hAnsi="Times New Roman" w:cs="Times New Roman"/>
          <w:sz w:val="24"/>
          <w:szCs w:val="24"/>
        </w:rPr>
        <w:t xml:space="preserve">Rule </w:t>
      </w:r>
      <w:r w:rsidRPr="000511AD">
        <w:rPr>
          <w:rFonts w:ascii="Times New Roman" w:hAnsi="Times New Roman" w:cs="Times New Roman"/>
          <w:sz w:val="24"/>
          <w:szCs w:val="24"/>
        </w:rPr>
        <w:t>also</w:t>
      </w:r>
      <w:r w:rsidRPr="000511AD" w:rsidR="000511AD">
        <w:rPr>
          <w:rFonts w:ascii="Times New Roman" w:hAnsi="Times New Roman" w:cs="Times New Roman"/>
          <w:sz w:val="24"/>
          <w:szCs w:val="24"/>
        </w:rPr>
        <w:t xml:space="preserve"> enhance</w:t>
      </w:r>
      <w:r>
        <w:rPr>
          <w:rFonts w:ascii="Times New Roman" w:hAnsi="Times New Roman" w:cs="Times New Roman"/>
          <w:sz w:val="24"/>
          <w:szCs w:val="24"/>
        </w:rPr>
        <w:t>s</w:t>
      </w:r>
      <w:r w:rsidRPr="000511AD" w:rsidR="000511AD">
        <w:rPr>
          <w:rFonts w:ascii="Times New Roman" w:hAnsi="Times New Roman" w:cs="Times New Roman"/>
          <w:sz w:val="24"/>
          <w:szCs w:val="24"/>
        </w:rPr>
        <w:t xml:space="preserve"> how the credibility of resolution submissions will be assessed, expand</w:t>
      </w:r>
      <w:r>
        <w:rPr>
          <w:rFonts w:ascii="Times New Roman" w:hAnsi="Times New Roman" w:cs="Times New Roman"/>
          <w:sz w:val="24"/>
          <w:szCs w:val="24"/>
        </w:rPr>
        <w:t>s</w:t>
      </w:r>
      <w:r w:rsidRPr="000511AD" w:rsidR="000511AD">
        <w:rPr>
          <w:rFonts w:ascii="Times New Roman" w:hAnsi="Times New Roman" w:cs="Times New Roman"/>
          <w:sz w:val="24"/>
          <w:szCs w:val="24"/>
        </w:rPr>
        <w:t xml:space="preserve"> </w:t>
      </w:r>
      <w:r w:rsidRPr="000511AD" w:rsidR="000511AD">
        <w:rPr>
          <w:rFonts w:ascii="Times New Roman" w:hAnsi="Times New Roman" w:cs="Times New Roman"/>
          <w:sz w:val="24"/>
          <w:szCs w:val="24"/>
        </w:rPr>
        <w:t>expectations regarding engagement and capabilities testing, and explain</w:t>
      </w:r>
      <w:r>
        <w:rPr>
          <w:rFonts w:ascii="Times New Roman" w:hAnsi="Times New Roman" w:cs="Times New Roman"/>
          <w:sz w:val="24"/>
          <w:szCs w:val="24"/>
        </w:rPr>
        <w:t>s</w:t>
      </w:r>
      <w:r w:rsidRPr="000511AD" w:rsidR="000511AD">
        <w:rPr>
          <w:rFonts w:ascii="Times New Roman" w:hAnsi="Times New Roman" w:cs="Times New Roman"/>
          <w:sz w:val="24"/>
          <w:szCs w:val="24"/>
        </w:rPr>
        <w:t xml:space="preserve"> expectations regarding the FDIC’s review and enforcemen</w:t>
      </w:r>
      <w:r>
        <w:rPr>
          <w:rFonts w:ascii="Times New Roman" w:hAnsi="Times New Roman" w:cs="Times New Roman"/>
          <w:sz w:val="24"/>
          <w:szCs w:val="24"/>
        </w:rPr>
        <w:t>t of IDIs’ compliance with the R</w:t>
      </w:r>
      <w:r w:rsidRPr="000511AD" w:rsidR="000511AD">
        <w:rPr>
          <w:rFonts w:ascii="Times New Roman" w:hAnsi="Times New Roman" w:cs="Times New Roman"/>
          <w:sz w:val="24"/>
          <w:szCs w:val="24"/>
        </w:rPr>
        <w:t>ule.</w:t>
      </w:r>
    </w:p>
    <w:p w:rsidR="000511AD" w:rsidRPr="00A658D8" w:rsidP="000511AD" w14:paraId="41C35557" w14:textId="77777777">
      <w:pPr>
        <w:pStyle w:val="HTMLPreformatted"/>
        <w:ind w:left="1080"/>
        <w:rPr>
          <w:rFonts w:ascii="Times New Roman" w:eastAsia="Arial Unicode MS" w:hAnsi="Times New Roman"/>
          <w:szCs w:val="24"/>
        </w:rPr>
      </w:pPr>
    </w:p>
    <w:p w:rsidR="008D5DF3" w:rsidRPr="00A658D8" w:rsidP="00BF6EB1" w14:paraId="6C8C4BC2" w14:textId="77777777">
      <w:pPr>
        <w:pStyle w:val="ListParagraph"/>
        <w:numPr>
          <w:ilvl w:val="1"/>
          <w:numId w:val="18"/>
        </w:numPr>
        <w:spacing w:after="240"/>
        <w:rPr>
          <w:rFonts w:ascii="Times New Roman" w:hAnsi="Times New Roman"/>
          <w:sz w:val="24"/>
          <w:szCs w:val="24"/>
        </w:rPr>
      </w:pPr>
      <w:r w:rsidRPr="00A658D8">
        <w:rPr>
          <w:rFonts w:ascii="Times New Roman" w:hAnsi="Times New Roman"/>
          <w:sz w:val="24"/>
          <w:szCs w:val="24"/>
          <w:u w:val="single"/>
        </w:rPr>
        <w:t>Use of Information Collected</w:t>
      </w:r>
      <w:r w:rsidRPr="00A658D8">
        <w:rPr>
          <w:rFonts w:ascii="Times New Roman" w:hAnsi="Times New Roman"/>
          <w:sz w:val="24"/>
          <w:szCs w:val="24"/>
        </w:rPr>
        <w:tab/>
      </w:r>
    </w:p>
    <w:p w:rsidR="000511AD" w:rsidP="000511AD" w14:paraId="320DFF6A" w14:textId="77777777">
      <w:pPr>
        <w:pStyle w:val="ListParagraph"/>
        <w:spacing w:after="240"/>
        <w:ind w:left="1080"/>
        <w:rPr>
          <w:rFonts w:ascii="Times New Roman" w:hAnsi="Times New Roman"/>
          <w:szCs w:val="24"/>
        </w:rPr>
      </w:pPr>
    </w:p>
    <w:p w:rsidR="000511AD" w:rsidRPr="000511AD" w:rsidP="000511AD" w14:paraId="4EEE09AC" w14:textId="6CD4E255">
      <w:pPr>
        <w:pStyle w:val="ListParagraph"/>
        <w:spacing w:after="240"/>
        <w:ind w:left="1080"/>
        <w:rPr>
          <w:rFonts w:ascii="Times New Roman" w:hAnsi="Times New Roman"/>
          <w:sz w:val="24"/>
          <w:szCs w:val="24"/>
        </w:rPr>
      </w:pPr>
      <w:r w:rsidRPr="000511AD">
        <w:rPr>
          <w:rFonts w:ascii="Times New Roman" w:hAnsi="Times New Roman"/>
          <w:sz w:val="24"/>
          <w:szCs w:val="24"/>
        </w:rPr>
        <w:t xml:space="preserve">The </w:t>
      </w:r>
      <w:r>
        <w:rPr>
          <w:rFonts w:ascii="Times New Roman" w:hAnsi="Times New Roman"/>
          <w:sz w:val="24"/>
          <w:szCs w:val="24"/>
        </w:rPr>
        <w:t>Rule</w:t>
      </w:r>
      <w:r w:rsidRPr="000511AD">
        <w:rPr>
          <w:rFonts w:ascii="Times New Roman" w:hAnsi="Times New Roman"/>
          <w:sz w:val="24"/>
          <w:szCs w:val="24"/>
        </w:rPr>
        <w:t xml:space="preserve"> requires </w:t>
      </w:r>
      <w:r>
        <w:rPr>
          <w:rFonts w:ascii="Times New Roman" w:hAnsi="Times New Roman"/>
          <w:sz w:val="24"/>
          <w:szCs w:val="24"/>
        </w:rPr>
        <w:t>IDIs</w:t>
      </w:r>
      <w:r w:rsidRPr="000511AD">
        <w:rPr>
          <w:rFonts w:ascii="Times New Roman" w:hAnsi="Times New Roman"/>
          <w:sz w:val="24"/>
          <w:szCs w:val="24"/>
        </w:rPr>
        <w:t xml:space="preserve"> with $50 billion or more in total assets (covered IDIs or CIDIs) to submit resolution plans periodically. This resolution plan requirement was established to facilitate the FDIC’s readiness to resolve a CIDI under </w:t>
      </w:r>
      <w:r>
        <w:rPr>
          <w:rFonts w:ascii="Times New Roman" w:hAnsi="Times New Roman"/>
          <w:sz w:val="24"/>
          <w:szCs w:val="24"/>
        </w:rPr>
        <w:t>the FDI Act</w:t>
      </w:r>
      <w:r w:rsidRPr="000511AD">
        <w:rPr>
          <w:rFonts w:ascii="Times New Roman" w:hAnsi="Times New Roman"/>
          <w:sz w:val="24"/>
          <w:szCs w:val="24"/>
        </w:rPr>
        <w:t xml:space="preserve"> in the event of its insolvency.</w:t>
      </w:r>
    </w:p>
    <w:p w:rsidR="000511AD" w:rsidP="000511AD" w14:paraId="4DF79E9E" w14:textId="368B56F2">
      <w:pPr>
        <w:ind w:left="1080"/>
        <w:jc w:val="both"/>
        <w:rPr>
          <w:rFonts w:ascii="Times New Roman" w:hAnsi="Times New Roman"/>
          <w:szCs w:val="24"/>
        </w:rPr>
      </w:pPr>
      <w:r>
        <w:rPr>
          <w:rFonts w:ascii="Times New Roman" w:hAnsi="Times New Roman"/>
          <w:szCs w:val="24"/>
        </w:rPr>
        <w:t>The Rule</w:t>
      </w:r>
      <w:r>
        <w:rPr>
          <w:rFonts w:ascii="Times New Roman" w:hAnsi="Times New Roman"/>
          <w:szCs w:val="24"/>
        </w:rPr>
        <w:t xml:space="preserve"> </w:t>
      </w:r>
      <w:r w:rsidRPr="000511AD">
        <w:rPr>
          <w:rFonts w:ascii="Times New Roman" w:hAnsi="Times New Roman"/>
          <w:szCs w:val="24"/>
        </w:rPr>
        <w:t xml:space="preserve">builds on the FDIC’s more than a decade-long experience </w:t>
      </w:r>
      <w:r w:rsidR="0009179F">
        <w:rPr>
          <w:rFonts w:ascii="Times New Roman" w:hAnsi="Times New Roman"/>
          <w:szCs w:val="24"/>
        </w:rPr>
        <w:t xml:space="preserve">by </w:t>
      </w:r>
      <w:r w:rsidRPr="000511AD">
        <w:rPr>
          <w:rFonts w:ascii="Times New Roman" w:hAnsi="Times New Roman"/>
          <w:szCs w:val="24"/>
        </w:rPr>
        <w:t xml:space="preserve">providing guidance and feedback to CIDIs, and leveraging the content of submissions for the development of resolution strategies by the FDIC. Through this process, the FDIC has gained a better understanding of the challenges of resolving CIDIs and the importance of resolution plans and other related submissions to facilitate the FDIC’s readiness in the event of a failure of one of these CIDIs. Part of the challenge arises from the wide range of business models and structures among CIDIs. While some of these CIDIs are engaged largely in traditional banking activities, with nearly all assets and activities conducted within the CIDI or its subsidiaries (the bank chain), others conduct significant non-banking activities. Many of the CIDIs have a broker-dealer subsidiary or affiliate that provides services to bank customers. The CIDIs subject to the </w:t>
      </w:r>
      <w:r>
        <w:rPr>
          <w:rFonts w:ascii="Times New Roman" w:hAnsi="Times New Roman"/>
          <w:szCs w:val="24"/>
        </w:rPr>
        <w:t>Rul</w:t>
      </w:r>
      <w:r w:rsidRPr="000511AD">
        <w:rPr>
          <w:rFonts w:ascii="Times New Roman" w:hAnsi="Times New Roman"/>
          <w:szCs w:val="24"/>
        </w:rPr>
        <w:t>e also include banks primarily engaged in a particular business segment, such as credit card services, as well as U.S. IDIs that are part of large foreign banking organizations. There is no one-size-fits-all resolution approach for these institutions; rather, the FDIC must be prepared to execute a range of resolution options, recognizing the trade-offs among those options. The FDIC’s development of resolution strategies—and its assessment of the options and trade-offs that inform them—benefit from the CIDI’s knowledge of its own firm, an understanding of the CIDI’s relevant capabilities, and an awareness of the impediments to executing an orderly resolution of the CIDI. Across the different CIDI business models and structures, there are a variety of factors that increase the challenges and complexity of resolution in the event of the failure of these large banks. These factors include deposit profile as well as size and organizational complexity.</w:t>
      </w:r>
    </w:p>
    <w:p w:rsidR="000511AD" w:rsidP="00D16271" w14:paraId="3482B901" w14:textId="79507FB6">
      <w:pPr>
        <w:ind w:left="1080"/>
        <w:jc w:val="both"/>
        <w:rPr>
          <w:rFonts w:ascii="Times New Roman" w:hAnsi="Times New Roman"/>
          <w:szCs w:val="24"/>
        </w:rPr>
      </w:pPr>
    </w:p>
    <w:p w:rsidR="00A72BC7" w:rsidP="00A72BC7" w14:paraId="35261F30" w14:textId="19E56AE2">
      <w:pPr>
        <w:ind w:left="1080"/>
        <w:jc w:val="both"/>
        <w:rPr>
          <w:rFonts w:ascii="Times New Roman" w:hAnsi="Times New Roman"/>
          <w:szCs w:val="24"/>
        </w:rPr>
      </w:pPr>
      <w:r>
        <w:rPr>
          <w:rFonts w:ascii="Times New Roman" w:hAnsi="Times New Roman"/>
          <w:szCs w:val="24"/>
        </w:rPr>
        <w:t>The Rule revisions</w:t>
      </w:r>
      <w:r>
        <w:rPr>
          <w:rFonts w:ascii="Times New Roman" w:hAnsi="Times New Roman"/>
          <w:szCs w:val="24"/>
        </w:rPr>
        <w:t xml:space="preserve"> </w:t>
      </w:r>
      <w:r>
        <w:rPr>
          <w:rFonts w:ascii="Times New Roman" w:hAnsi="Times New Roman"/>
          <w:szCs w:val="24"/>
        </w:rPr>
        <w:t>address</w:t>
      </w:r>
      <w:r w:rsidRPr="00A72BC7">
        <w:rPr>
          <w:rFonts w:ascii="Times New Roman" w:hAnsi="Times New Roman"/>
          <w:szCs w:val="24"/>
        </w:rPr>
        <w:t xml:space="preserve"> two distinct groups of CIDIs based on size, with differing corresponding obligations for each group under the </w:t>
      </w:r>
      <w:r>
        <w:rPr>
          <w:rFonts w:ascii="Times New Roman" w:hAnsi="Times New Roman"/>
          <w:szCs w:val="24"/>
        </w:rPr>
        <w:t>Rule</w:t>
      </w:r>
      <w:r w:rsidRPr="00A72BC7">
        <w:rPr>
          <w:rFonts w:ascii="Times New Roman" w:hAnsi="Times New Roman"/>
          <w:szCs w:val="24"/>
        </w:rPr>
        <w:t>.</w:t>
      </w:r>
      <w:r>
        <w:rPr>
          <w:rFonts w:ascii="Times New Roman" w:hAnsi="Times New Roman"/>
          <w:szCs w:val="24"/>
        </w:rPr>
        <w:t xml:space="preserve">  </w:t>
      </w:r>
      <w:r w:rsidRPr="00A72BC7">
        <w:rPr>
          <w:rFonts w:ascii="Times New Roman" w:hAnsi="Times New Roman"/>
          <w:szCs w:val="24"/>
        </w:rPr>
        <w:t xml:space="preserve">The first group comprises those IDIs with $100 billion or more in total assets (group A CIDIs). The </w:t>
      </w:r>
      <w:r>
        <w:rPr>
          <w:rFonts w:ascii="Times New Roman" w:hAnsi="Times New Roman"/>
          <w:szCs w:val="24"/>
        </w:rPr>
        <w:t>Rule</w:t>
      </w:r>
      <w:r w:rsidRPr="00A72BC7">
        <w:rPr>
          <w:rFonts w:ascii="Times New Roman" w:hAnsi="Times New Roman"/>
          <w:szCs w:val="24"/>
        </w:rPr>
        <w:t xml:space="preserve"> require</w:t>
      </w:r>
      <w:r>
        <w:rPr>
          <w:rFonts w:ascii="Times New Roman" w:hAnsi="Times New Roman"/>
          <w:szCs w:val="24"/>
        </w:rPr>
        <w:t>s</w:t>
      </w:r>
      <w:r w:rsidRPr="00A72BC7">
        <w:rPr>
          <w:rFonts w:ascii="Times New Roman" w:hAnsi="Times New Roman"/>
          <w:szCs w:val="24"/>
        </w:rPr>
        <w:t xml:space="preserve"> group A CIDIs to submit full resolution plans containing an identified strategy appropriate to the CIDI for its orderly and efficient resolution, as well as providing all other content elements described in the </w:t>
      </w:r>
      <w:r>
        <w:rPr>
          <w:rFonts w:ascii="Times New Roman" w:hAnsi="Times New Roman"/>
          <w:szCs w:val="24"/>
        </w:rPr>
        <w:t>Rule</w:t>
      </w:r>
      <w:r w:rsidRPr="00A72BC7">
        <w:rPr>
          <w:rFonts w:ascii="Times New Roman" w:hAnsi="Times New Roman"/>
          <w:szCs w:val="24"/>
        </w:rPr>
        <w:t xml:space="preserve">. </w:t>
      </w:r>
    </w:p>
    <w:p w:rsidR="00A72BC7" w:rsidP="00A72BC7" w14:paraId="521624E0" w14:textId="77777777">
      <w:pPr>
        <w:ind w:left="1080"/>
        <w:jc w:val="both"/>
        <w:rPr>
          <w:rFonts w:ascii="Times New Roman" w:hAnsi="Times New Roman"/>
          <w:szCs w:val="24"/>
        </w:rPr>
      </w:pPr>
    </w:p>
    <w:p w:rsidR="00A72BC7" w:rsidP="00A72BC7" w14:paraId="6246C13F" w14:textId="460FEBF9">
      <w:pPr>
        <w:ind w:left="1080"/>
        <w:jc w:val="both"/>
        <w:rPr>
          <w:rFonts w:ascii="Times New Roman" w:hAnsi="Times New Roman"/>
          <w:szCs w:val="24"/>
        </w:rPr>
      </w:pPr>
      <w:r w:rsidRPr="00A72BC7">
        <w:rPr>
          <w:rFonts w:ascii="Times New Roman" w:hAnsi="Times New Roman"/>
          <w:szCs w:val="24"/>
        </w:rPr>
        <w:t>The second group comprises those IDIs with at least $50 billion but less than $100 billion in total assets (group B CIDIs). The</w:t>
      </w:r>
      <w:r w:rsidR="0009179F">
        <w:rPr>
          <w:rFonts w:ascii="Times New Roman" w:hAnsi="Times New Roman"/>
          <w:szCs w:val="24"/>
        </w:rPr>
        <w:t xml:space="preserve"> Rule</w:t>
      </w:r>
      <w:r w:rsidRPr="00A72BC7">
        <w:rPr>
          <w:rFonts w:ascii="Times New Roman" w:hAnsi="Times New Roman"/>
          <w:szCs w:val="24"/>
        </w:rPr>
        <w:t xml:space="preserve"> require</w:t>
      </w:r>
      <w:r w:rsidR="0009179F">
        <w:rPr>
          <w:rFonts w:ascii="Times New Roman" w:hAnsi="Times New Roman"/>
          <w:szCs w:val="24"/>
        </w:rPr>
        <w:t>s</w:t>
      </w:r>
      <w:r w:rsidRPr="00A72BC7">
        <w:rPr>
          <w:rFonts w:ascii="Times New Roman" w:hAnsi="Times New Roman"/>
          <w:szCs w:val="24"/>
        </w:rPr>
        <w:t xml:space="preserve"> resolution submissions from group B CIDIs in the form of an informational filing. The informational filing would not require development of an identified strategy for resolution nor the demonstration of capabilities necessary to produce valuations needed in assessing the least-cost test. All CIDIs would be required to participate in engagement and capabilities testing regarding matters related to their resolution submissions.</w:t>
      </w:r>
    </w:p>
    <w:p w:rsidR="00A72BC7" w:rsidRPr="00A72BC7" w:rsidP="00A72BC7" w14:paraId="3060C4D9" w14:textId="77777777">
      <w:pPr>
        <w:ind w:left="1080"/>
        <w:jc w:val="both"/>
        <w:rPr>
          <w:rFonts w:ascii="Times New Roman" w:hAnsi="Times New Roman"/>
          <w:szCs w:val="24"/>
        </w:rPr>
      </w:pPr>
    </w:p>
    <w:p w:rsidR="00A72BC7" w:rsidP="00A72BC7" w14:paraId="4F7084A6" w14:textId="73B19F3A">
      <w:pPr>
        <w:ind w:left="1080"/>
        <w:jc w:val="both"/>
        <w:rPr>
          <w:rFonts w:ascii="Times New Roman" w:hAnsi="Times New Roman"/>
          <w:szCs w:val="24"/>
        </w:rPr>
      </w:pPr>
      <w:r w:rsidRPr="00A72BC7">
        <w:rPr>
          <w:rFonts w:ascii="Times New Roman" w:hAnsi="Times New Roman"/>
          <w:szCs w:val="24"/>
        </w:rPr>
        <w:t xml:space="preserve">Based upon these considerations, and the FDIC’s experience in planning for and </w:t>
      </w:r>
      <w:r w:rsidR="0009179F">
        <w:rPr>
          <w:rFonts w:ascii="Times New Roman" w:hAnsi="Times New Roman"/>
          <w:szCs w:val="24"/>
        </w:rPr>
        <w:t>executing bank resolutions, the FDIC is implementing</w:t>
      </w:r>
      <w:r w:rsidRPr="00A72BC7">
        <w:rPr>
          <w:rFonts w:ascii="Times New Roman" w:hAnsi="Times New Roman"/>
          <w:szCs w:val="24"/>
        </w:rPr>
        <w:t xml:space="preserve"> changes intended to make the resolution submissions more useful and appropriately focused on the resolution challenges presented by both group A CIDIs and group B CIDIs.</w:t>
      </w:r>
    </w:p>
    <w:p w:rsidR="00A72BC7" w:rsidRPr="00A72BC7" w:rsidP="00A72BC7" w14:paraId="2D60594A" w14:textId="77777777">
      <w:pPr>
        <w:ind w:left="1080"/>
        <w:jc w:val="both"/>
        <w:rPr>
          <w:rFonts w:ascii="Times New Roman" w:hAnsi="Times New Roman"/>
          <w:szCs w:val="24"/>
        </w:rPr>
      </w:pPr>
    </w:p>
    <w:p w:rsidR="008D5DF3" w:rsidRPr="00A658D8" w:rsidP="006D1B84" w14:paraId="402DF332"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Use of Technology to Reduce Burden</w:t>
      </w:r>
    </w:p>
    <w:p w:rsidR="008D5DF3" w:rsidRPr="00A658D8" w:rsidP="006D1B84" w14:paraId="3DD78DC5" w14:textId="109CE367">
      <w:pPr>
        <w:pStyle w:val="BodyText"/>
        <w:ind w:left="1080"/>
        <w:rPr>
          <w:i w:val="0"/>
          <w:iCs w:val="0"/>
          <w:szCs w:val="24"/>
        </w:rPr>
      </w:pPr>
      <w:r w:rsidRPr="00A658D8">
        <w:rPr>
          <w:i w:val="0"/>
          <w:iCs w:val="0"/>
          <w:szCs w:val="24"/>
        </w:rPr>
        <w:t xml:space="preserve">Respondents may use any information technology that permits review by FDIC </w:t>
      </w:r>
      <w:r w:rsidR="00EE4CEC">
        <w:rPr>
          <w:i w:val="0"/>
          <w:iCs w:val="0"/>
          <w:szCs w:val="24"/>
        </w:rPr>
        <w:t>staff</w:t>
      </w:r>
      <w:r w:rsidRPr="00A658D8">
        <w:rPr>
          <w:i w:val="0"/>
          <w:iCs w:val="0"/>
          <w:szCs w:val="24"/>
        </w:rPr>
        <w:t>.</w:t>
      </w:r>
    </w:p>
    <w:p w:rsidR="008D5DF3" w:rsidRPr="00A658D8" w:rsidP="00850D6B" w14:paraId="116698C9" w14:textId="77777777">
      <w:pPr>
        <w:tabs>
          <w:tab w:val="left" w:pos="-1440"/>
        </w:tabs>
        <w:ind w:left="720" w:hanging="720"/>
        <w:rPr>
          <w:rFonts w:ascii="Times New Roman" w:hAnsi="Times New Roman"/>
          <w:szCs w:val="24"/>
        </w:rPr>
      </w:pPr>
    </w:p>
    <w:p w:rsidR="006D1B84" w:rsidRPr="00A658D8" w:rsidP="006D1B84" w14:paraId="27FFFECF"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Efforts to Identify Duplication</w:t>
      </w:r>
    </w:p>
    <w:p w:rsidR="008D5DF3" w:rsidRPr="00A658D8" w:rsidP="006D1B84" w14:paraId="22DF0FFC" w14:textId="075DC8C4">
      <w:pPr>
        <w:ind w:left="1080"/>
        <w:rPr>
          <w:rFonts w:ascii="Times New Roman" w:hAnsi="Times New Roman"/>
          <w:szCs w:val="24"/>
        </w:rPr>
      </w:pPr>
      <w:r>
        <w:rPr>
          <w:rFonts w:ascii="Times New Roman" w:hAnsi="Times New Roman"/>
          <w:szCs w:val="24"/>
        </w:rPr>
        <w:t>The collection required is unique and is structured to avoid duplication of other collections</w:t>
      </w:r>
      <w:r w:rsidRPr="00A658D8">
        <w:rPr>
          <w:rFonts w:ascii="Times New Roman" w:hAnsi="Times New Roman"/>
          <w:szCs w:val="24"/>
        </w:rPr>
        <w:t>.</w:t>
      </w:r>
    </w:p>
    <w:p w:rsidR="00CF5845" w:rsidRPr="00A658D8" w:rsidP="00CF5845" w14:paraId="627506A5" w14:textId="77777777">
      <w:pPr>
        <w:widowControl/>
        <w:rPr>
          <w:rFonts w:ascii="Times New Roman" w:hAnsi="Times New Roman"/>
          <w:szCs w:val="24"/>
        </w:rPr>
      </w:pPr>
    </w:p>
    <w:p w:rsidR="00CF5845" w:rsidRPr="00A658D8" w:rsidP="00CF5845" w14:paraId="3E8CC873"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Minimizing Burden on Small Entities</w:t>
      </w:r>
    </w:p>
    <w:p w:rsidR="008D5DF3" w:rsidRPr="00A658D8" w:rsidP="00CF5845" w14:paraId="39F2BBD2" w14:textId="14227B91">
      <w:pPr>
        <w:ind w:left="360" w:firstLine="720"/>
        <w:outlineLvl w:val="0"/>
        <w:rPr>
          <w:rFonts w:ascii="Times New Roman" w:hAnsi="Times New Roman"/>
          <w:szCs w:val="24"/>
        </w:rPr>
      </w:pPr>
      <w:r w:rsidRPr="00A658D8">
        <w:rPr>
          <w:rFonts w:ascii="Times New Roman" w:hAnsi="Times New Roman"/>
          <w:szCs w:val="24"/>
        </w:rPr>
        <w:t>Not applicable.</w:t>
      </w:r>
      <w:r w:rsidR="0009179F">
        <w:rPr>
          <w:rFonts w:ascii="Times New Roman" w:hAnsi="Times New Roman"/>
          <w:szCs w:val="24"/>
        </w:rPr>
        <w:t xml:space="preserve">  CIDIs are not small entities.</w:t>
      </w:r>
      <w:r w:rsidRPr="00A658D8">
        <w:rPr>
          <w:rFonts w:ascii="Times New Roman" w:hAnsi="Times New Roman"/>
          <w:szCs w:val="24"/>
        </w:rPr>
        <w:t xml:space="preserve"> </w:t>
      </w:r>
    </w:p>
    <w:p w:rsidR="008D5DF3" w:rsidRPr="00A658D8" w:rsidP="00850D6B" w14:paraId="301C2B2D" w14:textId="77777777">
      <w:pPr>
        <w:tabs>
          <w:tab w:val="left" w:pos="-1440"/>
        </w:tabs>
        <w:ind w:left="720" w:hanging="720"/>
        <w:outlineLvl w:val="0"/>
        <w:rPr>
          <w:rFonts w:ascii="Times New Roman" w:hAnsi="Times New Roman"/>
          <w:szCs w:val="24"/>
        </w:rPr>
      </w:pPr>
    </w:p>
    <w:p w:rsidR="008D5DF3" w:rsidRPr="00A658D8" w:rsidP="00CF5845" w14:paraId="43B1268D"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Consequences to </w:t>
      </w:r>
      <w:r w:rsidRPr="00A658D8" w:rsidR="00CF5845">
        <w:rPr>
          <w:rFonts w:ascii="Times New Roman" w:hAnsi="Times New Roman"/>
          <w:sz w:val="24"/>
          <w:szCs w:val="24"/>
          <w:u w:val="single"/>
        </w:rPr>
        <w:t>Less Frequent Collections</w:t>
      </w:r>
    </w:p>
    <w:p w:rsidR="00226BAF" w:rsidP="00A72BC7" w14:paraId="7C234298" w14:textId="7C0450F0">
      <w:pPr>
        <w:tabs>
          <w:tab w:val="left" w:pos="-1440"/>
        </w:tabs>
        <w:ind w:left="1080"/>
        <w:outlineLvl w:val="0"/>
        <w:rPr>
          <w:rFonts w:ascii="Times New Roman" w:hAnsi="Times New Roman"/>
          <w:szCs w:val="24"/>
        </w:rPr>
      </w:pPr>
      <w:r w:rsidRPr="002C757A">
        <w:rPr>
          <w:rFonts w:ascii="Times New Roman" w:hAnsi="Times New Roman"/>
          <w:szCs w:val="24"/>
        </w:rPr>
        <w:t xml:space="preserve">The failure of a large, complex </w:t>
      </w:r>
      <w:r w:rsidR="00A72BC7">
        <w:rPr>
          <w:rFonts w:ascii="Times New Roman" w:hAnsi="Times New Roman"/>
          <w:szCs w:val="24"/>
        </w:rPr>
        <w:t>CIDI</w:t>
      </w:r>
      <w:r w:rsidRPr="002C757A">
        <w:rPr>
          <w:rFonts w:ascii="Times New Roman" w:hAnsi="Times New Roman"/>
          <w:szCs w:val="24"/>
        </w:rPr>
        <w:t xml:space="preserve"> is likely to present operational challenges in resolution, particularly if operations must be initiated in a bridge </w:t>
      </w:r>
      <w:r w:rsidR="008334D8">
        <w:rPr>
          <w:rFonts w:ascii="Times New Roman" w:hAnsi="Times New Roman"/>
          <w:szCs w:val="24"/>
        </w:rPr>
        <w:t>depository institution</w:t>
      </w:r>
      <w:r w:rsidRPr="002C757A">
        <w:rPr>
          <w:rFonts w:ascii="Times New Roman" w:hAnsi="Times New Roman"/>
          <w:szCs w:val="24"/>
        </w:rPr>
        <w:t>. Through the FDIC’s experience in failed bank resolutions, particular in the 2008-2009 financial crisis</w:t>
      </w:r>
      <w:r w:rsidR="00A72BC7">
        <w:rPr>
          <w:rFonts w:ascii="Times New Roman" w:hAnsi="Times New Roman"/>
          <w:szCs w:val="24"/>
        </w:rPr>
        <w:t xml:space="preserve">, and now with the recent </w:t>
      </w:r>
      <w:r w:rsidRPr="00A72BC7" w:rsidR="00A72BC7">
        <w:rPr>
          <w:rFonts w:ascii="Times New Roman" w:hAnsi="Times New Roman"/>
          <w:szCs w:val="24"/>
        </w:rPr>
        <w:t>failures of three large banks in the spring of 2023; Silicon Valley Bank (SVB), Signature Bank and First Republic Bank underscore the importance of robust resolution planning in advance of failure, particularly for these large and complex CIDIs. The speed of bank runs has been accelerated by advances in banking technology that allow deposits to move electronically, with no need to stand in line or wait for physical checks or bills. Advances in communications technology allow a message to reach hundreds of millions of screens instantaneously. In the case of SVB, the speed of the run was the fastest and largest withdrawal of deposits in a single day in the nation’s history. From a resolution planning perspective, this new reality underscores the need for effective resolution planning long before a bank’s failure is on the horizon.</w:t>
      </w:r>
      <w:r w:rsidR="00A72BC7">
        <w:rPr>
          <w:rFonts w:ascii="Times New Roman" w:hAnsi="Times New Roman"/>
          <w:szCs w:val="24"/>
        </w:rPr>
        <w:t xml:space="preserve"> </w:t>
      </w:r>
    </w:p>
    <w:p w:rsidR="00226BAF" w:rsidRPr="00A658D8" w:rsidP="004D5F88" w14:paraId="6FBEC8D6" w14:textId="77777777">
      <w:pPr>
        <w:tabs>
          <w:tab w:val="left" w:pos="-1440"/>
        </w:tabs>
        <w:outlineLvl w:val="0"/>
        <w:rPr>
          <w:rFonts w:ascii="Times New Roman" w:hAnsi="Times New Roman"/>
          <w:szCs w:val="24"/>
        </w:rPr>
      </w:pPr>
    </w:p>
    <w:p w:rsidR="008D5DF3" w:rsidRPr="00A658D8" w:rsidP="00CF5845" w14:paraId="052BB142"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Special </w:t>
      </w:r>
      <w:r w:rsidRPr="00A658D8" w:rsidR="00CF5845">
        <w:rPr>
          <w:rFonts w:ascii="Times New Roman" w:hAnsi="Times New Roman"/>
          <w:sz w:val="24"/>
          <w:szCs w:val="24"/>
          <w:u w:val="single"/>
        </w:rPr>
        <w:t>Circumstances</w:t>
      </w:r>
    </w:p>
    <w:p w:rsidR="008D5DF3" w:rsidP="00CF5845" w14:paraId="783BD9A9" w14:textId="0B3B30A2">
      <w:pPr>
        <w:ind w:left="1080"/>
        <w:rPr>
          <w:rFonts w:ascii="Times New Roman" w:hAnsi="Times New Roman"/>
          <w:szCs w:val="24"/>
        </w:rPr>
      </w:pPr>
      <w:r>
        <w:rPr>
          <w:rFonts w:ascii="Times New Roman" w:hAnsi="Times New Roman"/>
          <w:szCs w:val="24"/>
        </w:rPr>
        <w:t xml:space="preserve">None. </w:t>
      </w:r>
    </w:p>
    <w:p w:rsidR="0009179F" w:rsidRPr="00A658D8" w:rsidP="00CF5845" w14:paraId="78C56322" w14:textId="77777777">
      <w:pPr>
        <w:ind w:left="1080"/>
        <w:rPr>
          <w:rFonts w:ascii="Times New Roman" w:hAnsi="Times New Roman"/>
          <w:szCs w:val="24"/>
        </w:rPr>
      </w:pPr>
    </w:p>
    <w:p w:rsidR="00CF5845" w:rsidRPr="00A658D8" w:rsidP="00CF5845" w14:paraId="2374FFD9"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Consultation with Persons Outside the FDIC</w:t>
      </w:r>
    </w:p>
    <w:p w:rsidR="00DD275F" w:rsidP="00DD275F" w14:paraId="1C59DD60" w14:textId="4E14B703">
      <w:pPr>
        <w:ind w:left="1080"/>
        <w:outlineLvl w:val="0"/>
        <w:rPr>
          <w:rFonts w:ascii="Times New Roman" w:hAnsi="Times New Roman"/>
        </w:rPr>
      </w:pPr>
      <w:r w:rsidRPr="00652BBE">
        <w:rPr>
          <w:rFonts w:ascii="Times New Roman" w:hAnsi="Times New Roman"/>
        </w:rPr>
        <w:t xml:space="preserve">The </w:t>
      </w:r>
      <w:r>
        <w:rPr>
          <w:rFonts w:ascii="Times New Roman" w:hAnsi="Times New Roman"/>
        </w:rPr>
        <w:t>FDIC</w:t>
      </w:r>
      <w:r w:rsidR="0009179F">
        <w:rPr>
          <w:rFonts w:ascii="Times New Roman" w:hAnsi="Times New Roman"/>
        </w:rPr>
        <w:t xml:space="preserve"> published a notice of proposed rulemaking</w:t>
      </w:r>
      <w:r w:rsidRPr="00652BBE">
        <w:rPr>
          <w:rFonts w:ascii="Times New Roman" w:hAnsi="Times New Roman"/>
        </w:rPr>
        <w:t xml:space="preserve"> in the </w:t>
      </w:r>
      <w:r w:rsidRPr="00652BBE">
        <w:rPr>
          <w:rFonts w:ascii="Times New Roman" w:hAnsi="Times New Roman"/>
          <w:i/>
        </w:rPr>
        <w:t>Federal Register</w:t>
      </w:r>
      <w:r w:rsidRPr="00652BBE">
        <w:rPr>
          <w:rFonts w:ascii="Times New Roman" w:hAnsi="Times New Roman"/>
        </w:rPr>
        <w:t xml:space="preserve"> (88 FR </w:t>
      </w:r>
      <w:r>
        <w:rPr>
          <w:rFonts w:ascii="Times New Roman" w:hAnsi="Times New Roman"/>
        </w:rPr>
        <w:t>64579, September 19</w:t>
      </w:r>
      <w:r w:rsidR="0009179F">
        <w:rPr>
          <w:rFonts w:ascii="Times New Roman" w:hAnsi="Times New Roman"/>
        </w:rPr>
        <w:t xml:space="preserve">, 2023).  </w:t>
      </w:r>
      <w:r w:rsidRPr="00DD275F">
        <w:rPr>
          <w:rFonts w:ascii="Times New Roman" w:hAnsi="Times New Roman"/>
        </w:rPr>
        <w:t xml:space="preserve">The FDIC received 12 comment letters to the proposal from banking organizations, industry and trade groups representing the banking and financial services industry, a law firm, </w:t>
      </w:r>
      <w:r>
        <w:rPr>
          <w:rFonts w:ascii="Times New Roman" w:hAnsi="Times New Roman"/>
        </w:rPr>
        <w:t>and consumer groups.</w:t>
      </w:r>
    </w:p>
    <w:p w:rsidR="00DD275F" w:rsidRPr="00DD275F" w:rsidP="00DD275F" w14:paraId="0BBDB9FF" w14:textId="77777777">
      <w:pPr>
        <w:ind w:left="1080"/>
        <w:outlineLvl w:val="0"/>
        <w:rPr>
          <w:rFonts w:ascii="Times New Roman" w:hAnsi="Times New Roman"/>
        </w:rPr>
      </w:pPr>
    </w:p>
    <w:p w:rsidR="004A3BFA" w:rsidP="00DD275F" w14:paraId="75340158" w14:textId="1EEBB236">
      <w:pPr>
        <w:spacing w:after="240"/>
        <w:ind w:left="1080"/>
        <w:outlineLvl w:val="0"/>
        <w:rPr>
          <w:rFonts w:ascii="Times New Roman" w:hAnsi="Times New Roman"/>
        </w:rPr>
      </w:pPr>
      <w:r w:rsidRPr="00DD275F">
        <w:rPr>
          <w:rFonts w:ascii="Times New Roman" w:hAnsi="Times New Roman"/>
        </w:rPr>
        <w:t xml:space="preserve">The comments received generally were responsive to questions posed by the FDIC in the NPR. The majority of commenters suggested changes to reduce the costs of submission preparation for filers, including by adjusting the proposed submission cycle, narrowing the proposed scope and content requirements, and enhancing alignment with relevant resolution planning requirements of the </w:t>
      </w:r>
      <w:r>
        <w:rPr>
          <w:rFonts w:ascii="Times New Roman" w:hAnsi="Times New Roman"/>
        </w:rPr>
        <w:t>Dodd-Frank Act</w:t>
      </w:r>
      <w:r w:rsidRPr="00DD275F">
        <w:rPr>
          <w:rFonts w:ascii="Times New Roman" w:hAnsi="Times New Roman"/>
        </w:rPr>
        <w:t xml:space="preserve"> rule. Several commenters raised concerns about the enhanced credibility standard, and asked for greater clarity on engagement and capability testing. Three commenters offered broad support for the proposed rule as written.</w:t>
      </w:r>
    </w:p>
    <w:p w:rsidR="00DD275F" w:rsidP="00DD275F" w14:paraId="1DE7CD23" w14:textId="4FED49A5">
      <w:pPr>
        <w:ind w:left="1080"/>
        <w:outlineLvl w:val="0"/>
        <w:rPr>
          <w:rFonts w:ascii="Times New Roman" w:hAnsi="Times New Roman"/>
          <w:bCs/>
        </w:rPr>
      </w:pPr>
      <w:r w:rsidRPr="00DD275F">
        <w:rPr>
          <w:rFonts w:ascii="Times New Roman" w:hAnsi="Times New Roman"/>
          <w:bCs/>
        </w:rPr>
        <w:t xml:space="preserve">The FDIC considered all comments received and has adopted certain changes to the proposed rule as discussed </w:t>
      </w:r>
      <w:r>
        <w:rPr>
          <w:rFonts w:ascii="Times New Roman" w:hAnsi="Times New Roman"/>
        </w:rPr>
        <w:t xml:space="preserve">in the Final Rule </w:t>
      </w:r>
      <w:r>
        <w:rPr>
          <w:rFonts w:ascii="Times New Roman" w:hAnsi="Times New Roman"/>
        </w:rPr>
        <w:t xml:space="preserve">preamble </w:t>
      </w:r>
      <w:r>
        <w:rPr>
          <w:rFonts w:ascii="Times New Roman" w:hAnsi="Times New Roman"/>
        </w:rPr>
        <w:t>published in the Federal Register on July 9, 2024 (89 FR 56620).</w:t>
      </w:r>
      <w:r w:rsidRPr="00DD275F">
        <w:rPr>
          <w:rFonts w:ascii="Times New Roman" w:hAnsi="Times New Roman"/>
          <w:bCs/>
        </w:rPr>
        <w:t xml:space="preserve"> In addition, the FDIC made certain technical, non-substantive changes throughout, including corrections to paragraph numbering and grammar, improving word choice for readability, and eliminating redundancy.</w:t>
      </w:r>
    </w:p>
    <w:p w:rsidR="00032880" w:rsidP="00DD275F" w14:paraId="5D2F2E22" w14:textId="182A0957">
      <w:pPr>
        <w:ind w:left="1080"/>
        <w:outlineLvl w:val="0"/>
        <w:rPr>
          <w:rFonts w:ascii="Times New Roman" w:hAnsi="Times New Roman"/>
          <w:bCs/>
        </w:rPr>
      </w:pPr>
    </w:p>
    <w:p w:rsidR="00032880" w:rsidP="00032880" w14:paraId="7594DBE9" w14:textId="497D2D8F">
      <w:pPr>
        <w:ind w:left="1080"/>
        <w:outlineLvl w:val="0"/>
        <w:rPr>
          <w:rFonts w:ascii="Times New Roman" w:hAnsi="Times New Roman"/>
          <w:bCs/>
        </w:rPr>
      </w:pPr>
      <w:r w:rsidRPr="00032880">
        <w:rPr>
          <w:rFonts w:ascii="Times New Roman" w:hAnsi="Times New Roman"/>
          <w:bCs/>
        </w:rPr>
        <w:t>The FDIC received comments that appear to relate to the PRA. As stated above, the majority of commenters suggested changes to reduce the costs of submission preparation for filers, including by adjusting the proposed submission cycle, narrowing the proposed scope and content requirements, and enhancing alignment with relevant resolution planning requirements of the DFA rule. Additionally, one commenter raised questions ab</w:t>
      </w:r>
      <w:r>
        <w:rPr>
          <w:rFonts w:ascii="Times New Roman" w:hAnsi="Times New Roman"/>
          <w:bCs/>
        </w:rPr>
        <w:t>out the FDIC’s burden estimate.</w:t>
      </w:r>
    </w:p>
    <w:p w:rsidR="00032880" w:rsidRPr="00032880" w:rsidP="00032880" w14:paraId="624995D9" w14:textId="77777777">
      <w:pPr>
        <w:ind w:left="1080"/>
        <w:outlineLvl w:val="0"/>
        <w:rPr>
          <w:rFonts w:ascii="Times New Roman" w:hAnsi="Times New Roman"/>
          <w:bCs/>
        </w:rPr>
      </w:pPr>
    </w:p>
    <w:p w:rsidR="00032880" w:rsidP="00032880" w14:paraId="7BB266F1" w14:textId="77777777">
      <w:pPr>
        <w:ind w:left="1080"/>
        <w:outlineLvl w:val="0"/>
        <w:rPr>
          <w:rFonts w:ascii="Times New Roman" w:hAnsi="Times New Roman"/>
          <w:bCs/>
        </w:rPr>
      </w:pPr>
      <w:r>
        <w:rPr>
          <w:rFonts w:ascii="Times New Roman" w:hAnsi="Times New Roman"/>
          <w:bCs/>
        </w:rPr>
        <w:t>The Rule</w:t>
      </w:r>
      <w:r w:rsidRPr="00032880">
        <w:rPr>
          <w:rFonts w:ascii="Times New Roman" w:hAnsi="Times New Roman"/>
          <w:bCs/>
        </w:rPr>
        <w:t xml:space="preserve"> modifies the current filing cycle cadence for group A CIDIs that are affiliated with U.S. GSIBs from triennial to biennial, which will result in these CIDIs sometimes filing multiple full resolution submissions across a given three-year PRA renewal cycle. On content, the final rule does not differ substantially from the proposed rule. The final rule retains the proposed rule’s requirement for group A CIDIs and group B CIDIs to submit interim supplements to the FDIC in calendar years where they are not expected to file full resolution submissions, except in the case of the biennial filers who are also not expected to file in calendar years when they file DFA resolution plans.</w:t>
      </w:r>
    </w:p>
    <w:p w:rsidR="00032880" w:rsidP="00032880" w14:paraId="070889EB" w14:textId="77777777">
      <w:pPr>
        <w:ind w:left="1080"/>
        <w:outlineLvl w:val="0"/>
        <w:rPr>
          <w:rFonts w:ascii="Times New Roman" w:hAnsi="Times New Roman"/>
          <w:bCs/>
        </w:rPr>
      </w:pPr>
    </w:p>
    <w:p w:rsidR="00032880" w:rsidRPr="00DD275F" w:rsidP="00032880" w14:paraId="1FB5150A" w14:textId="1D5CAA93">
      <w:pPr>
        <w:ind w:left="1080"/>
        <w:outlineLvl w:val="0"/>
        <w:rPr>
          <w:rFonts w:ascii="Times New Roman" w:hAnsi="Times New Roman"/>
          <w:bCs/>
        </w:rPr>
      </w:pPr>
      <w:r w:rsidRPr="00032880">
        <w:rPr>
          <w:rFonts w:ascii="Times New Roman" w:hAnsi="Times New Roman"/>
          <w:bCs/>
        </w:rPr>
        <w:t xml:space="preserve"> On engagement and capabilities testing, the final rule is broadly similar to the proposed rule. The change in submission cycle resulted in an increased expectation for engagement with group A CIDI triennial filers, as discussed above. Therefore, the estimate for subsequent full resolution submissions for group A CIDIs which are filing triennially has been increased from 72 hours per billion dollars in assets to 73 hours per billion dollars in assets, which would affect the estimates in Information Collection #2, described in Table 1 below. For subsequent plan submissions for group A CIDIs which are filing biennially, the estimate remains at 72 hours per billion dollars in assets.</w:t>
      </w:r>
    </w:p>
    <w:p w:rsidR="00652BBE" w:rsidRPr="00A658D8" w:rsidP="00DD275F" w14:paraId="55375BF8" w14:textId="0C954564">
      <w:pPr>
        <w:outlineLvl w:val="0"/>
        <w:rPr>
          <w:rFonts w:ascii="Times New Roman" w:hAnsi="Times New Roman"/>
          <w:szCs w:val="24"/>
        </w:rPr>
      </w:pPr>
    </w:p>
    <w:p w:rsidR="008D5DF3" w:rsidRPr="00A658D8" w:rsidP="00CF5845" w14:paraId="307EA246"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Payment </w:t>
      </w:r>
      <w:r w:rsidRPr="00A658D8" w:rsidR="00CF5845">
        <w:rPr>
          <w:rFonts w:ascii="Times New Roman" w:hAnsi="Times New Roman"/>
          <w:sz w:val="24"/>
          <w:szCs w:val="24"/>
          <w:u w:val="single"/>
        </w:rPr>
        <w:t>or Gifts to R</w:t>
      </w:r>
      <w:r w:rsidRPr="00A658D8">
        <w:rPr>
          <w:rFonts w:ascii="Times New Roman" w:hAnsi="Times New Roman"/>
          <w:sz w:val="24"/>
          <w:szCs w:val="24"/>
          <w:u w:val="single"/>
        </w:rPr>
        <w:t>espondents</w:t>
      </w:r>
    </w:p>
    <w:p w:rsidR="008D5DF3" w:rsidP="00CF5845" w14:paraId="05243013" w14:textId="77777777">
      <w:pPr>
        <w:ind w:left="360" w:firstLine="720"/>
        <w:outlineLvl w:val="0"/>
        <w:rPr>
          <w:rFonts w:ascii="Times New Roman" w:hAnsi="Times New Roman"/>
          <w:szCs w:val="24"/>
        </w:rPr>
      </w:pPr>
      <w:r w:rsidRPr="00A658D8">
        <w:rPr>
          <w:rFonts w:ascii="Times New Roman" w:hAnsi="Times New Roman"/>
          <w:szCs w:val="24"/>
        </w:rPr>
        <w:t>None.</w:t>
      </w:r>
    </w:p>
    <w:p w:rsidR="008D5DF3" w:rsidRPr="00A658D8" w:rsidP="00850D6B" w14:paraId="5854F7CE" w14:textId="77777777">
      <w:pPr>
        <w:rPr>
          <w:rFonts w:ascii="Times New Roman" w:hAnsi="Times New Roman"/>
          <w:szCs w:val="24"/>
        </w:rPr>
      </w:pPr>
    </w:p>
    <w:p w:rsidR="00A658D8" w:rsidP="00A658D8" w14:paraId="4EB38ECC"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C</w:t>
      </w:r>
      <w:r w:rsidRPr="00A658D8" w:rsidR="008D5DF3">
        <w:rPr>
          <w:rFonts w:ascii="Times New Roman" w:hAnsi="Times New Roman"/>
          <w:sz w:val="24"/>
          <w:szCs w:val="24"/>
          <w:u w:val="single"/>
        </w:rPr>
        <w:t>onfidentialit</w:t>
      </w:r>
      <w:r w:rsidRPr="00A658D8">
        <w:rPr>
          <w:rFonts w:ascii="Times New Roman" w:hAnsi="Times New Roman"/>
          <w:sz w:val="24"/>
          <w:szCs w:val="24"/>
          <w:u w:val="single"/>
        </w:rPr>
        <w:t>y</w:t>
      </w:r>
    </w:p>
    <w:p w:rsidR="008D5DF3" w:rsidRPr="00A658D8" w:rsidP="00A658D8" w14:paraId="597A16B4" w14:textId="2EB7EAD5">
      <w:pPr>
        <w:tabs>
          <w:tab w:val="left" w:pos="-1440"/>
        </w:tabs>
        <w:ind w:left="1080"/>
        <w:outlineLvl w:val="0"/>
        <w:rPr>
          <w:rFonts w:ascii="Times New Roman" w:hAnsi="Times New Roman"/>
          <w:szCs w:val="24"/>
          <w:u w:val="single"/>
        </w:rPr>
      </w:pPr>
      <w:r>
        <w:rPr>
          <w:rFonts w:ascii="Times New Roman" w:hAnsi="Times New Roman"/>
        </w:rPr>
        <w:t xml:space="preserve">Information will be kept confidential to the extent allowed by law.  </w:t>
      </w:r>
      <w:r w:rsidRPr="00A658D8" w:rsidR="00A658D8">
        <w:rPr>
          <w:rFonts w:ascii="Times New Roman" w:hAnsi="Times New Roman"/>
        </w:rPr>
        <w:t>Any information deemed to be of a confidential nature would be exempt from public disclosure in accordance with the provisions of the Freedom of Information Act (5 U.S.C. 552</w:t>
      </w:r>
      <w:r w:rsidRPr="00A658D8" w:rsidR="00A658D8">
        <w:rPr>
          <w:rFonts w:ascii="Times New Roman" w:hAnsi="Times New Roman"/>
          <w:szCs w:val="24"/>
        </w:rPr>
        <w:t xml:space="preserve">). </w:t>
      </w:r>
    </w:p>
    <w:p w:rsidR="00A658D8" w:rsidP="00CF5845" w14:paraId="3BC5D520" w14:textId="77777777">
      <w:pPr>
        <w:tabs>
          <w:tab w:val="left" w:pos="-1440"/>
        </w:tabs>
        <w:ind w:left="1800" w:hanging="720"/>
        <w:outlineLvl w:val="0"/>
        <w:rPr>
          <w:rFonts w:ascii="Times New Roman" w:hAnsi="Times New Roman"/>
          <w:szCs w:val="24"/>
        </w:rPr>
      </w:pPr>
    </w:p>
    <w:p w:rsidR="008D5DF3" w:rsidRPr="00A658D8" w:rsidP="00CF5845" w14:paraId="2F8E0F62"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Information of a Sensitive Nature</w:t>
      </w:r>
    </w:p>
    <w:p w:rsidR="008D5DF3" w:rsidRPr="00A658D8" w:rsidP="00CF5845" w14:paraId="77F0E582" w14:textId="77777777">
      <w:pPr>
        <w:ind w:left="1080"/>
        <w:outlineLvl w:val="0"/>
        <w:rPr>
          <w:rFonts w:ascii="Times New Roman" w:hAnsi="Times New Roman"/>
          <w:szCs w:val="24"/>
        </w:rPr>
      </w:pPr>
      <w:r w:rsidRPr="00A658D8">
        <w:rPr>
          <w:rFonts w:ascii="Times New Roman" w:hAnsi="Times New Roman"/>
          <w:szCs w:val="24"/>
        </w:rPr>
        <w:t>There are no questions of a sensitive nature.</w:t>
      </w:r>
    </w:p>
    <w:p w:rsidR="008D5DF3" w:rsidRPr="00A658D8" w:rsidP="00850D6B" w14:paraId="6FA1B44B" w14:textId="77777777">
      <w:pPr>
        <w:rPr>
          <w:rFonts w:ascii="Times New Roman" w:hAnsi="Times New Roman"/>
          <w:szCs w:val="24"/>
        </w:rPr>
      </w:pPr>
    </w:p>
    <w:p w:rsidR="008D5DF3" w:rsidRPr="00A658D8" w:rsidP="00CF5845" w14:paraId="298E9C0E"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pacing w:val="-3"/>
          <w:sz w:val="24"/>
          <w:szCs w:val="24"/>
          <w:u w:val="single"/>
        </w:rPr>
        <w:t>Estimates of Hour Burden and Annualized Cost</w:t>
      </w:r>
    </w:p>
    <w:p w:rsidR="00032880" w:rsidRPr="00032880" w:rsidP="00032880" w14:paraId="608882C9" w14:textId="77777777">
      <w:pPr>
        <w:tabs>
          <w:tab w:val="left" w:pos="-1440"/>
        </w:tabs>
        <w:spacing w:after="240"/>
        <w:ind w:left="1080"/>
        <w:outlineLvl w:val="0"/>
        <w:rPr>
          <w:rFonts w:ascii="Times New Roman" w:hAnsi="Times New Roman"/>
          <w:szCs w:val="24"/>
        </w:rPr>
      </w:pPr>
      <w:r w:rsidRPr="00032880">
        <w:rPr>
          <w:rFonts w:ascii="Times New Roman" w:hAnsi="Times New Roman"/>
          <w:szCs w:val="24"/>
        </w:rPr>
        <w:t xml:space="preserve">The FDIC received comments that appear to relate to the PRA. As stated above, the majority of commenters suggested </w:t>
      </w:r>
      <w:r w:rsidRPr="00032880">
        <w:rPr>
          <w:rFonts w:ascii="Times New Roman" w:hAnsi="Times New Roman"/>
        </w:rPr>
        <w:t>changes</w:t>
      </w:r>
      <w:r w:rsidRPr="00032880">
        <w:rPr>
          <w:rFonts w:ascii="Times New Roman" w:hAnsi="Times New Roman"/>
          <w:szCs w:val="24"/>
        </w:rPr>
        <w:t xml:space="preserve"> to reduce the costs of submission preparation for filers, including by adjusting the proposed submission cycle, narrowing the proposed scope and content requirements, and enhancing alignment with relevant resolution planning requirements of the DFA rule. Additionally, one commenter raised questions about the FDIC’s burden estimate. The comments received and their respective responses are summarized in the above analysis. </w:t>
      </w:r>
    </w:p>
    <w:p w:rsidR="00032880" w:rsidRPr="00032880" w:rsidP="00032880" w14:paraId="700E46DD" w14:textId="77777777">
      <w:pPr>
        <w:tabs>
          <w:tab w:val="left" w:pos="-1440"/>
        </w:tabs>
        <w:spacing w:after="240"/>
        <w:ind w:left="1080"/>
        <w:outlineLvl w:val="0"/>
        <w:rPr>
          <w:rFonts w:ascii="Times New Roman" w:hAnsi="Times New Roman"/>
          <w:szCs w:val="24"/>
        </w:rPr>
      </w:pPr>
      <w:r w:rsidRPr="00032880">
        <w:rPr>
          <w:rFonts w:ascii="Times New Roman" w:hAnsi="Times New Roman"/>
          <w:szCs w:val="24"/>
        </w:rPr>
        <w:t xml:space="preserve">The final rule modifies the current filing cycle cadence for group A CIDIs that are affiliated with U.S. GSIBs from triennial to biennial, which will result in these CIDIs sometimes filing multiple full resolution submissions across a given three-year PRA renewal cycle. On content, the final rule does not differ substantially from the proposed rule. The final rule retains the proposed rule’s requirement for group A CIDIs and group B CIDIs to submit interim supplements to the FDIC in calendar years where they are not expected to file full resolution submissions, except in the case of the biennial filers who are also not expected to file in calendar years when they file DFA resolution plans. On engagement and capabilities testing, the final rule is broadly similar to the proposed rule. The change in submission cycle resulted in an increased expectation for engagement with group A CIDI triennial filers, as discussed above. Therefore, the estimate for subsequent full resolution submissions for group A CIDIs which are filing triennially has been increased from 72 hours per billion dollars in assets to 73 hours per billion dollars in assets, which would affect the estimates in Information Collection #2, described in Table 1 below. For subsequent plan submissions for group A CIDIs which are filing biennially, the estimate remains at 72 hours per billion dollars in assets. </w:t>
      </w:r>
    </w:p>
    <w:p w:rsidR="00032880" w:rsidRPr="00032880" w:rsidP="00032880" w14:paraId="6EC17110" w14:textId="77777777">
      <w:pPr>
        <w:tabs>
          <w:tab w:val="left" w:pos="-1440"/>
        </w:tabs>
        <w:spacing w:after="240"/>
        <w:ind w:left="1080"/>
        <w:outlineLvl w:val="0"/>
        <w:rPr>
          <w:rFonts w:ascii="Times New Roman" w:hAnsi="Times New Roman"/>
          <w:szCs w:val="24"/>
        </w:rPr>
      </w:pPr>
      <w:r w:rsidRPr="00032880">
        <w:rPr>
          <w:rFonts w:ascii="Times New Roman" w:hAnsi="Times New Roman"/>
          <w:szCs w:val="24"/>
        </w:rPr>
        <w:t>The revisions for this Information Collection Renewal (“ICR”) in the final rule represent a decrease of 182,238 hours from the PRA estimates in the proposed rule (771,975 hours).</w:t>
      </w:r>
      <w:r>
        <w:rPr>
          <w:rStyle w:val="FootnoteReference"/>
          <w:rFonts w:ascii="Times New Roman" w:hAnsi="Times New Roman"/>
          <w:szCs w:val="24"/>
        </w:rPr>
        <w:footnoteReference w:id="2"/>
      </w:r>
      <w:r w:rsidRPr="00032880">
        <w:rPr>
          <w:rFonts w:ascii="Times New Roman" w:hAnsi="Times New Roman"/>
          <w:szCs w:val="24"/>
        </w:rPr>
        <w:t xml:space="preserve"> This decrease is primarily due to the reversion to a triennial cycle for all CIDIs except for group A CIDIs that are affiliated with U.S. GSIBs, and the decision to exempt group A CIDIs that are affiliated with U.S. GSIBs from the interim supplement requirement in calendar years when they file DFA resolution plans. The FDIC will revise this information collection as follows:</w:t>
      </w:r>
    </w:p>
    <w:tbl>
      <w:tblPr>
        <w:tblW w:w="9320" w:type="dxa"/>
        <w:tblLook w:val="04A0"/>
      </w:tblPr>
      <w:tblGrid>
        <w:gridCol w:w="2393"/>
        <w:gridCol w:w="1615"/>
        <w:gridCol w:w="1313"/>
        <w:gridCol w:w="1720"/>
        <w:gridCol w:w="1120"/>
        <w:gridCol w:w="1160"/>
      </w:tblGrid>
      <w:tr w14:paraId="2DE28278" w14:textId="77777777" w:rsidTr="00F31914">
        <w:tblPrEx>
          <w:tblW w:w="9320" w:type="dxa"/>
          <w:tblLook w:val="04A0"/>
        </w:tblPrEx>
        <w:trPr>
          <w:trHeight w:val="360"/>
        </w:trPr>
        <w:tc>
          <w:tcPr>
            <w:tcW w:w="93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37558" w:rsidRPr="00237558" w:rsidP="00237558" w14:paraId="0E640362" w14:textId="77777777">
            <w:pPr>
              <w:widowControl/>
              <w:jc w:val="center"/>
              <w:rPr>
                <w:rFonts w:ascii="Source Sans Pro" w:hAnsi="Source Sans Pro" w:cs="Calibri"/>
                <w:color w:val="000000"/>
                <w:szCs w:val="24"/>
              </w:rPr>
            </w:pPr>
            <w:r w:rsidRPr="00237558">
              <w:rPr>
                <w:rFonts w:ascii="Source Sans Pro" w:hAnsi="Source Sans Pro" w:cs="Calibri"/>
                <w:color w:val="000000"/>
                <w:szCs w:val="24"/>
              </w:rPr>
              <w:t>Table 1. Summary of Estimated Annual Burden (OMB No. 3064-0185)</w:t>
            </w:r>
          </w:p>
        </w:tc>
      </w:tr>
      <w:tr w14:paraId="160C0470"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65B41473" w14:textId="77777777">
            <w:pPr>
              <w:widowControl/>
              <w:rPr>
                <w:rFonts w:ascii="Source Sans Pro" w:hAnsi="Source Sans Pro" w:cs="Calibri"/>
                <w:color w:val="000000"/>
                <w:sz w:val="20"/>
              </w:rPr>
            </w:pPr>
            <w:r w:rsidRPr="00237558">
              <w:rPr>
                <w:rFonts w:ascii="Source Sans Pro" w:hAnsi="Source Sans Pro" w:cs="Calibri"/>
                <w:color w:val="000000"/>
                <w:sz w:val="20"/>
              </w:rPr>
              <w:t>Information Collection (IC) (Obligation to Respond)</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48817E55"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Type of Burden</w:t>
            </w:r>
            <w:r w:rsidRPr="00237558">
              <w:rPr>
                <w:rFonts w:ascii="Source Sans Pro" w:hAnsi="Source Sans Pro" w:cs="Calibri"/>
                <w:color w:val="000000"/>
                <w:sz w:val="20"/>
              </w:rPr>
              <w:br/>
              <w:t>(Frequency of Response)</w:t>
            </w:r>
          </w:p>
        </w:tc>
        <w:tc>
          <w:tcPr>
            <w:tcW w:w="1240" w:type="dxa"/>
            <w:tcBorders>
              <w:top w:val="nil"/>
              <w:left w:val="nil"/>
              <w:bottom w:val="single" w:sz="8" w:space="0" w:color="auto"/>
              <w:right w:val="single" w:sz="8" w:space="0" w:color="auto"/>
            </w:tcBorders>
            <w:shd w:val="clear" w:color="auto" w:fill="auto"/>
            <w:vAlign w:val="center"/>
            <w:hideMark/>
          </w:tcPr>
          <w:p w:rsidR="00237558" w:rsidRPr="00237558" w:rsidP="00237558" w14:paraId="2AD854B4"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 xml:space="preserve"> Number of Respondents</w:t>
            </w:r>
          </w:p>
        </w:tc>
        <w:tc>
          <w:tcPr>
            <w:tcW w:w="1720" w:type="dxa"/>
            <w:tcBorders>
              <w:top w:val="nil"/>
              <w:left w:val="nil"/>
              <w:bottom w:val="single" w:sz="8" w:space="0" w:color="auto"/>
              <w:right w:val="single" w:sz="8" w:space="0" w:color="auto"/>
            </w:tcBorders>
            <w:shd w:val="clear" w:color="auto" w:fill="auto"/>
            <w:vAlign w:val="center"/>
            <w:hideMark/>
          </w:tcPr>
          <w:p w:rsidR="00237558" w:rsidRPr="00237558" w:rsidP="00237558" w14:paraId="48363E5A"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 xml:space="preserve"> Number of Responses per Respondent</w:t>
            </w:r>
          </w:p>
        </w:tc>
        <w:tc>
          <w:tcPr>
            <w:tcW w:w="1120" w:type="dxa"/>
            <w:tcBorders>
              <w:top w:val="nil"/>
              <w:left w:val="nil"/>
              <w:bottom w:val="single" w:sz="8" w:space="0" w:color="auto"/>
              <w:right w:val="single" w:sz="8" w:space="0" w:color="auto"/>
            </w:tcBorders>
            <w:shd w:val="clear" w:color="auto" w:fill="auto"/>
            <w:vAlign w:val="center"/>
            <w:hideMark/>
          </w:tcPr>
          <w:p w:rsidR="00237558" w:rsidRPr="00237558" w:rsidP="00237558" w14:paraId="6402EF0A"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237558" w:rsidRPr="00237558" w:rsidP="00237558" w14:paraId="5F99457F"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Annual Burden (Hours)</w:t>
            </w:r>
          </w:p>
        </w:tc>
      </w:tr>
      <w:tr w14:paraId="4A692D80" w14:textId="77777777" w:rsidTr="00F31914">
        <w:tblPrEx>
          <w:tblW w:w="9320" w:type="dxa"/>
          <w:tblLook w:val="04A0"/>
        </w:tblPrEx>
        <w:trPr>
          <w:trHeight w:val="111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6612F45B" w14:textId="77777777">
            <w:pPr>
              <w:widowControl/>
              <w:rPr>
                <w:rFonts w:ascii="Source Sans Pro" w:hAnsi="Source Sans Pro" w:cs="Calibri"/>
                <w:color w:val="000000"/>
                <w:sz w:val="20"/>
              </w:rPr>
            </w:pPr>
            <w:r w:rsidRPr="00237558">
              <w:rPr>
                <w:rFonts w:ascii="Source Sans Pro" w:hAnsi="Source Sans Pro" w:cs="Calibri"/>
                <w:color w:val="000000"/>
                <w:sz w:val="20"/>
              </w:rPr>
              <w:t>1. Resolution Plan update by previous filer (biennial filer, group A), 12 FR 360.10(c)(1); 12 FR 360.10(d) (Mandatory)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003545B1"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2 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16BF49BB"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3</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437C47C7"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11DA7205"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89216:00</w:t>
            </w:r>
            <w:r>
              <w:rPr>
                <w:rFonts w:ascii="Source Sans Pro" w:hAnsi="Source Sans Pro"/>
                <w:color w:val="000000"/>
                <w:sz w:val="20"/>
                <w:vertAlign w:val="superscript"/>
              </w:rPr>
              <w:footnoteReference w:id="3"/>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0454F5DF"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267,648</w:t>
            </w:r>
          </w:p>
        </w:tc>
      </w:tr>
      <w:tr w14:paraId="7D3AA647" w14:textId="77777777" w:rsidTr="00F31914">
        <w:tblPrEx>
          <w:tblW w:w="9320" w:type="dxa"/>
          <w:tblLook w:val="04A0"/>
        </w:tblPrEx>
        <w:trPr>
          <w:trHeight w:val="111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400357E6" w14:textId="77777777">
            <w:pPr>
              <w:widowControl/>
              <w:rPr>
                <w:rFonts w:ascii="Source Sans Pro" w:hAnsi="Source Sans Pro" w:cs="Calibri"/>
                <w:color w:val="000000"/>
                <w:sz w:val="20"/>
              </w:rPr>
            </w:pPr>
            <w:r w:rsidRPr="00237558">
              <w:rPr>
                <w:rFonts w:ascii="Source Sans Pro" w:hAnsi="Source Sans Pro" w:cs="Calibri"/>
                <w:color w:val="000000"/>
                <w:sz w:val="20"/>
              </w:rPr>
              <w:t>2. Resolution Plan update by previous filer (triennial filer, group A), 12 FR 360.10(c)(2); 12 FR 360.10(d)</w:t>
            </w:r>
            <w:r w:rsidRPr="00237558">
              <w:rPr>
                <w:rFonts w:ascii="Source Sans Pro" w:hAnsi="Source Sans Pro" w:cs="Calibri"/>
                <w:color w:val="000000"/>
                <w:sz w:val="20"/>
              </w:rPr>
              <w:t xml:space="preserve"> </w:t>
            </w:r>
            <w:r w:rsidRPr="00237558">
              <w:rPr>
                <w:rFonts w:ascii="Source Sans Pro" w:hAnsi="Source Sans Pro" w:cs="Calibri"/>
                <w:color w:val="000000"/>
                <w:sz w:val="20"/>
              </w:rPr>
              <w:t>(Mandatory)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5B4FE892"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3 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239A16F6"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8</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696FA0C0"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7A76C73A"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18100:58</w:t>
            </w:r>
            <w:r>
              <w:rPr>
                <w:rFonts w:ascii="Source Sans Pro" w:hAnsi="Source Sans Pro"/>
                <w:color w:val="000000"/>
                <w:sz w:val="20"/>
                <w:vertAlign w:val="superscript"/>
              </w:rPr>
              <w:footnoteReference w:id="4"/>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39C60856"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144,808</w:t>
            </w:r>
          </w:p>
        </w:tc>
      </w:tr>
      <w:tr w14:paraId="68912830"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4E09E63B" w14:textId="77777777">
            <w:pPr>
              <w:widowControl/>
              <w:rPr>
                <w:rFonts w:ascii="Source Sans Pro" w:hAnsi="Source Sans Pro" w:cs="Calibri"/>
                <w:color w:val="000000"/>
                <w:sz w:val="20"/>
              </w:rPr>
            </w:pPr>
            <w:r w:rsidRPr="00237558">
              <w:rPr>
                <w:rFonts w:ascii="Source Sans Pro" w:hAnsi="Source Sans Pro" w:cs="Calibri"/>
                <w:color w:val="000000"/>
                <w:sz w:val="20"/>
              </w:rPr>
              <w:t>3. Resolution Plan by new filer (group A), 12 FR 360.10(c)(3); 12 FR 360.10(d) (Mandatory)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6CD249C3"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3-year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5A649FFF"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615AD1AD"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742AC418"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16000:00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27B1BC4A"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16,000</w:t>
            </w:r>
          </w:p>
        </w:tc>
      </w:tr>
      <w:tr w14:paraId="66502AA6"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23BFBA51" w14:textId="77777777">
            <w:pPr>
              <w:widowControl/>
              <w:rPr>
                <w:rFonts w:ascii="Source Sans Pro" w:hAnsi="Source Sans Pro" w:cs="Calibri"/>
                <w:color w:val="000000"/>
                <w:sz w:val="20"/>
              </w:rPr>
            </w:pPr>
            <w:r w:rsidRPr="00237558">
              <w:rPr>
                <w:rFonts w:ascii="Source Sans Pro" w:hAnsi="Source Sans Pro" w:cs="Calibri"/>
                <w:color w:val="000000"/>
                <w:sz w:val="20"/>
              </w:rPr>
              <w:t xml:space="preserve">4. Informational Filing update by previous filer (group B), </w:t>
            </w:r>
            <w:r w:rsidRPr="00237558">
              <w:rPr>
                <w:rFonts w:ascii="Source Sans Pro" w:hAnsi="Source Sans Pro"/>
                <w:color w:val="000000"/>
                <w:sz w:val="20"/>
              </w:rPr>
              <w:t>12 FR 360.10 (c)(2); 12 FR 360.10(d)</w:t>
            </w:r>
            <w:r w:rsidRPr="00237558">
              <w:rPr>
                <w:rFonts w:ascii="Source Sans Pro" w:hAnsi="Source Sans Pro" w:cs="Calibri"/>
                <w:color w:val="000000"/>
                <w:sz w:val="20"/>
              </w:rPr>
              <w:t xml:space="preserve"> (Mandatory) </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0D5B7917"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3-year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09411BA9"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21CECDA1"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15B36BEA"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00:00</w:t>
            </w:r>
            <w:r>
              <w:rPr>
                <w:rFonts w:ascii="Source Sans Pro" w:hAnsi="Source Sans Pro"/>
                <w:color w:val="000000"/>
                <w:sz w:val="20"/>
                <w:vertAlign w:val="superscript"/>
              </w:rPr>
              <w:footnoteReference w:id="5"/>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1F3F9BFE"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0</w:t>
            </w:r>
          </w:p>
        </w:tc>
      </w:tr>
      <w:tr w14:paraId="0E662BB9"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2C81182B" w14:textId="77777777">
            <w:pPr>
              <w:widowControl/>
              <w:rPr>
                <w:rFonts w:ascii="Source Sans Pro" w:hAnsi="Source Sans Pro" w:cs="Calibri"/>
                <w:color w:val="000000"/>
                <w:sz w:val="20"/>
              </w:rPr>
            </w:pPr>
            <w:r w:rsidRPr="00237558">
              <w:rPr>
                <w:rFonts w:ascii="Source Sans Pro" w:hAnsi="Source Sans Pro" w:cs="Calibri"/>
                <w:color w:val="000000"/>
                <w:sz w:val="20"/>
              </w:rPr>
              <w:t xml:space="preserve">5. Informational Filing by New Filers (group B), </w:t>
            </w:r>
            <w:r w:rsidRPr="00237558">
              <w:rPr>
                <w:rFonts w:ascii="Source Sans Pro" w:hAnsi="Source Sans Pro"/>
                <w:color w:val="000000"/>
                <w:sz w:val="20"/>
              </w:rPr>
              <w:t>12 FR 360.10(c)(3); 12 FR 360.10(d)</w:t>
            </w:r>
            <w:r w:rsidRPr="00237558">
              <w:rPr>
                <w:rFonts w:ascii="Source Sans Pro" w:hAnsi="Source Sans Pro" w:cs="Calibri"/>
                <w:color w:val="000000"/>
                <w:sz w:val="20"/>
              </w:rPr>
              <w:t xml:space="preserve"> </w:t>
            </w:r>
            <w:r w:rsidRPr="00237558">
              <w:rPr>
                <w:rFonts w:ascii="Source Sans Pro" w:hAnsi="Source Sans Pro" w:cs="Calibri"/>
                <w:color w:val="000000"/>
                <w:sz w:val="20"/>
              </w:rPr>
              <w:t>(Mandatory)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6F88F8BE"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3-year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74BB8A08"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6</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59AB3C3B"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19328FDC"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7200:00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43C59807"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43,200</w:t>
            </w:r>
          </w:p>
        </w:tc>
      </w:tr>
      <w:tr w14:paraId="183314C9"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00A81042" w14:textId="77777777">
            <w:pPr>
              <w:widowControl/>
              <w:rPr>
                <w:rFonts w:ascii="Source Sans Pro" w:hAnsi="Source Sans Pro" w:cs="Calibri"/>
                <w:color w:val="000000"/>
                <w:sz w:val="20"/>
              </w:rPr>
            </w:pPr>
            <w:r w:rsidRPr="00237558">
              <w:rPr>
                <w:rFonts w:ascii="Source Sans Pro" w:hAnsi="Source Sans Pro" w:cs="Calibri"/>
                <w:color w:val="000000"/>
                <w:sz w:val="20"/>
              </w:rPr>
              <w:t xml:space="preserve">6. Interim Supplement, </w:t>
            </w:r>
            <w:r w:rsidRPr="00237558">
              <w:rPr>
                <w:rFonts w:ascii="Source Sans Pro" w:hAnsi="Source Sans Pro"/>
                <w:color w:val="000000"/>
                <w:sz w:val="20"/>
              </w:rPr>
              <w:t>12 FR 360.10(e)</w:t>
            </w:r>
            <w:r w:rsidRPr="00237558">
              <w:rPr>
                <w:rFonts w:ascii="Source Sans Pro" w:hAnsi="Source Sans Pro" w:cs="Calibri"/>
                <w:color w:val="000000"/>
                <w:sz w:val="20"/>
              </w:rPr>
              <w:t xml:space="preserve"> (Mandatory)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4A84625B"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(Annual, 3-year filing cycle)</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53BE279B"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30</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410255DA"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11A45F4B"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3920:00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69E88494"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117,600</w:t>
            </w:r>
          </w:p>
        </w:tc>
      </w:tr>
      <w:tr w14:paraId="40C3C3DB" w14:textId="77777777" w:rsidTr="00F31914">
        <w:tblPrEx>
          <w:tblW w:w="9320" w:type="dxa"/>
          <w:tblLook w:val="04A0"/>
        </w:tblPrEx>
        <w:trPr>
          <w:trHeight w:val="8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7AB10F86" w14:textId="77777777">
            <w:pPr>
              <w:widowControl/>
              <w:rPr>
                <w:rFonts w:ascii="Source Sans Pro" w:hAnsi="Source Sans Pro" w:cs="Calibri"/>
                <w:color w:val="000000"/>
                <w:sz w:val="20"/>
              </w:rPr>
            </w:pPr>
            <w:r w:rsidRPr="00237558">
              <w:rPr>
                <w:rFonts w:ascii="Source Sans Pro" w:hAnsi="Source Sans Pro" w:cs="Calibri"/>
                <w:color w:val="000000"/>
                <w:sz w:val="20"/>
              </w:rPr>
              <w:t xml:space="preserve">7. Waiver Requests, </w:t>
            </w:r>
            <w:r w:rsidRPr="00237558">
              <w:rPr>
                <w:rFonts w:ascii="Source Sans Pro" w:hAnsi="Source Sans Pro"/>
                <w:color w:val="000000"/>
                <w:sz w:val="20"/>
              </w:rPr>
              <w:t>12 FR 360.10(i)</w:t>
            </w:r>
            <w:r w:rsidRPr="00237558">
              <w:rPr>
                <w:rFonts w:ascii="Source Sans Pro" w:hAnsi="Source Sans Pro" w:cs="Calibri"/>
                <w:color w:val="000000"/>
                <w:sz w:val="20"/>
              </w:rPr>
              <w:t xml:space="preserve"> (Required to obtain or retain a benefit)</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75AD83D5"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(On Occasion)</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1CA781D6"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612CA12B"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082FD1D4"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01:00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2D917860"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r>
      <w:tr w14:paraId="4A5E1DB8" w14:textId="77777777" w:rsidTr="00F31914">
        <w:tblPrEx>
          <w:tblW w:w="9320" w:type="dxa"/>
          <w:tblLook w:val="04A0"/>
        </w:tblPrEx>
        <w:trPr>
          <w:trHeight w:val="56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237558" w:rsidRPr="00237558" w:rsidP="00237558" w14:paraId="313D7F40" w14:textId="77777777">
            <w:pPr>
              <w:widowControl/>
              <w:rPr>
                <w:rFonts w:ascii="Source Sans Pro" w:hAnsi="Source Sans Pro" w:cs="Calibri"/>
                <w:color w:val="000000"/>
                <w:sz w:val="20"/>
              </w:rPr>
            </w:pPr>
            <w:r w:rsidRPr="00237558">
              <w:rPr>
                <w:rFonts w:ascii="Source Sans Pro" w:hAnsi="Source Sans Pro" w:cs="Calibri"/>
                <w:color w:val="000000"/>
                <w:sz w:val="20"/>
              </w:rPr>
              <w:t xml:space="preserve">8. Notice of extraordinary event, </w:t>
            </w:r>
            <w:r w:rsidRPr="00237558">
              <w:rPr>
                <w:rFonts w:ascii="Source Sans Pro" w:hAnsi="Source Sans Pro"/>
                <w:color w:val="000000"/>
                <w:sz w:val="20"/>
              </w:rPr>
              <w:t>12 FR 360.10(c)(4)</w:t>
            </w:r>
            <w:r w:rsidRPr="00237558">
              <w:rPr>
                <w:rFonts w:ascii="Source Sans Pro" w:hAnsi="Source Sans Pro" w:cs="Calibri"/>
                <w:color w:val="000000"/>
                <w:sz w:val="20"/>
              </w:rPr>
              <w:t xml:space="preserve"> (Mandatory)</w:t>
            </w:r>
          </w:p>
        </w:tc>
        <w:tc>
          <w:tcPr>
            <w:tcW w:w="1640" w:type="dxa"/>
            <w:tcBorders>
              <w:top w:val="nil"/>
              <w:left w:val="nil"/>
              <w:bottom w:val="single" w:sz="8" w:space="0" w:color="auto"/>
              <w:right w:val="single" w:sz="8" w:space="0" w:color="auto"/>
            </w:tcBorders>
            <w:shd w:val="clear" w:color="auto" w:fill="auto"/>
            <w:vAlign w:val="center"/>
            <w:hideMark/>
          </w:tcPr>
          <w:p w:rsidR="00237558" w:rsidRPr="00237558" w:rsidP="00237558" w14:paraId="1F479A29" w14:textId="77777777">
            <w:pPr>
              <w:widowControl/>
              <w:jc w:val="center"/>
              <w:rPr>
                <w:rFonts w:ascii="Source Sans Pro" w:hAnsi="Source Sans Pro" w:cs="Calibri"/>
                <w:color w:val="000000"/>
                <w:sz w:val="20"/>
              </w:rPr>
            </w:pPr>
            <w:r w:rsidRPr="00237558">
              <w:rPr>
                <w:rFonts w:ascii="Source Sans Pro" w:hAnsi="Source Sans Pro" w:cs="Calibri"/>
                <w:color w:val="000000"/>
                <w:sz w:val="20"/>
              </w:rPr>
              <w:t>Reporting (On Occasion)</w:t>
            </w:r>
          </w:p>
        </w:tc>
        <w:tc>
          <w:tcPr>
            <w:tcW w:w="124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18F1DD8E"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4</w:t>
            </w:r>
          </w:p>
        </w:tc>
        <w:tc>
          <w:tcPr>
            <w:tcW w:w="1720" w:type="dxa"/>
            <w:tcBorders>
              <w:top w:val="nil"/>
              <w:left w:val="nil"/>
              <w:bottom w:val="single" w:sz="8" w:space="0" w:color="auto"/>
              <w:right w:val="single" w:sz="8" w:space="0" w:color="auto"/>
            </w:tcBorders>
            <w:shd w:val="clear" w:color="auto" w:fill="auto"/>
            <w:noWrap/>
            <w:vAlign w:val="center"/>
            <w:hideMark/>
          </w:tcPr>
          <w:p w:rsidR="00237558" w:rsidRPr="00237558" w:rsidP="00237558" w14:paraId="11CD4F14"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w:t>
            </w:r>
          </w:p>
        </w:tc>
        <w:tc>
          <w:tcPr>
            <w:tcW w:w="1120" w:type="dxa"/>
            <w:tcBorders>
              <w:top w:val="nil"/>
              <w:left w:val="nil"/>
              <w:bottom w:val="single" w:sz="8" w:space="0" w:color="auto"/>
              <w:right w:val="nil"/>
            </w:tcBorders>
            <w:shd w:val="clear" w:color="auto" w:fill="auto"/>
            <w:vAlign w:val="center"/>
            <w:hideMark/>
          </w:tcPr>
          <w:p w:rsidR="00237558" w:rsidRPr="00237558" w:rsidP="00237558" w14:paraId="0C5F787A"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120:00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237558" w:rsidRPr="00237558" w:rsidP="00237558" w14:paraId="459D9B5D" w14:textId="77777777">
            <w:pPr>
              <w:widowControl/>
              <w:jc w:val="right"/>
              <w:rPr>
                <w:rFonts w:ascii="Source Sans Pro" w:hAnsi="Source Sans Pro" w:cs="Calibri"/>
                <w:color w:val="000000"/>
                <w:sz w:val="20"/>
              </w:rPr>
            </w:pPr>
            <w:r w:rsidRPr="00237558">
              <w:rPr>
                <w:rFonts w:ascii="Source Sans Pro" w:hAnsi="Source Sans Pro" w:cs="Calibri"/>
                <w:color w:val="000000"/>
                <w:sz w:val="20"/>
              </w:rPr>
              <w:t>480</w:t>
            </w:r>
          </w:p>
        </w:tc>
      </w:tr>
      <w:tr w14:paraId="79660483" w14:textId="77777777" w:rsidTr="00F31914">
        <w:tblPrEx>
          <w:tblW w:w="9320" w:type="dxa"/>
          <w:tblLook w:val="04A0"/>
        </w:tblPrEx>
        <w:trPr>
          <w:trHeight w:val="300"/>
        </w:trPr>
        <w:tc>
          <w:tcPr>
            <w:tcW w:w="81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237558" w:rsidRPr="00237558" w:rsidP="00237558" w14:paraId="17A6FB01" w14:textId="77777777">
            <w:pPr>
              <w:widowControl/>
              <w:jc w:val="right"/>
              <w:rPr>
                <w:rFonts w:ascii="Source Sans Pro" w:hAnsi="Source Sans Pro" w:cs="Calibri"/>
                <w:b/>
                <w:bCs/>
                <w:i/>
                <w:iCs/>
                <w:color w:val="000000"/>
                <w:sz w:val="22"/>
                <w:szCs w:val="22"/>
              </w:rPr>
            </w:pPr>
            <w:r w:rsidRPr="00237558">
              <w:rPr>
                <w:rFonts w:ascii="Source Sans Pro" w:hAnsi="Source Sans Pro" w:cs="Calibri"/>
                <w:b/>
                <w:bCs/>
                <w:i/>
                <w:iCs/>
                <w:color w:val="000000"/>
                <w:sz w:val="22"/>
                <w:szCs w:val="22"/>
              </w:rPr>
              <w:t>Total Annual 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237558" w:rsidRPr="00237558" w:rsidP="00237558" w14:paraId="7BF82310" w14:textId="77777777">
            <w:pPr>
              <w:widowControl/>
              <w:jc w:val="right"/>
              <w:rPr>
                <w:rFonts w:ascii="Source Sans Pro" w:hAnsi="Source Sans Pro" w:cs="Calibri"/>
                <w:b/>
                <w:bCs/>
                <w:i/>
                <w:iCs/>
                <w:color w:val="000000"/>
                <w:sz w:val="22"/>
                <w:szCs w:val="22"/>
              </w:rPr>
            </w:pPr>
            <w:r w:rsidRPr="00237558">
              <w:rPr>
                <w:rFonts w:ascii="Source Sans Pro" w:hAnsi="Source Sans Pro" w:cs="Calibri"/>
                <w:b/>
                <w:bCs/>
                <w:i/>
                <w:iCs/>
                <w:color w:val="000000"/>
                <w:sz w:val="22"/>
                <w:szCs w:val="22"/>
              </w:rPr>
              <w:t>589,737</w:t>
            </w:r>
          </w:p>
        </w:tc>
      </w:tr>
      <w:tr w14:paraId="687806D7" w14:textId="77777777" w:rsidTr="00F31914">
        <w:tblPrEx>
          <w:tblW w:w="9320" w:type="dxa"/>
          <w:tblLook w:val="04A0"/>
        </w:tblPrEx>
        <w:trPr>
          <w:trHeight w:val="252"/>
        </w:trPr>
        <w:tc>
          <w:tcPr>
            <w:tcW w:w="9320" w:type="dxa"/>
            <w:gridSpan w:val="6"/>
            <w:tcBorders>
              <w:top w:val="single" w:sz="8" w:space="0" w:color="auto"/>
              <w:left w:val="single" w:sz="8" w:space="0" w:color="auto"/>
              <w:bottom w:val="nil"/>
              <w:right w:val="single" w:sz="8" w:space="0" w:color="000000"/>
            </w:tcBorders>
            <w:shd w:val="clear" w:color="auto" w:fill="auto"/>
            <w:noWrap/>
            <w:hideMark/>
          </w:tcPr>
          <w:p w:rsidR="00237558" w:rsidRPr="00237558" w:rsidP="00237558" w14:paraId="59C7FE6A" w14:textId="77777777">
            <w:pPr>
              <w:widowControl/>
              <w:rPr>
                <w:rFonts w:ascii="Source Sans Pro" w:hAnsi="Source Sans Pro" w:cs="Calibri"/>
                <w:color w:val="000000"/>
                <w:sz w:val="18"/>
                <w:szCs w:val="18"/>
              </w:rPr>
            </w:pPr>
            <w:r w:rsidRPr="00237558">
              <w:rPr>
                <w:rFonts w:ascii="Source Sans Pro" w:hAnsi="Source Sans Pro" w:cs="Calibri"/>
                <w:color w:val="000000"/>
                <w:sz w:val="18"/>
                <w:szCs w:val="18"/>
              </w:rPr>
              <w:t>Source: FDIC.</w:t>
            </w:r>
          </w:p>
        </w:tc>
      </w:tr>
      <w:tr w14:paraId="4BB1EB31" w14:textId="77777777" w:rsidTr="00F31914">
        <w:tblPrEx>
          <w:tblW w:w="9320" w:type="dxa"/>
          <w:tblLook w:val="04A0"/>
        </w:tblPrEx>
        <w:trPr>
          <w:trHeight w:val="288"/>
        </w:trPr>
        <w:tc>
          <w:tcPr>
            <w:tcW w:w="932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237558" w:rsidRPr="00237558" w:rsidP="00237558" w14:paraId="5FAB5A3E" w14:textId="77777777">
            <w:pPr>
              <w:widowControl/>
              <w:rPr>
                <w:rFonts w:ascii="Source Sans Pro" w:hAnsi="Source Sans Pro" w:cs="Calibri"/>
                <w:color w:val="000000"/>
                <w:sz w:val="18"/>
                <w:szCs w:val="18"/>
              </w:rPr>
            </w:pPr>
            <w:r w:rsidRPr="00237558">
              <w:rPr>
                <w:rFonts w:ascii="Source Sans Pro" w:hAnsi="Source Sans Pro" w:cs="Calibri"/>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10928280" w14:textId="77777777" w:rsidTr="00F31914">
        <w:tblPrEx>
          <w:tblW w:w="9320" w:type="dxa"/>
          <w:tblLook w:val="04A0"/>
        </w:tblPrEx>
        <w:trPr>
          <w:trHeight w:val="458"/>
        </w:trPr>
        <w:tc>
          <w:tcPr>
            <w:tcW w:w="9320" w:type="dxa"/>
            <w:gridSpan w:val="6"/>
            <w:vMerge/>
            <w:tcBorders>
              <w:top w:val="nil"/>
              <w:left w:val="single" w:sz="8" w:space="0" w:color="auto"/>
              <w:bottom w:val="single" w:sz="8" w:space="0" w:color="000000"/>
              <w:right w:val="single" w:sz="8" w:space="0" w:color="000000"/>
            </w:tcBorders>
            <w:vAlign w:val="center"/>
            <w:hideMark/>
          </w:tcPr>
          <w:p w:rsidR="00237558" w:rsidRPr="00237558" w:rsidP="00237558" w14:paraId="03989B82" w14:textId="77777777">
            <w:pPr>
              <w:widowControl/>
              <w:rPr>
                <w:rFonts w:ascii="Source Sans Pro" w:hAnsi="Source Sans Pro" w:cs="Calibri"/>
                <w:color w:val="000000"/>
                <w:sz w:val="18"/>
                <w:szCs w:val="18"/>
              </w:rPr>
            </w:pPr>
          </w:p>
        </w:tc>
      </w:tr>
      <w:tr w14:paraId="5E8D9C34" w14:textId="77777777" w:rsidTr="00F31914">
        <w:tblPrEx>
          <w:tblW w:w="9320" w:type="dxa"/>
          <w:tblLook w:val="04A0"/>
        </w:tblPrEx>
        <w:trPr>
          <w:trHeight w:val="458"/>
        </w:trPr>
        <w:tc>
          <w:tcPr>
            <w:tcW w:w="9320" w:type="dxa"/>
            <w:gridSpan w:val="6"/>
            <w:vMerge/>
            <w:tcBorders>
              <w:top w:val="nil"/>
              <w:left w:val="single" w:sz="8" w:space="0" w:color="auto"/>
              <w:bottom w:val="single" w:sz="8" w:space="0" w:color="000000"/>
              <w:right w:val="single" w:sz="8" w:space="0" w:color="000000"/>
            </w:tcBorders>
            <w:vAlign w:val="center"/>
            <w:hideMark/>
          </w:tcPr>
          <w:p w:rsidR="00237558" w:rsidRPr="00237558" w:rsidP="00237558" w14:paraId="5FA52BC9" w14:textId="77777777">
            <w:pPr>
              <w:widowControl/>
              <w:rPr>
                <w:rFonts w:ascii="Source Sans Pro" w:hAnsi="Source Sans Pro" w:cs="Calibri"/>
                <w:color w:val="000000"/>
                <w:sz w:val="18"/>
                <w:szCs w:val="18"/>
              </w:rPr>
            </w:pPr>
          </w:p>
        </w:tc>
      </w:tr>
      <w:tr w14:paraId="31363245" w14:textId="77777777" w:rsidTr="00F31914">
        <w:tblPrEx>
          <w:tblW w:w="9320" w:type="dxa"/>
          <w:tblLook w:val="04A0"/>
        </w:tblPrEx>
        <w:trPr>
          <w:trHeight w:val="458"/>
        </w:trPr>
        <w:tc>
          <w:tcPr>
            <w:tcW w:w="9320" w:type="dxa"/>
            <w:gridSpan w:val="6"/>
            <w:vMerge/>
            <w:tcBorders>
              <w:top w:val="nil"/>
              <w:left w:val="single" w:sz="8" w:space="0" w:color="auto"/>
              <w:bottom w:val="single" w:sz="8" w:space="0" w:color="000000"/>
              <w:right w:val="single" w:sz="8" w:space="0" w:color="000000"/>
            </w:tcBorders>
            <w:vAlign w:val="center"/>
            <w:hideMark/>
          </w:tcPr>
          <w:p w:rsidR="00237558" w:rsidRPr="00237558" w:rsidP="00237558" w14:paraId="79AE5D17" w14:textId="77777777">
            <w:pPr>
              <w:widowControl/>
              <w:rPr>
                <w:rFonts w:ascii="Source Sans Pro" w:hAnsi="Source Sans Pro" w:cs="Calibri"/>
                <w:color w:val="000000"/>
                <w:sz w:val="18"/>
                <w:szCs w:val="18"/>
              </w:rPr>
            </w:pPr>
          </w:p>
        </w:tc>
      </w:tr>
    </w:tbl>
    <w:p w:rsidR="004A3BFA" w:rsidP="004A3BFA" w14:paraId="6A87C88F" w14:textId="064B4E24">
      <w:pPr>
        <w:widowControl/>
        <w:rPr>
          <w:rFonts w:ascii="Times New Roman" w:hAnsi="Times New Roman"/>
          <w:szCs w:val="24"/>
        </w:rPr>
      </w:pPr>
    </w:p>
    <w:p w:rsidR="00652BBE" w:rsidP="00652BBE" w14:paraId="3FF45331" w14:textId="73EFF2E0">
      <w:pPr>
        <w:pStyle w:val="BodyTextFirstIndent"/>
        <w:rPr>
          <w:rFonts w:ascii="Source Sans Pro" w:hAnsi="Source Sans Pro" w:cstheme="minorHAnsi"/>
          <w:szCs w:val="24"/>
        </w:rPr>
      </w:pPr>
    </w:p>
    <w:p w:rsidR="00E96779" w:rsidRPr="00467C4A" w:rsidP="00E96779" w14:paraId="3C341EB7" w14:textId="77777777">
      <w:pPr>
        <w:autoSpaceDE w:val="0"/>
        <w:autoSpaceDN w:val="0"/>
        <w:ind w:left="1080"/>
        <w:contextualSpacing/>
        <w:jc w:val="center"/>
        <w:rPr>
          <w:rFonts w:ascii="Times New Roman" w:hAnsi="Times New Roman"/>
          <w:bCs/>
          <w:szCs w:val="24"/>
        </w:rPr>
      </w:pPr>
      <w:r w:rsidRPr="00467C4A">
        <w:rPr>
          <w:rFonts w:ascii="Times New Roman" w:hAnsi="Times New Roman"/>
          <w:bCs/>
          <w:szCs w:val="24"/>
        </w:rPr>
        <w:t>Annualized Cost of Internal Hourly Burden:</w:t>
      </w:r>
    </w:p>
    <w:p w:rsidR="00E96779" w:rsidP="00E96779" w14:paraId="368B2DAB" w14:textId="33CE359D">
      <w:pPr>
        <w:autoSpaceDE w:val="0"/>
        <w:autoSpaceDN w:val="0"/>
        <w:ind w:left="1080"/>
        <w:contextualSpacing/>
        <w:jc w:val="center"/>
        <w:rPr>
          <w:rFonts w:ascii="Times New Roman" w:hAnsi="Times New Roman"/>
          <w:bCs/>
          <w:szCs w:val="24"/>
        </w:rPr>
      </w:pPr>
      <w:r>
        <w:rPr>
          <w:rFonts w:ascii="Times New Roman" w:hAnsi="Times New Roman"/>
          <w:bCs/>
          <w:szCs w:val="24"/>
        </w:rPr>
        <w:t>589,737</w:t>
      </w:r>
      <w:r>
        <w:rPr>
          <w:rFonts w:ascii="Times New Roman" w:hAnsi="Times New Roman"/>
          <w:bCs/>
          <w:szCs w:val="24"/>
        </w:rPr>
        <w:t xml:space="preserve"> </w:t>
      </w:r>
      <w:r w:rsidRPr="00467C4A">
        <w:rPr>
          <w:rFonts w:ascii="Times New Roman" w:hAnsi="Times New Roman"/>
          <w:bCs/>
          <w:szCs w:val="24"/>
        </w:rPr>
        <w:t xml:space="preserve">hours x </w:t>
      </w:r>
      <w:r w:rsidRPr="00457F56">
        <w:rPr>
          <w:rFonts w:ascii="Times New Roman" w:hAnsi="Times New Roman"/>
          <w:szCs w:val="24"/>
        </w:rPr>
        <w:t>$</w:t>
      </w:r>
      <w:r>
        <w:rPr>
          <w:rFonts w:ascii="Times New Roman" w:hAnsi="Times New Roman"/>
          <w:szCs w:val="24"/>
        </w:rPr>
        <w:t>10</w:t>
      </w:r>
      <w:r w:rsidR="003E149D">
        <w:rPr>
          <w:rFonts w:ascii="Times New Roman" w:hAnsi="Times New Roman"/>
          <w:szCs w:val="24"/>
        </w:rPr>
        <w:t>9.32</w:t>
      </w:r>
      <w:r w:rsidRPr="00457F56">
        <w:rPr>
          <w:rFonts w:ascii="Times New Roman" w:hAnsi="Times New Roman"/>
          <w:szCs w:val="24"/>
        </w:rPr>
        <w:t xml:space="preserve"> per</w:t>
      </w:r>
      <w:r>
        <w:rPr>
          <w:rFonts w:ascii="Times New Roman" w:hAnsi="Times New Roman"/>
          <w:szCs w:val="24"/>
        </w:rPr>
        <w:t xml:space="preserve"> hour</w:t>
      </w:r>
      <w:r w:rsidRPr="00467C4A">
        <w:rPr>
          <w:rFonts w:ascii="Times New Roman" w:hAnsi="Times New Roman"/>
          <w:bCs/>
          <w:szCs w:val="24"/>
        </w:rPr>
        <w:t xml:space="preserve"> = $</w:t>
      </w:r>
      <w:r>
        <w:rPr>
          <w:rFonts w:ascii="Times New Roman" w:hAnsi="Times New Roman"/>
          <w:bCs/>
          <w:szCs w:val="24"/>
        </w:rPr>
        <w:t>64,470,049</w:t>
      </w:r>
      <w:r w:rsidRPr="00467C4A">
        <w:rPr>
          <w:rFonts w:ascii="Times New Roman" w:hAnsi="Times New Roman"/>
          <w:bCs/>
          <w:szCs w:val="24"/>
        </w:rPr>
        <w:t>.</w:t>
      </w:r>
    </w:p>
    <w:p w:rsidR="00F22E51" w:rsidP="00E96779" w14:paraId="3BB0B590" w14:textId="73D5691F">
      <w:pPr>
        <w:autoSpaceDE w:val="0"/>
        <w:autoSpaceDN w:val="0"/>
        <w:ind w:left="1080"/>
        <w:contextualSpacing/>
        <w:jc w:val="center"/>
        <w:rPr>
          <w:rFonts w:ascii="Times New Roman" w:hAnsi="Times New Roman"/>
          <w:bCs/>
          <w:szCs w:val="24"/>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775"/>
        <w:gridCol w:w="921"/>
        <w:gridCol w:w="921"/>
        <w:gridCol w:w="844"/>
        <w:gridCol w:w="921"/>
        <w:gridCol w:w="921"/>
        <w:gridCol w:w="831"/>
        <w:gridCol w:w="1278"/>
      </w:tblGrid>
      <w:tr w14:paraId="53626154" w14:textId="77777777" w:rsidTr="00F22E51">
        <w:tblPrEx>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7"/>
        </w:trPr>
        <w:tc>
          <w:tcPr>
            <w:tcW w:w="9364" w:type="dxa"/>
            <w:gridSpan w:val="9"/>
            <w:shd w:val="clear" w:color="auto" w:fill="auto"/>
            <w:noWrap/>
            <w:vAlign w:val="bottom"/>
            <w:hideMark/>
          </w:tcPr>
          <w:p w:rsidR="00F22E51" w:rsidRPr="00F22E51" w:rsidP="00D81D4D" w14:paraId="1D940A78" w14:textId="47486490">
            <w:pPr>
              <w:widowControl/>
              <w:jc w:val="center"/>
              <w:rPr>
                <w:rFonts w:ascii="Times New Roman" w:hAnsi="Times New Roman"/>
                <w:color w:val="000000"/>
                <w:sz w:val="18"/>
                <w:szCs w:val="18"/>
              </w:rPr>
            </w:pPr>
            <w:r w:rsidRPr="00F22E51">
              <w:rPr>
                <w:rFonts w:ascii="Times New Roman" w:hAnsi="Times New Roman"/>
                <w:color w:val="000000"/>
                <w:sz w:val="18"/>
                <w:szCs w:val="18"/>
              </w:rPr>
              <w:t>Summary of Hourly Burden Cost Estimate (OMB No. 3064-0185)</w:t>
            </w:r>
          </w:p>
        </w:tc>
      </w:tr>
      <w:tr w14:paraId="4FFCD889" w14:textId="77777777" w:rsidTr="00F22E51">
        <w:tblPrEx>
          <w:tblW w:w="9364" w:type="dxa"/>
          <w:tblLook w:val="04A0"/>
        </w:tblPrEx>
        <w:trPr>
          <w:trHeight w:val="596"/>
        </w:trPr>
        <w:tc>
          <w:tcPr>
            <w:tcW w:w="2192" w:type="dxa"/>
            <w:vMerge w:val="restart"/>
            <w:shd w:val="clear" w:color="auto" w:fill="auto"/>
            <w:vAlign w:val="center"/>
            <w:hideMark/>
          </w:tcPr>
          <w:p w:rsidR="00F22E51" w:rsidRPr="00F22E51" w:rsidP="00D81D4D" w14:paraId="003CB527" w14:textId="77777777">
            <w:pPr>
              <w:widowControl/>
              <w:rPr>
                <w:rFonts w:ascii="Times New Roman" w:hAnsi="Times New Roman"/>
                <w:color w:val="000000"/>
                <w:sz w:val="18"/>
                <w:szCs w:val="18"/>
              </w:rPr>
            </w:pPr>
            <w:r w:rsidRPr="00F22E51">
              <w:rPr>
                <w:rFonts w:ascii="Times New Roman" w:hAnsi="Times New Roman"/>
                <w:color w:val="000000"/>
                <w:sz w:val="18"/>
                <w:szCs w:val="18"/>
              </w:rPr>
              <w:t xml:space="preserve">Information Collection (Obligation to Respond) </w:t>
            </w:r>
          </w:p>
        </w:tc>
        <w:tc>
          <w:tcPr>
            <w:tcW w:w="798" w:type="dxa"/>
            <w:vMerge w:val="restart"/>
            <w:shd w:val="clear" w:color="auto" w:fill="auto"/>
            <w:vAlign w:val="center"/>
            <w:hideMark/>
          </w:tcPr>
          <w:p w:rsidR="00F22E51" w:rsidRPr="00F22E51" w:rsidP="00D81D4D" w14:paraId="33FE4048"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 xml:space="preserve">Hourly Weight </w:t>
            </w:r>
            <w:r w:rsidRPr="00F22E51">
              <w:rPr>
                <w:rFonts w:ascii="Times New Roman" w:hAnsi="Times New Roman"/>
                <w:color w:val="000000"/>
                <w:sz w:val="18"/>
                <w:szCs w:val="18"/>
              </w:rPr>
              <w:br/>
              <w:t>(%)</w:t>
            </w:r>
          </w:p>
        </w:tc>
        <w:tc>
          <w:tcPr>
            <w:tcW w:w="5095" w:type="dxa"/>
            <w:gridSpan w:val="6"/>
            <w:vMerge w:val="restart"/>
            <w:shd w:val="clear" w:color="auto" w:fill="auto"/>
            <w:vAlign w:val="center"/>
            <w:hideMark/>
          </w:tcPr>
          <w:p w:rsidR="00F22E51" w:rsidRPr="00F22E51" w:rsidP="00D81D4D" w14:paraId="3BF4DCF4"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 xml:space="preserve">Percentage Shares of Hours Spent by and </w:t>
            </w:r>
            <w:r w:rsidRPr="00F22E51">
              <w:rPr>
                <w:rFonts w:ascii="Times New Roman" w:hAnsi="Times New Roman"/>
                <w:color w:val="000000"/>
                <w:sz w:val="18"/>
                <w:szCs w:val="18"/>
              </w:rPr>
              <w:br/>
              <w:t xml:space="preserve">Hourly Compensation Rates for each Occupation Group </w:t>
            </w:r>
            <w:r w:rsidRPr="00F22E51">
              <w:rPr>
                <w:rFonts w:ascii="Times New Roman" w:hAnsi="Times New Roman"/>
                <w:color w:val="000000"/>
                <w:sz w:val="18"/>
                <w:szCs w:val="18"/>
              </w:rPr>
              <w:br/>
              <w:t>(by Collection)</w:t>
            </w:r>
          </w:p>
        </w:tc>
        <w:tc>
          <w:tcPr>
            <w:tcW w:w="1278" w:type="dxa"/>
            <w:vMerge w:val="restart"/>
            <w:shd w:val="clear" w:color="auto" w:fill="auto"/>
            <w:vAlign w:val="center"/>
            <w:hideMark/>
          </w:tcPr>
          <w:p w:rsidR="00F22E51" w:rsidRPr="00F22E51" w:rsidP="00D81D4D" w14:paraId="3BCD59DA"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Estimated Hourly Compensation Rate</w:t>
            </w:r>
          </w:p>
        </w:tc>
      </w:tr>
      <w:tr w14:paraId="6DB13135" w14:textId="77777777" w:rsidTr="00F22E51">
        <w:tblPrEx>
          <w:tblW w:w="9364" w:type="dxa"/>
          <w:tblLook w:val="04A0"/>
        </w:tblPrEx>
        <w:trPr>
          <w:trHeight w:val="858"/>
        </w:trPr>
        <w:tc>
          <w:tcPr>
            <w:tcW w:w="2192" w:type="dxa"/>
            <w:vMerge/>
            <w:vAlign w:val="center"/>
            <w:hideMark/>
          </w:tcPr>
          <w:p w:rsidR="00F22E51" w:rsidRPr="00F22E51" w:rsidP="00D81D4D" w14:paraId="320BDF87" w14:textId="77777777">
            <w:pPr>
              <w:widowControl/>
              <w:rPr>
                <w:rFonts w:ascii="Times New Roman" w:hAnsi="Times New Roman"/>
                <w:color w:val="000000"/>
                <w:sz w:val="18"/>
                <w:szCs w:val="18"/>
              </w:rPr>
            </w:pPr>
          </w:p>
        </w:tc>
        <w:tc>
          <w:tcPr>
            <w:tcW w:w="798" w:type="dxa"/>
            <w:vMerge/>
            <w:vAlign w:val="center"/>
            <w:hideMark/>
          </w:tcPr>
          <w:p w:rsidR="00F22E51" w:rsidRPr="00F22E51" w:rsidP="00D81D4D" w14:paraId="0C8B1D21" w14:textId="77777777">
            <w:pPr>
              <w:widowControl/>
              <w:rPr>
                <w:rFonts w:ascii="Times New Roman" w:hAnsi="Times New Roman"/>
                <w:color w:val="000000"/>
                <w:sz w:val="18"/>
                <w:szCs w:val="18"/>
              </w:rPr>
            </w:pPr>
          </w:p>
        </w:tc>
        <w:tc>
          <w:tcPr>
            <w:tcW w:w="5095" w:type="dxa"/>
            <w:gridSpan w:val="6"/>
            <w:vMerge/>
            <w:vAlign w:val="center"/>
            <w:hideMark/>
          </w:tcPr>
          <w:p w:rsidR="00F22E51" w:rsidRPr="00F22E51" w:rsidP="00D81D4D" w14:paraId="4FE941B8" w14:textId="77777777">
            <w:pPr>
              <w:widowControl/>
              <w:rPr>
                <w:rFonts w:ascii="Times New Roman" w:hAnsi="Times New Roman"/>
                <w:color w:val="000000"/>
                <w:sz w:val="18"/>
                <w:szCs w:val="18"/>
              </w:rPr>
            </w:pPr>
          </w:p>
        </w:tc>
        <w:tc>
          <w:tcPr>
            <w:tcW w:w="1278" w:type="dxa"/>
            <w:vMerge/>
            <w:vAlign w:val="center"/>
            <w:hideMark/>
          </w:tcPr>
          <w:p w:rsidR="00F22E51" w:rsidRPr="00F22E51" w:rsidP="00D81D4D" w14:paraId="428B1BAA" w14:textId="77777777">
            <w:pPr>
              <w:widowControl/>
              <w:rPr>
                <w:rFonts w:ascii="Times New Roman" w:hAnsi="Times New Roman"/>
                <w:color w:val="000000"/>
                <w:sz w:val="18"/>
                <w:szCs w:val="18"/>
              </w:rPr>
            </w:pPr>
          </w:p>
        </w:tc>
      </w:tr>
      <w:tr w14:paraId="5C7368BC" w14:textId="77777777" w:rsidTr="00F22E51">
        <w:tblPrEx>
          <w:tblW w:w="9364" w:type="dxa"/>
          <w:tblLook w:val="04A0"/>
        </w:tblPrEx>
        <w:trPr>
          <w:trHeight w:val="357"/>
        </w:trPr>
        <w:tc>
          <w:tcPr>
            <w:tcW w:w="2192" w:type="dxa"/>
            <w:vMerge/>
            <w:vAlign w:val="center"/>
            <w:hideMark/>
          </w:tcPr>
          <w:p w:rsidR="00F22E51" w:rsidRPr="00F22E51" w:rsidP="00D81D4D" w14:paraId="41B9A009" w14:textId="77777777">
            <w:pPr>
              <w:widowControl/>
              <w:rPr>
                <w:rFonts w:ascii="Times New Roman" w:hAnsi="Times New Roman"/>
                <w:color w:val="000000"/>
                <w:sz w:val="18"/>
                <w:szCs w:val="18"/>
              </w:rPr>
            </w:pPr>
          </w:p>
        </w:tc>
        <w:tc>
          <w:tcPr>
            <w:tcW w:w="798" w:type="dxa"/>
            <w:vMerge/>
            <w:vAlign w:val="center"/>
            <w:hideMark/>
          </w:tcPr>
          <w:p w:rsidR="00F22E51" w:rsidRPr="00F22E51" w:rsidP="00D81D4D" w14:paraId="093D54C3" w14:textId="77777777">
            <w:pPr>
              <w:widowControl/>
              <w:rPr>
                <w:rFonts w:ascii="Times New Roman" w:hAnsi="Times New Roman"/>
                <w:color w:val="000000"/>
                <w:sz w:val="18"/>
                <w:szCs w:val="18"/>
              </w:rPr>
            </w:pPr>
          </w:p>
        </w:tc>
        <w:tc>
          <w:tcPr>
            <w:tcW w:w="864" w:type="dxa"/>
            <w:vMerge w:val="restart"/>
            <w:shd w:val="clear" w:color="auto" w:fill="auto"/>
            <w:vAlign w:val="center"/>
            <w:hideMark/>
          </w:tcPr>
          <w:p w:rsidR="00F22E51" w:rsidRPr="00F22E51" w:rsidP="003E149D" w14:paraId="10E96800" w14:textId="12FC9EEC">
            <w:pPr>
              <w:widowControl/>
              <w:jc w:val="center"/>
              <w:rPr>
                <w:rFonts w:ascii="Times New Roman" w:hAnsi="Times New Roman"/>
                <w:color w:val="000000"/>
                <w:sz w:val="18"/>
                <w:szCs w:val="18"/>
              </w:rPr>
            </w:pPr>
            <w:r w:rsidRPr="00F22E51">
              <w:rPr>
                <w:rFonts w:ascii="Times New Roman" w:hAnsi="Times New Roman"/>
                <w:color w:val="000000"/>
                <w:sz w:val="18"/>
                <w:szCs w:val="18"/>
              </w:rPr>
              <w:t>Exec. &amp; Mgr.      ($</w:t>
            </w:r>
            <w:r w:rsidR="003E149D">
              <w:rPr>
                <w:rFonts w:ascii="Times New Roman" w:hAnsi="Times New Roman"/>
                <w:color w:val="000000"/>
                <w:sz w:val="18"/>
                <w:szCs w:val="18"/>
              </w:rPr>
              <w:t>133.82</w:t>
            </w:r>
            <w:r w:rsidRPr="00F22E51">
              <w:rPr>
                <w:rFonts w:ascii="Times New Roman" w:hAnsi="Times New Roman"/>
                <w:color w:val="000000"/>
                <w:sz w:val="18"/>
                <w:szCs w:val="18"/>
              </w:rPr>
              <w:t>)</w:t>
            </w:r>
          </w:p>
        </w:tc>
        <w:tc>
          <w:tcPr>
            <w:tcW w:w="864" w:type="dxa"/>
            <w:vMerge w:val="restart"/>
            <w:shd w:val="clear" w:color="auto" w:fill="auto"/>
            <w:vAlign w:val="center"/>
            <w:hideMark/>
          </w:tcPr>
          <w:p w:rsidR="00F22E51" w:rsidRPr="00F22E51" w:rsidP="003E149D" w14:paraId="65479373" w14:textId="2EF34A0C">
            <w:pPr>
              <w:widowControl/>
              <w:jc w:val="center"/>
              <w:rPr>
                <w:rFonts w:ascii="Times New Roman" w:hAnsi="Times New Roman"/>
                <w:color w:val="000000"/>
                <w:sz w:val="18"/>
                <w:szCs w:val="18"/>
              </w:rPr>
            </w:pPr>
            <w:r w:rsidRPr="00F22E51">
              <w:rPr>
                <w:rFonts w:ascii="Times New Roman" w:hAnsi="Times New Roman"/>
                <w:color w:val="000000"/>
                <w:sz w:val="18"/>
                <w:szCs w:val="18"/>
              </w:rPr>
              <w:t>Lawyer   ($</w:t>
            </w:r>
            <w:r w:rsidR="003E149D">
              <w:rPr>
                <w:rFonts w:ascii="Times New Roman" w:hAnsi="Times New Roman"/>
                <w:color w:val="000000"/>
                <w:sz w:val="18"/>
                <w:szCs w:val="18"/>
              </w:rPr>
              <w:t>165.76</w:t>
            </w:r>
            <w:r w:rsidRPr="00F22E51">
              <w:rPr>
                <w:rFonts w:ascii="Times New Roman" w:hAnsi="Times New Roman"/>
                <w:color w:val="000000"/>
                <w:sz w:val="18"/>
                <w:szCs w:val="18"/>
              </w:rPr>
              <w:t>)</w:t>
            </w:r>
          </w:p>
        </w:tc>
        <w:tc>
          <w:tcPr>
            <w:tcW w:w="844" w:type="dxa"/>
            <w:vMerge w:val="restart"/>
            <w:shd w:val="clear" w:color="auto" w:fill="auto"/>
            <w:vAlign w:val="center"/>
            <w:hideMark/>
          </w:tcPr>
          <w:p w:rsidR="00F22E51" w:rsidRPr="00F22E51" w:rsidP="003E149D" w14:paraId="05F09F9D" w14:textId="49864284">
            <w:pPr>
              <w:widowControl/>
              <w:jc w:val="center"/>
              <w:rPr>
                <w:rFonts w:ascii="Times New Roman" w:hAnsi="Times New Roman"/>
                <w:color w:val="000000"/>
                <w:sz w:val="18"/>
                <w:szCs w:val="18"/>
              </w:rPr>
            </w:pPr>
            <w:r w:rsidRPr="00F22E51">
              <w:rPr>
                <w:rFonts w:ascii="Times New Roman" w:hAnsi="Times New Roman"/>
                <w:color w:val="000000"/>
                <w:sz w:val="18"/>
                <w:szCs w:val="18"/>
              </w:rPr>
              <w:t>Compl. Ofc.   ($</w:t>
            </w:r>
            <w:r w:rsidR="003E149D">
              <w:rPr>
                <w:rFonts w:ascii="Times New Roman" w:hAnsi="Times New Roman"/>
                <w:color w:val="000000"/>
                <w:sz w:val="18"/>
                <w:szCs w:val="18"/>
              </w:rPr>
              <w:t>64.61</w:t>
            </w:r>
            <w:r w:rsidRPr="00F22E51">
              <w:rPr>
                <w:rFonts w:ascii="Times New Roman" w:hAnsi="Times New Roman"/>
                <w:color w:val="000000"/>
                <w:sz w:val="18"/>
                <w:szCs w:val="18"/>
              </w:rPr>
              <w:t>)</w:t>
            </w:r>
          </w:p>
        </w:tc>
        <w:tc>
          <w:tcPr>
            <w:tcW w:w="864" w:type="dxa"/>
            <w:vMerge w:val="restart"/>
            <w:shd w:val="clear" w:color="auto" w:fill="auto"/>
            <w:vAlign w:val="center"/>
            <w:hideMark/>
          </w:tcPr>
          <w:p w:rsidR="00F22E51" w:rsidRPr="00F22E51" w:rsidP="003E149D" w14:paraId="7B27EEAC" w14:textId="1965CA93">
            <w:pPr>
              <w:widowControl/>
              <w:jc w:val="center"/>
              <w:rPr>
                <w:rFonts w:ascii="Times New Roman" w:hAnsi="Times New Roman"/>
                <w:color w:val="000000"/>
                <w:sz w:val="18"/>
                <w:szCs w:val="18"/>
              </w:rPr>
            </w:pPr>
            <w:r w:rsidRPr="00F22E51">
              <w:rPr>
                <w:rFonts w:ascii="Times New Roman" w:hAnsi="Times New Roman"/>
                <w:color w:val="000000"/>
                <w:sz w:val="18"/>
                <w:szCs w:val="18"/>
              </w:rPr>
              <w:t>IT    ($</w:t>
            </w:r>
            <w:r w:rsidR="003E149D">
              <w:rPr>
                <w:rFonts w:ascii="Times New Roman" w:hAnsi="Times New Roman"/>
                <w:color w:val="000000"/>
                <w:sz w:val="18"/>
                <w:szCs w:val="18"/>
              </w:rPr>
              <w:t>102.64</w:t>
            </w:r>
            <w:r w:rsidRPr="00F22E51">
              <w:rPr>
                <w:rFonts w:ascii="Times New Roman" w:hAnsi="Times New Roman"/>
                <w:color w:val="000000"/>
                <w:sz w:val="18"/>
                <w:szCs w:val="18"/>
              </w:rPr>
              <w:t>)</w:t>
            </w:r>
          </w:p>
        </w:tc>
        <w:tc>
          <w:tcPr>
            <w:tcW w:w="878" w:type="dxa"/>
            <w:vMerge w:val="restart"/>
            <w:shd w:val="clear" w:color="auto" w:fill="auto"/>
            <w:vAlign w:val="center"/>
            <w:hideMark/>
          </w:tcPr>
          <w:p w:rsidR="00F22E51" w:rsidRPr="00F22E51" w:rsidP="003E149D" w14:paraId="45FC35DE" w14:textId="68446836">
            <w:pPr>
              <w:widowControl/>
              <w:jc w:val="center"/>
              <w:rPr>
                <w:rFonts w:ascii="Times New Roman" w:hAnsi="Times New Roman"/>
                <w:color w:val="000000"/>
                <w:sz w:val="18"/>
                <w:szCs w:val="18"/>
              </w:rPr>
            </w:pPr>
            <w:r w:rsidRPr="00F22E51">
              <w:rPr>
                <w:rFonts w:ascii="Times New Roman" w:hAnsi="Times New Roman"/>
                <w:color w:val="000000"/>
                <w:sz w:val="18"/>
                <w:szCs w:val="18"/>
              </w:rPr>
              <w:t>Fin. Anlst.    ($</w:t>
            </w:r>
            <w:r w:rsidR="003E149D">
              <w:rPr>
                <w:rFonts w:ascii="Times New Roman" w:hAnsi="Times New Roman"/>
                <w:color w:val="000000"/>
                <w:sz w:val="18"/>
                <w:szCs w:val="18"/>
              </w:rPr>
              <w:t>101.15</w:t>
            </w:r>
            <w:r w:rsidRPr="00F22E51">
              <w:rPr>
                <w:rFonts w:ascii="Times New Roman" w:hAnsi="Times New Roman"/>
                <w:color w:val="000000"/>
                <w:sz w:val="18"/>
                <w:szCs w:val="18"/>
              </w:rPr>
              <w:t>)</w:t>
            </w:r>
          </w:p>
        </w:tc>
        <w:tc>
          <w:tcPr>
            <w:tcW w:w="779" w:type="dxa"/>
            <w:vMerge w:val="restart"/>
            <w:shd w:val="clear" w:color="auto" w:fill="auto"/>
            <w:vAlign w:val="center"/>
            <w:hideMark/>
          </w:tcPr>
          <w:p w:rsidR="00F22E51" w:rsidRPr="00F22E51" w:rsidP="003E149D" w14:paraId="77AB6960" w14:textId="0BCEEE05">
            <w:pPr>
              <w:widowControl/>
              <w:jc w:val="center"/>
              <w:rPr>
                <w:rFonts w:ascii="Times New Roman" w:hAnsi="Times New Roman"/>
                <w:color w:val="000000"/>
                <w:sz w:val="18"/>
                <w:szCs w:val="18"/>
              </w:rPr>
            </w:pPr>
            <w:r w:rsidRPr="00F22E51">
              <w:rPr>
                <w:rFonts w:ascii="Times New Roman" w:hAnsi="Times New Roman"/>
                <w:color w:val="000000"/>
                <w:sz w:val="18"/>
                <w:szCs w:val="18"/>
              </w:rPr>
              <w:t>Clerical    ($</w:t>
            </w:r>
            <w:r w:rsidR="003E149D">
              <w:rPr>
                <w:rFonts w:ascii="Times New Roman" w:hAnsi="Times New Roman"/>
                <w:color w:val="000000"/>
                <w:sz w:val="18"/>
                <w:szCs w:val="18"/>
              </w:rPr>
              <w:t>37.83</w:t>
            </w:r>
            <w:r w:rsidRPr="00F22E51">
              <w:rPr>
                <w:rFonts w:ascii="Times New Roman" w:hAnsi="Times New Roman"/>
                <w:color w:val="000000"/>
                <w:sz w:val="18"/>
                <w:szCs w:val="18"/>
              </w:rPr>
              <w:t>)</w:t>
            </w:r>
          </w:p>
        </w:tc>
        <w:tc>
          <w:tcPr>
            <w:tcW w:w="1278" w:type="dxa"/>
            <w:vMerge/>
            <w:vAlign w:val="center"/>
            <w:hideMark/>
          </w:tcPr>
          <w:p w:rsidR="00F22E51" w:rsidRPr="00F22E51" w:rsidP="00D81D4D" w14:paraId="05F67F04" w14:textId="77777777">
            <w:pPr>
              <w:widowControl/>
              <w:rPr>
                <w:rFonts w:ascii="Times New Roman" w:hAnsi="Times New Roman"/>
                <w:color w:val="000000"/>
                <w:sz w:val="18"/>
                <w:szCs w:val="18"/>
              </w:rPr>
            </w:pPr>
          </w:p>
        </w:tc>
      </w:tr>
      <w:tr w14:paraId="356A7465" w14:textId="77777777" w:rsidTr="00F22E51">
        <w:tblPrEx>
          <w:tblW w:w="9364" w:type="dxa"/>
          <w:tblLook w:val="04A0"/>
        </w:tblPrEx>
        <w:trPr>
          <w:trHeight w:val="834"/>
        </w:trPr>
        <w:tc>
          <w:tcPr>
            <w:tcW w:w="2192" w:type="dxa"/>
            <w:vMerge/>
            <w:vAlign w:val="center"/>
            <w:hideMark/>
          </w:tcPr>
          <w:p w:rsidR="00F22E51" w:rsidRPr="00F22E51" w:rsidP="00D81D4D" w14:paraId="5285DB8C" w14:textId="77777777">
            <w:pPr>
              <w:widowControl/>
              <w:rPr>
                <w:rFonts w:ascii="Times New Roman" w:hAnsi="Times New Roman"/>
                <w:color w:val="000000"/>
                <w:sz w:val="18"/>
                <w:szCs w:val="18"/>
              </w:rPr>
            </w:pPr>
          </w:p>
        </w:tc>
        <w:tc>
          <w:tcPr>
            <w:tcW w:w="798" w:type="dxa"/>
            <w:vMerge/>
            <w:vAlign w:val="center"/>
            <w:hideMark/>
          </w:tcPr>
          <w:p w:rsidR="00F22E51" w:rsidRPr="00F22E51" w:rsidP="00D81D4D" w14:paraId="74446F3C" w14:textId="77777777">
            <w:pPr>
              <w:widowControl/>
              <w:rPr>
                <w:rFonts w:ascii="Times New Roman" w:hAnsi="Times New Roman"/>
                <w:color w:val="000000"/>
                <w:sz w:val="18"/>
                <w:szCs w:val="18"/>
              </w:rPr>
            </w:pPr>
          </w:p>
        </w:tc>
        <w:tc>
          <w:tcPr>
            <w:tcW w:w="864" w:type="dxa"/>
            <w:vMerge/>
            <w:vAlign w:val="center"/>
            <w:hideMark/>
          </w:tcPr>
          <w:p w:rsidR="00F22E51" w:rsidRPr="00F22E51" w:rsidP="00D81D4D" w14:paraId="006C47CA" w14:textId="77777777">
            <w:pPr>
              <w:widowControl/>
              <w:rPr>
                <w:rFonts w:ascii="Times New Roman" w:hAnsi="Times New Roman"/>
                <w:color w:val="000000"/>
                <w:sz w:val="18"/>
                <w:szCs w:val="18"/>
              </w:rPr>
            </w:pPr>
          </w:p>
        </w:tc>
        <w:tc>
          <w:tcPr>
            <w:tcW w:w="864" w:type="dxa"/>
            <w:vMerge/>
            <w:vAlign w:val="center"/>
            <w:hideMark/>
          </w:tcPr>
          <w:p w:rsidR="00F22E51" w:rsidRPr="00F22E51" w:rsidP="00D81D4D" w14:paraId="550AAE94" w14:textId="77777777">
            <w:pPr>
              <w:widowControl/>
              <w:rPr>
                <w:rFonts w:ascii="Times New Roman" w:hAnsi="Times New Roman"/>
                <w:color w:val="000000"/>
                <w:sz w:val="18"/>
                <w:szCs w:val="18"/>
              </w:rPr>
            </w:pPr>
          </w:p>
        </w:tc>
        <w:tc>
          <w:tcPr>
            <w:tcW w:w="844" w:type="dxa"/>
            <w:vMerge/>
            <w:vAlign w:val="center"/>
            <w:hideMark/>
          </w:tcPr>
          <w:p w:rsidR="00F22E51" w:rsidRPr="00F22E51" w:rsidP="00D81D4D" w14:paraId="15D84554" w14:textId="77777777">
            <w:pPr>
              <w:widowControl/>
              <w:rPr>
                <w:rFonts w:ascii="Times New Roman" w:hAnsi="Times New Roman"/>
                <w:color w:val="000000"/>
                <w:sz w:val="18"/>
                <w:szCs w:val="18"/>
              </w:rPr>
            </w:pPr>
          </w:p>
        </w:tc>
        <w:tc>
          <w:tcPr>
            <w:tcW w:w="864" w:type="dxa"/>
            <w:vMerge/>
            <w:vAlign w:val="center"/>
            <w:hideMark/>
          </w:tcPr>
          <w:p w:rsidR="00F22E51" w:rsidRPr="00F22E51" w:rsidP="00D81D4D" w14:paraId="24E85320" w14:textId="77777777">
            <w:pPr>
              <w:widowControl/>
              <w:rPr>
                <w:rFonts w:ascii="Times New Roman" w:hAnsi="Times New Roman"/>
                <w:color w:val="000000"/>
                <w:sz w:val="18"/>
                <w:szCs w:val="18"/>
              </w:rPr>
            </w:pPr>
          </w:p>
        </w:tc>
        <w:tc>
          <w:tcPr>
            <w:tcW w:w="878" w:type="dxa"/>
            <w:vMerge/>
            <w:vAlign w:val="center"/>
            <w:hideMark/>
          </w:tcPr>
          <w:p w:rsidR="00F22E51" w:rsidRPr="00F22E51" w:rsidP="00D81D4D" w14:paraId="7FC9C185" w14:textId="77777777">
            <w:pPr>
              <w:widowControl/>
              <w:rPr>
                <w:rFonts w:ascii="Times New Roman" w:hAnsi="Times New Roman"/>
                <w:color w:val="000000"/>
                <w:sz w:val="18"/>
                <w:szCs w:val="18"/>
              </w:rPr>
            </w:pPr>
          </w:p>
        </w:tc>
        <w:tc>
          <w:tcPr>
            <w:tcW w:w="779" w:type="dxa"/>
            <w:vMerge/>
            <w:vAlign w:val="center"/>
            <w:hideMark/>
          </w:tcPr>
          <w:p w:rsidR="00F22E51" w:rsidRPr="00F22E51" w:rsidP="00D81D4D" w14:paraId="7A1215C8" w14:textId="77777777">
            <w:pPr>
              <w:widowControl/>
              <w:rPr>
                <w:rFonts w:ascii="Times New Roman" w:hAnsi="Times New Roman"/>
                <w:color w:val="000000"/>
                <w:sz w:val="18"/>
                <w:szCs w:val="18"/>
              </w:rPr>
            </w:pPr>
          </w:p>
        </w:tc>
        <w:tc>
          <w:tcPr>
            <w:tcW w:w="1278" w:type="dxa"/>
            <w:vMerge/>
            <w:vAlign w:val="center"/>
            <w:hideMark/>
          </w:tcPr>
          <w:p w:rsidR="00F22E51" w:rsidRPr="00F22E51" w:rsidP="00D81D4D" w14:paraId="22DA8D46" w14:textId="77777777">
            <w:pPr>
              <w:widowControl/>
              <w:rPr>
                <w:rFonts w:ascii="Times New Roman" w:hAnsi="Times New Roman"/>
                <w:color w:val="000000"/>
                <w:sz w:val="18"/>
                <w:szCs w:val="18"/>
              </w:rPr>
            </w:pPr>
          </w:p>
        </w:tc>
      </w:tr>
      <w:tr w14:paraId="40A3832A" w14:textId="77777777" w:rsidTr="00F22E51">
        <w:tblPrEx>
          <w:tblW w:w="9364" w:type="dxa"/>
          <w:tblLook w:val="04A0"/>
        </w:tblPrEx>
        <w:trPr>
          <w:trHeight w:val="834"/>
        </w:trPr>
        <w:tc>
          <w:tcPr>
            <w:tcW w:w="2192" w:type="dxa"/>
            <w:shd w:val="clear" w:color="auto" w:fill="auto"/>
            <w:vAlign w:val="center"/>
            <w:hideMark/>
          </w:tcPr>
          <w:p w:rsidR="00F22E51" w:rsidRPr="00F22E51" w:rsidP="00D81D4D" w14:paraId="500028D9" w14:textId="77777777">
            <w:pPr>
              <w:widowControl/>
              <w:rPr>
                <w:rFonts w:ascii="Times New Roman" w:hAnsi="Times New Roman"/>
                <w:color w:val="000000"/>
                <w:sz w:val="18"/>
                <w:szCs w:val="18"/>
              </w:rPr>
            </w:pPr>
            <w:r w:rsidRPr="00F22E51">
              <w:rPr>
                <w:rFonts w:ascii="Times New Roman" w:hAnsi="Times New Roman"/>
                <w:color w:val="000000"/>
                <w:sz w:val="18"/>
                <w:szCs w:val="18"/>
              </w:rPr>
              <w:t>1. Resolution Plan update by previous filer (group A), NPR (Mandatory)</w:t>
            </w:r>
          </w:p>
        </w:tc>
        <w:tc>
          <w:tcPr>
            <w:tcW w:w="798" w:type="dxa"/>
            <w:shd w:val="clear" w:color="auto" w:fill="auto"/>
            <w:vAlign w:val="center"/>
            <w:hideMark/>
          </w:tcPr>
          <w:p w:rsidR="00F22E51" w:rsidRPr="00F22E51" w:rsidP="00D81D4D" w14:paraId="312BE4B9"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58.45</w:t>
            </w:r>
          </w:p>
        </w:tc>
        <w:tc>
          <w:tcPr>
            <w:tcW w:w="864" w:type="dxa"/>
            <w:shd w:val="clear" w:color="auto" w:fill="auto"/>
            <w:vAlign w:val="center"/>
            <w:hideMark/>
          </w:tcPr>
          <w:p w:rsidR="00F22E51" w:rsidRPr="00F22E51" w:rsidP="00D81D4D" w14:paraId="7BF26984"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25</w:t>
            </w:r>
          </w:p>
        </w:tc>
        <w:tc>
          <w:tcPr>
            <w:tcW w:w="864" w:type="dxa"/>
            <w:shd w:val="clear" w:color="auto" w:fill="auto"/>
            <w:vAlign w:val="center"/>
            <w:hideMark/>
          </w:tcPr>
          <w:p w:rsidR="00F22E51" w:rsidRPr="00F22E51" w:rsidP="00D81D4D" w14:paraId="1DC6E4C4"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44" w:type="dxa"/>
            <w:shd w:val="clear" w:color="auto" w:fill="auto"/>
            <w:vAlign w:val="center"/>
            <w:hideMark/>
          </w:tcPr>
          <w:p w:rsidR="00F22E51" w:rsidRPr="00F22E51" w:rsidP="00D81D4D" w14:paraId="7242F7C3"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64" w:type="dxa"/>
            <w:shd w:val="clear" w:color="auto" w:fill="auto"/>
            <w:vAlign w:val="center"/>
            <w:hideMark/>
          </w:tcPr>
          <w:p w:rsidR="00F22E51" w:rsidRPr="00F22E51" w:rsidP="00D81D4D" w14:paraId="0E27D566"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78" w:type="dxa"/>
            <w:shd w:val="clear" w:color="auto" w:fill="auto"/>
            <w:vAlign w:val="center"/>
            <w:hideMark/>
          </w:tcPr>
          <w:p w:rsidR="00F22E51" w:rsidRPr="00F22E51" w:rsidP="00D81D4D" w14:paraId="293270B7"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75</w:t>
            </w:r>
          </w:p>
        </w:tc>
        <w:tc>
          <w:tcPr>
            <w:tcW w:w="779" w:type="dxa"/>
            <w:shd w:val="clear" w:color="auto" w:fill="auto"/>
            <w:vAlign w:val="center"/>
            <w:hideMark/>
          </w:tcPr>
          <w:p w:rsidR="00F22E51" w:rsidRPr="00F22E51" w:rsidP="00D81D4D" w14:paraId="0F1ADAF9"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1278" w:type="dxa"/>
            <w:shd w:val="clear" w:color="auto" w:fill="auto"/>
            <w:vAlign w:val="center"/>
            <w:hideMark/>
          </w:tcPr>
          <w:p w:rsidR="00F22E51" w:rsidRPr="00F22E51" w:rsidP="003E149D" w14:paraId="144F48AB" w14:textId="1CE979AA">
            <w:pPr>
              <w:widowControl/>
              <w:ind w:firstLine="180" w:firstLineChars="100"/>
              <w:jc w:val="right"/>
              <w:rPr>
                <w:rFonts w:ascii="Times New Roman" w:hAnsi="Times New Roman"/>
                <w:color w:val="000000"/>
                <w:sz w:val="18"/>
                <w:szCs w:val="18"/>
              </w:rPr>
            </w:pPr>
            <w:r w:rsidRPr="00F22E51">
              <w:rPr>
                <w:rFonts w:ascii="Times New Roman" w:hAnsi="Times New Roman"/>
                <w:color w:val="000000"/>
                <w:sz w:val="18"/>
                <w:szCs w:val="18"/>
              </w:rPr>
              <w:t>$</w:t>
            </w:r>
            <w:r w:rsidR="003E149D">
              <w:rPr>
                <w:rFonts w:ascii="Times New Roman" w:hAnsi="Times New Roman"/>
                <w:color w:val="000000"/>
                <w:sz w:val="18"/>
                <w:szCs w:val="18"/>
              </w:rPr>
              <w:t>109.32</w:t>
            </w:r>
            <w:r w:rsidRPr="00F22E51">
              <w:rPr>
                <w:rFonts w:ascii="Times New Roman" w:hAnsi="Times New Roman"/>
                <w:color w:val="000000"/>
                <w:sz w:val="18"/>
                <w:szCs w:val="18"/>
              </w:rPr>
              <w:t xml:space="preserve"> </w:t>
            </w:r>
          </w:p>
        </w:tc>
      </w:tr>
      <w:tr w14:paraId="1EBEE926" w14:textId="77777777" w:rsidTr="00F22E51">
        <w:tblPrEx>
          <w:tblW w:w="9364" w:type="dxa"/>
          <w:tblLook w:val="04A0"/>
        </w:tblPrEx>
        <w:trPr>
          <w:trHeight w:val="834"/>
        </w:trPr>
        <w:tc>
          <w:tcPr>
            <w:tcW w:w="2192" w:type="dxa"/>
            <w:shd w:val="clear" w:color="auto" w:fill="auto"/>
            <w:vAlign w:val="center"/>
            <w:hideMark/>
          </w:tcPr>
          <w:p w:rsidR="00F22E51" w:rsidRPr="00F22E51" w:rsidP="00D81D4D" w14:paraId="5BEBC131" w14:textId="77777777">
            <w:pPr>
              <w:widowControl/>
              <w:rPr>
                <w:rFonts w:ascii="Times New Roman" w:hAnsi="Times New Roman"/>
                <w:color w:val="000000"/>
                <w:sz w:val="18"/>
                <w:szCs w:val="18"/>
              </w:rPr>
            </w:pPr>
            <w:r w:rsidRPr="00F22E51">
              <w:rPr>
                <w:rFonts w:ascii="Times New Roman" w:hAnsi="Times New Roman"/>
                <w:color w:val="000000"/>
                <w:sz w:val="18"/>
                <w:szCs w:val="18"/>
              </w:rPr>
              <w:t>2. Resolution Plan by new filer (group A), NPR (Mandatory)</w:t>
            </w:r>
          </w:p>
        </w:tc>
        <w:tc>
          <w:tcPr>
            <w:tcW w:w="798" w:type="dxa"/>
            <w:shd w:val="clear" w:color="auto" w:fill="auto"/>
            <w:vAlign w:val="center"/>
            <w:hideMark/>
          </w:tcPr>
          <w:p w:rsidR="00F22E51" w:rsidRPr="00F22E51" w:rsidP="00D81D4D" w14:paraId="7E5F53F5"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1.38</w:t>
            </w:r>
          </w:p>
        </w:tc>
        <w:tc>
          <w:tcPr>
            <w:tcW w:w="864" w:type="dxa"/>
            <w:shd w:val="clear" w:color="auto" w:fill="auto"/>
            <w:vAlign w:val="center"/>
            <w:hideMark/>
          </w:tcPr>
          <w:p w:rsidR="00F22E51" w:rsidRPr="00F22E51" w:rsidP="00D81D4D" w14:paraId="2A24D212"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25</w:t>
            </w:r>
          </w:p>
        </w:tc>
        <w:tc>
          <w:tcPr>
            <w:tcW w:w="864" w:type="dxa"/>
            <w:shd w:val="clear" w:color="auto" w:fill="auto"/>
            <w:vAlign w:val="center"/>
            <w:hideMark/>
          </w:tcPr>
          <w:p w:rsidR="00F22E51" w:rsidRPr="00F22E51" w:rsidP="00D81D4D" w14:paraId="619BBDF3"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44" w:type="dxa"/>
            <w:shd w:val="clear" w:color="auto" w:fill="auto"/>
            <w:vAlign w:val="center"/>
            <w:hideMark/>
          </w:tcPr>
          <w:p w:rsidR="00F22E51" w:rsidRPr="00F22E51" w:rsidP="00D81D4D" w14:paraId="2ED30312"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64" w:type="dxa"/>
            <w:shd w:val="clear" w:color="auto" w:fill="auto"/>
            <w:vAlign w:val="center"/>
            <w:hideMark/>
          </w:tcPr>
          <w:p w:rsidR="00F22E51" w:rsidRPr="00F22E51" w:rsidP="00D81D4D" w14:paraId="7029A3AD"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78" w:type="dxa"/>
            <w:shd w:val="clear" w:color="auto" w:fill="auto"/>
            <w:vAlign w:val="center"/>
            <w:hideMark/>
          </w:tcPr>
          <w:p w:rsidR="00F22E51" w:rsidRPr="00F22E51" w:rsidP="00D81D4D" w14:paraId="08791166"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75</w:t>
            </w:r>
          </w:p>
        </w:tc>
        <w:tc>
          <w:tcPr>
            <w:tcW w:w="779" w:type="dxa"/>
            <w:shd w:val="clear" w:color="auto" w:fill="auto"/>
            <w:vAlign w:val="center"/>
            <w:hideMark/>
          </w:tcPr>
          <w:p w:rsidR="00F22E51" w:rsidRPr="00F22E51" w:rsidP="00D81D4D" w14:paraId="279D18C0"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1278" w:type="dxa"/>
            <w:shd w:val="clear" w:color="auto" w:fill="auto"/>
            <w:vAlign w:val="center"/>
            <w:hideMark/>
          </w:tcPr>
          <w:p w:rsidR="00F22E51" w:rsidRPr="00F22E51" w:rsidP="00D81D4D" w14:paraId="50CB350C" w14:textId="2B3B3016">
            <w:pPr>
              <w:widowControl/>
              <w:ind w:firstLine="180" w:firstLineChars="100"/>
              <w:jc w:val="right"/>
              <w:rPr>
                <w:rFonts w:ascii="Times New Roman" w:hAnsi="Times New Roman"/>
                <w:color w:val="000000"/>
                <w:sz w:val="18"/>
                <w:szCs w:val="18"/>
              </w:rPr>
            </w:pPr>
            <w:r w:rsidRPr="00F22E51">
              <w:rPr>
                <w:rFonts w:ascii="Times New Roman" w:hAnsi="Times New Roman"/>
                <w:color w:val="000000"/>
                <w:sz w:val="18"/>
                <w:szCs w:val="18"/>
              </w:rPr>
              <w:t>$</w:t>
            </w:r>
            <w:r>
              <w:rPr>
                <w:rFonts w:ascii="Times New Roman" w:hAnsi="Times New Roman"/>
                <w:color w:val="000000"/>
                <w:sz w:val="18"/>
                <w:szCs w:val="18"/>
              </w:rPr>
              <w:t>109.32</w:t>
            </w:r>
            <w:r w:rsidRPr="00F22E51">
              <w:rPr>
                <w:rFonts w:ascii="Times New Roman" w:hAnsi="Times New Roman"/>
                <w:color w:val="000000"/>
                <w:sz w:val="18"/>
                <w:szCs w:val="18"/>
              </w:rPr>
              <w:t xml:space="preserve"> </w:t>
            </w:r>
          </w:p>
        </w:tc>
      </w:tr>
      <w:tr w14:paraId="6830E21D" w14:textId="77777777" w:rsidTr="00F22E51">
        <w:tblPrEx>
          <w:tblW w:w="9364" w:type="dxa"/>
          <w:tblLook w:val="04A0"/>
        </w:tblPrEx>
        <w:trPr>
          <w:trHeight w:val="953"/>
        </w:trPr>
        <w:tc>
          <w:tcPr>
            <w:tcW w:w="2192" w:type="dxa"/>
            <w:shd w:val="clear" w:color="auto" w:fill="auto"/>
            <w:vAlign w:val="center"/>
            <w:hideMark/>
          </w:tcPr>
          <w:p w:rsidR="00F22E51" w:rsidRPr="00F22E51" w:rsidP="00D81D4D" w14:paraId="1D031DD7" w14:textId="77777777">
            <w:pPr>
              <w:widowControl/>
              <w:rPr>
                <w:rFonts w:ascii="Times New Roman" w:hAnsi="Times New Roman"/>
                <w:color w:val="000000"/>
                <w:sz w:val="18"/>
                <w:szCs w:val="18"/>
              </w:rPr>
            </w:pPr>
            <w:r w:rsidRPr="00F22E51">
              <w:rPr>
                <w:rFonts w:ascii="Times New Roman" w:hAnsi="Times New Roman"/>
                <w:color w:val="000000"/>
                <w:sz w:val="18"/>
                <w:szCs w:val="18"/>
              </w:rPr>
              <w:t xml:space="preserve">3. Informational Filing update by previous filer (group B), NPR (Mandatory) </w:t>
            </w:r>
          </w:p>
        </w:tc>
        <w:tc>
          <w:tcPr>
            <w:tcW w:w="798" w:type="dxa"/>
            <w:shd w:val="clear" w:color="auto" w:fill="auto"/>
            <w:vAlign w:val="center"/>
            <w:hideMark/>
          </w:tcPr>
          <w:p w:rsidR="00F22E51" w:rsidRPr="00F22E51" w:rsidP="00D81D4D" w14:paraId="1B9C7C14"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2.10</w:t>
            </w:r>
          </w:p>
        </w:tc>
        <w:tc>
          <w:tcPr>
            <w:tcW w:w="864" w:type="dxa"/>
            <w:shd w:val="clear" w:color="auto" w:fill="auto"/>
            <w:vAlign w:val="center"/>
            <w:hideMark/>
          </w:tcPr>
          <w:p w:rsidR="00F22E51" w:rsidRPr="00F22E51" w:rsidP="00D81D4D" w14:paraId="5D50BCDE"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25</w:t>
            </w:r>
          </w:p>
        </w:tc>
        <w:tc>
          <w:tcPr>
            <w:tcW w:w="864" w:type="dxa"/>
            <w:shd w:val="clear" w:color="auto" w:fill="auto"/>
            <w:vAlign w:val="center"/>
            <w:hideMark/>
          </w:tcPr>
          <w:p w:rsidR="00F22E51" w:rsidRPr="00F22E51" w:rsidP="00D81D4D" w14:paraId="7D6A73ED"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44" w:type="dxa"/>
            <w:shd w:val="clear" w:color="auto" w:fill="auto"/>
            <w:vAlign w:val="center"/>
            <w:hideMark/>
          </w:tcPr>
          <w:p w:rsidR="00F22E51" w:rsidRPr="00F22E51" w:rsidP="00D81D4D" w14:paraId="77EE3EC9"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64" w:type="dxa"/>
            <w:shd w:val="clear" w:color="auto" w:fill="auto"/>
            <w:vAlign w:val="center"/>
            <w:hideMark/>
          </w:tcPr>
          <w:p w:rsidR="00F22E51" w:rsidRPr="00F22E51" w:rsidP="00D81D4D" w14:paraId="09EB903F"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78" w:type="dxa"/>
            <w:shd w:val="clear" w:color="auto" w:fill="auto"/>
            <w:vAlign w:val="center"/>
            <w:hideMark/>
          </w:tcPr>
          <w:p w:rsidR="00F22E51" w:rsidRPr="00F22E51" w:rsidP="00D81D4D" w14:paraId="2D0971AB"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75</w:t>
            </w:r>
          </w:p>
        </w:tc>
        <w:tc>
          <w:tcPr>
            <w:tcW w:w="779" w:type="dxa"/>
            <w:shd w:val="clear" w:color="auto" w:fill="auto"/>
            <w:vAlign w:val="center"/>
            <w:hideMark/>
          </w:tcPr>
          <w:p w:rsidR="00F22E51" w:rsidRPr="00F22E51" w:rsidP="00D81D4D" w14:paraId="5E5A6A1C"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1278" w:type="dxa"/>
            <w:shd w:val="clear" w:color="auto" w:fill="auto"/>
            <w:vAlign w:val="center"/>
            <w:hideMark/>
          </w:tcPr>
          <w:p w:rsidR="00F22E51" w:rsidRPr="00F22E51" w:rsidP="00D81D4D" w14:paraId="4DA5AED4" w14:textId="2F0DE87F">
            <w:pPr>
              <w:widowControl/>
              <w:ind w:firstLine="180" w:firstLineChars="100"/>
              <w:jc w:val="right"/>
              <w:rPr>
                <w:rFonts w:ascii="Times New Roman" w:hAnsi="Times New Roman"/>
                <w:color w:val="000000"/>
                <w:sz w:val="18"/>
                <w:szCs w:val="18"/>
              </w:rPr>
            </w:pPr>
            <w:r w:rsidRPr="00F22E51">
              <w:rPr>
                <w:rFonts w:ascii="Times New Roman" w:hAnsi="Times New Roman"/>
                <w:color w:val="000000"/>
                <w:sz w:val="18"/>
                <w:szCs w:val="18"/>
              </w:rPr>
              <w:t>$</w:t>
            </w:r>
            <w:r>
              <w:rPr>
                <w:rFonts w:ascii="Times New Roman" w:hAnsi="Times New Roman"/>
                <w:color w:val="000000"/>
                <w:sz w:val="18"/>
                <w:szCs w:val="18"/>
              </w:rPr>
              <w:t>109.32</w:t>
            </w:r>
          </w:p>
        </w:tc>
      </w:tr>
      <w:tr w14:paraId="6F214A07" w14:textId="77777777" w:rsidTr="00F22E51">
        <w:tblPrEx>
          <w:tblW w:w="9364" w:type="dxa"/>
          <w:tblLook w:val="04A0"/>
        </w:tblPrEx>
        <w:trPr>
          <w:trHeight w:val="834"/>
        </w:trPr>
        <w:tc>
          <w:tcPr>
            <w:tcW w:w="2192" w:type="dxa"/>
            <w:shd w:val="clear" w:color="auto" w:fill="auto"/>
            <w:vAlign w:val="center"/>
            <w:hideMark/>
          </w:tcPr>
          <w:p w:rsidR="00F22E51" w:rsidRPr="00F22E51" w:rsidP="00D81D4D" w14:paraId="365F7057" w14:textId="77777777">
            <w:pPr>
              <w:widowControl/>
              <w:rPr>
                <w:rFonts w:ascii="Times New Roman" w:hAnsi="Times New Roman"/>
                <w:color w:val="000000"/>
                <w:sz w:val="18"/>
                <w:szCs w:val="18"/>
              </w:rPr>
            </w:pPr>
            <w:r w:rsidRPr="00F22E51">
              <w:rPr>
                <w:rFonts w:ascii="Times New Roman" w:hAnsi="Times New Roman"/>
                <w:color w:val="000000"/>
                <w:sz w:val="18"/>
                <w:szCs w:val="18"/>
              </w:rPr>
              <w:t>4. Informational Filing by New Filers (group B), NPR (Mandatory)</w:t>
            </w:r>
          </w:p>
        </w:tc>
        <w:tc>
          <w:tcPr>
            <w:tcW w:w="798" w:type="dxa"/>
            <w:shd w:val="clear" w:color="auto" w:fill="auto"/>
            <w:vAlign w:val="center"/>
            <w:hideMark/>
          </w:tcPr>
          <w:p w:rsidR="00F22E51" w:rsidRPr="00F22E51" w:rsidP="00D81D4D" w14:paraId="06659279"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5.60</w:t>
            </w:r>
          </w:p>
        </w:tc>
        <w:tc>
          <w:tcPr>
            <w:tcW w:w="864" w:type="dxa"/>
            <w:shd w:val="clear" w:color="auto" w:fill="auto"/>
            <w:vAlign w:val="center"/>
            <w:hideMark/>
          </w:tcPr>
          <w:p w:rsidR="00F22E51" w:rsidRPr="00F22E51" w:rsidP="00D81D4D" w14:paraId="01B0EFC5"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25</w:t>
            </w:r>
          </w:p>
        </w:tc>
        <w:tc>
          <w:tcPr>
            <w:tcW w:w="864" w:type="dxa"/>
            <w:shd w:val="clear" w:color="auto" w:fill="auto"/>
            <w:vAlign w:val="center"/>
            <w:hideMark/>
          </w:tcPr>
          <w:p w:rsidR="00F22E51" w:rsidRPr="00F22E51" w:rsidP="00D81D4D" w14:paraId="7BEB1ACD"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44" w:type="dxa"/>
            <w:shd w:val="clear" w:color="auto" w:fill="auto"/>
            <w:vAlign w:val="center"/>
            <w:hideMark/>
          </w:tcPr>
          <w:p w:rsidR="00F22E51" w:rsidRPr="00F22E51" w:rsidP="00D81D4D" w14:paraId="05701A32"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64" w:type="dxa"/>
            <w:shd w:val="clear" w:color="auto" w:fill="auto"/>
            <w:vAlign w:val="center"/>
            <w:hideMark/>
          </w:tcPr>
          <w:p w:rsidR="00F22E51" w:rsidRPr="00F22E51" w:rsidP="00D81D4D" w14:paraId="38A9B3FA"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78" w:type="dxa"/>
            <w:shd w:val="clear" w:color="auto" w:fill="auto"/>
            <w:vAlign w:val="center"/>
            <w:hideMark/>
          </w:tcPr>
          <w:p w:rsidR="00F22E51" w:rsidRPr="00F22E51" w:rsidP="00D81D4D" w14:paraId="616A400E"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75</w:t>
            </w:r>
          </w:p>
        </w:tc>
        <w:tc>
          <w:tcPr>
            <w:tcW w:w="779" w:type="dxa"/>
            <w:shd w:val="clear" w:color="auto" w:fill="auto"/>
            <w:vAlign w:val="center"/>
            <w:hideMark/>
          </w:tcPr>
          <w:p w:rsidR="00F22E51" w:rsidRPr="00F22E51" w:rsidP="00D81D4D" w14:paraId="442848CE"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1278" w:type="dxa"/>
            <w:shd w:val="clear" w:color="auto" w:fill="auto"/>
            <w:vAlign w:val="center"/>
            <w:hideMark/>
          </w:tcPr>
          <w:p w:rsidR="00F22E51" w:rsidRPr="00F22E51" w:rsidP="00D81D4D" w14:paraId="587DDA01" w14:textId="7F39F4DB">
            <w:pPr>
              <w:widowControl/>
              <w:ind w:firstLine="180" w:firstLineChars="100"/>
              <w:jc w:val="right"/>
              <w:rPr>
                <w:rFonts w:ascii="Times New Roman" w:hAnsi="Times New Roman"/>
                <w:color w:val="000000"/>
                <w:sz w:val="18"/>
                <w:szCs w:val="18"/>
              </w:rPr>
            </w:pPr>
            <w:r w:rsidRPr="00F22E51">
              <w:rPr>
                <w:rFonts w:ascii="Times New Roman" w:hAnsi="Times New Roman"/>
                <w:color w:val="000000"/>
                <w:sz w:val="18"/>
                <w:szCs w:val="18"/>
              </w:rPr>
              <w:t>$</w:t>
            </w:r>
            <w:r>
              <w:rPr>
                <w:rFonts w:ascii="Times New Roman" w:hAnsi="Times New Roman"/>
                <w:color w:val="000000"/>
                <w:sz w:val="18"/>
                <w:szCs w:val="18"/>
              </w:rPr>
              <w:t>109.32</w:t>
            </w:r>
          </w:p>
        </w:tc>
      </w:tr>
      <w:tr w14:paraId="59E6E4EE" w14:textId="77777777" w:rsidTr="00F22E51">
        <w:tblPrEx>
          <w:tblW w:w="9364" w:type="dxa"/>
          <w:tblLook w:val="04A0"/>
        </w:tblPrEx>
        <w:trPr>
          <w:trHeight w:val="834"/>
        </w:trPr>
        <w:tc>
          <w:tcPr>
            <w:tcW w:w="2192" w:type="dxa"/>
            <w:shd w:val="clear" w:color="auto" w:fill="auto"/>
            <w:vAlign w:val="center"/>
            <w:hideMark/>
          </w:tcPr>
          <w:p w:rsidR="00F22E51" w:rsidRPr="00F22E51" w:rsidP="00D81D4D" w14:paraId="6B21DD6F" w14:textId="77777777">
            <w:pPr>
              <w:widowControl/>
              <w:rPr>
                <w:rFonts w:ascii="Times New Roman" w:hAnsi="Times New Roman"/>
                <w:color w:val="000000"/>
                <w:sz w:val="18"/>
                <w:szCs w:val="18"/>
              </w:rPr>
            </w:pPr>
            <w:r w:rsidRPr="00F22E51">
              <w:rPr>
                <w:rFonts w:ascii="Times New Roman" w:hAnsi="Times New Roman"/>
                <w:color w:val="000000"/>
                <w:sz w:val="18"/>
                <w:szCs w:val="18"/>
              </w:rPr>
              <w:t>5. Interim Supplement, NPR (Mandatory)</w:t>
            </w:r>
          </w:p>
        </w:tc>
        <w:tc>
          <w:tcPr>
            <w:tcW w:w="798" w:type="dxa"/>
            <w:shd w:val="clear" w:color="auto" w:fill="auto"/>
            <w:vAlign w:val="center"/>
            <w:hideMark/>
          </w:tcPr>
          <w:p w:rsidR="00F22E51" w:rsidRPr="00F22E51" w:rsidP="00D81D4D" w14:paraId="0D38E4F0"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32.47</w:t>
            </w:r>
          </w:p>
        </w:tc>
        <w:tc>
          <w:tcPr>
            <w:tcW w:w="864" w:type="dxa"/>
            <w:shd w:val="clear" w:color="auto" w:fill="auto"/>
            <w:vAlign w:val="center"/>
            <w:hideMark/>
          </w:tcPr>
          <w:p w:rsidR="00F22E51" w:rsidRPr="00F22E51" w:rsidP="00D81D4D" w14:paraId="5AB3772B"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25</w:t>
            </w:r>
          </w:p>
        </w:tc>
        <w:tc>
          <w:tcPr>
            <w:tcW w:w="864" w:type="dxa"/>
            <w:shd w:val="clear" w:color="auto" w:fill="auto"/>
            <w:vAlign w:val="center"/>
            <w:hideMark/>
          </w:tcPr>
          <w:p w:rsidR="00F22E51" w:rsidRPr="00F22E51" w:rsidP="00D81D4D" w14:paraId="31EF9E5D"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44" w:type="dxa"/>
            <w:shd w:val="clear" w:color="auto" w:fill="auto"/>
            <w:vAlign w:val="center"/>
            <w:hideMark/>
          </w:tcPr>
          <w:p w:rsidR="00F22E51" w:rsidRPr="00F22E51" w:rsidP="00D81D4D" w14:paraId="509B2549"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64" w:type="dxa"/>
            <w:shd w:val="clear" w:color="auto" w:fill="auto"/>
            <w:vAlign w:val="center"/>
            <w:hideMark/>
          </w:tcPr>
          <w:p w:rsidR="00F22E51" w:rsidRPr="00F22E51" w:rsidP="00D81D4D" w14:paraId="6AF230A4"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878" w:type="dxa"/>
            <w:shd w:val="clear" w:color="auto" w:fill="auto"/>
            <w:vAlign w:val="center"/>
            <w:hideMark/>
          </w:tcPr>
          <w:p w:rsidR="00F22E51" w:rsidRPr="00F22E51" w:rsidP="00D81D4D" w14:paraId="6840FC96"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75</w:t>
            </w:r>
          </w:p>
        </w:tc>
        <w:tc>
          <w:tcPr>
            <w:tcW w:w="779" w:type="dxa"/>
            <w:shd w:val="clear" w:color="auto" w:fill="auto"/>
            <w:vAlign w:val="center"/>
            <w:hideMark/>
          </w:tcPr>
          <w:p w:rsidR="00F22E51" w:rsidRPr="00F22E51" w:rsidP="00D81D4D" w14:paraId="2026EDD2" w14:textId="77777777">
            <w:pPr>
              <w:widowControl/>
              <w:jc w:val="center"/>
              <w:rPr>
                <w:rFonts w:ascii="Times New Roman" w:hAnsi="Times New Roman"/>
                <w:color w:val="000000"/>
                <w:sz w:val="18"/>
                <w:szCs w:val="18"/>
              </w:rPr>
            </w:pPr>
            <w:r w:rsidRPr="00F22E51">
              <w:rPr>
                <w:rFonts w:ascii="Times New Roman" w:hAnsi="Times New Roman"/>
                <w:color w:val="000000"/>
                <w:sz w:val="18"/>
                <w:szCs w:val="18"/>
              </w:rPr>
              <w:t>0</w:t>
            </w:r>
          </w:p>
        </w:tc>
        <w:tc>
          <w:tcPr>
            <w:tcW w:w="1278" w:type="dxa"/>
            <w:shd w:val="clear" w:color="auto" w:fill="auto"/>
            <w:vAlign w:val="center"/>
            <w:hideMark/>
          </w:tcPr>
          <w:p w:rsidR="00F22E51" w:rsidRPr="00F22E51" w:rsidP="00D81D4D" w14:paraId="107E5746" w14:textId="6F4369CE">
            <w:pPr>
              <w:widowControl/>
              <w:ind w:firstLine="180" w:firstLineChars="100"/>
              <w:jc w:val="right"/>
              <w:rPr>
                <w:rFonts w:ascii="Times New Roman" w:hAnsi="Times New Roman"/>
                <w:color w:val="000000"/>
                <w:sz w:val="18"/>
                <w:szCs w:val="18"/>
              </w:rPr>
            </w:pPr>
            <w:r w:rsidRPr="00F22E51">
              <w:rPr>
                <w:rFonts w:ascii="Times New Roman" w:hAnsi="Times New Roman"/>
                <w:color w:val="000000"/>
                <w:sz w:val="18"/>
                <w:szCs w:val="18"/>
              </w:rPr>
              <w:t>$</w:t>
            </w:r>
            <w:r>
              <w:rPr>
                <w:rFonts w:ascii="Times New Roman" w:hAnsi="Times New Roman"/>
                <w:color w:val="000000"/>
                <w:sz w:val="18"/>
                <w:szCs w:val="18"/>
              </w:rPr>
              <w:t>109.32</w:t>
            </w:r>
            <w:r w:rsidRPr="00F22E51">
              <w:rPr>
                <w:rFonts w:ascii="Times New Roman" w:hAnsi="Times New Roman"/>
                <w:color w:val="000000"/>
                <w:sz w:val="18"/>
                <w:szCs w:val="18"/>
              </w:rPr>
              <w:t xml:space="preserve"> </w:t>
            </w:r>
          </w:p>
        </w:tc>
      </w:tr>
      <w:tr w14:paraId="24C51ADB" w14:textId="77777777" w:rsidTr="00F22E51">
        <w:tblPrEx>
          <w:tblW w:w="9364" w:type="dxa"/>
          <w:tblLook w:val="04A0"/>
        </w:tblPrEx>
        <w:trPr>
          <w:trHeight w:val="298"/>
        </w:trPr>
        <w:tc>
          <w:tcPr>
            <w:tcW w:w="8086" w:type="dxa"/>
            <w:gridSpan w:val="8"/>
            <w:shd w:val="clear" w:color="auto" w:fill="auto"/>
            <w:vAlign w:val="center"/>
            <w:hideMark/>
          </w:tcPr>
          <w:p w:rsidR="00F22E51" w:rsidRPr="00F22E51" w:rsidP="00D81D4D" w14:paraId="09E969C3" w14:textId="77777777">
            <w:pPr>
              <w:widowControl/>
              <w:jc w:val="right"/>
              <w:rPr>
                <w:rFonts w:ascii="Times New Roman" w:hAnsi="Times New Roman"/>
                <w:b/>
                <w:bCs/>
                <w:i/>
                <w:iCs/>
                <w:color w:val="000000"/>
                <w:sz w:val="18"/>
                <w:szCs w:val="18"/>
              </w:rPr>
            </w:pPr>
            <w:r w:rsidRPr="00F22E51">
              <w:rPr>
                <w:rFonts w:ascii="Times New Roman" w:hAnsi="Times New Roman"/>
                <w:b/>
                <w:bCs/>
                <w:i/>
                <w:iCs/>
                <w:color w:val="000000"/>
                <w:sz w:val="18"/>
                <w:szCs w:val="18"/>
              </w:rPr>
              <w:t>Weighted Average Hourly Compensation Rate:</w:t>
            </w:r>
          </w:p>
        </w:tc>
        <w:tc>
          <w:tcPr>
            <w:tcW w:w="1278" w:type="dxa"/>
            <w:shd w:val="clear" w:color="auto" w:fill="auto"/>
            <w:vAlign w:val="center"/>
            <w:hideMark/>
          </w:tcPr>
          <w:p w:rsidR="00F22E51" w:rsidRPr="00F22E51" w:rsidP="003E149D" w14:paraId="5A8B1583" w14:textId="7D151A98">
            <w:pPr>
              <w:widowControl/>
              <w:ind w:firstLine="180" w:firstLineChars="100"/>
              <w:jc w:val="right"/>
              <w:rPr>
                <w:rFonts w:ascii="Times New Roman" w:hAnsi="Times New Roman"/>
                <w:b/>
                <w:bCs/>
                <w:i/>
                <w:iCs/>
                <w:color w:val="000000"/>
                <w:sz w:val="18"/>
                <w:szCs w:val="18"/>
              </w:rPr>
            </w:pPr>
            <w:r w:rsidRPr="00F22E51">
              <w:rPr>
                <w:rFonts w:ascii="Times New Roman" w:hAnsi="Times New Roman"/>
                <w:b/>
                <w:bCs/>
                <w:i/>
                <w:iCs/>
                <w:color w:val="000000"/>
                <w:sz w:val="18"/>
                <w:szCs w:val="18"/>
              </w:rPr>
              <w:t>$10</w:t>
            </w:r>
            <w:r w:rsidR="003E149D">
              <w:rPr>
                <w:rFonts w:ascii="Times New Roman" w:hAnsi="Times New Roman"/>
                <w:b/>
                <w:bCs/>
                <w:i/>
                <w:iCs/>
                <w:color w:val="000000"/>
                <w:sz w:val="18"/>
                <w:szCs w:val="18"/>
              </w:rPr>
              <w:t>9.32</w:t>
            </w:r>
            <w:r w:rsidRPr="00F22E51">
              <w:rPr>
                <w:rFonts w:ascii="Times New Roman" w:hAnsi="Times New Roman"/>
                <w:b/>
                <w:bCs/>
                <w:i/>
                <w:iCs/>
                <w:color w:val="000000"/>
                <w:sz w:val="18"/>
                <w:szCs w:val="18"/>
              </w:rPr>
              <w:t xml:space="preserve"> </w:t>
            </w:r>
          </w:p>
        </w:tc>
      </w:tr>
      <w:tr w14:paraId="0AE0658A" w14:textId="77777777" w:rsidTr="00F22E51">
        <w:tblPrEx>
          <w:tblW w:w="9364" w:type="dxa"/>
          <w:tblLook w:val="04A0"/>
        </w:tblPrEx>
        <w:trPr>
          <w:trHeight w:val="250"/>
        </w:trPr>
        <w:tc>
          <w:tcPr>
            <w:tcW w:w="9364" w:type="dxa"/>
            <w:gridSpan w:val="9"/>
            <w:vMerge w:val="restart"/>
            <w:shd w:val="clear" w:color="auto" w:fill="auto"/>
            <w:vAlign w:val="center"/>
            <w:hideMark/>
          </w:tcPr>
          <w:p w:rsidR="00F22E51" w:rsidRPr="00F22E51" w:rsidP="003E149D" w14:paraId="38A41C59" w14:textId="5DFEC3E4">
            <w:pPr>
              <w:widowControl/>
              <w:rPr>
                <w:rFonts w:ascii="Times New Roman" w:hAnsi="Times New Roman"/>
                <w:color w:val="000000"/>
                <w:sz w:val="18"/>
                <w:szCs w:val="18"/>
              </w:rPr>
            </w:pPr>
            <w:r w:rsidRPr="00F22E51">
              <w:rPr>
                <w:rFonts w:ascii="Times New Roman" w:hAnsi="Times New Roman"/>
                <w:color w:val="000000"/>
                <w:sz w:val="18"/>
                <w:szCs w:val="18"/>
              </w:rPr>
              <w:t>Source: Bureau of Labor Statistics: 'National Industry-Specific Occupational Employment and Wage Estimates: Industry: Credit Intermediation and Related Activities</w:t>
            </w:r>
            <w:r w:rsidR="003E149D">
              <w:rPr>
                <w:rFonts w:ascii="Times New Roman" w:hAnsi="Times New Roman"/>
                <w:color w:val="000000"/>
                <w:sz w:val="18"/>
                <w:szCs w:val="18"/>
              </w:rPr>
              <w:t xml:space="preserve"> (5221 And 5223 only)' (May 2021</w:t>
            </w:r>
            <w:r w:rsidRPr="00F22E51">
              <w:rPr>
                <w:rFonts w:ascii="Times New Roman" w:hAnsi="Times New Roman"/>
                <w:color w:val="000000"/>
                <w:sz w:val="18"/>
                <w:szCs w:val="18"/>
              </w:rPr>
              <w:t>), Employer Cost of Employee Compensation (March 202</w:t>
            </w:r>
            <w:r w:rsidR="003E149D">
              <w:rPr>
                <w:rFonts w:ascii="Times New Roman" w:hAnsi="Times New Roman"/>
                <w:color w:val="000000"/>
                <w:sz w:val="18"/>
                <w:szCs w:val="18"/>
              </w:rPr>
              <w:t>1</w:t>
            </w:r>
            <w:r w:rsidRPr="00F22E51">
              <w:rPr>
                <w:rFonts w:ascii="Times New Roman" w:hAnsi="Times New Roman"/>
                <w:color w:val="000000"/>
                <w:sz w:val="18"/>
                <w:szCs w:val="18"/>
              </w:rPr>
              <w:t>), and Employment Cost</w:t>
            </w:r>
            <w:r w:rsidR="003E149D">
              <w:rPr>
                <w:rFonts w:ascii="Times New Roman" w:hAnsi="Times New Roman"/>
                <w:color w:val="000000"/>
                <w:sz w:val="18"/>
                <w:szCs w:val="18"/>
              </w:rPr>
              <w:t xml:space="preserve"> Index (March 2021</w:t>
            </w:r>
            <w:r w:rsidRPr="00F22E51">
              <w:rPr>
                <w:rFonts w:ascii="Times New Roman" w:hAnsi="Times New Roman"/>
                <w:color w:val="000000"/>
                <w:sz w:val="18"/>
                <w:szCs w:val="18"/>
              </w:rPr>
              <w:t xml:space="preserve"> and </w:t>
            </w:r>
            <w:r w:rsidR="003E149D">
              <w:rPr>
                <w:rFonts w:ascii="Times New Roman" w:hAnsi="Times New Roman"/>
                <w:color w:val="000000"/>
                <w:sz w:val="18"/>
                <w:szCs w:val="18"/>
              </w:rPr>
              <w:t>December 2022</w:t>
            </w:r>
            <w:r w:rsidRPr="00F22E51">
              <w:rPr>
                <w:rFonts w:ascii="Times New Roman" w:hAnsi="Times New Roman"/>
                <w:color w:val="000000"/>
                <w:sz w:val="18"/>
                <w:szCs w:val="18"/>
              </w:rPr>
              <w:t xml:space="preserve">).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7D3F1BC0" w14:textId="77777777" w:rsidTr="00F22E51">
        <w:tblPrEx>
          <w:tblW w:w="9364" w:type="dxa"/>
          <w:tblLook w:val="04A0"/>
        </w:tblPrEx>
        <w:trPr>
          <w:trHeight w:val="286"/>
        </w:trPr>
        <w:tc>
          <w:tcPr>
            <w:tcW w:w="9364" w:type="dxa"/>
            <w:gridSpan w:val="9"/>
            <w:vMerge/>
            <w:vAlign w:val="center"/>
            <w:hideMark/>
          </w:tcPr>
          <w:p w:rsidR="00F22E51" w:rsidRPr="00F22E51" w:rsidP="00D81D4D" w14:paraId="5DA4257D" w14:textId="77777777">
            <w:pPr>
              <w:widowControl/>
              <w:rPr>
                <w:rFonts w:ascii="Times New Roman" w:hAnsi="Times New Roman"/>
                <w:color w:val="000000"/>
                <w:sz w:val="18"/>
                <w:szCs w:val="18"/>
              </w:rPr>
            </w:pPr>
          </w:p>
        </w:tc>
      </w:tr>
      <w:tr w14:paraId="3E9E6BD2" w14:textId="77777777" w:rsidTr="00F22E51">
        <w:tblPrEx>
          <w:tblW w:w="9364" w:type="dxa"/>
          <w:tblLook w:val="04A0"/>
        </w:tblPrEx>
        <w:trPr>
          <w:trHeight w:val="286"/>
        </w:trPr>
        <w:tc>
          <w:tcPr>
            <w:tcW w:w="9364" w:type="dxa"/>
            <w:gridSpan w:val="9"/>
            <w:vMerge/>
            <w:vAlign w:val="center"/>
            <w:hideMark/>
          </w:tcPr>
          <w:p w:rsidR="00F22E51" w:rsidRPr="00F22E51" w:rsidP="00D81D4D" w14:paraId="791891CD" w14:textId="77777777">
            <w:pPr>
              <w:widowControl/>
              <w:rPr>
                <w:rFonts w:ascii="Times New Roman" w:hAnsi="Times New Roman"/>
                <w:color w:val="000000"/>
                <w:sz w:val="18"/>
                <w:szCs w:val="18"/>
              </w:rPr>
            </w:pPr>
          </w:p>
        </w:tc>
      </w:tr>
      <w:tr w14:paraId="00E6E59D" w14:textId="77777777" w:rsidTr="00F22E51">
        <w:tblPrEx>
          <w:tblW w:w="9364" w:type="dxa"/>
          <w:tblLook w:val="04A0"/>
        </w:tblPrEx>
        <w:trPr>
          <w:trHeight w:val="310"/>
        </w:trPr>
        <w:tc>
          <w:tcPr>
            <w:tcW w:w="9364" w:type="dxa"/>
            <w:gridSpan w:val="9"/>
            <w:vMerge/>
            <w:vAlign w:val="center"/>
            <w:hideMark/>
          </w:tcPr>
          <w:p w:rsidR="00F22E51" w:rsidRPr="00F22E51" w:rsidP="00D81D4D" w14:paraId="5E9B24FD" w14:textId="77777777">
            <w:pPr>
              <w:widowControl/>
              <w:rPr>
                <w:rFonts w:ascii="Times New Roman" w:hAnsi="Times New Roman"/>
                <w:color w:val="000000"/>
                <w:sz w:val="18"/>
                <w:szCs w:val="18"/>
              </w:rPr>
            </w:pPr>
          </w:p>
        </w:tc>
      </w:tr>
      <w:tr w14:paraId="617F3865" w14:textId="77777777" w:rsidTr="00F22E51">
        <w:tblPrEx>
          <w:tblW w:w="9364" w:type="dxa"/>
          <w:tblLook w:val="04A0"/>
        </w:tblPrEx>
        <w:trPr>
          <w:trHeight w:val="345"/>
        </w:trPr>
        <w:tc>
          <w:tcPr>
            <w:tcW w:w="9364" w:type="dxa"/>
            <w:gridSpan w:val="9"/>
            <w:vMerge w:val="restart"/>
            <w:shd w:val="clear" w:color="auto" w:fill="auto"/>
            <w:vAlign w:val="center"/>
            <w:hideMark/>
          </w:tcPr>
          <w:p w:rsidR="00F22E51" w:rsidRPr="00F22E51" w:rsidP="00D81D4D" w14:paraId="35037A7F" w14:textId="77777777">
            <w:pPr>
              <w:widowControl/>
              <w:rPr>
                <w:rFonts w:ascii="Times New Roman" w:hAnsi="Times New Roman"/>
                <w:color w:val="000000"/>
                <w:sz w:val="18"/>
                <w:szCs w:val="18"/>
              </w:rPr>
            </w:pPr>
            <w:r w:rsidRPr="00F22E51">
              <w:rPr>
                <w:rFonts w:ascii="Times New Roman" w:hAnsi="Times New Roman"/>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618D91E5" w14:textId="77777777" w:rsidTr="00F22E51">
        <w:tblPrEx>
          <w:tblW w:w="9364" w:type="dxa"/>
          <w:tblLook w:val="04A0"/>
        </w:tblPrEx>
        <w:trPr>
          <w:trHeight w:val="286"/>
        </w:trPr>
        <w:tc>
          <w:tcPr>
            <w:tcW w:w="9364" w:type="dxa"/>
            <w:gridSpan w:val="9"/>
            <w:vMerge/>
            <w:vAlign w:val="center"/>
            <w:hideMark/>
          </w:tcPr>
          <w:p w:rsidR="00F22E51" w:rsidRPr="00F22E51" w:rsidP="00D81D4D" w14:paraId="68A3735C" w14:textId="77777777">
            <w:pPr>
              <w:widowControl/>
              <w:rPr>
                <w:rFonts w:ascii="Times New Roman" w:hAnsi="Times New Roman"/>
                <w:color w:val="000000"/>
                <w:sz w:val="18"/>
                <w:szCs w:val="18"/>
              </w:rPr>
            </w:pPr>
          </w:p>
        </w:tc>
      </w:tr>
      <w:tr w14:paraId="4BCE42A4" w14:textId="77777777" w:rsidTr="00F22E51">
        <w:tblPrEx>
          <w:tblW w:w="9364" w:type="dxa"/>
          <w:tblLook w:val="04A0"/>
        </w:tblPrEx>
        <w:trPr>
          <w:trHeight w:val="286"/>
        </w:trPr>
        <w:tc>
          <w:tcPr>
            <w:tcW w:w="9364" w:type="dxa"/>
            <w:gridSpan w:val="9"/>
            <w:vMerge/>
            <w:vAlign w:val="center"/>
            <w:hideMark/>
          </w:tcPr>
          <w:p w:rsidR="00F22E51" w:rsidRPr="00F22E51" w:rsidP="00D81D4D" w14:paraId="0F22F99A" w14:textId="77777777">
            <w:pPr>
              <w:widowControl/>
              <w:rPr>
                <w:rFonts w:ascii="Times New Roman" w:hAnsi="Times New Roman"/>
                <w:color w:val="000000"/>
                <w:sz w:val="18"/>
                <w:szCs w:val="18"/>
              </w:rPr>
            </w:pPr>
          </w:p>
        </w:tc>
      </w:tr>
      <w:tr w14:paraId="0EC60E99" w14:textId="77777777" w:rsidTr="00F22E51">
        <w:tblPrEx>
          <w:tblW w:w="9364" w:type="dxa"/>
          <w:tblLook w:val="04A0"/>
        </w:tblPrEx>
        <w:trPr>
          <w:trHeight w:val="298"/>
        </w:trPr>
        <w:tc>
          <w:tcPr>
            <w:tcW w:w="9364" w:type="dxa"/>
            <w:gridSpan w:val="9"/>
            <w:vMerge/>
            <w:vAlign w:val="center"/>
            <w:hideMark/>
          </w:tcPr>
          <w:p w:rsidR="00F22E51" w:rsidRPr="00F22E51" w:rsidP="00D81D4D" w14:paraId="42DF622C" w14:textId="77777777">
            <w:pPr>
              <w:widowControl/>
              <w:rPr>
                <w:rFonts w:ascii="Times New Roman" w:hAnsi="Times New Roman"/>
                <w:color w:val="000000"/>
                <w:sz w:val="18"/>
                <w:szCs w:val="18"/>
              </w:rPr>
            </w:pPr>
          </w:p>
        </w:tc>
      </w:tr>
    </w:tbl>
    <w:p w:rsidR="00F22E51" w:rsidP="00E96779" w14:paraId="5D2EB27C" w14:textId="77777777">
      <w:pPr>
        <w:autoSpaceDE w:val="0"/>
        <w:autoSpaceDN w:val="0"/>
        <w:ind w:left="1080"/>
        <w:contextualSpacing/>
        <w:jc w:val="center"/>
        <w:rPr>
          <w:rFonts w:ascii="Times New Roman" w:hAnsi="Times New Roman"/>
          <w:bCs/>
          <w:szCs w:val="24"/>
        </w:rPr>
      </w:pPr>
    </w:p>
    <w:p w:rsidR="00E96779" w:rsidRPr="005130ED" w:rsidP="00652BBE" w14:paraId="57457CA0" w14:textId="77777777">
      <w:pPr>
        <w:pStyle w:val="BodyTextFirstIndent"/>
        <w:rPr>
          <w:rFonts w:ascii="Source Sans Pro" w:hAnsi="Source Sans Pro" w:cstheme="minorHAnsi"/>
          <w:szCs w:val="24"/>
        </w:rPr>
      </w:pPr>
    </w:p>
    <w:p w:rsidR="008D5DF3" w:rsidRPr="00A658D8" w:rsidP="00A658D8" w14:paraId="35F65A75" w14:textId="77777777">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Capital, Start-up, Operating, and Maintenance Costs</w:t>
      </w:r>
    </w:p>
    <w:p w:rsidR="008D5DF3" w:rsidRPr="00A658D8" w:rsidP="00A658D8" w14:paraId="46F902A9" w14:textId="77777777">
      <w:pPr>
        <w:ind w:left="1080"/>
        <w:rPr>
          <w:rFonts w:ascii="Times New Roman" w:hAnsi="Times New Roman"/>
          <w:szCs w:val="24"/>
        </w:rPr>
      </w:pPr>
      <w:r w:rsidRPr="00A658D8">
        <w:rPr>
          <w:rFonts w:ascii="Times New Roman" w:hAnsi="Times New Roman"/>
          <w:szCs w:val="24"/>
        </w:rPr>
        <w:t>None.</w:t>
      </w:r>
    </w:p>
    <w:p w:rsidR="00A658D8" w:rsidRPr="00A658D8" w:rsidP="00850D6B" w14:paraId="59E7E429" w14:textId="77777777">
      <w:pPr>
        <w:outlineLvl w:val="0"/>
        <w:rPr>
          <w:rFonts w:ascii="Times New Roman" w:hAnsi="Times New Roman"/>
          <w:szCs w:val="24"/>
        </w:rPr>
      </w:pPr>
    </w:p>
    <w:p w:rsidR="008D5DF3" w:rsidRPr="00A658D8" w:rsidP="00A658D8" w14:paraId="3028DFC6"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Estimate</w:t>
      </w:r>
      <w:r w:rsidR="00DC4739">
        <w:rPr>
          <w:rFonts w:ascii="Times New Roman" w:hAnsi="Times New Roman"/>
          <w:sz w:val="24"/>
          <w:szCs w:val="24"/>
          <w:u w:val="single"/>
        </w:rPr>
        <w:t>d Annualized Cost</w:t>
      </w:r>
      <w:r w:rsidRPr="00A658D8">
        <w:rPr>
          <w:rFonts w:ascii="Times New Roman" w:hAnsi="Times New Roman"/>
          <w:sz w:val="24"/>
          <w:szCs w:val="24"/>
          <w:u w:val="single"/>
        </w:rPr>
        <w:t xml:space="preserve"> to </w:t>
      </w:r>
      <w:r w:rsidR="00DC4739">
        <w:rPr>
          <w:rFonts w:ascii="Times New Roman" w:hAnsi="Times New Roman"/>
          <w:sz w:val="24"/>
          <w:szCs w:val="24"/>
          <w:u w:val="single"/>
        </w:rPr>
        <w:t>the Federal Government</w:t>
      </w:r>
    </w:p>
    <w:p w:rsidR="008D5DF3" w:rsidRPr="00A658D8" w:rsidP="00A658D8" w14:paraId="2B1D7178" w14:textId="77777777">
      <w:pPr>
        <w:ind w:left="1080"/>
        <w:outlineLvl w:val="0"/>
        <w:rPr>
          <w:rFonts w:ascii="Times New Roman" w:hAnsi="Times New Roman"/>
          <w:szCs w:val="24"/>
        </w:rPr>
      </w:pPr>
      <w:r w:rsidRPr="00A658D8">
        <w:rPr>
          <w:rFonts w:ascii="Times New Roman" w:hAnsi="Times New Roman"/>
          <w:szCs w:val="24"/>
        </w:rPr>
        <w:t>None.</w:t>
      </w:r>
    </w:p>
    <w:p w:rsidR="008D5DF3" w:rsidRPr="00A658D8" w:rsidP="00850D6B" w14:paraId="2396C776" w14:textId="77777777">
      <w:pPr>
        <w:rPr>
          <w:rFonts w:ascii="Times New Roman" w:hAnsi="Times New Roman"/>
          <w:szCs w:val="24"/>
        </w:rPr>
      </w:pPr>
    </w:p>
    <w:p w:rsidR="008D5DF3" w:rsidRPr="00DC4739" w:rsidP="00A658D8" w14:paraId="6A6EBC8D" w14:textId="77777777">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Reason for Change in Burden</w:t>
      </w:r>
    </w:p>
    <w:p w:rsidR="008D5DF3" w:rsidRPr="00DC4739" w:rsidP="00DC4739" w14:paraId="35446063" w14:textId="642A3D82">
      <w:pPr>
        <w:ind w:left="1080"/>
        <w:rPr>
          <w:rFonts w:ascii="Times New Roman" w:hAnsi="Times New Roman"/>
          <w:szCs w:val="24"/>
        </w:rPr>
      </w:pPr>
      <w:r>
        <w:rPr>
          <w:rFonts w:ascii="Times New Roman" w:hAnsi="Times New Roman"/>
          <w:szCs w:val="24"/>
        </w:rPr>
        <w:t>See Section 12 above.</w:t>
      </w:r>
      <w:bookmarkStart w:id="0" w:name="_GoBack"/>
      <w:bookmarkEnd w:id="0"/>
    </w:p>
    <w:p w:rsidR="008D5DF3" w:rsidRPr="00A658D8" w:rsidP="00850D6B" w14:paraId="1B3296C6" w14:textId="77777777">
      <w:pPr>
        <w:rPr>
          <w:rFonts w:ascii="Times New Roman" w:hAnsi="Times New Roman"/>
          <w:szCs w:val="24"/>
        </w:rPr>
      </w:pPr>
    </w:p>
    <w:p w:rsidR="008D5DF3" w:rsidRPr="00DC4739" w:rsidP="00DC4739" w14:paraId="7ECEF77A" w14:textId="77777777">
      <w:pPr>
        <w:pStyle w:val="ListParagraph"/>
        <w:numPr>
          <w:ilvl w:val="1"/>
          <w:numId w:val="18"/>
        </w:numPr>
        <w:tabs>
          <w:tab w:val="left" w:pos="-1440"/>
        </w:tabs>
        <w:outlineLvl w:val="0"/>
        <w:rPr>
          <w:rFonts w:ascii="Times New Roman" w:hAnsi="Times New Roman"/>
          <w:sz w:val="24"/>
          <w:szCs w:val="24"/>
        </w:rPr>
      </w:pPr>
      <w:r w:rsidRPr="00DC4739">
        <w:rPr>
          <w:rFonts w:ascii="Times New Roman" w:hAnsi="Times New Roman"/>
          <w:sz w:val="24"/>
          <w:szCs w:val="24"/>
          <w:u w:val="single"/>
        </w:rPr>
        <w:t>Publication</w:t>
      </w:r>
    </w:p>
    <w:p w:rsidR="008D5DF3" w:rsidRPr="00A658D8" w:rsidP="00A658D8" w14:paraId="64F90372" w14:textId="77777777">
      <w:pPr>
        <w:ind w:left="1080"/>
        <w:outlineLvl w:val="0"/>
        <w:rPr>
          <w:rFonts w:ascii="Times New Roman" w:hAnsi="Times New Roman"/>
          <w:szCs w:val="24"/>
        </w:rPr>
      </w:pPr>
      <w:r w:rsidRPr="00A658D8">
        <w:rPr>
          <w:rFonts w:ascii="Times New Roman" w:hAnsi="Times New Roman"/>
          <w:szCs w:val="24"/>
        </w:rPr>
        <w:t>No publication for statistical use is contemplated.</w:t>
      </w:r>
    </w:p>
    <w:p w:rsidR="008D5DF3" w:rsidRPr="00A658D8" w:rsidP="00850D6B" w14:paraId="40061DA2" w14:textId="77777777">
      <w:pPr>
        <w:rPr>
          <w:rFonts w:ascii="Times New Roman" w:hAnsi="Times New Roman"/>
          <w:szCs w:val="24"/>
        </w:rPr>
      </w:pPr>
    </w:p>
    <w:p w:rsidR="008D5DF3" w:rsidRPr="00A658D8" w:rsidP="00A658D8" w14:paraId="45AB94EF"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Display of </w:t>
      </w:r>
      <w:r w:rsidR="00DC4739">
        <w:rPr>
          <w:rFonts w:ascii="Times New Roman" w:hAnsi="Times New Roman"/>
          <w:sz w:val="24"/>
          <w:szCs w:val="24"/>
          <w:u w:val="single"/>
        </w:rPr>
        <w:t>Expiration D</w:t>
      </w:r>
      <w:r w:rsidRPr="00A658D8">
        <w:rPr>
          <w:rFonts w:ascii="Times New Roman" w:hAnsi="Times New Roman"/>
          <w:sz w:val="24"/>
          <w:szCs w:val="24"/>
          <w:u w:val="single"/>
        </w:rPr>
        <w:t>ate</w:t>
      </w:r>
    </w:p>
    <w:p w:rsidR="008D5DF3" w:rsidRPr="00A658D8" w:rsidP="00A658D8" w14:paraId="627D80CB" w14:textId="77777777">
      <w:pPr>
        <w:ind w:left="1080"/>
        <w:outlineLvl w:val="0"/>
        <w:rPr>
          <w:rFonts w:ascii="Times New Roman" w:hAnsi="Times New Roman"/>
          <w:szCs w:val="24"/>
        </w:rPr>
      </w:pPr>
      <w:r w:rsidRPr="00A658D8">
        <w:rPr>
          <w:rFonts w:ascii="Times New Roman" w:hAnsi="Times New Roman"/>
          <w:szCs w:val="24"/>
        </w:rPr>
        <w:t>Not applicable.</w:t>
      </w:r>
    </w:p>
    <w:p w:rsidR="00A658D8" w:rsidRPr="00A658D8" w:rsidP="00850D6B" w14:paraId="03C2E223" w14:textId="77777777">
      <w:pPr>
        <w:outlineLvl w:val="0"/>
        <w:rPr>
          <w:rFonts w:ascii="Times New Roman" w:hAnsi="Times New Roman"/>
          <w:szCs w:val="24"/>
        </w:rPr>
      </w:pPr>
    </w:p>
    <w:p w:rsidR="008D5DF3" w:rsidRPr="00A658D8" w:rsidP="00A658D8" w14:paraId="666A0BE4"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Exceptions to </w:t>
      </w:r>
      <w:r w:rsidR="00DC4739">
        <w:rPr>
          <w:rFonts w:ascii="Times New Roman" w:hAnsi="Times New Roman"/>
          <w:sz w:val="24"/>
          <w:szCs w:val="24"/>
          <w:u w:val="single"/>
        </w:rPr>
        <w:t>Certification S</w:t>
      </w:r>
      <w:r w:rsidRPr="00A658D8">
        <w:rPr>
          <w:rFonts w:ascii="Times New Roman" w:hAnsi="Times New Roman"/>
          <w:sz w:val="24"/>
          <w:szCs w:val="24"/>
          <w:u w:val="single"/>
        </w:rPr>
        <w:t>tatement</w:t>
      </w:r>
    </w:p>
    <w:p w:rsidR="008D5DF3" w:rsidRPr="00A658D8" w:rsidP="00A658D8" w14:paraId="0D5705FE" w14:textId="77777777">
      <w:pPr>
        <w:ind w:left="1080"/>
        <w:outlineLvl w:val="0"/>
        <w:rPr>
          <w:rFonts w:ascii="Times New Roman" w:hAnsi="Times New Roman"/>
          <w:szCs w:val="24"/>
        </w:rPr>
      </w:pPr>
      <w:r>
        <w:rPr>
          <w:rFonts w:ascii="Times New Roman" w:hAnsi="Times New Roman"/>
          <w:szCs w:val="24"/>
        </w:rPr>
        <w:t>None.</w:t>
      </w:r>
    </w:p>
    <w:p w:rsidR="008D5DF3" w:rsidRPr="00A658D8" w:rsidP="00850D6B" w14:paraId="5E8DA4C8" w14:textId="77777777">
      <w:pPr>
        <w:outlineLvl w:val="0"/>
        <w:rPr>
          <w:rFonts w:ascii="Times New Roman" w:hAnsi="Times New Roman"/>
          <w:szCs w:val="24"/>
        </w:rPr>
      </w:pPr>
    </w:p>
    <w:p w:rsidR="00A658D8" w:rsidRPr="00A658D8" w:rsidP="00A658D8" w14:paraId="7AF77FBE" w14:textId="77777777">
      <w:pPr>
        <w:widowControl/>
        <w:numPr>
          <w:ilvl w:val="0"/>
          <w:numId w:val="18"/>
        </w:numPr>
        <w:rPr>
          <w:rFonts w:ascii="Times New Roman" w:hAnsi="Times New Roman"/>
          <w:szCs w:val="24"/>
        </w:rPr>
      </w:pPr>
      <w:r>
        <w:rPr>
          <w:rFonts w:ascii="Times New Roman" w:hAnsi="Times New Roman"/>
          <w:szCs w:val="24"/>
          <w:u w:val="single"/>
        </w:rPr>
        <w:t>STATISTICAL METHODS</w:t>
      </w:r>
    </w:p>
    <w:p w:rsidR="00A658D8" w:rsidRPr="00A658D8" w:rsidP="00850D6B" w14:paraId="03EC9C3B" w14:textId="77777777">
      <w:pPr>
        <w:outlineLvl w:val="0"/>
        <w:rPr>
          <w:rFonts w:ascii="Times New Roman" w:hAnsi="Times New Roman"/>
          <w:szCs w:val="24"/>
        </w:rPr>
      </w:pPr>
    </w:p>
    <w:p w:rsidR="008D5DF3" w:rsidRPr="00A658D8" w:rsidP="00DC4739" w14:paraId="27322ED2" w14:textId="77777777">
      <w:pPr>
        <w:ind w:firstLine="360"/>
        <w:rPr>
          <w:rFonts w:ascii="Times New Roman" w:hAnsi="Times New Roman"/>
          <w:szCs w:val="24"/>
        </w:rPr>
      </w:pPr>
      <w:r w:rsidRPr="00A658D8">
        <w:rPr>
          <w:rFonts w:ascii="Times New Roman" w:hAnsi="Times New Roman"/>
          <w:szCs w:val="24"/>
        </w:rPr>
        <w:t>Not applicable.</w:t>
      </w:r>
    </w:p>
    <w:sectPr w:rsidSect="00E67FC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DF3" w:rsidP="009E3EF8" w14:paraId="71247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5DF3" w14:paraId="20153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DF3" w:rsidRPr="00D44A17" w:rsidP="009E3EF8" w14:paraId="4437658F" w14:textId="30E0863A">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DC7970">
      <w:rPr>
        <w:rStyle w:val="PageNumber"/>
        <w:rFonts w:ascii="Times New Roman" w:hAnsi="Times New Roman"/>
        <w:noProof/>
      </w:rPr>
      <w:t>9</w:t>
    </w:r>
    <w:r w:rsidRPr="00D44A17">
      <w:rPr>
        <w:rStyle w:val="PageNumber"/>
        <w:rFonts w:ascii="Times New Roman" w:hAnsi="Times New Roman"/>
      </w:rPr>
      <w:fldChar w:fldCharType="end"/>
    </w:r>
  </w:p>
  <w:p w:rsidR="008D5DF3" w14:paraId="1C3FEA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0A9" w14:paraId="681BC1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2F52" w14:paraId="071E358F" w14:textId="77777777">
      <w:r>
        <w:separator/>
      </w:r>
    </w:p>
  </w:footnote>
  <w:footnote w:type="continuationSeparator" w:id="1">
    <w:p w:rsidR="008B2F52" w14:paraId="763EE165" w14:textId="77777777">
      <w:r>
        <w:continuationSeparator/>
      </w:r>
    </w:p>
  </w:footnote>
  <w:footnote w:id="2">
    <w:p w:rsidR="00032880" w:rsidRPr="00237558" w:rsidP="00032880" w14:paraId="0E1B587E" w14:textId="77777777">
      <w:pPr>
        <w:pStyle w:val="FootnoteText"/>
        <w:rPr>
          <w:rFonts w:ascii="Times New Roman" w:hAnsi="Times New Roman"/>
        </w:rPr>
      </w:pPr>
      <w:r w:rsidRPr="00237558">
        <w:rPr>
          <w:rStyle w:val="FootnoteReference"/>
          <w:rFonts w:ascii="Times New Roman" w:hAnsi="Times New Roman"/>
          <w:vertAlign w:val="superscript"/>
        </w:rPr>
        <w:footnoteRef/>
      </w:r>
      <w:r w:rsidRPr="00237558">
        <w:rPr>
          <w:rFonts w:ascii="Times New Roman" w:hAnsi="Times New Roman"/>
        </w:rPr>
        <w:t xml:space="preserve"> The revisions for this ICR in the final rule represent an increase of 300,074 estimated annual burden hours from the PRA estimates in the 2021 collection (289,663 hours), and an increase of 16,946 estimated annual burden hours from the PRA estimates in the 2018 collection (572,791 hours).</w:t>
      </w:r>
    </w:p>
  </w:footnote>
  <w:footnote w:id="3">
    <w:p w:rsidR="00237558" w:rsidRPr="00237558" w:rsidP="00237558" w14:paraId="07333EBC" w14:textId="77777777">
      <w:pPr>
        <w:pStyle w:val="FootnoteText"/>
        <w:rPr>
          <w:rFonts w:ascii="Times New Roman" w:hAnsi="Times New Roman"/>
        </w:rPr>
      </w:pPr>
      <w:r w:rsidRPr="00237558">
        <w:rPr>
          <w:rStyle w:val="FootnoteReference"/>
          <w:rFonts w:ascii="Times New Roman" w:hAnsi="Times New Roman"/>
          <w:vertAlign w:val="superscript"/>
        </w:rPr>
        <w:footnoteRef/>
      </w:r>
      <w:r w:rsidRPr="00237558">
        <w:rPr>
          <w:rFonts w:ascii="Times New Roman" w:hAnsi="Times New Roman"/>
        </w:rPr>
        <w:t xml:space="preserve"> For the PRA renewal cycle corresponding with the expected effective date of the final rule – from 2025 through 2027 – there will be a total of nine biennial filers, with total assets (as of the quarter ending March 31, 2024) of approximately $11,152 billion. The FDIC estimates that these nine CIDIs would incur 72 hours per billion dollars in assets of reporting burden under this IC, and that these nine ICs would file once during this three-year period. Therefore, the total burden is 802,944 hours ($11,152 billion in assets * 72 hours per billion in assets = 802,944 hours) across this period, or 267,648 hours annually. At three respondents a year (9 biennial filers / 3 years), this comes out to 89,216 hours per response. </w:t>
      </w:r>
    </w:p>
  </w:footnote>
  <w:footnote w:id="4">
    <w:p w:rsidR="00237558" w:rsidRPr="00237558" w:rsidP="00237558" w14:paraId="53FA7894" w14:textId="77777777">
      <w:pPr>
        <w:pStyle w:val="FootnoteText"/>
        <w:rPr>
          <w:rFonts w:ascii="Times New Roman" w:hAnsi="Times New Roman"/>
        </w:rPr>
      </w:pPr>
      <w:r w:rsidRPr="00237558">
        <w:rPr>
          <w:rStyle w:val="FootnoteReference"/>
          <w:rFonts w:ascii="Times New Roman" w:hAnsi="Times New Roman"/>
          <w:vertAlign w:val="superscript"/>
        </w:rPr>
        <w:footnoteRef/>
      </w:r>
      <w:r w:rsidRPr="00237558">
        <w:rPr>
          <w:rFonts w:ascii="Times New Roman" w:hAnsi="Times New Roman"/>
        </w:rPr>
        <w:t xml:space="preserve"> For the PRA renewal cycle corresponding with the expected effective date of the final rule – from 2025 through 2027 – there will be a total of 24 triennial filers, with total assets (as of the quarter ending March 31, 2024) of approximately $5,951 billion. The FDIC estimates that these 24 CIDIs would incur 73 hours per billion dollars in assets of reporting burden under this IC, and that these 24 ICs would file once during this three-year period. Therefore, the total burden is 434,423 hours ($5,951 billion in assets * 73 hours per billion in assets = 434,423 hours) across this period, or approximately 144,807.67 hours annually. At 8 respondents a year (24 triennial filers / 3 years), this comes out to 18,100.96 hours per response, or 18,100 hours and 58 minutes per response.</w:t>
      </w:r>
    </w:p>
  </w:footnote>
  <w:footnote w:id="5">
    <w:p w:rsidR="00237558" w:rsidRPr="00E0559F" w:rsidP="00237558" w14:paraId="4AF0AE24" w14:textId="77777777">
      <w:pPr>
        <w:pStyle w:val="FootnoteText"/>
        <w:rPr>
          <w:rFonts w:ascii="Source Sans Pro" w:hAnsi="Source Sans Pro"/>
        </w:rPr>
      </w:pPr>
      <w:r w:rsidRPr="00237558">
        <w:rPr>
          <w:rStyle w:val="FootnoteReference"/>
          <w:rFonts w:ascii="Source Sans Pro" w:hAnsi="Source Sans Pro"/>
          <w:vertAlign w:val="superscript"/>
        </w:rPr>
        <w:footnoteRef/>
      </w:r>
      <w:r w:rsidRPr="00237558">
        <w:rPr>
          <w:rFonts w:ascii="Source Sans Pro" w:hAnsi="Source Sans Pro"/>
          <w:vertAlign w:val="superscript"/>
        </w:rPr>
        <w:t xml:space="preserve"> </w:t>
      </w:r>
      <w:r w:rsidRPr="00E0559F">
        <w:rPr>
          <w:rFonts w:ascii="Source Sans Pro" w:hAnsi="Source Sans Pro"/>
        </w:rPr>
        <w:t xml:space="preserve">The estimated time per response for a group B CIDI that has filed previously under the final rule is 67 hours per billion dollars in total assets. However, for the PRA renewal cycle corresponding with the expected effective date </w:t>
      </w:r>
      <w:r w:rsidRPr="00237558">
        <w:rPr>
          <w:rFonts w:ascii="Times New Roman" w:hAnsi="Times New Roman"/>
        </w:rPr>
        <w:t>of the final rule – from 2025 through 2027 – the FDIC estimates that 0 group B CIDIs will be subject to this requirement. For the purposes of estimating annual reporting compliance burden, all group B CIDIs in this period are considered “new filers” and thus will file under IC #5. The FDIC expects that the 17 group B CIDIs under IC #5 (rounded to six annually) would all file under IC #4 in the next three-year PRA renewal cycle, notwithstanding the number of group B CIDIs that may fail, merge with other CIDIs, or experience asset growth such that they no longer would be considered a group B CIDI at the time of their next filing. In recognition that, in future filing cycles, some group B CIDIs will incur burden under this IC, the FDIC uses a placeholder estimate of 0 respondents to retain this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0A9" w14:paraId="41140B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B4D" w14:paraId="61F6CA06" w14:textId="440D1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0A9" w14:paraId="4BB595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nsid w:val="0F09122C"/>
    <w:multiLevelType w:val="hybridMultilevel"/>
    <w:tmpl w:val="8A626D8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9F7457"/>
    <w:multiLevelType w:val="hybridMultilevel"/>
    <w:tmpl w:val="DCD2E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B23B60"/>
    <w:multiLevelType w:val="hybridMultilevel"/>
    <w:tmpl w:val="C1EC2CBC"/>
    <w:lvl w:ilvl="0">
      <w:start w:val="1"/>
      <w:numFmt w:val="decimal"/>
      <w:lvlText w:val="%1."/>
      <w:lvlJc w:val="left"/>
      <w:pPr>
        <w:ind w:left="3326" w:hanging="360"/>
      </w:pPr>
      <w:rPr>
        <w:rFonts w:hint="default"/>
      </w:rPr>
    </w:lvl>
    <w:lvl w:ilvl="1">
      <w:start w:val="1"/>
      <w:numFmt w:val="lowerLetter"/>
      <w:lvlText w:val="%2."/>
      <w:lvlJc w:val="left"/>
      <w:pPr>
        <w:ind w:left="4046" w:hanging="360"/>
      </w:pPr>
    </w:lvl>
    <w:lvl w:ilvl="2" w:tentative="1">
      <w:start w:val="1"/>
      <w:numFmt w:val="lowerRoman"/>
      <w:lvlText w:val="%3."/>
      <w:lvlJc w:val="right"/>
      <w:pPr>
        <w:ind w:left="4766" w:hanging="180"/>
      </w:pPr>
    </w:lvl>
    <w:lvl w:ilvl="3" w:tentative="1">
      <w:start w:val="1"/>
      <w:numFmt w:val="decimal"/>
      <w:lvlText w:val="%4."/>
      <w:lvlJc w:val="left"/>
      <w:pPr>
        <w:ind w:left="5486" w:hanging="360"/>
      </w:pPr>
    </w:lvl>
    <w:lvl w:ilvl="4" w:tentative="1">
      <w:start w:val="1"/>
      <w:numFmt w:val="lowerLetter"/>
      <w:lvlText w:val="%5."/>
      <w:lvlJc w:val="left"/>
      <w:pPr>
        <w:ind w:left="6206" w:hanging="360"/>
      </w:pPr>
    </w:lvl>
    <w:lvl w:ilvl="5" w:tentative="1">
      <w:start w:val="1"/>
      <w:numFmt w:val="lowerRoman"/>
      <w:lvlText w:val="%6."/>
      <w:lvlJc w:val="right"/>
      <w:pPr>
        <w:ind w:left="6926" w:hanging="180"/>
      </w:pPr>
    </w:lvl>
    <w:lvl w:ilvl="6" w:tentative="1">
      <w:start w:val="1"/>
      <w:numFmt w:val="decimal"/>
      <w:lvlText w:val="%7."/>
      <w:lvlJc w:val="left"/>
      <w:pPr>
        <w:ind w:left="7646" w:hanging="360"/>
      </w:pPr>
    </w:lvl>
    <w:lvl w:ilvl="7" w:tentative="1">
      <w:start w:val="1"/>
      <w:numFmt w:val="lowerLetter"/>
      <w:lvlText w:val="%8."/>
      <w:lvlJc w:val="left"/>
      <w:pPr>
        <w:ind w:left="8366" w:hanging="360"/>
      </w:pPr>
    </w:lvl>
    <w:lvl w:ilvl="8" w:tentative="1">
      <w:start w:val="1"/>
      <w:numFmt w:val="lowerRoman"/>
      <w:lvlText w:val="%9."/>
      <w:lvlJc w:val="right"/>
      <w:pPr>
        <w:ind w:left="9086" w:hanging="180"/>
      </w:pPr>
    </w:lvl>
  </w:abstractNum>
  <w:abstractNum w:abstractNumId="6">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3594C"/>
    <w:multiLevelType w:val="hybridMultilevel"/>
    <w:tmpl w:val="647AFC4E"/>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4">
    <w:nsid w:val="72D05624"/>
    <w:multiLevelType w:val="hybridMultilevel"/>
    <w:tmpl w:val="D7961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6">
    <w:nsid w:val="761A1F1C"/>
    <w:multiLevelType w:val="hybridMultilevel"/>
    <w:tmpl w:val="1CC28C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3F080B"/>
    <w:multiLevelType w:val="hybridMultilevel"/>
    <w:tmpl w:val="DB20E7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4"/>
  </w:num>
  <w:num w:numId="4">
    <w:abstractNumId w:val="2"/>
  </w:num>
  <w:num w:numId="5">
    <w:abstractNumId w:val="17"/>
  </w:num>
  <w:num w:numId="6">
    <w:abstractNumId w:val="10"/>
  </w:num>
  <w:num w:numId="7">
    <w:abstractNumId w:val="6"/>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18"/>
  </w:num>
  <w:num w:numId="16">
    <w:abstractNumId w:val="7"/>
  </w:num>
  <w:num w:numId="17">
    <w:abstractNumId w:val="3"/>
  </w:num>
  <w:num w:numId="18">
    <w:abstractNumId w:val="8"/>
  </w:num>
  <w:num w:numId="19">
    <w:abstractNumId w:val="0"/>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9"/>
    <w:rsid w:val="00004251"/>
    <w:rsid w:val="00015F7E"/>
    <w:rsid w:val="00022101"/>
    <w:rsid w:val="00024493"/>
    <w:rsid w:val="0002477D"/>
    <w:rsid w:val="000260FD"/>
    <w:rsid w:val="00032880"/>
    <w:rsid w:val="00040171"/>
    <w:rsid w:val="00040EDD"/>
    <w:rsid w:val="000511AD"/>
    <w:rsid w:val="00053B9D"/>
    <w:rsid w:val="00072A1E"/>
    <w:rsid w:val="000841A0"/>
    <w:rsid w:val="0008718C"/>
    <w:rsid w:val="0009179F"/>
    <w:rsid w:val="00094D94"/>
    <w:rsid w:val="00096502"/>
    <w:rsid w:val="0009732C"/>
    <w:rsid w:val="000B6DF0"/>
    <w:rsid w:val="000C6A72"/>
    <w:rsid w:val="000C7953"/>
    <w:rsid w:val="000D084C"/>
    <w:rsid w:val="000D304B"/>
    <w:rsid w:val="000D71BF"/>
    <w:rsid w:val="000E0ACC"/>
    <w:rsid w:val="000E3D1D"/>
    <w:rsid w:val="000E739A"/>
    <w:rsid w:val="000F0705"/>
    <w:rsid w:val="000F0AD0"/>
    <w:rsid w:val="000F39F2"/>
    <w:rsid w:val="000F4771"/>
    <w:rsid w:val="000F6328"/>
    <w:rsid w:val="001067D8"/>
    <w:rsid w:val="00112142"/>
    <w:rsid w:val="0011233B"/>
    <w:rsid w:val="00124A8A"/>
    <w:rsid w:val="00126C08"/>
    <w:rsid w:val="00127D85"/>
    <w:rsid w:val="00140D33"/>
    <w:rsid w:val="00155060"/>
    <w:rsid w:val="00176A39"/>
    <w:rsid w:val="0018255F"/>
    <w:rsid w:val="00185022"/>
    <w:rsid w:val="00185D39"/>
    <w:rsid w:val="001870F5"/>
    <w:rsid w:val="00190528"/>
    <w:rsid w:val="001B096A"/>
    <w:rsid w:val="001B3324"/>
    <w:rsid w:val="001B3A0E"/>
    <w:rsid w:val="001B4368"/>
    <w:rsid w:val="001C665A"/>
    <w:rsid w:val="001D77CC"/>
    <w:rsid w:val="001E69B5"/>
    <w:rsid w:val="001F20B1"/>
    <w:rsid w:val="002170A9"/>
    <w:rsid w:val="00224DA9"/>
    <w:rsid w:val="00226BAF"/>
    <w:rsid w:val="00227FA9"/>
    <w:rsid w:val="002301EF"/>
    <w:rsid w:val="00232C01"/>
    <w:rsid w:val="00234E23"/>
    <w:rsid w:val="00237558"/>
    <w:rsid w:val="00256276"/>
    <w:rsid w:val="00256905"/>
    <w:rsid w:val="002614B3"/>
    <w:rsid w:val="00262DF4"/>
    <w:rsid w:val="00273787"/>
    <w:rsid w:val="0028762A"/>
    <w:rsid w:val="00287A09"/>
    <w:rsid w:val="00290B4E"/>
    <w:rsid w:val="0029200F"/>
    <w:rsid w:val="00292F82"/>
    <w:rsid w:val="002A404B"/>
    <w:rsid w:val="002B051E"/>
    <w:rsid w:val="002B408A"/>
    <w:rsid w:val="002C48F4"/>
    <w:rsid w:val="002C53C5"/>
    <w:rsid w:val="002C757A"/>
    <w:rsid w:val="002D0E60"/>
    <w:rsid w:val="002D322F"/>
    <w:rsid w:val="002E7426"/>
    <w:rsid w:val="002F3E29"/>
    <w:rsid w:val="002F5062"/>
    <w:rsid w:val="00310CE0"/>
    <w:rsid w:val="0031284F"/>
    <w:rsid w:val="00312ECF"/>
    <w:rsid w:val="00315695"/>
    <w:rsid w:val="00315751"/>
    <w:rsid w:val="003175D7"/>
    <w:rsid w:val="00317C12"/>
    <w:rsid w:val="003357F5"/>
    <w:rsid w:val="003362F9"/>
    <w:rsid w:val="00345464"/>
    <w:rsid w:val="00350F70"/>
    <w:rsid w:val="00377909"/>
    <w:rsid w:val="003826B0"/>
    <w:rsid w:val="00382A5D"/>
    <w:rsid w:val="00392208"/>
    <w:rsid w:val="00392C22"/>
    <w:rsid w:val="003B2E1B"/>
    <w:rsid w:val="003C41D9"/>
    <w:rsid w:val="003E149D"/>
    <w:rsid w:val="003E6C02"/>
    <w:rsid w:val="003E7DCF"/>
    <w:rsid w:val="003F29AE"/>
    <w:rsid w:val="003F3502"/>
    <w:rsid w:val="0041183F"/>
    <w:rsid w:val="00420F7B"/>
    <w:rsid w:val="00424E8C"/>
    <w:rsid w:val="0043250F"/>
    <w:rsid w:val="004329EE"/>
    <w:rsid w:val="00446D1B"/>
    <w:rsid w:val="004513D4"/>
    <w:rsid w:val="0045298C"/>
    <w:rsid w:val="004545FE"/>
    <w:rsid w:val="00457F56"/>
    <w:rsid w:val="004600FF"/>
    <w:rsid w:val="00464D95"/>
    <w:rsid w:val="00465614"/>
    <w:rsid w:val="00467C4A"/>
    <w:rsid w:val="004762BF"/>
    <w:rsid w:val="00484606"/>
    <w:rsid w:val="004849F9"/>
    <w:rsid w:val="004901EF"/>
    <w:rsid w:val="00490EEF"/>
    <w:rsid w:val="0049101F"/>
    <w:rsid w:val="004955DD"/>
    <w:rsid w:val="00496B2D"/>
    <w:rsid w:val="004A3BFA"/>
    <w:rsid w:val="004A5C84"/>
    <w:rsid w:val="004A605B"/>
    <w:rsid w:val="004B0ADA"/>
    <w:rsid w:val="004B4DB0"/>
    <w:rsid w:val="004D18A2"/>
    <w:rsid w:val="004D49AE"/>
    <w:rsid w:val="004D5F88"/>
    <w:rsid w:val="004E118F"/>
    <w:rsid w:val="004E2BE7"/>
    <w:rsid w:val="004E3361"/>
    <w:rsid w:val="004E3939"/>
    <w:rsid w:val="004E3E52"/>
    <w:rsid w:val="004F1101"/>
    <w:rsid w:val="00503353"/>
    <w:rsid w:val="00504EB7"/>
    <w:rsid w:val="005102F8"/>
    <w:rsid w:val="0051073D"/>
    <w:rsid w:val="005130ED"/>
    <w:rsid w:val="00531257"/>
    <w:rsid w:val="00541136"/>
    <w:rsid w:val="0056028A"/>
    <w:rsid w:val="00561856"/>
    <w:rsid w:val="00563DAC"/>
    <w:rsid w:val="0057102C"/>
    <w:rsid w:val="005723EE"/>
    <w:rsid w:val="0057362F"/>
    <w:rsid w:val="0057656B"/>
    <w:rsid w:val="005813FD"/>
    <w:rsid w:val="005828C6"/>
    <w:rsid w:val="00592A94"/>
    <w:rsid w:val="00592BD0"/>
    <w:rsid w:val="00594137"/>
    <w:rsid w:val="005A5D9A"/>
    <w:rsid w:val="005B0EA7"/>
    <w:rsid w:val="005C7D7E"/>
    <w:rsid w:val="005D5CAD"/>
    <w:rsid w:val="005D666A"/>
    <w:rsid w:val="005E032E"/>
    <w:rsid w:val="005E1199"/>
    <w:rsid w:val="005E1E82"/>
    <w:rsid w:val="005F11EE"/>
    <w:rsid w:val="005F3A57"/>
    <w:rsid w:val="00600057"/>
    <w:rsid w:val="00603617"/>
    <w:rsid w:val="006057E5"/>
    <w:rsid w:val="0061243E"/>
    <w:rsid w:val="00615C5F"/>
    <w:rsid w:val="006266B0"/>
    <w:rsid w:val="006312DA"/>
    <w:rsid w:val="006352DD"/>
    <w:rsid w:val="00635583"/>
    <w:rsid w:val="00650B31"/>
    <w:rsid w:val="00652BBE"/>
    <w:rsid w:val="006610B6"/>
    <w:rsid w:val="00677966"/>
    <w:rsid w:val="00677F6F"/>
    <w:rsid w:val="00681014"/>
    <w:rsid w:val="006846D8"/>
    <w:rsid w:val="006853BE"/>
    <w:rsid w:val="006914A9"/>
    <w:rsid w:val="006915D9"/>
    <w:rsid w:val="006917AE"/>
    <w:rsid w:val="006A2529"/>
    <w:rsid w:val="006C2B19"/>
    <w:rsid w:val="006D02C2"/>
    <w:rsid w:val="006D1B84"/>
    <w:rsid w:val="006D23D5"/>
    <w:rsid w:val="006D43C5"/>
    <w:rsid w:val="006E6279"/>
    <w:rsid w:val="0070054A"/>
    <w:rsid w:val="00702457"/>
    <w:rsid w:val="007142B0"/>
    <w:rsid w:val="0072471D"/>
    <w:rsid w:val="00734B23"/>
    <w:rsid w:val="00741B4D"/>
    <w:rsid w:val="00745F2F"/>
    <w:rsid w:val="007703D4"/>
    <w:rsid w:val="00774164"/>
    <w:rsid w:val="00780279"/>
    <w:rsid w:val="00782DF2"/>
    <w:rsid w:val="00787035"/>
    <w:rsid w:val="00787036"/>
    <w:rsid w:val="007903FB"/>
    <w:rsid w:val="00792888"/>
    <w:rsid w:val="007A5D30"/>
    <w:rsid w:val="007C0AB8"/>
    <w:rsid w:val="007C0BCC"/>
    <w:rsid w:val="007C7882"/>
    <w:rsid w:val="007D2D64"/>
    <w:rsid w:val="007D405E"/>
    <w:rsid w:val="007D4B8C"/>
    <w:rsid w:val="007D701B"/>
    <w:rsid w:val="007F1558"/>
    <w:rsid w:val="007F574F"/>
    <w:rsid w:val="00812C0C"/>
    <w:rsid w:val="00813F52"/>
    <w:rsid w:val="00815BA0"/>
    <w:rsid w:val="00815BF3"/>
    <w:rsid w:val="008258B0"/>
    <w:rsid w:val="008262BC"/>
    <w:rsid w:val="00832F4D"/>
    <w:rsid w:val="008334D8"/>
    <w:rsid w:val="008424FE"/>
    <w:rsid w:val="00850D6B"/>
    <w:rsid w:val="00853CE9"/>
    <w:rsid w:val="00855435"/>
    <w:rsid w:val="00855657"/>
    <w:rsid w:val="00861894"/>
    <w:rsid w:val="00892D77"/>
    <w:rsid w:val="008945FE"/>
    <w:rsid w:val="0089610B"/>
    <w:rsid w:val="008A7570"/>
    <w:rsid w:val="008B2F52"/>
    <w:rsid w:val="008D08B8"/>
    <w:rsid w:val="008D1F22"/>
    <w:rsid w:val="008D4DFA"/>
    <w:rsid w:val="008D5DF3"/>
    <w:rsid w:val="008D6920"/>
    <w:rsid w:val="008D73BF"/>
    <w:rsid w:val="008D7F91"/>
    <w:rsid w:val="008F65F9"/>
    <w:rsid w:val="008F7601"/>
    <w:rsid w:val="009005D0"/>
    <w:rsid w:val="00901670"/>
    <w:rsid w:val="00905047"/>
    <w:rsid w:val="00921AC7"/>
    <w:rsid w:val="00934FDA"/>
    <w:rsid w:val="00946D60"/>
    <w:rsid w:val="00950FE9"/>
    <w:rsid w:val="009530A9"/>
    <w:rsid w:val="00957F5B"/>
    <w:rsid w:val="00964127"/>
    <w:rsid w:val="00970EE1"/>
    <w:rsid w:val="00980B27"/>
    <w:rsid w:val="00982C52"/>
    <w:rsid w:val="00984A05"/>
    <w:rsid w:val="009873A8"/>
    <w:rsid w:val="009E334E"/>
    <w:rsid w:val="009E3EF8"/>
    <w:rsid w:val="009F3F7C"/>
    <w:rsid w:val="00A05524"/>
    <w:rsid w:val="00A118AA"/>
    <w:rsid w:val="00A26F7E"/>
    <w:rsid w:val="00A30089"/>
    <w:rsid w:val="00A35263"/>
    <w:rsid w:val="00A42208"/>
    <w:rsid w:val="00A5661D"/>
    <w:rsid w:val="00A658D8"/>
    <w:rsid w:val="00A7066E"/>
    <w:rsid w:val="00A71AC4"/>
    <w:rsid w:val="00A72BC7"/>
    <w:rsid w:val="00A76A56"/>
    <w:rsid w:val="00A87D23"/>
    <w:rsid w:val="00A92C99"/>
    <w:rsid w:val="00A95005"/>
    <w:rsid w:val="00AA4AD0"/>
    <w:rsid w:val="00AA773B"/>
    <w:rsid w:val="00AC662C"/>
    <w:rsid w:val="00AD0380"/>
    <w:rsid w:val="00AE10C8"/>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6D61"/>
    <w:rsid w:val="00B72A05"/>
    <w:rsid w:val="00B84FE3"/>
    <w:rsid w:val="00BA4483"/>
    <w:rsid w:val="00BB10F6"/>
    <w:rsid w:val="00BB3596"/>
    <w:rsid w:val="00BD26F2"/>
    <w:rsid w:val="00BD6331"/>
    <w:rsid w:val="00BE162F"/>
    <w:rsid w:val="00BE5CFB"/>
    <w:rsid w:val="00BF3DBF"/>
    <w:rsid w:val="00BF6EB1"/>
    <w:rsid w:val="00C06211"/>
    <w:rsid w:val="00C26121"/>
    <w:rsid w:val="00C27F84"/>
    <w:rsid w:val="00C31329"/>
    <w:rsid w:val="00C40BE8"/>
    <w:rsid w:val="00C70844"/>
    <w:rsid w:val="00C85B53"/>
    <w:rsid w:val="00C872FF"/>
    <w:rsid w:val="00CA41B1"/>
    <w:rsid w:val="00CC7F5B"/>
    <w:rsid w:val="00CE1B4B"/>
    <w:rsid w:val="00CE41FF"/>
    <w:rsid w:val="00CE495E"/>
    <w:rsid w:val="00CF316A"/>
    <w:rsid w:val="00CF4B0A"/>
    <w:rsid w:val="00CF5845"/>
    <w:rsid w:val="00D0065D"/>
    <w:rsid w:val="00D03D50"/>
    <w:rsid w:val="00D04E0C"/>
    <w:rsid w:val="00D07187"/>
    <w:rsid w:val="00D15997"/>
    <w:rsid w:val="00D16271"/>
    <w:rsid w:val="00D2791C"/>
    <w:rsid w:val="00D30EFA"/>
    <w:rsid w:val="00D31E49"/>
    <w:rsid w:val="00D44A17"/>
    <w:rsid w:val="00D5680A"/>
    <w:rsid w:val="00D62E18"/>
    <w:rsid w:val="00D63E61"/>
    <w:rsid w:val="00D75ABD"/>
    <w:rsid w:val="00D76413"/>
    <w:rsid w:val="00D81D4D"/>
    <w:rsid w:val="00D83E34"/>
    <w:rsid w:val="00D855D3"/>
    <w:rsid w:val="00D87272"/>
    <w:rsid w:val="00DA5D4F"/>
    <w:rsid w:val="00DA617B"/>
    <w:rsid w:val="00DA7769"/>
    <w:rsid w:val="00DB42F5"/>
    <w:rsid w:val="00DB63AD"/>
    <w:rsid w:val="00DB73FE"/>
    <w:rsid w:val="00DC4739"/>
    <w:rsid w:val="00DC7970"/>
    <w:rsid w:val="00DD05CA"/>
    <w:rsid w:val="00DD275F"/>
    <w:rsid w:val="00DD30D3"/>
    <w:rsid w:val="00DD59A9"/>
    <w:rsid w:val="00DE7404"/>
    <w:rsid w:val="00E00061"/>
    <w:rsid w:val="00E04B07"/>
    <w:rsid w:val="00E0559F"/>
    <w:rsid w:val="00E1180C"/>
    <w:rsid w:val="00E129E6"/>
    <w:rsid w:val="00E13B07"/>
    <w:rsid w:val="00E1513D"/>
    <w:rsid w:val="00E16125"/>
    <w:rsid w:val="00E1693B"/>
    <w:rsid w:val="00E277DB"/>
    <w:rsid w:val="00E27BD7"/>
    <w:rsid w:val="00E32813"/>
    <w:rsid w:val="00E370B8"/>
    <w:rsid w:val="00E439F7"/>
    <w:rsid w:val="00E53C0F"/>
    <w:rsid w:val="00E674A3"/>
    <w:rsid w:val="00E67FC4"/>
    <w:rsid w:val="00E80F08"/>
    <w:rsid w:val="00E83806"/>
    <w:rsid w:val="00E86D48"/>
    <w:rsid w:val="00E922CF"/>
    <w:rsid w:val="00E93140"/>
    <w:rsid w:val="00E93E3A"/>
    <w:rsid w:val="00E94E0E"/>
    <w:rsid w:val="00E9580B"/>
    <w:rsid w:val="00E96779"/>
    <w:rsid w:val="00EA052D"/>
    <w:rsid w:val="00EA1240"/>
    <w:rsid w:val="00EA4C7F"/>
    <w:rsid w:val="00EA522B"/>
    <w:rsid w:val="00EB6F46"/>
    <w:rsid w:val="00EC2B07"/>
    <w:rsid w:val="00EC319A"/>
    <w:rsid w:val="00ED4BE7"/>
    <w:rsid w:val="00ED6060"/>
    <w:rsid w:val="00EE4CEC"/>
    <w:rsid w:val="00EE574F"/>
    <w:rsid w:val="00EF1FAE"/>
    <w:rsid w:val="00EF3127"/>
    <w:rsid w:val="00EF7930"/>
    <w:rsid w:val="00EF7C3C"/>
    <w:rsid w:val="00F0437F"/>
    <w:rsid w:val="00F1200B"/>
    <w:rsid w:val="00F1641D"/>
    <w:rsid w:val="00F22E51"/>
    <w:rsid w:val="00F34F78"/>
    <w:rsid w:val="00F5332D"/>
    <w:rsid w:val="00F61FD3"/>
    <w:rsid w:val="00F6404A"/>
    <w:rsid w:val="00F66314"/>
    <w:rsid w:val="00F66734"/>
    <w:rsid w:val="00F71FF3"/>
    <w:rsid w:val="00F733E3"/>
    <w:rsid w:val="00F8634C"/>
    <w:rsid w:val="00F86D4E"/>
    <w:rsid w:val="00FB642E"/>
    <w:rsid w:val="00FC7D00"/>
    <w:rsid w:val="00FD51E1"/>
    <w:rsid w:val="00FD6C9D"/>
    <w:rsid w:val="00FE151E"/>
    <w:rsid w:val="00FE25C4"/>
    <w:rsid w:val="00FE5BE2"/>
    <w:rsid w:val="00FF62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0E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36"/>
    <w:pPr>
      <w:widowControl w:val="0"/>
    </w:pPr>
    <w:rPr>
      <w:rFonts w:ascii="Courier" w:hAnsi="Courier"/>
      <w:sz w:val="24"/>
      <w:szCs w:val="20"/>
    </w:rPr>
  </w:style>
  <w:style w:type="paragraph" w:styleId="Heading1">
    <w:name w:val="heading 1"/>
    <w:basedOn w:val="Normal"/>
    <w:next w:val="Normal"/>
    <w:link w:val="Heading1Char"/>
    <w:qFormat/>
    <w:locked/>
    <w:rsid w:val="000D08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457F56"/>
    <w:pPr>
      <w:keepNext/>
      <w:keepLines/>
      <w:widowControl/>
      <w:spacing w:before="40"/>
      <w:outlineLvl w:val="1"/>
    </w:pPr>
    <w:rPr>
      <w:rFonts w:ascii="Source Sans Pro" w:hAnsi="Source Sans Pro" w:eastAsiaTheme="majorEastAsia"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ootnote Reference),12,BVI fnr,EN Footnote Reference,Exposant 3 Point,Footnote,Footnote Reference Superscript,Footnote reference number,Footnote symbol,Nota,Ref,SUPERS,Style 16,Style 19,Times 10 Point,Voetnootverwijzing,fr,note TESI"/>
    <w:basedOn w:val="DefaultParagraphFont"/>
    <w:uiPriority w:val="99"/>
    <w:qFormat/>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 Char,ALTS FOOTNOTE,Car,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541136"/>
    <w:pPr>
      <w:autoSpaceDE w:val="0"/>
      <w:autoSpaceDN w:val="0"/>
      <w:adjustRightInd w:val="0"/>
    </w:pPr>
    <w:rPr>
      <w:rFonts w:ascii="CourierPS" w:hAnsi="CourierPS"/>
      <w:sz w:val="20"/>
    </w:rPr>
  </w:style>
  <w:style w:type="character" w:customStyle="1" w:styleId="FootnoteTextChar">
    <w:name w:val="Footnote Text Char"/>
    <w:aliases w:val=" Char Char,ALTS FOOTNOTE Char,Car Char,Char Char,Footnote Text Char Char Char Char,Footnote Text Char Char Char1,Fußnote Char,Style 15 Char,Style 40 Char Char Char,Style 40 Char Char1,fn Char,ft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3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 w:type="paragraph" w:styleId="Revision">
    <w:name w:val="Revision"/>
    <w:hidden/>
    <w:uiPriority w:val="99"/>
    <w:semiHidden/>
    <w:rsid w:val="005E1199"/>
    <w:rPr>
      <w:rFonts w:ascii="Courier" w:hAnsi="Courier"/>
      <w:sz w:val="24"/>
      <w:szCs w:val="20"/>
    </w:rPr>
  </w:style>
  <w:style w:type="character" w:customStyle="1" w:styleId="ms-rtethemefontface-1">
    <w:name w:val="ms-rtethemefontface-1"/>
    <w:basedOn w:val="DefaultParagraphFont"/>
    <w:rsid w:val="004A3BFA"/>
  </w:style>
  <w:style w:type="character" w:customStyle="1" w:styleId="Hyperlink1">
    <w:name w:val="Hyperlink1"/>
    <w:basedOn w:val="DefaultParagraphFont"/>
    <w:uiPriority w:val="99"/>
    <w:unhideWhenUsed/>
    <w:rsid w:val="004A3BFA"/>
    <w:rPr>
      <w:color w:val="0563C1"/>
      <w:u w:val="single"/>
    </w:rPr>
  </w:style>
  <w:style w:type="character" w:styleId="Hyperlink">
    <w:name w:val="Hyperlink"/>
    <w:basedOn w:val="DefaultParagraphFont"/>
    <w:uiPriority w:val="99"/>
    <w:semiHidden/>
    <w:unhideWhenUsed/>
    <w:rsid w:val="004A3BFA"/>
    <w:rPr>
      <w:color w:val="0000FF" w:themeColor="hyperlink"/>
      <w:u w:val="single"/>
    </w:rPr>
  </w:style>
  <w:style w:type="character" w:customStyle="1" w:styleId="Heading2Char">
    <w:name w:val="Heading 2 Char"/>
    <w:basedOn w:val="DefaultParagraphFont"/>
    <w:link w:val="Heading2"/>
    <w:uiPriority w:val="9"/>
    <w:rsid w:val="00457F56"/>
    <w:rPr>
      <w:rFonts w:ascii="Source Sans Pro" w:hAnsi="Source Sans Pro" w:eastAsiaTheme="majorEastAsia" w:cstheme="majorBidi"/>
      <w:b/>
      <w:sz w:val="20"/>
      <w:szCs w:val="26"/>
    </w:rPr>
  </w:style>
  <w:style w:type="character" w:customStyle="1" w:styleId="normaltextrun">
    <w:name w:val="normaltextrun"/>
    <w:basedOn w:val="DefaultParagraphFont"/>
    <w:rsid w:val="00457F56"/>
  </w:style>
  <w:style w:type="paragraph" w:styleId="BodyTextFirstIndent">
    <w:name w:val="Body Text First Indent"/>
    <w:basedOn w:val="BodyText"/>
    <w:link w:val="BodyTextFirstIndentChar"/>
    <w:uiPriority w:val="99"/>
    <w:semiHidden/>
    <w:unhideWhenUsed/>
    <w:rsid w:val="00652BBE"/>
    <w:pPr>
      <w:widowControl w:val="0"/>
      <w:ind w:firstLine="360"/>
    </w:pPr>
    <w:rPr>
      <w:rFonts w:ascii="Courier" w:hAnsi="Courier"/>
      <w:i w:val="0"/>
      <w:iCs w:val="0"/>
    </w:rPr>
  </w:style>
  <w:style w:type="character" w:customStyle="1" w:styleId="BodyTextFirstIndentChar">
    <w:name w:val="Body Text First Indent Char"/>
    <w:basedOn w:val="BodyTextChar"/>
    <w:link w:val="BodyTextFirstIndent"/>
    <w:uiPriority w:val="99"/>
    <w:semiHidden/>
    <w:rsid w:val="00652BBE"/>
    <w:rPr>
      <w:rFonts w:ascii="Courier" w:hAnsi="Courier" w:cs="Times New Roman"/>
      <w:i w:val="0"/>
      <w:iCs w:val="0"/>
      <w:sz w:val="24"/>
      <w:szCs w:val="20"/>
      <w:lang w:val="en-US" w:eastAsia="en-US" w:bidi="ar-SA"/>
    </w:rPr>
  </w:style>
  <w:style w:type="character" w:customStyle="1" w:styleId="Heading1Char">
    <w:name w:val="Heading 1 Char"/>
    <w:basedOn w:val="DefaultParagraphFont"/>
    <w:link w:val="Heading1"/>
    <w:rsid w:val="000D08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23C99-A013-408E-A9BB-FF0A7DD2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2887</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2024-07-09T16:11:00Z</dcterms:created>
  <dcterms:modified xsi:type="dcterms:W3CDTF">2024-07-09T17:01:00Z</dcterms:modified>
</cp:coreProperties>
</file>