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5089" w:rsidRPr="002D168E" w:rsidP="00617B79" w14:paraId="36B20B1E" w14:textId="77777777">
      <w:pPr>
        <w:pStyle w:val="ListParagraph"/>
        <w:ind w:left="0" w:firstLine="4"/>
        <w:jc w:val="center"/>
      </w:pPr>
      <w:r w:rsidRPr="002D168E">
        <w:t>National Credit Union Administration</w:t>
      </w:r>
    </w:p>
    <w:p w:rsidR="002D168E" w:rsidRPr="00E3584A" w:rsidP="002D168E" w14:paraId="67613EA2" w14:textId="77777777">
      <w:pPr>
        <w:pStyle w:val="ListParagraph"/>
        <w:tabs>
          <w:tab w:val="num" w:pos="450"/>
        </w:tabs>
        <w:ind w:left="446" w:hanging="360"/>
        <w:jc w:val="center"/>
        <w:rPr>
          <w:b/>
          <w:bCs/>
        </w:rPr>
      </w:pPr>
      <w:r w:rsidRPr="00E3584A">
        <w:rPr>
          <w:b/>
          <w:bCs/>
        </w:rPr>
        <w:t>SUPPORTING STATEMENT</w:t>
      </w:r>
    </w:p>
    <w:p w:rsidR="00617B79" w:rsidRPr="00E3584A" w:rsidP="00695089" w14:paraId="18ACCAA9" w14:textId="77777777">
      <w:pPr>
        <w:pStyle w:val="ListParagraph"/>
        <w:tabs>
          <w:tab w:val="num" w:pos="450"/>
        </w:tabs>
        <w:ind w:left="446" w:hanging="360"/>
        <w:jc w:val="center"/>
        <w:rPr>
          <w:b/>
          <w:bCs/>
        </w:rPr>
      </w:pPr>
    </w:p>
    <w:p w:rsidR="00695089" w:rsidRPr="002D168E" w:rsidP="00695089" w14:paraId="37E767E6" w14:textId="77777777">
      <w:pPr>
        <w:pStyle w:val="ListParagraph"/>
        <w:tabs>
          <w:tab w:val="num" w:pos="450"/>
        </w:tabs>
        <w:ind w:left="446" w:hanging="360"/>
        <w:jc w:val="center"/>
      </w:pPr>
      <w:r w:rsidRPr="002D168E">
        <w:t>Fair Credit Reporting Act</w:t>
      </w:r>
      <w:r w:rsidRPr="002D168E">
        <w:t xml:space="preserve"> Recordkeeping and Disclosure Requirements </w:t>
      </w:r>
    </w:p>
    <w:p w:rsidR="00695089" w:rsidRPr="006C134B" w:rsidP="001772A0" w14:paraId="4389A65D" w14:textId="77777777">
      <w:pPr>
        <w:pStyle w:val="ListParagraph"/>
        <w:tabs>
          <w:tab w:val="num" w:pos="450"/>
        </w:tabs>
        <w:ind w:left="446" w:hanging="360"/>
        <w:jc w:val="center"/>
        <w:rPr>
          <w:lang w:val="fr-FR"/>
        </w:rPr>
      </w:pPr>
      <w:r w:rsidRPr="006C134B">
        <w:rPr>
          <w:lang w:val="fr-FR"/>
        </w:rPr>
        <w:t>under</w:t>
      </w:r>
      <w:r w:rsidRPr="006C134B">
        <w:rPr>
          <w:lang w:val="fr-FR"/>
        </w:rPr>
        <w:t xml:space="preserve"> 15 U.S.C. 1681 </w:t>
      </w:r>
      <w:r w:rsidRPr="006C134B">
        <w:rPr>
          <w:u w:val="single"/>
          <w:lang w:val="fr-FR"/>
        </w:rPr>
        <w:t xml:space="preserve">et </w:t>
      </w:r>
      <w:r w:rsidRPr="006C134B">
        <w:rPr>
          <w:u w:val="single"/>
          <w:lang w:val="fr-FR"/>
        </w:rPr>
        <w:t>seq</w:t>
      </w:r>
      <w:r w:rsidRPr="006C134B">
        <w:rPr>
          <w:u w:val="single"/>
          <w:lang w:val="fr-FR"/>
        </w:rPr>
        <w:t>.</w:t>
      </w:r>
      <w:r w:rsidRPr="006C134B">
        <w:rPr>
          <w:lang w:val="fr-FR"/>
        </w:rPr>
        <w:t>,</w:t>
      </w:r>
    </w:p>
    <w:p w:rsidR="00617B79" w:rsidRPr="002D168E" w:rsidP="00E3584A" w14:paraId="12C02663" w14:textId="77777777">
      <w:pPr>
        <w:pStyle w:val="ListParagraph"/>
        <w:tabs>
          <w:tab w:val="num" w:pos="450"/>
        </w:tabs>
        <w:ind w:left="446" w:hanging="360"/>
        <w:jc w:val="center"/>
      </w:pPr>
      <w:r w:rsidRPr="002D168E">
        <w:t xml:space="preserve">12 CFR 1022, </w:t>
      </w:r>
      <w:r w:rsidRPr="002D168E" w:rsidR="00695089">
        <w:t xml:space="preserve">and </w:t>
      </w:r>
      <w:r w:rsidRPr="002D168E" w:rsidR="000C166E">
        <w:t xml:space="preserve">by </w:t>
      </w:r>
      <w:r w:rsidRPr="002D168E" w:rsidR="00695089">
        <w:t>12 CFR 717</w:t>
      </w:r>
    </w:p>
    <w:p w:rsidR="00695089" w:rsidRPr="002D168E" w:rsidP="00695089" w14:paraId="708D6D51" w14:textId="77777777">
      <w:pPr>
        <w:pStyle w:val="ListParagraph"/>
        <w:tabs>
          <w:tab w:val="num" w:pos="450"/>
        </w:tabs>
        <w:ind w:left="446" w:hanging="360"/>
        <w:jc w:val="center"/>
        <w:rPr>
          <w:b/>
          <w:bCs/>
        </w:rPr>
      </w:pPr>
      <w:r w:rsidRPr="002D168E">
        <w:rPr>
          <w:b/>
          <w:bCs/>
        </w:rPr>
        <w:t>OMB No. 3133-0165</w:t>
      </w:r>
    </w:p>
    <w:p w:rsidR="005B336D" w:rsidP="00695089" w14:paraId="7CA7B5F5" w14:textId="77777777">
      <w:pPr>
        <w:pStyle w:val="ListParagraph"/>
        <w:ind w:left="0"/>
        <w:rPr>
          <w:b/>
        </w:rPr>
      </w:pPr>
    </w:p>
    <w:p w:rsidR="00617B79" w:rsidRPr="005B336D" w:rsidP="00695089" w14:paraId="48FC69D2" w14:textId="77777777">
      <w:pPr>
        <w:pStyle w:val="ListParagraph"/>
        <w:ind w:left="0"/>
        <w:rPr>
          <w:u w:val="single"/>
        </w:rPr>
      </w:pPr>
      <w:r w:rsidRPr="005B336D">
        <w:rPr>
          <w:u w:val="single"/>
        </w:rPr>
        <w:t>Summary of Action:</w:t>
      </w:r>
    </w:p>
    <w:p w:rsidR="005B336D" w:rsidP="00695089" w14:paraId="167473D6" w14:textId="77777777">
      <w:pPr>
        <w:pStyle w:val="ListParagraph"/>
        <w:ind w:left="0"/>
      </w:pPr>
    </w:p>
    <w:p w:rsidR="005B336D" w:rsidP="00695089" w14:paraId="0C8C845B" w14:textId="77777777">
      <w:pPr>
        <w:pStyle w:val="ListParagraph"/>
        <w:ind w:left="0"/>
      </w:pPr>
      <w:r>
        <w:t xml:space="preserve">The National Credit Union Administration (NCUA) is requesting approval from the Office of Management and Budget (OMB) for renewal on information collection associated with the recordkeeping and disclosure requirements under the Fair Credit Reporting Act, 15 U.S.C. 1681 </w:t>
      </w:r>
      <w:r w:rsidRPr="0078151C">
        <w:rPr>
          <w:u w:val="single"/>
        </w:rPr>
        <w:t>et seq.</w:t>
      </w:r>
      <w:r>
        <w:t xml:space="preserve"> and 12 CFR 1022 and 12 CFR 717.</w:t>
      </w:r>
    </w:p>
    <w:p w:rsidR="005B336D" w:rsidRPr="005B336D" w:rsidP="00695089" w14:paraId="05BE3F99" w14:textId="77777777">
      <w:pPr>
        <w:pStyle w:val="ListParagraph"/>
        <w:ind w:left="0"/>
      </w:pPr>
    </w:p>
    <w:p w:rsidR="00695089" w:rsidRPr="00E44F63" w:rsidP="00617B79" w14:paraId="6E9A8E52" w14:textId="77777777">
      <w:pPr>
        <w:pStyle w:val="ListParagraph"/>
        <w:numPr>
          <w:ilvl w:val="0"/>
          <w:numId w:val="1"/>
        </w:numPr>
        <w:ind w:left="720" w:hanging="720"/>
        <w:rPr>
          <w:b/>
        </w:rPr>
      </w:pPr>
      <w:r w:rsidRPr="00E44F63">
        <w:rPr>
          <w:b/>
        </w:rPr>
        <w:t>JUSTIFICATION</w:t>
      </w:r>
    </w:p>
    <w:p w:rsidR="00695089" w:rsidRPr="00E44F63" w:rsidP="00617B79" w14:paraId="3A52D367" w14:textId="77777777">
      <w:pPr>
        <w:pStyle w:val="ListParagraph"/>
        <w:ind w:hanging="720"/>
        <w:rPr>
          <w:b/>
        </w:rPr>
      </w:pPr>
    </w:p>
    <w:p w:rsidR="00695089" w:rsidRPr="00E44F63" w:rsidP="00617B79" w14:paraId="1684FAC0" w14:textId="77777777">
      <w:pPr>
        <w:pStyle w:val="ListParagraph"/>
        <w:numPr>
          <w:ilvl w:val="0"/>
          <w:numId w:val="2"/>
        </w:numPr>
        <w:ind w:left="720" w:hanging="720"/>
        <w:rPr>
          <w:b/>
        </w:rPr>
      </w:pPr>
      <w:r>
        <w:rPr>
          <w:b/>
        </w:rPr>
        <w:t>Circumstances that make the</w:t>
      </w:r>
      <w:r>
        <w:rPr>
          <w:b/>
        </w:rPr>
        <w:t xml:space="preserve"> </w:t>
      </w:r>
      <w:r>
        <w:rPr>
          <w:b/>
        </w:rPr>
        <w:t>c</w:t>
      </w:r>
      <w:r>
        <w:rPr>
          <w:b/>
        </w:rPr>
        <w:t>ollection</w:t>
      </w:r>
      <w:r>
        <w:rPr>
          <w:b/>
        </w:rPr>
        <w:t xml:space="preserve"> of information necessary:</w:t>
      </w:r>
    </w:p>
    <w:p w:rsidR="00695089" w:rsidP="00695089" w14:paraId="0694538C" w14:textId="77777777">
      <w:pPr>
        <w:pStyle w:val="ListParagraph"/>
        <w:tabs>
          <w:tab w:val="left" w:pos="-720"/>
          <w:tab w:val="left" w:pos="286"/>
          <w:tab w:val="left" w:pos="403"/>
        </w:tabs>
        <w:suppressAutoHyphens/>
        <w:ind w:left="0" w:hanging="360"/>
      </w:pPr>
    </w:p>
    <w:p w:rsidR="00695089" w:rsidP="0074213A" w14:paraId="0355D364" w14:textId="77777777">
      <w:pPr>
        <w:pStyle w:val="ListParagraph"/>
        <w:tabs>
          <w:tab w:val="left" w:pos="-720"/>
          <w:tab w:val="left" w:pos="286"/>
          <w:tab w:val="left" w:pos="403"/>
        </w:tabs>
        <w:suppressAutoHyphens/>
        <w:ind w:left="0"/>
      </w:pPr>
      <w:r>
        <w:t>The Fair Credit Reporting Act (FCRA</w:t>
      </w:r>
      <w:r w:rsidR="00636DC0">
        <w:t>)</w:t>
      </w:r>
      <w:r>
        <w:rPr>
          <w:rStyle w:val="FootnoteReference"/>
        </w:rPr>
        <w:footnoteReference w:id="2"/>
      </w:r>
      <w:r w:rsidR="00636DC0">
        <w:t xml:space="preserve"> </w:t>
      </w:r>
      <w:r>
        <w:t xml:space="preserve">sets standards for the collection, communication, and use of information bearing on a consumer’s creditworthiness, credit standing, credit capacity, character, general reputation, personal characteristics, or mode of living.  FCRA has been revised numerous times since it </w:t>
      </w:r>
      <w:r w:rsidR="00912F54">
        <w:t>took effect</w:t>
      </w:r>
      <w:r>
        <w:t>, notably by passage of the Consumer Credit Reporting Reform Act of 1996, the Gramm-Leach-Bliley Act of 1999, and the Fair and Accurate Credit Transactions Act of 2003</w:t>
      </w:r>
      <w:r w:rsidR="000228C7">
        <w:t>.</w:t>
      </w:r>
      <w:r>
        <w:t xml:space="preserve">  Historically, rulemaking authority for FCRA has been divided among the Board of Governors of the Federal Reserve System (FRB), the Federal Deposit Insurance Corporation (FDIC), the Federal Trade Commission (FTC), NCUA, the Office of the Comptroller of the Currency (OCC), and the Office of Thrift Supervision.  </w:t>
      </w:r>
    </w:p>
    <w:p w:rsidR="00695089" w:rsidP="0074213A" w14:paraId="0E9B5948" w14:textId="77777777">
      <w:pPr>
        <w:pStyle w:val="ListParagraph"/>
        <w:tabs>
          <w:tab w:val="left" w:pos="-720"/>
          <w:tab w:val="left" w:pos="286"/>
          <w:tab w:val="left" w:pos="403"/>
        </w:tabs>
        <w:suppressAutoHyphens/>
        <w:ind w:left="0"/>
      </w:pPr>
    </w:p>
    <w:p w:rsidR="00DD7B79" w:rsidP="0074213A" w14:paraId="78BCCA3D" w14:textId="77777777">
      <w:pPr>
        <w:pStyle w:val="ListParagraph"/>
        <w:tabs>
          <w:tab w:val="left" w:pos="-720"/>
          <w:tab w:val="left" w:pos="286"/>
          <w:tab w:val="left" w:pos="403"/>
        </w:tabs>
        <w:suppressAutoHyphens/>
        <w:ind w:left="0"/>
      </w:pPr>
      <w:r>
        <w:t xml:space="preserve">The Dodd-Frank Wall Street Reform and Consumer Protection Act (DFA) amended </w:t>
      </w:r>
      <w:r>
        <w:t>a number of</w:t>
      </w:r>
      <w:r>
        <w:t xml:space="preserve"> consumer financial protection laws, including most provisions of FCRA.  In addition to substantive amendments, the DFA transferred rulemaking authority for most provisions of FCRA to the Consumer Financial Protection Bureau (CFPB).  Pursuant to the DFA and FCRA, as amended, CFPB promul</w:t>
      </w:r>
      <w:r w:rsidR="009D4F85">
        <w:t xml:space="preserve">gated Regulation V, 12 CFR </w:t>
      </w:r>
      <w:r>
        <w:t>1022, to implement those provisions of FCRA for which CFPB has rulemaking authority.</w:t>
      </w:r>
    </w:p>
    <w:p w:rsidR="0009084D" w:rsidP="0074213A" w14:paraId="7DA77101" w14:textId="77777777">
      <w:pPr>
        <w:pStyle w:val="ListParagraph"/>
        <w:tabs>
          <w:tab w:val="left" w:pos="-720"/>
          <w:tab w:val="left" w:pos="286"/>
          <w:tab w:val="left" w:pos="403"/>
        </w:tabs>
        <w:suppressAutoHyphens/>
        <w:ind w:left="0"/>
      </w:pPr>
    </w:p>
    <w:p w:rsidR="0009084D" w:rsidP="0074213A" w14:paraId="1BA73478" w14:textId="77777777">
      <w:pPr>
        <w:pStyle w:val="ListParagraph"/>
        <w:tabs>
          <w:tab w:val="left" w:pos="-720"/>
          <w:tab w:val="left" w:pos="286"/>
          <w:tab w:val="left" w:pos="403"/>
        </w:tabs>
        <w:suppressAutoHyphens/>
        <w:ind w:left="0"/>
      </w:pPr>
      <w:r>
        <w:t>Regulation V</w:t>
      </w:r>
      <w:r w:rsidR="001828EE">
        <w:t xml:space="preserve"> contains several requirements that impose information collection requirements</w:t>
      </w:r>
      <w:r w:rsidR="00FE197E">
        <w:t xml:space="preserve"> on federal credit unions</w:t>
      </w:r>
      <w:r w:rsidR="001828EE">
        <w:t>:</w:t>
      </w:r>
    </w:p>
    <w:p w:rsidR="001828EE" w:rsidP="0074213A" w14:paraId="789491DE" w14:textId="77777777">
      <w:pPr>
        <w:pStyle w:val="ListParagraph"/>
        <w:tabs>
          <w:tab w:val="left" w:pos="-720"/>
          <w:tab w:val="left" w:pos="286"/>
          <w:tab w:val="left" w:pos="403"/>
        </w:tabs>
        <w:suppressAutoHyphens/>
        <w:ind w:left="0"/>
      </w:pPr>
    </w:p>
    <w:p w:rsidR="001828EE" w:rsidP="001828EE" w14:paraId="76ACED47" w14:textId="77777777">
      <w:pPr>
        <w:pStyle w:val="ListParagraph"/>
        <w:numPr>
          <w:ilvl w:val="0"/>
          <w:numId w:val="3"/>
        </w:numPr>
        <w:tabs>
          <w:tab w:val="left" w:pos="-720"/>
          <w:tab w:val="left" w:pos="286"/>
          <w:tab w:val="left" w:pos="403"/>
        </w:tabs>
        <w:suppressAutoHyphens/>
      </w:pPr>
      <w:r>
        <w:t>The negative inform</w:t>
      </w:r>
      <w:r w:rsidR="001C249E">
        <w:t xml:space="preserve">ation </w:t>
      </w:r>
      <w:r w:rsidR="001C249E">
        <w:t>notice</w:t>
      </w:r>
      <w:r>
        <w:t>;</w:t>
      </w:r>
    </w:p>
    <w:p w:rsidR="001828EE" w:rsidP="001828EE" w14:paraId="6317B1E7" w14:textId="77777777">
      <w:pPr>
        <w:pStyle w:val="ListParagraph"/>
        <w:numPr>
          <w:ilvl w:val="0"/>
          <w:numId w:val="3"/>
        </w:numPr>
        <w:tabs>
          <w:tab w:val="left" w:pos="-720"/>
          <w:tab w:val="left" w:pos="286"/>
          <w:tab w:val="left" w:pos="403"/>
        </w:tabs>
        <w:suppressAutoHyphens/>
      </w:pPr>
      <w:r>
        <w:t>R</w:t>
      </w:r>
      <w:r>
        <w:t>is</w:t>
      </w:r>
      <w:r w:rsidR="002F133B">
        <w:t xml:space="preserve">k-based </w:t>
      </w:r>
      <w:r w:rsidR="002F133B">
        <w:t>pricing</w:t>
      </w:r>
      <w:r>
        <w:t>;</w:t>
      </w:r>
    </w:p>
    <w:p w:rsidR="00DC727A" w:rsidP="001828EE" w14:paraId="1F10E787" w14:textId="77777777">
      <w:pPr>
        <w:pStyle w:val="ListParagraph"/>
        <w:numPr>
          <w:ilvl w:val="0"/>
          <w:numId w:val="3"/>
        </w:numPr>
        <w:tabs>
          <w:tab w:val="left" w:pos="-720"/>
          <w:tab w:val="left" w:pos="286"/>
          <w:tab w:val="left" w:pos="403"/>
        </w:tabs>
        <w:suppressAutoHyphens/>
      </w:pPr>
      <w:r>
        <w:t>The procedures to enhance the accuracy and integrity of information furnished to con</w:t>
      </w:r>
      <w:r w:rsidR="00350400">
        <w:t xml:space="preserve">sumer reporting </w:t>
      </w:r>
      <w:r w:rsidR="00350400">
        <w:t>agencies</w:t>
      </w:r>
      <w:r w:rsidR="00C27722">
        <w:t>;</w:t>
      </w:r>
    </w:p>
    <w:p w:rsidR="00CD132C" w:rsidP="001828EE" w14:paraId="668EDC24" w14:textId="77777777">
      <w:pPr>
        <w:pStyle w:val="ListParagraph"/>
        <w:numPr>
          <w:ilvl w:val="0"/>
          <w:numId w:val="3"/>
        </w:numPr>
        <w:tabs>
          <w:tab w:val="left" w:pos="-720"/>
          <w:tab w:val="left" w:pos="286"/>
          <w:tab w:val="left" w:pos="403"/>
        </w:tabs>
        <w:suppressAutoHyphens/>
      </w:pPr>
      <w:r>
        <w:t xml:space="preserve">The duties upon notice of dispute from a </w:t>
      </w:r>
      <w:r>
        <w:t>consumer</w:t>
      </w:r>
      <w:r w:rsidR="00C27722">
        <w:t>;</w:t>
      </w:r>
    </w:p>
    <w:p w:rsidR="00B61864" w:rsidP="001828EE" w14:paraId="11A03077" w14:textId="77777777">
      <w:pPr>
        <w:pStyle w:val="ListParagraph"/>
        <w:numPr>
          <w:ilvl w:val="0"/>
          <w:numId w:val="3"/>
        </w:numPr>
        <w:tabs>
          <w:tab w:val="left" w:pos="-720"/>
          <w:tab w:val="left" w:pos="286"/>
          <w:tab w:val="left" w:pos="403"/>
        </w:tabs>
        <w:suppressAutoHyphens/>
      </w:pPr>
      <w:r>
        <w:t>The affiliate marketing opt-out notice; and</w:t>
      </w:r>
    </w:p>
    <w:p w:rsidR="00C27722" w:rsidRPr="00C27722" w:rsidP="001828EE" w14:paraId="49700179" w14:textId="77777777">
      <w:pPr>
        <w:pStyle w:val="ListParagraph"/>
        <w:numPr>
          <w:ilvl w:val="0"/>
          <w:numId w:val="3"/>
        </w:numPr>
        <w:tabs>
          <w:tab w:val="left" w:pos="-720"/>
          <w:tab w:val="left" w:pos="286"/>
          <w:tab w:val="left" w:pos="403"/>
        </w:tabs>
        <w:suppressAutoHyphens/>
      </w:pPr>
      <w:r w:rsidRPr="00C27722">
        <w:t>The prescreened consumer reports opt-out notice</w:t>
      </w:r>
      <w:r>
        <w:t>.</w:t>
      </w:r>
    </w:p>
    <w:p w:rsidR="00695089" w:rsidP="00695089" w14:paraId="68F55A4B" w14:textId="77777777">
      <w:pPr>
        <w:pStyle w:val="ListParagraph"/>
        <w:tabs>
          <w:tab w:val="left" w:pos="-720"/>
          <w:tab w:val="left" w:pos="286"/>
          <w:tab w:val="left" w:pos="403"/>
        </w:tabs>
        <w:suppressAutoHyphens/>
        <w:ind w:left="-360"/>
      </w:pPr>
    </w:p>
    <w:p w:rsidR="001828EE" w:rsidP="0074213A" w14:paraId="2795D932" w14:textId="77777777">
      <w:pPr>
        <w:pStyle w:val="ListParagraph"/>
        <w:tabs>
          <w:tab w:val="left" w:pos="-720"/>
          <w:tab w:val="left" w:pos="286"/>
          <w:tab w:val="left" w:pos="403"/>
        </w:tabs>
        <w:suppressAutoHyphens/>
        <w:ind w:left="0"/>
      </w:pPr>
      <w:r>
        <w:t>The DFA did not transfer certain rulemaking authority under FCRA.  Specifically, the DFA did not transfer to CFPB the authority to promulgate:</w:t>
      </w:r>
      <w:r>
        <w:rPr>
          <w:rStyle w:val="FootnoteReference"/>
        </w:rPr>
        <w:footnoteReference w:id="3"/>
      </w:r>
      <w:r>
        <w:t xml:space="preserve">  </w:t>
      </w:r>
    </w:p>
    <w:p w:rsidR="001828EE" w:rsidP="0074213A" w14:paraId="3ABA26DC" w14:textId="77777777">
      <w:pPr>
        <w:pStyle w:val="ListParagraph"/>
        <w:tabs>
          <w:tab w:val="left" w:pos="-720"/>
          <w:tab w:val="left" w:pos="286"/>
          <w:tab w:val="left" w:pos="403"/>
        </w:tabs>
        <w:suppressAutoHyphens/>
        <w:ind w:left="0"/>
      </w:pPr>
    </w:p>
    <w:p w:rsidR="001828EE" w:rsidP="001828EE" w14:paraId="12719BA5" w14:textId="77777777">
      <w:pPr>
        <w:pStyle w:val="ListParagraph"/>
        <w:numPr>
          <w:ilvl w:val="0"/>
          <w:numId w:val="4"/>
        </w:numPr>
        <w:tabs>
          <w:tab w:val="left" w:pos="-720"/>
          <w:tab w:val="left" w:pos="286"/>
          <w:tab w:val="left" w:pos="403"/>
        </w:tabs>
        <w:suppressAutoHyphens/>
      </w:pPr>
      <w:r w:rsidRPr="00215D43">
        <w:t xml:space="preserve">The requirement to properly dispose of consumer </w:t>
      </w:r>
      <w:r w:rsidRPr="00215D43">
        <w:t>information</w:t>
      </w:r>
      <w:r w:rsidR="002770BF">
        <w:t>;</w:t>
      </w:r>
      <w:r w:rsidR="002770BF">
        <w:t xml:space="preserve"> </w:t>
      </w:r>
    </w:p>
    <w:p w:rsidR="001828EE" w:rsidP="001828EE" w14:paraId="2B6CB4A0" w14:textId="77777777">
      <w:pPr>
        <w:pStyle w:val="ListParagraph"/>
        <w:numPr>
          <w:ilvl w:val="0"/>
          <w:numId w:val="4"/>
        </w:numPr>
        <w:tabs>
          <w:tab w:val="left" w:pos="-720"/>
          <w:tab w:val="left" w:pos="286"/>
          <w:tab w:val="left" w:pos="403"/>
        </w:tabs>
        <w:suppressAutoHyphens/>
      </w:pPr>
      <w:r>
        <w:t xml:space="preserve">The </w:t>
      </w:r>
      <w:r w:rsidR="002770BF">
        <w:t>rules on identity theft red flags and corresponding i</w:t>
      </w:r>
      <w:r w:rsidR="00D51184">
        <w:t xml:space="preserve">nteragency guidelines on identity theft detection, prevention, and mitigation; and </w:t>
      </w:r>
    </w:p>
    <w:p w:rsidR="001828EE" w:rsidP="001828EE" w14:paraId="045A33FF" w14:textId="77777777">
      <w:pPr>
        <w:pStyle w:val="ListParagraph"/>
        <w:numPr>
          <w:ilvl w:val="0"/>
          <w:numId w:val="4"/>
        </w:numPr>
        <w:tabs>
          <w:tab w:val="left" w:pos="-720"/>
          <w:tab w:val="left" w:pos="286"/>
          <w:tab w:val="left" w:pos="403"/>
        </w:tabs>
        <w:suppressAutoHyphens/>
      </w:pPr>
      <w:r>
        <w:t xml:space="preserve">The </w:t>
      </w:r>
      <w:r w:rsidR="00D51184">
        <w:t xml:space="preserve">rules on the duties of card issuers regarding changes of address. </w:t>
      </w:r>
    </w:p>
    <w:p w:rsidR="001828EE" w:rsidP="001828EE" w14:paraId="13897742" w14:textId="77777777">
      <w:pPr>
        <w:tabs>
          <w:tab w:val="left" w:pos="-720"/>
          <w:tab w:val="left" w:pos="286"/>
          <w:tab w:val="left" w:pos="403"/>
        </w:tabs>
        <w:suppressAutoHyphens/>
      </w:pPr>
    </w:p>
    <w:p w:rsidR="00D51184" w:rsidP="001828EE" w14:paraId="1BB0EC9B" w14:textId="77777777">
      <w:pPr>
        <w:tabs>
          <w:tab w:val="left" w:pos="-720"/>
          <w:tab w:val="left" w:pos="286"/>
          <w:tab w:val="left" w:pos="403"/>
        </w:tabs>
        <w:suppressAutoHyphens/>
      </w:pPr>
      <w:r>
        <w:t xml:space="preserve">These </w:t>
      </w:r>
      <w:r>
        <w:t>pro</w:t>
      </w:r>
      <w:r w:rsidR="00A06BBF">
        <w:t xml:space="preserve">visions are promulgated </w:t>
      </w:r>
      <w:r w:rsidR="004A5C81">
        <w:t xml:space="preserve">in NCUA’s Fair Credit Reporting regulation, 12 CFR 717, which applies </w:t>
      </w:r>
      <w:r>
        <w:t>to federal credit unions</w:t>
      </w:r>
      <w:r>
        <w:t>.</w:t>
      </w:r>
    </w:p>
    <w:p w:rsidR="00812E2E" w:rsidP="001828EE" w14:paraId="6D71B0AD" w14:textId="77777777">
      <w:pPr>
        <w:tabs>
          <w:tab w:val="left" w:pos="-720"/>
          <w:tab w:val="left" w:pos="286"/>
          <w:tab w:val="left" w:pos="403"/>
        </w:tabs>
        <w:suppressAutoHyphens/>
      </w:pPr>
    </w:p>
    <w:p w:rsidR="00812E2E" w:rsidP="001828EE" w14:paraId="3D93C9CB" w14:textId="77777777">
      <w:pPr>
        <w:tabs>
          <w:tab w:val="left" w:pos="-720"/>
          <w:tab w:val="left" w:pos="286"/>
          <w:tab w:val="left" w:pos="403"/>
        </w:tabs>
        <w:suppressAutoHyphens/>
      </w:pPr>
      <w:r>
        <w:t>The collection of information pursuant to Parts 1022 and 717 is triggered by specific events and disclosures and must be provided to consumers within the time periods established un</w:t>
      </w:r>
      <w:r w:rsidR="00037081">
        <w:t xml:space="preserve">der the regulation.  Regulation V and 12 CFR 717 includes model notices and/or model forms that can be used to comply with the disclosure requirements of FCRA and the regulation, although the use of the model notices and forms is not required.  </w:t>
      </w:r>
      <w:r w:rsidRPr="000B3F4F" w:rsidR="00037081">
        <w:rPr>
          <w:u w:val="single"/>
        </w:rPr>
        <w:t>See</w:t>
      </w:r>
      <w:r w:rsidR="00D64101">
        <w:t xml:space="preserve"> Appendices </w:t>
      </w:r>
      <w:r w:rsidR="00144C15">
        <w:t xml:space="preserve">B, </w:t>
      </w:r>
      <w:r w:rsidR="00591258">
        <w:t xml:space="preserve">C, </w:t>
      </w:r>
      <w:r w:rsidR="00144C15">
        <w:t xml:space="preserve">D, E, and H of Regulation V, </w:t>
      </w:r>
      <w:r w:rsidR="00D64101">
        <w:t xml:space="preserve">Appendix C </w:t>
      </w:r>
      <w:r w:rsidR="001A200D">
        <w:t>to</w:t>
      </w:r>
      <w:r w:rsidR="00D64101">
        <w:t xml:space="preserve"> 12 CFR 717.</w:t>
      </w:r>
    </w:p>
    <w:p w:rsidR="00695089" w:rsidP="00695089" w14:paraId="69B14EC7" w14:textId="77777777">
      <w:pPr>
        <w:pStyle w:val="ListParagraph"/>
        <w:tabs>
          <w:tab w:val="left" w:pos="-720"/>
          <w:tab w:val="left" w:pos="286"/>
          <w:tab w:val="left" w:pos="403"/>
        </w:tabs>
        <w:suppressAutoHyphens/>
        <w:ind w:left="-360"/>
      </w:pPr>
    </w:p>
    <w:p w:rsidR="00695089" w:rsidP="00AE7CD7" w14:paraId="522826EC" w14:textId="77777777">
      <w:pPr>
        <w:pStyle w:val="ListParagraph"/>
        <w:numPr>
          <w:ilvl w:val="0"/>
          <w:numId w:val="2"/>
        </w:numPr>
        <w:ind w:left="720" w:hanging="720"/>
        <w:rPr>
          <w:b/>
        </w:rPr>
      </w:pPr>
      <w:r w:rsidRPr="00E44F63">
        <w:rPr>
          <w:b/>
        </w:rPr>
        <w:t xml:space="preserve">Purpose and </w:t>
      </w:r>
      <w:r w:rsidR="00423657">
        <w:rPr>
          <w:b/>
        </w:rPr>
        <w:t>u</w:t>
      </w:r>
      <w:r w:rsidRPr="00E44F63">
        <w:rPr>
          <w:b/>
        </w:rPr>
        <w:t xml:space="preserve">se of the </w:t>
      </w:r>
      <w:r w:rsidR="00423657">
        <w:rPr>
          <w:b/>
        </w:rPr>
        <w:t>i</w:t>
      </w:r>
      <w:r w:rsidRPr="00E44F63">
        <w:rPr>
          <w:b/>
        </w:rPr>
        <w:t xml:space="preserve">nformation </w:t>
      </w:r>
      <w:r w:rsidR="00423657">
        <w:rPr>
          <w:b/>
        </w:rPr>
        <w:t>c</w:t>
      </w:r>
      <w:r w:rsidRPr="00E44F63">
        <w:rPr>
          <w:b/>
        </w:rPr>
        <w:t>ollect</w:t>
      </w:r>
      <w:r w:rsidR="00423657">
        <w:rPr>
          <w:b/>
        </w:rPr>
        <w:t>ed:</w:t>
      </w:r>
    </w:p>
    <w:p w:rsidR="00754FC2" w:rsidP="006522D8" w14:paraId="696A0486" w14:textId="77777777">
      <w:pPr>
        <w:pStyle w:val="ListParagraph"/>
        <w:ind w:left="0"/>
      </w:pPr>
    </w:p>
    <w:p w:rsidR="00754FC2" w:rsidP="0074213A" w14:paraId="233C6BE3" w14:textId="77777777">
      <w:pPr>
        <w:pStyle w:val="ListParagraph"/>
        <w:ind w:left="0"/>
      </w:pPr>
      <w:r w:rsidRPr="00DE6C10">
        <w:rPr>
          <w:u w:val="single"/>
        </w:rPr>
        <w:t>Regulation V, 12 CFR 1022</w:t>
      </w:r>
      <w:r w:rsidRPr="00DE6C10" w:rsidR="00DE6C10">
        <w:rPr>
          <w:u w:val="single"/>
        </w:rPr>
        <w:t>:</w:t>
      </w:r>
      <w:r w:rsidR="00DE6C10">
        <w:t xml:space="preserve">  The</w:t>
      </w:r>
      <w:r w:rsidR="008E728B">
        <w:t xml:space="preserve"> consumer disclosures included in Regulation V are designed to alert consumers:  (1) that a financial institution has furnished negative information about them to a consumer reporting agency; (2) that they have a right to opt out of receiving marketing materials and credit or insurance offers; (3) that their credit report was used in setting the material terms of credit that may be less favorable than the terms offered to consumers with  better credit histories; (4) that they maintain rights with respect to knowing what is in their consumer reporting agency file; and (5) that they can request a free credit report.  Consumers then can use the information provided to consider how and when to check and use their credit reports.</w:t>
      </w:r>
    </w:p>
    <w:p w:rsidR="00D94483" w:rsidP="0074213A" w14:paraId="6003A9D2" w14:textId="77777777">
      <w:pPr>
        <w:pStyle w:val="ListParagraph"/>
        <w:ind w:left="0"/>
      </w:pPr>
    </w:p>
    <w:p w:rsidR="00D94483" w:rsidP="00E770A6" w14:paraId="0796CCA3" w14:textId="77777777">
      <w:pPr>
        <w:pStyle w:val="ListParagraph"/>
      </w:pPr>
      <w:r w:rsidRPr="00E770A6">
        <w:rPr>
          <w:u w:val="single"/>
        </w:rPr>
        <w:t>The negative information notice</w:t>
      </w:r>
      <w:r w:rsidR="00E770A6">
        <w:t>, 15 U.S.C. 1681s-2(a)(7); 12 CFR 1022.1(b)(2)</w:t>
      </w:r>
      <w:r w:rsidR="007B4690">
        <w:t>(ii)</w:t>
      </w:r>
      <w:r>
        <w:t xml:space="preserve">:  </w:t>
      </w:r>
      <w:r w:rsidR="00E770A6">
        <w:t>FCRA requires a financial institution, including a credit union, that regularly extends credit to consumers, to provide consumers with a notice either before it provides negative information to a nationwide consumer reporting agency, or within 30 days after reporting the negative information.  Financial institutions may provide this disclosure on or with any notice of default, any billing statement, or any other materials provided to the consumer, if the noti</w:t>
      </w:r>
      <w:r w:rsidR="00A54C3D">
        <w:t>ce is clear and conspicuous.</w:t>
      </w:r>
    </w:p>
    <w:p w:rsidR="00E770A6" w:rsidP="0074213A" w14:paraId="3F35398B" w14:textId="77777777">
      <w:pPr>
        <w:pStyle w:val="ListParagraph"/>
        <w:ind w:left="0"/>
      </w:pPr>
    </w:p>
    <w:p w:rsidR="00B57B4B" w:rsidP="005A7BCE" w14:paraId="77ED6967" w14:textId="77777777">
      <w:pPr>
        <w:pStyle w:val="ListParagraph"/>
      </w:pPr>
      <w:r>
        <w:t>Although not required, f</w:t>
      </w:r>
      <w:r w:rsidR="00D45A3F">
        <w:t xml:space="preserve">inancial institutions may use the model text, provided in Appendix B to Part 1022, to provide consumers with a notice either before it provides negative information to a nationwide consumer reporting agency, </w:t>
      </w:r>
      <w:r w:rsidRPr="00A778B9" w:rsidR="00D45A3F">
        <w:rPr>
          <w:u w:val="single"/>
        </w:rPr>
        <w:t>see</w:t>
      </w:r>
      <w:r w:rsidR="00D45A3F">
        <w:t xml:space="preserve"> Model B-1, or within 30 days after reporting the negative information, </w:t>
      </w:r>
      <w:r w:rsidRPr="00A778B9" w:rsidR="00D45A3F">
        <w:rPr>
          <w:u w:val="single"/>
        </w:rPr>
        <w:t>see</w:t>
      </w:r>
      <w:r w:rsidR="00D45A3F">
        <w:t xml:space="preserve"> Model B-2.</w:t>
      </w:r>
    </w:p>
    <w:p w:rsidR="00B57B4B" w:rsidP="0074213A" w14:paraId="69F18170" w14:textId="77777777">
      <w:pPr>
        <w:pStyle w:val="ListParagraph"/>
        <w:ind w:left="0"/>
      </w:pPr>
    </w:p>
    <w:p w:rsidR="00B235E7" w:rsidP="00F33DF7" w14:paraId="70FF8A9D" w14:textId="77777777">
      <w:pPr>
        <w:pStyle w:val="ListParagraph"/>
      </w:pPr>
      <w:r>
        <w:rPr>
          <w:u w:val="single"/>
        </w:rPr>
        <w:t>The risk-based pricing</w:t>
      </w:r>
      <w:r w:rsidR="00BB0CA0">
        <w:rPr>
          <w:u w:val="single"/>
        </w:rPr>
        <w:t xml:space="preserve"> notice</w:t>
      </w:r>
      <w:r w:rsidR="00FD6441">
        <w:t>, 15 U.S.C. 1681m(h); 12 CFR 1022, Subpart H</w:t>
      </w:r>
      <w:r w:rsidR="00B57B4B">
        <w:t>:</w:t>
      </w:r>
      <w:r w:rsidR="00B80DEA">
        <w:t xml:space="preserve">  </w:t>
      </w:r>
      <w:r w:rsidR="00F33DF7">
        <w:t xml:space="preserve">FCRA generally requires a user of consumer reports, such as a credit union, to provide a risk-based pricing notice to a consumer when the user, based on a consumer report, extends credit on terms that are “materially less favorable” than the terms the person has extended to other consumers.  </w:t>
      </w:r>
      <w:r w:rsidR="00B61EA5">
        <w:t xml:space="preserve">Exceptions to the risk-based pricing notice requirement include:  </w:t>
      </w:r>
    </w:p>
    <w:p w:rsidR="00B235E7" w:rsidP="00F33DF7" w14:paraId="16759C94" w14:textId="77777777">
      <w:pPr>
        <w:pStyle w:val="ListParagraph"/>
      </w:pPr>
    </w:p>
    <w:p w:rsidR="00B235E7" w:rsidP="00B235E7" w14:paraId="390490D7" w14:textId="77777777">
      <w:pPr>
        <w:pStyle w:val="ListParagraph"/>
        <w:numPr>
          <w:ilvl w:val="0"/>
          <w:numId w:val="6"/>
        </w:numPr>
      </w:pPr>
      <w:r>
        <w:t>W</w:t>
      </w:r>
      <w:r w:rsidR="00B61EA5">
        <w:t xml:space="preserve">hen a consumer applies for specific terms of credit, and receives them, unless those terms were specified by the creditor using a consumer report after the consumer applied for the credit and after the creditor obtained the consumer </w:t>
      </w:r>
      <w:r w:rsidR="00B61EA5">
        <w:t>report;</w:t>
      </w:r>
      <w:r w:rsidR="00B61EA5">
        <w:t xml:space="preserve"> </w:t>
      </w:r>
    </w:p>
    <w:p w:rsidR="00B235E7" w:rsidP="00B235E7" w14:paraId="7F354EFC" w14:textId="77777777">
      <w:pPr>
        <w:pStyle w:val="ListParagraph"/>
        <w:numPr>
          <w:ilvl w:val="0"/>
          <w:numId w:val="6"/>
        </w:numPr>
      </w:pPr>
      <w:r>
        <w:t>W</w:t>
      </w:r>
      <w:r w:rsidR="00B61EA5">
        <w:t xml:space="preserve">hen a person such as a creditor provides a notice of adverse </w:t>
      </w:r>
      <w:r w:rsidR="00B61EA5">
        <w:t>action;</w:t>
      </w:r>
      <w:r w:rsidR="00B61EA5">
        <w:t xml:space="preserve"> </w:t>
      </w:r>
    </w:p>
    <w:p w:rsidR="00B235E7" w:rsidP="00B235E7" w14:paraId="3B24134E" w14:textId="77777777">
      <w:pPr>
        <w:pStyle w:val="ListParagraph"/>
        <w:numPr>
          <w:ilvl w:val="0"/>
          <w:numId w:val="6"/>
        </w:numPr>
      </w:pPr>
      <w:r>
        <w:t>W</w:t>
      </w:r>
      <w:r w:rsidR="00B61EA5">
        <w:t xml:space="preserve">hen a person makes a firm offer of credit in a prescreened solicitation even if the person makes other firm offers of credit to other consumers on more favorable material </w:t>
      </w:r>
      <w:r w:rsidR="00B61EA5">
        <w:t>terms;</w:t>
      </w:r>
      <w:r w:rsidR="00B61EA5">
        <w:t xml:space="preserve"> </w:t>
      </w:r>
    </w:p>
    <w:p w:rsidR="00B235E7" w:rsidP="00B235E7" w14:paraId="7205779E" w14:textId="77777777">
      <w:pPr>
        <w:pStyle w:val="ListParagraph"/>
        <w:numPr>
          <w:ilvl w:val="0"/>
          <w:numId w:val="6"/>
        </w:numPr>
      </w:pPr>
      <w:r>
        <w:t>W</w:t>
      </w:r>
      <w:r w:rsidR="00B61EA5">
        <w:t xml:space="preserve">hen a person generally provides a credit score disclosure to each consumer that requests a loan that is or will be secured by residential real </w:t>
      </w:r>
      <w:r w:rsidR="00B61EA5">
        <w:t>property;</w:t>
      </w:r>
      <w:r w:rsidR="00B61EA5">
        <w:t xml:space="preserve"> </w:t>
      </w:r>
    </w:p>
    <w:p w:rsidR="00B235E7" w:rsidP="00B235E7" w14:paraId="56CAD1E5" w14:textId="77777777">
      <w:pPr>
        <w:pStyle w:val="ListParagraph"/>
        <w:numPr>
          <w:ilvl w:val="0"/>
          <w:numId w:val="6"/>
        </w:numPr>
      </w:pPr>
      <w:r>
        <w:t>W</w:t>
      </w:r>
      <w:r w:rsidR="00B61EA5">
        <w:t>hen a person generally provides a credit score disclosure to each consumer that requests a loan that is not or will not be secured by residential real property; and</w:t>
      </w:r>
    </w:p>
    <w:p w:rsidR="00B57B4B" w:rsidP="00B235E7" w14:paraId="3DE334CE" w14:textId="77777777">
      <w:pPr>
        <w:pStyle w:val="ListParagraph"/>
        <w:numPr>
          <w:ilvl w:val="0"/>
          <w:numId w:val="6"/>
        </w:numPr>
      </w:pPr>
      <w:r>
        <w:t>W</w:t>
      </w:r>
      <w:r w:rsidR="00B61EA5">
        <w:t>hen a person who otherwise provides credit score disclosures to consumers that request loans, provides a disclosure about credit scores when no credit is available.</w:t>
      </w:r>
    </w:p>
    <w:p w:rsidR="00E54E77" w:rsidP="00F33DF7" w14:paraId="506D8AEB" w14:textId="77777777">
      <w:pPr>
        <w:pStyle w:val="ListParagraph"/>
      </w:pPr>
    </w:p>
    <w:p w:rsidR="00E54E77" w:rsidP="00F33DF7" w14:paraId="1577292C" w14:textId="77777777">
      <w:pPr>
        <w:pStyle w:val="ListParagraph"/>
      </w:pPr>
      <w:r>
        <w:t>Appendix H to Part 1022 contains optional model forms that may be used to comply with the regulatory requirements.</w:t>
      </w:r>
    </w:p>
    <w:p w:rsidR="00B57B4B" w:rsidP="0074213A" w14:paraId="1773419F" w14:textId="77777777">
      <w:pPr>
        <w:pStyle w:val="ListParagraph"/>
        <w:ind w:left="0"/>
      </w:pPr>
    </w:p>
    <w:p w:rsidR="00B57B4B" w:rsidP="00EE7021" w14:paraId="3BA932ED" w14:textId="77777777">
      <w:pPr>
        <w:pStyle w:val="ListParagraph"/>
      </w:pPr>
      <w:r w:rsidRPr="00ED758D">
        <w:rPr>
          <w:u w:val="single"/>
        </w:rPr>
        <w:t>The procedures to enhance the accuracy and integrity of information furnished to consumer reporting agencies</w:t>
      </w:r>
      <w:r w:rsidR="00ED758D">
        <w:t xml:space="preserve">, </w:t>
      </w:r>
      <w:r w:rsidR="006B061A">
        <w:t>15 U.S.C. 1681s-2(e)(1); 12 CFR 1022.42</w:t>
      </w:r>
      <w:r>
        <w:t xml:space="preserve">:  </w:t>
      </w:r>
      <w:r w:rsidR="00BB31D9">
        <w:t xml:space="preserve">Each furnisher must establish written policies and procedures regarding the accuracy and integrity of consumer information that it furnishes to a consumer reporting agency.  The policies and procedures must be appropriate to the nature, size, complexity, and scope of the furnisher’s activities.  In developing its policies and procedures, a furnisher must consider the Interagency Guidelines Concerning the Accuracy and Integrity of Information Furnished to Consumer Reporting Agencies, Appendix E to Part 1022, and may include its existing policies and procedures that are relevant and appropriate.  Each furnisher must also review its policies and procedures periodically and update them as necessary to ensure their continued effectiveness.  </w:t>
      </w:r>
    </w:p>
    <w:p w:rsidR="00ED735B" w:rsidP="00B57B4B" w14:paraId="6513707B" w14:textId="77777777">
      <w:pPr>
        <w:pStyle w:val="ListParagraph"/>
      </w:pPr>
    </w:p>
    <w:p w:rsidR="000450FF" w:rsidP="00B57B4B" w14:paraId="35CF1C57" w14:textId="77777777">
      <w:pPr>
        <w:pStyle w:val="ListParagraph"/>
      </w:pPr>
      <w:r w:rsidRPr="00F26B28">
        <w:rPr>
          <w:u w:val="single"/>
        </w:rPr>
        <w:t>The duties upon notice of dispute from a consumer</w:t>
      </w:r>
      <w:r>
        <w:t>, 15 U.S.C. 1681s-2(a)(8); 12 CFR 1022.43:</w:t>
      </w:r>
      <w:r w:rsidR="00F26B28">
        <w:t xml:space="preserve">  </w:t>
      </w:r>
      <w:r w:rsidR="00077741">
        <w:t xml:space="preserve">A furnisher must conduct a reasonable investigation of a direct dispute </w:t>
      </w:r>
      <w:r w:rsidR="00D80350">
        <w:t>(</w:t>
      </w:r>
      <w:r w:rsidR="00077741">
        <w:t xml:space="preserve">unless </w:t>
      </w:r>
      <w:r w:rsidR="00D80350">
        <w:t xml:space="preserve">an </w:t>
      </w:r>
      <w:r w:rsidR="00077741">
        <w:t>exception appl</w:t>
      </w:r>
      <w:r w:rsidR="00D80350">
        <w:t>ies)</w:t>
      </w:r>
      <w:r w:rsidR="00077741">
        <w:t xml:space="preserve"> if the dispute relates to:  </w:t>
      </w:r>
    </w:p>
    <w:p w:rsidR="000450FF" w:rsidP="00B57B4B" w14:paraId="657F0088" w14:textId="77777777">
      <w:pPr>
        <w:pStyle w:val="ListParagraph"/>
      </w:pPr>
    </w:p>
    <w:p w:rsidR="000450FF" w:rsidP="000450FF" w14:paraId="544453D2" w14:textId="77777777">
      <w:pPr>
        <w:pStyle w:val="ListParagraph"/>
        <w:numPr>
          <w:ilvl w:val="0"/>
          <w:numId w:val="8"/>
        </w:numPr>
      </w:pPr>
      <w:r>
        <w:t>T</w:t>
      </w:r>
      <w:r w:rsidR="00077741">
        <w:t xml:space="preserve">he consumer’s liability for a credit account or other debt with the furnisher, such as direct disputes about identity theft or fraud against the consumer, whether there is individual or joint liability on an account, or whether the consumer is an authorized user of a credit </w:t>
      </w:r>
      <w:r w:rsidR="00077741">
        <w:t>account;</w:t>
      </w:r>
      <w:r w:rsidR="00077741">
        <w:t xml:space="preserve"> </w:t>
      </w:r>
    </w:p>
    <w:p w:rsidR="000450FF" w:rsidP="000450FF" w14:paraId="5C508723" w14:textId="77777777">
      <w:pPr>
        <w:pStyle w:val="ListParagraph"/>
        <w:numPr>
          <w:ilvl w:val="0"/>
          <w:numId w:val="8"/>
        </w:numPr>
      </w:pPr>
      <w:r>
        <w:t>T</w:t>
      </w:r>
      <w:r w:rsidR="00077741">
        <w:t xml:space="preserve">he terms of a credit account or other debt with the furnisher, such as direct disputes relating to the type of account, principal balance, scheduled payment amount, or the amount of the credit </w:t>
      </w:r>
      <w:r w:rsidR="00077741">
        <w:t>limit;</w:t>
      </w:r>
      <w:r w:rsidR="00077741">
        <w:t xml:space="preserve"> </w:t>
      </w:r>
    </w:p>
    <w:p w:rsidR="000450FF" w:rsidP="000450FF" w14:paraId="185D407B" w14:textId="77777777">
      <w:pPr>
        <w:pStyle w:val="ListParagraph"/>
        <w:numPr>
          <w:ilvl w:val="0"/>
          <w:numId w:val="8"/>
        </w:numPr>
      </w:pPr>
      <w:r>
        <w:t>T</w:t>
      </w:r>
      <w:r w:rsidR="00077741">
        <w:t xml:space="preserve">he consumer’s performance or other conduct concerning an account or other relationship with the furnisher such as, direct disputes relating to the current payment status, high balance, payment date, the payment amount, or the date an account was opened or closed; or </w:t>
      </w:r>
    </w:p>
    <w:p w:rsidR="00ED735B" w:rsidP="000450FF" w14:paraId="4C7F5E56" w14:textId="77777777">
      <w:pPr>
        <w:pStyle w:val="ListParagraph"/>
        <w:numPr>
          <w:ilvl w:val="0"/>
          <w:numId w:val="8"/>
        </w:numPr>
      </w:pPr>
      <w:r>
        <w:t>A</w:t>
      </w:r>
      <w:r w:rsidR="00077741">
        <w:t>ny other information contained in a consumer report regarding an account or other relationship with the furnisher that bears on the consumer’s creditworthiness, credit standing credit capacity, character, general reputation, personal characteristics, or mode of living.</w:t>
      </w:r>
    </w:p>
    <w:p w:rsidR="00E2681C" w:rsidP="00E2681C" w14:paraId="4D52F729" w14:textId="77777777">
      <w:pPr>
        <w:ind w:left="720"/>
      </w:pPr>
    </w:p>
    <w:p w:rsidR="00E2681C" w:rsidP="00E2681C" w14:paraId="02E0CBA5" w14:textId="77777777">
      <w:pPr>
        <w:ind w:left="720"/>
      </w:pPr>
      <w:r>
        <w:t>Exceptions to the reasonable investigation requirements apply</w:t>
      </w:r>
      <w:r w:rsidR="00BB0CA0">
        <w:t xml:space="preserve"> to</w:t>
      </w:r>
      <w:r>
        <w:t>:</w:t>
      </w:r>
    </w:p>
    <w:p w:rsidR="00E2681C" w:rsidP="00E2681C" w14:paraId="04F13410" w14:textId="77777777">
      <w:pPr>
        <w:ind w:left="720"/>
      </w:pPr>
    </w:p>
    <w:p w:rsidR="00E2681C" w:rsidP="00E2681C" w14:paraId="3467095B" w14:textId="77777777">
      <w:pPr>
        <w:pStyle w:val="ListParagraph"/>
        <w:numPr>
          <w:ilvl w:val="0"/>
          <w:numId w:val="9"/>
        </w:numPr>
      </w:pPr>
      <w:r>
        <w:t>T</w:t>
      </w:r>
      <w:r w:rsidR="00AC68D5">
        <w:t>he consumer’s identifying information such as name, date of birth, Social Security number, telephone number(s), or address(es</w:t>
      </w:r>
      <w:r w:rsidR="00AC68D5">
        <w:t>);</w:t>
      </w:r>
    </w:p>
    <w:p w:rsidR="00AC68D5" w:rsidP="00E2681C" w14:paraId="6FDEB3B9" w14:textId="77777777">
      <w:pPr>
        <w:pStyle w:val="ListParagraph"/>
        <w:numPr>
          <w:ilvl w:val="0"/>
          <w:numId w:val="9"/>
        </w:numPr>
      </w:pPr>
      <w:r>
        <w:t>T</w:t>
      </w:r>
      <w:r>
        <w:t xml:space="preserve">he identity of past or present </w:t>
      </w:r>
      <w:r>
        <w:t>employers;</w:t>
      </w:r>
    </w:p>
    <w:p w:rsidR="00AC68D5" w:rsidP="00E2681C" w14:paraId="4DA1C2B2" w14:textId="77777777">
      <w:pPr>
        <w:pStyle w:val="ListParagraph"/>
        <w:numPr>
          <w:ilvl w:val="0"/>
          <w:numId w:val="9"/>
        </w:numPr>
      </w:pPr>
      <w:r>
        <w:t>I</w:t>
      </w:r>
      <w:r>
        <w:t xml:space="preserve">nquiries or requests for a consumer </w:t>
      </w:r>
      <w:r>
        <w:t>report;</w:t>
      </w:r>
    </w:p>
    <w:p w:rsidR="00AC68D5" w:rsidP="00E2681C" w14:paraId="51B6F9E9" w14:textId="77777777">
      <w:pPr>
        <w:pStyle w:val="ListParagraph"/>
        <w:numPr>
          <w:ilvl w:val="0"/>
          <w:numId w:val="9"/>
        </w:numPr>
      </w:pPr>
      <w:r>
        <w:t>I</w:t>
      </w:r>
      <w:r>
        <w:t>nformation derived from public records, such as judgments, bankruptcies, liens, and other legal matters (unless the information was provided by a furnisher with an account or other relationship with the consumer</w:t>
      </w:r>
      <w:r>
        <w:t>);</w:t>
      </w:r>
    </w:p>
    <w:p w:rsidR="00AC68D5" w:rsidP="00E2681C" w14:paraId="739E31EA" w14:textId="77777777">
      <w:pPr>
        <w:pStyle w:val="ListParagraph"/>
        <w:numPr>
          <w:ilvl w:val="0"/>
          <w:numId w:val="9"/>
        </w:numPr>
      </w:pPr>
      <w:r>
        <w:t>I</w:t>
      </w:r>
      <w:r>
        <w:t xml:space="preserve">nformation related to fraud alerts or active duty </w:t>
      </w:r>
      <w:r>
        <w:t>alerts;</w:t>
      </w:r>
    </w:p>
    <w:p w:rsidR="00AC68D5" w:rsidP="00E2681C" w14:paraId="16EDC8C9" w14:textId="77777777">
      <w:pPr>
        <w:pStyle w:val="ListParagraph"/>
        <w:numPr>
          <w:ilvl w:val="0"/>
          <w:numId w:val="9"/>
        </w:numPr>
      </w:pPr>
      <w:r>
        <w:t>I</w:t>
      </w:r>
      <w:r>
        <w:t>nformation provided to a consumer reporting agency by another furnisher;</w:t>
      </w:r>
      <w:r w:rsidR="00871214">
        <w:t xml:space="preserve"> or</w:t>
      </w:r>
    </w:p>
    <w:p w:rsidR="00871214" w:rsidP="00871214" w14:paraId="3B3C745A" w14:textId="77777777">
      <w:pPr>
        <w:pStyle w:val="ListParagraph"/>
        <w:numPr>
          <w:ilvl w:val="0"/>
          <w:numId w:val="9"/>
        </w:numPr>
      </w:pPr>
      <w:r>
        <w:t>I</w:t>
      </w:r>
      <w:r>
        <w:t>f the furnisher has a reasonable belief that the direct dispute is submitted by a credit repair organization; is prepared on behalf of the consumer by a credit repair organization; or is submitted on a form supplied to the consumer by a credit repair organization.</w:t>
      </w:r>
    </w:p>
    <w:p w:rsidR="00E2681C" w:rsidP="00E2681C" w14:paraId="1948766A" w14:textId="77777777">
      <w:pPr>
        <w:ind w:left="720"/>
      </w:pPr>
    </w:p>
    <w:p w:rsidR="00E2681C" w:rsidP="00E2681C" w14:paraId="0BF3928F" w14:textId="77777777">
      <w:pPr>
        <w:ind w:left="720"/>
      </w:pPr>
      <w:r>
        <w:t>A</w:t>
      </w:r>
      <w:r w:rsidR="00871214">
        <w:t xml:space="preserve"> furnisher is not required to investigate a direct dispute if the furnisher has reasonably determined that the dispute is frivolous or irrelevant.  A dispute qualifies as frivolous or irrelevant if:  the consumer did not provide sufficient information to investigate the disputed information; the direct dispute is substantially the same as a dispute previously submitted by or on behalf of the consumer and the dispute is one with respect to which the furnisher has already complied with the statutory or regulatory requirements; or the furnisher is not required to investigate the direct dispute because one or more of the exceptions listed in 12 CFR 1022.43(b) applies.</w:t>
      </w:r>
      <w:r w:rsidR="00321BE8">
        <w:t xml:space="preserve">  Upon a determination that a dispute is frivolous or irrelevant, the furnisher must notify the consumer not later than five business days after making the determination, by mail or, if authorized by the consumer for that purpose, by any other means available to the furnisher.</w:t>
      </w:r>
    </w:p>
    <w:p w:rsidR="00C82A2A" w:rsidP="00E2681C" w14:paraId="1A4A2775" w14:textId="77777777">
      <w:pPr>
        <w:ind w:left="720"/>
      </w:pPr>
    </w:p>
    <w:p w:rsidR="005A4E26" w:rsidP="005A4E26" w14:paraId="29D86D20" w14:textId="77777777">
      <w:pPr>
        <w:pStyle w:val="ListParagraph"/>
      </w:pPr>
      <w:r w:rsidRPr="00B775CB">
        <w:rPr>
          <w:u w:val="single"/>
        </w:rPr>
        <w:t>The affiliate marketing opt-out requirement</w:t>
      </w:r>
      <w:r>
        <w:t>, 15 U.S.C. 1681s-3; 12 CFR 1022, Subpart C:  FCRA generally prohibits a person from using certain consumer eligibility information received from an affiliate to make a solicitation to the consumer about its products or services, unless the consumer is given notice and an opportunity to opt out, and the consumer does no</w:t>
      </w:r>
      <w:r w:rsidR="00BB0CA0">
        <w:t xml:space="preserve">t opt out.  Exceptions include </w:t>
      </w:r>
      <w:r>
        <w:t xml:space="preserve">a person using eligibility information:  </w:t>
      </w:r>
    </w:p>
    <w:p w:rsidR="005A4E26" w:rsidP="005A4E26" w14:paraId="6EDF3240" w14:textId="77777777">
      <w:pPr>
        <w:pStyle w:val="ListParagraph"/>
      </w:pPr>
    </w:p>
    <w:p w:rsidR="005A4E26" w:rsidP="005A4E26" w14:paraId="0397A1FD" w14:textId="77777777">
      <w:pPr>
        <w:pStyle w:val="ListParagraph"/>
        <w:numPr>
          <w:ilvl w:val="0"/>
          <w:numId w:val="5"/>
        </w:numPr>
      </w:pPr>
      <w:r>
        <w:t xml:space="preserve">To make solicitations to a consumer with whom the person has a pre-existing business </w:t>
      </w:r>
      <w:r>
        <w:t>relationship;</w:t>
      </w:r>
      <w:r>
        <w:t xml:space="preserve"> </w:t>
      </w:r>
    </w:p>
    <w:p w:rsidR="005A4E26" w:rsidP="005A4E26" w14:paraId="6B2E0734" w14:textId="77777777">
      <w:pPr>
        <w:pStyle w:val="ListParagraph"/>
        <w:numPr>
          <w:ilvl w:val="0"/>
          <w:numId w:val="5"/>
        </w:numPr>
      </w:pPr>
      <w:r>
        <w:t xml:space="preserve">To perform services for another affiliate subject to certain </w:t>
      </w:r>
      <w:r>
        <w:t>conditions;</w:t>
      </w:r>
      <w:r>
        <w:t xml:space="preserve"> </w:t>
      </w:r>
    </w:p>
    <w:p w:rsidR="005A4E26" w:rsidP="005A4E26" w14:paraId="5FD73ABE" w14:textId="77777777">
      <w:pPr>
        <w:pStyle w:val="ListParagraph"/>
        <w:numPr>
          <w:ilvl w:val="0"/>
          <w:numId w:val="5"/>
        </w:numPr>
      </w:pPr>
      <w:r>
        <w:t xml:space="preserve">In response to a communication initiated by the consumer; or </w:t>
      </w:r>
    </w:p>
    <w:p w:rsidR="005A4E26" w:rsidP="005A4E26" w14:paraId="5EF577BE" w14:textId="77777777">
      <w:pPr>
        <w:pStyle w:val="ListParagraph"/>
        <w:numPr>
          <w:ilvl w:val="0"/>
          <w:numId w:val="5"/>
        </w:numPr>
      </w:pPr>
      <w:r>
        <w:t xml:space="preserve">To make a solicitation that has been authorized or requested by the consumer.  </w:t>
      </w:r>
    </w:p>
    <w:p w:rsidR="005A4E26" w:rsidP="005A4E26" w14:paraId="09FFA35F" w14:textId="77777777">
      <w:pPr>
        <w:ind w:firstLine="720"/>
      </w:pPr>
    </w:p>
    <w:p w:rsidR="005A4E26" w:rsidP="005A4E26" w14:paraId="2F2B23D8" w14:textId="77777777">
      <w:pPr>
        <w:pStyle w:val="ListParagraph"/>
      </w:pPr>
      <w:r>
        <w:t>A consumer’s affiliate marketing opt-out election must be effective for a period of at least five years.  Upon expiration of the opt-out period, the consumer must be given a renewal notice and an opportunity to renew the opt-out before information received from an affiliate may be used to make solicitations to the consumer.</w:t>
      </w:r>
    </w:p>
    <w:p w:rsidR="005A4E26" w:rsidP="005A4E26" w14:paraId="250ACF04" w14:textId="77777777">
      <w:pPr>
        <w:pStyle w:val="ListParagraph"/>
      </w:pPr>
    </w:p>
    <w:p w:rsidR="005A4E26" w:rsidP="005A4E26" w14:paraId="2AB4931D" w14:textId="77777777">
      <w:pPr>
        <w:ind w:left="720"/>
        <w:rPr>
          <w:u w:val="single"/>
        </w:rPr>
      </w:pPr>
      <w:r>
        <w:t>Appendix C to Part 1022 contains optional model forms that may be used to comply with the regulatory requirements.</w:t>
      </w:r>
    </w:p>
    <w:p w:rsidR="005A4E26" w:rsidP="00E2681C" w14:paraId="6C7C7E06" w14:textId="77777777">
      <w:pPr>
        <w:ind w:left="720"/>
        <w:rPr>
          <w:u w:val="single"/>
        </w:rPr>
      </w:pPr>
    </w:p>
    <w:p w:rsidR="00C82A2A" w:rsidP="00E2681C" w14:paraId="7EFB98BF" w14:textId="77777777">
      <w:pPr>
        <w:ind w:left="720"/>
      </w:pPr>
      <w:r w:rsidRPr="007467B2">
        <w:rPr>
          <w:u w:val="single"/>
        </w:rPr>
        <w:t>The prescreened consumer reports opt-out notice</w:t>
      </w:r>
      <w:r>
        <w:t xml:space="preserve">, 15 U.S.C. 1681b(c) and 15 U.S.C. 1681m(d); 12 CFR 1022.54:  </w:t>
      </w:r>
      <w:r w:rsidR="0082132E">
        <w:t>FCRA allows persons, including credit unions, to obtain and use consumer reports in connection with any credit or insurance transaction that the consumer does not initiate, to make firm offers of credit or insurance.  This prescreening process occurs when a person obtains from a consumer reporting agency a list of consumers who meet predetermined creditworthiness criteria and who have not elected to be excluded from prescreened lists.  FCRA contains consumer protections and technical notice requirements concerning prescreened offers of credit or insurance.  FCRA requires nationwide consumer reporting agencies to jointly operate an opt-out system, whereby consumers can elect to be excluded from prescreened lists by calling a toll-free number.  When a person, such a credit union, obtains and uses these lists, it must provide consumers with a Prescreened Opt-Out Notice with the offer of credit or insurance.  The notice must also provide the toll-free telephone number operated by the nationwide consumer reporting agencies for consumers to call to opt out of prescreened lists</w:t>
      </w:r>
      <w:r w:rsidR="00551A3D">
        <w:t>.</w:t>
      </w:r>
    </w:p>
    <w:p w:rsidR="003C2C72" w:rsidP="00E2681C" w14:paraId="151FDF3C" w14:textId="77777777">
      <w:pPr>
        <w:ind w:left="720"/>
      </w:pPr>
    </w:p>
    <w:p w:rsidR="003C2C72" w:rsidP="00E2681C" w14:paraId="02C3C06A" w14:textId="77777777">
      <w:pPr>
        <w:ind w:left="720"/>
      </w:pPr>
      <w:r>
        <w:t>Appendix D to Part 1022 contains optional model forms that may be used to comply with the regulatory requirements.</w:t>
      </w:r>
    </w:p>
    <w:p w:rsidR="00DE6C10" w:rsidP="0074213A" w14:paraId="2AB95E27" w14:textId="77777777">
      <w:pPr>
        <w:pStyle w:val="ListParagraph"/>
        <w:ind w:left="0"/>
      </w:pPr>
    </w:p>
    <w:p w:rsidR="00DE6C10" w:rsidP="0074213A" w14:paraId="245DC820" w14:textId="77777777">
      <w:pPr>
        <w:pStyle w:val="ListParagraph"/>
        <w:ind w:left="0"/>
      </w:pPr>
      <w:r w:rsidRPr="00636E25">
        <w:rPr>
          <w:u w:val="single"/>
        </w:rPr>
        <w:t>NCUA Fair Credit Reporting Regulation, 12 CFR 717</w:t>
      </w:r>
      <w:r>
        <w:t>:</w:t>
      </w:r>
    </w:p>
    <w:p w:rsidR="005A7BCE" w:rsidP="0074213A" w14:paraId="3CD348D2" w14:textId="77777777">
      <w:pPr>
        <w:pStyle w:val="ListParagraph"/>
        <w:ind w:left="0"/>
      </w:pPr>
    </w:p>
    <w:p w:rsidR="00351229" w:rsidP="0091754D" w14:paraId="109D67EC" w14:textId="77777777">
      <w:pPr>
        <w:pStyle w:val="ListParagraph"/>
      </w:pPr>
      <w:r w:rsidRPr="002E0B17">
        <w:rPr>
          <w:u w:val="single"/>
        </w:rPr>
        <w:t xml:space="preserve">The </w:t>
      </w:r>
      <w:r w:rsidR="00215D43">
        <w:rPr>
          <w:u w:val="single"/>
        </w:rPr>
        <w:t>requirement to properly dispose</w:t>
      </w:r>
      <w:r w:rsidRPr="002E0B17">
        <w:rPr>
          <w:u w:val="single"/>
        </w:rPr>
        <w:t xml:space="preserve"> of consumer information</w:t>
      </w:r>
      <w:r w:rsidR="002E0B17">
        <w:t>, 15 U.S.C. 1681w; 12 CFR 717.83</w:t>
      </w:r>
      <w:r>
        <w:t>:</w:t>
      </w:r>
      <w:r w:rsidR="007A3238">
        <w:t xml:space="preserve">  Under Part 717.83(a)-(c), a </w:t>
      </w:r>
      <w:r w:rsidR="002A4C6F">
        <w:t>credit union or other entity must properly dispose of any consumer information that it maintains or possesses.  This must be done consistent with NCUA’s Guidelines for Safeguarding Member Information, in Appendix A to 12 CFR 748.  Examples of how to properly dispose of consumer information include burning, pulverizing, or shredding papers; or destroying or erasing electronic media.  Regardless of form, the process must ensure that the information cannot practically be read or reconstructed.</w:t>
      </w:r>
    </w:p>
    <w:p w:rsidR="00351229" w:rsidP="0091754D" w14:paraId="01A89517" w14:textId="77777777">
      <w:pPr>
        <w:pStyle w:val="ListParagraph"/>
      </w:pPr>
    </w:p>
    <w:p w:rsidR="00351229" w:rsidP="0091754D" w14:paraId="3B6C4A5A" w14:textId="77777777">
      <w:pPr>
        <w:pStyle w:val="ListParagraph"/>
      </w:pPr>
      <w:r w:rsidRPr="00081E6C">
        <w:rPr>
          <w:u w:val="single"/>
        </w:rPr>
        <w:t>The rules on identity theft red flags and corresponding interagency guidelines on identity theft detection, prevention, and mitigation</w:t>
      </w:r>
      <w:r w:rsidR="00081E6C">
        <w:t>, 15 U.S.C. 1681m(e), 12 CFR 717.90</w:t>
      </w:r>
      <w:r>
        <w:t>:</w:t>
      </w:r>
      <w:r w:rsidR="00AC58FD">
        <w:t xml:space="preserve">  Each federal credit union must determine periodically whether it offers or maintains “covered accounts” as defined in Part 717.90(b)(3).  As part of this determination, the federal credit union must conduct a risk assessment to determine whether it offers or maintains covered accounts taking into consideration</w:t>
      </w:r>
      <w:r w:rsidR="00AC58FD">
        <w:t>:  (</w:t>
      </w:r>
      <w:r w:rsidR="00AC58FD">
        <w:t>1) the methods</w:t>
      </w:r>
      <w:r w:rsidR="00780B74">
        <w:t xml:space="preserve"> it provides to open its accounts; (2) the methods it provides to access its accounts; and (3) its previous experiences with identity theft.</w:t>
      </w:r>
    </w:p>
    <w:p w:rsidR="00780B74" w:rsidP="0091754D" w14:paraId="446D44F9" w14:textId="77777777">
      <w:pPr>
        <w:pStyle w:val="ListParagraph"/>
      </w:pPr>
    </w:p>
    <w:p w:rsidR="00780B74" w:rsidP="0091754D" w14:paraId="2EFBE770" w14:textId="77777777">
      <w:pPr>
        <w:pStyle w:val="ListParagraph"/>
      </w:pPr>
      <w:r>
        <w:t>A federal credit union that offers or maintains one or more “covered accounts” must develop and implement a written program designed to detect, prevent, and mitigate identity theft in connection with the opening of a “covered account” or any existing “covered account.”  The program must be tailored to the federal credit union’s size and complexity and the nature and scope of its operations and must contain “reasonable policies and procedures” to:</w:t>
      </w:r>
    </w:p>
    <w:p w:rsidR="003D416A" w:rsidP="0091754D" w14:paraId="10EA8B82" w14:textId="77777777">
      <w:pPr>
        <w:pStyle w:val="ListParagraph"/>
      </w:pPr>
    </w:p>
    <w:p w:rsidR="003D416A" w:rsidP="003D416A" w14:paraId="10F6A936" w14:textId="77777777">
      <w:pPr>
        <w:pStyle w:val="ListParagraph"/>
        <w:numPr>
          <w:ilvl w:val="0"/>
          <w:numId w:val="10"/>
        </w:numPr>
      </w:pPr>
      <w:r>
        <w:t>I</w:t>
      </w:r>
      <w:r>
        <w:t xml:space="preserve">dentify red flags for the “covered accounts” the federal credit union offers or maintains and incorporate those red flags into the </w:t>
      </w:r>
      <w:r>
        <w:t>program;</w:t>
      </w:r>
    </w:p>
    <w:p w:rsidR="003D416A" w:rsidP="003D416A" w14:paraId="61C62BD2" w14:textId="77777777">
      <w:pPr>
        <w:pStyle w:val="ListParagraph"/>
        <w:numPr>
          <w:ilvl w:val="0"/>
          <w:numId w:val="10"/>
        </w:numPr>
      </w:pPr>
      <w:r>
        <w:t>D</w:t>
      </w:r>
      <w:r>
        <w:t xml:space="preserve">etect red flags that have been incorporated into the </w:t>
      </w:r>
      <w:r>
        <w:t>program;</w:t>
      </w:r>
    </w:p>
    <w:p w:rsidR="003D416A" w:rsidP="003D416A" w14:paraId="0A8C01C4" w14:textId="77777777">
      <w:pPr>
        <w:pStyle w:val="ListParagraph"/>
        <w:numPr>
          <w:ilvl w:val="0"/>
          <w:numId w:val="10"/>
        </w:numPr>
      </w:pPr>
      <w:r>
        <w:t>R</w:t>
      </w:r>
      <w:r>
        <w:t>espond appropriately to any red flags that are detected to prevent and mitigate identity theft; and</w:t>
      </w:r>
    </w:p>
    <w:p w:rsidR="003D416A" w:rsidP="003D416A" w14:paraId="382C73F3" w14:textId="77777777">
      <w:pPr>
        <w:pStyle w:val="ListParagraph"/>
        <w:numPr>
          <w:ilvl w:val="0"/>
          <w:numId w:val="10"/>
        </w:numPr>
      </w:pPr>
      <w:r>
        <w:t>E</w:t>
      </w:r>
      <w:r>
        <w:t>nsure that the program, including the red flags determined to be relevant, is updated periodically, to reflect changes in risks to customers and to the safety and soundness of the federal credit union from identity theft.</w:t>
      </w:r>
    </w:p>
    <w:p w:rsidR="00780B74" w:rsidP="0091754D" w14:paraId="1C691084" w14:textId="77777777">
      <w:pPr>
        <w:pStyle w:val="ListParagraph"/>
      </w:pPr>
    </w:p>
    <w:p w:rsidR="00780B74" w:rsidP="0091754D" w14:paraId="05AB4643" w14:textId="77777777">
      <w:pPr>
        <w:pStyle w:val="ListParagraph"/>
      </w:pPr>
      <w:r>
        <w:t>A federal credit union</w:t>
      </w:r>
      <w:r w:rsidR="003D416A">
        <w:t xml:space="preserve"> must provide for the continued administration of the program by:  (1) obtaining approval of the initial written program by the board of directors or an appropriate committee of the board; (2) involving the board of directors, a committee of the board, or an employee at the level of senior management, in the oversight, development, implementation, and administration of the program; (3) training staff, as necessary, to implement the program effective; and (4) exercising appropriate and effective oversight of service-provider arrangements.</w:t>
      </w:r>
    </w:p>
    <w:p w:rsidR="003D416A" w:rsidP="0091754D" w14:paraId="16B3358F" w14:textId="77777777">
      <w:pPr>
        <w:pStyle w:val="ListParagraph"/>
      </w:pPr>
    </w:p>
    <w:p w:rsidR="003D416A" w:rsidP="0091754D" w14:paraId="741A71C8" w14:textId="77777777">
      <w:pPr>
        <w:pStyle w:val="ListParagraph"/>
      </w:pPr>
      <w:r>
        <w:t>Each federal credit union that is required to implement a program also must consid</w:t>
      </w:r>
      <w:r w:rsidR="00483BA6">
        <w:t>er the Interagency Guidelines on Identity Theft Detection, Prevention, and Mitigation, available in Appendix J to Part 717, and include in its program those guidelines that are appropriate.  The guidelines are intended to assist federal credit unions in the formation and maintenance of a program that satisfies the regulatory requirements.  A federal credit union may determine that a particular guideline is not appropriate for its program; however, the federal credit union must have policies and procedures that meet the specific requirements of the rules.</w:t>
      </w:r>
    </w:p>
    <w:p w:rsidR="00351229" w:rsidP="0091754D" w14:paraId="358C06C2" w14:textId="77777777">
      <w:pPr>
        <w:pStyle w:val="ListParagraph"/>
      </w:pPr>
    </w:p>
    <w:p w:rsidR="00351229" w:rsidP="0091754D" w14:paraId="57EC191E" w14:textId="77777777">
      <w:pPr>
        <w:pStyle w:val="ListParagraph"/>
      </w:pPr>
      <w:r w:rsidRPr="00A866B7">
        <w:rPr>
          <w:u w:val="single"/>
        </w:rPr>
        <w:t>The rules on the duties of card issuers regarding changes of address</w:t>
      </w:r>
      <w:r w:rsidR="00A866B7">
        <w:t>, 15 U.S.C. 1681m(e); 12 CFR 717.91</w:t>
      </w:r>
      <w:r>
        <w:t>:</w:t>
      </w:r>
      <w:r w:rsidR="00A866B7">
        <w:t xml:space="preserve">  </w:t>
      </w:r>
      <w:r w:rsidR="00F85E1E">
        <w:t>A card issuer must establish and implement reasonable policies and procedures to assess the validity of a change of address if it receives notification of a change of address for a consumer’s debit or credit card account and, within a short period of time afterwards, at least the first 30 days after it receives such notification, the card issuer receives a request for an additional or replacement card for the same account.  In such situations, the card issuer must not issue an additional or replacement card until it assesses the validity of the change of address in accordance with its policies and procedures.</w:t>
      </w:r>
    </w:p>
    <w:p w:rsidR="00F85E1E" w:rsidP="0091754D" w14:paraId="178C692B" w14:textId="77777777">
      <w:pPr>
        <w:pStyle w:val="ListParagraph"/>
      </w:pPr>
    </w:p>
    <w:p w:rsidR="00F85E1E" w:rsidP="0091754D" w14:paraId="00AB653A" w14:textId="77777777">
      <w:pPr>
        <w:pStyle w:val="ListParagraph"/>
      </w:pPr>
      <w:r>
        <w:t>The policies and procedures must provide that the card issuer will:</w:t>
      </w:r>
    </w:p>
    <w:p w:rsidR="00F85E1E" w:rsidP="0091754D" w14:paraId="4A5703F0" w14:textId="77777777">
      <w:pPr>
        <w:pStyle w:val="ListParagraph"/>
      </w:pPr>
    </w:p>
    <w:p w:rsidR="00F85E1E" w:rsidP="00F85E1E" w14:paraId="073EEBEE" w14:textId="77777777">
      <w:pPr>
        <w:pStyle w:val="ListParagraph"/>
        <w:numPr>
          <w:ilvl w:val="0"/>
          <w:numId w:val="11"/>
        </w:numPr>
      </w:pPr>
      <w:r>
        <w:t>N</w:t>
      </w:r>
      <w:r w:rsidR="0085495C">
        <w:t>otify the cardholder of the request for an additional or replacement card at the cardholder’s former address or by any other means of communication that the card issuer and the cardholder have previously agreed to use; and provide to the cardholder a reasonable means of promptly reporting incorrect address change; or</w:t>
      </w:r>
    </w:p>
    <w:p w:rsidR="0085495C" w:rsidP="00F85E1E" w14:paraId="13EDAAF5" w14:textId="77777777">
      <w:pPr>
        <w:pStyle w:val="ListParagraph"/>
        <w:numPr>
          <w:ilvl w:val="0"/>
          <w:numId w:val="11"/>
        </w:numPr>
      </w:pPr>
      <w:r>
        <w:t>A</w:t>
      </w:r>
      <w:r>
        <w:t>ssess the validity of the change of address according to the procedures the card issuer has established as part of its Identity Theft Prevention Program (12 CFR 717.90)</w:t>
      </w:r>
      <w:r w:rsidR="00F73BBC">
        <w:t>.</w:t>
      </w:r>
    </w:p>
    <w:p w:rsidR="00F85E1E" w:rsidP="0091754D" w14:paraId="1FC433E6" w14:textId="77777777">
      <w:pPr>
        <w:pStyle w:val="ListParagraph"/>
      </w:pPr>
    </w:p>
    <w:p w:rsidR="00F85E1E" w:rsidP="0091754D" w14:paraId="4507CF8D" w14:textId="77777777">
      <w:pPr>
        <w:pStyle w:val="ListParagraph"/>
      </w:pPr>
      <w:r>
        <w:t>A card issuer</w:t>
      </w:r>
      <w:r w:rsidR="003F12EA">
        <w:t xml:space="preserve"> may satisfy the requirements of these rules prior to receiving any request for an additional or replacement card by validating an address when it receives an address change notification.</w:t>
      </w:r>
    </w:p>
    <w:p w:rsidR="003F12EA" w:rsidP="0091754D" w14:paraId="57B23B9F" w14:textId="77777777">
      <w:pPr>
        <w:pStyle w:val="ListParagraph"/>
      </w:pPr>
    </w:p>
    <w:p w:rsidR="003F12EA" w:rsidRPr="00754FC2" w:rsidP="0091754D" w14:paraId="6BA63613" w14:textId="77777777">
      <w:pPr>
        <w:pStyle w:val="ListParagraph"/>
      </w:pPr>
      <w:r>
        <w:t>Any written or electronic notice that a card issuer provides to satisfy these rules must be clear and conspicuous and provided separately from its regular correspondence with the cardholder.</w:t>
      </w:r>
    </w:p>
    <w:p w:rsidR="00695089" w:rsidP="00695089" w14:paraId="627565A5" w14:textId="77777777">
      <w:pPr>
        <w:pStyle w:val="ListParagraph"/>
        <w:ind w:left="0"/>
        <w:rPr>
          <w:b/>
        </w:rPr>
      </w:pPr>
    </w:p>
    <w:p w:rsidR="00695089" w:rsidP="00617B79" w14:paraId="4CC956C3" w14:textId="77777777">
      <w:pPr>
        <w:pStyle w:val="ListParagraph"/>
        <w:numPr>
          <w:ilvl w:val="0"/>
          <w:numId w:val="2"/>
        </w:numPr>
        <w:ind w:left="720" w:hanging="720"/>
        <w:rPr>
          <w:b/>
        </w:rPr>
      </w:pPr>
      <w:r>
        <w:rPr>
          <w:b/>
        </w:rPr>
        <w:t>Use of</w:t>
      </w:r>
      <w:r w:rsidRPr="00695089">
        <w:rPr>
          <w:b/>
        </w:rPr>
        <w:t xml:space="preserve"> </w:t>
      </w:r>
      <w:r>
        <w:rPr>
          <w:b/>
        </w:rPr>
        <w:t>i</w:t>
      </w:r>
      <w:r w:rsidRPr="00695089">
        <w:rPr>
          <w:b/>
        </w:rPr>
        <w:t xml:space="preserve">nformation </w:t>
      </w:r>
      <w:r>
        <w:rPr>
          <w:b/>
        </w:rPr>
        <w:t>t</w:t>
      </w:r>
      <w:r w:rsidRPr="00695089">
        <w:rPr>
          <w:b/>
        </w:rPr>
        <w:t>echnology</w:t>
      </w:r>
      <w:r>
        <w:rPr>
          <w:b/>
        </w:rPr>
        <w:t>:</w:t>
      </w:r>
    </w:p>
    <w:p w:rsidR="00330068" w:rsidRPr="006522D8" w:rsidP="00617B79" w14:paraId="63125F4A" w14:textId="77777777">
      <w:pPr>
        <w:pStyle w:val="ListParagraph"/>
        <w:ind w:hanging="720"/>
      </w:pPr>
    </w:p>
    <w:p w:rsidR="00051C1A" w:rsidRPr="00330068" w:rsidP="00617B79" w14:paraId="52DE7BAA" w14:textId="77777777">
      <w:pPr>
        <w:pStyle w:val="ListParagraph"/>
        <w:ind w:left="0"/>
      </w:pPr>
      <w:r>
        <w:t>Credit unions may adopt</w:t>
      </w:r>
      <w:r>
        <w:t xml:space="preserve"> any existing technology relevant to producing the notice</w:t>
      </w:r>
      <w:r>
        <w:t>s</w:t>
      </w:r>
      <w:r>
        <w:t>, obtaining the consumer opt-out determination</w:t>
      </w:r>
      <w:r>
        <w:t>s</w:t>
      </w:r>
      <w:r>
        <w:t>, and maintaining records of the notice</w:t>
      </w:r>
      <w:r>
        <w:t>s</w:t>
      </w:r>
      <w:r>
        <w:t xml:space="preserve"> and opt-out determination</w:t>
      </w:r>
      <w:r>
        <w:t>s</w:t>
      </w:r>
      <w:r>
        <w:t>.</w:t>
      </w:r>
    </w:p>
    <w:p w:rsidR="00695089" w:rsidRPr="00695089" w:rsidP="00617B79" w14:paraId="3C3B042C" w14:textId="77777777">
      <w:pPr>
        <w:pStyle w:val="ListParagraph"/>
        <w:ind w:hanging="720"/>
        <w:rPr>
          <w:b/>
        </w:rPr>
      </w:pPr>
    </w:p>
    <w:p w:rsidR="00695089" w:rsidRPr="00E44F63" w:rsidP="00617B79" w14:paraId="3F1BD68A" w14:textId="77777777">
      <w:pPr>
        <w:pStyle w:val="ListParagraph"/>
        <w:numPr>
          <w:ilvl w:val="0"/>
          <w:numId w:val="2"/>
        </w:numPr>
        <w:ind w:left="720" w:hanging="720"/>
        <w:rPr>
          <w:b/>
        </w:rPr>
      </w:pPr>
      <w:r w:rsidRPr="00E44F63">
        <w:rPr>
          <w:b/>
        </w:rPr>
        <w:t xml:space="preserve">Duplication </w:t>
      </w:r>
      <w:r w:rsidR="00433468">
        <w:rPr>
          <w:b/>
        </w:rPr>
        <w:t>of information:</w:t>
      </w:r>
    </w:p>
    <w:p w:rsidR="00695089" w:rsidP="00617B79" w14:paraId="2A023BB5" w14:textId="77777777">
      <w:pPr>
        <w:pStyle w:val="ListParagraph"/>
        <w:tabs>
          <w:tab w:val="left" w:pos="-720"/>
          <w:tab w:val="left" w:pos="286"/>
          <w:tab w:val="left" w:pos="403"/>
        </w:tabs>
        <w:suppressAutoHyphens/>
        <w:ind w:hanging="720"/>
      </w:pPr>
    </w:p>
    <w:p w:rsidR="00695089" w:rsidP="00617B79" w14:paraId="32B964D9" w14:textId="77777777">
      <w:pPr>
        <w:pStyle w:val="ListParagraph"/>
        <w:tabs>
          <w:tab w:val="left" w:pos="-720"/>
          <w:tab w:val="left" w:pos="286"/>
          <w:tab w:val="left" w:pos="403"/>
        </w:tabs>
        <w:suppressAutoHyphens/>
        <w:ind w:hanging="720"/>
      </w:pPr>
      <w:r>
        <w:t>There is no duplication.  The information is not available from any other source.</w:t>
      </w:r>
    </w:p>
    <w:p w:rsidR="00695089" w:rsidRPr="00631257" w:rsidP="00617B79" w14:paraId="0D5EA75C" w14:textId="77777777">
      <w:pPr>
        <w:pStyle w:val="ListParagraph"/>
        <w:tabs>
          <w:tab w:val="left" w:pos="-720"/>
          <w:tab w:val="left" w:pos="286"/>
          <w:tab w:val="left" w:pos="403"/>
        </w:tabs>
        <w:suppressAutoHyphens/>
        <w:ind w:hanging="720"/>
      </w:pPr>
    </w:p>
    <w:p w:rsidR="00695089" w:rsidRPr="00E44F63" w:rsidP="00617B79" w14:paraId="034735B0" w14:textId="77777777">
      <w:pPr>
        <w:pStyle w:val="ListParagraph"/>
        <w:numPr>
          <w:ilvl w:val="0"/>
          <w:numId w:val="2"/>
        </w:numPr>
        <w:ind w:left="720" w:hanging="720"/>
        <w:rPr>
          <w:b/>
        </w:rPr>
      </w:pPr>
      <w:r w:rsidRPr="00E44F63">
        <w:rPr>
          <w:b/>
        </w:rPr>
        <w:t xml:space="preserve"> </w:t>
      </w:r>
      <w:r>
        <w:rPr>
          <w:b/>
        </w:rPr>
        <w:t>Eff</w:t>
      </w:r>
      <w:r w:rsidR="00855A2D">
        <w:rPr>
          <w:b/>
        </w:rPr>
        <w:t>orts</w:t>
      </w:r>
      <w:r>
        <w:rPr>
          <w:b/>
        </w:rPr>
        <w:t xml:space="preserve"> </w:t>
      </w:r>
      <w:r w:rsidR="00855A2D">
        <w:rPr>
          <w:b/>
        </w:rPr>
        <w:t xml:space="preserve">to reduce burden </w:t>
      </w:r>
      <w:r w:rsidRPr="00E44F63">
        <w:rPr>
          <w:b/>
        </w:rPr>
        <w:t xml:space="preserve">on </w:t>
      </w:r>
      <w:r w:rsidR="00855A2D">
        <w:rPr>
          <w:b/>
        </w:rPr>
        <w:t>s</w:t>
      </w:r>
      <w:r w:rsidRPr="00E44F63">
        <w:rPr>
          <w:b/>
        </w:rPr>
        <w:t xml:space="preserve">mall </w:t>
      </w:r>
      <w:r w:rsidR="00855A2D">
        <w:rPr>
          <w:b/>
        </w:rPr>
        <w:t>e</w:t>
      </w:r>
      <w:r w:rsidRPr="00E44F63">
        <w:rPr>
          <w:b/>
        </w:rPr>
        <w:t>ntities</w:t>
      </w:r>
      <w:r w:rsidR="00855A2D">
        <w:rPr>
          <w:b/>
        </w:rPr>
        <w:t>:</w:t>
      </w:r>
    </w:p>
    <w:p w:rsidR="00695089" w:rsidP="002D4D15" w14:paraId="5DE35C6E"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60" w:hanging="360"/>
      </w:pPr>
    </w:p>
    <w:p w:rsidR="00695089" w:rsidRPr="00631257" w:rsidP="004F5349" w14:paraId="765DCA57"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r>
        <w:t>The collection imposes on credit unions, regardless of size, only the minimum burden necessary for compliance with FCRA.  Regulation V and Part 717 include model notices that credit unions may use to comply with the regulations.</w:t>
      </w:r>
      <w:r w:rsidR="00AA14EA">
        <w:t xml:space="preserve">  Although the use of the model notices is not required, the use of the model notices should minimize the burden of this collection.</w:t>
      </w:r>
    </w:p>
    <w:p w:rsidR="00695089" w:rsidRPr="00631257" w:rsidP="002D4D15" w14:paraId="07286F68"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60" w:hanging="360"/>
      </w:pPr>
    </w:p>
    <w:p w:rsidR="00695089" w:rsidRPr="00E44F63" w:rsidP="00617B79" w14:paraId="3546AFBD" w14:textId="77777777">
      <w:pPr>
        <w:pStyle w:val="ListParagraph"/>
        <w:numPr>
          <w:ilvl w:val="0"/>
          <w:numId w:val="2"/>
        </w:numPr>
        <w:ind w:left="720" w:hanging="720"/>
        <w:rPr>
          <w:b/>
        </w:rPr>
      </w:pPr>
      <w:r w:rsidRPr="00E44F63">
        <w:rPr>
          <w:b/>
        </w:rPr>
        <w:t xml:space="preserve">Consequences of </w:t>
      </w:r>
      <w:r w:rsidR="00855A2D">
        <w:rPr>
          <w:b/>
        </w:rPr>
        <w:t>n</w:t>
      </w:r>
      <w:r w:rsidRPr="00E44F63">
        <w:rPr>
          <w:b/>
        </w:rPr>
        <w:t xml:space="preserve">ot </w:t>
      </w:r>
      <w:r w:rsidR="00855A2D">
        <w:rPr>
          <w:b/>
        </w:rPr>
        <w:t>c</w:t>
      </w:r>
      <w:r w:rsidRPr="00E44F63">
        <w:rPr>
          <w:b/>
        </w:rPr>
        <w:t xml:space="preserve">onducting </w:t>
      </w:r>
      <w:r w:rsidR="00855A2D">
        <w:rPr>
          <w:b/>
        </w:rPr>
        <w:t>the c</w:t>
      </w:r>
      <w:r w:rsidRPr="00E44F63">
        <w:rPr>
          <w:b/>
        </w:rPr>
        <w:t>ollection</w:t>
      </w:r>
      <w:r w:rsidR="00855A2D">
        <w:rPr>
          <w:b/>
        </w:rPr>
        <w:t>:</w:t>
      </w:r>
      <w:r w:rsidRPr="00E44F63">
        <w:rPr>
          <w:b/>
        </w:rPr>
        <w:t xml:space="preserve"> </w:t>
      </w:r>
    </w:p>
    <w:p w:rsidR="00695089" w:rsidP="002D4D15" w14:paraId="73D0C005"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60" w:hanging="360"/>
      </w:pPr>
    </w:p>
    <w:p w:rsidR="00695089" w:rsidRPr="00631257" w:rsidP="00865DE6" w14:paraId="2A638245"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r>
        <w:t>The frequency of the disclosure requirements contained in the regulations are transaction based.  Less frequent disclosures would reduce the protections to consumers that were contemplated by FCRA.</w:t>
      </w:r>
    </w:p>
    <w:p w:rsidR="00923289" w:rsidRPr="00E44F63" w:rsidP="002D4D15" w14:paraId="46894DAF" w14:textId="77777777">
      <w:pPr>
        <w:ind w:left="360" w:hanging="360"/>
      </w:pPr>
    </w:p>
    <w:p w:rsidR="00695089" w:rsidP="00617B79" w14:paraId="1C760A65" w14:textId="77777777">
      <w:pPr>
        <w:pStyle w:val="ListParagraph"/>
        <w:numPr>
          <w:ilvl w:val="0"/>
          <w:numId w:val="2"/>
        </w:numPr>
        <w:ind w:left="720" w:hanging="720"/>
        <w:rPr>
          <w:b/>
        </w:rPr>
      </w:pPr>
      <w:r>
        <w:rPr>
          <w:b/>
        </w:rPr>
        <w:t xml:space="preserve">Inconsistencies with </w:t>
      </w:r>
      <w:r w:rsidR="00855A2D">
        <w:rPr>
          <w:b/>
        </w:rPr>
        <w:t>g</w:t>
      </w:r>
      <w:r>
        <w:rPr>
          <w:b/>
        </w:rPr>
        <w:t>uidelines in 5 CFR 1320.5(d)(2)</w:t>
      </w:r>
      <w:r w:rsidR="00855A2D">
        <w:rPr>
          <w:b/>
        </w:rPr>
        <w:t>:</w:t>
      </w:r>
    </w:p>
    <w:p w:rsidR="00695089" w:rsidP="00617B79" w14:paraId="777973AB" w14:textId="77777777">
      <w:pPr>
        <w:pStyle w:val="ListParagraph"/>
        <w:ind w:hanging="720"/>
      </w:pPr>
    </w:p>
    <w:p w:rsidR="00695089" w:rsidRPr="00111BCC" w:rsidP="00617B79" w14:paraId="0957630E" w14:textId="77777777">
      <w:pPr>
        <w:pStyle w:val="ListParagraph"/>
        <w:ind w:left="0"/>
        <w:rPr>
          <w:b/>
        </w:rPr>
      </w:pPr>
      <w:r>
        <w:t>There are no special circumstances. This collection is consistent with the guidelines in 5 CFR 1320.5(d)(2).</w:t>
      </w:r>
    </w:p>
    <w:p w:rsidR="00695089" w:rsidRPr="00E44F63" w:rsidP="00617B79" w14:paraId="787FD458" w14:textId="77777777">
      <w:pPr>
        <w:pStyle w:val="ListParagraph"/>
        <w:ind w:hanging="720"/>
        <w:rPr>
          <w:b/>
        </w:rPr>
      </w:pPr>
    </w:p>
    <w:p w:rsidR="00695089" w:rsidP="00617B79" w14:paraId="5B022004" w14:textId="77777777">
      <w:pPr>
        <w:pStyle w:val="ListParagraph"/>
        <w:numPr>
          <w:ilvl w:val="0"/>
          <w:numId w:val="2"/>
        </w:numPr>
        <w:ind w:left="720" w:hanging="720"/>
        <w:rPr>
          <w:b/>
        </w:rPr>
      </w:pPr>
      <w:r>
        <w:rPr>
          <w:b/>
        </w:rPr>
        <w:t xml:space="preserve">Efforts to </w:t>
      </w:r>
      <w:r w:rsidRPr="00E44F63">
        <w:rPr>
          <w:b/>
        </w:rPr>
        <w:t xml:space="preserve">Consult </w:t>
      </w:r>
      <w:r>
        <w:rPr>
          <w:b/>
        </w:rPr>
        <w:t>with persons o</w:t>
      </w:r>
      <w:r w:rsidRPr="00E44F63">
        <w:rPr>
          <w:b/>
        </w:rPr>
        <w:t xml:space="preserve">utside the </w:t>
      </w:r>
      <w:r>
        <w:rPr>
          <w:b/>
        </w:rPr>
        <w:t>a</w:t>
      </w:r>
      <w:r w:rsidRPr="00E44F63">
        <w:rPr>
          <w:b/>
        </w:rPr>
        <w:t>gency</w:t>
      </w:r>
      <w:r>
        <w:rPr>
          <w:b/>
        </w:rPr>
        <w:t>:</w:t>
      </w:r>
    </w:p>
    <w:p w:rsidR="00695089" w:rsidP="00617B79" w14:paraId="7B931097" w14:textId="77777777">
      <w:pPr>
        <w:pStyle w:val="ListParagraph"/>
        <w:ind w:hanging="720"/>
        <w:rPr>
          <w:b/>
        </w:rPr>
      </w:pPr>
    </w:p>
    <w:p w:rsidR="00695089" w:rsidRPr="00111BCC" w:rsidP="00617B79" w14:paraId="53F07A93" w14:textId="421B6640">
      <w:pPr>
        <w:pStyle w:val="ListParagraph"/>
        <w:ind w:left="0"/>
        <w:rPr>
          <w:b/>
        </w:rPr>
      </w:pPr>
      <w:r>
        <w:t>A</w:t>
      </w:r>
      <w:r>
        <w:t xml:space="preserve"> </w:t>
      </w:r>
      <w:r w:rsidR="00E016EE">
        <w:t>60-day</w:t>
      </w:r>
      <w:r>
        <w:t xml:space="preserve"> notice was published in the</w:t>
      </w:r>
      <w:r w:rsidR="00E016EE">
        <w:t xml:space="preserve"> </w:t>
      </w:r>
      <w:r w:rsidRPr="00BD61DA">
        <w:rPr>
          <w:i/>
        </w:rPr>
        <w:t>Federal Register</w:t>
      </w:r>
      <w:r>
        <w:t xml:space="preserve"> </w:t>
      </w:r>
      <w:r w:rsidR="00E016EE">
        <w:t xml:space="preserve">on </w:t>
      </w:r>
      <w:r w:rsidR="006A2F44">
        <w:t>February 7, 2024</w:t>
      </w:r>
      <w:r w:rsidR="00E016EE">
        <w:t xml:space="preserve">, at </w:t>
      </w:r>
      <w:r w:rsidRPr="00C54DEA" w:rsidR="003266A5">
        <w:t>8</w:t>
      </w:r>
      <w:r w:rsidRPr="00C54DEA" w:rsidR="00667694">
        <w:t>9</w:t>
      </w:r>
      <w:r w:rsidRPr="00C54DEA" w:rsidR="00E016EE">
        <w:t xml:space="preserve"> FR </w:t>
      </w:r>
      <w:r w:rsidRPr="00C54DEA" w:rsidR="00C54DEA">
        <w:t>8454</w:t>
      </w:r>
      <w:r w:rsidR="00A95EC0">
        <w:t>.</w:t>
      </w:r>
      <w:r w:rsidR="003266A5">
        <w:t xml:space="preserve">  </w:t>
      </w:r>
      <w:r w:rsidRPr="003719C5" w:rsidR="00A95EC0">
        <w:t>N</w:t>
      </w:r>
      <w:r>
        <w:t>o</w:t>
      </w:r>
      <w:r w:rsidR="00E016EE">
        <w:t xml:space="preserve"> </w:t>
      </w:r>
      <w:r>
        <w:t xml:space="preserve">public </w:t>
      </w:r>
      <w:r w:rsidR="00E016EE">
        <w:t xml:space="preserve">comments </w:t>
      </w:r>
      <w:r>
        <w:t>were received</w:t>
      </w:r>
      <w:r w:rsidRPr="003719C5" w:rsidR="00A95EC0">
        <w:t>.</w:t>
      </w:r>
    </w:p>
    <w:p w:rsidR="00695089" w:rsidRPr="00111BCC" w:rsidP="00617B79" w14:paraId="4B9B2DD9" w14:textId="77777777">
      <w:pPr>
        <w:ind w:left="720" w:hanging="720"/>
        <w:rPr>
          <w:b/>
        </w:rPr>
      </w:pPr>
    </w:p>
    <w:p w:rsidR="00695089" w:rsidP="00617B79" w14:paraId="1B3AAC82" w14:textId="77777777">
      <w:pPr>
        <w:pStyle w:val="ListParagraph"/>
        <w:numPr>
          <w:ilvl w:val="0"/>
          <w:numId w:val="2"/>
        </w:numPr>
        <w:ind w:left="720" w:hanging="720"/>
        <w:rPr>
          <w:b/>
        </w:rPr>
      </w:pPr>
      <w:r w:rsidRPr="00E44F63">
        <w:rPr>
          <w:b/>
        </w:rPr>
        <w:t xml:space="preserve">Payment or </w:t>
      </w:r>
      <w:r w:rsidR="007B3600">
        <w:rPr>
          <w:b/>
        </w:rPr>
        <w:t>g</w:t>
      </w:r>
      <w:r w:rsidRPr="00E44F63">
        <w:rPr>
          <w:b/>
        </w:rPr>
        <w:t>ift</w:t>
      </w:r>
      <w:r w:rsidR="007B3600">
        <w:rPr>
          <w:b/>
        </w:rPr>
        <w:t>s to respondents:</w:t>
      </w:r>
    </w:p>
    <w:p w:rsidR="00695089" w:rsidP="00AE7CD7" w14:paraId="34F8C66D" w14:textId="77777777">
      <w:pPr>
        <w:pStyle w:val="ListParagraph"/>
        <w:ind w:left="0"/>
        <w:rPr>
          <w:b/>
        </w:rPr>
      </w:pPr>
    </w:p>
    <w:p w:rsidR="00695089" w:rsidRPr="00660550" w:rsidP="009E2224" w14:paraId="46E11D36" w14:textId="77777777">
      <w:pPr>
        <w:pStyle w:val="ListParagraph"/>
        <w:ind w:left="0"/>
        <w:rPr>
          <w:b/>
        </w:rPr>
      </w:pPr>
      <w:r>
        <w:t xml:space="preserve">There is no intent by NCUA to provide payment or gifts for information collected.  </w:t>
      </w:r>
    </w:p>
    <w:p w:rsidR="00695089" w:rsidRPr="00E44F63" w:rsidP="00695089" w14:paraId="452A83BF" w14:textId="77777777"/>
    <w:p w:rsidR="00695089" w:rsidP="00617B79" w14:paraId="0B0D1C25" w14:textId="77777777">
      <w:pPr>
        <w:pStyle w:val="ListParagraph"/>
        <w:numPr>
          <w:ilvl w:val="0"/>
          <w:numId w:val="2"/>
        </w:numPr>
        <w:tabs>
          <w:tab w:val="left" w:pos="720"/>
        </w:tabs>
        <w:ind w:left="0" w:firstLine="0"/>
        <w:rPr>
          <w:b/>
        </w:rPr>
      </w:pPr>
      <w:r>
        <w:rPr>
          <w:b/>
        </w:rPr>
        <w:t>Assurance of c</w:t>
      </w:r>
      <w:r w:rsidRPr="00E44F63">
        <w:rPr>
          <w:b/>
        </w:rPr>
        <w:t>onfidentiality</w:t>
      </w:r>
      <w:r>
        <w:rPr>
          <w:b/>
        </w:rPr>
        <w:t>:</w:t>
      </w:r>
      <w:r w:rsidRPr="00E44F63">
        <w:rPr>
          <w:b/>
        </w:rPr>
        <w:t xml:space="preserve"> </w:t>
      </w:r>
    </w:p>
    <w:p w:rsidR="00695089" w:rsidP="00617B79" w14:paraId="10FD5E2F" w14:textId="77777777">
      <w:pPr>
        <w:pStyle w:val="ListParagraph"/>
        <w:tabs>
          <w:tab w:val="left" w:pos="720"/>
        </w:tabs>
        <w:ind w:left="0"/>
        <w:rPr>
          <w:b/>
        </w:rPr>
      </w:pPr>
    </w:p>
    <w:p w:rsidR="00695089" w:rsidRPr="00E41A63" w:rsidP="00617B79" w14:paraId="6312E107" w14:textId="77777777">
      <w:pPr>
        <w:pStyle w:val="ListParagraph"/>
        <w:tabs>
          <w:tab w:val="left" w:pos="720"/>
        </w:tabs>
        <w:ind w:left="0"/>
        <w:rPr>
          <w:b/>
        </w:rPr>
      </w:pPr>
      <w:r>
        <w:t>There is no assurance of confidentiality other than provided by law.</w:t>
      </w:r>
      <w:r>
        <w:t xml:space="preserve"> </w:t>
      </w:r>
    </w:p>
    <w:p w:rsidR="00695089" w:rsidRPr="00E44F63" w:rsidP="00617B79" w14:paraId="664FACF9" w14:textId="77777777">
      <w:pPr>
        <w:tabs>
          <w:tab w:val="left" w:pos="720"/>
          <w:tab w:val="left" w:pos="6187"/>
        </w:tabs>
      </w:pPr>
    </w:p>
    <w:p w:rsidR="00695089" w:rsidRPr="00E44F63" w:rsidP="00617B79" w14:paraId="19ABA7B9" w14:textId="77777777">
      <w:pPr>
        <w:pStyle w:val="ListParagraph"/>
        <w:numPr>
          <w:ilvl w:val="0"/>
          <w:numId w:val="2"/>
        </w:numPr>
        <w:tabs>
          <w:tab w:val="left" w:pos="720"/>
        </w:tabs>
        <w:ind w:left="0" w:firstLine="0"/>
        <w:rPr>
          <w:b/>
        </w:rPr>
      </w:pPr>
      <w:r>
        <w:rPr>
          <w:b/>
        </w:rPr>
        <w:t>Questions</w:t>
      </w:r>
      <w:r w:rsidR="00B06AF5">
        <w:rPr>
          <w:b/>
        </w:rPr>
        <w:t xml:space="preserve"> of a sensitive nature:</w:t>
      </w:r>
    </w:p>
    <w:p w:rsidR="00695089" w:rsidP="00617B79" w14:paraId="694E20D2"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rsidR="00695089" w:rsidP="00617B79" w14:paraId="754E1677"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r w:rsidRPr="00891304">
        <w:rPr>
          <w:spacing w:val="-3"/>
        </w:rPr>
        <w:t>No questions of a sensitive nature are asked.</w:t>
      </w:r>
      <w:r>
        <w:rPr>
          <w:spacing w:val="-3"/>
        </w:rPr>
        <w:t xml:space="preserve">  </w:t>
      </w:r>
      <w:r>
        <w:t>The information collection does not collect any Personally Identifiable Information (PII).</w:t>
      </w:r>
    </w:p>
    <w:p w:rsidR="00695089" w:rsidRPr="00DB18FA" w:rsidP="00617B79" w14:paraId="4FC0CEF0" w14:textId="77777777">
      <w:pPr>
        <w:tabs>
          <w:tab w:val="left" w:pos="720"/>
        </w:tabs>
        <w:rPr>
          <w:i/>
        </w:rPr>
      </w:pPr>
    </w:p>
    <w:p w:rsidR="004402CA" w14:paraId="32CFA2D5" w14:textId="77777777">
      <w:pPr>
        <w:spacing w:after="160" w:line="259" w:lineRule="auto"/>
        <w:rPr>
          <w:b/>
        </w:rPr>
      </w:pPr>
      <w:r>
        <w:rPr>
          <w:b/>
        </w:rPr>
        <w:br w:type="page"/>
      </w:r>
    </w:p>
    <w:p w:rsidR="00695089" w:rsidP="00617B79" w14:paraId="62A69075" w14:textId="77777777">
      <w:pPr>
        <w:pStyle w:val="ListParagraph"/>
        <w:numPr>
          <w:ilvl w:val="0"/>
          <w:numId w:val="2"/>
        </w:numPr>
        <w:tabs>
          <w:tab w:val="left" w:pos="720"/>
        </w:tabs>
        <w:ind w:left="0" w:firstLine="0"/>
        <w:rPr>
          <w:b/>
        </w:rPr>
      </w:pPr>
      <w:r w:rsidRPr="00E44F63">
        <w:rPr>
          <w:b/>
        </w:rPr>
        <w:t xml:space="preserve">Burden of </w:t>
      </w:r>
      <w:r w:rsidR="00B06AF5">
        <w:rPr>
          <w:b/>
        </w:rPr>
        <w:t>i</w:t>
      </w:r>
      <w:r w:rsidRPr="00E44F63">
        <w:rPr>
          <w:b/>
        </w:rPr>
        <w:t xml:space="preserve">nformation </w:t>
      </w:r>
      <w:r w:rsidR="00B06AF5">
        <w:rPr>
          <w:b/>
        </w:rPr>
        <w:t>c</w:t>
      </w:r>
      <w:r w:rsidRPr="00E44F63">
        <w:rPr>
          <w:b/>
        </w:rPr>
        <w:t>ollection</w:t>
      </w:r>
      <w:r w:rsidR="00B06AF5">
        <w:rPr>
          <w:b/>
        </w:rPr>
        <w:t>:</w:t>
      </w:r>
    </w:p>
    <w:p w:rsidR="00695089" w:rsidP="002D4D15" w14:paraId="2B00B27F"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hanging="360"/>
      </w:pPr>
    </w:p>
    <w:p w:rsidR="00040504" w:rsidP="00101A9C" w14:paraId="54CC6B62" w14:textId="40341242">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The annual burden is estimated to be </w:t>
      </w:r>
      <w:r w:rsidR="003D3AC0">
        <w:t>2</w:t>
      </w:r>
      <w:r w:rsidR="00AE67A7">
        <w:t>27</w:t>
      </w:r>
      <w:r w:rsidR="00B113D0">
        <w:t>,</w:t>
      </w:r>
      <w:r w:rsidR="00AE67A7">
        <w:t>2</w:t>
      </w:r>
      <w:r w:rsidR="003D3AC0">
        <w:t>9</w:t>
      </w:r>
      <w:r w:rsidR="004D3F6D">
        <w:t>6</w:t>
      </w:r>
      <w:r w:rsidR="003D3AC0">
        <w:t xml:space="preserve"> </w:t>
      </w:r>
      <w:r>
        <w:t xml:space="preserve">hours for the </w:t>
      </w:r>
      <w:r w:rsidR="00FF07EC">
        <w:t>2</w:t>
      </w:r>
      <w:r w:rsidR="00D05050">
        <w:t>,</w:t>
      </w:r>
      <w:r w:rsidR="00FF07EC">
        <w:t>8</w:t>
      </w:r>
      <w:r w:rsidR="003D3AC0">
        <w:t>69</w:t>
      </w:r>
      <w:r w:rsidR="00DD1525">
        <w:t xml:space="preserve"> </w:t>
      </w:r>
      <w:r>
        <w:t xml:space="preserve">federal credit unions that are deemed to be respondents for purposes of PRA.  </w:t>
      </w:r>
      <w:r w:rsidRPr="00976CBE">
        <w:t xml:space="preserve">The burden for consumers is estimated to </w:t>
      </w:r>
      <w:r w:rsidRPr="00B04B6F">
        <w:t xml:space="preserve">be </w:t>
      </w:r>
      <w:r w:rsidRPr="00B04B6F" w:rsidR="008E6216">
        <w:t>19,53</w:t>
      </w:r>
      <w:r w:rsidR="00066EE4">
        <w:t>4</w:t>
      </w:r>
      <w:r w:rsidRPr="00976CBE">
        <w:t xml:space="preserve"> hours.  These estimated burdens arise exclusively from the regulations</w:t>
      </w:r>
      <w:r w:rsidRPr="00976CBE" w:rsidR="00683C8F">
        <w:t xml:space="preserve"> and is shown in the table below</w:t>
      </w:r>
      <w:r w:rsidRPr="00976CBE">
        <w:t xml:space="preserve">.  </w:t>
      </w:r>
    </w:p>
    <w:tbl>
      <w:tblPr>
        <w:tblW w:w="10620" w:type="dxa"/>
        <w:tblInd w:w="-540" w:type="dxa"/>
        <w:tblLayout w:type="fixed"/>
        <w:tblLook w:val="04A0"/>
      </w:tblPr>
      <w:tblGrid>
        <w:gridCol w:w="5490"/>
        <w:gridCol w:w="1260"/>
        <w:gridCol w:w="90"/>
        <w:gridCol w:w="1170"/>
        <w:gridCol w:w="1350"/>
        <w:gridCol w:w="1260"/>
      </w:tblGrid>
      <w:tr w14:paraId="47E8FF48" w14:textId="77777777" w:rsidTr="004402CA">
        <w:tblPrEx>
          <w:tblW w:w="10620" w:type="dxa"/>
          <w:tblInd w:w="-540" w:type="dxa"/>
          <w:tblLayout w:type="fixed"/>
          <w:tblLook w:val="04A0"/>
        </w:tblPrEx>
        <w:trPr>
          <w:trHeight w:val="440"/>
        </w:trPr>
        <w:tc>
          <w:tcPr>
            <w:tcW w:w="5490" w:type="dxa"/>
            <w:tcBorders>
              <w:top w:val="nil"/>
              <w:bottom w:val="single" w:sz="4" w:space="0" w:color="auto"/>
              <w:right w:val="single" w:sz="4" w:space="0" w:color="auto"/>
            </w:tcBorders>
            <w:shd w:val="clear" w:color="auto" w:fill="auto"/>
            <w:vAlign w:val="center"/>
          </w:tcPr>
          <w:p w:rsidR="006B425E" w:rsidRPr="00617B79" w:rsidP="007D20CC" w14:paraId="41405FC0" w14:textId="77777777">
            <w:pPr>
              <w:jc w:val="center"/>
              <w:rPr>
                <w:color w:val="000000"/>
                <w:sz w:val="22"/>
                <w:szCs w:val="22"/>
              </w:rPr>
            </w:pPr>
            <w:r>
              <w:br w:type="page"/>
            </w:r>
          </w:p>
        </w:tc>
        <w:tc>
          <w:tcPr>
            <w:tcW w:w="5130" w:type="dxa"/>
            <w:gridSpan w:val="5"/>
            <w:tcBorders>
              <w:top w:val="single" w:sz="4" w:space="0" w:color="auto"/>
              <w:left w:val="nil"/>
              <w:bottom w:val="single" w:sz="4" w:space="0" w:color="auto"/>
              <w:right w:val="single" w:sz="4" w:space="0" w:color="auto"/>
            </w:tcBorders>
            <w:shd w:val="clear" w:color="auto" w:fill="auto"/>
            <w:vAlign w:val="center"/>
          </w:tcPr>
          <w:p w:rsidR="006B425E" w:rsidRPr="004402CA" w:rsidP="007D20CC" w14:paraId="5DA617B9" w14:textId="77777777">
            <w:pPr>
              <w:jc w:val="center"/>
              <w:rPr>
                <w:color w:val="000000"/>
              </w:rPr>
            </w:pPr>
            <w:r w:rsidRPr="004402CA">
              <w:rPr>
                <w:color w:val="000000"/>
              </w:rPr>
              <w:t>Federal Credit Union</w:t>
            </w:r>
            <w:r w:rsidRPr="004402CA">
              <w:rPr>
                <w:color w:val="000000"/>
              </w:rPr>
              <w:t xml:space="preserve"> Burden</w:t>
            </w:r>
          </w:p>
        </w:tc>
      </w:tr>
      <w:tr w14:paraId="71DD2E98" w14:textId="77777777" w:rsidTr="00090C0E">
        <w:tblPrEx>
          <w:tblW w:w="10620" w:type="dxa"/>
          <w:tblInd w:w="-540" w:type="dxa"/>
          <w:tblLayout w:type="fixed"/>
          <w:tblLook w:val="04A0"/>
        </w:tblPrEx>
        <w:trPr>
          <w:trHeight w:val="620"/>
        </w:trPr>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279" w:rsidRPr="009F0B58" w:rsidP="007D20CC" w14:paraId="50963649" w14:textId="77777777">
            <w:pPr>
              <w:jc w:val="center"/>
              <w:rPr>
                <w:color w:val="000000"/>
                <w:sz w:val="18"/>
                <w:szCs w:val="18"/>
              </w:rPr>
            </w:pPr>
            <w:r w:rsidRPr="009F0B58">
              <w:rPr>
                <w:color w:val="000000"/>
                <w:sz w:val="18"/>
                <w:szCs w:val="18"/>
              </w:rPr>
              <w:t>Information Collection Requirement</w:t>
            </w:r>
          </w:p>
          <w:p w:rsidR="003A186B" w:rsidRPr="009F0B58" w:rsidP="007D20CC" w14:paraId="2DAD7326" w14:textId="77777777">
            <w:pPr>
              <w:jc w:val="center"/>
              <w:rPr>
                <w:color w:val="000000"/>
                <w:sz w:val="18"/>
                <w:szCs w:val="18"/>
              </w:rPr>
            </w:pPr>
            <w:r w:rsidRPr="009F0B58">
              <w:rPr>
                <w:color w:val="000000"/>
                <w:sz w:val="18"/>
                <w:szCs w:val="18"/>
              </w:rPr>
              <w:t>12 CFR 1022 or 12 CFR 717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C4279" w:rsidRPr="009F0B58" w:rsidP="007D20CC" w14:paraId="72275078" w14:textId="77777777">
            <w:pPr>
              <w:jc w:val="center"/>
              <w:rPr>
                <w:color w:val="000000"/>
                <w:sz w:val="18"/>
                <w:szCs w:val="18"/>
              </w:rPr>
            </w:pPr>
            <w:r w:rsidRPr="009F0B58">
              <w:rPr>
                <w:color w:val="000000"/>
                <w:sz w:val="18"/>
                <w:szCs w:val="18"/>
              </w:rPr>
              <w:t>Estimated # of Respondents or</w:t>
            </w:r>
            <w:r w:rsidRPr="009F0B58">
              <w:rPr>
                <w:color w:val="000000"/>
                <w:sz w:val="18"/>
                <w:szCs w:val="18"/>
              </w:rPr>
              <w:t xml:space="preserve"> Responses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4C4279" w:rsidRPr="009F0B58" w:rsidP="007D20CC" w14:paraId="6946F95D" w14:textId="77777777">
            <w:pPr>
              <w:jc w:val="center"/>
              <w:rPr>
                <w:color w:val="000000"/>
                <w:sz w:val="18"/>
                <w:szCs w:val="18"/>
              </w:rPr>
            </w:pPr>
            <w:r w:rsidRPr="009F0B58">
              <w:rPr>
                <w:color w:val="000000"/>
                <w:sz w:val="18"/>
                <w:szCs w:val="18"/>
              </w:rPr>
              <w:t>Estimated Annual Frequency</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C4279" w:rsidRPr="009F0B58" w:rsidP="007D20CC" w14:paraId="62D942AB" w14:textId="77777777">
            <w:pPr>
              <w:jc w:val="center"/>
              <w:rPr>
                <w:color w:val="000000"/>
                <w:sz w:val="18"/>
                <w:szCs w:val="18"/>
              </w:rPr>
            </w:pPr>
            <w:r w:rsidRPr="009F0B58">
              <w:rPr>
                <w:color w:val="000000"/>
                <w:sz w:val="18"/>
                <w:szCs w:val="18"/>
              </w:rPr>
              <w:t>Estimated Avg. Hours per Response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C4279" w:rsidRPr="009F0B58" w:rsidP="007D20CC" w14:paraId="43DF8AD0" w14:textId="77777777">
            <w:pPr>
              <w:jc w:val="center"/>
              <w:rPr>
                <w:color w:val="000000"/>
                <w:sz w:val="18"/>
                <w:szCs w:val="18"/>
              </w:rPr>
            </w:pPr>
            <w:r w:rsidRPr="009F0B58">
              <w:rPr>
                <w:color w:val="000000"/>
                <w:sz w:val="18"/>
                <w:szCs w:val="18"/>
              </w:rPr>
              <w:t>Estimated Annual Burden Hours</w:t>
            </w:r>
          </w:p>
        </w:tc>
      </w:tr>
      <w:tr w14:paraId="3BFC4EDF" w14:textId="77777777" w:rsidTr="00090C0E">
        <w:tblPrEx>
          <w:tblW w:w="10620" w:type="dxa"/>
          <w:tblInd w:w="-540" w:type="dxa"/>
          <w:tblLayout w:type="fixed"/>
          <w:tblLook w:val="04A0"/>
        </w:tblPrEx>
        <w:trPr>
          <w:trHeight w:val="4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4C4279" w:rsidRPr="007D20CC" w:rsidP="007D20CC" w14:paraId="4D515FAD" w14:textId="77777777">
            <w:pPr>
              <w:rPr>
                <w:color w:val="000000"/>
              </w:rPr>
            </w:pPr>
            <w:r w:rsidRPr="007D20CC">
              <w:rPr>
                <w:color w:val="000000"/>
              </w:rPr>
              <w:t>Negative Information Notice</w:t>
            </w:r>
            <w:r w:rsidR="003A186B">
              <w:rPr>
                <w:color w:val="000000"/>
              </w:rPr>
              <w:t xml:space="preserve"> (1022.1(b)(2))</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45D03D66" w14:textId="38F9F079">
            <w:pPr>
              <w:jc w:val="center"/>
              <w:rPr>
                <w:color w:val="000000"/>
              </w:rPr>
            </w:pPr>
            <w:r>
              <w:rPr>
                <w:color w:val="000000"/>
              </w:rPr>
              <w:t>2</w:t>
            </w:r>
            <w:r w:rsidR="000B0F1C">
              <w:rPr>
                <w:color w:val="000000"/>
              </w:rPr>
              <w:t>,</w:t>
            </w:r>
            <w:r>
              <w:rPr>
                <w:color w:val="000000"/>
              </w:rPr>
              <w:t>8</w:t>
            </w:r>
            <w:r w:rsidR="00763AB3">
              <w:rPr>
                <w:color w:val="000000"/>
              </w:rPr>
              <w:t>69</w:t>
            </w:r>
            <w:r w:rsidRPr="007D20CC">
              <w:rPr>
                <w:color w:val="000000"/>
              </w:rPr>
              <w:t xml:space="preserve"> </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C4279" w:rsidRPr="007D20CC" w:rsidP="007D20CC" w14:paraId="60D04BD1" w14:textId="77777777">
            <w:pPr>
              <w:jc w:val="center"/>
              <w:rPr>
                <w:color w:val="000000"/>
              </w:rPr>
            </w:pPr>
            <w:r w:rsidRPr="007D20CC">
              <w:rPr>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31F981FE" w14:textId="77777777">
            <w:pPr>
              <w:jc w:val="center"/>
              <w:rPr>
                <w:color w:val="000000"/>
              </w:rPr>
            </w:pPr>
            <w:r>
              <w:rPr>
                <w:color w:val="000000"/>
              </w:rPr>
              <w:t>15 minutes</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4C4279" w:rsidP="009F0B58" w14:paraId="4BFCCAC9" w14:textId="678B2A25">
            <w:pPr>
              <w:jc w:val="center"/>
              <w:rPr>
                <w:color w:val="000000"/>
              </w:rPr>
            </w:pPr>
            <w:r>
              <w:rPr>
                <w:color w:val="000000"/>
              </w:rPr>
              <w:t>7</w:t>
            </w:r>
            <w:r w:rsidR="003E068E">
              <w:rPr>
                <w:color w:val="000000"/>
              </w:rPr>
              <w:t>17</w:t>
            </w:r>
          </w:p>
        </w:tc>
      </w:tr>
      <w:tr w14:paraId="289E8F05" w14:textId="77777777" w:rsidTr="00090C0E">
        <w:tblPrEx>
          <w:tblW w:w="10620" w:type="dxa"/>
          <w:tblInd w:w="-540" w:type="dxa"/>
          <w:tblLayout w:type="fixed"/>
          <w:tblLook w:val="04A0"/>
        </w:tblPrEx>
        <w:trPr>
          <w:trHeight w:val="440"/>
        </w:trPr>
        <w:tc>
          <w:tcPr>
            <w:tcW w:w="5490" w:type="dxa"/>
            <w:tcBorders>
              <w:top w:val="nil"/>
              <w:left w:val="single" w:sz="4" w:space="0" w:color="auto"/>
              <w:bottom w:val="nil"/>
              <w:right w:val="single" w:sz="4" w:space="0" w:color="auto"/>
            </w:tcBorders>
            <w:shd w:val="clear" w:color="auto" w:fill="auto"/>
            <w:vAlign w:val="center"/>
            <w:hideMark/>
          </w:tcPr>
          <w:p w:rsidR="004C4279" w:rsidRPr="007D20CC" w:rsidP="007D20CC" w14:paraId="596A9049" w14:textId="77777777">
            <w:pPr>
              <w:rPr>
                <w:color w:val="000000"/>
              </w:rPr>
            </w:pPr>
            <w:r w:rsidRPr="007D20CC">
              <w:rPr>
                <w:color w:val="000000"/>
              </w:rPr>
              <w:t>Risk-Based Pricing</w:t>
            </w:r>
            <w:r w:rsidR="003A186B">
              <w:rPr>
                <w:color w:val="000000"/>
              </w:rPr>
              <w:t xml:space="preserve"> (1022, Subpart H)</w:t>
            </w:r>
          </w:p>
        </w:tc>
        <w:tc>
          <w:tcPr>
            <w:tcW w:w="1260" w:type="dxa"/>
            <w:tcBorders>
              <w:top w:val="nil"/>
              <w:left w:val="nil"/>
              <w:bottom w:val="nil"/>
              <w:right w:val="single" w:sz="4" w:space="0" w:color="auto"/>
            </w:tcBorders>
            <w:shd w:val="clear" w:color="auto" w:fill="auto"/>
            <w:noWrap/>
            <w:vAlign w:val="center"/>
            <w:hideMark/>
          </w:tcPr>
          <w:p w:rsidR="004C4279" w:rsidRPr="007D20CC" w:rsidP="007D20CC" w14:paraId="682E211A" w14:textId="10967274">
            <w:pPr>
              <w:jc w:val="center"/>
              <w:rPr>
                <w:color w:val="000000"/>
              </w:rPr>
            </w:pPr>
            <w:r>
              <w:rPr>
                <w:color w:val="000000"/>
              </w:rPr>
              <w:t>2</w:t>
            </w:r>
            <w:r w:rsidR="00067B71">
              <w:rPr>
                <w:color w:val="000000"/>
              </w:rPr>
              <w:t>,</w:t>
            </w:r>
            <w:r>
              <w:rPr>
                <w:color w:val="000000"/>
              </w:rPr>
              <w:t>221</w:t>
            </w:r>
            <w:r w:rsidRPr="007D20CC">
              <w:rPr>
                <w:color w:val="000000"/>
              </w:rPr>
              <w:t xml:space="preserve"> </w:t>
            </w:r>
          </w:p>
        </w:tc>
        <w:tc>
          <w:tcPr>
            <w:tcW w:w="1260" w:type="dxa"/>
            <w:gridSpan w:val="2"/>
            <w:tcBorders>
              <w:top w:val="nil"/>
              <w:left w:val="nil"/>
              <w:bottom w:val="nil"/>
              <w:right w:val="single" w:sz="4" w:space="0" w:color="auto"/>
            </w:tcBorders>
            <w:shd w:val="clear" w:color="auto" w:fill="auto"/>
            <w:noWrap/>
            <w:vAlign w:val="center"/>
            <w:hideMark/>
          </w:tcPr>
          <w:p w:rsidR="004C4279" w:rsidRPr="007D20CC" w:rsidP="007D20CC" w14:paraId="4CB8C174" w14:textId="77777777">
            <w:pPr>
              <w:jc w:val="center"/>
              <w:rPr>
                <w:color w:val="000000"/>
              </w:rPr>
            </w:pPr>
            <w:r w:rsidRPr="007D20CC">
              <w:rPr>
                <w:color w:val="000000"/>
              </w:rPr>
              <w:t>12</w:t>
            </w:r>
          </w:p>
        </w:tc>
        <w:tc>
          <w:tcPr>
            <w:tcW w:w="1350" w:type="dxa"/>
            <w:tcBorders>
              <w:top w:val="nil"/>
              <w:left w:val="nil"/>
              <w:bottom w:val="nil"/>
              <w:right w:val="single" w:sz="4" w:space="0" w:color="auto"/>
            </w:tcBorders>
            <w:shd w:val="clear" w:color="auto" w:fill="auto"/>
            <w:noWrap/>
            <w:vAlign w:val="center"/>
            <w:hideMark/>
          </w:tcPr>
          <w:p w:rsidR="004C4279" w:rsidRPr="007D20CC" w:rsidP="007D20CC" w14:paraId="66E26544" w14:textId="77777777">
            <w:pPr>
              <w:jc w:val="center"/>
              <w:rPr>
                <w:color w:val="000000"/>
              </w:rPr>
            </w:pPr>
            <w:r w:rsidRPr="007D20CC">
              <w:rPr>
                <w:color w:val="000000"/>
              </w:rPr>
              <w:t>5</w:t>
            </w:r>
          </w:p>
        </w:tc>
        <w:tc>
          <w:tcPr>
            <w:tcW w:w="1260" w:type="dxa"/>
            <w:tcBorders>
              <w:top w:val="nil"/>
              <w:left w:val="nil"/>
              <w:bottom w:val="nil"/>
              <w:right w:val="single" w:sz="4" w:space="0" w:color="auto"/>
            </w:tcBorders>
            <w:shd w:val="clear" w:color="auto" w:fill="auto"/>
            <w:noWrap/>
            <w:vAlign w:val="center"/>
            <w:hideMark/>
          </w:tcPr>
          <w:p w:rsidR="004C4279" w:rsidRPr="004C4279" w:rsidP="009F0B58" w14:paraId="1653D1A6" w14:textId="57CC46B9">
            <w:pPr>
              <w:rPr>
                <w:color w:val="000000"/>
              </w:rPr>
            </w:pPr>
            <w:r>
              <w:rPr>
                <w:color w:val="000000"/>
              </w:rPr>
              <w:t>133</w:t>
            </w:r>
            <w:r w:rsidR="00487D11">
              <w:rPr>
                <w:color w:val="000000"/>
              </w:rPr>
              <w:t>,</w:t>
            </w:r>
            <w:r>
              <w:rPr>
                <w:color w:val="000000"/>
              </w:rPr>
              <w:t>260</w:t>
            </w:r>
          </w:p>
        </w:tc>
      </w:tr>
      <w:tr w14:paraId="0D4198FF" w14:textId="77777777" w:rsidTr="00090C0E">
        <w:tblPrEx>
          <w:tblW w:w="10620" w:type="dxa"/>
          <w:tblInd w:w="-540" w:type="dxa"/>
          <w:tblLayout w:type="fixed"/>
          <w:tblLook w:val="04A0"/>
        </w:tblPrEx>
        <w:trPr>
          <w:trHeight w:val="900"/>
        </w:trPr>
        <w:tc>
          <w:tcPr>
            <w:tcW w:w="5490" w:type="dxa"/>
            <w:tcBorders>
              <w:top w:val="single" w:sz="4" w:space="0" w:color="auto"/>
              <w:left w:val="single" w:sz="4" w:space="0" w:color="auto"/>
              <w:bottom w:val="nil"/>
              <w:right w:val="single" w:sz="4" w:space="0" w:color="auto"/>
            </w:tcBorders>
            <w:shd w:val="clear" w:color="auto" w:fill="auto"/>
            <w:vAlign w:val="center"/>
            <w:hideMark/>
          </w:tcPr>
          <w:p w:rsidR="004C4279" w:rsidRPr="007D20CC" w:rsidP="007D20CC" w14:paraId="65E171C1" w14:textId="77777777">
            <w:pPr>
              <w:rPr>
                <w:color w:val="000000"/>
              </w:rPr>
            </w:pPr>
            <w:r w:rsidRPr="007D20CC">
              <w:rPr>
                <w:color w:val="000000"/>
              </w:rPr>
              <w:t>Pr</w:t>
            </w:r>
            <w:r w:rsidR="005A33FE">
              <w:rPr>
                <w:color w:val="000000"/>
              </w:rPr>
              <w:t>ocedures to Enhance Accuracy &amp;</w:t>
            </w:r>
            <w:r w:rsidRPr="007D20CC">
              <w:rPr>
                <w:color w:val="000000"/>
              </w:rPr>
              <w:t xml:space="preserve"> Integrity of Information Furnished to Consumer Reporting Agencies</w:t>
            </w:r>
            <w:r w:rsidR="003A186B">
              <w:rPr>
                <w:color w:val="000000"/>
              </w:rPr>
              <w:t xml:space="preserve"> (1022.42)</w:t>
            </w:r>
            <w:r w:rsidR="008F5295">
              <w:rPr>
                <w:color w:val="000000"/>
              </w:rPr>
              <w:t>:</w:t>
            </w:r>
          </w:p>
        </w:tc>
        <w:tc>
          <w:tcPr>
            <w:tcW w:w="1260" w:type="dxa"/>
            <w:tcBorders>
              <w:top w:val="single" w:sz="4" w:space="0" w:color="auto"/>
              <w:left w:val="nil"/>
              <w:bottom w:val="nil"/>
              <w:right w:val="single" w:sz="4" w:space="0" w:color="auto"/>
            </w:tcBorders>
            <w:shd w:val="clear" w:color="auto" w:fill="auto"/>
            <w:noWrap/>
            <w:vAlign w:val="bottom"/>
            <w:hideMark/>
          </w:tcPr>
          <w:p w:rsidR="004C4279" w:rsidRPr="007D20CC" w:rsidP="007D20CC" w14:paraId="14D5E922" w14:textId="77777777">
            <w:pPr>
              <w:jc w:val="center"/>
              <w:rPr>
                <w:color w:val="000000"/>
              </w:rPr>
            </w:pPr>
            <w:r w:rsidRPr="007D20CC">
              <w:rPr>
                <w:color w:val="000000"/>
              </w:rPr>
              <w:t> </w:t>
            </w:r>
          </w:p>
        </w:tc>
        <w:tc>
          <w:tcPr>
            <w:tcW w:w="1260" w:type="dxa"/>
            <w:gridSpan w:val="2"/>
            <w:tcBorders>
              <w:top w:val="single" w:sz="4" w:space="0" w:color="auto"/>
              <w:left w:val="nil"/>
              <w:bottom w:val="nil"/>
              <w:right w:val="single" w:sz="4" w:space="0" w:color="auto"/>
            </w:tcBorders>
            <w:shd w:val="clear" w:color="auto" w:fill="auto"/>
            <w:noWrap/>
            <w:vAlign w:val="bottom"/>
            <w:hideMark/>
          </w:tcPr>
          <w:p w:rsidR="004C4279" w:rsidRPr="007D20CC" w:rsidP="007D20CC" w14:paraId="6D5D8608" w14:textId="77777777">
            <w:pPr>
              <w:jc w:val="center"/>
              <w:rPr>
                <w:color w:val="000000"/>
              </w:rPr>
            </w:pPr>
            <w:r w:rsidRPr="007D20CC">
              <w:rPr>
                <w:color w:val="000000"/>
              </w:rPr>
              <w:t> </w:t>
            </w:r>
          </w:p>
        </w:tc>
        <w:tc>
          <w:tcPr>
            <w:tcW w:w="1350" w:type="dxa"/>
            <w:tcBorders>
              <w:top w:val="single" w:sz="4" w:space="0" w:color="auto"/>
              <w:left w:val="nil"/>
              <w:bottom w:val="nil"/>
              <w:right w:val="single" w:sz="4" w:space="0" w:color="auto"/>
            </w:tcBorders>
            <w:shd w:val="clear" w:color="auto" w:fill="auto"/>
            <w:noWrap/>
            <w:vAlign w:val="bottom"/>
            <w:hideMark/>
          </w:tcPr>
          <w:p w:rsidR="004C4279" w:rsidRPr="007D20CC" w:rsidP="007D20CC" w14:paraId="37EBC217" w14:textId="77777777">
            <w:pPr>
              <w:jc w:val="center"/>
              <w:rPr>
                <w:color w:val="000000"/>
              </w:rPr>
            </w:pPr>
            <w:r w:rsidRPr="007D20CC">
              <w:rPr>
                <w:color w:val="000000"/>
              </w:rPr>
              <w:t> </w:t>
            </w:r>
          </w:p>
        </w:tc>
        <w:tc>
          <w:tcPr>
            <w:tcW w:w="1260" w:type="dxa"/>
            <w:tcBorders>
              <w:top w:val="single" w:sz="4" w:space="0" w:color="auto"/>
              <w:left w:val="nil"/>
              <w:bottom w:val="nil"/>
              <w:right w:val="single" w:sz="4" w:space="0" w:color="auto"/>
            </w:tcBorders>
            <w:shd w:val="clear" w:color="auto" w:fill="auto"/>
            <w:noWrap/>
            <w:vAlign w:val="bottom"/>
            <w:hideMark/>
          </w:tcPr>
          <w:p w:rsidR="004C4279" w:rsidRPr="004C4279" w:rsidP="007D20CC" w14:paraId="6A81B675" w14:textId="77777777">
            <w:pPr>
              <w:jc w:val="center"/>
              <w:rPr>
                <w:color w:val="000000"/>
              </w:rPr>
            </w:pPr>
            <w:r w:rsidRPr="004C4279">
              <w:rPr>
                <w:color w:val="000000"/>
              </w:rPr>
              <w:t> </w:t>
            </w:r>
          </w:p>
        </w:tc>
      </w:tr>
      <w:tr w14:paraId="2AE303A8" w14:textId="77777777" w:rsidTr="00090C0E">
        <w:tblPrEx>
          <w:tblW w:w="10620" w:type="dxa"/>
          <w:tblInd w:w="-540" w:type="dxa"/>
          <w:tblLayout w:type="fixed"/>
          <w:tblLook w:val="04A0"/>
        </w:tblPrEx>
        <w:trPr>
          <w:trHeight w:val="300"/>
        </w:trPr>
        <w:tc>
          <w:tcPr>
            <w:tcW w:w="5490" w:type="dxa"/>
            <w:tcBorders>
              <w:top w:val="nil"/>
              <w:left w:val="single" w:sz="4" w:space="0" w:color="auto"/>
              <w:bottom w:val="nil"/>
              <w:right w:val="single" w:sz="4" w:space="0" w:color="auto"/>
            </w:tcBorders>
            <w:shd w:val="clear" w:color="auto" w:fill="auto"/>
            <w:vAlign w:val="center"/>
            <w:hideMark/>
          </w:tcPr>
          <w:p w:rsidR="004C4279" w:rsidRPr="007D20CC" w:rsidP="004402CA" w14:paraId="28973718" w14:textId="77777777">
            <w:pPr>
              <w:tabs>
                <w:tab w:val="left" w:pos="438"/>
              </w:tabs>
              <w:rPr>
                <w:color w:val="000000"/>
              </w:rPr>
            </w:pPr>
            <w:r>
              <w:rPr>
                <w:color w:val="000000"/>
              </w:rPr>
              <w:tab/>
            </w:r>
            <w:r w:rsidRPr="007D20CC">
              <w:rPr>
                <w:color w:val="000000"/>
              </w:rPr>
              <w:t>(1) Develop policies and procedures</w:t>
            </w:r>
          </w:p>
        </w:tc>
        <w:tc>
          <w:tcPr>
            <w:tcW w:w="1260" w:type="dxa"/>
            <w:tcBorders>
              <w:top w:val="nil"/>
              <w:left w:val="nil"/>
              <w:bottom w:val="single" w:sz="4" w:space="0" w:color="auto"/>
              <w:right w:val="single" w:sz="4" w:space="0" w:color="auto"/>
            </w:tcBorders>
            <w:shd w:val="clear" w:color="auto" w:fill="auto"/>
            <w:noWrap/>
            <w:vAlign w:val="bottom"/>
            <w:hideMark/>
          </w:tcPr>
          <w:p w:rsidR="004C4279" w:rsidRPr="007D20CC" w:rsidP="00B40591" w14:paraId="4C295FFF" w14:textId="52C2005F">
            <w:pPr>
              <w:jc w:val="center"/>
              <w:rPr>
                <w:color w:val="000000"/>
              </w:rPr>
            </w:pPr>
            <w:r>
              <w:rPr>
                <w:color w:val="000000"/>
              </w:rPr>
              <w:t>11</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4C4279" w:rsidRPr="007D20CC" w:rsidP="007D20CC" w14:paraId="6A549007" w14:textId="77777777">
            <w:pPr>
              <w:jc w:val="center"/>
              <w:rPr>
                <w:color w:val="000000"/>
              </w:rPr>
            </w:pPr>
            <w:r w:rsidRPr="007D20CC">
              <w:rPr>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4C4279" w:rsidRPr="007D20CC" w:rsidP="007D20CC" w14:paraId="492646F1" w14:textId="77777777">
            <w:pPr>
              <w:jc w:val="center"/>
              <w:rPr>
                <w:color w:val="000000"/>
              </w:rPr>
            </w:pPr>
            <w:r w:rsidRPr="007D20CC">
              <w:rPr>
                <w:color w:val="000000"/>
              </w:rPr>
              <w:t>32</w:t>
            </w:r>
          </w:p>
        </w:tc>
        <w:tc>
          <w:tcPr>
            <w:tcW w:w="1260" w:type="dxa"/>
            <w:tcBorders>
              <w:top w:val="nil"/>
              <w:left w:val="nil"/>
              <w:bottom w:val="single" w:sz="4" w:space="0" w:color="auto"/>
              <w:right w:val="single" w:sz="4" w:space="0" w:color="auto"/>
            </w:tcBorders>
            <w:shd w:val="clear" w:color="auto" w:fill="auto"/>
            <w:noWrap/>
            <w:vAlign w:val="bottom"/>
            <w:hideMark/>
          </w:tcPr>
          <w:p w:rsidR="004C4279" w:rsidRPr="004C4279" w:rsidP="00445027" w14:paraId="5C7C62B1" w14:textId="77951C31">
            <w:pPr>
              <w:jc w:val="center"/>
              <w:rPr>
                <w:color w:val="000000"/>
              </w:rPr>
            </w:pPr>
            <w:r>
              <w:rPr>
                <w:color w:val="000000"/>
              </w:rPr>
              <w:t>352</w:t>
            </w:r>
          </w:p>
        </w:tc>
      </w:tr>
      <w:tr w14:paraId="7B3FC931" w14:textId="77777777" w:rsidTr="00090C0E">
        <w:tblPrEx>
          <w:tblW w:w="10620" w:type="dxa"/>
          <w:tblInd w:w="-540" w:type="dxa"/>
          <w:tblLayout w:type="fixed"/>
          <w:tblLook w:val="04A0"/>
        </w:tblPrEx>
        <w:trPr>
          <w:trHeight w:val="305"/>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4C4279" w:rsidRPr="007D20CC" w:rsidP="004402CA" w14:paraId="62101853" w14:textId="77777777">
            <w:pPr>
              <w:tabs>
                <w:tab w:val="left" w:pos="438"/>
              </w:tabs>
              <w:rPr>
                <w:color w:val="000000"/>
              </w:rPr>
            </w:pPr>
            <w:r>
              <w:rPr>
                <w:color w:val="000000"/>
              </w:rPr>
              <w:tab/>
            </w:r>
            <w:r w:rsidRPr="007D20CC">
              <w:rPr>
                <w:color w:val="000000"/>
              </w:rPr>
              <w:t>(2) Amend policies and procedures and training</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1E820F42" w14:textId="53FDCF02">
            <w:pPr>
              <w:jc w:val="center"/>
              <w:rPr>
                <w:color w:val="000000"/>
              </w:rPr>
            </w:pPr>
            <w:r>
              <w:rPr>
                <w:color w:val="000000"/>
              </w:rPr>
              <w:t>2</w:t>
            </w:r>
            <w:r w:rsidR="008C0E1A">
              <w:rPr>
                <w:color w:val="000000"/>
              </w:rPr>
              <w:t>,</w:t>
            </w:r>
            <w:r>
              <w:rPr>
                <w:color w:val="000000"/>
              </w:rPr>
              <w:t>8</w:t>
            </w:r>
            <w:r w:rsidR="00720840">
              <w:rPr>
                <w:color w:val="000000"/>
              </w:rPr>
              <w:t>69</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C4279" w:rsidRPr="007D20CC" w:rsidP="007D20CC" w14:paraId="7E90080D" w14:textId="77777777">
            <w:pPr>
              <w:jc w:val="center"/>
              <w:rPr>
                <w:color w:val="000000"/>
              </w:rPr>
            </w:pPr>
            <w:r w:rsidRPr="007D20CC">
              <w:rPr>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7691D9F3" w14:textId="77777777">
            <w:pPr>
              <w:jc w:val="center"/>
              <w:rPr>
                <w:color w:val="000000"/>
              </w:rPr>
            </w:pPr>
            <w:r w:rsidRPr="007D20CC">
              <w:rPr>
                <w:color w:val="000000"/>
              </w:rPr>
              <w:t>8</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4C4279" w:rsidP="007D20CC" w14:paraId="5463299A" w14:textId="4AFB6B2C">
            <w:pPr>
              <w:jc w:val="center"/>
              <w:rPr>
                <w:color w:val="000000"/>
              </w:rPr>
            </w:pPr>
            <w:r>
              <w:rPr>
                <w:color w:val="000000"/>
              </w:rPr>
              <w:t>22,952</w:t>
            </w:r>
          </w:p>
        </w:tc>
      </w:tr>
      <w:tr w14:paraId="41A088D8" w14:textId="77777777" w:rsidTr="00090C0E">
        <w:tblPrEx>
          <w:tblW w:w="10620" w:type="dxa"/>
          <w:tblInd w:w="-540" w:type="dxa"/>
          <w:tblLayout w:type="fixed"/>
          <w:tblLook w:val="04A0"/>
        </w:tblPrEx>
        <w:trPr>
          <w:trHeight w:val="35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4C4279" w:rsidRPr="00C0723F" w:rsidP="007D20CC" w14:paraId="59164B3E" w14:textId="77777777">
            <w:pPr>
              <w:rPr>
                <w:color w:val="000000"/>
              </w:rPr>
            </w:pPr>
            <w:r w:rsidRPr="00C0723F">
              <w:rPr>
                <w:color w:val="000000"/>
              </w:rPr>
              <w:t>Notice of Dispute from Consumer</w:t>
            </w:r>
            <w:r w:rsidRPr="00C0723F" w:rsidR="003A186B">
              <w:rPr>
                <w:color w:val="000000"/>
              </w:rPr>
              <w:t xml:space="preserve"> (1022.43)</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C0723F" w:rsidP="007D20CC" w14:paraId="47517FD6" w14:textId="2A4B62F5">
            <w:pPr>
              <w:jc w:val="center"/>
              <w:rPr>
                <w:color w:val="000000"/>
              </w:rPr>
            </w:pPr>
            <w:r w:rsidRPr="00C0723F">
              <w:rPr>
                <w:color w:val="000000"/>
              </w:rPr>
              <w:t>2</w:t>
            </w:r>
            <w:r w:rsidRPr="00C0723F" w:rsidR="008C0E1A">
              <w:rPr>
                <w:color w:val="000000"/>
              </w:rPr>
              <w:t>,</w:t>
            </w:r>
            <w:r w:rsidRPr="00C0723F">
              <w:rPr>
                <w:color w:val="000000"/>
              </w:rPr>
              <w:t>8</w:t>
            </w:r>
            <w:r w:rsidRPr="00C0723F" w:rsidR="00720840">
              <w:rPr>
                <w:color w:val="000000"/>
              </w:rPr>
              <w:t>69</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C4279" w:rsidRPr="00C0723F" w:rsidP="007D20CC" w14:paraId="1CA20751" w14:textId="77777777">
            <w:pPr>
              <w:jc w:val="center"/>
              <w:rPr>
                <w:color w:val="000000"/>
              </w:rPr>
            </w:pPr>
            <w:r w:rsidRPr="00C0723F">
              <w:rPr>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4279" w:rsidRPr="00C0723F" w:rsidP="007D20CC" w14:paraId="0EFF6859" w14:textId="482E1480">
            <w:pPr>
              <w:jc w:val="center"/>
              <w:rPr>
                <w:color w:val="000000"/>
              </w:rPr>
            </w:pPr>
            <w:r w:rsidRPr="00C0723F">
              <w:rPr>
                <w:color w:val="000000"/>
              </w:rPr>
              <w:t>1</w:t>
            </w:r>
            <w:r w:rsidRPr="00C0723F" w:rsidR="00C0723F">
              <w:rPr>
                <w:color w:val="000000"/>
              </w:rPr>
              <w:t>5</w:t>
            </w:r>
            <w:r w:rsidRPr="00C0723F">
              <w:rPr>
                <w:color w:val="000000"/>
              </w:rPr>
              <w:t xml:space="preserve"> minutes</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C0723F" w:rsidP="007D20CC" w14:paraId="7752E177" w14:textId="3F5E58F3">
            <w:pPr>
              <w:jc w:val="center"/>
              <w:rPr>
                <w:color w:val="000000"/>
              </w:rPr>
            </w:pPr>
            <w:r w:rsidRPr="00C0723F">
              <w:rPr>
                <w:color w:val="000000"/>
              </w:rPr>
              <w:t>717</w:t>
            </w:r>
          </w:p>
        </w:tc>
      </w:tr>
      <w:tr w14:paraId="512CB44C" w14:textId="77777777" w:rsidTr="00090C0E">
        <w:tblPrEx>
          <w:tblW w:w="10620" w:type="dxa"/>
          <w:tblInd w:w="-540" w:type="dxa"/>
          <w:tblLayout w:type="fixed"/>
          <w:tblLook w:val="04A0"/>
        </w:tblPrEx>
        <w:trPr>
          <w:trHeight w:val="53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4C4279" w:rsidRPr="007D20CC" w:rsidP="007D20CC" w14:paraId="46AE8EA0" w14:textId="77777777">
            <w:pPr>
              <w:rPr>
                <w:color w:val="000000"/>
              </w:rPr>
            </w:pPr>
            <w:r w:rsidRPr="007D20CC">
              <w:rPr>
                <w:color w:val="000000"/>
              </w:rPr>
              <w:t>Prescreened Consumer Reports Opt-Out Notice</w:t>
            </w:r>
            <w:r w:rsidR="003A186B">
              <w:rPr>
                <w:color w:val="000000"/>
              </w:rPr>
              <w:t xml:space="preserve"> (1022.54)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4279" w:rsidRPr="007D20CC" w:rsidP="007D20CC" w14:paraId="31A266E5" w14:textId="509FE315">
            <w:pPr>
              <w:jc w:val="center"/>
              <w:rPr>
                <w:color w:val="000000"/>
              </w:rPr>
            </w:pPr>
            <w:r>
              <w:rPr>
                <w:color w:val="000000"/>
              </w:rPr>
              <w:t>1</w:t>
            </w:r>
            <w:r w:rsidR="008C0E1A">
              <w:rPr>
                <w:color w:val="000000"/>
              </w:rPr>
              <w:t>,</w:t>
            </w:r>
            <w:r>
              <w:rPr>
                <w:color w:val="000000"/>
              </w:rPr>
              <w:t>7</w:t>
            </w:r>
            <w:r w:rsidR="004268A5">
              <w:rPr>
                <w:color w:val="000000"/>
              </w:rPr>
              <w:t>63</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C4279" w:rsidRPr="007D20CC" w:rsidP="007D20CC" w14:paraId="3E521FB5" w14:textId="77777777">
            <w:pPr>
              <w:jc w:val="center"/>
              <w:rPr>
                <w:color w:val="000000"/>
              </w:rPr>
            </w:pPr>
            <w:r w:rsidRPr="007D20CC">
              <w:rPr>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6F97254A" w14:textId="77777777">
            <w:pPr>
              <w:jc w:val="center"/>
              <w:rPr>
                <w:color w:val="000000"/>
              </w:rPr>
            </w:pPr>
            <w:r>
              <w:rPr>
                <w:color w:val="000000"/>
              </w:rPr>
              <w:t>15 minutes</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4C4279" w:rsidP="007D20CC" w14:paraId="147E6D1D" w14:textId="20D778CB">
            <w:pPr>
              <w:jc w:val="center"/>
              <w:rPr>
                <w:color w:val="000000"/>
              </w:rPr>
            </w:pPr>
            <w:r>
              <w:rPr>
                <w:color w:val="000000"/>
              </w:rPr>
              <w:t>44</w:t>
            </w:r>
            <w:r w:rsidR="00865115">
              <w:rPr>
                <w:color w:val="000000"/>
              </w:rPr>
              <w:t>1</w:t>
            </w:r>
          </w:p>
        </w:tc>
      </w:tr>
      <w:tr w14:paraId="1259B50D" w14:textId="77777777" w:rsidTr="00090C0E">
        <w:tblPrEx>
          <w:tblW w:w="10620" w:type="dxa"/>
          <w:tblInd w:w="-540" w:type="dxa"/>
          <w:tblLayout w:type="fixed"/>
          <w:tblLook w:val="04A0"/>
        </w:tblPrEx>
        <w:trPr>
          <w:trHeight w:val="431"/>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4C4279" w:rsidRPr="00826835" w:rsidP="007D20CC" w14:paraId="3B0D9B61" w14:textId="77777777">
            <w:pPr>
              <w:rPr>
                <w:color w:val="000000"/>
              </w:rPr>
            </w:pPr>
            <w:r w:rsidRPr="00826835">
              <w:rPr>
                <w:color w:val="000000"/>
              </w:rPr>
              <w:t>Affiliate Marketing Opt-Out Notice</w:t>
            </w:r>
            <w:r w:rsidRPr="00826835" w:rsidR="003A186B">
              <w:rPr>
                <w:color w:val="000000"/>
              </w:rPr>
              <w:t xml:space="preserve"> (1022, Subpart C)</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826835" w:rsidP="007D20CC" w14:paraId="140EB4ED" w14:textId="0541C743">
            <w:pPr>
              <w:jc w:val="center"/>
              <w:rPr>
                <w:color w:val="000000"/>
              </w:rPr>
            </w:pPr>
            <w:r w:rsidRPr="00826835">
              <w:rPr>
                <w:color w:val="000000"/>
              </w:rPr>
              <w:t>233</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C4279" w:rsidRPr="00826835" w:rsidP="007D20CC" w14:paraId="133FB607" w14:textId="77777777">
            <w:pPr>
              <w:jc w:val="center"/>
              <w:rPr>
                <w:color w:val="000000"/>
              </w:rPr>
            </w:pPr>
            <w:r w:rsidRPr="00826835">
              <w:rPr>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4279" w:rsidRPr="00826835" w:rsidP="007D20CC" w14:paraId="0E36DA6D" w14:textId="7B3834A3">
            <w:pPr>
              <w:jc w:val="center"/>
              <w:rPr>
                <w:color w:val="000000"/>
              </w:rPr>
            </w:pPr>
            <w:r>
              <w:rPr>
                <w:color w:val="000000"/>
              </w:rPr>
              <w:t>1</w:t>
            </w:r>
            <w:r w:rsidRPr="00826835">
              <w:rPr>
                <w:color w:val="000000"/>
              </w:rPr>
              <w:t>8</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9B6A04" w:rsidP="007D20CC" w14:paraId="69663DB2" w14:textId="427F99F7">
            <w:pPr>
              <w:jc w:val="center"/>
              <w:rPr>
                <w:color w:val="000000"/>
              </w:rPr>
            </w:pPr>
            <w:r>
              <w:rPr>
                <w:color w:val="000000"/>
              </w:rPr>
              <w:t>4,194</w:t>
            </w:r>
          </w:p>
        </w:tc>
      </w:tr>
      <w:tr w14:paraId="63328745" w14:textId="77777777" w:rsidTr="00090C0E">
        <w:tblPrEx>
          <w:tblW w:w="10620" w:type="dxa"/>
          <w:tblInd w:w="-540" w:type="dxa"/>
          <w:tblLayout w:type="fixed"/>
          <w:tblLook w:val="04A0"/>
        </w:tblPrEx>
        <w:trPr>
          <w:trHeight w:val="66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4C4279" w:rsidRPr="007D20CC" w:rsidP="007D20CC" w14:paraId="16836FF8" w14:textId="77777777">
            <w:pPr>
              <w:rPr>
                <w:color w:val="000000"/>
              </w:rPr>
            </w:pPr>
            <w:r w:rsidRPr="007D20CC">
              <w:rPr>
                <w:color w:val="000000"/>
              </w:rPr>
              <w:t>Requirement to Properly Dispose of Consumer Information</w:t>
            </w:r>
            <w:r w:rsidR="003A186B">
              <w:rPr>
                <w:color w:val="000000"/>
              </w:rPr>
              <w:t xml:space="preserve"> (717.83)</w:t>
            </w:r>
          </w:p>
        </w:tc>
        <w:tc>
          <w:tcPr>
            <w:tcW w:w="1260" w:type="dxa"/>
            <w:tcBorders>
              <w:top w:val="nil"/>
              <w:left w:val="single" w:sz="4" w:space="0" w:color="auto"/>
              <w:bottom w:val="nil"/>
              <w:right w:val="single" w:sz="4" w:space="0" w:color="auto"/>
            </w:tcBorders>
            <w:shd w:val="clear" w:color="auto" w:fill="auto"/>
            <w:noWrap/>
            <w:vAlign w:val="center"/>
            <w:hideMark/>
          </w:tcPr>
          <w:p w:rsidR="004C4279" w:rsidRPr="007D20CC" w:rsidP="007D20CC" w14:paraId="4B6B3211" w14:textId="709EB1A5">
            <w:pPr>
              <w:jc w:val="center"/>
              <w:rPr>
                <w:color w:val="000000"/>
              </w:rPr>
            </w:pPr>
            <w:r>
              <w:rPr>
                <w:color w:val="000000"/>
              </w:rPr>
              <w:t>2</w:t>
            </w:r>
            <w:r w:rsidR="008C0E1A">
              <w:rPr>
                <w:color w:val="000000"/>
              </w:rPr>
              <w:t>,</w:t>
            </w:r>
            <w:r>
              <w:rPr>
                <w:color w:val="000000"/>
              </w:rPr>
              <w:t>8</w:t>
            </w:r>
            <w:r w:rsidR="00CA72FA">
              <w:rPr>
                <w:color w:val="000000"/>
              </w:rPr>
              <w:t>6</w:t>
            </w:r>
            <w:r w:rsidR="00B712FA">
              <w:rPr>
                <w:color w:val="000000"/>
              </w:rPr>
              <w:t>9</w:t>
            </w:r>
          </w:p>
        </w:tc>
        <w:tc>
          <w:tcPr>
            <w:tcW w:w="1260" w:type="dxa"/>
            <w:gridSpan w:val="2"/>
            <w:tcBorders>
              <w:top w:val="nil"/>
              <w:left w:val="nil"/>
              <w:bottom w:val="nil"/>
              <w:right w:val="single" w:sz="4" w:space="0" w:color="auto"/>
            </w:tcBorders>
            <w:shd w:val="clear" w:color="auto" w:fill="auto"/>
            <w:noWrap/>
            <w:vAlign w:val="center"/>
            <w:hideMark/>
          </w:tcPr>
          <w:p w:rsidR="004C4279" w:rsidRPr="007D20CC" w:rsidP="007D20CC" w14:paraId="6A6CA01F" w14:textId="77777777">
            <w:pPr>
              <w:jc w:val="center"/>
              <w:rPr>
                <w:color w:val="000000"/>
              </w:rPr>
            </w:pPr>
            <w:r w:rsidRPr="007D20CC">
              <w:rPr>
                <w:color w:val="000000"/>
              </w:rPr>
              <w:t>1</w:t>
            </w:r>
          </w:p>
        </w:tc>
        <w:tc>
          <w:tcPr>
            <w:tcW w:w="1350" w:type="dxa"/>
            <w:tcBorders>
              <w:top w:val="nil"/>
              <w:left w:val="nil"/>
              <w:bottom w:val="nil"/>
              <w:right w:val="single" w:sz="4" w:space="0" w:color="auto"/>
            </w:tcBorders>
            <w:shd w:val="clear" w:color="auto" w:fill="auto"/>
            <w:noWrap/>
            <w:vAlign w:val="center"/>
            <w:hideMark/>
          </w:tcPr>
          <w:p w:rsidR="004C4279" w:rsidRPr="007D20CC" w:rsidP="007D20CC" w14:paraId="6447BF51" w14:textId="77777777">
            <w:pPr>
              <w:jc w:val="center"/>
              <w:rPr>
                <w:color w:val="000000"/>
              </w:rPr>
            </w:pPr>
            <w:r>
              <w:rPr>
                <w:color w:val="000000"/>
              </w:rPr>
              <w:t>4</w:t>
            </w:r>
          </w:p>
        </w:tc>
        <w:tc>
          <w:tcPr>
            <w:tcW w:w="1260" w:type="dxa"/>
            <w:tcBorders>
              <w:top w:val="nil"/>
              <w:left w:val="nil"/>
              <w:bottom w:val="nil"/>
              <w:right w:val="single" w:sz="4" w:space="0" w:color="auto"/>
            </w:tcBorders>
            <w:shd w:val="clear" w:color="auto" w:fill="auto"/>
            <w:noWrap/>
            <w:vAlign w:val="center"/>
            <w:hideMark/>
          </w:tcPr>
          <w:p w:rsidR="004C4279" w:rsidRPr="004C4279" w:rsidP="007D20CC" w14:paraId="2F838282" w14:textId="297073D7">
            <w:pPr>
              <w:jc w:val="center"/>
              <w:rPr>
                <w:color w:val="000000"/>
              </w:rPr>
            </w:pPr>
            <w:r>
              <w:rPr>
                <w:color w:val="000000"/>
              </w:rPr>
              <w:t>11</w:t>
            </w:r>
            <w:r w:rsidR="001762C5">
              <w:rPr>
                <w:color w:val="000000"/>
              </w:rPr>
              <w:t xml:space="preserve">,476 </w:t>
            </w:r>
          </w:p>
        </w:tc>
      </w:tr>
      <w:tr w14:paraId="4F67C0D7" w14:textId="77777777" w:rsidTr="00090C0E">
        <w:tblPrEx>
          <w:tblW w:w="10620" w:type="dxa"/>
          <w:tblInd w:w="-540" w:type="dxa"/>
          <w:tblLayout w:type="fixed"/>
          <w:tblLook w:val="04A0"/>
        </w:tblPrEx>
        <w:trPr>
          <w:trHeight w:val="300"/>
        </w:trPr>
        <w:tc>
          <w:tcPr>
            <w:tcW w:w="5490" w:type="dxa"/>
            <w:tcBorders>
              <w:top w:val="nil"/>
              <w:left w:val="single" w:sz="4" w:space="0" w:color="auto"/>
              <w:bottom w:val="nil"/>
              <w:right w:val="single" w:sz="4" w:space="0" w:color="auto"/>
            </w:tcBorders>
            <w:shd w:val="clear" w:color="auto" w:fill="auto"/>
            <w:vAlign w:val="center"/>
            <w:hideMark/>
          </w:tcPr>
          <w:p w:rsidR="004C4279" w:rsidRPr="007D20CC" w:rsidP="007D20CC" w14:paraId="247C5E4D" w14:textId="77777777">
            <w:pPr>
              <w:rPr>
                <w:color w:val="000000"/>
              </w:rPr>
            </w:pPr>
            <w:r w:rsidRPr="007D20CC">
              <w:rPr>
                <w:color w:val="000000"/>
              </w:rPr>
              <w:t>Identity Theft Red Flags</w:t>
            </w:r>
            <w:r w:rsidR="003A186B">
              <w:rPr>
                <w:color w:val="000000"/>
              </w:rPr>
              <w:t xml:space="preserve"> (717.90)</w:t>
            </w:r>
            <w:r w:rsidRPr="007D20CC">
              <w:rPr>
                <w:color w:val="000000"/>
              </w:rPr>
              <w:t xml:space="preserve">: </w:t>
            </w:r>
          </w:p>
        </w:tc>
        <w:tc>
          <w:tcPr>
            <w:tcW w:w="1260" w:type="dxa"/>
            <w:tcBorders>
              <w:top w:val="single" w:sz="4" w:space="0" w:color="auto"/>
              <w:left w:val="nil"/>
              <w:bottom w:val="nil"/>
              <w:right w:val="single" w:sz="4" w:space="0" w:color="auto"/>
            </w:tcBorders>
            <w:shd w:val="clear" w:color="auto" w:fill="auto"/>
            <w:noWrap/>
            <w:vAlign w:val="center"/>
            <w:hideMark/>
          </w:tcPr>
          <w:p w:rsidR="004C4279" w:rsidRPr="007D20CC" w:rsidP="007D20CC" w14:paraId="523A6997" w14:textId="77777777">
            <w:pPr>
              <w:jc w:val="center"/>
              <w:rPr>
                <w:color w:val="000000"/>
              </w:rPr>
            </w:pPr>
            <w:r w:rsidRPr="007D20CC">
              <w:rPr>
                <w:color w:val="000000"/>
              </w:rPr>
              <w:t> </w:t>
            </w:r>
          </w:p>
        </w:tc>
        <w:tc>
          <w:tcPr>
            <w:tcW w:w="1260" w:type="dxa"/>
            <w:gridSpan w:val="2"/>
            <w:tcBorders>
              <w:top w:val="single" w:sz="4" w:space="0" w:color="auto"/>
              <w:left w:val="nil"/>
              <w:bottom w:val="nil"/>
              <w:right w:val="single" w:sz="4" w:space="0" w:color="auto"/>
            </w:tcBorders>
            <w:shd w:val="clear" w:color="auto" w:fill="auto"/>
            <w:noWrap/>
            <w:vAlign w:val="center"/>
            <w:hideMark/>
          </w:tcPr>
          <w:p w:rsidR="004C4279" w:rsidRPr="007D20CC" w:rsidP="007D20CC" w14:paraId="25F1B9D9" w14:textId="77777777">
            <w:pPr>
              <w:jc w:val="center"/>
              <w:rPr>
                <w:color w:val="000000"/>
              </w:rPr>
            </w:pPr>
            <w:r w:rsidRPr="007D20CC">
              <w:rPr>
                <w:color w:val="000000"/>
              </w:rPr>
              <w:t> </w:t>
            </w:r>
          </w:p>
        </w:tc>
        <w:tc>
          <w:tcPr>
            <w:tcW w:w="1350" w:type="dxa"/>
            <w:tcBorders>
              <w:top w:val="single" w:sz="4" w:space="0" w:color="auto"/>
              <w:left w:val="nil"/>
              <w:bottom w:val="nil"/>
              <w:right w:val="single" w:sz="4" w:space="0" w:color="auto"/>
            </w:tcBorders>
            <w:shd w:val="clear" w:color="auto" w:fill="auto"/>
            <w:noWrap/>
            <w:vAlign w:val="center"/>
            <w:hideMark/>
          </w:tcPr>
          <w:p w:rsidR="004C4279" w:rsidRPr="007D20CC" w:rsidP="007D20CC" w14:paraId="45737433" w14:textId="77777777">
            <w:pPr>
              <w:jc w:val="center"/>
              <w:rPr>
                <w:color w:val="000000"/>
              </w:rPr>
            </w:pPr>
            <w:r w:rsidRPr="007D20CC">
              <w:rPr>
                <w:color w:val="000000"/>
              </w:rPr>
              <w:t> </w:t>
            </w:r>
          </w:p>
        </w:tc>
        <w:tc>
          <w:tcPr>
            <w:tcW w:w="1260" w:type="dxa"/>
            <w:tcBorders>
              <w:top w:val="single" w:sz="4" w:space="0" w:color="auto"/>
              <w:left w:val="nil"/>
              <w:bottom w:val="nil"/>
              <w:right w:val="single" w:sz="4" w:space="0" w:color="auto"/>
            </w:tcBorders>
            <w:shd w:val="clear" w:color="auto" w:fill="auto"/>
            <w:noWrap/>
            <w:vAlign w:val="center"/>
            <w:hideMark/>
          </w:tcPr>
          <w:p w:rsidR="004C4279" w:rsidRPr="004C4279" w:rsidP="007D20CC" w14:paraId="793DB578" w14:textId="77777777">
            <w:pPr>
              <w:jc w:val="center"/>
              <w:rPr>
                <w:color w:val="000000"/>
              </w:rPr>
            </w:pPr>
            <w:r w:rsidRPr="004C4279">
              <w:rPr>
                <w:color w:val="000000"/>
              </w:rPr>
              <w:t> </w:t>
            </w:r>
          </w:p>
        </w:tc>
      </w:tr>
      <w:tr w14:paraId="1B1D036B" w14:textId="77777777" w:rsidTr="00090C0E">
        <w:tblPrEx>
          <w:tblW w:w="10620" w:type="dxa"/>
          <w:tblInd w:w="-540" w:type="dxa"/>
          <w:tblLayout w:type="fixed"/>
          <w:tblLook w:val="04A0"/>
        </w:tblPrEx>
        <w:trPr>
          <w:trHeight w:val="450"/>
        </w:trPr>
        <w:tc>
          <w:tcPr>
            <w:tcW w:w="5490" w:type="dxa"/>
            <w:tcBorders>
              <w:top w:val="nil"/>
              <w:left w:val="single" w:sz="4" w:space="0" w:color="auto"/>
              <w:bottom w:val="nil"/>
              <w:right w:val="single" w:sz="4" w:space="0" w:color="auto"/>
            </w:tcBorders>
            <w:shd w:val="clear" w:color="auto" w:fill="auto"/>
            <w:vAlign w:val="center"/>
            <w:hideMark/>
          </w:tcPr>
          <w:p w:rsidR="004C4279" w:rsidRPr="007D20CC" w:rsidP="004402CA" w14:paraId="5A5DE8DF" w14:textId="77777777">
            <w:pPr>
              <w:tabs>
                <w:tab w:val="left" w:pos="348"/>
              </w:tabs>
              <w:rPr>
                <w:color w:val="000000"/>
              </w:rPr>
            </w:pPr>
            <w:r>
              <w:rPr>
                <w:color w:val="000000"/>
              </w:rPr>
              <w:tab/>
            </w:r>
            <w:r w:rsidRPr="007D20CC">
              <w:rPr>
                <w:color w:val="000000"/>
              </w:rPr>
              <w:t>(1) Develop program and policies and procedures</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7D20CC" w:rsidP="00445027" w14:paraId="5FBB9B03" w14:textId="5A18CD54">
            <w:pPr>
              <w:jc w:val="center"/>
              <w:rPr>
                <w:color w:val="000000"/>
              </w:rPr>
            </w:pPr>
            <w:r>
              <w:rPr>
                <w:color w:val="000000"/>
              </w:rPr>
              <w:t>11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C4279" w:rsidRPr="007D20CC" w:rsidP="007D20CC" w14:paraId="3B36A06D" w14:textId="77777777">
            <w:pPr>
              <w:jc w:val="center"/>
              <w:rPr>
                <w:color w:val="000000"/>
              </w:rPr>
            </w:pPr>
            <w:r w:rsidRPr="007D20CC">
              <w:rPr>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39B54360" w14:textId="77777777">
            <w:pPr>
              <w:jc w:val="center"/>
              <w:rPr>
                <w:color w:val="000000"/>
              </w:rPr>
            </w:pPr>
            <w:r>
              <w:rPr>
                <w:color w:val="000000"/>
              </w:rPr>
              <w:t>21</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4C4279" w:rsidP="007D20CC" w14:paraId="79E6822D" w14:textId="048A01A3">
            <w:pPr>
              <w:jc w:val="center"/>
              <w:rPr>
                <w:color w:val="000000"/>
              </w:rPr>
            </w:pPr>
            <w:r>
              <w:rPr>
                <w:color w:val="000000"/>
              </w:rPr>
              <w:t>231</w:t>
            </w:r>
          </w:p>
        </w:tc>
      </w:tr>
      <w:tr w14:paraId="0F9BB46A" w14:textId="77777777" w:rsidTr="00090C0E">
        <w:tblPrEx>
          <w:tblW w:w="10620" w:type="dxa"/>
          <w:tblInd w:w="-540" w:type="dxa"/>
          <w:tblLayout w:type="fixed"/>
          <w:tblLook w:val="04A0"/>
        </w:tblPrEx>
        <w:trPr>
          <w:trHeight w:val="30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4C4279" w:rsidRPr="007D20CC" w:rsidP="004402CA" w14:paraId="4318D824" w14:textId="77777777">
            <w:pPr>
              <w:tabs>
                <w:tab w:val="left" w:pos="363"/>
              </w:tabs>
              <w:rPr>
                <w:color w:val="000000"/>
              </w:rPr>
            </w:pPr>
            <w:r>
              <w:rPr>
                <w:color w:val="000000"/>
              </w:rPr>
              <w:tab/>
            </w:r>
            <w:r w:rsidR="001A068E">
              <w:rPr>
                <w:color w:val="000000"/>
              </w:rPr>
              <w:t>(2) Update program, p</w:t>
            </w:r>
            <w:r w:rsidRPr="007D20CC">
              <w:rPr>
                <w:color w:val="000000"/>
              </w:rPr>
              <w:t>repare annual report and training</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2B28C6BB" w14:textId="2A67F8E6">
            <w:pPr>
              <w:jc w:val="center"/>
              <w:rPr>
                <w:color w:val="000000"/>
              </w:rPr>
            </w:pPr>
            <w:r>
              <w:rPr>
                <w:color w:val="000000"/>
              </w:rPr>
              <w:t>2</w:t>
            </w:r>
            <w:r w:rsidR="008C0E1A">
              <w:rPr>
                <w:color w:val="000000"/>
              </w:rPr>
              <w:t>,</w:t>
            </w:r>
            <w:r>
              <w:rPr>
                <w:color w:val="000000"/>
              </w:rPr>
              <w:t>8</w:t>
            </w:r>
            <w:r w:rsidR="00676FD5">
              <w:rPr>
                <w:color w:val="000000"/>
              </w:rPr>
              <w:t>69</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C4279" w:rsidRPr="007D20CC" w:rsidP="007D20CC" w14:paraId="565CABC1" w14:textId="77777777">
            <w:pPr>
              <w:jc w:val="center"/>
              <w:rPr>
                <w:color w:val="000000"/>
              </w:rPr>
            </w:pPr>
            <w:r w:rsidRPr="007D20CC">
              <w:rPr>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3C35F151" w14:textId="77777777">
            <w:pPr>
              <w:jc w:val="center"/>
              <w:rPr>
                <w:color w:val="000000"/>
              </w:rPr>
            </w:pPr>
            <w:r>
              <w:rPr>
                <w:color w:val="000000"/>
              </w:rPr>
              <w:t>16</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4C4279" w:rsidP="007D20CC" w14:paraId="7C7780F8" w14:textId="71C46412">
            <w:pPr>
              <w:jc w:val="center"/>
              <w:rPr>
                <w:color w:val="000000"/>
              </w:rPr>
            </w:pPr>
            <w:r>
              <w:rPr>
                <w:color w:val="000000"/>
              </w:rPr>
              <w:t>4</w:t>
            </w:r>
            <w:r w:rsidR="00F52AD2">
              <w:rPr>
                <w:color w:val="000000"/>
              </w:rPr>
              <w:t>5,904</w:t>
            </w:r>
          </w:p>
        </w:tc>
      </w:tr>
      <w:tr w14:paraId="2E9E4455" w14:textId="77777777" w:rsidTr="00090C0E">
        <w:tblPrEx>
          <w:tblW w:w="10620" w:type="dxa"/>
          <w:tblInd w:w="-540" w:type="dxa"/>
          <w:tblLayout w:type="fixed"/>
          <w:tblLook w:val="04A0"/>
        </w:tblPrEx>
        <w:trPr>
          <w:trHeight w:val="66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4C4279" w:rsidRPr="007D20CC" w:rsidP="007D20CC" w14:paraId="636505F8" w14:textId="77777777">
            <w:pPr>
              <w:rPr>
                <w:color w:val="000000"/>
              </w:rPr>
            </w:pPr>
            <w:r w:rsidRPr="007D20CC">
              <w:rPr>
                <w:color w:val="000000"/>
              </w:rPr>
              <w:t>Card Issuers</w:t>
            </w:r>
            <w:r w:rsidR="001C079C">
              <w:rPr>
                <w:color w:val="000000"/>
              </w:rPr>
              <w:t>’</w:t>
            </w:r>
            <w:r w:rsidRPr="007D20CC">
              <w:rPr>
                <w:color w:val="000000"/>
              </w:rPr>
              <w:t xml:space="preserve"> Duties Regarding Changes of Address</w:t>
            </w:r>
            <w:r w:rsidR="003A186B">
              <w:rPr>
                <w:color w:val="000000"/>
              </w:rPr>
              <w:t xml:space="preserve"> (717.91)</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C4279" w:rsidRPr="007D20CC" w:rsidP="007D20CC" w14:paraId="35A2F587" w14:textId="3171D40C">
            <w:pPr>
              <w:jc w:val="center"/>
              <w:rPr>
                <w:color w:val="000000"/>
              </w:rPr>
            </w:pPr>
            <w:r>
              <w:rPr>
                <w:color w:val="000000"/>
              </w:rPr>
              <w:t>1,</w:t>
            </w:r>
            <w:r w:rsidR="001417A5">
              <w:rPr>
                <w:color w:val="000000"/>
              </w:rPr>
              <w:t>7</w:t>
            </w:r>
            <w:r w:rsidR="0076201B">
              <w:rPr>
                <w:color w:val="000000"/>
              </w:rPr>
              <w:t>63</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C4279" w:rsidRPr="007D20CC" w:rsidP="007D20CC" w14:paraId="47B20E3D" w14:textId="77777777">
            <w:pPr>
              <w:jc w:val="center"/>
              <w:rPr>
                <w:color w:val="000000"/>
              </w:rPr>
            </w:pPr>
            <w:r w:rsidRPr="007D20CC">
              <w:rPr>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4C4279" w:rsidRPr="007D20CC" w:rsidP="007D20CC" w14:paraId="14D91DF8" w14:textId="77777777">
            <w:pPr>
              <w:jc w:val="center"/>
              <w:rPr>
                <w:color w:val="000000"/>
              </w:rPr>
            </w:pPr>
            <w:r>
              <w:rPr>
                <w:color w:val="000000"/>
              </w:rPr>
              <w:t>4</w:t>
            </w:r>
          </w:p>
        </w:tc>
        <w:tc>
          <w:tcPr>
            <w:tcW w:w="1260" w:type="dxa"/>
            <w:tcBorders>
              <w:top w:val="nil"/>
              <w:left w:val="nil"/>
              <w:bottom w:val="single" w:sz="4" w:space="0" w:color="auto"/>
              <w:right w:val="single" w:sz="4" w:space="0" w:color="auto"/>
            </w:tcBorders>
            <w:shd w:val="clear" w:color="auto" w:fill="auto"/>
            <w:noWrap/>
            <w:vAlign w:val="center"/>
            <w:hideMark/>
          </w:tcPr>
          <w:p w:rsidR="004C4279" w:rsidRPr="004C4279" w:rsidP="007D20CC" w14:paraId="685F6478" w14:textId="76E0ABD8">
            <w:pPr>
              <w:jc w:val="center"/>
              <w:rPr>
                <w:color w:val="000000"/>
              </w:rPr>
            </w:pPr>
            <w:r>
              <w:rPr>
                <w:color w:val="000000"/>
              </w:rPr>
              <w:t>7,</w:t>
            </w:r>
            <w:r w:rsidR="00C26054">
              <w:rPr>
                <w:color w:val="000000"/>
              </w:rPr>
              <w:t>0</w:t>
            </w:r>
            <w:r w:rsidR="00F52AD2">
              <w:rPr>
                <w:color w:val="000000"/>
              </w:rPr>
              <w:t>52</w:t>
            </w:r>
          </w:p>
        </w:tc>
      </w:tr>
      <w:tr w14:paraId="3DFA2594" w14:textId="77777777" w:rsidTr="00090C0E">
        <w:tblPrEx>
          <w:tblW w:w="10620" w:type="dxa"/>
          <w:tblInd w:w="-540" w:type="dxa"/>
          <w:tblLayout w:type="fixed"/>
          <w:tblLook w:val="04A0"/>
        </w:tblPrEx>
        <w:trPr>
          <w:trHeight w:val="377"/>
        </w:trPr>
        <w:tc>
          <w:tcPr>
            <w:tcW w:w="5490" w:type="dxa"/>
            <w:tcBorders>
              <w:top w:val="nil"/>
              <w:left w:val="single" w:sz="4" w:space="0" w:color="auto"/>
              <w:bottom w:val="single" w:sz="4" w:space="0" w:color="auto"/>
              <w:right w:val="single" w:sz="4" w:space="0" w:color="auto"/>
            </w:tcBorders>
            <w:shd w:val="clear" w:color="auto" w:fill="auto"/>
            <w:vAlign w:val="center"/>
          </w:tcPr>
          <w:p w:rsidR="006B425E" w:rsidRPr="004C4279" w:rsidP="007D20CC" w14:paraId="08B04A92" w14:textId="77777777">
            <w:pPr>
              <w:jc w:val="right"/>
              <w:rPr>
                <w:b/>
                <w:bCs/>
                <w:color w:val="000000"/>
              </w:rPr>
            </w:pPr>
            <w:r>
              <w:rPr>
                <w:b/>
                <w:bCs/>
                <w:color w:val="000000"/>
              </w:rPr>
              <w:t>T</w:t>
            </w:r>
            <w:r w:rsidRPr="004C4279">
              <w:rPr>
                <w:b/>
                <w:bCs/>
                <w:color w:val="000000"/>
              </w:rPr>
              <w:t>otal</w:t>
            </w:r>
          </w:p>
        </w:tc>
        <w:tc>
          <w:tcPr>
            <w:tcW w:w="1260" w:type="dxa"/>
            <w:tcBorders>
              <w:top w:val="nil"/>
              <w:left w:val="nil"/>
              <w:bottom w:val="single" w:sz="4" w:space="0" w:color="auto"/>
              <w:right w:val="single" w:sz="4" w:space="0" w:color="auto"/>
            </w:tcBorders>
            <w:shd w:val="clear" w:color="auto" w:fill="auto"/>
            <w:noWrap/>
            <w:vAlign w:val="bottom"/>
          </w:tcPr>
          <w:p w:rsidR="006B425E" w:rsidRPr="004C4279" w:rsidP="007D20CC" w14:paraId="6E2986C6" w14:textId="77777777">
            <w:pPr>
              <w:rPr>
                <w:color w:val="000000"/>
              </w:rPr>
            </w:pPr>
          </w:p>
        </w:tc>
        <w:tc>
          <w:tcPr>
            <w:tcW w:w="1260" w:type="dxa"/>
            <w:gridSpan w:val="2"/>
            <w:tcBorders>
              <w:top w:val="nil"/>
              <w:left w:val="nil"/>
              <w:bottom w:val="single" w:sz="4" w:space="0" w:color="auto"/>
              <w:right w:val="single" w:sz="4" w:space="0" w:color="auto"/>
            </w:tcBorders>
            <w:shd w:val="clear" w:color="auto" w:fill="auto"/>
            <w:noWrap/>
            <w:vAlign w:val="bottom"/>
          </w:tcPr>
          <w:p w:rsidR="006B425E" w:rsidRPr="004C4279" w:rsidP="007D20CC" w14:paraId="4A243B90" w14:textId="77777777">
            <w:pPr>
              <w:rPr>
                <w:color w:val="000000"/>
              </w:rPr>
            </w:pPr>
          </w:p>
        </w:tc>
        <w:tc>
          <w:tcPr>
            <w:tcW w:w="1350" w:type="dxa"/>
            <w:tcBorders>
              <w:top w:val="nil"/>
              <w:left w:val="nil"/>
              <w:bottom w:val="single" w:sz="4" w:space="0" w:color="auto"/>
              <w:right w:val="single" w:sz="4" w:space="0" w:color="auto"/>
            </w:tcBorders>
            <w:shd w:val="clear" w:color="auto" w:fill="auto"/>
            <w:noWrap/>
            <w:vAlign w:val="center"/>
          </w:tcPr>
          <w:p w:rsidR="006B425E" w:rsidRPr="004C4279" w:rsidP="005D3062" w14:paraId="6B0DD0DC" w14:textId="77777777">
            <w:pPr>
              <w:jc w:val="center"/>
              <w:rPr>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6B425E" w:rsidP="004C4279" w14:paraId="0C12880E" w14:textId="5DEE7FB2">
            <w:pPr>
              <w:jc w:val="center"/>
              <w:rPr>
                <w:b/>
                <w:bCs/>
                <w:color w:val="000000"/>
              </w:rPr>
            </w:pPr>
            <w:r w:rsidRPr="00454F7B">
              <w:rPr>
                <w:b/>
                <w:bCs/>
                <w:color w:val="000000"/>
              </w:rPr>
              <w:t>2</w:t>
            </w:r>
            <w:r w:rsidRPr="00454F7B" w:rsidR="00FE395A">
              <w:rPr>
                <w:b/>
                <w:bCs/>
                <w:color w:val="000000"/>
              </w:rPr>
              <w:t>27,2</w:t>
            </w:r>
            <w:r w:rsidRPr="00454F7B" w:rsidR="00454F7B">
              <w:rPr>
                <w:b/>
                <w:bCs/>
                <w:color w:val="000000"/>
              </w:rPr>
              <w:t>96</w:t>
            </w:r>
          </w:p>
        </w:tc>
      </w:tr>
      <w:tr w14:paraId="043219DD" w14:textId="77777777" w:rsidTr="004402CA">
        <w:tblPrEx>
          <w:tblW w:w="10620" w:type="dxa"/>
          <w:tblInd w:w="-540" w:type="dxa"/>
          <w:tblLayout w:type="fixed"/>
          <w:tblLook w:val="04A0"/>
        </w:tblPrEx>
        <w:trPr>
          <w:trHeight w:val="377"/>
        </w:trPr>
        <w:tc>
          <w:tcPr>
            <w:tcW w:w="5490" w:type="dxa"/>
            <w:tcBorders>
              <w:top w:val="nil"/>
              <w:bottom w:val="single" w:sz="4" w:space="0" w:color="auto"/>
              <w:right w:val="single" w:sz="4" w:space="0" w:color="auto"/>
            </w:tcBorders>
            <w:shd w:val="clear" w:color="auto" w:fill="auto"/>
            <w:vAlign w:val="center"/>
          </w:tcPr>
          <w:p w:rsidR="009A2F0A" w:rsidRPr="004C4279" w:rsidP="007D20CC" w14:paraId="408063DA" w14:textId="77777777">
            <w:pPr>
              <w:jc w:val="right"/>
              <w:rPr>
                <w:b/>
                <w:bCs/>
                <w:color w:val="000000"/>
              </w:rPr>
            </w:pPr>
          </w:p>
        </w:tc>
        <w:tc>
          <w:tcPr>
            <w:tcW w:w="5130" w:type="dxa"/>
            <w:gridSpan w:val="5"/>
            <w:tcBorders>
              <w:top w:val="nil"/>
              <w:left w:val="nil"/>
              <w:bottom w:val="single" w:sz="4" w:space="0" w:color="auto"/>
              <w:right w:val="single" w:sz="4" w:space="0" w:color="auto"/>
            </w:tcBorders>
            <w:shd w:val="clear" w:color="auto" w:fill="auto"/>
            <w:noWrap/>
            <w:vAlign w:val="center"/>
          </w:tcPr>
          <w:p w:rsidR="009A2F0A" w:rsidRPr="009A2F0A" w:rsidP="009A2F0A" w14:paraId="188367CE" w14:textId="77777777">
            <w:pPr>
              <w:jc w:val="center"/>
              <w:rPr>
                <w:bCs/>
                <w:color w:val="000000"/>
              </w:rPr>
            </w:pPr>
            <w:r w:rsidRPr="009A2F0A">
              <w:rPr>
                <w:bCs/>
                <w:color w:val="000000"/>
              </w:rPr>
              <w:t>Consumer Burden</w:t>
            </w:r>
          </w:p>
        </w:tc>
      </w:tr>
      <w:tr w14:paraId="3AF7BFE8" w14:textId="77777777" w:rsidTr="00E520AE">
        <w:tblPrEx>
          <w:tblW w:w="10620" w:type="dxa"/>
          <w:tblInd w:w="-540" w:type="dxa"/>
          <w:tblLayout w:type="fixed"/>
          <w:tblLook w:val="04A0"/>
        </w:tblPrEx>
        <w:trPr>
          <w:trHeight w:val="377"/>
        </w:trPr>
        <w:tc>
          <w:tcPr>
            <w:tcW w:w="5490" w:type="dxa"/>
            <w:tcBorders>
              <w:top w:val="nil"/>
              <w:left w:val="single" w:sz="4" w:space="0" w:color="auto"/>
              <w:bottom w:val="single" w:sz="4" w:space="0" w:color="auto"/>
              <w:right w:val="single" w:sz="4" w:space="0" w:color="auto"/>
            </w:tcBorders>
            <w:shd w:val="clear" w:color="auto" w:fill="auto"/>
            <w:vAlign w:val="center"/>
          </w:tcPr>
          <w:p w:rsidR="009706F8" w:rsidRPr="006B425E" w:rsidP="007D3C35" w14:paraId="1116E677" w14:textId="77777777">
            <w:pPr>
              <w:rPr>
                <w:bCs/>
                <w:color w:val="000000"/>
              </w:rPr>
            </w:pPr>
            <w:r w:rsidRPr="007D20CC">
              <w:rPr>
                <w:color w:val="000000"/>
              </w:rPr>
              <w:t>Prescreened Consumer Reports Opt-Out Notice</w:t>
            </w:r>
          </w:p>
        </w:tc>
        <w:tc>
          <w:tcPr>
            <w:tcW w:w="1350" w:type="dxa"/>
            <w:gridSpan w:val="2"/>
            <w:tcBorders>
              <w:top w:val="nil"/>
              <w:left w:val="nil"/>
              <w:bottom w:val="single" w:sz="4" w:space="0" w:color="auto"/>
              <w:right w:val="single" w:sz="4" w:space="0" w:color="auto"/>
            </w:tcBorders>
            <w:shd w:val="clear" w:color="auto" w:fill="auto"/>
            <w:noWrap/>
            <w:vAlign w:val="center"/>
          </w:tcPr>
          <w:p w:rsidR="009706F8" w:rsidRPr="00976CBE" w:rsidP="009706F8" w14:paraId="36941908" w14:textId="52E16E68">
            <w:pPr>
              <w:jc w:val="center"/>
              <w:rPr>
                <w:color w:val="000000"/>
              </w:rPr>
            </w:pPr>
            <w:r>
              <w:rPr>
                <w:color w:val="000000"/>
              </w:rPr>
              <w:t>138</w:t>
            </w:r>
            <w:r w:rsidR="00A95383">
              <w:rPr>
                <w:color w:val="000000"/>
              </w:rPr>
              <w:t>,</w:t>
            </w:r>
            <w:r>
              <w:rPr>
                <w:color w:val="000000"/>
              </w:rPr>
              <w:t>469</w:t>
            </w:r>
          </w:p>
        </w:tc>
        <w:tc>
          <w:tcPr>
            <w:tcW w:w="1170" w:type="dxa"/>
            <w:tcBorders>
              <w:top w:val="nil"/>
              <w:left w:val="nil"/>
              <w:bottom w:val="single" w:sz="4" w:space="0" w:color="auto"/>
              <w:right w:val="single" w:sz="4" w:space="0" w:color="auto"/>
            </w:tcBorders>
            <w:shd w:val="clear" w:color="auto" w:fill="auto"/>
            <w:noWrap/>
            <w:vAlign w:val="center"/>
          </w:tcPr>
          <w:p w:rsidR="009706F8" w:rsidRPr="00976CBE" w:rsidP="009706F8" w14:paraId="6A910B6A" w14:textId="77777777">
            <w:pPr>
              <w:jc w:val="center"/>
              <w:rPr>
                <w:color w:val="000000"/>
              </w:rPr>
            </w:pPr>
            <w:r w:rsidRPr="00976CBE">
              <w:rPr>
                <w:color w:val="000000"/>
              </w:rPr>
              <w:t>1</w:t>
            </w:r>
          </w:p>
        </w:tc>
        <w:tc>
          <w:tcPr>
            <w:tcW w:w="1350" w:type="dxa"/>
            <w:tcBorders>
              <w:top w:val="nil"/>
              <w:left w:val="nil"/>
              <w:bottom w:val="single" w:sz="4" w:space="0" w:color="auto"/>
              <w:right w:val="single" w:sz="4" w:space="0" w:color="auto"/>
            </w:tcBorders>
            <w:shd w:val="clear" w:color="auto" w:fill="auto"/>
            <w:noWrap/>
            <w:vAlign w:val="center"/>
          </w:tcPr>
          <w:p w:rsidR="009706F8" w:rsidRPr="00976CBE" w:rsidP="009706F8" w14:paraId="596FD499" w14:textId="77777777">
            <w:pPr>
              <w:jc w:val="center"/>
              <w:rPr>
                <w:color w:val="000000"/>
              </w:rPr>
            </w:pPr>
            <w:r w:rsidRPr="00976CBE">
              <w:rPr>
                <w:color w:val="000000"/>
              </w:rPr>
              <w:t>5 minutes</w:t>
            </w:r>
          </w:p>
        </w:tc>
        <w:tc>
          <w:tcPr>
            <w:tcW w:w="1260" w:type="dxa"/>
            <w:tcBorders>
              <w:top w:val="nil"/>
              <w:left w:val="nil"/>
              <w:bottom w:val="single" w:sz="4" w:space="0" w:color="auto"/>
              <w:right w:val="single" w:sz="4" w:space="0" w:color="auto"/>
            </w:tcBorders>
            <w:shd w:val="clear" w:color="auto" w:fill="auto"/>
            <w:noWrap/>
            <w:vAlign w:val="center"/>
          </w:tcPr>
          <w:p w:rsidR="009706F8" w:rsidRPr="00976CBE" w:rsidP="009706F8" w14:paraId="323BCB6C" w14:textId="7100AE34">
            <w:pPr>
              <w:jc w:val="center"/>
              <w:rPr>
                <w:bCs/>
                <w:color w:val="000000"/>
              </w:rPr>
            </w:pPr>
            <w:r>
              <w:rPr>
                <w:bCs/>
                <w:color w:val="000000"/>
              </w:rPr>
              <w:t>11,</w:t>
            </w:r>
            <w:r w:rsidR="00E22801">
              <w:rPr>
                <w:bCs/>
                <w:color w:val="000000"/>
              </w:rPr>
              <w:t>49</w:t>
            </w:r>
            <w:r w:rsidR="00543297">
              <w:rPr>
                <w:bCs/>
                <w:color w:val="000000"/>
              </w:rPr>
              <w:t>3</w:t>
            </w:r>
          </w:p>
        </w:tc>
      </w:tr>
      <w:tr w14:paraId="6EA3F114" w14:textId="77777777" w:rsidTr="00E520AE">
        <w:tblPrEx>
          <w:tblW w:w="10620" w:type="dxa"/>
          <w:tblInd w:w="-540" w:type="dxa"/>
          <w:tblLayout w:type="fixed"/>
          <w:tblLook w:val="04A0"/>
        </w:tblPrEx>
        <w:trPr>
          <w:trHeight w:val="377"/>
        </w:trPr>
        <w:tc>
          <w:tcPr>
            <w:tcW w:w="5490" w:type="dxa"/>
            <w:tcBorders>
              <w:top w:val="nil"/>
              <w:left w:val="single" w:sz="4" w:space="0" w:color="auto"/>
              <w:bottom w:val="single" w:sz="4" w:space="0" w:color="auto"/>
              <w:right w:val="single" w:sz="4" w:space="0" w:color="auto"/>
            </w:tcBorders>
            <w:shd w:val="clear" w:color="auto" w:fill="auto"/>
            <w:vAlign w:val="center"/>
          </w:tcPr>
          <w:p w:rsidR="00A712B0" w:rsidRPr="007D20CC" w:rsidP="00A712B0" w14:paraId="4D8A00AC" w14:textId="77777777">
            <w:pPr>
              <w:rPr>
                <w:color w:val="000000"/>
              </w:rPr>
            </w:pPr>
            <w:r w:rsidRPr="007D20CC">
              <w:rPr>
                <w:color w:val="000000"/>
              </w:rPr>
              <w:t>Affiliate Marketing Opt-Out Notice</w:t>
            </w:r>
          </w:p>
        </w:tc>
        <w:tc>
          <w:tcPr>
            <w:tcW w:w="1350" w:type="dxa"/>
            <w:gridSpan w:val="2"/>
            <w:tcBorders>
              <w:top w:val="nil"/>
              <w:left w:val="nil"/>
              <w:bottom w:val="single" w:sz="4" w:space="0" w:color="auto"/>
              <w:right w:val="single" w:sz="4" w:space="0" w:color="auto"/>
            </w:tcBorders>
            <w:shd w:val="clear" w:color="auto" w:fill="auto"/>
            <w:noWrap/>
            <w:vAlign w:val="center"/>
          </w:tcPr>
          <w:p w:rsidR="00A712B0" w:rsidRPr="00A13CE9" w:rsidP="00A712B0" w14:paraId="424894B6" w14:textId="1600CFDA">
            <w:pPr>
              <w:jc w:val="center"/>
              <w:rPr>
                <w:color w:val="000000"/>
              </w:rPr>
            </w:pPr>
            <w:r w:rsidRPr="00090C0E">
              <w:rPr>
                <w:color w:val="000000"/>
              </w:rPr>
              <w:t>96</w:t>
            </w:r>
            <w:r w:rsidRPr="00090C0E" w:rsidR="007325B0">
              <w:rPr>
                <w:color w:val="000000"/>
              </w:rPr>
              <w:t>,880</w:t>
            </w:r>
            <w:r w:rsidRPr="00A13CE9" w:rsidR="00CA72FA">
              <w:rPr>
                <w:color w:val="000000"/>
              </w:rPr>
              <w:t xml:space="preserve"> </w:t>
            </w:r>
          </w:p>
        </w:tc>
        <w:tc>
          <w:tcPr>
            <w:tcW w:w="1170" w:type="dxa"/>
            <w:tcBorders>
              <w:top w:val="nil"/>
              <w:left w:val="nil"/>
              <w:bottom w:val="single" w:sz="4" w:space="0" w:color="auto"/>
              <w:right w:val="single" w:sz="4" w:space="0" w:color="auto"/>
            </w:tcBorders>
            <w:shd w:val="clear" w:color="auto" w:fill="auto"/>
            <w:noWrap/>
            <w:vAlign w:val="center"/>
          </w:tcPr>
          <w:p w:rsidR="00A712B0" w:rsidRPr="00A13CE9" w:rsidP="00A712B0" w14:paraId="757DD5DE" w14:textId="77777777">
            <w:pPr>
              <w:jc w:val="center"/>
              <w:rPr>
                <w:color w:val="000000"/>
              </w:rPr>
            </w:pPr>
            <w:r w:rsidRPr="00A13CE9">
              <w:rPr>
                <w:color w:val="000000"/>
              </w:rPr>
              <w:t>1</w:t>
            </w:r>
          </w:p>
        </w:tc>
        <w:tc>
          <w:tcPr>
            <w:tcW w:w="1350" w:type="dxa"/>
            <w:tcBorders>
              <w:top w:val="nil"/>
              <w:left w:val="nil"/>
              <w:bottom w:val="single" w:sz="4" w:space="0" w:color="auto"/>
              <w:right w:val="single" w:sz="4" w:space="0" w:color="auto"/>
            </w:tcBorders>
            <w:shd w:val="clear" w:color="auto" w:fill="auto"/>
            <w:noWrap/>
            <w:vAlign w:val="center"/>
          </w:tcPr>
          <w:p w:rsidR="00A712B0" w:rsidRPr="00A13CE9" w:rsidP="00A712B0" w14:paraId="778297FC" w14:textId="77777777">
            <w:pPr>
              <w:jc w:val="center"/>
              <w:rPr>
                <w:color w:val="000000"/>
              </w:rPr>
            </w:pPr>
            <w:r w:rsidRPr="00A13CE9">
              <w:rPr>
                <w:color w:val="000000"/>
              </w:rPr>
              <w:t>5 minutes</w:t>
            </w:r>
          </w:p>
        </w:tc>
        <w:tc>
          <w:tcPr>
            <w:tcW w:w="1260" w:type="dxa"/>
            <w:tcBorders>
              <w:top w:val="nil"/>
              <w:left w:val="nil"/>
              <w:bottom w:val="single" w:sz="4" w:space="0" w:color="auto"/>
              <w:right w:val="single" w:sz="4" w:space="0" w:color="auto"/>
            </w:tcBorders>
            <w:shd w:val="clear" w:color="auto" w:fill="auto"/>
            <w:noWrap/>
            <w:vAlign w:val="center"/>
          </w:tcPr>
          <w:p w:rsidR="00A712B0" w:rsidRPr="00A13CE9" w:rsidP="00A712B0" w14:paraId="680DA5F1" w14:textId="3832A933">
            <w:pPr>
              <w:jc w:val="center"/>
              <w:rPr>
                <w:bCs/>
                <w:color w:val="000000"/>
              </w:rPr>
            </w:pPr>
            <w:r w:rsidRPr="00090C0E">
              <w:rPr>
                <w:bCs/>
                <w:color w:val="000000"/>
              </w:rPr>
              <w:t>8</w:t>
            </w:r>
            <w:r w:rsidRPr="00090C0E" w:rsidR="00966023">
              <w:rPr>
                <w:bCs/>
                <w:color w:val="000000"/>
              </w:rPr>
              <w:t>,</w:t>
            </w:r>
            <w:r w:rsidRPr="00090C0E">
              <w:rPr>
                <w:bCs/>
                <w:color w:val="000000"/>
              </w:rPr>
              <w:t>041</w:t>
            </w:r>
          </w:p>
        </w:tc>
      </w:tr>
      <w:tr w14:paraId="6542BAAA" w14:textId="77777777" w:rsidTr="00E520AE">
        <w:tblPrEx>
          <w:tblW w:w="10620" w:type="dxa"/>
          <w:tblInd w:w="-540" w:type="dxa"/>
          <w:tblLayout w:type="fixed"/>
          <w:tblLook w:val="04A0"/>
        </w:tblPrEx>
        <w:trPr>
          <w:trHeight w:val="377"/>
        </w:trPr>
        <w:tc>
          <w:tcPr>
            <w:tcW w:w="5490" w:type="dxa"/>
            <w:tcBorders>
              <w:top w:val="nil"/>
              <w:left w:val="single" w:sz="4" w:space="0" w:color="auto"/>
              <w:bottom w:val="single" w:sz="4" w:space="0" w:color="auto"/>
              <w:right w:val="single" w:sz="4" w:space="0" w:color="auto"/>
            </w:tcBorders>
            <w:shd w:val="clear" w:color="auto" w:fill="auto"/>
            <w:vAlign w:val="center"/>
          </w:tcPr>
          <w:p w:rsidR="00A712B0" w:rsidRPr="006B425E" w:rsidP="004C05C3" w14:paraId="22648700" w14:textId="77777777">
            <w:pPr>
              <w:jc w:val="right"/>
              <w:rPr>
                <w:bCs/>
                <w:color w:val="000000"/>
              </w:rPr>
            </w:pPr>
            <w:r>
              <w:rPr>
                <w:b/>
                <w:bCs/>
                <w:color w:val="000000"/>
              </w:rPr>
              <w:t>T</w:t>
            </w:r>
            <w:r w:rsidRPr="004C4279">
              <w:rPr>
                <w:b/>
                <w:bCs/>
                <w:color w:val="000000"/>
              </w:rPr>
              <w:t>otal</w:t>
            </w:r>
          </w:p>
        </w:tc>
        <w:tc>
          <w:tcPr>
            <w:tcW w:w="1350" w:type="dxa"/>
            <w:gridSpan w:val="2"/>
            <w:tcBorders>
              <w:top w:val="nil"/>
              <w:left w:val="nil"/>
              <w:bottom w:val="single" w:sz="4" w:space="0" w:color="auto"/>
              <w:right w:val="single" w:sz="4" w:space="0" w:color="auto"/>
            </w:tcBorders>
            <w:shd w:val="clear" w:color="auto" w:fill="auto"/>
            <w:noWrap/>
            <w:vAlign w:val="center"/>
          </w:tcPr>
          <w:p w:rsidR="00A712B0" w:rsidRPr="00A13CE9" w:rsidP="00A712B0" w14:paraId="059BD2DC" w14:textId="77777777">
            <w:pPr>
              <w:jc w:val="center"/>
              <w:rPr>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A712B0" w:rsidRPr="00A13CE9" w:rsidP="00A712B0" w14:paraId="45F4FCD1" w14:textId="77777777">
            <w:pPr>
              <w:jc w:val="center"/>
              <w:rPr>
                <w:color w:val="000000"/>
              </w:rPr>
            </w:pPr>
          </w:p>
        </w:tc>
        <w:tc>
          <w:tcPr>
            <w:tcW w:w="1350" w:type="dxa"/>
            <w:tcBorders>
              <w:top w:val="nil"/>
              <w:left w:val="nil"/>
              <w:bottom w:val="single" w:sz="4" w:space="0" w:color="auto"/>
              <w:right w:val="single" w:sz="4" w:space="0" w:color="auto"/>
            </w:tcBorders>
            <w:shd w:val="clear" w:color="auto" w:fill="auto"/>
            <w:noWrap/>
            <w:vAlign w:val="center"/>
          </w:tcPr>
          <w:p w:rsidR="00A712B0" w:rsidRPr="00A13CE9" w:rsidP="00A712B0" w14:paraId="6293AEEC" w14:textId="77777777">
            <w:pPr>
              <w:jc w:val="center"/>
              <w:rPr>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A712B0" w:rsidRPr="00A13CE9" w:rsidP="00A712B0" w14:paraId="56AA7B22" w14:textId="0F9A1744">
            <w:pPr>
              <w:jc w:val="center"/>
              <w:rPr>
                <w:b/>
                <w:bCs/>
                <w:color w:val="000000"/>
              </w:rPr>
            </w:pPr>
            <w:r w:rsidRPr="00A13CE9">
              <w:rPr>
                <w:b/>
                <w:bCs/>
                <w:color w:val="000000"/>
              </w:rPr>
              <w:t>19</w:t>
            </w:r>
            <w:r w:rsidRPr="00A13CE9" w:rsidR="008E6216">
              <w:rPr>
                <w:b/>
                <w:bCs/>
                <w:color w:val="000000"/>
              </w:rPr>
              <w:t>,</w:t>
            </w:r>
            <w:r w:rsidRPr="00A13CE9">
              <w:rPr>
                <w:b/>
                <w:bCs/>
                <w:color w:val="000000"/>
              </w:rPr>
              <w:t>53</w:t>
            </w:r>
            <w:r w:rsidR="00543297">
              <w:rPr>
                <w:b/>
                <w:bCs/>
                <w:color w:val="000000"/>
              </w:rPr>
              <w:t>4</w:t>
            </w:r>
          </w:p>
        </w:tc>
      </w:tr>
    </w:tbl>
    <w:p w:rsidR="003875E9" w:rsidP="007D20CC" w14:paraId="4BFFFA80" w14:textId="77777777">
      <w:pPr>
        <w:tabs>
          <w:tab w:val="left" w:pos="-1080"/>
          <w:tab w:val="left" w:pos="-720"/>
          <w:tab w:val="left" w:pos="0"/>
          <w:tab w:val="left" w:pos="450"/>
          <w:tab w:val="left" w:pos="720"/>
          <w:tab w:val="left" w:pos="2160"/>
        </w:tabs>
      </w:pPr>
    </w:p>
    <w:p w:rsidR="004402CA" w14:paraId="3639EC2C" w14:textId="77777777">
      <w:pPr>
        <w:spacing w:after="160" w:line="259" w:lineRule="auto"/>
      </w:pPr>
      <w:r>
        <w:br w:type="page"/>
      </w:r>
    </w:p>
    <w:p w:rsidR="003875E9" w:rsidP="004402CA" w14:paraId="67262E7F" w14:textId="3F87058D">
      <w:r>
        <w:t xml:space="preserve">The annual cost for the </w:t>
      </w:r>
      <w:r w:rsidR="001E2A29">
        <w:t>2</w:t>
      </w:r>
      <w:r w:rsidR="00223FB9">
        <w:t>,</w:t>
      </w:r>
      <w:r w:rsidR="001E2A29">
        <w:t>8</w:t>
      </w:r>
      <w:r w:rsidR="00223FB9">
        <w:t>69</w:t>
      </w:r>
      <w:r w:rsidR="00B24AA4">
        <w:t xml:space="preserve"> federal cre</w:t>
      </w:r>
      <w:r w:rsidR="00ED6592">
        <w:t>dit union</w:t>
      </w:r>
      <w:r w:rsidR="008E681E">
        <w:t xml:space="preserve"> </w:t>
      </w:r>
      <w:r>
        <w:t>responden</w:t>
      </w:r>
      <w:r w:rsidR="006850FE">
        <w:t xml:space="preserve">ts is estimated to be </w:t>
      </w:r>
      <w:r w:rsidRPr="00A13CE9" w:rsidR="006850FE">
        <w:t>$</w:t>
      </w:r>
      <w:r w:rsidRPr="00090C0E" w:rsidR="00502F80">
        <w:t>7</w:t>
      </w:r>
      <w:r w:rsidRPr="00A13CE9" w:rsidR="00E76508">
        <w:t>,</w:t>
      </w:r>
      <w:r w:rsidRPr="00090C0E" w:rsidR="00502F80">
        <w:t>95</w:t>
      </w:r>
      <w:r w:rsidR="003C60CE">
        <w:t>5</w:t>
      </w:r>
      <w:r w:rsidRPr="00A13CE9" w:rsidR="00E76508">
        <w:t>,</w:t>
      </w:r>
      <w:r w:rsidRPr="00A13CE9" w:rsidR="00502F80">
        <w:t>36</w:t>
      </w:r>
      <w:r w:rsidR="003C60CE">
        <w:t>0</w:t>
      </w:r>
      <w:r w:rsidRPr="00A13CE9" w:rsidR="00502F80">
        <w:t xml:space="preserve"> </w:t>
      </w:r>
      <w:r w:rsidRPr="00A13CE9">
        <w:t>(at $</w:t>
      </w:r>
      <w:r w:rsidRPr="00A13CE9" w:rsidR="00096460">
        <w:t>35</w:t>
      </w:r>
      <w:r w:rsidRPr="00A13CE9">
        <w:t xml:space="preserve"> hourly cost)</w:t>
      </w:r>
      <w:r w:rsidRPr="00A13CE9" w:rsidR="009C14BB">
        <w:t xml:space="preserve"> and is shown in the table below</w:t>
      </w:r>
      <w:r w:rsidRPr="00A13CE9" w:rsidR="006934CF">
        <w:t>; t</w:t>
      </w:r>
      <w:r w:rsidRPr="00A13CE9" w:rsidR="00B24AA4">
        <w:t>he annual</w:t>
      </w:r>
      <w:r w:rsidRPr="00A13CE9" w:rsidR="008E681E">
        <w:t xml:space="preserve"> cost for consumers is estimated to be $</w:t>
      </w:r>
      <w:r w:rsidRPr="00090C0E" w:rsidR="00D56BEC">
        <w:t>716,</w:t>
      </w:r>
      <w:r w:rsidRPr="00090C0E" w:rsidR="00A13CE9">
        <w:t>8</w:t>
      </w:r>
      <w:r w:rsidR="00E224D8">
        <w:t>98</w:t>
      </w:r>
      <w:r w:rsidRPr="00CE3273" w:rsidR="00A13CE9">
        <w:t xml:space="preserve"> </w:t>
      </w:r>
      <w:r w:rsidRPr="00CE3273" w:rsidR="008E681E">
        <w:t>(at $</w:t>
      </w:r>
      <w:r w:rsidR="00CE3273">
        <w:t>36.70</w:t>
      </w:r>
      <w:r w:rsidRPr="00CE3273" w:rsidR="008E681E">
        <w:t xml:space="preserve"> hourly cost)</w:t>
      </w:r>
      <w:r w:rsidRPr="00CE3273">
        <w:t xml:space="preserve"> and is </w:t>
      </w:r>
      <w:r w:rsidRPr="00CE3273" w:rsidR="009C14BB">
        <w:t xml:space="preserve">also </w:t>
      </w:r>
      <w:r w:rsidRPr="00CE3273">
        <w:t>shown in the table below.</w:t>
      </w:r>
      <w:r w:rsidRPr="00CE3273" w:rsidR="009E5CC6">
        <w:t xml:space="preserve">  </w:t>
      </w:r>
    </w:p>
    <w:p w:rsidR="006765F2" w:rsidP="007D20CC" w14:paraId="3ED2A829" w14:textId="77777777">
      <w:pPr>
        <w:tabs>
          <w:tab w:val="left" w:pos="-1080"/>
          <w:tab w:val="left" w:pos="-720"/>
          <w:tab w:val="left" w:pos="0"/>
          <w:tab w:val="left" w:pos="450"/>
          <w:tab w:val="left" w:pos="720"/>
          <w:tab w:val="left" w:pos="2160"/>
        </w:tabs>
      </w:pPr>
    </w:p>
    <w:tbl>
      <w:tblPr>
        <w:tblW w:w="12980" w:type="dxa"/>
        <w:tblInd w:w="5" w:type="dxa"/>
        <w:tblLook w:val="04A0"/>
      </w:tblPr>
      <w:tblGrid>
        <w:gridCol w:w="3984"/>
        <w:gridCol w:w="1540"/>
        <w:gridCol w:w="1540"/>
        <w:gridCol w:w="1536"/>
        <w:gridCol w:w="1460"/>
        <w:gridCol w:w="1460"/>
        <w:gridCol w:w="1460"/>
      </w:tblGrid>
      <w:tr w14:paraId="5A772F47" w14:textId="77777777" w:rsidTr="002403CD">
        <w:tblPrEx>
          <w:tblW w:w="12980" w:type="dxa"/>
          <w:tblInd w:w="5" w:type="dxa"/>
          <w:tblLook w:val="04A0"/>
        </w:tblPrEx>
        <w:trPr>
          <w:gridAfter w:val="3"/>
          <w:wAfter w:w="4380" w:type="dxa"/>
          <w:trHeight w:val="302"/>
        </w:trPr>
        <w:tc>
          <w:tcPr>
            <w:tcW w:w="3984" w:type="dxa"/>
            <w:tcBorders>
              <w:top w:val="nil"/>
              <w:bottom w:val="single" w:sz="4" w:space="0" w:color="auto"/>
              <w:right w:val="single" w:sz="4" w:space="0" w:color="auto"/>
            </w:tcBorders>
            <w:shd w:val="clear" w:color="auto" w:fill="auto"/>
            <w:vAlign w:val="bottom"/>
          </w:tcPr>
          <w:p w:rsidR="004E7488" w:rsidRPr="00FC204F" w:rsidP="00923289" w14:paraId="328A078F" w14:textId="77777777">
            <w:pPr>
              <w:rPr>
                <w:b/>
                <w:bCs/>
                <w:color w:val="000000"/>
              </w:rPr>
            </w:pPr>
          </w:p>
        </w:tc>
        <w:tc>
          <w:tcPr>
            <w:tcW w:w="4616" w:type="dxa"/>
            <w:gridSpan w:val="3"/>
            <w:tcBorders>
              <w:top w:val="single" w:sz="4" w:space="0" w:color="auto"/>
              <w:left w:val="nil"/>
              <w:bottom w:val="single" w:sz="4" w:space="0" w:color="auto"/>
              <w:right w:val="single" w:sz="4" w:space="0" w:color="auto"/>
            </w:tcBorders>
            <w:shd w:val="clear" w:color="auto" w:fill="auto"/>
            <w:vAlign w:val="center"/>
          </w:tcPr>
          <w:p w:rsidR="004E7488" w:rsidRPr="00FC204F" w:rsidP="004E7488" w14:paraId="7450CA8B" w14:textId="77777777">
            <w:pPr>
              <w:jc w:val="center"/>
              <w:rPr>
                <w:b/>
                <w:bCs/>
                <w:color w:val="000000"/>
              </w:rPr>
            </w:pPr>
            <w:r>
              <w:rPr>
                <w:color w:val="000000"/>
              </w:rPr>
              <w:t>Cost to Federal Credit Unions</w:t>
            </w:r>
          </w:p>
        </w:tc>
      </w:tr>
      <w:tr w14:paraId="4B032CFB" w14:textId="77777777" w:rsidTr="002403CD">
        <w:tblPrEx>
          <w:tblW w:w="12980" w:type="dxa"/>
          <w:tblInd w:w="5" w:type="dxa"/>
          <w:tblLook w:val="04A0"/>
        </w:tblPrEx>
        <w:trPr>
          <w:gridAfter w:val="3"/>
          <w:wAfter w:w="4380" w:type="dxa"/>
          <w:trHeight w:val="6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5F2" w:rsidRPr="004402CA" w:rsidP="00110CC1" w14:paraId="295DAF81" w14:textId="77777777">
            <w:pPr>
              <w:jc w:val="center"/>
              <w:rPr>
                <w:b/>
                <w:bCs/>
                <w:color w:val="000000"/>
                <w:sz w:val="20"/>
                <w:szCs w:val="20"/>
              </w:rPr>
            </w:pPr>
            <w:r w:rsidRPr="004402CA">
              <w:rPr>
                <w:b/>
                <w:bCs/>
                <w:color w:val="000000"/>
                <w:sz w:val="20"/>
                <w:szCs w:val="20"/>
              </w:rPr>
              <w:t>Information Collection Activity</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765F2" w:rsidRPr="004402CA" w:rsidP="00110CC1" w14:paraId="0A22B33F" w14:textId="77777777">
            <w:pPr>
              <w:jc w:val="center"/>
              <w:rPr>
                <w:b/>
                <w:bCs/>
                <w:color w:val="000000"/>
                <w:sz w:val="20"/>
                <w:szCs w:val="20"/>
              </w:rPr>
            </w:pPr>
            <w:r w:rsidRPr="004402CA">
              <w:rPr>
                <w:b/>
                <w:bCs/>
                <w:color w:val="000000"/>
                <w:sz w:val="20"/>
                <w:szCs w:val="20"/>
              </w:rPr>
              <w:t>Annual Hourly Burden</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765F2" w:rsidRPr="004402CA" w:rsidP="00110CC1" w14:paraId="70432105" w14:textId="77777777">
            <w:pPr>
              <w:jc w:val="center"/>
              <w:rPr>
                <w:b/>
                <w:bCs/>
                <w:color w:val="000000"/>
                <w:sz w:val="20"/>
                <w:szCs w:val="20"/>
              </w:rPr>
            </w:pPr>
            <w:r w:rsidRPr="004402CA">
              <w:rPr>
                <w:b/>
                <w:bCs/>
                <w:color w:val="000000"/>
                <w:sz w:val="20"/>
                <w:szCs w:val="20"/>
              </w:rPr>
              <w:t>Hourly $ Rate per Response</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6765F2" w:rsidRPr="004402CA" w:rsidP="00110CC1" w14:paraId="5A56B24D" w14:textId="77777777">
            <w:pPr>
              <w:jc w:val="center"/>
              <w:rPr>
                <w:b/>
                <w:bCs/>
                <w:color w:val="000000"/>
                <w:sz w:val="20"/>
                <w:szCs w:val="20"/>
              </w:rPr>
            </w:pPr>
            <w:r w:rsidRPr="004402CA">
              <w:rPr>
                <w:b/>
                <w:bCs/>
                <w:color w:val="000000"/>
                <w:sz w:val="20"/>
                <w:szCs w:val="20"/>
              </w:rPr>
              <w:t>Total $ Amount</w:t>
            </w:r>
          </w:p>
        </w:tc>
      </w:tr>
      <w:tr w14:paraId="66E137A5" w14:textId="679B39B0" w:rsidTr="002403CD">
        <w:tblPrEx>
          <w:tblW w:w="12980" w:type="dxa"/>
          <w:tblInd w:w="5" w:type="dxa"/>
          <w:tblLook w:val="04A0"/>
        </w:tblPrEx>
        <w:trPr>
          <w:gridAfter w:val="2"/>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403CD" w:rsidRPr="00FC204F" w:rsidP="002403CD" w14:paraId="53E1806F" w14:textId="77777777">
            <w:pPr>
              <w:rPr>
                <w:color w:val="000000"/>
              </w:rPr>
            </w:pPr>
            <w:r w:rsidRPr="00FC204F">
              <w:rPr>
                <w:color w:val="000000"/>
              </w:rPr>
              <w:t>Negative Information Notice</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0D0907B5" w14:textId="621159F0">
            <w:pPr>
              <w:jc w:val="center"/>
              <w:rPr>
                <w:color w:val="000000"/>
              </w:rPr>
            </w:pPr>
            <w:r>
              <w:rPr>
                <w:color w:val="000000"/>
              </w:rPr>
              <w:t>717</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2E795504" w14:textId="77777777">
            <w:pPr>
              <w:jc w:val="center"/>
              <w:rPr>
                <w:color w:val="000000"/>
              </w:rPr>
            </w:pPr>
            <w:r w:rsidRPr="00FC204F">
              <w:rPr>
                <w:color w:val="000000"/>
              </w:rPr>
              <w:t>$</w:t>
            </w:r>
            <w:r>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7FBF3F02" w14:textId="748A7984">
            <w:pPr>
              <w:jc w:val="center"/>
              <w:rPr>
                <w:color w:val="000000"/>
              </w:rPr>
            </w:pPr>
            <w:r w:rsidRPr="00FC204F">
              <w:rPr>
                <w:color w:val="000000"/>
              </w:rPr>
              <w:t>$</w:t>
            </w:r>
            <w:r>
              <w:rPr>
                <w:color w:val="000000"/>
              </w:rPr>
              <w:t>25,095</w:t>
            </w:r>
          </w:p>
        </w:tc>
        <w:tc>
          <w:tcPr>
            <w:tcW w:w="1460" w:type="dxa"/>
            <w:vAlign w:val="bottom"/>
          </w:tcPr>
          <w:p w:rsidR="002403CD" w:rsidRPr="00FC204F" w:rsidP="002403CD" w14:paraId="4901087A" w14:textId="0EEBDA00">
            <w:pPr>
              <w:spacing w:after="160" w:line="259" w:lineRule="auto"/>
            </w:pPr>
          </w:p>
        </w:tc>
      </w:tr>
      <w:tr w14:paraId="2B32B672" w14:textId="21A9D29F" w:rsidTr="002403CD">
        <w:tblPrEx>
          <w:tblW w:w="12980" w:type="dxa"/>
          <w:tblInd w:w="5" w:type="dxa"/>
          <w:tblLook w:val="04A0"/>
        </w:tblPrEx>
        <w:trPr>
          <w:gridAfter w:val="2"/>
          <w:trHeight w:val="300"/>
        </w:trPr>
        <w:tc>
          <w:tcPr>
            <w:tcW w:w="3984" w:type="dxa"/>
            <w:tcBorders>
              <w:top w:val="nil"/>
              <w:left w:val="single" w:sz="4" w:space="0" w:color="auto"/>
              <w:bottom w:val="nil"/>
              <w:right w:val="single" w:sz="4" w:space="0" w:color="auto"/>
            </w:tcBorders>
            <w:shd w:val="clear" w:color="auto" w:fill="auto"/>
            <w:vAlign w:val="center"/>
            <w:hideMark/>
          </w:tcPr>
          <w:p w:rsidR="002403CD" w:rsidRPr="00FC204F" w:rsidP="002403CD" w14:paraId="6920A1F6" w14:textId="77777777">
            <w:pPr>
              <w:rPr>
                <w:color w:val="000000"/>
              </w:rPr>
            </w:pPr>
            <w:r w:rsidRPr="00FC204F">
              <w:rPr>
                <w:color w:val="000000"/>
              </w:rPr>
              <w:t>Risk-Based Pricing</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23F23F39" w14:textId="5607414C">
            <w:pPr>
              <w:jc w:val="center"/>
              <w:rPr>
                <w:color w:val="000000"/>
              </w:rPr>
            </w:pPr>
            <w:r>
              <w:rPr>
                <w:color w:val="000000"/>
              </w:rPr>
              <w:t>133,260</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1F7033EB" w14:textId="77777777">
            <w:pPr>
              <w:jc w:val="center"/>
              <w:rPr>
                <w:color w:val="000000"/>
              </w:rPr>
            </w:pPr>
            <w:r w:rsidRPr="00FC204F">
              <w:rPr>
                <w:color w:val="000000"/>
              </w:rPr>
              <w:t>$</w:t>
            </w:r>
            <w:r>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2E84796A" w14:textId="1C2571CD">
            <w:pPr>
              <w:jc w:val="center"/>
              <w:rPr>
                <w:color w:val="000000"/>
              </w:rPr>
            </w:pPr>
            <w:r w:rsidRPr="00FC204F">
              <w:rPr>
                <w:color w:val="000000"/>
              </w:rPr>
              <w:t>$</w:t>
            </w:r>
            <w:r>
              <w:rPr>
                <w:color w:val="000000"/>
              </w:rPr>
              <w:t>4,664,100</w:t>
            </w:r>
          </w:p>
        </w:tc>
        <w:tc>
          <w:tcPr>
            <w:tcW w:w="0" w:type="auto"/>
            <w:vAlign w:val="bottom"/>
          </w:tcPr>
          <w:p w:rsidR="002403CD" w:rsidRPr="00FC204F" w:rsidP="002403CD" w14:paraId="0B01D30A" w14:textId="0916E16F">
            <w:pPr>
              <w:spacing w:after="160" w:line="259" w:lineRule="auto"/>
            </w:pPr>
          </w:p>
        </w:tc>
      </w:tr>
      <w:tr w14:paraId="742F4609" w14:textId="75D8CC24" w:rsidTr="002403CD">
        <w:tblPrEx>
          <w:tblW w:w="12980" w:type="dxa"/>
          <w:tblInd w:w="5" w:type="dxa"/>
          <w:tblLook w:val="04A0"/>
        </w:tblPrEx>
        <w:trPr>
          <w:gridAfter w:val="2"/>
          <w:trHeight w:val="900"/>
        </w:trPr>
        <w:tc>
          <w:tcPr>
            <w:tcW w:w="3984" w:type="dxa"/>
            <w:tcBorders>
              <w:top w:val="single" w:sz="4" w:space="0" w:color="auto"/>
              <w:left w:val="single" w:sz="4" w:space="0" w:color="auto"/>
              <w:bottom w:val="nil"/>
              <w:right w:val="single" w:sz="4" w:space="0" w:color="auto"/>
            </w:tcBorders>
            <w:shd w:val="clear" w:color="auto" w:fill="auto"/>
            <w:vAlign w:val="center"/>
            <w:hideMark/>
          </w:tcPr>
          <w:p w:rsidR="002403CD" w:rsidRPr="00FC204F" w:rsidP="002403CD" w14:paraId="538DEC35" w14:textId="77777777">
            <w:pPr>
              <w:rPr>
                <w:color w:val="000000"/>
              </w:rPr>
            </w:pPr>
            <w:r w:rsidRPr="00FC204F">
              <w:rPr>
                <w:color w:val="000000"/>
              </w:rPr>
              <w:t>Procedures to Enhance Accuracy and Integrity of Information Furnished to Consumer Reporting Agencies</w:t>
            </w:r>
          </w:p>
        </w:tc>
        <w:tc>
          <w:tcPr>
            <w:tcW w:w="1540" w:type="dxa"/>
            <w:tcBorders>
              <w:top w:val="nil"/>
              <w:left w:val="nil"/>
              <w:bottom w:val="nil"/>
              <w:right w:val="single" w:sz="4" w:space="0" w:color="auto"/>
            </w:tcBorders>
            <w:shd w:val="clear" w:color="auto" w:fill="auto"/>
            <w:noWrap/>
            <w:vAlign w:val="center"/>
            <w:hideMark/>
          </w:tcPr>
          <w:p w:rsidR="002403CD" w:rsidRPr="00FC204F" w:rsidP="002403CD" w14:paraId="06ABA152" w14:textId="77777777">
            <w:pPr>
              <w:jc w:val="center"/>
              <w:rPr>
                <w:color w:val="000000"/>
              </w:rPr>
            </w:pPr>
            <w:r w:rsidRPr="00FC204F">
              <w:rPr>
                <w:color w:val="000000"/>
              </w:rPr>
              <w:t> </w:t>
            </w:r>
          </w:p>
        </w:tc>
        <w:tc>
          <w:tcPr>
            <w:tcW w:w="1540" w:type="dxa"/>
            <w:tcBorders>
              <w:top w:val="nil"/>
              <w:left w:val="nil"/>
              <w:bottom w:val="nil"/>
              <w:right w:val="single" w:sz="4" w:space="0" w:color="auto"/>
            </w:tcBorders>
            <w:shd w:val="clear" w:color="auto" w:fill="auto"/>
            <w:noWrap/>
            <w:vAlign w:val="center"/>
            <w:hideMark/>
          </w:tcPr>
          <w:p w:rsidR="002403CD" w:rsidRPr="00FC204F" w:rsidP="002403CD" w14:paraId="01588821" w14:textId="77777777">
            <w:pPr>
              <w:rPr>
                <w:color w:val="000000"/>
              </w:rPr>
            </w:pPr>
            <w:r w:rsidRPr="00FC204F">
              <w:rPr>
                <w:color w:val="000000"/>
              </w:rPr>
              <w:t> </w:t>
            </w:r>
          </w:p>
        </w:tc>
        <w:tc>
          <w:tcPr>
            <w:tcW w:w="1536" w:type="dxa"/>
            <w:tcBorders>
              <w:top w:val="nil"/>
              <w:left w:val="nil"/>
              <w:bottom w:val="nil"/>
              <w:right w:val="single" w:sz="4" w:space="0" w:color="auto"/>
            </w:tcBorders>
            <w:shd w:val="clear" w:color="auto" w:fill="auto"/>
            <w:noWrap/>
            <w:vAlign w:val="center"/>
            <w:hideMark/>
          </w:tcPr>
          <w:p w:rsidR="002403CD" w:rsidRPr="00FC204F" w:rsidP="002403CD" w14:paraId="3C6B1C73" w14:textId="77777777">
            <w:pPr>
              <w:jc w:val="center"/>
              <w:rPr>
                <w:color w:val="000000"/>
              </w:rPr>
            </w:pPr>
            <w:r w:rsidRPr="00FC204F">
              <w:rPr>
                <w:color w:val="000000"/>
              </w:rPr>
              <w:t> </w:t>
            </w:r>
          </w:p>
        </w:tc>
        <w:tc>
          <w:tcPr>
            <w:tcW w:w="0" w:type="auto"/>
            <w:vAlign w:val="bottom"/>
          </w:tcPr>
          <w:p w:rsidR="002403CD" w:rsidRPr="00FC204F" w:rsidP="002403CD" w14:paraId="191C7EA9" w14:textId="4DD311FA">
            <w:pPr>
              <w:spacing w:after="160" w:line="259" w:lineRule="auto"/>
            </w:pPr>
          </w:p>
        </w:tc>
      </w:tr>
      <w:tr w14:paraId="04FA7FA0" w14:textId="61BFBC3B" w:rsidTr="002403CD">
        <w:tblPrEx>
          <w:tblW w:w="12980" w:type="dxa"/>
          <w:tblInd w:w="5" w:type="dxa"/>
          <w:tblLook w:val="04A0"/>
        </w:tblPrEx>
        <w:trPr>
          <w:gridAfter w:val="2"/>
          <w:trHeight w:val="300"/>
        </w:trPr>
        <w:tc>
          <w:tcPr>
            <w:tcW w:w="3984" w:type="dxa"/>
            <w:tcBorders>
              <w:top w:val="nil"/>
              <w:left w:val="single" w:sz="4" w:space="0" w:color="auto"/>
              <w:bottom w:val="nil"/>
              <w:right w:val="single" w:sz="4" w:space="0" w:color="auto"/>
            </w:tcBorders>
            <w:shd w:val="clear" w:color="auto" w:fill="auto"/>
            <w:vAlign w:val="center"/>
            <w:hideMark/>
          </w:tcPr>
          <w:p w:rsidR="002403CD" w:rsidRPr="00FC204F" w:rsidP="002403CD" w14:paraId="549EBFE7" w14:textId="77777777">
            <w:pPr>
              <w:tabs>
                <w:tab w:val="left" w:pos="247"/>
              </w:tabs>
              <w:rPr>
                <w:color w:val="000000"/>
              </w:rPr>
            </w:pPr>
            <w:r>
              <w:rPr>
                <w:color w:val="000000"/>
              </w:rPr>
              <w:tab/>
            </w:r>
            <w:r w:rsidRPr="00FC204F">
              <w:rPr>
                <w:color w:val="000000"/>
              </w:rPr>
              <w:t>(1) Develop policies and procedures</w:t>
            </w:r>
          </w:p>
        </w:tc>
        <w:tc>
          <w:tcPr>
            <w:tcW w:w="1540" w:type="dxa"/>
            <w:tcBorders>
              <w:top w:val="nil"/>
              <w:left w:val="nil"/>
              <w:bottom w:val="nil"/>
              <w:right w:val="single" w:sz="4" w:space="0" w:color="auto"/>
            </w:tcBorders>
            <w:shd w:val="clear" w:color="auto" w:fill="auto"/>
            <w:noWrap/>
            <w:vAlign w:val="center"/>
            <w:hideMark/>
          </w:tcPr>
          <w:p w:rsidR="002403CD" w:rsidRPr="00FC204F" w:rsidP="002403CD" w14:paraId="6934EBD7" w14:textId="638B7547">
            <w:pPr>
              <w:jc w:val="center"/>
              <w:rPr>
                <w:color w:val="000000"/>
              </w:rPr>
            </w:pPr>
            <w:r>
              <w:rPr>
                <w:color w:val="000000"/>
              </w:rPr>
              <w:t>352</w:t>
            </w:r>
          </w:p>
        </w:tc>
        <w:tc>
          <w:tcPr>
            <w:tcW w:w="1540" w:type="dxa"/>
            <w:tcBorders>
              <w:top w:val="nil"/>
              <w:left w:val="nil"/>
              <w:bottom w:val="nil"/>
              <w:right w:val="single" w:sz="4" w:space="0" w:color="auto"/>
            </w:tcBorders>
            <w:shd w:val="clear" w:color="auto" w:fill="auto"/>
            <w:noWrap/>
            <w:vAlign w:val="center"/>
            <w:hideMark/>
          </w:tcPr>
          <w:p w:rsidR="002403CD" w:rsidRPr="00FC204F" w:rsidP="002403CD" w14:paraId="2E4878AA" w14:textId="77777777">
            <w:pPr>
              <w:jc w:val="center"/>
              <w:rPr>
                <w:color w:val="000000"/>
              </w:rPr>
            </w:pPr>
            <w:r w:rsidRPr="00FC204F">
              <w:rPr>
                <w:color w:val="000000"/>
              </w:rPr>
              <w:t>$</w:t>
            </w:r>
            <w:r>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2D49D844" w14:textId="5AE71E52">
            <w:pPr>
              <w:jc w:val="center"/>
              <w:rPr>
                <w:color w:val="000000"/>
              </w:rPr>
            </w:pPr>
            <w:r>
              <w:rPr>
                <w:color w:val="000000"/>
              </w:rPr>
              <w:t>$12,320</w:t>
            </w:r>
          </w:p>
        </w:tc>
        <w:tc>
          <w:tcPr>
            <w:tcW w:w="0" w:type="auto"/>
            <w:vAlign w:val="bottom"/>
          </w:tcPr>
          <w:p w:rsidR="002403CD" w:rsidRPr="00FC204F" w:rsidP="002403CD" w14:paraId="13A50B10" w14:textId="35657591">
            <w:pPr>
              <w:spacing w:after="160" w:line="259" w:lineRule="auto"/>
            </w:pPr>
          </w:p>
        </w:tc>
      </w:tr>
      <w:tr w14:paraId="6F0ABDCC" w14:textId="293232B8" w:rsidTr="002403CD">
        <w:tblPrEx>
          <w:tblW w:w="12980" w:type="dxa"/>
          <w:tblInd w:w="5" w:type="dxa"/>
          <w:tblLook w:val="04A0"/>
        </w:tblPrEx>
        <w:trPr>
          <w:gridAfter w:val="2"/>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403CD" w:rsidRPr="00FC204F" w:rsidP="002403CD" w14:paraId="18FEC537" w14:textId="77777777">
            <w:pPr>
              <w:tabs>
                <w:tab w:val="left" w:pos="247"/>
              </w:tabs>
              <w:rPr>
                <w:color w:val="000000"/>
              </w:rPr>
            </w:pPr>
            <w:r>
              <w:rPr>
                <w:color w:val="000000"/>
              </w:rPr>
              <w:tab/>
            </w:r>
            <w:r w:rsidRPr="00FC204F">
              <w:rPr>
                <w:color w:val="000000"/>
              </w:rPr>
              <w:t>(2) Amend policies and procedures and training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2403CD" w:rsidRPr="00FC204F" w:rsidP="002403CD" w14:paraId="00E08947" w14:textId="6F8312EB">
            <w:pPr>
              <w:jc w:val="center"/>
              <w:rPr>
                <w:color w:val="000000"/>
              </w:rPr>
            </w:pPr>
            <w:r>
              <w:rPr>
                <w:color w:val="000000"/>
              </w:rPr>
              <w:t>22,952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2403CD" w:rsidRPr="00FC204F" w:rsidP="002403CD" w14:paraId="40FF2868" w14:textId="77777777">
            <w:pPr>
              <w:jc w:val="center"/>
              <w:rPr>
                <w:color w:val="000000"/>
              </w:rPr>
            </w:pPr>
            <w:r w:rsidRPr="00FC204F">
              <w:rPr>
                <w:color w:val="000000"/>
              </w:rPr>
              <w:t>$</w:t>
            </w:r>
            <w:r>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17BDFFCB" w14:textId="600D43E0">
            <w:pPr>
              <w:jc w:val="center"/>
              <w:rPr>
                <w:color w:val="000000"/>
              </w:rPr>
            </w:pPr>
            <w:r w:rsidRPr="00FC204F">
              <w:rPr>
                <w:color w:val="000000"/>
              </w:rPr>
              <w:t>$</w:t>
            </w:r>
            <w:r>
              <w:rPr>
                <w:color w:val="000000"/>
              </w:rPr>
              <w:t>803,320</w:t>
            </w:r>
          </w:p>
        </w:tc>
        <w:tc>
          <w:tcPr>
            <w:tcW w:w="0" w:type="auto"/>
            <w:vAlign w:val="bottom"/>
          </w:tcPr>
          <w:p w:rsidR="002403CD" w:rsidRPr="00FC204F" w:rsidP="002403CD" w14:paraId="05D08348" w14:textId="105C1C09">
            <w:pPr>
              <w:spacing w:after="160" w:line="259" w:lineRule="auto"/>
            </w:pPr>
          </w:p>
        </w:tc>
      </w:tr>
      <w:tr w14:paraId="606C847F" w14:textId="2C2DED99" w:rsidTr="002403CD">
        <w:tblPrEx>
          <w:tblW w:w="12980" w:type="dxa"/>
          <w:tblInd w:w="5" w:type="dxa"/>
          <w:tblLook w:val="04A0"/>
        </w:tblPrEx>
        <w:trPr>
          <w:gridAfter w:val="2"/>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403CD" w:rsidRPr="00FC204F" w:rsidP="002403CD" w14:paraId="0A203E03" w14:textId="77777777">
            <w:pPr>
              <w:rPr>
                <w:color w:val="000000"/>
              </w:rPr>
            </w:pPr>
            <w:r w:rsidRPr="00FC204F">
              <w:rPr>
                <w:color w:val="000000"/>
              </w:rPr>
              <w:t>Notice of Dispute from Consumer</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11F7B928" w14:textId="24B35BBC">
            <w:pPr>
              <w:jc w:val="center"/>
              <w:rPr>
                <w:color w:val="000000"/>
              </w:rPr>
            </w:pPr>
            <w:r>
              <w:rPr>
                <w:color w:val="000000"/>
              </w:rPr>
              <w:t>717</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6786F29E" w14:textId="77777777">
            <w:pPr>
              <w:jc w:val="center"/>
              <w:rPr>
                <w:color w:val="000000"/>
              </w:rPr>
            </w:pPr>
            <w:r w:rsidRPr="00FC204F">
              <w:rPr>
                <w:color w:val="000000"/>
              </w:rPr>
              <w:t>$</w:t>
            </w:r>
            <w:r>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3F16955A" w14:textId="12EF87B5">
            <w:pPr>
              <w:jc w:val="center"/>
              <w:rPr>
                <w:color w:val="000000"/>
              </w:rPr>
            </w:pPr>
            <w:r>
              <w:rPr>
                <w:color w:val="000000"/>
              </w:rPr>
              <w:t>$</w:t>
            </w:r>
            <w:r w:rsidR="007F6C31">
              <w:rPr>
                <w:color w:val="000000"/>
              </w:rPr>
              <w:t>25,095</w:t>
            </w:r>
          </w:p>
        </w:tc>
        <w:tc>
          <w:tcPr>
            <w:tcW w:w="0" w:type="auto"/>
            <w:vAlign w:val="bottom"/>
          </w:tcPr>
          <w:p w:rsidR="002403CD" w:rsidRPr="00FC204F" w:rsidP="002403CD" w14:paraId="7900C080" w14:textId="38AC4F60">
            <w:pPr>
              <w:spacing w:after="160" w:line="259" w:lineRule="auto"/>
            </w:pPr>
          </w:p>
        </w:tc>
      </w:tr>
      <w:tr w14:paraId="3EC87D27" w14:textId="089C4840" w:rsidTr="002403CD">
        <w:tblPrEx>
          <w:tblW w:w="12980" w:type="dxa"/>
          <w:tblInd w:w="5" w:type="dxa"/>
          <w:tblLook w:val="04A0"/>
        </w:tblPrEx>
        <w:trPr>
          <w:gridAfter w:val="2"/>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403CD" w:rsidRPr="00FC204F" w:rsidP="002403CD" w14:paraId="3E23DE12" w14:textId="77777777">
            <w:pPr>
              <w:rPr>
                <w:color w:val="000000"/>
              </w:rPr>
            </w:pPr>
            <w:r w:rsidRPr="00FC204F">
              <w:rPr>
                <w:color w:val="000000"/>
              </w:rPr>
              <w:t>Prescreened Consumer Reports Opt-Out Notice</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010B1B87" w14:textId="65B6BC53">
            <w:pPr>
              <w:jc w:val="center"/>
              <w:rPr>
                <w:color w:val="000000"/>
              </w:rPr>
            </w:pPr>
            <w:r>
              <w:rPr>
                <w:color w:val="000000"/>
              </w:rPr>
              <w:t>441</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222BCC5B" w14:textId="77777777">
            <w:pPr>
              <w:jc w:val="center"/>
              <w:rPr>
                <w:color w:val="000000"/>
              </w:rPr>
            </w:pPr>
            <w:r w:rsidRPr="00FC204F">
              <w:rPr>
                <w:color w:val="000000"/>
              </w:rPr>
              <w:t>$</w:t>
            </w:r>
            <w:r>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054B8F63" w14:textId="55205BE8">
            <w:pPr>
              <w:jc w:val="center"/>
              <w:rPr>
                <w:color w:val="000000"/>
              </w:rPr>
            </w:pPr>
            <w:r w:rsidRPr="00FC204F">
              <w:rPr>
                <w:color w:val="000000"/>
              </w:rPr>
              <w:t>$1</w:t>
            </w:r>
            <w:r>
              <w:rPr>
                <w:color w:val="000000"/>
              </w:rPr>
              <w:t>5,435</w:t>
            </w:r>
          </w:p>
        </w:tc>
        <w:tc>
          <w:tcPr>
            <w:tcW w:w="0" w:type="auto"/>
            <w:vAlign w:val="bottom"/>
          </w:tcPr>
          <w:p w:rsidR="002403CD" w:rsidRPr="00FC204F" w:rsidP="002403CD" w14:paraId="6E8C8754" w14:textId="456DE201">
            <w:pPr>
              <w:spacing w:after="160" w:line="259" w:lineRule="auto"/>
            </w:pPr>
          </w:p>
        </w:tc>
      </w:tr>
      <w:tr w14:paraId="6C4D7920" w14:textId="0337B2ED" w:rsidTr="002403CD">
        <w:tblPrEx>
          <w:tblW w:w="12980" w:type="dxa"/>
          <w:tblInd w:w="5" w:type="dxa"/>
          <w:tblLook w:val="04A0"/>
        </w:tblPrEx>
        <w:trPr>
          <w:gridAfter w:val="2"/>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403CD" w:rsidRPr="00DF6A0C" w:rsidP="002403CD" w14:paraId="2C761B7F" w14:textId="77777777">
            <w:pPr>
              <w:rPr>
                <w:color w:val="000000"/>
              </w:rPr>
            </w:pPr>
            <w:r w:rsidRPr="00DF6A0C">
              <w:rPr>
                <w:color w:val="000000"/>
              </w:rPr>
              <w:t>Affiliate Marketing Opt-Out Notice</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DF6A0C" w:rsidP="002403CD" w14:paraId="4A099C85" w14:textId="506A9811">
            <w:pPr>
              <w:jc w:val="center"/>
              <w:rPr>
                <w:color w:val="000000"/>
              </w:rPr>
            </w:pPr>
            <w:r w:rsidRPr="00DF6A0C">
              <w:rPr>
                <w:color w:val="000000"/>
              </w:rPr>
              <w:t>4,194</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DF6A0C" w:rsidP="002403CD" w14:paraId="6DC67BCC" w14:textId="77777777">
            <w:pPr>
              <w:jc w:val="center"/>
              <w:rPr>
                <w:color w:val="000000"/>
              </w:rPr>
            </w:pPr>
            <w:r w:rsidRPr="00DF6A0C">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9B6A04" w:rsidP="002403CD" w14:paraId="72882702" w14:textId="2458ABE1">
            <w:pPr>
              <w:jc w:val="center"/>
              <w:rPr>
                <w:color w:val="000000"/>
              </w:rPr>
            </w:pPr>
            <w:r w:rsidRPr="00DF6A0C">
              <w:rPr>
                <w:color w:val="000000"/>
              </w:rPr>
              <w:t>$146,790</w:t>
            </w:r>
          </w:p>
        </w:tc>
        <w:tc>
          <w:tcPr>
            <w:tcW w:w="0" w:type="auto"/>
            <w:vAlign w:val="bottom"/>
          </w:tcPr>
          <w:p w:rsidR="002403CD" w:rsidRPr="00FC204F" w:rsidP="002403CD" w14:paraId="0AD7D0DE" w14:textId="238408D2">
            <w:pPr>
              <w:spacing w:after="160" w:line="259" w:lineRule="auto"/>
            </w:pPr>
          </w:p>
        </w:tc>
      </w:tr>
      <w:tr w14:paraId="7582844E" w14:textId="573509AB" w:rsidTr="002403CD">
        <w:tblPrEx>
          <w:tblW w:w="12980" w:type="dxa"/>
          <w:tblInd w:w="5" w:type="dxa"/>
          <w:tblLook w:val="04A0"/>
        </w:tblPrEx>
        <w:trPr>
          <w:gridAfter w:val="2"/>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403CD" w:rsidRPr="00FC204F" w:rsidP="002403CD" w14:paraId="732CB523" w14:textId="77777777">
            <w:pPr>
              <w:rPr>
                <w:color w:val="000000"/>
              </w:rPr>
            </w:pPr>
            <w:r w:rsidRPr="00FC204F">
              <w:rPr>
                <w:color w:val="000000"/>
              </w:rPr>
              <w:t>Requirement to Properly Dispose of Consumer Information</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152DEAF1" w14:textId="663081E6">
            <w:pPr>
              <w:jc w:val="center"/>
              <w:rPr>
                <w:color w:val="000000"/>
              </w:rPr>
            </w:pPr>
            <w:r>
              <w:rPr>
                <w:color w:val="000000"/>
              </w:rPr>
              <w:t>11,476</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1D9AD055" w14:textId="77777777">
            <w:pPr>
              <w:jc w:val="center"/>
              <w:rPr>
                <w:color w:val="000000"/>
              </w:rPr>
            </w:pPr>
            <w:r w:rsidRPr="00FC204F">
              <w:rPr>
                <w:color w:val="000000"/>
              </w:rPr>
              <w:t>$</w:t>
            </w:r>
            <w:r>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573709DF" w14:textId="6DF44F6F">
            <w:pPr>
              <w:jc w:val="center"/>
              <w:rPr>
                <w:color w:val="000000"/>
              </w:rPr>
            </w:pPr>
            <w:r>
              <w:rPr>
                <w:color w:val="000000"/>
              </w:rPr>
              <w:t>$401,660</w:t>
            </w:r>
          </w:p>
        </w:tc>
        <w:tc>
          <w:tcPr>
            <w:tcW w:w="0" w:type="auto"/>
            <w:vAlign w:val="bottom"/>
          </w:tcPr>
          <w:p w:rsidR="002403CD" w:rsidRPr="00FC204F" w:rsidP="002403CD" w14:paraId="28C0BA94" w14:textId="1B532C92">
            <w:pPr>
              <w:spacing w:after="160" w:line="259" w:lineRule="auto"/>
            </w:pPr>
          </w:p>
        </w:tc>
      </w:tr>
      <w:tr w14:paraId="230E54C0" w14:textId="369A575B" w:rsidTr="002403CD">
        <w:tblPrEx>
          <w:tblW w:w="12980" w:type="dxa"/>
          <w:tblInd w:w="5" w:type="dxa"/>
          <w:tblLook w:val="04A0"/>
        </w:tblPrEx>
        <w:trPr>
          <w:gridAfter w:val="2"/>
          <w:trHeight w:val="300"/>
        </w:trPr>
        <w:tc>
          <w:tcPr>
            <w:tcW w:w="3984" w:type="dxa"/>
            <w:tcBorders>
              <w:top w:val="nil"/>
              <w:left w:val="single" w:sz="4" w:space="0" w:color="auto"/>
              <w:bottom w:val="nil"/>
              <w:right w:val="single" w:sz="4" w:space="0" w:color="auto"/>
            </w:tcBorders>
            <w:shd w:val="clear" w:color="auto" w:fill="auto"/>
            <w:vAlign w:val="center"/>
            <w:hideMark/>
          </w:tcPr>
          <w:p w:rsidR="002403CD" w:rsidRPr="00FC204F" w:rsidP="002403CD" w14:paraId="2B1A8B70" w14:textId="77777777">
            <w:pPr>
              <w:rPr>
                <w:color w:val="000000"/>
              </w:rPr>
            </w:pPr>
            <w:r w:rsidRPr="00FC204F">
              <w:rPr>
                <w:color w:val="000000"/>
              </w:rPr>
              <w:t xml:space="preserve">Identity Theft Red Flags: </w:t>
            </w:r>
          </w:p>
        </w:tc>
        <w:tc>
          <w:tcPr>
            <w:tcW w:w="1540" w:type="dxa"/>
            <w:tcBorders>
              <w:top w:val="nil"/>
              <w:left w:val="nil"/>
              <w:bottom w:val="nil"/>
              <w:right w:val="single" w:sz="4" w:space="0" w:color="auto"/>
            </w:tcBorders>
            <w:shd w:val="clear" w:color="auto" w:fill="auto"/>
            <w:noWrap/>
            <w:vAlign w:val="center"/>
            <w:hideMark/>
          </w:tcPr>
          <w:p w:rsidR="002403CD" w:rsidRPr="00FC204F" w:rsidP="002403CD" w14:paraId="34641F21" w14:textId="77777777">
            <w:pPr>
              <w:jc w:val="center"/>
              <w:rPr>
                <w:color w:val="000000"/>
              </w:rPr>
            </w:pPr>
            <w:r w:rsidRPr="00FC204F">
              <w:rPr>
                <w:color w:val="000000"/>
              </w:rPr>
              <w:t> </w:t>
            </w:r>
          </w:p>
        </w:tc>
        <w:tc>
          <w:tcPr>
            <w:tcW w:w="1540" w:type="dxa"/>
            <w:tcBorders>
              <w:top w:val="nil"/>
              <w:left w:val="nil"/>
              <w:bottom w:val="nil"/>
              <w:right w:val="single" w:sz="4" w:space="0" w:color="auto"/>
            </w:tcBorders>
            <w:shd w:val="clear" w:color="auto" w:fill="auto"/>
            <w:noWrap/>
            <w:vAlign w:val="center"/>
            <w:hideMark/>
          </w:tcPr>
          <w:p w:rsidR="002403CD" w:rsidRPr="00FC204F" w:rsidP="002403CD" w14:paraId="000B0DDC" w14:textId="77777777">
            <w:pPr>
              <w:rPr>
                <w:color w:val="000000"/>
              </w:rPr>
            </w:pPr>
            <w:r w:rsidRPr="00FC204F">
              <w:rPr>
                <w:color w:val="000000"/>
              </w:rPr>
              <w:t> </w:t>
            </w:r>
          </w:p>
        </w:tc>
        <w:tc>
          <w:tcPr>
            <w:tcW w:w="1536" w:type="dxa"/>
            <w:tcBorders>
              <w:top w:val="nil"/>
              <w:left w:val="nil"/>
              <w:bottom w:val="nil"/>
              <w:right w:val="single" w:sz="4" w:space="0" w:color="auto"/>
            </w:tcBorders>
            <w:shd w:val="clear" w:color="auto" w:fill="auto"/>
            <w:noWrap/>
            <w:vAlign w:val="center"/>
            <w:hideMark/>
          </w:tcPr>
          <w:p w:rsidR="002403CD" w:rsidRPr="00FC204F" w:rsidP="002403CD" w14:paraId="431F4E5E" w14:textId="77777777">
            <w:pPr>
              <w:jc w:val="center"/>
              <w:rPr>
                <w:color w:val="000000"/>
              </w:rPr>
            </w:pPr>
            <w:r w:rsidRPr="00FC204F">
              <w:rPr>
                <w:color w:val="000000"/>
              </w:rPr>
              <w:t> </w:t>
            </w:r>
          </w:p>
        </w:tc>
        <w:tc>
          <w:tcPr>
            <w:tcW w:w="0" w:type="auto"/>
            <w:vAlign w:val="bottom"/>
          </w:tcPr>
          <w:p w:rsidR="002403CD" w:rsidRPr="00FC204F" w:rsidP="002403CD" w14:paraId="5A16077D" w14:textId="60E18D11">
            <w:pPr>
              <w:spacing w:after="160" w:line="259" w:lineRule="auto"/>
            </w:pPr>
          </w:p>
        </w:tc>
      </w:tr>
      <w:tr w14:paraId="08FC05D4" w14:textId="5D2F8867" w:rsidTr="002403CD">
        <w:tblPrEx>
          <w:tblW w:w="12980" w:type="dxa"/>
          <w:tblInd w:w="5" w:type="dxa"/>
          <w:tblLook w:val="04A0"/>
        </w:tblPrEx>
        <w:trPr>
          <w:gridAfter w:val="2"/>
          <w:trHeight w:val="300"/>
        </w:trPr>
        <w:tc>
          <w:tcPr>
            <w:tcW w:w="3984" w:type="dxa"/>
            <w:tcBorders>
              <w:top w:val="nil"/>
              <w:left w:val="single" w:sz="4" w:space="0" w:color="auto"/>
              <w:bottom w:val="nil"/>
              <w:right w:val="single" w:sz="4" w:space="0" w:color="auto"/>
            </w:tcBorders>
            <w:shd w:val="clear" w:color="auto" w:fill="auto"/>
            <w:vAlign w:val="center"/>
            <w:hideMark/>
          </w:tcPr>
          <w:p w:rsidR="002403CD" w:rsidRPr="00FC204F" w:rsidP="002403CD" w14:paraId="77D620BD" w14:textId="77777777">
            <w:pPr>
              <w:tabs>
                <w:tab w:val="left" w:pos="247"/>
              </w:tabs>
              <w:rPr>
                <w:color w:val="000000"/>
              </w:rPr>
            </w:pPr>
            <w:r>
              <w:rPr>
                <w:color w:val="000000"/>
              </w:rPr>
              <w:tab/>
            </w:r>
            <w:r w:rsidRPr="00FC204F">
              <w:rPr>
                <w:color w:val="000000"/>
              </w:rPr>
              <w:t>(1) Develop program and policies and procedures</w:t>
            </w:r>
          </w:p>
        </w:tc>
        <w:tc>
          <w:tcPr>
            <w:tcW w:w="1540" w:type="dxa"/>
            <w:tcBorders>
              <w:top w:val="nil"/>
              <w:left w:val="nil"/>
              <w:bottom w:val="nil"/>
              <w:right w:val="single" w:sz="4" w:space="0" w:color="auto"/>
            </w:tcBorders>
            <w:shd w:val="clear" w:color="auto" w:fill="auto"/>
            <w:noWrap/>
            <w:vAlign w:val="center"/>
            <w:hideMark/>
          </w:tcPr>
          <w:p w:rsidR="002403CD" w:rsidRPr="00FC204F" w:rsidP="002403CD" w14:paraId="6CB2EE70" w14:textId="50985154">
            <w:pPr>
              <w:jc w:val="center"/>
              <w:rPr>
                <w:color w:val="000000"/>
              </w:rPr>
            </w:pPr>
            <w:r>
              <w:rPr>
                <w:color w:val="000000"/>
              </w:rPr>
              <w:t>231</w:t>
            </w:r>
          </w:p>
        </w:tc>
        <w:tc>
          <w:tcPr>
            <w:tcW w:w="1540" w:type="dxa"/>
            <w:tcBorders>
              <w:top w:val="nil"/>
              <w:left w:val="nil"/>
              <w:bottom w:val="nil"/>
              <w:right w:val="single" w:sz="4" w:space="0" w:color="auto"/>
            </w:tcBorders>
            <w:shd w:val="clear" w:color="auto" w:fill="auto"/>
            <w:noWrap/>
            <w:vAlign w:val="center"/>
            <w:hideMark/>
          </w:tcPr>
          <w:p w:rsidR="002403CD" w:rsidRPr="00FC204F" w:rsidP="002403CD" w14:paraId="27724197" w14:textId="77777777">
            <w:pPr>
              <w:jc w:val="center"/>
              <w:rPr>
                <w:color w:val="000000"/>
              </w:rPr>
            </w:pPr>
            <w:r w:rsidRPr="00FC204F">
              <w:rPr>
                <w:color w:val="000000"/>
              </w:rPr>
              <w:t>$</w:t>
            </w:r>
            <w:r>
              <w:rPr>
                <w:color w:val="000000"/>
              </w:rPr>
              <w:t>35</w:t>
            </w:r>
          </w:p>
        </w:tc>
        <w:tc>
          <w:tcPr>
            <w:tcW w:w="1536" w:type="dxa"/>
            <w:tcBorders>
              <w:top w:val="nil"/>
              <w:left w:val="nil"/>
              <w:bottom w:val="nil"/>
              <w:right w:val="single" w:sz="4" w:space="0" w:color="auto"/>
            </w:tcBorders>
            <w:shd w:val="clear" w:color="auto" w:fill="auto"/>
            <w:noWrap/>
            <w:vAlign w:val="center"/>
            <w:hideMark/>
          </w:tcPr>
          <w:p w:rsidR="002403CD" w:rsidRPr="00FC204F" w:rsidP="002403CD" w14:paraId="654AFDEB" w14:textId="67E914DD">
            <w:pPr>
              <w:jc w:val="center"/>
              <w:rPr>
                <w:color w:val="000000"/>
              </w:rPr>
            </w:pPr>
            <w:r>
              <w:rPr>
                <w:color w:val="000000"/>
              </w:rPr>
              <w:t>$8,085</w:t>
            </w:r>
          </w:p>
        </w:tc>
        <w:tc>
          <w:tcPr>
            <w:tcW w:w="0" w:type="auto"/>
            <w:vAlign w:val="bottom"/>
          </w:tcPr>
          <w:p w:rsidR="002403CD" w:rsidRPr="00FC204F" w:rsidP="002403CD" w14:paraId="0390C6B1" w14:textId="47EDAF93">
            <w:pPr>
              <w:spacing w:after="160" w:line="259" w:lineRule="auto"/>
            </w:pPr>
          </w:p>
        </w:tc>
      </w:tr>
      <w:tr w14:paraId="5703A35D" w14:textId="3235C06D" w:rsidTr="002403CD">
        <w:tblPrEx>
          <w:tblW w:w="12980" w:type="dxa"/>
          <w:tblInd w:w="5" w:type="dxa"/>
          <w:tblLook w:val="04A0"/>
        </w:tblPrEx>
        <w:trPr>
          <w:gridAfter w:val="2"/>
          <w:trHeight w:val="3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403CD" w:rsidRPr="00FC204F" w:rsidP="002403CD" w14:paraId="4778473E" w14:textId="77777777">
            <w:pPr>
              <w:tabs>
                <w:tab w:val="left" w:pos="247"/>
              </w:tabs>
              <w:rPr>
                <w:color w:val="000000"/>
              </w:rPr>
            </w:pPr>
            <w:r>
              <w:rPr>
                <w:color w:val="000000"/>
              </w:rPr>
              <w:tab/>
            </w:r>
            <w:r w:rsidRPr="00FC204F">
              <w:rPr>
                <w:color w:val="000000"/>
              </w:rPr>
              <w:t>(2) Prepare annual report and training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2403CD" w:rsidRPr="00FC204F" w:rsidP="002403CD" w14:paraId="6C51FC53" w14:textId="73D23DEB">
            <w:pPr>
              <w:jc w:val="center"/>
              <w:rPr>
                <w:color w:val="000000"/>
              </w:rPr>
            </w:pPr>
            <w:r>
              <w:rPr>
                <w:color w:val="000000"/>
              </w:rPr>
              <w:t>45,904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2403CD" w:rsidRPr="00FC204F" w:rsidP="002403CD" w14:paraId="2049DE16" w14:textId="77777777">
            <w:pPr>
              <w:jc w:val="center"/>
              <w:rPr>
                <w:color w:val="000000"/>
              </w:rPr>
            </w:pPr>
            <w:r w:rsidRPr="00FC204F">
              <w:rPr>
                <w:color w:val="000000"/>
              </w:rPr>
              <w:t>$</w:t>
            </w:r>
            <w:r>
              <w:rPr>
                <w:color w:val="000000"/>
              </w:rPr>
              <w:t>35</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2403CD" w:rsidRPr="00FC204F" w:rsidP="002403CD" w14:paraId="4CD9B50D" w14:textId="6567A1B4">
            <w:pPr>
              <w:jc w:val="center"/>
              <w:rPr>
                <w:color w:val="000000"/>
              </w:rPr>
            </w:pPr>
            <w:r>
              <w:rPr>
                <w:color w:val="000000"/>
              </w:rPr>
              <w:t>$1,606</w:t>
            </w:r>
            <w:r w:rsidR="00103750">
              <w:rPr>
                <w:color w:val="000000"/>
              </w:rPr>
              <w:t>,</w:t>
            </w:r>
            <w:r>
              <w:rPr>
                <w:color w:val="000000"/>
              </w:rPr>
              <w:t>640</w:t>
            </w:r>
          </w:p>
        </w:tc>
        <w:tc>
          <w:tcPr>
            <w:tcW w:w="0" w:type="auto"/>
            <w:vAlign w:val="bottom"/>
          </w:tcPr>
          <w:p w:rsidR="002403CD" w:rsidRPr="00FC204F" w:rsidP="002403CD" w14:paraId="5323DBE1" w14:textId="0475718C">
            <w:pPr>
              <w:spacing w:after="160" w:line="259" w:lineRule="auto"/>
            </w:pPr>
          </w:p>
        </w:tc>
      </w:tr>
      <w:tr w14:paraId="1BB9D13E" w14:textId="0B97465A" w:rsidTr="002403CD">
        <w:tblPrEx>
          <w:tblW w:w="12980" w:type="dxa"/>
          <w:tblInd w:w="5" w:type="dxa"/>
          <w:tblLook w:val="04A0"/>
        </w:tblPrEx>
        <w:trPr>
          <w:gridAfter w:val="2"/>
          <w:trHeight w:val="60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2403CD" w:rsidRPr="00FC204F" w:rsidP="002403CD" w14:paraId="419F195A" w14:textId="77777777">
            <w:pPr>
              <w:rPr>
                <w:color w:val="000000"/>
              </w:rPr>
            </w:pPr>
            <w:r w:rsidRPr="00FC204F">
              <w:rPr>
                <w:color w:val="000000"/>
              </w:rPr>
              <w:t>Card Issuers</w:t>
            </w:r>
            <w:r>
              <w:rPr>
                <w:color w:val="000000"/>
              </w:rPr>
              <w:t>’</w:t>
            </w:r>
            <w:r w:rsidRPr="00FC204F">
              <w:rPr>
                <w:color w:val="000000"/>
              </w:rPr>
              <w:t xml:space="preserve"> Duties Regarding Changes of Address</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0F9C611F" w14:textId="35CEACD5">
            <w:pPr>
              <w:jc w:val="center"/>
              <w:rPr>
                <w:color w:val="000000"/>
              </w:rPr>
            </w:pPr>
            <w:r>
              <w:rPr>
                <w:color w:val="000000"/>
              </w:rPr>
              <w:t>7,052</w:t>
            </w:r>
          </w:p>
        </w:tc>
        <w:tc>
          <w:tcPr>
            <w:tcW w:w="1540"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7D46AA6A" w14:textId="77777777">
            <w:pPr>
              <w:jc w:val="center"/>
              <w:rPr>
                <w:color w:val="000000"/>
              </w:rPr>
            </w:pPr>
            <w:r w:rsidRPr="00FC204F">
              <w:rPr>
                <w:color w:val="000000"/>
              </w:rPr>
              <w:t>$</w:t>
            </w:r>
            <w:r>
              <w:rPr>
                <w:color w:val="000000"/>
              </w:rPr>
              <w:t>35</w:t>
            </w:r>
          </w:p>
        </w:tc>
        <w:tc>
          <w:tcPr>
            <w:tcW w:w="1536" w:type="dxa"/>
            <w:tcBorders>
              <w:top w:val="nil"/>
              <w:left w:val="nil"/>
              <w:bottom w:val="single" w:sz="4" w:space="0" w:color="auto"/>
              <w:right w:val="single" w:sz="4" w:space="0" w:color="auto"/>
            </w:tcBorders>
            <w:shd w:val="clear" w:color="auto" w:fill="auto"/>
            <w:noWrap/>
            <w:vAlign w:val="center"/>
            <w:hideMark/>
          </w:tcPr>
          <w:p w:rsidR="002403CD" w:rsidRPr="00FC204F" w:rsidP="002403CD" w14:paraId="1B04A1A4" w14:textId="67E7500B">
            <w:pPr>
              <w:jc w:val="center"/>
              <w:rPr>
                <w:color w:val="000000"/>
              </w:rPr>
            </w:pPr>
            <w:r>
              <w:rPr>
                <w:color w:val="000000"/>
              </w:rPr>
              <w:t>$246,820</w:t>
            </w:r>
          </w:p>
        </w:tc>
        <w:tc>
          <w:tcPr>
            <w:tcW w:w="0" w:type="auto"/>
            <w:vAlign w:val="bottom"/>
          </w:tcPr>
          <w:p w:rsidR="002403CD" w:rsidRPr="00FC204F" w:rsidP="002403CD" w14:paraId="4572A3DE" w14:textId="2891C4DA">
            <w:pPr>
              <w:spacing w:after="160" w:line="259" w:lineRule="auto"/>
            </w:pPr>
          </w:p>
        </w:tc>
      </w:tr>
      <w:tr w14:paraId="0A22BD81" w14:textId="1754A91D" w:rsidTr="002403CD">
        <w:tblPrEx>
          <w:tblW w:w="12980" w:type="dxa"/>
          <w:tblInd w:w="5" w:type="dxa"/>
          <w:tblLook w:val="04A0"/>
        </w:tblPrEx>
        <w:trPr>
          <w:gridAfter w:val="2"/>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3CD" w:rsidRPr="00881F0D" w:rsidP="002403CD" w14:paraId="429D07FF" w14:textId="77777777">
            <w:pPr>
              <w:jc w:val="right"/>
              <w:rPr>
                <w:b/>
                <w:bCs/>
                <w:color w:val="000000"/>
              </w:rPr>
            </w:pPr>
            <w:r w:rsidRPr="00881F0D">
              <w:rPr>
                <w:b/>
                <w:bCs/>
                <w:color w:val="000000"/>
              </w:rPr>
              <w:t>Total</w:t>
            </w:r>
          </w:p>
        </w:tc>
        <w:tc>
          <w:tcPr>
            <w:tcW w:w="1540" w:type="dxa"/>
            <w:tcBorders>
              <w:top w:val="nil"/>
              <w:left w:val="nil"/>
              <w:bottom w:val="single" w:sz="4" w:space="0" w:color="auto"/>
              <w:right w:val="single" w:sz="4" w:space="0" w:color="auto"/>
            </w:tcBorders>
            <w:shd w:val="clear" w:color="auto" w:fill="auto"/>
            <w:noWrap/>
            <w:vAlign w:val="bottom"/>
            <w:hideMark/>
          </w:tcPr>
          <w:p w:rsidR="002403CD" w:rsidRPr="00881F0D" w:rsidP="002403CD" w14:paraId="1D489EA0" w14:textId="0D150905">
            <w:pPr>
              <w:jc w:val="center"/>
              <w:rPr>
                <w:color w:val="000000"/>
              </w:rPr>
            </w:pPr>
            <w:r w:rsidRPr="00881F0D">
              <w:rPr>
                <w:color w:val="000000"/>
              </w:rPr>
              <w:t>227,2</w:t>
            </w:r>
            <w:r w:rsidR="006F4689">
              <w:rPr>
                <w:color w:val="000000"/>
              </w:rPr>
              <w:t>96</w:t>
            </w:r>
          </w:p>
        </w:tc>
        <w:tc>
          <w:tcPr>
            <w:tcW w:w="1540" w:type="dxa"/>
            <w:tcBorders>
              <w:top w:val="nil"/>
              <w:left w:val="nil"/>
              <w:bottom w:val="single" w:sz="4" w:space="0" w:color="auto"/>
              <w:right w:val="single" w:sz="4" w:space="0" w:color="auto"/>
            </w:tcBorders>
            <w:shd w:val="clear" w:color="auto" w:fill="auto"/>
            <w:noWrap/>
            <w:vAlign w:val="bottom"/>
            <w:hideMark/>
          </w:tcPr>
          <w:p w:rsidR="002403CD" w:rsidRPr="00881F0D" w:rsidP="002403CD" w14:paraId="05FA2390" w14:textId="77777777">
            <w:pPr>
              <w:rPr>
                <w:color w:val="000000"/>
              </w:rPr>
            </w:pPr>
            <w:r w:rsidRPr="00881F0D">
              <w:rPr>
                <w:color w:val="000000"/>
              </w:rPr>
              <w:t> </w:t>
            </w:r>
          </w:p>
        </w:tc>
        <w:tc>
          <w:tcPr>
            <w:tcW w:w="1536" w:type="dxa"/>
            <w:tcBorders>
              <w:top w:val="nil"/>
              <w:left w:val="nil"/>
              <w:bottom w:val="single" w:sz="4" w:space="0" w:color="auto"/>
              <w:right w:val="single" w:sz="4" w:space="0" w:color="auto"/>
            </w:tcBorders>
            <w:shd w:val="clear" w:color="auto" w:fill="auto"/>
            <w:noWrap/>
            <w:vAlign w:val="bottom"/>
            <w:hideMark/>
          </w:tcPr>
          <w:p w:rsidR="002403CD" w:rsidRPr="00FC204F" w:rsidP="002403CD" w14:paraId="68331112" w14:textId="694260B7">
            <w:pPr>
              <w:jc w:val="center"/>
              <w:rPr>
                <w:b/>
                <w:bCs/>
                <w:color w:val="000000"/>
              </w:rPr>
            </w:pPr>
            <w:r w:rsidRPr="00881F0D">
              <w:rPr>
                <w:b/>
                <w:bCs/>
                <w:color w:val="000000"/>
              </w:rPr>
              <w:t>$7,95</w:t>
            </w:r>
            <w:r w:rsidR="006F4689">
              <w:rPr>
                <w:b/>
                <w:bCs/>
                <w:color w:val="000000"/>
              </w:rPr>
              <w:t>5</w:t>
            </w:r>
            <w:r w:rsidRPr="00881F0D">
              <w:rPr>
                <w:b/>
                <w:bCs/>
                <w:color w:val="000000"/>
              </w:rPr>
              <w:t>,36</w:t>
            </w:r>
            <w:r w:rsidR="006F4689">
              <w:rPr>
                <w:b/>
                <w:bCs/>
                <w:color w:val="000000"/>
              </w:rPr>
              <w:t>0</w:t>
            </w:r>
          </w:p>
        </w:tc>
        <w:tc>
          <w:tcPr>
            <w:tcW w:w="0" w:type="auto"/>
            <w:vAlign w:val="bottom"/>
          </w:tcPr>
          <w:p w:rsidR="002403CD" w:rsidRPr="00FC204F" w:rsidP="002403CD" w14:paraId="25E881DF" w14:textId="7B39B37D">
            <w:pPr>
              <w:spacing w:after="160" w:line="259" w:lineRule="auto"/>
            </w:pPr>
          </w:p>
        </w:tc>
      </w:tr>
      <w:tr w14:paraId="3606DDA6" w14:textId="00E490A2" w:rsidTr="002403CD">
        <w:tblPrEx>
          <w:tblW w:w="12980" w:type="dxa"/>
          <w:tblInd w:w="5" w:type="dxa"/>
          <w:tblLook w:val="04A0"/>
        </w:tblPrEx>
        <w:trPr>
          <w:trHeight w:val="300"/>
        </w:trPr>
        <w:tc>
          <w:tcPr>
            <w:tcW w:w="3984" w:type="dxa"/>
            <w:tcBorders>
              <w:top w:val="single" w:sz="4" w:space="0" w:color="auto"/>
              <w:bottom w:val="single" w:sz="4" w:space="0" w:color="auto"/>
              <w:right w:val="single" w:sz="4" w:space="0" w:color="auto"/>
            </w:tcBorders>
            <w:shd w:val="clear" w:color="auto" w:fill="auto"/>
            <w:vAlign w:val="center"/>
          </w:tcPr>
          <w:p w:rsidR="002403CD" w:rsidP="002403CD" w14:paraId="71CCA8CB" w14:textId="77777777">
            <w:pPr>
              <w:jc w:val="right"/>
              <w:rPr>
                <w:b/>
                <w:bCs/>
                <w:color w:val="000000"/>
              </w:rPr>
            </w:pPr>
          </w:p>
        </w:tc>
        <w:tc>
          <w:tcPr>
            <w:tcW w:w="46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403CD" w:rsidRPr="00DF30DF" w:rsidP="002403CD" w14:paraId="53747705" w14:textId="77777777">
            <w:pPr>
              <w:jc w:val="center"/>
              <w:rPr>
                <w:bCs/>
                <w:color w:val="000000"/>
              </w:rPr>
            </w:pPr>
            <w:r w:rsidRPr="00DF30DF">
              <w:rPr>
                <w:bCs/>
                <w:color w:val="000000"/>
              </w:rPr>
              <w:t>Cost to Consumers</w:t>
            </w:r>
          </w:p>
        </w:tc>
        <w:tc>
          <w:tcPr>
            <w:tcW w:w="0" w:type="auto"/>
          </w:tcPr>
          <w:p w:rsidR="002403CD" w:rsidRPr="00FC204F" w:rsidP="002403CD" w14:paraId="5B8D4648" w14:textId="77777777">
            <w:pPr>
              <w:spacing w:after="160" w:line="259" w:lineRule="auto"/>
            </w:pPr>
          </w:p>
        </w:tc>
        <w:tc>
          <w:tcPr>
            <w:tcW w:w="0" w:type="auto"/>
          </w:tcPr>
          <w:p w:rsidR="002403CD" w:rsidRPr="00FC204F" w:rsidP="002403CD" w14:paraId="55CE112C" w14:textId="77777777">
            <w:pPr>
              <w:spacing w:after="160" w:line="259" w:lineRule="auto"/>
            </w:pPr>
          </w:p>
        </w:tc>
        <w:tc>
          <w:tcPr>
            <w:tcW w:w="0" w:type="auto"/>
            <w:vAlign w:val="bottom"/>
          </w:tcPr>
          <w:p w:rsidR="002403CD" w:rsidRPr="00FC204F" w:rsidP="002403CD" w14:paraId="5D75A232" w14:textId="04DC3082">
            <w:pPr>
              <w:spacing w:after="160" w:line="259" w:lineRule="auto"/>
            </w:pPr>
            <w:r>
              <w:rPr>
                <w:rFonts w:ascii="Calibri" w:hAnsi="Calibri" w:cs="Calibri"/>
                <w:color w:val="000000"/>
                <w:sz w:val="22"/>
                <w:szCs w:val="22"/>
              </w:rPr>
              <w:t xml:space="preserve"> </w:t>
            </w:r>
          </w:p>
        </w:tc>
      </w:tr>
      <w:tr w14:paraId="07F99163" w14:textId="0E3DA4A0" w:rsidTr="002403CD">
        <w:tblPrEx>
          <w:tblW w:w="12980" w:type="dxa"/>
          <w:tblInd w:w="5" w:type="dxa"/>
          <w:tblLook w:val="04A0"/>
        </w:tblPrEx>
        <w:trPr>
          <w:gridAfter w:val="2"/>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2403CD" w:rsidP="002403CD" w14:paraId="4071F32F" w14:textId="77777777">
            <w:pPr>
              <w:rPr>
                <w:b/>
                <w:bCs/>
                <w:color w:val="000000"/>
              </w:rPr>
            </w:pPr>
            <w:r w:rsidRPr="007D20CC">
              <w:rPr>
                <w:color w:val="000000"/>
              </w:rPr>
              <w:t>Prescreened Consumer Reports Opt-Out Notice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2403CD" w:rsidRPr="00CE3273" w:rsidP="002403CD" w14:paraId="6E8B2FA8" w14:textId="75F017C9">
            <w:pPr>
              <w:jc w:val="center"/>
              <w:rPr>
                <w:color w:val="000000"/>
              </w:rPr>
            </w:pPr>
            <w:r>
              <w:rPr>
                <w:bCs/>
                <w:color w:val="000000"/>
              </w:rPr>
              <w:t>11,493</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2403CD" w:rsidRPr="00CE3273" w:rsidP="002403CD" w14:paraId="6CB03B36" w14:textId="77777777">
            <w:pPr>
              <w:jc w:val="center"/>
              <w:rPr>
                <w:color w:val="000000"/>
              </w:rPr>
            </w:pPr>
            <w:r w:rsidRPr="00CE3273">
              <w:rPr>
                <w:color w:val="000000"/>
              </w:rPr>
              <w:t>$</w:t>
            </w:r>
            <w:r>
              <w:rPr>
                <w:color w:val="000000"/>
              </w:rPr>
              <w:t>36.70</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2403CD" w:rsidRPr="00CE3273" w:rsidP="002403CD" w14:paraId="3FDC7822" w14:textId="5F75636E">
            <w:pPr>
              <w:jc w:val="center"/>
              <w:rPr>
                <w:bCs/>
                <w:color w:val="000000"/>
              </w:rPr>
            </w:pPr>
            <w:r w:rsidRPr="00CE3273">
              <w:rPr>
                <w:bCs/>
                <w:color w:val="000000"/>
              </w:rPr>
              <w:t>$</w:t>
            </w:r>
            <w:r>
              <w:rPr>
                <w:bCs/>
                <w:color w:val="000000"/>
              </w:rPr>
              <w:t>421,793</w:t>
            </w:r>
          </w:p>
        </w:tc>
        <w:tc>
          <w:tcPr>
            <w:tcW w:w="0" w:type="auto"/>
            <w:vAlign w:val="bottom"/>
          </w:tcPr>
          <w:p w:rsidR="002403CD" w:rsidRPr="00FC204F" w:rsidP="002403CD" w14:paraId="6DE146D8" w14:textId="6FA7A982">
            <w:pPr>
              <w:spacing w:after="160" w:line="259" w:lineRule="auto"/>
            </w:pPr>
          </w:p>
        </w:tc>
      </w:tr>
      <w:tr w14:paraId="0583F764" w14:textId="0446B523" w:rsidTr="002403CD">
        <w:tblPrEx>
          <w:tblW w:w="12980" w:type="dxa"/>
          <w:tblInd w:w="5" w:type="dxa"/>
          <w:tblLook w:val="04A0"/>
        </w:tblPrEx>
        <w:trPr>
          <w:gridAfter w:val="2"/>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2403CD" w:rsidP="002403CD" w14:paraId="0C4B3F10" w14:textId="77777777">
            <w:pPr>
              <w:rPr>
                <w:b/>
                <w:bCs/>
                <w:color w:val="000000"/>
              </w:rPr>
            </w:pPr>
            <w:r w:rsidRPr="007D20CC">
              <w:rPr>
                <w:color w:val="000000"/>
              </w:rPr>
              <w:t>Affiliate Marketing Opt-Out Notice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2403CD" w:rsidRPr="00B04B6F" w:rsidP="002403CD" w14:paraId="3DBEEFDA" w14:textId="466560C1">
            <w:pPr>
              <w:jc w:val="center"/>
              <w:rPr>
                <w:color w:val="000000"/>
              </w:rPr>
            </w:pPr>
            <w:r w:rsidRPr="00090C0E">
              <w:rPr>
                <w:bCs/>
                <w:color w:val="000000"/>
              </w:rPr>
              <w:t>8,041</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2403CD" w:rsidRPr="00B04B6F" w:rsidP="002403CD" w14:paraId="61044A05" w14:textId="77777777">
            <w:pPr>
              <w:jc w:val="center"/>
              <w:rPr>
                <w:color w:val="000000"/>
              </w:rPr>
            </w:pPr>
            <w:r w:rsidRPr="00B04B6F">
              <w:rPr>
                <w:color w:val="000000"/>
              </w:rPr>
              <w:t>$36.70</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2403CD" w:rsidRPr="00B04B6F" w:rsidP="002403CD" w14:paraId="7C989B1F" w14:textId="493B1B8B">
            <w:pPr>
              <w:jc w:val="center"/>
              <w:rPr>
                <w:b/>
                <w:bCs/>
                <w:color w:val="000000"/>
              </w:rPr>
            </w:pPr>
            <w:r w:rsidRPr="00B04B6F">
              <w:rPr>
                <w:bCs/>
                <w:color w:val="000000"/>
              </w:rPr>
              <w:t>$</w:t>
            </w:r>
            <w:r w:rsidRPr="00090C0E">
              <w:rPr>
                <w:bCs/>
                <w:color w:val="000000"/>
              </w:rPr>
              <w:t>295</w:t>
            </w:r>
            <w:r w:rsidRPr="00B04B6F">
              <w:rPr>
                <w:bCs/>
                <w:color w:val="000000"/>
              </w:rPr>
              <w:t>,</w:t>
            </w:r>
            <w:r w:rsidRPr="00090C0E">
              <w:rPr>
                <w:bCs/>
                <w:color w:val="000000"/>
              </w:rPr>
              <w:t>10</w:t>
            </w:r>
            <w:r>
              <w:rPr>
                <w:bCs/>
                <w:color w:val="000000"/>
              </w:rPr>
              <w:t>5</w:t>
            </w:r>
          </w:p>
        </w:tc>
        <w:tc>
          <w:tcPr>
            <w:tcW w:w="0" w:type="auto"/>
            <w:vAlign w:val="bottom"/>
          </w:tcPr>
          <w:p w:rsidR="002403CD" w:rsidRPr="00FC204F" w:rsidP="002403CD" w14:paraId="279FC1E1" w14:textId="0E1EDE09">
            <w:pPr>
              <w:spacing w:after="160" w:line="259" w:lineRule="auto"/>
            </w:pPr>
          </w:p>
        </w:tc>
      </w:tr>
      <w:tr w14:paraId="54C48B43" w14:textId="6DFB7DEA" w:rsidTr="002403CD">
        <w:tblPrEx>
          <w:tblW w:w="12980" w:type="dxa"/>
          <w:tblInd w:w="5" w:type="dxa"/>
          <w:tblLook w:val="04A0"/>
        </w:tblPrEx>
        <w:trPr>
          <w:gridAfter w:val="2"/>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2403CD" w:rsidP="002403CD" w14:paraId="32B66602" w14:textId="77777777">
            <w:pPr>
              <w:jc w:val="right"/>
              <w:rPr>
                <w:b/>
                <w:bCs/>
                <w:color w:val="000000"/>
              </w:rPr>
            </w:pPr>
            <w:r>
              <w:rPr>
                <w:b/>
                <w:bCs/>
                <w:color w:val="000000"/>
              </w:rPr>
              <w:t>T</w:t>
            </w:r>
            <w:r w:rsidRPr="00FC204F">
              <w:rPr>
                <w:b/>
                <w:bCs/>
                <w:color w:val="000000"/>
              </w:rPr>
              <w:t>otal</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2403CD" w:rsidRPr="00CE3273" w:rsidP="002403CD" w14:paraId="1A743ACA" w14:textId="61024F0B">
            <w:pPr>
              <w:jc w:val="center"/>
              <w:rPr>
                <w:color w:val="000000"/>
              </w:rPr>
            </w:pPr>
            <w:r>
              <w:rPr>
                <w:color w:val="000000"/>
              </w:rPr>
              <w:t>19,534</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2403CD" w:rsidRPr="00CE3273" w:rsidP="002403CD" w14:paraId="7800059C" w14:textId="77777777">
            <w:pPr>
              <w:rPr>
                <w:color w:val="000000"/>
              </w:rPr>
            </w:pPr>
          </w:p>
        </w:tc>
        <w:tc>
          <w:tcPr>
            <w:tcW w:w="1536" w:type="dxa"/>
            <w:tcBorders>
              <w:top w:val="single" w:sz="4" w:space="0" w:color="auto"/>
              <w:left w:val="nil"/>
              <w:bottom w:val="single" w:sz="4" w:space="0" w:color="auto"/>
              <w:right w:val="single" w:sz="4" w:space="0" w:color="auto"/>
            </w:tcBorders>
            <w:shd w:val="clear" w:color="auto" w:fill="auto"/>
            <w:noWrap/>
            <w:vAlign w:val="bottom"/>
          </w:tcPr>
          <w:p w:rsidR="002403CD" w:rsidRPr="00CE3273" w:rsidP="002403CD" w14:paraId="33E434A6" w14:textId="46DDBBDC">
            <w:pPr>
              <w:jc w:val="center"/>
              <w:rPr>
                <w:b/>
                <w:bCs/>
                <w:color w:val="000000"/>
              </w:rPr>
            </w:pPr>
            <w:r w:rsidRPr="00CE3273">
              <w:rPr>
                <w:b/>
                <w:bCs/>
                <w:color w:val="000000"/>
              </w:rPr>
              <w:t>$</w:t>
            </w:r>
            <w:r>
              <w:rPr>
                <w:b/>
                <w:bCs/>
                <w:color w:val="000000"/>
              </w:rPr>
              <w:t>716,898</w:t>
            </w:r>
          </w:p>
        </w:tc>
        <w:tc>
          <w:tcPr>
            <w:tcW w:w="0" w:type="auto"/>
            <w:vAlign w:val="bottom"/>
          </w:tcPr>
          <w:p w:rsidR="002403CD" w:rsidRPr="00FC204F" w:rsidP="002403CD" w14:paraId="641A6B4C" w14:textId="5138B1D8">
            <w:pPr>
              <w:spacing w:after="160" w:line="259" w:lineRule="auto"/>
            </w:pPr>
          </w:p>
        </w:tc>
      </w:tr>
    </w:tbl>
    <w:p w:rsidR="003875E9" w:rsidRPr="00E44F63" w:rsidP="007D20CC" w14:paraId="131F63B5" w14:textId="77777777">
      <w:pPr>
        <w:tabs>
          <w:tab w:val="left" w:pos="-1080"/>
          <w:tab w:val="left" w:pos="-720"/>
          <w:tab w:val="left" w:pos="0"/>
          <w:tab w:val="left" w:pos="450"/>
          <w:tab w:val="left" w:pos="720"/>
          <w:tab w:val="left" w:pos="2160"/>
        </w:tabs>
      </w:pPr>
    </w:p>
    <w:p w:rsidR="003D43E6" w:rsidRPr="003875E9" w:rsidP="00AE7CD7" w14:paraId="3640CC7A" w14:textId="77777777">
      <w:pPr>
        <w:pStyle w:val="ListParagraph"/>
        <w:numPr>
          <w:ilvl w:val="0"/>
          <w:numId w:val="2"/>
        </w:numPr>
        <w:tabs>
          <w:tab w:val="left" w:pos="720"/>
        </w:tabs>
        <w:ind w:left="0" w:firstLine="0"/>
        <w:rPr>
          <w:b/>
        </w:rPr>
      </w:pPr>
      <w:r w:rsidRPr="00E44F63">
        <w:rPr>
          <w:b/>
        </w:rPr>
        <w:t>C</w:t>
      </w:r>
      <w:r w:rsidR="00E33DF3">
        <w:rPr>
          <w:b/>
        </w:rPr>
        <w:t>apital start-up or ongoing maintenance c</w:t>
      </w:r>
      <w:r w:rsidRPr="00E44F63">
        <w:rPr>
          <w:b/>
        </w:rPr>
        <w:t>osts</w:t>
      </w:r>
      <w:r w:rsidR="00E33DF3">
        <w:rPr>
          <w:b/>
        </w:rPr>
        <w:t>:</w:t>
      </w:r>
    </w:p>
    <w:p w:rsidR="003D43E6" w:rsidP="00AE7CD7" w14:paraId="6EF14739" w14:textId="77777777">
      <w:pPr>
        <w:pStyle w:val="ListParagraph"/>
        <w:tabs>
          <w:tab w:val="left" w:pos="720"/>
        </w:tabs>
        <w:ind w:left="0"/>
      </w:pPr>
    </w:p>
    <w:p w:rsidR="001C5A86" w:rsidRPr="001C5A86" w:rsidP="00AE7CD7" w14:paraId="39464CEB" w14:textId="77777777">
      <w:pPr>
        <w:pStyle w:val="ListParagraph"/>
        <w:tabs>
          <w:tab w:val="left" w:pos="720"/>
        </w:tabs>
        <w:ind w:left="0"/>
      </w:pPr>
      <w:r>
        <w:t>Other than the costs to respondents that are associated with the usual customary and business practice, t</w:t>
      </w:r>
      <w:r w:rsidR="00427612">
        <w:t>here are not capital/start-up or ongoing operations/maintenance costs associated with this information collection</w:t>
      </w:r>
      <w:r w:rsidR="002067A4">
        <w:t>.</w:t>
      </w:r>
    </w:p>
    <w:p w:rsidR="00695089" w:rsidRPr="001C5A86" w:rsidP="00AE7CD7" w14:paraId="5901ACE9" w14:textId="77777777">
      <w:pPr>
        <w:pStyle w:val="ListParagraph"/>
        <w:tabs>
          <w:tab w:val="left" w:pos="720"/>
        </w:tabs>
        <w:ind w:left="0"/>
      </w:pPr>
    </w:p>
    <w:p w:rsidR="00695089" w:rsidRPr="00E44F63" w:rsidP="00AE7CD7" w14:paraId="305342CF" w14:textId="77777777">
      <w:pPr>
        <w:pStyle w:val="ListParagraph"/>
        <w:numPr>
          <w:ilvl w:val="0"/>
          <w:numId w:val="2"/>
        </w:numPr>
        <w:tabs>
          <w:tab w:val="left" w:pos="720"/>
        </w:tabs>
        <w:ind w:left="0" w:firstLine="0"/>
        <w:rPr>
          <w:b/>
        </w:rPr>
      </w:pPr>
      <w:r>
        <w:rPr>
          <w:b/>
        </w:rPr>
        <w:t>Annualized c</w:t>
      </w:r>
      <w:r w:rsidRPr="00E44F63">
        <w:rPr>
          <w:b/>
        </w:rPr>
        <w:t>osts to Federal Government</w:t>
      </w:r>
    </w:p>
    <w:p w:rsidR="00695089" w:rsidP="00695089" w14:paraId="0536C2B7"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695089" w:rsidRPr="00766CF8" w:rsidP="009E2224" w14:paraId="20D88CD9"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60" w:hanging="360"/>
      </w:pPr>
      <w:r>
        <w:t>There are no</w:t>
      </w:r>
      <w:r w:rsidR="00427612">
        <w:t xml:space="preserve"> costs to the Federal Government</w:t>
      </w:r>
      <w:r>
        <w:t>.</w:t>
      </w:r>
    </w:p>
    <w:p w:rsidR="00695089" w:rsidRPr="00E44F63" w:rsidP="00695089" w14:paraId="2EA0144F" w14:textId="77777777">
      <w:pPr>
        <w:pStyle w:val="ListParagraph"/>
        <w:ind w:left="0" w:hanging="360"/>
        <w:rPr>
          <w:b/>
        </w:rPr>
      </w:pPr>
    </w:p>
    <w:p w:rsidR="00695089" w:rsidP="00AE7CD7" w14:paraId="4E37EC5F" w14:textId="77777777">
      <w:pPr>
        <w:pStyle w:val="ListParagraph"/>
        <w:numPr>
          <w:ilvl w:val="0"/>
          <w:numId w:val="2"/>
        </w:numPr>
        <w:tabs>
          <w:tab w:val="left" w:pos="720"/>
        </w:tabs>
        <w:ind w:left="0" w:firstLine="0"/>
        <w:rPr>
          <w:b/>
        </w:rPr>
      </w:pPr>
      <w:r w:rsidRPr="00E44F63">
        <w:rPr>
          <w:b/>
        </w:rPr>
        <w:t>Change</w:t>
      </w:r>
      <w:r>
        <w:rPr>
          <w:b/>
        </w:rPr>
        <w:t>s in Burden</w:t>
      </w:r>
    </w:p>
    <w:p w:rsidR="00695089" w:rsidRPr="002D4D15" w:rsidP="00AE7CD7" w14:paraId="5273D1E6" w14:textId="77777777">
      <w:pPr>
        <w:pStyle w:val="ListParagraph"/>
        <w:tabs>
          <w:tab w:val="left" w:pos="720"/>
        </w:tabs>
        <w:ind w:left="0"/>
      </w:pPr>
    </w:p>
    <w:p w:rsidR="00695089" w:rsidRPr="00EB504E" w:rsidP="00AE7CD7" w14:paraId="40485925" w14:textId="77777777">
      <w:pPr>
        <w:pStyle w:val="ListParagraph"/>
        <w:tabs>
          <w:tab w:val="left" w:pos="720"/>
        </w:tabs>
        <w:ind w:left="0"/>
      </w:pPr>
      <w:r>
        <w:t>The information collection b</w:t>
      </w:r>
      <w:r w:rsidR="008C3DBE">
        <w:t xml:space="preserve">urden has changed due to </w:t>
      </w:r>
      <w:r>
        <w:t>adjustments</w:t>
      </w:r>
      <w:r w:rsidR="008C3DBE">
        <w:t xml:space="preserve"> in the estimate of respondents. </w:t>
      </w:r>
    </w:p>
    <w:p w:rsidR="00695089" w:rsidRPr="002D4D15" w:rsidP="00AE7CD7" w14:paraId="3290AC32" w14:textId="77777777">
      <w:pPr>
        <w:tabs>
          <w:tab w:val="left" w:pos="720"/>
        </w:tabs>
      </w:pPr>
    </w:p>
    <w:p w:rsidR="00695089" w:rsidRPr="00E44F63" w:rsidP="00AE7CD7" w14:paraId="732AC623" w14:textId="77777777">
      <w:pPr>
        <w:pStyle w:val="ListParagraph"/>
        <w:numPr>
          <w:ilvl w:val="0"/>
          <w:numId w:val="2"/>
        </w:numPr>
        <w:tabs>
          <w:tab w:val="left" w:pos="0"/>
          <w:tab w:val="left" w:pos="720"/>
        </w:tabs>
        <w:ind w:left="0" w:firstLine="0"/>
        <w:rPr>
          <w:b/>
        </w:rPr>
      </w:pPr>
      <w:r>
        <w:rPr>
          <w:b/>
        </w:rPr>
        <w:t xml:space="preserve">Information </w:t>
      </w:r>
      <w:r w:rsidR="008C3DBE">
        <w:rPr>
          <w:b/>
        </w:rPr>
        <w:t>c</w:t>
      </w:r>
      <w:r>
        <w:rPr>
          <w:b/>
        </w:rPr>
        <w:t xml:space="preserve">ollection </w:t>
      </w:r>
      <w:r w:rsidR="008C3DBE">
        <w:rPr>
          <w:b/>
        </w:rPr>
        <w:t>p</w:t>
      </w:r>
      <w:r>
        <w:rPr>
          <w:b/>
        </w:rPr>
        <w:t xml:space="preserve">lanned for </w:t>
      </w:r>
      <w:r w:rsidR="008C3DBE">
        <w:rPr>
          <w:b/>
        </w:rPr>
        <w:t>s</w:t>
      </w:r>
      <w:r>
        <w:rPr>
          <w:b/>
        </w:rPr>
        <w:t xml:space="preserve">tatistical </w:t>
      </w:r>
      <w:r w:rsidR="008C3DBE">
        <w:rPr>
          <w:b/>
        </w:rPr>
        <w:t>p</w:t>
      </w:r>
      <w:r>
        <w:rPr>
          <w:b/>
        </w:rPr>
        <w:t>urposes</w:t>
      </w:r>
      <w:r w:rsidR="008C3DBE">
        <w:rPr>
          <w:b/>
        </w:rPr>
        <w:t>:</w:t>
      </w:r>
    </w:p>
    <w:p w:rsidR="00695089" w:rsidP="00AE7CD7" w14:paraId="4B0033F6" w14:textId="77777777">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pPr>
    </w:p>
    <w:p w:rsidR="00695089" w:rsidRPr="00631257" w:rsidP="00AE7CD7" w14:paraId="61D638F6" w14:textId="77777777">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pPr>
      <w:r>
        <w:t xml:space="preserve">The information is not </w:t>
      </w:r>
      <w:r w:rsidR="008C3DBE">
        <w:t>planned</w:t>
      </w:r>
      <w:r>
        <w:t xml:space="preserve"> for pu</w:t>
      </w:r>
      <w:r w:rsidR="008C3DBE">
        <w:t>blication</w:t>
      </w:r>
      <w:r>
        <w:t>.</w:t>
      </w:r>
    </w:p>
    <w:p w:rsidR="00695089" w:rsidRPr="00E44F63" w:rsidP="00AE7CD7" w14:paraId="725411FA" w14:textId="77777777">
      <w:pPr>
        <w:tabs>
          <w:tab w:val="left" w:pos="720"/>
        </w:tabs>
      </w:pPr>
    </w:p>
    <w:p w:rsidR="00695089" w:rsidP="00AE7CD7" w14:paraId="1E429125" w14:textId="77777777">
      <w:pPr>
        <w:pStyle w:val="ListParagraph"/>
        <w:keepNext/>
        <w:numPr>
          <w:ilvl w:val="0"/>
          <w:numId w:val="2"/>
        </w:numPr>
        <w:tabs>
          <w:tab w:val="left" w:pos="720"/>
        </w:tabs>
        <w:ind w:left="0" w:firstLine="0"/>
        <w:rPr>
          <w:b/>
        </w:rPr>
      </w:pPr>
      <w:r>
        <w:rPr>
          <w:b/>
        </w:rPr>
        <w:t>Request non-display the</w:t>
      </w:r>
      <w:r>
        <w:rPr>
          <w:b/>
        </w:rPr>
        <w:t xml:space="preserve"> </w:t>
      </w:r>
      <w:r>
        <w:rPr>
          <w:b/>
        </w:rPr>
        <w:t>e</w:t>
      </w:r>
      <w:r>
        <w:rPr>
          <w:b/>
        </w:rPr>
        <w:t>xpiration</w:t>
      </w:r>
      <w:r w:rsidRPr="00E44F63">
        <w:rPr>
          <w:b/>
        </w:rPr>
        <w:t xml:space="preserve"> </w:t>
      </w:r>
      <w:r>
        <w:rPr>
          <w:b/>
        </w:rPr>
        <w:t>d</w:t>
      </w:r>
      <w:r w:rsidRPr="00E44F63">
        <w:rPr>
          <w:b/>
        </w:rPr>
        <w:t>ate</w:t>
      </w:r>
      <w:r>
        <w:rPr>
          <w:b/>
        </w:rPr>
        <w:t xml:space="preserve"> of the OMB control number:</w:t>
      </w:r>
    </w:p>
    <w:p w:rsidR="00695089" w:rsidP="00AE7CD7" w14:paraId="7AC6EC83" w14:textId="77777777">
      <w:pPr>
        <w:pStyle w:val="ListParagraph"/>
        <w:keepNext/>
        <w:tabs>
          <w:tab w:val="left" w:pos="720"/>
        </w:tabs>
        <w:ind w:left="0"/>
        <w:rPr>
          <w:b/>
        </w:rPr>
      </w:pPr>
    </w:p>
    <w:p w:rsidR="00695089" w:rsidRPr="00790CA4" w:rsidP="00AE7CD7" w14:paraId="3C6C6702" w14:textId="77777777">
      <w:pPr>
        <w:pStyle w:val="ListParagraph"/>
        <w:keepNext/>
        <w:tabs>
          <w:tab w:val="left" w:pos="720"/>
        </w:tabs>
        <w:ind w:left="0"/>
        <w:rPr>
          <w:b/>
        </w:rPr>
      </w:pPr>
      <w:r>
        <w:t xml:space="preserve">The OMB control number and expiration date associated with this PRA submission will be displayed on the Federal government’s electronic PRA docket </w:t>
      </w:r>
      <w:r w:rsidR="001F64A1">
        <w:t xml:space="preserve">website </w:t>
      </w:r>
      <w:r>
        <w:t xml:space="preserve">at </w:t>
      </w:r>
      <w:hyperlink r:id="rId6" w:history="1">
        <w:r w:rsidRPr="00326175" w:rsidR="001F64A1">
          <w:rPr>
            <w:rStyle w:val="Hyperlink"/>
          </w:rPr>
          <w:t>www.reginfo.gov</w:t>
        </w:r>
      </w:hyperlink>
      <w:r w:rsidR="001F64A1">
        <w:t xml:space="preserve">. </w:t>
      </w:r>
    </w:p>
    <w:p w:rsidR="00695089" w:rsidRPr="00E44F63" w:rsidP="00AE7CD7" w14:paraId="25B896AA"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rsidR="00695089" w:rsidRPr="00E44F63" w:rsidP="00AE7CD7" w14:paraId="3578B08E" w14:textId="77777777">
      <w:pPr>
        <w:pStyle w:val="ListParagraph"/>
        <w:numPr>
          <w:ilvl w:val="0"/>
          <w:numId w:val="2"/>
        </w:numPr>
        <w:tabs>
          <w:tab w:val="left" w:pos="720"/>
        </w:tabs>
        <w:ind w:left="0" w:firstLine="0"/>
        <w:rPr>
          <w:b/>
        </w:rPr>
      </w:pPr>
      <w:r w:rsidRPr="00E44F63">
        <w:rPr>
          <w:b/>
        </w:rPr>
        <w:t xml:space="preserve">Exceptions to </w:t>
      </w:r>
      <w:r w:rsidR="00AA0781">
        <w:rPr>
          <w:b/>
        </w:rPr>
        <w:t>c</w:t>
      </w:r>
      <w:r w:rsidRPr="00E44F63">
        <w:rPr>
          <w:b/>
        </w:rPr>
        <w:t xml:space="preserve">ertification for Paperwork Reduction Act </w:t>
      </w:r>
      <w:r w:rsidR="00AA0781">
        <w:rPr>
          <w:b/>
        </w:rPr>
        <w:t>s</w:t>
      </w:r>
      <w:r w:rsidRPr="00E44F63">
        <w:rPr>
          <w:b/>
        </w:rPr>
        <w:t>ubmissions</w:t>
      </w:r>
      <w:r w:rsidR="00AA0781">
        <w:rPr>
          <w:b/>
        </w:rPr>
        <w:t>:</w:t>
      </w:r>
    </w:p>
    <w:p w:rsidR="00695089" w:rsidP="00AE7CD7" w14:paraId="721A0549" w14:textId="77777777">
      <w:pPr>
        <w:tabs>
          <w:tab w:val="left" w:pos="-720"/>
          <w:tab w:val="left" w:pos="286"/>
          <w:tab w:val="left" w:pos="403"/>
          <w:tab w:val="left" w:pos="720"/>
        </w:tabs>
        <w:suppressAutoHyphens/>
      </w:pPr>
    </w:p>
    <w:p w:rsidR="00695089" w:rsidP="00AE7CD7" w14:paraId="6B49A938" w14:textId="77777777">
      <w:pPr>
        <w:tabs>
          <w:tab w:val="left" w:pos="-720"/>
          <w:tab w:val="left" w:pos="286"/>
          <w:tab w:val="left" w:pos="403"/>
          <w:tab w:val="left" w:pos="720"/>
        </w:tabs>
        <w:suppressAutoHyphens/>
      </w:pPr>
      <w:r>
        <w:t>Th</w:t>
      </w:r>
      <w:r w:rsidR="00AA0781">
        <w:t>ere are no exceptions to the certification statement.</w:t>
      </w:r>
    </w:p>
    <w:p w:rsidR="00110CC1" w:rsidP="009E2224" w14:paraId="03EDB22C" w14:textId="77777777">
      <w:pPr>
        <w:tabs>
          <w:tab w:val="left" w:pos="-720"/>
          <w:tab w:val="left" w:pos="286"/>
          <w:tab w:val="left" w:pos="403"/>
        </w:tabs>
        <w:suppressAutoHyphens/>
        <w:ind w:left="360" w:hanging="360"/>
      </w:pPr>
    </w:p>
    <w:p w:rsidR="004402CA" w:rsidP="009E2224" w14:paraId="50D8F9F5" w14:textId="77777777">
      <w:pPr>
        <w:tabs>
          <w:tab w:val="left" w:pos="-720"/>
          <w:tab w:val="left" w:pos="286"/>
          <w:tab w:val="left" w:pos="403"/>
        </w:tabs>
        <w:suppressAutoHyphens/>
        <w:ind w:left="360" w:hanging="360"/>
      </w:pPr>
    </w:p>
    <w:p w:rsidR="004402CA" w:rsidP="009E2224" w14:paraId="2EF9F9C8" w14:textId="77777777">
      <w:pPr>
        <w:tabs>
          <w:tab w:val="left" w:pos="-720"/>
          <w:tab w:val="left" w:pos="286"/>
          <w:tab w:val="left" w:pos="403"/>
        </w:tabs>
        <w:suppressAutoHyphens/>
        <w:ind w:left="360" w:hanging="360"/>
      </w:pPr>
    </w:p>
    <w:p w:rsidR="00695089" w:rsidP="00695089" w14:paraId="46F035F6" w14:textId="77777777">
      <w:pPr>
        <w:tabs>
          <w:tab w:val="left" w:pos="-720"/>
          <w:tab w:val="left" w:pos="286"/>
          <w:tab w:val="left" w:pos="403"/>
        </w:tabs>
        <w:suppressAutoHyphens/>
        <w:ind w:hanging="360"/>
      </w:pPr>
    </w:p>
    <w:p w:rsidR="00695089" w:rsidP="00110CC1" w14:paraId="08530313" w14:textId="77777777">
      <w:pPr>
        <w:pStyle w:val="ListParagraph"/>
        <w:numPr>
          <w:ilvl w:val="0"/>
          <w:numId w:val="1"/>
        </w:numPr>
        <w:suppressAutoHyphens/>
        <w:ind w:left="720" w:hanging="720"/>
      </w:pPr>
      <w:r w:rsidRPr="00110CC1">
        <w:rPr>
          <w:b/>
          <w:caps/>
        </w:rPr>
        <w:t>Collections of Information Employing Statistical Methods</w:t>
      </w:r>
    </w:p>
    <w:p w:rsidR="00695089" w:rsidP="00695089" w14:paraId="73A9A82C" w14:textId="77777777">
      <w:pPr>
        <w:pStyle w:val="ListParagraph"/>
        <w:tabs>
          <w:tab w:val="left" w:pos="-720"/>
          <w:tab w:val="left" w:pos="286"/>
          <w:tab w:val="left" w:pos="403"/>
        </w:tabs>
        <w:suppressAutoHyphens/>
        <w:ind w:left="-360"/>
      </w:pPr>
    </w:p>
    <w:p w:rsidR="00695089" w:rsidRPr="00695089" w:rsidP="009E2224" w14:paraId="4EA589A2" w14:textId="77777777">
      <w:pPr>
        <w:pStyle w:val="ListParagraph"/>
        <w:tabs>
          <w:tab w:val="left" w:pos="-720"/>
          <w:tab w:val="left" w:pos="286"/>
          <w:tab w:val="left" w:pos="403"/>
        </w:tabs>
        <w:suppressAutoHyphens/>
        <w:ind w:left="0"/>
      </w:pPr>
      <w:r>
        <w:t>This collection does not involve statistical methods</w:t>
      </w:r>
      <w:r w:rsidR="007F338E">
        <w:t>.</w:t>
      </w:r>
    </w:p>
    <w:sectPr w:rsidSect="009F0B58">
      <w:footerReference w:type="default" r:id="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7681743"/>
      <w:docPartObj>
        <w:docPartGallery w:val="Page Numbers (Bottom of Page)"/>
        <w:docPartUnique/>
      </w:docPartObj>
    </w:sdtPr>
    <w:sdtEndPr>
      <w:rPr>
        <w:noProof/>
      </w:rPr>
    </w:sdtEndPr>
    <w:sdtContent>
      <w:p w:rsidR="00E33DF3" w:rsidP="003058AB" w14:paraId="29746C9D" w14:textId="7A1CC7E0">
        <w:pPr>
          <w:pStyle w:val="Footer"/>
        </w:pPr>
        <w:r w:rsidRPr="003058AB">
          <w:rPr>
            <w:i/>
            <w:sz w:val="20"/>
            <w:szCs w:val="20"/>
          </w:rPr>
          <w:t>OMB No. 3133-0165</w:t>
        </w:r>
        <w:r w:rsidR="003266A5">
          <w:rPr>
            <w:i/>
            <w:sz w:val="20"/>
            <w:szCs w:val="20"/>
          </w:rPr>
          <w:t xml:space="preserve">; </w:t>
        </w:r>
        <w:r w:rsidR="00FE2DF1">
          <w:rPr>
            <w:i/>
            <w:sz w:val="20"/>
            <w:szCs w:val="20"/>
          </w:rPr>
          <w:t>May</w:t>
        </w:r>
        <w:r w:rsidR="003266A5">
          <w:rPr>
            <w:i/>
            <w:sz w:val="20"/>
            <w:szCs w:val="20"/>
          </w:rPr>
          <w:t xml:space="preserve"> 202</w:t>
        </w:r>
        <w:r w:rsidR="00FE2DF1">
          <w:rPr>
            <w:i/>
            <w:sz w:val="20"/>
            <w:szCs w:val="20"/>
          </w:rPr>
          <w:t>4</w:t>
        </w:r>
        <w:r>
          <w:tab/>
        </w:r>
        <w:r>
          <w:tab/>
        </w:r>
        <w:r>
          <w:fldChar w:fldCharType="begin"/>
        </w:r>
        <w:r>
          <w:instrText xml:space="preserve"> PAGE   \* MERGEFORMAT </w:instrText>
        </w:r>
        <w:r>
          <w:fldChar w:fldCharType="separate"/>
        </w:r>
        <w:r w:rsidR="00D05D6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0282" w:rsidP="00695089" w14:paraId="708EAF2F" w14:textId="77777777">
      <w:r>
        <w:separator/>
      </w:r>
    </w:p>
  </w:footnote>
  <w:footnote w:type="continuationSeparator" w:id="1">
    <w:p w:rsidR="00110282" w:rsidP="00695089" w14:paraId="2FF1B870" w14:textId="77777777">
      <w:r>
        <w:continuationSeparator/>
      </w:r>
    </w:p>
  </w:footnote>
  <w:footnote w:id="2">
    <w:p w:rsidR="00E33DF3" w:rsidP="0074213A" w14:paraId="09FE280C" w14:textId="77777777">
      <w:pPr>
        <w:pStyle w:val="FootnoteText"/>
      </w:pPr>
      <w:r>
        <w:rPr>
          <w:rStyle w:val="FootnoteReference"/>
        </w:rPr>
        <w:footnoteRef/>
      </w:r>
      <w:r>
        <w:t xml:space="preserve"> 15 U.S.C. 1681 </w:t>
      </w:r>
      <w:r w:rsidRPr="00225DFD">
        <w:rPr>
          <w:u w:val="single"/>
        </w:rPr>
        <w:t>et seq.</w:t>
      </w:r>
    </w:p>
  </w:footnote>
  <w:footnote w:id="3">
    <w:p w:rsidR="00E33DF3" w14:paraId="76530F7A" w14:textId="77777777">
      <w:pPr>
        <w:pStyle w:val="FootnoteText"/>
      </w:pPr>
      <w:r>
        <w:rPr>
          <w:rStyle w:val="FootnoteReference"/>
        </w:rPr>
        <w:footnoteRef/>
      </w:r>
      <w:r>
        <w:t xml:space="preserve"> The DFA did not transfer rulemaking authority under FCRA over any motor vehicle dealer that is predominantly engaged in the sale and servicing of motor vehicles, the leasing and servicing of motor vehicles, or both, subject to certain exceptions.  See section 1029 of the DFA.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E69F6"/>
    <w:multiLevelType w:val="hybridMultilevel"/>
    <w:tmpl w:val="873A5A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9B92AFE"/>
    <w:multiLevelType w:val="hybridMultilevel"/>
    <w:tmpl w:val="1B0279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CFF284A"/>
    <w:multiLevelType w:val="hybridMultilevel"/>
    <w:tmpl w:val="B2DC10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2EB452E"/>
    <w:multiLevelType w:val="hybridMultilevel"/>
    <w:tmpl w:val="8E3E7B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6CE3065"/>
    <w:multiLevelType w:val="hybridMultilevel"/>
    <w:tmpl w:val="ACAE301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7BB4DB7"/>
    <w:multiLevelType w:val="hybridMultilevel"/>
    <w:tmpl w:val="59BAD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4F0487"/>
    <w:multiLevelType w:val="hybridMultilevel"/>
    <w:tmpl w:val="7F2E9BF0"/>
    <w:lvl w:ilvl="0">
      <w:start w:val="1"/>
      <w:numFmt w:val="upperLetter"/>
      <w:lvlText w:val="%1."/>
      <w:lvlJc w:val="left"/>
      <w:pPr>
        <w:ind w:left="360" w:hanging="360"/>
      </w:pPr>
      <w:rPr>
        <w:rFonts w:hint="default"/>
        <w:b/>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1FC6EC4"/>
    <w:multiLevelType w:val="hybridMultilevel"/>
    <w:tmpl w:val="3F540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126DC8"/>
    <w:multiLevelType w:val="hybridMultilevel"/>
    <w:tmpl w:val="9F3673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D412705"/>
    <w:multiLevelType w:val="hybrid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66F6281"/>
    <w:multiLevelType w:val="hybridMultilevel"/>
    <w:tmpl w:val="5F02378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30207093">
    <w:abstractNumId w:val="6"/>
  </w:num>
  <w:num w:numId="2" w16cid:durableId="1961063607">
    <w:abstractNumId w:val="9"/>
  </w:num>
  <w:num w:numId="3" w16cid:durableId="2135828813">
    <w:abstractNumId w:val="5"/>
  </w:num>
  <w:num w:numId="4" w16cid:durableId="2035501235">
    <w:abstractNumId w:val="7"/>
  </w:num>
  <w:num w:numId="5" w16cid:durableId="741558642">
    <w:abstractNumId w:val="3"/>
  </w:num>
  <w:num w:numId="6" w16cid:durableId="629701682">
    <w:abstractNumId w:val="2"/>
  </w:num>
  <w:num w:numId="7" w16cid:durableId="424497470">
    <w:abstractNumId w:val="8"/>
  </w:num>
  <w:num w:numId="8" w16cid:durableId="1704404586">
    <w:abstractNumId w:val="1"/>
  </w:num>
  <w:num w:numId="9" w16cid:durableId="996958325">
    <w:abstractNumId w:val="0"/>
  </w:num>
  <w:num w:numId="10" w16cid:durableId="1443920776">
    <w:abstractNumId w:val="4"/>
  </w:num>
  <w:num w:numId="11" w16cid:durableId="456415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89"/>
    <w:rsid w:val="000015F6"/>
    <w:rsid w:val="000148A3"/>
    <w:rsid w:val="000213EC"/>
    <w:rsid w:val="000228C7"/>
    <w:rsid w:val="00023A8E"/>
    <w:rsid w:val="00035F36"/>
    <w:rsid w:val="00037081"/>
    <w:rsid w:val="00037E03"/>
    <w:rsid w:val="00040504"/>
    <w:rsid w:val="000450FF"/>
    <w:rsid w:val="00045EBD"/>
    <w:rsid w:val="000509A2"/>
    <w:rsid w:val="000518B6"/>
    <w:rsid w:val="00051C1A"/>
    <w:rsid w:val="00054139"/>
    <w:rsid w:val="000553F2"/>
    <w:rsid w:val="0006564B"/>
    <w:rsid w:val="000657D5"/>
    <w:rsid w:val="00066EE4"/>
    <w:rsid w:val="00067B71"/>
    <w:rsid w:val="00076E3C"/>
    <w:rsid w:val="00077741"/>
    <w:rsid w:val="0008117B"/>
    <w:rsid w:val="00081E6C"/>
    <w:rsid w:val="0009084D"/>
    <w:rsid w:val="00090C0E"/>
    <w:rsid w:val="00096460"/>
    <w:rsid w:val="000965E3"/>
    <w:rsid w:val="000A3540"/>
    <w:rsid w:val="000B0F1C"/>
    <w:rsid w:val="000B3F4F"/>
    <w:rsid w:val="000B67BC"/>
    <w:rsid w:val="000C166E"/>
    <w:rsid w:val="000D13FE"/>
    <w:rsid w:val="000F30E0"/>
    <w:rsid w:val="000F3910"/>
    <w:rsid w:val="000F5309"/>
    <w:rsid w:val="00101A9C"/>
    <w:rsid w:val="00103750"/>
    <w:rsid w:val="00110282"/>
    <w:rsid w:val="00110CC1"/>
    <w:rsid w:val="00111BCC"/>
    <w:rsid w:val="0011493E"/>
    <w:rsid w:val="001175C0"/>
    <w:rsid w:val="001213BE"/>
    <w:rsid w:val="001417A5"/>
    <w:rsid w:val="00144C15"/>
    <w:rsid w:val="00151485"/>
    <w:rsid w:val="00164355"/>
    <w:rsid w:val="001762C5"/>
    <w:rsid w:val="001772A0"/>
    <w:rsid w:val="001828EE"/>
    <w:rsid w:val="00187A80"/>
    <w:rsid w:val="00194FA6"/>
    <w:rsid w:val="00197904"/>
    <w:rsid w:val="001A068E"/>
    <w:rsid w:val="001A200D"/>
    <w:rsid w:val="001A616D"/>
    <w:rsid w:val="001B12FF"/>
    <w:rsid w:val="001B56D9"/>
    <w:rsid w:val="001C079C"/>
    <w:rsid w:val="001C249E"/>
    <w:rsid w:val="001C5A86"/>
    <w:rsid w:val="001D45E2"/>
    <w:rsid w:val="001D568F"/>
    <w:rsid w:val="001D74C2"/>
    <w:rsid w:val="001E2A29"/>
    <w:rsid w:val="001F2887"/>
    <w:rsid w:val="001F64A1"/>
    <w:rsid w:val="001F696F"/>
    <w:rsid w:val="00200D0D"/>
    <w:rsid w:val="002067A4"/>
    <w:rsid w:val="00207344"/>
    <w:rsid w:val="00215D43"/>
    <w:rsid w:val="00220228"/>
    <w:rsid w:val="00223FB9"/>
    <w:rsid w:val="00225DFD"/>
    <w:rsid w:val="00227CC0"/>
    <w:rsid w:val="00233288"/>
    <w:rsid w:val="002403CD"/>
    <w:rsid w:val="002455D6"/>
    <w:rsid w:val="00256694"/>
    <w:rsid w:val="002770BF"/>
    <w:rsid w:val="002813C9"/>
    <w:rsid w:val="00281838"/>
    <w:rsid w:val="0028291E"/>
    <w:rsid w:val="002A3E38"/>
    <w:rsid w:val="002A4C6F"/>
    <w:rsid w:val="002B3A9D"/>
    <w:rsid w:val="002B6682"/>
    <w:rsid w:val="002C4520"/>
    <w:rsid w:val="002D168E"/>
    <w:rsid w:val="002D27D5"/>
    <w:rsid w:val="002D46E0"/>
    <w:rsid w:val="002D4D15"/>
    <w:rsid w:val="002D60C7"/>
    <w:rsid w:val="002E0B17"/>
    <w:rsid w:val="002F133B"/>
    <w:rsid w:val="002F38D9"/>
    <w:rsid w:val="002F47BE"/>
    <w:rsid w:val="003029AB"/>
    <w:rsid w:val="003041DA"/>
    <w:rsid w:val="003058AB"/>
    <w:rsid w:val="003121C3"/>
    <w:rsid w:val="00321BE8"/>
    <w:rsid w:val="0032394E"/>
    <w:rsid w:val="00326175"/>
    <w:rsid w:val="003266A5"/>
    <w:rsid w:val="00330068"/>
    <w:rsid w:val="003360B6"/>
    <w:rsid w:val="0034430F"/>
    <w:rsid w:val="00346415"/>
    <w:rsid w:val="00350400"/>
    <w:rsid w:val="00351229"/>
    <w:rsid w:val="003625C5"/>
    <w:rsid w:val="003640E6"/>
    <w:rsid w:val="003719C5"/>
    <w:rsid w:val="00372A54"/>
    <w:rsid w:val="003875E9"/>
    <w:rsid w:val="003A186B"/>
    <w:rsid w:val="003C2C72"/>
    <w:rsid w:val="003C60CE"/>
    <w:rsid w:val="003D3AC0"/>
    <w:rsid w:val="003D3E50"/>
    <w:rsid w:val="003D416A"/>
    <w:rsid w:val="003D43E6"/>
    <w:rsid w:val="003D4E6E"/>
    <w:rsid w:val="003E068E"/>
    <w:rsid w:val="003E401F"/>
    <w:rsid w:val="003E5752"/>
    <w:rsid w:val="003F12EA"/>
    <w:rsid w:val="003F4C86"/>
    <w:rsid w:val="003F7FF8"/>
    <w:rsid w:val="00405988"/>
    <w:rsid w:val="00406FB6"/>
    <w:rsid w:val="00407CF4"/>
    <w:rsid w:val="00422510"/>
    <w:rsid w:val="00423657"/>
    <w:rsid w:val="004251DF"/>
    <w:rsid w:val="00426175"/>
    <w:rsid w:val="004268A5"/>
    <w:rsid w:val="00427612"/>
    <w:rsid w:val="00427F5E"/>
    <w:rsid w:val="00433468"/>
    <w:rsid w:val="004373CF"/>
    <w:rsid w:val="004402CA"/>
    <w:rsid w:val="00445027"/>
    <w:rsid w:val="00454F7B"/>
    <w:rsid w:val="00461D5A"/>
    <w:rsid w:val="00462562"/>
    <w:rsid w:val="00463760"/>
    <w:rsid w:val="00470D8B"/>
    <w:rsid w:val="00481AA0"/>
    <w:rsid w:val="00483BA6"/>
    <w:rsid w:val="004842F8"/>
    <w:rsid w:val="00486D3B"/>
    <w:rsid w:val="00487D11"/>
    <w:rsid w:val="004A13C4"/>
    <w:rsid w:val="004A2991"/>
    <w:rsid w:val="004A4CA9"/>
    <w:rsid w:val="004A5C81"/>
    <w:rsid w:val="004C05C3"/>
    <w:rsid w:val="004C4279"/>
    <w:rsid w:val="004D3F6D"/>
    <w:rsid w:val="004D7947"/>
    <w:rsid w:val="004E26DC"/>
    <w:rsid w:val="004E645B"/>
    <w:rsid w:val="004E7488"/>
    <w:rsid w:val="004F5349"/>
    <w:rsid w:val="00502F80"/>
    <w:rsid w:val="00512515"/>
    <w:rsid w:val="005231BF"/>
    <w:rsid w:val="00525E4E"/>
    <w:rsid w:val="00533F70"/>
    <w:rsid w:val="00543297"/>
    <w:rsid w:val="00551A3D"/>
    <w:rsid w:val="00553099"/>
    <w:rsid w:val="00556EDA"/>
    <w:rsid w:val="00573171"/>
    <w:rsid w:val="00575F95"/>
    <w:rsid w:val="005837FC"/>
    <w:rsid w:val="00585F2D"/>
    <w:rsid w:val="005864FE"/>
    <w:rsid w:val="00587F15"/>
    <w:rsid w:val="00591258"/>
    <w:rsid w:val="005A12A2"/>
    <w:rsid w:val="005A33FE"/>
    <w:rsid w:val="005A4679"/>
    <w:rsid w:val="005A4E26"/>
    <w:rsid w:val="005A732D"/>
    <w:rsid w:val="005A7BCE"/>
    <w:rsid w:val="005B163F"/>
    <w:rsid w:val="005B336D"/>
    <w:rsid w:val="005D3062"/>
    <w:rsid w:val="005D6F84"/>
    <w:rsid w:val="005F26B8"/>
    <w:rsid w:val="005F76BE"/>
    <w:rsid w:val="00600C78"/>
    <w:rsid w:val="00602830"/>
    <w:rsid w:val="00617B79"/>
    <w:rsid w:val="00623A55"/>
    <w:rsid w:val="00625C7F"/>
    <w:rsid w:val="00631257"/>
    <w:rsid w:val="00635D8D"/>
    <w:rsid w:val="00636DC0"/>
    <w:rsid w:val="00636E25"/>
    <w:rsid w:val="006522D8"/>
    <w:rsid w:val="00660550"/>
    <w:rsid w:val="00662DF6"/>
    <w:rsid w:val="00666EB1"/>
    <w:rsid w:val="00667694"/>
    <w:rsid w:val="006765F2"/>
    <w:rsid w:val="00676FD5"/>
    <w:rsid w:val="0067793C"/>
    <w:rsid w:val="00677E86"/>
    <w:rsid w:val="00681762"/>
    <w:rsid w:val="00683C8F"/>
    <w:rsid w:val="006850FE"/>
    <w:rsid w:val="006925EE"/>
    <w:rsid w:val="006934CF"/>
    <w:rsid w:val="00694E43"/>
    <w:rsid w:val="00695089"/>
    <w:rsid w:val="006A2F44"/>
    <w:rsid w:val="006B061A"/>
    <w:rsid w:val="006B0F16"/>
    <w:rsid w:val="006B16F7"/>
    <w:rsid w:val="006B425E"/>
    <w:rsid w:val="006C0ECC"/>
    <w:rsid w:val="006C134B"/>
    <w:rsid w:val="006D6B9C"/>
    <w:rsid w:val="006E3931"/>
    <w:rsid w:val="006F4689"/>
    <w:rsid w:val="00712EFB"/>
    <w:rsid w:val="00713D96"/>
    <w:rsid w:val="00720840"/>
    <w:rsid w:val="0072493C"/>
    <w:rsid w:val="00726646"/>
    <w:rsid w:val="007274EB"/>
    <w:rsid w:val="007325B0"/>
    <w:rsid w:val="00740412"/>
    <w:rsid w:val="0074213A"/>
    <w:rsid w:val="007467B2"/>
    <w:rsid w:val="007477F0"/>
    <w:rsid w:val="00750ADD"/>
    <w:rsid w:val="00754B83"/>
    <w:rsid w:val="00754FC2"/>
    <w:rsid w:val="0076201B"/>
    <w:rsid w:val="00762C27"/>
    <w:rsid w:val="00763AB3"/>
    <w:rsid w:val="00766CF8"/>
    <w:rsid w:val="00780B74"/>
    <w:rsid w:val="0078151C"/>
    <w:rsid w:val="00790CA4"/>
    <w:rsid w:val="007A0329"/>
    <w:rsid w:val="007A115D"/>
    <w:rsid w:val="007A3238"/>
    <w:rsid w:val="007B3600"/>
    <w:rsid w:val="007B4690"/>
    <w:rsid w:val="007C4C5D"/>
    <w:rsid w:val="007C56D6"/>
    <w:rsid w:val="007C5D06"/>
    <w:rsid w:val="007D20CC"/>
    <w:rsid w:val="007D3C35"/>
    <w:rsid w:val="007D79E1"/>
    <w:rsid w:val="007F338E"/>
    <w:rsid w:val="007F37F4"/>
    <w:rsid w:val="007F6045"/>
    <w:rsid w:val="007F6C31"/>
    <w:rsid w:val="00801727"/>
    <w:rsid w:val="00802120"/>
    <w:rsid w:val="00812E2E"/>
    <w:rsid w:val="0081541A"/>
    <w:rsid w:val="00817F0A"/>
    <w:rsid w:val="0082132E"/>
    <w:rsid w:val="00826835"/>
    <w:rsid w:val="008354B3"/>
    <w:rsid w:val="00837130"/>
    <w:rsid w:val="0084424D"/>
    <w:rsid w:val="00851079"/>
    <w:rsid w:val="0085495C"/>
    <w:rsid w:val="00855A2D"/>
    <w:rsid w:val="00855A3E"/>
    <w:rsid w:val="008574AF"/>
    <w:rsid w:val="008625CF"/>
    <w:rsid w:val="00865115"/>
    <w:rsid w:val="00865DE6"/>
    <w:rsid w:val="00871214"/>
    <w:rsid w:val="00874E31"/>
    <w:rsid w:val="00881F0D"/>
    <w:rsid w:val="00883273"/>
    <w:rsid w:val="00887224"/>
    <w:rsid w:val="00891304"/>
    <w:rsid w:val="008A4E35"/>
    <w:rsid w:val="008A7C35"/>
    <w:rsid w:val="008B2718"/>
    <w:rsid w:val="008C0E1A"/>
    <w:rsid w:val="008C3DBE"/>
    <w:rsid w:val="008D0963"/>
    <w:rsid w:val="008D2459"/>
    <w:rsid w:val="008E6216"/>
    <w:rsid w:val="008E681E"/>
    <w:rsid w:val="008E728B"/>
    <w:rsid w:val="008F389F"/>
    <w:rsid w:val="008F5295"/>
    <w:rsid w:val="008F54E1"/>
    <w:rsid w:val="0090053E"/>
    <w:rsid w:val="00912F54"/>
    <w:rsid w:val="00914F01"/>
    <w:rsid w:val="0091523B"/>
    <w:rsid w:val="0091754D"/>
    <w:rsid w:val="009214B6"/>
    <w:rsid w:val="00923289"/>
    <w:rsid w:val="00940D10"/>
    <w:rsid w:val="00943183"/>
    <w:rsid w:val="0094642E"/>
    <w:rsid w:val="00952705"/>
    <w:rsid w:val="0095509B"/>
    <w:rsid w:val="00960694"/>
    <w:rsid w:val="00966023"/>
    <w:rsid w:val="0097031E"/>
    <w:rsid w:val="009706F8"/>
    <w:rsid w:val="00975F22"/>
    <w:rsid w:val="00976CBE"/>
    <w:rsid w:val="009779F3"/>
    <w:rsid w:val="00987171"/>
    <w:rsid w:val="00995C25"/>
    <w:rsid w:val="009A2F0A"/>
    <w:rsid w:val="009B6A04"/>
    <w:rsid w:val="009B7C08"/>
    <w:rsid w:val="009C14BB"/>
    <w:rsid w:val="009C7FCB"/>
    <w:rsid w:val="009D490D"/>
    <w:rsid w:val="009D4F85"/>
    <w:rsid w:val="009D6397"/>
    <w:rsid w:val="009D75D0"/>
    <w:rsid w:val="009D778D"/>
    <w:rsid w:val="009E2224"/>
    <w:rsid w:val="009E5CC6"/>
    <w:rsid w:val="009F04A8"/>
    <w:rsid w:val="009F0525"/>
    <w:rsid w:val="009F0B58"/>
    <w:rsid w:val="009F3ECC"/>
    <w:rsid w:val="009F5E89"/>
    <w:rsid w:val="00A0087A"/>
    <w:rsid w:val="00A03C8D"/>
    <w:rsid w:val="00A06BBF"/>
    <w:rsid w:val="00A13CE9"/>
    <w:rsid w:val="00A35998"/>
    <w:rsid w:val="00A410D4"/>
    <w:rsid w:val="00A42104"/>
    <w:rsid w:val="00A47676"/>
    <w:rsid w:val="00A54C3D"/>
    <w:rsid w:val="00A55410"/>
    <w:rsid w:val="00A712B0"/>
    <w:rsid w:val="00A73F3B"/>
    <w:rsid w:val="00A778B9"/>
    <w:rsid w:val="00A866B7"/>
    <w:rsid w:val="00A86861"/>
    <w:rsid w:val="00A9422B"/>
    <w:rsid w:val="00A95383"/>
    <w:rsid w:val="00A959D9"/>
    <w:rsid w:val="00A95EC0"/>
    <w:rsid w:val="00A9744C"/>
    <w:rsid w:val="00AA0781"/>
    <w:rsid w:val="00AA14EA"/>
    <w:rsid w:val="00AA7514"/>
    <w:rsid w:val="00AB0A41"/>
    <w:rsid w:val="00AB3BC3"/>
    <w:rsid w:val="00AC58FD"/>
    <w:rsid w:val="00AC68D5"/>
    <w:rsid w:val="00AD0CEE"/>
    <w:rsid w:val="00AD5813"/>
    <w:rsid w:val="00AE2753"/>
    <w:rsid w:val="00AE5825"/>
    <w:rsid w:val="00AE67A7"/>
    <w:rsid w:val="00AE7CD7"/>
    <w:rsid w:val="00AF0804"/>
    <w:rsid w:val="00AF2A83"/>
    <w:rsid w:val="00B02C23"/>
    <w:rsid w:val="00B04B6F"/>
    <w:rsid w:val="00B06AF5"/>
    <w:rsid w:val="00B0782A"/>
    <w:rsid w:val="00B113D0"/>
    <w:rsid w:val="00B235E7"/>
    <w:rsid w:val="00B24AA4"/>
    <w:rsid w:val="00B31252"/>
    <w:rsid w:val="00B40591"/>
    <w:rsid w:val="00B424B2"/>
    <w:rsid w:val="00B47C3E"/>
    <w:rsid w:val="00B57B4B"/>
    <w:rsid w:val="00B61158"/>
    <w:rsid w:val="00B61864"/>
    <w:rsid w:val="00B61EA5"/>
    <w:rsid w:val="00B70914"/>
    <w:rsid w:val="00B7109C"/>
    <w:rsid w:val="00B71212"/>
    <w:rsid w:val="00B712FA"/>
    <w:rsid w:val="00B775CB"/>
    <w:rsid w:val="00B80DEA"/>
    <w:rsid w:val="00B967E9"/>
    <w:rsid w:val="00BA16A2"/>
    <w:rsid w:val="00BA7399"/>
    <w:rsid w:val="00BB0CA0"/>
    <w:rsid w:val="00BB31D9"/>
    <w:rsid w:val="00BB4A49"/>
    <w:rsid w:val="00BB7576"/>
    <w:rsid w:val="00BC182D"/>
    <w:rsid w:val="00BD4560"/>
    <w:rsid w:val="00BD503A"/>
    <w:rsid w:val="00BD61DA"/>
    <w:rsid w:val="00BE3D74"/>
    <w:rsid w:val="00BE52D8"/>
    <w:rsid w:val="00BF0B7D"/>
    <w:rsid w:val="00BF221F"/>
    <w:rsid w:val="00C0723F"/>
    <w:rsid w:val="00C12461"/>
    <w:rsid w:val="00C13AAE"/>
    <w:rsid w:val="00C1604D"/>
    <w:rsid w:val="00C26054"/>
    <w:rsid w:val="00C27722"/>
    <w:rsid w:val="00C327A6"/>
    <w:rsid w:val="00C54DEA"/>
    <w:rsid w:val="00C56CB4"/>
    <w:rsid w:val="00C82A2A"/>
    <w:rsid w:val="00C9059E"/>
    <w:rsid w:val="00CA72FA"/>
    <w:rsid w:val="00CA7B64"/>
    <w:rsid w:val="00CB1974"/>
    <w:rsid w:val="00CD132C"/>
    <w:rsid w:val="00CD253C"/>
    <w:rsid w:val="00CD3CF4"/>
    <w:rsid w:val="00CD610D"/>
    <w:rsid w:val="00CD7906"/>
    <w:rsid w:val="00CE068A"/>
    <w:rsid w:val="00CE3273"/>
    <w:rsid w:val="00CE3964"/>
    <w:rsid w:val="00CF6257"/>
    <w:rsid w:val="00D05050"/>
    <w:rsid w:val="00D05D65"/>
    <w:rsid w:val="00D17C3A"/>
    <w:rsid w:val="00D2003D"/>
    <w:rsid w:val="00D332CA"/>
    <w:rsid w:val="00D43E68"/>
    <w:rsid w:val="00D45A3F"/>
    <w:rsid w:val="00D51184"/>
    <w:rsid w:val="00D544F5"/>
    <w:rsid w:val="00D5651D"/>
    <w:rsid w:val="00D5655E"/>
    <w:rsid w:val="00D56BEC"/>
    <w:rsid w:val="00D57266"/>
    <w:rsid w:val="00D64101"/>
    <w:rsid w:val="00D64F35"/>
    <w:rsid w:val="00D76690"/>
    <w:rsid w:val="00D80350"/>
    <w:rsid w:val="00D86AB9"/>
    <w:rsid w:val="00D94483"/>
    <w:rsid w:val="00D95D36"/>
    <w:rsid w:val="00DA0C22"/>
    <w:rsid w:val="00DA23D2"/>
    <w:rsid w:val="00DA7AA3"/>
    <w:rsid w:val="00DB18FA"/>
    <w:rsid w:val="00DC5F23"/>
    <w:rsid w:val="00DC727A"/>
    <w:rsid w:val="00DD1525"/>
    <w:rsid w:val="00DD71F7"/>
    <w:rsid w:val="00DD7B79"/>
    <w:rsid w:val="00DE6C10"/>
    <w:rsid w:val="00DF2466"/>
    <w:rsid w:val="00DF30DF"/>
    <w:rsid w:val="00DF6A0C"/>
    <w:rsid w:val="00DF7C1D"/>
    <w:rsid w:val="00E016EE"/>
    <w:rsid w:val="00E10119"/>
    <w:rsid w:val="00E14C38"/>
    <w:rsid w:val="00E154C4"/>
    <w:rsid w:val="00E224D8"/>
    <w:rsid w:val="00E22801"/>
    <w:rsid w:val="00E2681C"/>
    <w:rsid w:val="00E33DF3"/>
    <w:rsid w:val="00E3584A"/>
    <w:rsid w:val="00E40749"/>
    <w:rsid w:val="00E41A63"/>
    <w:rsid w:val="00E4298F"/>
    <w:rsid w:val="00E44F63"/>
    <w:rsid w:val="00E46975"/>
    <w:rsid w:val="00E520AE"/>
    <w:rsid w:val="00E54E77"/>
    <w:rsid w:val="00E76508"/>
    <w:rsid w:val="00E770A6"/>
    <w:rsid w:val="00E80BD2"/>
    <w:rsid w:val="00E90E4E"/>
    <w:rsid w:val="00E9229D"/>
    <w:rsid w:val="00EA3D94"/>
    <w:rsid w:val="00EA6C46"/>
    <w:rsid w:val="00EB1CAF"/>
    <w:rsid w:val="00EB504E"/>
    <w:rsid w:val="00ED6592"/>
    <w:rsid w:val="00ED735B"/>
    <w:rsid w:val="00ED758D"/>
    <w:rsid w:val="00EE0B36"/>
    <w:rsid w:val="00EE237A"/>
    <w:rsid w:val="00EE3F77"/>
    <w:rsid w:val="00EE7021"/>
    <w:rsid w:val="00F0480C"/>
    <w:rsid w:val="00F21960"/>
    <w:rsid w:val="00F26B28"/>
    <w:rsid w:val="00F329E8"/>
    <w:rsid w:val="00F33DF7"/>
    <w:rsid w:val="00F3728E"/>
    <w:rsid w:val="00F41F29"/>
    <w:rsid w:val="00F426DD"/>
    <w:rsid w:val="00F51D22"/>
    <w:rsid w:val="00F52AD2"/>
    <w:rsid w:val="00F611EB"/>
    <w:rsid w:val="00F62853"/>
    <w:rsid w:val="00F73BBC"/>
    <w:rsid w:val="00F82292"/>
    <w:rsid w:val="00F85E1E"/>
    <w:rsid w:val="00F9517D"/>
    <w:rsid w:val="00F95A54"/>
    <w:rsid w:val="00FA1D17"/>
    <w:rsid w:val="00FC204F"/>
    <w:rsid w:val="00FD432E"/>
    <w:rsid w:val="00FD6441"/>
    <w:rsid w:val="00FE197E"/>
    <w:rsid w:val="00FE2DF1"/>
    <w:rsid w:val="00FE395A"/>
    <w:rsid w:val="00FE78B8"/>
    <w:rsid w:val="00FF07CB"/>
    <w:rsid w:val="00FF07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58789"/>
  <w15:chartTrackingRefBased/>
  <w15:docId w15:val="{B3B3FE50-4553-4F5D-941C-5D994E8E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0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89"/>
    <w:pPr>
      <w:ind w:left="720"/>
      <w:contextualSpacing/>
    </w:pPr>
  </w:style>
  <w:style w:type="paragraph" w:styleId="FootnoteText">
    <w:name w:val="footnote text"/>
    <w:basedOn w:val="Normal"/>
    <w:link w:val="FootnoteTextChar"/>
    <w:uiPriority w:val="99"/>
    <w:semiHidden/>
    <w:unhideWhenUsed/>
    <w:rsid w:val="00695089"/>
    <w:rPr>
      <w:sz w:val="20"/>
      <w:szCs w:val="20"/>
    </w:rPr>
  </w:style>
  <w:style w:type="character" w:customStyle="1" w:styleId="FootnoteTextChar">
    <w:name w:val="Footnote Text Char"/>
    <w:basedOn w:val="DefaultParagraphFont"/>
    <w:link w:val="FootnoteText"/>
    <w:uiPriority w:val="99"/>
    <w:semiHidden/>
    <w:rsid w:val="0069508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089"/>
    <w:rPr>
      <w:vertAlign w:val="superscript"/>
    </w:rPr>
  </w:style>
  <w:style w:type="character" w:styleId="Hyperlink">
    <w:name w:val="Hyperlink"/>
    <w:basedOn w:val="DefaultParagraphFont"/>
    <w:rsid w:val="00695089"/>
    <w:rPr>
      <w:color w:val="0000FF"/>
      <w:u w:val="single"/>
    </w:rPr>
  </w:style>
  <w:style w:type="character" w:styleId="CommentReference">
    <w:name w:val="annotation reference"/>
    <w:basedOn w:val="DefaultParagraphFont"/>
    <w:uiPriority w:val="99"/>
    <w:semiHidden/>
    <w:unhideWhenUsed/>
    <w:rsid w:val="00BD503A"/>
    <w:rPr>
      <w:sz w:val="16"/>
      <w:szCs w:val="16"/>
    </w:rPr>
  </w:style>
  <w:style w:type="paragraph" w:styleId="CommentText">
    <w:name w:val="annotation text"/>
    <w:basedOn w:val="Normal"/>
    <w:link w:val="CommentTextChar"/>
    <w:uiPriority w:val="99"/>
    <w:unhideWhenUsed/>
    <w:rsid w:val="00BD503A"/>
    <w:rPr>
      <w:sz w:val="20"/>
      <w:szCs w:val="20"/>
    </w:rPr>
  </w:style>
  <w:style w:type="character" w:customStyle="1" w:styleId="CommentTextChar">
    <w:name w:val="Comment Text Char"/>
    <w:basedOn w:val="DefaultParagraphFont"/>
    <w:link w:val="CommentText"/>
    <w:uiPriority w:val="99"/>
    <w:rsid w:val="00BD50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503A"/>
    <w:rPr>
      <w:b/>
      <w:bCs/>
    </w:rPr>
  </w:style>
  <w:style w:type="character" w:customStyle="1" w:styleId="CommentSubjectChar">
    <w:name w:val="Comment Subject Char"/>
    <w:basedOn w:val="CommentTextChar"/>
    <w:link w:val="CommentSubject"/>
    <w:uiPriority w:val="99"/>
    <w:semiHidden/>
    <w:rsid w:val="00BD50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5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3A"/>
    <w:rPr>
      <w:rFonts w:ascii="Segoe UI" w:eastAsia="Times New Roman" w:hAnsi="Segoe UI" w:cs="Segoe UI"/>
      <w:sz w:val="18"/>
      <w:szCs w:val="18"/>
    </w:rPr>
  </w:style>
  <w:style w:type="paragraph" w:styleId="Header">
    <w:name w:val="header"/>
    <w:basedOn w:val="Normal"/>
    <w:link w:val="HeaderChar"/>
    <w:uiPriority w:val="99"/>
    <w:unhideWhenUsed/>
    <w:rsid w:val="00617B79"/>
    <w:pPr>
      <w:tabs>
        <w:tab w:val="center" w:pos="4680"/>
        <w:tab w:val="right" w:pos="9360"/>
      </w:tabs>
    </w:pPr>
  </w:style>
  <w:style w:type="character" w:customStyle="1" w:styleId="HeaderChar">
    <w:name w:val="Header Char"/>
    <w:basedOn w:val="DefaultParagraphFont"/>
    <w:link w:val="Header"/>
    <w:uiPriority w:val="99"/>
    <w:rsid w:val="00617B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B79"/>
    <w:pPr>
      <w:tabs>
        <w:tab w:val="center" w:pos="4680"/>
        <w:tab w:val="right" w:pos="9360"/>
      </w:tabs>
    </w:pPr>
  </w:style>
  <w:style w:type="character" w:customStyle="1" w:styleId="FooterChar">
    <w:name w:val="Footer Char"/>
    <w:basedOn w:val="DefaultParagraphFont"/>
    <w:link w:val="Footer"/>
    <w:uiPriority w:val="99"/>
    <w:rsid w:val="00617B7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F64A1"/>
    <w:rPr>
      <w:color w:val="605E5C"/>
      <w:shd w:val="clear" w:color="auto" w:fill="E1DFDD"/>
    </w:rPr>
  </w:style>
  <w:style w:type="paragraph" w:styleId="Revision">
    <w:name w:val="Revision"/>
    <w:hidden/>
    <w:uiPriority w:val="99"/>
    <w:semiHidden/>
    <w:rsid w:val="006C134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0905-7D2D-4D1C-AFB2-99DF6276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Grace H</dc:creator>
  <cp:lastModifiedBy>Rogers, Dacia A</cp:lastModifiedBy>
  <cp:revision>3</cp:revision>
  <cp:lastPrinted>2021-02-26T13:34:00Z</cp:lastPrinted>
  <dcterms:created xsi:type="dcterms:W3CDTF">2024-05-03T18:23:00Z</dcterms:created>
  <dcterms:modified xsi:type="dcterms:W3CDTF">2024-05-06T11:17:00Z</dcterms:modified>
</cp:coreProperties>
</file>