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1240AB" w:rsidP="001240AB"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00E96893" w:rsidRPr="001240AB" w:rsidP="001240AB" w14:paraId="20ACBB10" w14:textId="3D47487B">
      <w:pPr>
        <w:autoSpaceDE w:val="0"/>
        <w:autoSpaceDN w:val="0"/>
        <w:adjustRightInd w:val="0"/>
        <w:spacing w:after="0" w:line="240" w:lineRule="auto"/>
        <w:jc w:val="center"/>
        <w:rPr>
          <w:rFonts w:ascii="Arial" w:hAnsi="Arial" w:cs="Arial"/>
          <w:b/>
          <w:bCs/>
          <w:color w:val="4A442A" w:themeColor="background2" w:themeShade="40"/>
          <w:sz w:val="24"/>
          <w:szCs w:val="24"/>
        </w:rPr>
      </w:pPr>
      <w:r w:rsidRPr="001240AB">
        <w:rPr>
          <w:rFonts w:ascii="Arial" w:hAnsi="Arial" w:cs="Arial"/>
          <w:b/>
          <w:bCs/>
          <w:color w:val="4A442A" w:themeColor="background2" w:themeShade="40"/>
          <w:sz w:val="24"/>
          <w:szCs w:val="24"/>
        </w:rPr>
        <w:t>Grantee Reporting Requirements for N</w:t>
      </w:r>
      <w:r w:rsidR="008D202F">
        <w:rPr>
          <w:rFonts w:ascii="Arial" w:hAnsi="Arial" w:cs="Arial"/>
          <w:b/>
          <w:bCs/>
          <w:color w:val="4A442A" w:themeColor="background2" w:themeShade="40"/>
          <w:sz w:val="24"/>
          <w:szCs w:val="24"/>
        </w:rPr>
        <w:t>ational Science Foundation (NSF) Small Business Innovation Research (</w:t>
      </w:r>
      <w:r w:rsidRPr="001240AB">
        <w:rPr>
          <w:rFonts w:ascii="Arial" w:hAnsi="Arial" w:cs="Arial"/>
          <w:b/>
          <w:bCs/>
          <w:color w:val="4A442A" w:themeColor="background2" w:themeShade="40"/>
          <w:sz w:val="24"/>
          <w:szCs w:val="24"/>
        </w:rPr>
        <w:t>SBIR</w:t>
      </w:r>
      <w:r w:rsidR="008D202F">
        <w:rPr>
          <w:rFonts w:ascii="Arial" w:hAnsi="Arial" w:cs="Arial"/>
          <w:b/>
          <w:bCs/>
          <w:color w:val="4A442A" w:themeColor="background2" w:themeShade="40"/>
          <w:sz w:val="24"/>
          <w:szCs w:val="24"/>
        </w:rPr>
        <w:t>)</w:t>
      </w:r>
      <w:r w:rsidR="00354035">
        <w:rPr>
          <w:rFonts w:ascii="Arial" w:hAnsi="Arial" w:cs="Arial"/>
          <w:b/>
          <w:bCs/>
          <w:color w:val="4A442A" w:themeColor="background2" w:themeShade="40"/>
          <w:sz w:val="24"/>
          <w:szCs w:val="24"/>
        </w:rPr>
        <w:t>/</w:t>
      </w:r>
      <w:r w:rsidR="008D202F">
        <w:rPr>
          <w:rFonts w:ascii="Arial" w:hAnsi="Arial" w:cs="Arial"/>
          <w:b/>
          <w:bCs/>
          <w:color w:val="4A442A" w:themeColor="background2" w:themeShade="40"/>
          <w:sz w:val="24"/>
          <w:szCs w:val="24"/>
        </w:rPr>
        <w:t xml:space="preserve">Small </w:t>
      </w:r>
      <w:r w:rsidR="000F69EC">
        <w:rPr>
          <w:rFonts w:ascii="Arial" w:hAnsi="Arial" w:cs="Arial"/>
          <w:b/>
          <w:bCs/>
          <w:color w:val="4A442A" w:themeColor="background2" w:themeShade="40"/>
          <w:sz w:val="24"/>
          <w:szCs w:val="24"/>
        </w:rPr>
        <w:t>Business Technology Transfer (</w:t>
      </w:r>
      <w:r w:rsidRPr="001240AB">
        <w:rPr>
          <w:rFonts w:ascii="Arial" w:hAnsi="Arial" w:cs="Arial"/>
          <w:b/>
          <w:bCs/>
          <w:color w:val="4A442A" w:themeColor="background2" w:themeShade="40"/>
          <w:sz w:val="24"/>
          <w:szCs w:val="24"/>
        </w:rPr>
        <w:t>STTR</w:t>
      </w:r>
      <w:r w:rsidR="000F69EC">
        <w:rPr>
          <w:rFonts w:ascii="Arial" w:hAnsi="Arial" w:cs="Arial"/>
          <w:b/>
          <w:bCs/>
          <w:color w:val="4A442A" w:themeColor="background2" w:themeShade="40"/>
          <w:sz w:val="24"/>
          <w:szCs w:val="24"/>
        </w:rPr>
        <w:t>)</w:t>
      </w:r>
      <w:r w:rsidRPr="001240AB">
        <w:rPr>
          <w:rFonts w:ascii="Arial" w:hAnsi="Arial" w:cs="Arial"/>
          <w:b/>
          <w:bCs/>
          <w:color w:val="4A442A" w:themeColor="background2" w:themeShade="40"/>
          <w:sz w:val="24"/>
          <w:szCs w:val="24"/>
        </w:rPr>
        <w:t xml:space="preserve"> Program</w:t>
      </w:r>
    </w:p>
    <w:p w:rsidR="00803CC9" w:rsidRPr="001240AB" w14:paraId="1D91236A" w14:textId="77777777">
      <w:pPr>
        <w:spacing w:after="0" w:line="240" w:lineRule="auto"/>
        <w:jc w:val="center"/>
        <w:rPr>
          <w:rFonts w:ascii="Arial" w:hAnsi="Arial" w:cs="Arial"/>
          <w:b/>
          <w:sz w:val="24"/>
          <w:szCs w:val="24"/>
        </w:rPr>
      </w:pPr>
    </w:p>
    <w:p w:rsidR="00023DA3" w14:paraId="02B22562" w14:textId="1105F4AE">
      <w:pPr>
        <w:pStyle w:val="Heading2"/>
        <w:spacing w:before="0" w:line="240" w:lineRule="auto"/>
        <w:rPr>
          <w:rFonts w:ascii="Arial" w:hAnsi="Arial" w:cs="Arial"/>
          <w:color w:val="17365D" w:themeColor="text2" w:themeShade="BF"/>
          <w:sz w:val="24"/>
          <w:szCs w:val="24"/>
        </w:rPr>
      </w:pPr>
    </w:p>
    <w:p w:rsidR="00803CC9" w:rsidRPr="001240AB" w:rsidP="00673A28" w14:paraId="640861BD" w14:textId="4E252967">
      <w:pPr>
        <w:pStyle w:val="Heading2"/>
        <w:spacing w:before="12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00803CC9" w:rsidRPr="001240AB" w:rsidP="00A95861" w14:paraId="309A6D66" w14:textId="77777777">
      <w:pPr>
        <w:spacing w:after="0" w:line="240" w:lineRule="auto"/>
        <w:rPr>
          <w:rFonts w:ascii="Arial" w:hAnsi="Arial" w:cs="Arial"/>
          <w:sz w:val="24"/>
          <w:szCs w:val="24"/>
        </w:rPr>
      </w:pPr>
    </w:p>
    <w:p w:rsidR="00803CC9" w:rsidRPr="001240AB" w14:paraId="2F639E73" w14:textId="2107F70D">
      <w:pPr>
        <w:pStyle w:val="Heading2"/>
        <w:spacing w:before="0" w:line="240" w:lineRule="auto"/>
        <w:rPr>
          <w:rFonts w:ascii="Arial" w:hAnsi="Arial" w:cs="Arial"/>
          <w:color w:val="auto"/>
          <w:sz w:val="24"/>
          <w:szCs w:val="24"/>
        </w:rPr>
      </w:pPr>
      <w:r w:rsidRPr="001240AB">
        <w:rPr>
          <w:rFonts w:ascii="Arial" w:hAnsi="Arial" w:cs="Arial"/>
          <w:color w:val="auto"/>
          <w:sz w:val="24"/>
          <w:szCs w:val="24"/>
        </w:rPr>
        <w:t>Title of Collection</w:t>
      </w:r>
      <w:r w:rsidRPr="001240AB" w:rsidR="006764C4">
        <w:rPr>
          <w:rFonts w:ascii="Arial" w:hAnsi="Arial" w:cs="Arial"/>
          <w:color w:val="auto"/>
          <w:sz w:val="24"/>
          <w:szCs w:val="24"/>
        </w:rPr>
        <w:t xml:space="preserve">: </w:t>
      </w:r>
      <w:r w:rsidRPr="001240AB">
        <w:rPr>
          <w:rFonts w:ascii="Arial" w:hAnsi="Arial" w:cs="Arial"/>
          <w:b w:val="0"/>
          <w:bCs w:val="0"/>
          <w:color w:val="auto"/>
          <w:sz w:val="24"/>
          <w:szCs w:val="24"/>
        </w:rPr>
        <w:t>Grantee Reporting Requirements for NSF SBIR/STTR Program</w:t>
      </w:r>
    </w:p>
    <w:p w:rsidR="00803CC9" w:rsidRPr="001240AB" w:rsidP="00A95861" w14:paraId="1BC264B1" w14:textId="77777777">
      <w:pPr>
        <w:spacing w:after="0" w:line="240" w:lineRule="auto"/>
        <w:rPr>
          <w:rFonts w:ascii="Arial" w:hAnsi="Arial" w:cs="Arial"/>
          <w:sz w:val="24"/>
          <w:szCs w:val="24"/>
        </w:rPr>
      </w:pPr>
    </w:p>
    <w:p w:rsidR="00803CC9" w:rsidRPr="001240AB" w:rsidP="00023DA3" w14:paraId="3782AF63" w14:textId="0C80661B">
      <w:pPr>
        <w:pStyle w:val="Heading1"/>
        <w:spacing w:before="0" w:line="240" w:lineRule="auto"/>
        <w:rPr>
          <w:rFonts w:ascii="Arial" w:hAnsi="Arial" w:cs="Arial"/>
          <w:b w:val="0"/>
          <w:bCs w:val="0"/>
          <w:sz w:val="24"/>
          <w:szCs w:val="24"/>
        </w:rPr>
      </w:pPr>
      <w:r w:rsidRPr="001240AB">
        <w:rPr>
          <w:rFonts w:ascii="Arial" w:hAnsi="Arial" w:cs="Arial"/>
          <w:color w:val="auto"/>
          <w:sz w:val="24"/>
          <w:szCs w:val="24"/>
        </w:rPr>
        <w:t xml:space="preserve">Type of Request:  </w:t>
      </w:r>
      <w:r w:rsidR="006C2A0D">
        <w:rPr>
          <w:rFonts w:ascii="Arial" w:hAnsi="Arial" w:cs="Arial"/>
          <w:b w:val="0"/>
          <w:bCs w:val="0"/>
          <w:color w:val="auto"/>
          <w:sz w:val="24"/>
          <w:szCs w:val="24"/>
        </w:rPr>
        <w:t>Re</w:t>
      </w:r>
      <w:r w:rsidR="006148A0">
        <w:rPr>
          <w:rFonts w:ascii="Arial" w:hAnsi="Arial" w:cs="Arial"/>
          <w:b w:val="0"/>
          <w:bCs w:val="0"/>
          <w:color w:val="auto"/>
          <w:sz w:val="24"/>
          <w:szCs w:val="24"/>
        </w:rPr>
        <w:t>instatement of an in</w:t>
      </w:r>
      <w:r w:rsidRPr="001240AB" w:rsidR="00023DA3">
        <w:rPr>
          <w:rFonts w:ascii="Arial" w:hAnsi="Arial" w:cs="Arial"/>
          <w:b w:val="0"/>
          <w:bCs w:val="0"/>
          <w:color w:val="auto"/>
          <w:sz w:val="24"/>
          <w:szCs w:val="24"/>
        </w:rPr>
        <w:t>formation collection</w:t>
      </w:r>
      <w:r w:rsidR="006C2A0D">
        <w:rPr>
          <w:rFonts w:ascii="Arial" w:hAnsi="Arial" w:cs="Arial"/>
          <w:b w:val="0"/>
          <w:bCs w:val="0"/>
          <w:color w:val="auto"/>
          <w:sz w:val="24"/>
          <w:szCs w:val="24"/>
        </w:rPr>
        <w:t xml:space="preserve"> (3145-0252)</w:t>
      </w:r>
    </w:p>
    <w:p w:rsidR="00023DA3" w:rsidRPr="001240AB" w14:paraId="7F6A3F9B" w14:textId="77777777">
      <w:pPr>
        <w:pStyle w:val="Heading1"/>
        <w:spacing w:before="0" w:line="240" w:lineRule="auto"/>
        <w:rPr>
          <w:rFonts w:ascii="Arial" w:hAnsi="Arial" w:cs="Arial"/>
          <w:color w:val="auto"/>
          <w:sz w:val="24"/>
          <w:szCs w:val="24"/>
        </w:rPr>
      </w:pPr>
    </w:p>
    <w:p w:rsidR="00023DA3" w:rsidRPr="001240AB" w14:paraId="41890497" w14:textId="77777777">
      <w:pPr>
        <w:pStyle w:val="Heading1"/>
        <w:spacing w:before="0" w:line="240" w:lineRule="auto"/>
        <w:rPr>
          <w:rFonts w:ascii="Arial" w:hAnsi="Arial" w:cs="Arial"/>
          <w:color w:val="1F497D" w:themeColor="text2"/>
          <w:sz w:val="24"/>
          <w:szCs w:val="24"/>
        </w:rPr>
      </w:pPr>
    </w:p>
    <w:p w:rsidR="00592007" w:rsidRPr="001240AB"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00522AC9" w:rsidRPr="00673A28" w:rsidP="00034B7B" w14:paraId="172364E5" w14:textId="64518A3B">
      <w:pPr>
        <w:pStyle w:val="NormalWeb"/>
        <w:jc w:val="both"/>
        <w:rPr>
          <w:rFonts w:ascii="Arial" w:hAnsi="Arial" w:cs="Arial"/>
          <w:sz w:val="22"/>
          <w:szCs w:val="22"/>
        </w:rPr>
      </w:pPr>
      <w:r w:rsidRPr="00673A28">
        <w:rPr>
          <w:rFonts w:ascii="Arial" w:hAnsi="Arial" w:cs="Arial"/>
          <w:sz w:val="22"/>
          <w:szCs w:val="22"/>
        </w:rPr>
        <w:t xml:space="preserve">This request </w:t>
      </w:r>
      <w:r w:rsidRPr="00673A28" w:rsidR="006B6626">
        <w:rPr>
          <w:rFonts w:ascii="Arial" w:hAnsi="Arial" w:cs="Arial"/>
          <w:sz w:val="22"/>
          <w:szCs w:val="22"/>
        </w:rPr>
        <w:t xml:space="preserve">is </w:t>
      </w:r>
      <w:r w:rsidRPr="00673A28" w:rsidR="00354035">
        <w:rPr>
          <w:rFonts w:ascii="Arial" w:hAnsi="Arial" w:cs="Arial"/>
          <w:sz w:val="22"/>
          <w:szCs w:val="22"/>
        </w:rPr>
        <w:t xml:space="preserve">to </w:t>
      </w:r>
      <w:r w:rsidRPr="00673A28" w:rsidR="006C2A0D">
        <w:rPr>
          <w:rFonts w:ascii="Arial" w:hAnsi="Arial" w:cs="Arial"/>
          <w:sz w:val="22"/>
          <w:szCs w:val="22"/>
        </w:rPr>
        <w:t xml:space="preserve">seek </w:t>
      </w:r>
      <w:r w:rsidRPr="00673A28">
        <w:rPr>
          <w:rFonts w:ascii="Arial" w:hAnsi="Arial" w:cs="Arial"/>
          <w:sz w:val="22"/>
          <w:szCs w:val="22"/>
        </w:rPr>
        <w:t xml:space="preserve">approval </w:t>
      </w:r>
      <w:r w:rsidR="00EA2FE1">
        <w:rPr>
          <w:rFonts w:ascii="Arial" w:hAnsi="Arial" w:cs="Arial"/>
          <w:sz w:val="22"/>
          <w:szCs w:val="22"/>
        </w:rPr>
        <w:t xml:space="preserve">to </w:t>
      </w:r>
      <w:r w:rsidRPr="00EA2FE1" w:rsidR="00EA2FE1">
        <w:rPr>
          <w:rFonts w:ascii="Arial" w:hAnsi="Arial" w:cs="Arial"/>
          <w:sz w:val="22"/>
          <w:szCs w:val="22"/>
          <w:u w:val="single"/>
        </w:rPr>
        <w:t>re</w:t>
      </w:r>
      <w:r w:rsidR="006148A0">
        <w:rPr>
          <w:rFonts w:ascii="Arial" w:hAnsi="Arial" w:cs="Arial"/>
          <w:sz w:val="22"/>
          <w:szCs w:val="22"/>
          <w:u w:val="single"/>
        </w:rPr>
        <w:t>instate, with changes, the</w:t>
      </w:r>
      <w:r w:rsidRPr="00673A28" w:rsidR="006C2A0D">
        <w:rPr>
          <w:rFonts w:ascii="Arial" w:hAnsi="Arial" w:cs="Arial"/>
          <w:sz w:val="22"/>
          <w:szCs w:val="22"/>
          <w:u w:val="single"/>
        </w:rPr>
        <w:t xml:space="preserve"> </w:t>
      </w:r>
      <w:r w:rsidRPr="00673A28" w:rsidR="00067A86">
        <w:rPr>
          <w:rFonts w:ascii="Arial" w:hAnsi="Arial" w:cs="Arial"/>
          <w:sz w:val="22"/>
          <w:szCs w:val="22"/>
          <w:u w:val="single"/>
        </w:rPr>
        <w:t>bi-</w:t>
      </w:r>
      <w:r w:rsidRPr="00673A28" w:rsidR="004B78C8">
        <w:rPr>
          <w:rFonts w:ascii="Arial" w:hAnsi="Arial" w:cs="Arial"/>
          <w:sz w:val="22"/>
          <w:szCs w:val="22"/>
          <w:u w:val="single"/>
        </w:rPr>
        <w:t>annual report</w:t>
      </w:r>
      <w:r w:rsidRPr="00673A28" w:rsidR="006C2A0D">
        <w:rPr>
          <w:rFonts w:ascii="Arial" w:hAnsi="Arial" w:cs="Arial"/>
          <w:sz w:val="22"/>
          <w:szCs w:val="22"/>
          <w:u w:val="single"/>
        </w:rPr>
        <w:t>ing</w:t>
      </w:r>
      <w:r w:rsidRPr="00673A28" w:rsidR="00067A86">
        <w:rPr>
          <w:rFonts w:ascii="Arial" w:hAnsi="Arial" w:cs="Arial"/>
          <w:sz w:val="22"/>
          <w:szCs w:val="22"/>
          <w:u w:val="single"/>
        </w:rPr>
        <w:t xml:space="preserve"> requirement</w:t>
      </w:r>
      <w:r w:rsidRPr="00673A28" w:rsidR="006C2A0D">
        <w:rPr>
          <w:rFonts w:ascii="Arial" w:hAnsi="Arial" w:cs="Arial"/>
          <w:sz w:val="22"/>
          <w:szCs w:val="22"/>
          <w:u w:val="single"/>
        </w:rPr>
        <w:t>s</w:t>
      </w:r>
      <w:r w:rsidRPr="00673A28" w:rsidR="008C7409">
        <w:rPr>
          <w:rFonts w:ascii="Arial" w:hAnsi="Arial" w:cs="Arial"/>
          <w:sz w:val="22"/>
          <w:szCs w:val="22"/>
          <w:u w:val="single"/>
        </w:rPr>
        <w:t xml:space="preserve"> for Phase II grantees</w:t>
      </w:r>
      <w:r w:rsidRPr="00673A28" w:rsidR="00A51E94">
        <w:rPr>
          <w:rFonts w:ascii="Arial" w:hAnsi="Arial" w:cs="Arial"/>
          <w:sz w:val="22"/>
          <w:szCs w:val="22"/>
        </w:rPr>
        <w:t xml:space="preserve"> </w:t>
      </w:r>
      <w:r w:rsidRPr="00673A28" w:rsidR="00E44266">
        <w:rPr>
          <w:rFonts w:ascii="Arial" w:hAnsi="Arial" w:cs="Arial"/>
          <w:sz w:val="22"/>
          <w:szCs w:val="22"/>
        </w:rPr>
        <w:t xml:space="preserve">of </w:t>
      </w:r>
      <w:r w:rsidRPr="00673A28" w:rsidR="008D202F">
        <w:rPr>
          <w:rFonts w:ascii="Arial" w:hAnsi="Arial" w:cs="Arial"/>
          <w:sz w:val="22"/>
          <w:szCs w:val="22"/>
        </w:rPr>
        <w:t xml:space="preserve">the </w:t>
      </w:r>
      <w:hyperlink r:id="rId9" w:history="1">
        <w:r w:rsidRPr="00673A28" w:rsidR="00D04720">
          <w:rPr>
            <w:rStyle w:val="Hyperlink"/>
            <w:rFonts w:ascii="Arial" w:hAnsi="Arial" w:cs="Arial"/>
            <w:sz w:val="22"/>
            <w:szCs w:val="22"/>
          </w:rPr>
          <w:t>National Science Foundation (NSF) Small Business Innovation Research (SBIR)/Small Business Technology Transfer (STTR) program</w:t>
        </w:r>
      </w:hyperlink>
      <w:r w:rsidRPr="00673A28" w:rsidR="009C3751">
        <w:rPr>
          <w:rFonts w:ascii="Arial" w:hAnsi="Arial" w:cs="Arial"/>
          <w:sz w:val="22"/>
          <w:szCs w:val="22"/>
        </w:rPr>
        <w:t xml:space="preserve">. </w:t>
      </w:r>
      <w:r w:rsidRPr="00673A28" w:rsidR="00BF5CBA">
        <w:rPr>
          <w:rFonts w:ascii="Arial" w:hAnsi="Arial" w:cs="Arial"/>
          <w:sz w:val="22"/>
          <w:szCs w:val="22"/>
        </w:rPr>
        <w:t xml:space="preserve"> Only minor changes were made to the reporting requirements</w:t>
      </w:r>
      <w:r w:rsidRPr="00673A28" w:rsidR="00995F7B">
        <w:rPr>
          <w:rFonts w:ascii="Arial" w:hAnsi="Arial" w:cs="Arial"/>
          <w:sz w:val="22"/>
          <w:szCs w:val="22"/>
        </w:rPr>
        <w:t xml:space="preserve"> (listed in Section A.1)</w:t>
      </w:r>
      <w:r w:rsidRPr="00673A28" w:rsidR="00984542">
        <w:rPr>
          <w:rFonts w:ascii="Arial" w:hAnsi="Arial" w:cs="Arial"/>
          <w:sz w:val="22"/>
          <w:szCs w:val="22"/>
        </w:rPr>
        <w:t xml:space="preserve">, and the </w:t>
      </w:r>
      <w:r w:rsidRPr="00673A28" w:rsidR="00AE03A4">
        <w:rPr>
          <w:rFonts w:ascii="Arial" w:hAnsi="Arial" w:cs="Arial"/>
          <w:sz w:val="22"/>
          <w:szCs w:val="22"/>
        </w:rPr>
        <w:t xml:space="preserve">corresponding </w:t>
      </w:r>
      <w:r w:rsidRPr="00673A28" w:rsidR="00984542">
        <w:rPr>
          <w:rFonts w:ascii="Arial" w:hAnsi="Arial" w:cs="Arial"/>
          <w:sz w:val="22"/>
          <w:szCs w:val="22"/>
        </w:rPr>
        <w:t xml:space="preserve">burden estimates were adjusted </w:t>
      </w:r>
      <w:r w:rsidRPr="00673A28" w:rsidR="00AE03A4">
        <w:rPr>
          <w:rFonts w:ascii="Arial" w:hAnsi="Arial" w:cs="Arial"/>
          <w:sz w:val="22"/>
          <w:szCs w:val="22"/>
        </w:rPr>
        <w:t>accordingly</w:t>
      </w:r>
      <w:r w:rsidRPr="00673A28">
        <w:rPr>
          <w:rFonts w:ascii="Arial" w:hAnsi="Arial" w:cs="Arial"/>
          <w:sz w:val="22"/>
          <w:szCs w:val="22"/>
        </w:rPr>
        <w:t xml:space="preserve">.  </w:t>
      </w:r>
      <w:r w:rsidR="00860EC4">
        <w:rPr>
          <w:rFonts w:ascii="Arial" w:hAnsi="Arial" w:cs="Arial"/>
          <w:sz w:val="22"/>
          <w:szCs w:val="22"/>
        </w:rPr>
        <w:t>Data</w:t>
      </w:r>
      <w:r w:rsidRPr="00673A28">
        <w:rPr>
          <w:rFonts w:ascii="Arial" w:hAnsi="Arial" w:cs="Arial"/>
          <w:sz w:val="22"/>
          <w:szCs w:val="22"/>
        </w:rPr>
        <w:t xml:space="preserve"> collected are intended </w:t>
      </w:r>
      <w:r w:rsidRPr="00673A28" w:rsidR="00A51E94">
        <w:rPr>
          <w:rFonts w:ascii="Arial" w:hAnsi="Arial" w:cs="Arial"/>
          <w:sz w:val="22"/>
          <w:szCs w:val="22"/>
        </w:rPr>
        <w:t xml:space="preserve">to </w:t>
      </w:r>
      <w:r w:rsidRPr="00673A28" w:rsidR="005A30F2">
        <w:rPr>
          <w:rFonts w:ascii="Arial" w:hAnsi="Arial" w:cs="Arial"/>
          <w:sz w:val="22"/>
          <w:szCs w:val="22"/>
        </w:rPr>
        <w:t>monitor</w:t>
      </w:r>
      <w:r w:rsidRPr="00673A28" w:rsidR="001F0B2A">
        <w:rPr>
          <w:rFonts w:ascii="Arial" w:hAnsi="Arial" w:cs="Arial"/>
          <w:sz w:val="22"/>
          <w:szCs w:val="22"/>
        </w:rPr>
        <w:t xml:space="preserve"> </w:t>
      </w:r>
      <w:r w:rsidRPr="00673A28" w:rsidR="00624347">
        <w:rPr>
          <w:rFonts w:ascii="Arial" w:hAnsi="Arial" w:cs="Arial"/>
          <w:sz w:val="22"/>
          <w:szCs w:val="22"/>
        </w:rPr>
        <w:t xml:space="preserve">project </w:t>
      </w:r>
      <w:r w:rsidRPr="00673A28" w:rsidR="00067A86">
        <w:rPr>
          <w:rFonts w:ascii="Arial" w:hAnsi="Arial" w:cs="Arial"/>
          <w:sz w:val="22"/>
          <w:szCs w:val="22"/>
        </w:rPr>
        <w:t>progresses</w:t>
      </w:r>
      <w:r w:rsidR="00BA5219">
        <w:rPr>
          <w:rFonts w:ascii="Arial" w:hAnsi="Arial" w:cs="Arial"/>
          <w:sz w:val="22"/>
          <w:szCs w:val="22"/>
        </w:rPr>
        <w:t xml:space="preserve"> and </w:t>
      </w:r>
      <w:r w:rsidRPr="00673A28" w:rsidR="00A51E94">
        <w:rPr>
          <w:rFonts w:ascii="Arial" w:hAnsi="Arial" w:cs="Arial"/>
          <w:sz w:val="22"/>
          <w:szCs w:val="22"/>
        </w:rPr>
        <w:t>outcomes</w:t>
      </w:r>
      <w:r w:rsidR="00BA5219">
        <w:rPr>
          <w:rFonts w:ascii="Arial" w:hAnsi="Arial" w:cs="Arial"/>
          <w:sz w:val="22"/>
          <w:szCs w:val="22"/>
        </w:rPr>
        <w:t xml:space="preserve"> and </w:t>
      </w:r>
      <w:r w:rsidRPr="00673A28" w:rsidR="005A2AA9">
        <w:rPr>
          <w:rFonts w:ascii="Arial" w:hAnsi="Arial" w:cs="Arial"/>
          <w:sz w:val="22"/>
          <w:szCs w:val="22"/>
        </w:rPr>
        <w:t>verify</w:t>
      </w:r>
      <w:r w:rsidRPr="00673A28" w:rsidR="005902F9">
        <w:rPr>
          <w:rFonts w:ascii="Arial" w:hAnsi="Arial" w:cs="Arial"/>
          <w:sz w:val="22"/>
          <w:szCs w:val="22"/>
        </w:rPr>
        <w:t xml:space="preserve"> </w:t>
      </w:r>
      <w:r w:rsidR="00BA5219">
        <w:rPr>
          <w:rFonts w:ascii="Arial" w:hAnsi="Arial" w:cs="Arial"/>
          <w:sz w:val="22"/>
          <w:szCs w:val="22"/>
        </w:rPr>
        <w:t xml:space="preserve">that </w:t>
      </w:r>
      <w:r w:rsidRPr="00673A28" w:rsidR="005902F9">
        <w:rPr>
          <w:rFonts w:ascii="Arial" w:hAnsi="Arial" w:cs="Arial"/>
          <w:sz w:val="22"/>
          <w:szCs w:val="22"/>
        </w:rPr>
        <w:t>compliance requirements are met</w:t>
      </w:r>
      <w:r w:rsidRPr="00673A28" w:rsidR="00A51E94">
        <w:rPr>
          <w:rFonts w:ascii="Arial" w:hAnsi="Arial" w:cs="Arial"/>
          <w:sz w:val="22"/>
          <w:szCs w:val="22"/>
        </w:rPr>
        <w:t xml:space="preserve"> </w:t>
      </w:r>
      <w:r w:rsidRPr="00673A28">
        <w:rPr>
          <w:rFonts w:ascii="Arial" w:hAnsi="Arial" w:cs="Arial"/>
          <w:sz w:val="22"/>
          <w:szCs w:val="22"/>
        </w:rPr>
        <w:t xml:space="preserve">for </w:t>
      </w:r>
      <w:r w:rsidRPr="00673A28" w:rsidR="004B78C8">
        <w:rPr>
          <w:rFonts w:ascii="Arial" w:hAnsi="Arial" w:cs="Arial"/>
          <w:sz w:val="22"/>
          <w:szCs w:val="22"/>
        </w:rPr>
        <w:t>the</w:t>
      </w:r>
      <w:r w:rsidRPr="00673A28" w:rsidR="00D03C64">
        <w:rPr>
          <w:rFonts w:ascii="Arial" w:hAnsi="Arial" w:cs="Arial"/>
          <w:sz w:val="22"/>
          <w:szCs w:val="22"/>
        </w:rPr>
        <w:t xml:space="preserve"> </w:t>
      </w:r>
      <w:r w:rsidRPr="00673A28" w:rsidR="00D04720">
        <w:rPr>
          <w:rFonts w:ascii="Arial" w:hAnsi="Arial" w:cs="Arial"/>
          <w:sz w:val="22"/>
          <w:szCs w:val="22"/>
        </w:rPr>
        <w:t>c</w:t>
      </w:r>
      <w:r w:rsidRPr="00673A28" w:rsidR="00D03C64">
        <w:rPr>
          <w:rFonts w:ascii="Arial" w:hAnsi="Arial" w:cs="Arial"/>
          <w:sz w:val="22"/>
          <w:szCs w:val="22"/>
        </w:rPr>
        <w:t>ongressionally</w:t>
      </w:r>
      <w:r w:rsidR="00BA5219">
        <w:rPr>
          <w:rFonts w:ascii="Arial" w:hAnsi="Arial" w:cs="Arial"/>
          <w:sz w:val="22"/>
          <w:szCs w:val="22"/>
        </w:rPr>
        <w:t xml:space="preserve"> </w:t>
      </w:r>
      <w:r w:rsidRPr="00673A28" w:rsidR="00D03C64">
        <w:rPr>
          <w:rFonts w:ascii="Arial" w:hAnsi="Arial" w:cs="Arial"/>
          <w:sz w:val="22"/>
          <w:szCs w:val="22"/>
        </w:rPr>
        <w:t>mandated program</w:t>
      </w:r>
      <w:r w:rsidRPr="00673A28">
        <w:rPr>
          <w:rFonts w:ascii="Arial" w:hAnsi="Arial" w:cs="Arial"/>
          <w:sz w:val="22"/>
          <w:szCs w:val="22"/>
        </w:rPr>
        <w:t xml:space="preserve">. </w:t>
      </w:r>
      <w:r w:rsidR="00244CA8">
        <w:rPr>
          <w:rFonts w:ascii="Arial" w:hAnsi="Arial" w:cs="Arial"/>
          <w:sz w:val="22"/>
          <w:szCs w:val="22"/>
        </w:rPr>
        <w:t>The information collection was temporarily suspended while the new Technology, Innovation, and Partnerships Directorate was being staffed with employees from other Directorates within NSF.</w:t>
      </w:r>
    </w:p>
    <w:p w:rsidR="000A65C4" w:rsidRPr="00673A28" w:rsidP="00034B7B" w14:paraId="2232B097" w14:textId="66840145">
      <w:pPr>
        <w:pStyle w:val="NormalWeb"/>
        <w:jc w:val="both"/>
        <w:rPr>
          <w:rFonts w:ascii="Arial" w:hAnsi="Arial" w:cs="Arial"/>
          <w:sz w:val="22"/>
          <w:szCs w:val="22"/>
        </w:rPr>
      </w:pPr>
      <w:r w:rsidRPr="00673A28">
        <w:rPr>
          <w:rFonts w:ascii="Arial" w:hAnsi="Arial" w:cs="Arial"/>
          <w:sz w:val="22"/>
          <w:szCs w:val="22"/>
        </w:rPr>
        <w:t xml:space="preserve">In 1977, </w:t>
      </w:r>
      <w:r w:rsidRPr="00673A28" w:rsidR="006B07E4">
        <w:rPr>
          <w:rFonts w:ascii="Arial" w:hAnsi="Arial" w:cs="Arial"/>
          <w:sz w:val="22"/>
          <w:szCs w:val="22"/>
        </w:rPr>
        <w:t>NSF</w:t>
      </w:r>
      <w:r w:rsidRPr="00673A28">
        <w:rPr>
          <w:rFonts w:ascii="Arial" w:hAnsi="Arial" w:cs="Arial"/>
          <w:sz w:val="22"/>
          <w:szCs w:val="22"/>
        </w:rPr>
        <w:t xml:space="preserve"> piloted and subsequently instituted the “Small Business Innovation Applied to National Needs” program, a precursor to the SBIR program and a first of its kind within the federal government. </w:t>
      </w:r>
      <w:r w:rsidR="00E20B37">
        <w:rPr>
          <w:rFonts w:ascii="Arial" w:hAnsi="Arial" w:cs="Arial"/>
          <w:sz w:val="22"/>
          <w:szCs w:val="22"/>
        </w:rPr>
        <w:t>Its</w:t>
      </w:r>
      <w:r w:rsidRPr="00673A28">
        <w:rPr>
          <w:rFonts w:ascii="Arial" w:hAnsi="Arial" w:cs="Arial"/>
          <w:sz w:val="22"/>
          <w:szCs w:val="22"/>
        </w:rPr>
        <w:t xml:space="preserve"> program was to catalyze the innovative capabilities of small</w:t>
      </w:r>
      <w:r w:rsidR="00E20B37">
        <w:rPr>
          <w:rFonts w:ascii="Arial" w:hAnsi="Arial" w:cs="Arial"/>
          <w:sz w:val="22"/>
          <w:szCs w:val="22"/>
        </w:rPr>
        <w:t xml:space="preserve">, U.S.-based </w:t>
      </w:r>
      <w:r w:rsidRPr="00673A28">
        <w:rPr>
          <w:rFonts w:ascii="Arial" w:hAnsi="Arial" w:cs="Arial"/>
          <w:sz w:val="22"/>
          <w:szCs w:val="22"/>
        </w:rPr>
        <w:t>firms by supporting “high-risk, potentially high-payoff” projects</w:t>
      </w:r>
      <w:r>
        <w:rPr>
          <w:rStyle w:val="FootnoteReference"/>
          <w:rFonts w:ascii="Arial" w:hAnsi="Arial" w:cs="Arial"/>
          <w:sz w:val="22"/>
          <w:szCs w:val="22"/>
          <w:vertAlign w:val="superscript"/>
        </w:rPr>
        <w:footnoteReference w:id="2"/>
      </w:r>
      <w:r w:rsidRPr="00673A28">
        <w:rPr>
          <w:rFonts w:ascii="Arial" w:hAnsi="Arial" w:cs="Arial"/>
          <w:sz w:val="22"/>
          <w:szCs w:val="22"/>
          <w:vertAlign w:val="superscript"/>
        </w:rPr>
        <w:t xml:space="preserve"> </w:t>
      </w:r>
      <w:r w:rsidRPr="00673A28">
        <w:rPr>
          <w:rFonts w:ascii="Arial" w:hAnsi="Arial" w:cs="Arial"/>
          <w:sz w:val="22"/>
          <w:szCs w:val="22"/>
        </w:rPr>
        <w:t>.</w:t>
      </w:r>
      <w:r w:rsidRPr="00673A28" w:rsidR="00C93D1B">
        <w:rPr>
          <w:rFonts w:ascii="Arial" w:hAnsi="Arial" w:cs="Arial"/>
          <w:sz w:val="22"/>
          <w:szCs w:val="22"/>
        </w:rPr>
        <w:t xml:space="preserve">  </w:t>
      </w:r>
      <w:r w:rsidRPr="00673A28" w:rsidR="00395279">
        <w:rPr>
          <w:rFonts w:ascii="Arial" w:hAnsi="Arial" w:cs="Arial"/>
          <w:sz w:val="22"/>
          <w:szCs w:val="22"/>
        </w:rPr>
        <w:t xml:space="preserve">The current NSF SBIR/STTR program continues this legacy of supporting the translation of scientific discovery into products and services with commercial potential and/or societal benefit. </w:t>
      </w:r>
      <w:r w:rsidR="005455B2">
        <w:rPr>
          <w:rFonts w:ascii="Arial" w:hAnsi="Arial" w:cs="Arial"/>
          <w:sz w:val="22"/>
          <w:szCs w:val="22"/>
        </w:rPr>
        <w:t xml:space="preserve"> </w:t>
      </w:r>
      <w:r w:rsidRPr="00673A28" w:rsidR="00395279">
        <w:rPr>
          <w:rFonts w:ascii="Arial" w:hAnsi="Arial" w:cs="Arial"/>
          <w:sz w:val="22"/>
          <w:szCs w:val="22"/>
        </w:rPr>
        <w:t xml:space="preserve">Unlike </w:t>
      </w:r>
      <w:r w:rsidR="005455B2">
        <w:rPr>
          <w:rFonts w:ascii="Arial" w:hAnsi="Arial" w:cs="Arial"/>
          <w:sz w:val="22"/>
          <w:szCs w:val="22"/>
        </w:rPr>
        <w:t>foundational</w:t>
      </w:r>
      <w:r w:rsidRPr="00673A28" w:rsidR="00395279">
        <w:rPr>
          <w:rFonts w:ascii="Arial" w:hAnsi="Arial" w:cs="Arial"/>
          <w:sz w:val="22"/>
          <w:szCs w:val="22"/>
        </w:rPr>
        <w:t xml:space="preserve"> or basic research activities that focus on scientific and engineering discovery itself, the NSF SBIR/STTR program supports </w:t>
      </w:r>
      <w:r w:rsidR="005455B2">
        <w:rPr>
          <w:rFonts w:ascii="Arial" w:hAnsi="Arial" w:cs="Arial"/>
          <w:sz w:val="22"/>
          <w:szCs w:val="22"/>
        </w:rPr>
        <w:t xml:space="preserve">startups and small businesses </w:t>
      </w:r>
      <w:r w:rsidR="00C75A71">
        <w:rPr>
          <w:rFonts w:ascii="Arial" w:hAnsi="Arial" w:cs="Arial"/>
          <w:sz w:val="22"/>
          <w:szCs w:val="22"/>
        </w:rPr>
        <w:t xml:space="preserve">that </w:t>
      </w:r>
      <w:r w:rsidRPr="00673A28" w:rsidR="00395279">
        <w:rPr>
          <w:rFonts w:ascii="Arial" w:hAnsi="Arial" w:cs="Arial"/>
          <w:sz w:val="22"/>
          <w:szCs w:val="22"/>
        </w:rPr>
        <w:t>move discoveries founded from fundamental</w:t>
      </w:r>
      <w:r w:rsidR="00C75A71">
        <w:rPr>
          <w:rFonts w:ascii="Arial" w:hAnsi="Arial" w:cs="Arial"/>
          <w:sz w:val="22"/>
          <w:szCs w:val="22"/>
        </w:rPr>
        <w:t>, use-inspired</w:t>
      </w:r>
      <w:r w:rsidRPr="00673A28" w:rsidR="00395279">
        <w:rPr>
          <w:rFonts w:ascii="Arial" w:hAnsi="Arial" w:cs="Arial"/>
          <w:sz w:val="22"/>
          <w:szCs w:val="22"/>
        </w:rPr>
        <w:t xml:space="preserve"> science and engineering out of the lab and into the market</w:t>
      </w:r>
      <w:r w:rsidR="00C75A71">
        <w:rPr>
          <w:rFonts w:ascii="Arial" w:hAnsi="Arial" w:cs="Arial"/>
          <w:sz w:val="22"/>
          <w:szCs w:val="22"/>
        </w:rPr>
        <w:t xml:space="preserve">place </w:t>
      </w:r>
      <w:r w:rsidRPr="00673A28" w:rsidR="00395279">
        <w:rPr>
          <w:rFonts w:ascii="Arial" w:hAnsi="Arial" w:cs="Arial"/>
          <w:sz w:val="22"/>
          <w:szCs w:val="22"/>
        </w:rPr>
        <w:t>at scale</w:t>
      </w:r>
      <w:r w:rsidR="00C75A71">
        <w:rPr>
          <w:rFonts w:ascii="Arial" w:hAnsi="Arial" w:cs="Arial"/>
          <w:sz w:val="22"/>
          <w:szCs w:val="22"/>
        </w:rPr>
        <w:t>.</w:t>
      </w:r>
    </w:p>
    <w:p w:rsidR="00DC24EC" w:rsidRPr="00673A28" w:rsidP="00034B7B" w14:paraId="7E7C083A" w14:textId="76D97F32">
      <w:pPr>
        <w:pStyle w:val="NormalWeb"/>
        <w:jc w:val="both"/>
        <w:rPr>
          <w:rFonts w:ascii="Arial" w:hAnsi="Arial" w:cs="Arial"/>
          <w:sz w:val="22"/>
          <w:szCs w:val="22"/>
        </w:rPr>
      </w:pPr>
      <w:r w:rsidRPr="00673A28">
        <w:rPr>
          <w:rFonts w:ascii="Arial" w:hAnsi="Arial" w:cs="Arial"/>
          <w:sz w:val="22"/>
          <w:szCs w:val="22"/>
        </w:rPr>
        <w:t xml:space="preserve">The </w:t>
      </w:r>
      <w:r w:rsidRPr="00673A28" w:rsidR="00D04720">
        <w:rPr>
          <w:rFonts w:ascii="Arial" w:hAnsi="Arial" w:cs="Arial"/>
          <w:sz w:val="22"/>
          <w:szCs w:val="22"/>
        </w:rPr>
        <w:t xml:space="preserve">NSF </w:t>
      </w:r>
      <w:r w:rsidRPr="00673A28">
        <w:rPr>
          <w:rFonts w:ascii="Arial" w:hAnsi="Arial" w:cs="Arial"/>
          <w:sz w:val="22"/>
          <w:szCs w:val="22"/>
        </w:rPr>
        <w:t>SBIR</w:t>
      </w:r>
      <w:r w:rsidRPr="00673A28" w:rsidR="00A43B15">
        <w:rPr>
          <w:rFonts w:ascii="Arial" w:hAnsi="Arial" w:cs="Arial"/>
          <w:sz w:val="22"/>
          <w:szCs w:val="22"/>
        </w:rPr>
        <w:t>/</w:t>
      </w:r>
      <w:r w:rsidRPr="00673A28">
        <w:rPr>
          <w:rFonts w:ascii="Arial" w:hAnsi="Arial" w:cs="Arial"/>
          <w:sz w:val="22"/>
          <w:szCs w:val="22"/>
        </w:rPr>
        <w:t xml:space="preserve">STTR program </w:t>
      </w:r>
      <w:r w:rsidR="00C75A71">
        <w:rPr>
          <w:rFonts w:ascii="Arial" w:hAnsi="Arial" w:cs="Arial"/>
          <w:sz w:val="22"/>
          <w:szCs w:val="22"/>
        </w:rPr>
        <w:t xml:space="preserve">resides in </w:t>
      </w:r>
      <w:r w:rsidRPr="00673A28">
        <w:rPr>
          <w:rFonts w:ascii="Arial" w:hAnsi="Arial" w:cs="Arial"/>
          <w:sz w:val="22"/>
          <w:szCs w:val="22"/>
        </w:rPr>
        <w:t xml:space="preserve">the </w:t>
      </w:r>
      <w:hyperlink r:id="rId10" w:history="1">
        <w:r w:rsidRPr="00673A28" w:rsidR="007E669A">
          <w:rPr>
            <w:rStyle w:val="Hyperlink"/>
            <w:rFonts w:ascii="Arial" w:hAnsi="Arial" w:cs="Arial"/>
            <w:sz w:val="22"/>
            <w:szCs w:val="22"/>
          </w:rPr>
          <w:t>Directorate for Technology, Innovation, and Partnerships (TIP)</w:t>
        </w:r>
      </w:hyperlink>
      <w:r w:rsidRPr="00673A28" w:rsidR="007E669A">
        <w:rPr>
          <w:rFonts w:ascii="Arial" w:hAnsi="Arial" w:cs="Arial"/>
          <w:sz w:val="22"/>
          <w:szCs w:val="22"/>
        </w:rPr>
        <w:t xml:space="preserve"> at </w:t>
      </w:r>
      <w:r w:rsidRPr="00673A28">
        <w:rPr>
          <w:rFonts w:ascii="Arial" w:hAnsi="Arial" w:cs="Arial"/>
          <w:sz w:val="22"/>
          <w:szCs w:val="22"/>
        </w:rPr>
        <w:t>NS</w:t>
      </w:r>
      <w:r w:rsidR="00C75A71">
        <w:rPr>
          <w:rFonts w:ascii="Arial" w:hAnsi="Arial" w:cs="Arial"/>
          <w:sz w:val="22"/>
          <w:szCs w:val="22"/>
        </w:rPr>
        <w:t>F,</w:t>
      </w:r>
      <w:r w:rsidRPr="00673A28" w:rsidR="0053789E">
        <w:rPr>
          <w:rFonts w:ascii="Arial" w:hAnsi="Arial" w:cs="Arial"/>
          <w:sz w:val="22"/>
          <w:szCs w:val="22"/>
        </w:rPr>
        <w:t xml:space="preserve"> the agency’s first new directorate in </w:t>
      </w:r>
      <w:r w:rsidR="00C75A71">
        <w:rPr>
          <w:rFonts w:ascii="Arial" w:hAnsi="Arial" w:cs="Arial"/>
          <w:sz w:val="22"/>
          <w:szCs w:val="22"/>
        </w:rPr>
        <w:t xml:space="preserve">over </w:t>
      </w:r>
      <w:r w:rsidRPr="00673A28" w:rsidR="0053789E">
        <w:rPr>
          <w:rFonts w:ascii="Arial" w:hAnsi="Arial" w:cs="Arial"/>
          <w:sz w:val="22"/>
          <w:szCs w:val="22"/>
        </w:rPr>
        <w:t xml:space="preserve">30 years.  </w:t>
      </w:r>
      <w:r w:rsidR="00C75A71">
        <w:rPr>
          <w:rFonts w:ascii="Arial" w:hAnsi="Arial" w:cs="Arial"/>
          <w:sz w:val="22"/>
          <w:szCs w:val="22"/>
        </w:rPr>
        <w:t xml:space="preserve">NSF’s </w:t>
      </w:r>
      <w:r w:rsidRPr="00673A28" w:rsidR="0053789E">
        <w:rPr>
          <w:rFonts w:ascii="Arial" w:hAnsi="Arial" w:cs="Arial"/>
          <w:sz w:val="22"/>
          <w:szCs w:val="22"/>
        </w:rPr>
        <w:t>TIP</w:t>
      </w:r>
      <w:r w:rsidR="00C75A71">
        <w:rPr>
          <w:rFonts w:ascii="Arial" w:hAnsi="Arial" w:cs="Arial"/>
          <w:sz w:val="22"/>
          <w:szCs w:val="22"/>
        </w:rPr>
        <w:t xml:space="preserve"> Directorate</w:t>
      </w:r>
      <w:r w:rsidRPr="00673A28" w:rsidR="008F57B7">
        <w:rPr>
          <w:rFonts w:ascii="Arial" w:hAnsi="Arial" w:cs="Arial"/>
          <w:sz w:val="22"/>
          <w:szCs w:val="22"/>
        </w:rPr>
        <w:t xml:space="preserve"> </w:t>
      </w:r>
      <w:r w:rsidRPr="00673A28" w:rsidR="00034B7B">
        <w:rPr>
          <w:rFonts w:ascii="Arial" w:hAnsi="Arial" w:cs="Arial"/>
          <w:sz w:val="22"/>
          <w:szCs w:val="22"/>
        </w:rPr>
        <w:t>collaborat</w:t>
      </w:r>
      <w:r w:rsidR="007D48AA">
        <w:rPr>
          <w:rFonts w:ascii="Arial" w:hAnsi="Arial" w:cs="Arial"/>
          <w:sz w:val="22"/>
          <w:szCs w:val="22"/>
        </w:rPr>
        <w:t>es</w:t>
      </w:r>
      <w:r w:rsidRPr="00673A28" w:rsidR="00034B7B">
        <w:rPr>
          <w:rFonts w:ascii="Arial" w:hAnsi="Arial" w:cs="Arial"/>
          <w:sz w:val="22"/>
          <w:szCs w:val="22"/>
        </w:rPr>
        <w:t xml:space="preserve"> with NSF's </w:t>
      </w:r>
      <w:r w:rsidR="007D48AA">
        <w:rPr>
          <w:rFonts w:ascii="Arial" w:hAnsi="Arial" w:cs="Arial"/>
          <w:sz w:val="22"/>
          <w:szCs w:val="22"/>
        </w:rPr>
        <w:t>other</w:t>
      </w:r>
      <w:r w:rsidRPr="00673A28" w:rsidR="00034B7B">
        <w:rPr>
          <w:rFonts w:ascii="Arial" w:hAnsi="Arial" w:cs="Arial"/>
          <w:sz w:val="22"/>
          <w:szCs w:val="22"/>
        </w:rPr>
        <w:t xml:space="preserve"> directorates and fosters partnerships to </w:t>
      </w:r>
      <w:r w:rsidR="007D48AA">
        <w:rPr>
          <w:rFonts w:ascii="Arial" w:hAnsi="Arial" w:cs="Arial"/>
          <w:sz w:val="22"/>
          <w:szCs w:val="22"/>
        </w:rPr>
        <w:t xml:space="preserve">support use-inspired research and the translation of research results to the market and society.  The new directorate </w:t>
      </w:r>
      <w:r w:rsidR="001E68CA">
        <w:rPr>
          <w:rFonts w:ascii="Arial" w:hAnsi="Arial" w:cs="Arial"/>
          <w:sz w:val="22"/>
          <w:szCs w:val="22"/>
        </w:rPr>
        <w:t xml:space="preserve">strengthens the intense interplay between foundational and use-inspired work, enhancing the complete cycle of discovery and innovation. </w:t>
      </w:r>
    </w:p>
    <w:p w:rsidR="00034B7B" w:rsidRPr="00673A28" w:rsidP="00034B7B" w14:paraId="66C339EF" w14:textId="63D7E5C0">
      <w:pPr>
        <w:pStyle w:val="NormalWeb"/>
        <w:jc w:val="both"/>
        <w:rPr>
          <w:rFonts w:ascii="Arial" w:hAnsi="Arial" w:cs="Arial"/>
          <w:sz w:val="22"/>
          <w:szCs w:val="22"/>
        </w:rPr>
      </w:pPr>
      <w:r w:rsidRPr="00673A28">
        <w:rPr>
          <w:rFonts w:ascii="Arial" w:hAnsi="Arial" w:cs="Arial"/>
          <w:sz w:val="22"/>
          <w:szCs w:val="22"/>
        </w:rPr>
        <w:t>The</w:t>
      </w:r>
      <w:r w:rsidRPr="00673A28">
        <w:rPr>
          <w:rFonts w:ascii="Arial" w:hAnsi="Arial" w:cs="Arial"/>
          <w:sz w:val="22"/>
          <w:szCs w:val="22"/>
        </w:rPr>
        <w:t xml:space="preserve"> (3) focus areas</w:t>
      </w:r>
      <w:r w:rsidRPr="00673A28">
        <w:rPr>
          <w:rFonts w:ascii="Arial" w:hAnsi="Arial" w:cs="Arial"/>
          <w:sz w:val="22"/>
          <w:szCs w:val="22"/>
        </w:rPr>
        <w:t xml:space="preserve"> of TIP are</w:t>
      </w:r>
      <w:r w:rsidRPr="00673A28">
        <w:rPr>
          <w:rFonts w:ascii="Arial" w:hAnsi="Arial" w:cs="Arial"/>
          <w:sz w:val="22"/>
          <w:szCs w:val="22"/>
        </w:rPr>
        <w:t>:</w:t>
      </w:r>
    </w:p>
    <w:p w:rsidR="00DE188A" w:rsidRPr="00673A28" w:rsidP="00034B7B" w14:paraId="42DEA788" w14:textId="574D9733">
      <w:pPr>
        <w:pStyle w:val="NormalWeb"/>
        <w:ind w:left="720"/>
        <w:jc w:val="both"/>
        <w:rPr>
          <w:rFonts w:ascii="Arial" w:hAnsi="Arial" w:cs="Arial"/>
          <w:sz w:val="22"/>
          <w:szCs w:val="22"/>
        </w:rPr>
      </w:pPr>
      <w:r w:rsidRPr="00673A28">
        <w:rPr>
          <w:rFonts w:ascii="Arial" w:hAnsi="Arial" w:cs="Arial"/>
          <w:sz w:val="22"/>
          <w:szCs w:val="22"/>
        </w:rPr>
        <w:t>1)</w:t>
      </w:r>
      <w:r w:rsidRPr="00673A28" w:rsidR="00034B7B">
        <w:rPr>
          <w:rFonts w:ascii="Arial" w:hAnsi="Arial" w:cs="Arial"/>
          <w:sz w:val="22"/>
          <w:szCs w:val="22"/>
        </w:rPr>
        <w:t xml:space="preserve">  </w:t>
      </w:r>
      <w:r w:rsidRPr="00673A28">
        <w:rPr>
          <w:rFonts w:ascii="Arial" w:hAnsi="Arial" w:cs="Arial"/>
          <w:sz w:val="22"/>
          <w:szCs w:val="22"/>
        </w:rPr>
        <w:t>Cultivate diverse innovation ecosystems throughout the U.S. to advance use-inspired research and innovation in key technologies</w:t>
      </w:r>
      <w:r w:rsidR="00305CB0">
        <w:rPr>
          <w:rFonts w:ascii="Arial" w:hAnsi="Arial" w:cs="Arial"/>
          <w:sz w:val="22"/>
          <w:szCs w:val="22"/>
        </w:rPr>
        <w:t xml:space="preserve"> </w:t>
      </w:r>
      <w:r w:rsidRPr="00673A28">
        <w:rPr>
          <w:rFonts w:ascii="Arial" w:hAnsi="Arial" w:cs="Arial"/>
          <w:sz w:val="22"/>
          <w:szCs w:val="22"/>
        </w:rPr>
        <w:t xml:space="preserve">to address the Nation’s societal and economic challenges; </w:t>
      </w:r>
    </w:p>
    <w:p w:rsidR="00DE188A" w:rsidRPr="00673A28" w:rsidP="00034B7B" w14:paraId="72CDE9C4" w14:textId="726DEFA2">
      <w:pPr>
        <w:pStyle w:val="NormalWeb"/>
        <w:ind w:left="720"/>
        <w:jc w:val="both"/>
        <w:rPr>
          <w:rFonts w:ascii="Arial" w:hAnsi="Arial" w:cs="Arial"/>
          <w:sz w:val="22"/>
          <w:szCs w:val="22"/>
        </w:rPr>
      </w:pPr>
      <w:r w:rsidRPr="00673A28">
        <w:rPr>
          <w:rFonts w:ascii="Arial" w:hAnsi="Arial" w:cs="Arial"/>
          <w:sz w:val="22"/>
          <w:szCs w:val="22"/>
        </w:rPr>
        <w:t>2)</w:t>
      </w:r>
      <w:r w:rsidRPr="00673A28" w:rsidR="00034B7B">
        <w:rPr>
          <w:rFonts w:ascii="Arial" w:hAnsi="Arial" w:cs="Arial"/>
          <w:sz w:val="22"/>
          <w:szCs w:val="22"/>
        </w:rPr>
        <w:t xml:space="preserve"> </w:t>
      </w:r>
      <w:r w:rsidRPr="00673A28">
        <w:rPr>
          <w:rFonts w:ascii="Arial" w:hAnsi="Arial" w:cs="Arial"/>
          <w:sz w:val="22"/>
          <w:szCs w:val="22"/>
        </w:rPr>
        <w:t xml:space="preserve">Advance U.S. competitiveness in critical and emerging technologies by developing and translating innovations and addressing national challenges; and </w:t>
      </w:r>
    </w:p>
    <w:p w:rsidR="007E669A" w:rsidRPr="00673A28" w:rsidP="00034B7B" w14:paraId="178D6C4E" w14:textId="5576651C">
      <w:pPr>
        <w:pStyle w:val="NormalWeb"/>
        <w:ind w:left="720"/>
        <w:jc w:val="both"/>
        <w:rPr>
          <w:rFonts w:ascii="Arial" w:hAnsi="Arial" w:cs="Arial"/>
          <w:sz w:val="22"/>
          <w:szCs w:val="22"/>
        </w:rPr>
      </w:pPr>
      <w:r w:rsidRPr="00673A28">
        <w:rPr>
          <w:rFonts w:ascii="Arial" w:hAnsi="Arial" w:cs="Arial"/>
          <w:sz w:val="22"/>
          <w:szCs w:val="22"/>
        </w:rPr>
        <w:t>3)</w:t>
      </w:r>
      <w:r w:rsidRPr="00673A28" w:rsidR="00034B7B">
        <w:rPr>
          <w:rFonts w:ascii="Arial" w:hAnsi="Arial" w:cs="Arial"/>
          <w:sz w:val="22"/>
          <w:szCs w:val="22"/>
        </w:rPr>
        <w:t xml:space="preserve">  </w:t>
      </w:r>
      <w:r w:rsidRPr="00673A28">
        <w:rPr>
          <w:rFonts w:ascii="Arial" w:hAnsi="Arial" w:cs="Arial"/>
          <w:sz w:val="22"/>
          <w:szCs w:val="22"/>
        </w:rPr>
        <w:t>Grow a diverse</w:t>
      </w:r>
      <w:r w:rsidR="00305CB0">
        <w:rPr>
          <w:rFonts w:ascii="Arial" w:hAnsi="Arial" w:cs="Arial"/>
          <w:sz w:val="22"/>
          <w:szCs w:val="22"/>
        </w:rPr>
        <w:t xml:space="preserve">, </w:t>
      </w:r>
      <w:r w:rsidRPr="00673A28">
        <w:rPr>
          <w:rFonts w:ascii="Arial" w:hAnsi="Arial" w:cs="Arial"/>
          <w:sz w:val="22"/>
          <w:szCs w:val="22"/>
        </w:rPr>
        <w:t xml:space="preserve">inclusive next-generation talent base and workforce around key technology and challenge areas, building expertise in necessary technical skills, use-inspired research and innovation, entrepreneurship, and translation. </w:t>
      </w:r>
    </w:p>
    <w:p w:rsidR="0002722D" w:rsidRPr="00673A28" w:rsidP="00C812EC" w14:paraId="08339548" w14:textId="1779DEFF">
      <w:pPr>
        <w:pStyle w:val="NormalWeb"/>
        <w:jc w:val="both"/>
        <w:rPr>
          <w:rFonts w:ascii="Arial" w:hAnsi="Arial" w:cs="Arial"/>
          <w:sz w:val="22"/>
          <w:szCs w:val="22"/>
        </w:rPr>
      </w:pPr>
      <w:r w:rsidRPr="00673A28">
        <w:rPr>
          <w:rFonts w:ascii="Arial" w:hAnsi="Arial" w:cs="Arial"/>
          <w:sz w:val="22"/>
          <w:szCs w:val="22"/>
        </w:rPr>
        <w:t>The NSF SBIR/STTR program</w:t>
      </w:r>
      <w:r w:rsidRPr="00673A28" w:rsidR="008136C4">
        <w:rPr>
          <w:rFonts w:ascii="Arial" w:hAnsi="Arial" w:cs="Arial"/>
          <w:sz w:val="22"/>
          <w:szCs w:val="22"/>
        </w:rPr>
        <w:t xml:space="preserve"> </w:t>
      </w:r>
      <w:r w:rsidR="001E68CA">
        <w:rPr>
          <w:rFonts w:ascii="Arial" w:hAnsi="Arial" w:cs="Arial"/>
          <w:sz w:val="22"/>
          <w:szCs w:val="22"/>
        </w:rPr>
        <w:t>directly addresses</w:t>
      </w:r>
      <w:r w:rsidRPr="00673A28" w:rsidR="006916D2">
        <w:rPr>
          <w:rFonts w:ascii="Arial" w:hAnsi="Arial" w:cs="Arial"/>
          <w:sz w:val="22"/>
          <w:szCs w:val="22"/>
        </w:rPr>
        <w:t xml:space="preserve"> the</w:t>
      </w:r>
      <w:r w:rsidRPr="00673A28" w:rsidR="00902250">
        <w:rPr>
          <w:rFonts w:ascii="Arial" w:hAnsi="Arial" w:cs="Arial"/>
          <w:sz w:val="22"/>
          <w:szCs w:val="22"/>
        </w:rPr>
        <w:t xml:space="preserve"> second and</w:t>
      </w:r>
      <w:r w:rsidRPr="00673A28" w:rsidR="006916D2">
        <w:rPr>
          <w:rFonts w:ascii="Arial" w:hAnsi="Arial" w:cs="Arial"/>
          <w:sz w:val="22"/>
          <w:szCs w:val="22"/>
        </w:rPr>
        <w:t xml:space="preserve"> third focus area</w:t>
      </w:r>
      <w:r w:rsidRPr="00673A28" w:rsidR="00902250">
        <w:rPr>
          <w:rFonts w:ascii="Arial" w:hAnsi="Arial" w:cs="Arial"/>
          <w:sz w:val="22"/>
          <w:szCs w:val="22"/>
        </w:rPr>
        <w:t>s</w:t>
      </w:r>
      <w:r w:rsidRPr="00673A28" w:rsidR="006916D2">
        <w:rPr>
          <w:rFonts w:ascii="Arial" w:hAnsi="Arial" w:cs="Arial"/>
          <w:sz w:val="22"/>
          <w:szCs w:val="22"/>
        </w:rPr>
        <w:t xml:space="preserve"> of TIP</w:t>
      </w:r>
      <w:r w:rsidR="001E68CA">
        <w:rPr>
          <w:rFonts w:ascii="Arial" w:hAnsi="Arial" w:cs="Arial"/>
          <w:sz w:val="22"/>
          <w:szCs w:val="22"/>
        </w:rPr>
        <w:t xml:space="preserve">; </w:t>
      </w:r>
      <w:r w:rsidRPr="00673A28">
        <w:rPr>
          <w:rFonts w:ascii="Arial" w:hAnsi="Arial" w:cs="Arial"/>
          <w:sz w:val="22"/>
          <w:szCs w:val="22"/>
        </w:rPr>
        <w:t>research and development (R&amp;D)</w:t>
      </w:r>
      <w:r w:rsidR="001E68CA">
        <w:rPr>
          <w:rFonts w:ascii="Arial" w:hAnsi="Arial" w:cs="Arial"/>
          <w:sz w:val="22"/>
          <w:szCs w:val="22"/>
        </w:rPr>
        <w:t xml:space="preserve"> funding is made to early-stage startups and entrepreneurs to ready their technologies for the market.  </w:t>
      </w:r>
      <w:r w:rsidRPr="00673A28">
        <w:rPr>
          <w:rFonts w:ascii="Arial" w:hAnsi="Arial" w:cs="Arial"/>
          <w:sz w:val="22"/>
          <w:szCs w:val="22"/>
        </w:rPr>
        <w:t>The program is designed to stimulate</w:t>
      </w:r>
      <w:r w:rsidR="001E68CA">
        <w:rPr>
          <w:rFonts w:ascii="Arial" w:hAnsi="Arial" w:cs="Arial"/>
          <w:sz w:val="22"/>
          <w:szCs w:val="22"/>
        </w:rPr>
        <w:t xml:space="preserve"> private sector</w:t>
      </w:r>
      <w:r w:rsidRPr="00673A28">
        <w:rPr>
          <w:rFonts w:ascii="Arial" w:hAnsi="Arial" w:cs="Arial"/>
          <w:sz w:val="22"/>
          <w:szCs w:val="22"/>
        </w:rPr>
        <w:t xml:space="preserve"> technological innovation by strengthening the role of small business, increasing the commercial application of federally supported research results,</w:t>
      </w:r>
      <w:r w:rsidR="00CC67FD">
        <w:rPr>
          <w:rFonts w:ascii="Arial" w:hAnsi="Arial" w:cs="Arial"/>
          <w:sz w:val="22"/>
          <w:szCs w:val="22"/>
        </w:rPr>
        <w:t xml:space="preserve"> and nurturing and</w:t>
      </w:r>
      <w:r w:rsidRPr="00673A28">
        <w:rPr>
          <w:rFonts w:ascii="Arial" w:hAnsi="Arial" w:cs="Arial"/>
          <w:sz w:val="22"/>
          <w:szCs w:val="22"/>
        </w:rPr>
        <w:t xml:space="preserve"> encouraging participation by socially and economically disadvantaged and women-owned small businesses.  </w:t>
      </w:r>
      <w:r w:rsidRPr="00673A28" w:rsidR="00C812EC">
        <w:rPr>
          <w:rFonts w:ascii="Arial" w:hAnsi="Arial" w:cs="Arial"/>
          <w:sz w:val="22"/>
          <w:szCs w:val="22"/>
        </w:rPr>
        <w:t xml:space="preserve"> </w:t>
      </w:r>
    </w:p>
    <w:p w:rsidR="00E2720A" w:rsidRPr="00673A28" w:rsidP="000D3B15" w14:paraId="6140E224" w14:textId="23192CD5">
      <w:pPr>
        <w:spacing w:line="240" w:lineRule="auto"/>
        <w:jc w:val="both"/>
        <w:rPr>
          <w:rFonts w:ascii="Arial" w:hAnsi="Arial" w:cs="Arial"/>
        </w:rPr>
      </w:pPr>
      <w:r w:rsidRPr="00673A28">
        <w:rPr>
          <w:rFonts w:ascii="Arial" w:hAnsi="Arial" w:cs="Arial"/>
        </w:rPr>
        <w:t>T</w:t>
      </w:r>
      <w:r w:rsidRPr="00673A28" w:rsidR="004B78C8">
        <w:rPr>
          <w:rFonts w:ascii="Arial" w:hAnsi="Arial" w:cs="Arial"/>
        </w:rPr>
        <w:t>he NSF SBIR</w:t>
      </w:r>
      <w:r w:rsidRPr="00673A28">
        <w:rPr>
          <w:rFonts w:ascii="Arial" w:hAnsi="Arial" w:cs="Arial"/>
        </w:rPr>
        <w:t>/</w:t>
      </w:r>
      <w:r w:rsidRPr="00673A28" w:rsidR="004B78C8">
        <w:rPr>
          <w:rFonts w:ascii="Arial" w:hAnsi="Arial" w:cs="Arial"/>
        </w:rPr>
        <w:t>STTR program</w:t>
      </w:r>
      <w:r w:rsidRPr="00673A28">
        <w:rPr>
          <w:rFonts w:ascii="Arial" w:hAnsi="Arial" w:cs="Arial"/>
        </w:rPr>
        <w:t>s</w:t>
      </w:r>
      <w:r w:rsidRPr="00673A28" w:rsidR="004B78C8">
        <w:rPr>
          <w:rFonts w:ascii="Arial" w:hAnsi="Arial" w:cs="Arial"/>
        </w:rPr>
        <w:t xml:space="preserve"> ha</w:t>
      </w:r>
      <w:r w:rsidRPr="00673A28">
        <w:rPr>
          <w:rFonts w:ascii="Arial" w:hAnsi="Arial" w:cs="Arial"/>
        </w:rPr>
        <w:t>s</w:t>
      </w:r>
      <w:r w:rsidRPr="00673A28" w:rsidR="004B78C8">
        <w:rPr>
          <w:rFonts w:ascii="Arial" w:hAnsi="Arial" w:cs="Arial"/>
        </w:rPr>
        <w:t xml:space="preserve"> two phases: Phase I and Phase II</w:t>
      </w:r>
      <w:r w:rsidRPr="00673A28" w:rsidR="00624347">
        <w:rPr>
          <w:rFonts w:ascii="Arial" w:hAnsi="Arial" w:cs="Arial"/>
        </w:rPr>
        <w:t xml:space="preserve">.  </w:t>
      </w:r>
      <w:r w:rsidRPr="00673A28" w:rsidR="004B78C8">
        <w:rPr>
          <w:rFonts w:ascii="Arial" w:hAnsi="Arial" w:cs="Arial"/>
        </w:rPr>
        <w:t xml:space="preserve">Phase I is a 6-12 month experimental or theoretical investigation </w:t>
      </w:r>
      <w:r w:rsidRPr="00673A28" w:rsidR="00624347">
        <w:rPr>
          <w:rFonts w:ascii="Arial" w:hAnsi="Arial" w:cs="Arial"/>
        </w:rPr>
        <w:t>that allows</w:t>
      </w:r>
      <w:r w:rsidRPr="00673A28" w:rsidR="004B78C8">
        <w:rPr>
          <w:rFonts w:ascii="Arial" w:hAnsi="Arial" w:cs="Arial"/>
        </w:rPr>
        <w:t xml:space="preserve"> the </w:t>
      </w:r>
      <w:r w:rsidRPr="00673A28" w:rsidR="00624347">
        <w:rPr>
          <w:rFonts w:ascii="Arial" w:hAnsi="Arial" w:cs="Arial"/>
        </w:rPr>
        <w:t xml:space="preserve">awardees </w:t>
      </w:r>
      <w:r w:rsidRPr="00673A28" w:rsidR="004B78C8">
        <w:rPr>
          <w:rFonts w:ascii="Arial" w:hAnsi="Arial" w:cs="Arial"/>
        </w:rPr>
        <w:t>to determine</w:t>
      </w:r>
      <w:r w:rsidR="00C823E1">
        <w:rPr>
          <w:rFonts w:ascii="Arial" w:hAnsi="Arial" w:cs="Arial"/>
        </w:rPr>
        <w:t xml:space="preserve"> an idea or </w:t>
      </w:r>
      <w:r w:rsidR="00D53A0C">
        <w:rPr>
          <w:rFonts w:ascii="Arial" w:hAnsi="Arial" w:cs="Arial"/>
        </w:rPr>
        <w:t>concept’s</w:t>
      </w:r>
      <w:r w:rsidRPr="00673A28" w:rsidR="004B78C8">
        <w:rPr>
          <w:rFonts w:ascii="Arial" w:hAnsi="Arial" w:cs="Arial"/>
        </w:rPr>
        <w:t xml:space="preserve"> scientific, technical, and commercial merit</w:t>
      </w:r>
      <w:r w:rsidR="00D53A0C">
        <w:rPr>
          <w:rFonts w:ascii="Arial" w:hAnsi="Arial" w:cs="Arial"/>
        </w:rPr>
        <w:t xml:space="preserve">.  </w:t>
      </w:r>
      <w:r w:rsidRPr="00673A28" w:rsidR="00E86815">
        <w:rPr>
          <w:rFonts w:ascii="Arial" w:hAnsi="Arial" w:cs="Arial"/>
        </w:rPr>
        <w:t xml:space="preserve"> Building upon the primary objectives of the NSF-funded Phase I effort, Phase II</w:t>
      </w:r>
      <w:r w:rsidR="00D53A0C">
        <w:rPr>
          <w:rFonts w:ascii="Arial" w:hAnsi="Arial" w:cs="Arial"/>
        </w:rPr>
        <w:t xml:space="preserve"> allows entrepreneurs</w:t>
      </w:r>
      <w:r w:rsidR="004D592E">
        <w:rPr>
          <w:rFonts w:ascii="Arial" w:hAnsi="Arial" w:cs="Arial"/>
        </w:rPr>
        <w:t xml:space="preserve"> to</w:t>
      </w:r>
      <w:r w:rsidRPr="00673A28" w:rsidR="00E86815">
        <w:rPr>
          <w:rFonts w:ascii="Arial" w:hAnsi="Arial" w:cs="Arial"/>
        </w:rPr>
        <w:t xml:space="preserve"> </w:t>
      </w:r>
      <w:r w:rsidRPr="00673A28" w:rsidR="00AC054C">
        <w:rPr>
          <w:rFonts w:ascii="Arial" w:hAnsi="Arial" w:cs="Arial"/>
        </w:rPr>
        <w:t>develop the proposed concept</w:t>
      </w:r>
      <w:r w:rsidR="004D592E">
        <w:rPr>
          <w:rFonts w:ascii="Arial" w:hAnsi="Arial" w:cs="Arial"/>
        </w:rPr>
        <w:t xml:space="preserve"> further</w:t>
      </w:r>
      <w:r w:rsidRPr="00673A28" w:rsidR="00AC054C">
        <w:rPr>
          <w:rFonts w:ascii="Arial" w:hAnsi="Arial" w:cs="Arial"/>
        </w:rPr>
        <w:t xml:space="preserve">, </w:t>
      </w:r>
      <w:r w:rsidR="004D592E">
        <w:rPr>
          <w:rFonts w:ascii="Arial" w:hAnsi="Arial" w:cs="Arial"/>
        </w:rPr>
        <w:t>sustains</w:t>
      </w:r>
      <w:r w:rsidRPr="00673A28" w:rsidR="00E86815">
        <w:rPr>
          <w:rFonts w:ascii="Arial" w:hAnsi="Arial" w:cs="Arial"/>
        </w:rPr>
        <w:t xml:space="preserve"> the R&amp;D efforts initiated in Phase I</w:t>
      </w:r>
      <w:r w:rsidRPr="00673A28" w:rsidR="00723180">
        <w:rPr>
          <w:rFonts w:ascii="Arial" w:hAnsi="Arial" w:cs="Arial"/>
        </w:rPr>
        <w:t>,</w:t>
      </w:r>
      <w:r w:rsidRPr="00673A28" w:rsidR="00E86815">
        <w:rPr>
          <w:rFonts w:ascii="Arial" w:hAnsi="Arial" w:cs="Arial"/>
        </w:rPr>
        <w:t xml:space="preserve"> and advance</w:t>
      </w:r>
      <w:r w:rsidRPr="00673A28" w:rsidR="008460B7">
        <w:rPr>
          <w:rFonts w:ascii="Arial" w:hAnsi="Arial" w:cs="Arial"/>
        </w:rPr>
        <w:t>s</w:t>
      </w:r>
      <w:r w:rsidRPr="00673A28" w:rsidR="00E86815">
        <w:rPr>
          <w:rFonts w:ascii="Arial" w:hAnsi="Arial" w:cs="Arial"/>
        </w:rPr>
        <w:t xml:space="preserve"> the technology and associated product or service toward commercial deployment.</w:t>
      </w:r>
      <w:r w:rsidRPr="00673A28" w:rsidR="008460B7">
        <w:rPr>
          <w:rFonts w:ascii="Arial" w:hAnsi="Arial" w:cs="Arial"/>
        </w:rPr>
        <w:t xml:space="preserve">  </w:t>
      </w:r>
      <w:r w:rsidRPr="00CC67FD" w:rsidR="004B78C8">
        <w:rPr>
          <w:rFonts w:ascii="Arial" w:hAnsi="Arial" w:cs="Arial"/>
        </w:rPr>
        <w:t>Phase II awards</w:t>
      </w:r>
      <w:r w:rsidR="004D592E">
        <w:rPr>
          <w:rFonts w:ascii="Arial" w:hAnsi="Arial" w:cs="Arial"/>
        </w:rPr>
        <w:t xml:space="preserve"> are made with an initial 24-month performance period, but </w:t>
      </w:r>
      <w:r w:rsidR="004B765B">
        <w:rPr>
          <w:rFonts w:ascii="Arial" w:hAnsi="Arial" w:cs="Arial"/>
        </w:rPr>
        <w:t xml:space="preserve">certain supplemental funding opportunities can extend the timeline </w:t>
      </w:r>
      <w:r w:rsidRPr="00CC67FD" w:rsidR="00624347">
        <w:rPr>
          <w:rFonts w:ascii="Arial" w:hAnsi="Arial" w:cs="Arial"/>
        </w:rPr>
        <w:t xml:space="preserve">extended by up to three years. </w:t>
      </w:r>
      <w:r w:rsidRPr="00CC67FD" w:rsidR="004B78C8">
        <w:rPr>
          <w:rFonts w:ascii="Arial" w:hAnsi="Arial" w:cs="Arial"/>
        </w:rPr>
        <w:t xml:space="preserve">  </w:t>
      </w:r>
    </w:p>
    <w:p w:rsidR="001F268D" w:rsidP="000D3B15" w14:paraId="20F5A6E9" w14:textId="78335A6B">
      <w:pPr>
        <w:spacing w:line="240" w:lineRule="auto"/>
        <w:jc w:val="both"/>
        <w:rPr>
          <w:rFonts w:ascii="Arial" w:hAnsi="Arial" w:cs="Arial"/>
        </w:rPr>
      </w:pPr>
      <w:r w:rsidRPr="00673A28">
        <w:rPr>
          <w:rFonts w:ascii="Arial" w:hAnsi="Arial" w:cs="Arial"/>
        </w:rPr>
        <w:t xml:space="preserve">The </w:t>
      </w:r>
      <w:r w:rsidRPr="00673A28" w:rsidR="005902F9">
        <w:rPr>
          <w:rFonts w:ascii="Arial" w:hAnsi="Arial" w:cs="Arial"/>
        </w:rPr>
        <w:t>bi-annual</w:t>
      </w:r>
      <w:r w:rsidRPr="00673A28">
        <w:rPr>
          <w:rFonts w:ascii="Arial" w:hAnsi="Arial" w:cs="Arial"/>
        </w:rPr>
        <w:t xml:space="preserve"> </w:t>
      </w:r>
      <w:r w:rsidRPr="00673A28" w:rsidR="00655AB4">
        <w:rPr>
          <w:rFonts w:ascii="Arial" w:hAnsi="Arial" w:cs="Arial"/>
        </w:rPr>
        <w:t>reporting requirements are designed for the Phase II awards</w:t>
      </w:r>
      <w:r w:rsidRPr="00673A28" w:rsidR="00314861">
        <w:rPr>
          <w:rFonts w:ascii="Arial" w:hAnsi="Arial" w:cs="Arial"/>
        </w:rPr>
        <w:t xml:space="preserve">.  </w:t>
      </w:r>
      <w:r w:rsidRPr="00673A28" w:rsidR="00527B24">
        <w:rPr>
          <w:rFonts w:ascii="Arial" w:hAnsi="Arial" w:cs="Arial"/>
        </w:rPr>
        <w:t>The</w:t>
      </w:r>
      <w:r w:rsidRPr="00673A28">
        <w:rPr>
          <w:rFonts w:ascii="Arial" w:hAnsi="Arial" w:cs="Arial"/>
        </w:rPr>
        <w:t xml:space="preserve"> report</w:t>
      </w:r>
      <w:r w:rsidRPr="00673A28" w:rsidR="00527B24">
        <w:rPr>
          <w:rFonts w:ascii="Arial" w:hAnsi="Arial" w:cs="Arial"/>
        </w:rPr>
        <w:t xml:space="preserve"> </w:t>
      </w:r>
      <w:r>
        <w:rPr>
          <w:rFonts w:ascii="Arial" w:hAnsi="Arial" w:cs="Arial"/>
        </w:rPr>
        <w:t xml:space="preserve">collects information and updates, including the technical </w:t>
      </w:r>
      <w:r w:rsidRPr="00673A28">
        <w:rPr>
          <w:rFonts w:ascii="Arial" w:hAnsi="Arial" w:cs="Arial"/>
        </w:rPr>
        <w:t>progress of the NSF</w:t>
      </w:r>
      <w:r>
        <w:rPr>
          <w:rFonts w:ascii="Arial" w:hAnsi="Arial" w:cs="Arial"/>
        </w:rPr>
        <w:t>-funded</w:t>
      </w:r>
      <w:r w:rsidRPr="00673A28">
        <w:rPr>
          <w:rFonts w:ascii="Arial" w:hAnsi="Arial" w:cs="Arial"/>
        </w:rPr>
        <w:t xml:space="preserve"> work.  The report request</w:t>
      </w:r>
      <w:r w:rsidRPr="00673A28" w:rsidR="00B86848">
        <w:rPr>
          <w:rFonts w:ascii="Arial" w:hAnsi="Arial" w:cs="Arial"/>
        </w:rPr>
        <w:t>s</w:t>
      </w:r>
      <w:r>
        <w:rPr>
          <w:rFonts w:ascii="Arial" w:hAnsi="Arial" w:cs="Arial"/>
        </w:rPr>
        <w:t xml:space="preserve"> progress updates on various key metrics, </w:t>
      </w:r>
      <w:r w:rsidR="00B73113">
        <w:rPr>
          <w:rFonts w:ascii="Arial" w:hAnsi="Arial" w:cs="Arial"/>
        </w:rPr>
        <w:t xml:space="preserve">including </w:t>
      </w:r>
      <w:r w:rsidRPr="00673A28" w:rsidR="00B73113">
        <w:rPr>
          <w:rFonts w:ascii="Arial" w:hAnsi="Arial" w:cs="Arial"/>
        </w:rPr>
        <w:t>the level of efforts</w:t>
      </w:r>
      <w:r w:rsidR="00B73113">
        <w:rPr>
          <w:rFonts w:ascii="Arial" w:hAnsi="Arial" w:cs="Arial"/>
        </w:rPr>
        <w:t xml:space="preserve"> sustained by essential personnel and total project expenditure by period.  With the information collected, a managing Program Director </w:t>
      </w:r>
      <w:r w:rsidRPr="00673A28" w:rsidR="00B73113">
        <w:rPr>
          <w:rFonts w:ascii="Arial" w:hAnsi="Arial" w:cs="Arial"/>
        </w:rPr>
        <w:t>ensure</w:t>
      </w:r>
      <w:r w:rsidR="00B73113">
        <w:rPr>
          <w:rFonts w:ascii="Arial" w:hAnsi="Arial" w:cs="Arial"/>
        </w:rPr>
        <w:t xml:space="preserve">s the anticipated progress is underway and the award remains in good standing.  Finally, the report ascertains that Phase II grantees meet the SBIR Policy Directive and NSF certification requirements. </w:t>
      </w:r>
    </w:p>
    <w:p w:rsidR="00E96893" w:rsidRPr="001240AB" w:rsidP="008944A3" w14:paraId="756F977D" w14:textId="77777777">
      <w:pPr>
        <w:pStyle w:val="Heading3"/>
        <w:rPr>
          <w:rFonts w:ascii="Arial" w:hAnsi="Arial" w:cs="Arial"/>
          <w:sz w:val="24"/>
          <w:szCs w:val="24"/>
        </w:rPr>
      </w:pPr>
      <w:r w:rsidRPr="001240AB">
        <w:rPr>
          <w:rFonts w:ascii="Arial" w:hAnsi="Arial" w:cs="Arial"/>
          <w:sz w:val="24"/>
          <w:szCs w:val="24"/>
        </w:rPr>
        <w:t>A.1 Circumstances Requiring the Collection of Data</w:t>
      </w:r>
    </w:p>
    <w:p w:rsidR="00965D3E" w:rsidP="007D088E" w14:paraId="62FDD841" w14:textId="28C3BCE0">
      <w:pPr>
        <w:spacing w:line="240" w:lineRule="auto"/>
        <w:jc w:val="both"/>
        <w:rPr>
          <w:rFonts w:ascii="Arial" w:hAnsi="Arial" w:cs="Arial"/>
        </w:rPr>
      </w:pPr>
      <w:r w:rsidRPr="006A1F50">
        <w:rPr>
          <w:rFonts w:ascii="Arial" w:hAnsi="Arial" w:cs="Arial"/>
        </w:rPr>
        <w:t>The</w:t>
      </w:r>
      <w:r w:rsidR="00D91370">
        <w:rPr>
          <w:rFonts w:ascii="Arial" w:hAnsi="Arial" w:cs="Arial"/>
        </w:rPr>
        <w:t xml:space="preserve"> bi-annual report </w:t>
      </w:r>
      <w:r w:rsidRPr="006A1F50">
        <w:rPr>
          <w:rFonts w:ascii="Arial" w:hAnsi="Arial" w:cs="Arial"/>
        </w:rPr>
        <w:t xml:space="preserve">was designed and specifically tailored </w:t>
      </w:r>
      <w:r w:rsidR="003E62C6">
        <w:rPr>
          <w:rFonts w:ascii="Arial" w:hAnsi="Arial" w:cs="Arial"/>
        </w:rPr>
        <w:t xml:space="preserve">for NSF SBIR/STTR Phase II grantees </w:t>
      </w:r>
      <w:r w:rsidRPr="006A1F50">
        <w:rPr>
          <w:rFonts w:ascii="Arial" w:hAnsi="Arial" w:cs="Arial"/>
        </w:rPr>
        <w:t>to</w:t>
      </w:r>
      <w:r w:rsidR="003E62C6">
        <w:rPr>
          <w:rFonts w:ascii="Arial" w:hAnsi="Arial" w:cs="Arial"/>
        </w:rPr>
        <w:t xml:space="preserve"> report updates and highlights accomplishments</w:t>
      </w:r>
      <w:r w:rsidR="00F138D4">
        <w:rPr>
          <w:rFonts w:ascii="Arial" w:hAnsi="Arial" w:cs="Arial"/>
        </w:rPr>
        <w:t xml:space="preserve"> a</w:t>
      </w:r>
      <w:r>
        <w:rPr>
          <w:rFonts w:ascii="Arial" w:hAnsi="Arial" w:cs="Arial"/>
        </w:rPr>
        <w:t xml:space="preserve">t various time points of the Phase II projects. </w:t>
      </w:r>
    </w:p>
    <w:p w:rsidR="008142C8" w:rsidP="007D088E" w14:paraId="7D02B1B4" w14:textId="2D243F68">
      <w:pPr>
        <w:spacing w:line="240" w:lineRule="auto"/>
        <w:jc w:val="both"/>
        <w:rPr>
          <w:rFonts w:ascii="Arial" w:hAnsi="Arial" w:cs="Arial"/>
        </w:rPr>
      </w:pPr>
      <w:r>
        <w:rPr>
          <w:rFonts w:ascii="Arial" w:hAnsi="Arial" w:cs="Arial"/>
        </w:rPr>
        <w:t xml:space="preserve">The report is divided into </w:t>
      </w:r>
      <w:r w:rsidR="0078128C">
        <w:rPr>
          <w:rFonts w:ascii="Arial" w:hAnsi="Arial" w:cs="Arial"/>
        </w:rPr>
        <w:t>seven (7)</w:t>
      </w:r>
      <w:r>
        <w:rPr>
          <w:rFonts w:ascii="Arial" w:hAnsi="Arial" w:cs="Arial"/>
        </w:rPr>
        <w:t xml:space="preserve"> sections:</w:t>
      </w:r>
    </w:p>
    <w:p w:rsidR="008142C8" w:rsidP="008142C8" w14:paraId="3B242B18" w14:textId="32A771BA">
      <w:pPr>
        <w:pStyle w:val="ListParagraph"/>
        <w:numPr>
          <w:ilvl w:val="0"/>
          <w:numId w:val="11"/>
        </w:numPr>
        <w:spacing w:line="240" w:lineRule="auto"/>
        <w:jc w:val="both"/>
        <w:rPr>
          <w:rFonts w:ascii="Arial" w:hAnsi="Arial" w:cs="Arial"/>
        </w:rPr>
      </w:pPr>
      <w:r>
        <w:rPr>
          <w:rFonts w:ascii="Arial" w:hAnsi="Arial" w:cs="Arial"/>
        </w:rPr>
        <w:t>Guidance &amp; Instructions</w:t>
      </w:r>
    </w:p>
    <w:p w:rsidR="008142C8" w:rsidP="008142C8" w14:paraId="367F049D" w14:textId="7D6EAB16">
      <w:pPr>
        <w:pStyle w:val="ListParagraph"/>
        <w:numPr>
          <w:ilvl w:val="0"/>
          <w:numId w:val="11"/>
        </w:numPr>
        <w:spacing w:line="240" w:lineRule="auto"/>
        <w:jc w:val="both"/>
        <w:rPr>
          <w:rFonts w:ascii="Arial" w:hAnsi="Arial" w:cs="Arial"/>
        </w:rPr>
      </w:pPr>
      <w:r>
        <w:rPr>
          <w:rFonts w:ascii="Arial" w:hAnsi="Arial" w:cs="Arial"/>
        </w:rPr>
        <w:t>Basic Reporting Data</w:t>
      </w:r>
    </w:p>
    <w:p w:rsidR="008142C8" w:rsidP="008142C8" w14:paraId="21A1A0F2" w14:textId="5CCCAAD9">
      <w:pPr>
        <w:pStyle w:val="ListParagraph"/>
        <w:numPr>
          <w:ilvl w:val="0"/>
          <w:numId w:val="11"/>
        </w:numPr>
        <w:spacing w:line="240" w:lineRule="auto"/>
        <w:jc w:val="both"/>
        <w:rPr>
          <w:rFonts w:ascii="Arial" w:hAnsi="Arial" w:cs="Arial"/>
        </w:rPr>
      </w:pPr>
      <w:r>
        <w:rPr>
          <w:rFonts w:ascii="Arial" w:hAnsi="Arial" w:cs="Arial"/>
        </w:rPr>
        <w:t>Level of Effort</w:t>
      </w:r>
    </w:p>
    <w:p w:rsidR="008142C8" w:rsidP="008142C8" w14:paraId="058C5859" w14:textId="4FD4C176">
      <w:pPr>
        <w:pStyle w:val="ListParagraph"/>
        <w:numPr>
          <w:ilvl w:val="0"/>
          <w:numId w:val="11"/>
        </w:numPr>
        <w:spacing w:line="240" w:lineRule="auto"/>
        <w:jc w:val="both"/>
        <w:rPr>
          <w:rFonts w:ascii="Arial" w:hAnsi="Arial" w:cs="Arial"/>
        </w:rPr>
      </w:pPr>
      <w:r>
        <w:rPr>
          <w:rFonts w:ascii="Arial" w:hAnsi="Arial" w:cs="Arial"/>
        </w:rPr>
        <w:t>SBIR-wide Certification</w:t>
      </w:r>
    </w:p>
    <w:p w:rsidR="008142C8" w:rsidP="008142C8" w14:paraId="3F4DC787" w14:textId="5B02C224">
      <w:pPr>
        <w:pStyle w:val="ListParagraph"/>
        <w:numPr>
          <w:ilvl w:val="0"/>
          <w:numId w:val="11"/>
        </w:numPr>
        <w:spacing w:line="240" w:lineRule="auto"/>
        <w:jc w:val="both"/>
        <w:rPr>
          <w:rFonts w:ascii="Arial" w:hAnsi="Arial" w:cs="Arial"/>
        </w:rPr>
      </w:pPr>
      <w:r>
        <w:rPr>
          <w:rFonts w:ascii="Arial" w:hAnsi="Arial" w:cs="Arial"/>
        </w:rPr>
        <w:t>Cooperative Agreement</w:t>
      </w:r>
    </w:p>
    <w:p w:rsidR="008142C8" w:rsidP="008142C8" w14:paraId="6728CA56" w14:textId="12598EB5">
      <w:pPr>
        <w:pStyle w:val="ListParagraph"/>
        <w:numPr>
          <w:ilvl w:val="0"/>
          <w:numId w:val="11"/>
        </w:numPr>
        <w:spacing w:line="240" w:lineRule="auto"/>
        <w:jc w:val="both"/>
        <w:rPr>
          <w:rFonts w:ascii="Arial" w:hAnsi="Arial" w:cs="Arial"/>
        </w:rPr>
      </w:pPr>
      <w:r>
        <w:rPr>
          <w:rFonts w:ascii="Arial" w:hAnsi="Arial" w:cs="Arial"/>
        </w:rPr>
        <w:t>Technical Narrative</w:t>
      </w:r>
    </w:p>
    <w:p w:rsidR="008142C8" w:rsidP="008142C8" w14:paraId="5AA6C6DD" w14:textId="0053604C">
      <w:pPr>
        <w:pStyle w:val="ListParagraph"/>
        <w:numPr>
          <w:ilvl w:val="0"/>
          <w:numId w:val="11"/>
        </w:numPr>
        <w:spacing w:line="240" w:lineRule="auto"/>
        <w:jc w:val="both"/>
        <w:rPr>
          <w:rFonts w:ascii="Arial" w:hAnsi="Arial" w:cs="Arial"/>
        </w:rPr>
      </w:pPr>
      <w:r>
        <w:rPr>
          <w:rFonts w:ascii="Arial" w:hAnsi="Arial" w:cs="Arial"/>
        </w:rPr>
        <w:t>Project Milestones</w:t>
      </w:r>
    </w:p>
    <w:p w:rsidR="008142C8" w:rsidP="008142C8" w14:paraId="7257DDC7" w14:textId="2DD2175A">
      <w:pPr>
        <w:spacing w:line="240" w:lineRule="auto"/>
        <w:jc w:val="both"/>
        <w:rPr>
          <w:rFonts w:ascii="Arial" w:hAnsi="Arial" w:cs="Arial"/>
        </w:rPr>
      </w:pPr>
      <w:r>
        <w:rPr>
          <w:rFonts w:ascii="Arial" w:hAnsi="Arial" w:cs="Arial"/>
        </w:rPr>
        <w:t xml:space="preserve">As mentioned, </w:t>
      </w:r>
      <w:r>
        <w:rPr>
          <w:rFonts w:ascii="Arial" w:hAnsi="Arial" w:cs="Arial"/>
          <w:u w:val="single"/>
        </w:rPr>
        <w:t xml:space="preserve">minor changes were made to the reporting </w:t>
      </w:r>
      <w:r w:rsidR="00DC3B19">
        <w:rPr>
          <w:rFonts w:ascii="Arial" w:hAnsi="Arial" w:cs="Arial"/>
          <w:u w:val="single"/>
        </w:rPr>
        <w:t>instrument</w:t>
      </w:r>
      <w:r w:rsidR="00355889">
        <w:rPr>
          <w:rFonts w:ascii="Arial" w:hAnsi="Arial" w:cs="Arial"/>
          <w:u w:val="single"/>
        </w:rPr>
        <w:t xml:space="preserve">, and below </w:t>
      </w:r>
      <w:r w:rsidR="00AF6501">
        <w:rPr>
          <w:rFonts w:ascii="Arial" w:hAnsi="Arial" w:cs="Arial"/>
          <w:u w:val="single"/>
        </w:rPr>
        <w:t>listed</w:t>
      </w:r>
      <w:r w:rsidR="00355889">
        <w:rPr>
          <w:rFonts w:ascii="Arial" w:hAnsi="Arial" w:cs="Arial"/>
          <w:u w:val="single"/>
        </w:rPr>
        <w:t xml:space="preserve"> the</w:t>
      </w:r>
      <w:r w:rsidR="008D72B8">
        <w:rPr>
          <w:rFonts w:ascii="Arial" w:hAnsi="Arial" w:cs="Arial"/>
          <w:u w:val="single"/>
        </w:rPr>
        <w:t xml:space="preserve">se changes </w:t>
      </w:r>
      <w:r w:rsidR="00355889">
        <w:rPr>
          <w:rFonts w:ascii="Arial" w:hAnsi="Arial" w:cs="Arial"/>
          <w:u w:val="single"/>
        </w:rPr>
        <w:t>by report sections</w:t>
      </w:r>
      <w:r w:rsidR="00171D5A">
        <w:rPr>
          <w:rFonts w:ascii="Arial" w:hAnsi="Arial" w:cs="Arial"/>
        </w:rPr>
        <w:t>:</w:t>
      </w:r>
    </w:p>
    <w:p w:rsidR="00171D5A" w:rsidRPr="00355889" w:rsidP="00171D5A" w14:paraId="7CDD9E80" w14:textId="6A7EA50A">
      <w:pPr>
        <w:pStyle w:val="ListParagraph"/>
        <w:numPr>
          <w:ilvl w:val="0"/>
          <w:numId w:val="12"/>
        </w:numPr>
        <w:spacing w:line="240" w:lineRule="auto"/>
        <w:jc w:val="both"/>
        <w:rPr>
          <w:rFonts w:ascii="Arial" w:hAnsi="Arial" w:cs="Arial"/>
          <w:color w:val="002060"/>
        </w:rPr>
      </w:pPr>
      <w:r w:rsidRPr="00355889">
        <w:rPr>
          <w:rFonts w:ascii="Arial" w:hAnsi="Arial" w:cs="Arial"/>
          <w:color w:val="002060"/>
        </w:rPr>
        <w:t>Guidance &amp; Instructions</w:t>
      </w:r>
    </w:p>
    <w:p w:rsidR="00171D5A" w:rsidP="00171D5A" w14:paraId="4A7F5213" w14:textId="08FDC005">
      <w:pPr>
        <w:pStyle w:val="ListParagraph"/>
        <w:numPr>
          <w:ilvl w:val="1"/>
          <w:numId w:val="12"/>
        </w:numPr>
        <w:spacing w:line="240" w:lineRule="auto"/>
        <w:jc w:val="both"/>
        <w:rPr>
          <w:rFonts w:ascii="Arial" w:hAnsi="Arial" w:cs="Arial"/>
        </w:rPr>
      </w:pPr>
      <w:r>
        <w:rPr>
          <w:rFonts w:ascii="Arial" w:hAnsi="Arial" w:cs="Arial"/>
        </w:rPr>
        <w:t>No changes were made.</w:t>
      </w:r>
    </w:p>
    <w:p w:rsidR="00355889" w:rsidP="00355889" w14:paraId="45E40099" w14:textId="77777777">
      <w:pPr>
        <w:pStyle w:val="ListParagraph"/>
        <w:spacing w:line="240" w:lineRule="auto"/>
        <w:ind w:left="1440"/>
        <w:jc w:val="both"/>
        <w:rPr>
          <w:rFonts w:ascii="Arial" w:hAnsi="Arial" w:cs="Arial"/>
        </w:rPr>
      </w:pPr>
    </w:p>
    <w:p w:rsidR="00171D5A" w:rsidRPr="00355889" w:rsidP="00171D5A" w14:paraId="5D168052" w14:textId="77777777">
      <w:pPr>
        <w:pStyle w:val="ListParagraph"/>
        <w:numPr>
          <w:ilvl w:val="0"/>
          <w:numId w:val="12"/>
        </w:numPr>
        <w:spacing w:line="240" w:lineRule="auto"/>
        <w:jc w:val="both"/>
        <w:rPr>
          <w:rFonts w:ascii="Arial" w:hAnsi="Arial" w:cs="Arial"/>
          <w:color w:val="002060"/>
        </w:rPr>
      </w:pPr>
      <w:r w:rsidRPr="00355889">
        <w:rPr>
          <w:rFonts w:ascii="Arial" w:hAnsi="Arial" w:cs="Arial"/>
          <w:color w:val="002060"/>
        </w:rPr>
        <w:t>Basic Reporting Data</w:t>
      </w:r>
    </w:p>
    <w:p w:rsidR="001F579C" w:rsidP="005D77D3" w14:paraId="25126203" w14:textId="6A1CD657">
      <w:pPr>
        <w:pStyle w:val="ListParagraph"/>
        <w:numPr>
          <w:ilvl w:val="1"/>
          <w:numId w:val="12"/>
        </w:numPr>
        <w:spacing w:line="240" w:lineRule="auto"/>
        <w:jc w:val="both"/>
        <w:rPr>
          <w:rFonts w:ascii="Arial" w:hAnsi="Arial" w:cs="Arial"/>
        </w:rPr>
      </w:pPr>
      <w:r>
        <w:rPr>
          <w:rFonts w:ascii="Arial" w:hAnsi="Arial" w:cs="Arial"/>
        </w:rPr>
        <w:t>Four (4)</w:t>
      </w:r>
      <w:r>
        <w:rPr>
          <w:rFonts w:ascii="Arial" w:hAnsi="Arial" w:cs="Arial"/>
        </w:rPr>
        <w:t xml:space="preserve"> data fields </w:t>
      </w:r>
      <w:r w:rsidR="004F007E">
        <w:rPr>
          <w:rFonts w:ascii="Arial" w:hAnsi="Arial" w:cs="Arial"/>
        </w:rPr>
        <w:t>were</w:t>
      </w:r>
      <w:r>
        <w:rPr>
          <w:rFonts w:ascii="Arial" w:hAnsi="Arial" w:cs="Arial"/>
        </w:rPr>
        <w:t xml:space="preserve"> </w:t>
      </w:r>
      <w:r w:rsidR="00BE321E">
        <w:rPr>
          <w:rFonts w:ascii="Arial" w:hAnsi="Arial" w:cs="Arial"/>
        </w:rPr>
        <w:t>added to the report</w:t>
      </w:r>
      <w:r>
        <w:rPr>
          <w:rFonts w:ascii="Arial" w:hAnsi="Arial" w:cs="Arial"/>
        </w:rPr>
        <w:t>:</w:t>
      </w:r>
    </w:p>
    <w:p w:rsidR="005D77D3" w:rsidP="001F579C" w14:paraId="7C47E61C" w14:textId="750A3EA6">
      <w:pPr>
        <w:pStyle w:val="ListParagraph"/>
        <w:numPr>
          <w:ilvl w:val="2"/>
          <w:numId w:val="12"/>
        </w:numPr>
        <w:spacing w:line="240" w:lineRule="auto"/>
        <w:jc w:val="both"/>
        <w:rPr>
          <w:rFonts w:ascii="Arial" w:hAnsi="Arial" w:cs="Arial"/>
        </w:rPr>
      </w:pPr>
      <w:r>
        <w:rPr>
          <w:rFonts w:ascii="Arial" w:hAnsi="Arial" w:cs="Arial"/>
        </w:rPr>
        <w:t xml:space="preserve">Principal Investigator (PI) </w:t>
      </w:r>
      <w:r w:rsidR="00001D56">
        <w:rPr>
          <w:rFonts w:ascii="Arial" w:hAnsi="Arial" w:cs="Arial"/>
        </w:rPr>
        <w:t>e</w:t>
      </w:r>
      <w:r>
        <w:rPr>
          <w:rFonts w:ascii="Arial" w:hAnsi="Arial" w:cs="Arial"/>
        </w:rPr>
        <w:t xml:space="preserve">mail </w:t>
      </w:r>
      <w:r w:rsidR="00001D56">
        <w:rPr>
          <w:rFonts w:ascii="Arial" w:hAnsi="Arial" w:cs="Arial"/>
        </w:rPr>
        <w:t>a</w:t>
      </w:r>
      <w:r>
        <w:rPr>
          <w:rFonts w:ascii="Arial" w:hAnsi="Arial" w:cs="Arial"/>
        </w:rPr>
        <w:t xml:space="preserve">ddress </w:t>
      </w:r>
    </w:p>
    <w:p w:rsidR="005D77D3" w:rsidP="001F579C" w14:paraId="5595EFDA" w14:textId="1E06F2CE">
      <w:pPr>
        <w:pStyle w:val="ListParagraph"/>
        <w:numPr>
          <w:ilvl w:val="2"/>
          <w:numId w:val="12"/>
        </w:numPr>
        <w:spacing w:line="240" w:lineRule="auto"/>
        <w:jc w:val="both"/>
        <w:rPr>
          <w:rFonts w:ascii="Arial" w:hAnsi="Arial" w:cs="Arial"/>
        </w:rPr>
      </w:pPr>
      <w:r>
        <w:rPr>
          <w:rFonts w:ascii="Arial" w:hAnsi="Arial" w:cs="Arial"/>
        </w:rPr>
        <w:t xml:space="preserve">PI </w:t>
      </w:r>
      <w:r w:rsidR="00001D56">
        <w:rPr>
          <w:rFonts w:ascii="Arial" w:hAnsi="Arial" w:cs="Arial"/>
        </w:rPr>
        <w:t>p</w:t>
      </w:r>
      <w:r>
        <w:rPr>
          <w:rFonts w:ascii="Arial" w:hAnsi="Arial" w:cs="Arial"/>
        </w:rPr>
        <w:t xml:space="preserve">hone </w:t>
      </w:r>
      <w:r w:rsidR="00001D56">
        <w:rPr>
          <w:rFonts w:ascii="Arial" w:hAnsi="Arial" w:cs="Arial"/>
        </w:rPr>
        <w:t>n</w:t>
      </w:r>
      <w:r>
        <w:rPr>
          <w:rFonts w:ascii="Arial" w:hAnsi="Arial" w:cs="Arial"/>
        </w:rPr>
        <w:t>umber</w:t>
      </w:r>
    </w:p>
    <w:p w:rsidR="00001D56" w:rsidP="001F579C" w14:paraId="737CBA7A" w14:textId="77777777">
      <w:pPr>
        <w:pStyle w:val="ListParagraph"/>
        <w:numPr>
          <w:ilvl w:val="2"/>
          <w:numId w:val="12"/>
        </w:numPr>
        <w:spacing w:line="240" w:lineRule="auto"/>
        <w:jc w:val="both"/>
        <w:rPr>
          <w:rFonts w:ascii="Arial" w:hAnsi="Arial" w:cs="Arial"/>
        </w:rPr>
      </w:pPr>
      <w:r>
        <w:rPr>
          <w:rFonts w:ascii="Arial" w:hAnsi="Arial" w:cs="Arial"/>
        </w:rPr>
        <w:t xml:space="preserve">Current </w:t>
      </w:r>
      <w:r>
        <w:rPr>
          <w:rFonts w:ascii="Arial" w:hAnsi="Arial" w:cs="Arial"/>
        </w:rPr>
        <w:t>n</w:t>
      </w:r>
      <w:r>
        <w:rPr>
          <w:rFonts w:ascii="Arial" w:hAnsi="Arial" w:cs="Arial"/>
        </w:rPr>
        <w:t xml:space="preserve">umber of </w:t>
      </w:r>
      <w:r>
        <w:rPr>
          <w:rFonts w:ascii="Arial" w:hAnsi="Arial" w:cs="Arial"/>
        </w:rPr>
        <w:t>full-time equivalents working at the awardee small business</w:t>
      </w:r>
    </w:p>
    <w:p w:rsidR="00123041" w:rsidP="001F579C" w14:paraId="3528FDE8" w14:textId="5A8899C4">
      <w:pPr>
        <w:pStyle w:val="ListParagraph"/>
        <w:numPr>
          <w:ilvl w:val="2"/>
          <w:numId w:val="12"/>
        </w:numPr>
        <w:spacing w:line="240" w:lineRule="auto"/>
        <w:jc w:val="both"/>
        <w:rPr>
          <w:rFonts w:ascii="Arial" w:hAnsi="Arial" w:cs="Arial"/>
        </w:rPr>
      </w:pPr>
      <w:r>
        <w:rPr>
          <w:rFonts w:ascii="Arial" w:hAnsi="Arial" w:cs="Arial"/>
        </w:rPr>
        <w:t xml:space="preserve">Total other funding (in USD) </w:t>
      </w:r>
      <w:r w:rsidR="005D77D3">
        <w:rPr>
          <w:rFonts w:ascii="Arial" w:hAnsi="Arial" w:cs="Arial"/>
        </w:rPr>
        <w:t>received by the small business in this project period</w:t>
      </w:r>
      <w:r w:rsidR="00810766">
        <w:rPr>
          <w:rFonts w:ascii="Arial" w:hAnsi="Arial" w:cs="Arial"/>
        </w:rPr>
        <w:t xml:space="preserve">, </w:t>
      </w:r>
      <w:r w:rsidR="00BE321E">
        <w:rPr>
          <w:rFonts w:ascii="Arial" w:hAnsi="Arial" w:cs="Arial"/>
        </w:rPr>
        <w:t>and listed</w:t>
      </w:r>
      <w:r w:rsidR="00810766">
        <w:rPr>
          <w:rFonts w:ascii="Arial" w:hAnsi="Arial" w:cs="Arial"/>
        </w:rPr>
        <w:t xml:space="preserve"> funding</w:t>
      </w:r>
      <w:r w:rsidR="00BE321E">
        <w:rPr>
          <w:rFonts w:ascii="Arial" w:hAnsi="Arial" w:cs="Arial"/>
        </w:rPr>
        <w:t>s</w:t>
      </w:r>
      <w:r w:rsidR="00810766">
        <w:rPr>
          <w:rFonts w:ascii="Arial" w:hAnsi="Arial" w:cs="Arial"/>
        </w:rPr>
        <w:t xml:space="preserve"> by source</w:t>
      </w:r>
      <w:r w:rsidR="00651395">
        <w:rPr>
          <w:rFonts w:ascii="Arial" w:hAnsi="Arial" w:cs="Arial"/>
        </w:rPr>
        <w:t xml:space="preserve"> </w:t>
      </w:r>
      <w:r w:rsidR="00810766">
        <w:rPr>
          <w:rFonts w:ascii="Arial" w:hAnsi="Arial" w:cs="Arial"/>
        </w:rPr>
        <w:t>and total amount</w:t>
      </w:r>
    </w:p>
    <w:p w:rsidR="001F579C" w:rsidP="00810766" w14:paraId="33751160" w14:textId="00EC9458">
      <w:pPr>
        <w:pStyle w:val="ListParagraph"/>
        <w:numPr>
          <w:ilvl w:val="1"/>
          <w:numId w:val="12"/>
        </w:numPr>
        <w:spacing w:line="240" w:lineRule="auto"/>
        <w:jc w:val="both"/>
        <w:rPr>
          <w:rFonts w:ascii="Arial" w:hAnsi="Arial" w:cs="Arial"/>
        </w:rPr>
      </w:pPr>
      <w:r>
        <w:rPr>
          <w:rFonts w:ascii="Arial" w:hAnsi="Arial" w:cs="Arial"/>
        </w:rPr>
        <w:t>Two</w:t>
      </w:r>
      <w:r w:rsidR="00680FCF">
        <w:rPr>
          <w:rFonts w:ascii="Arial" w:hAnsi="Arial" w:cs="Arial"/>
        </w:rPr>
        <w:t xml:space="preserve"> (2)</w:t>
      </w:r>
      <w:r>
        <w:rPr>
          <w:rFonts w:ascii="Arial" w:hAnsi="Arial" w:cs="Arial"/>
        </w:rPr>
        <w:t xml:space="preserve"> </w:t>
      </w:r>
      <w:r w:rsidR="004D2691">
        <w:rPr>
          <w:rFonts w:ascii="Arial" w:hAnsi="Arial" w:cs="Arial"/>
        </w:rPr>
        <w:t>new</w:t>
      </w:r>
      <w:r>
        <w:rPr>
          <w:rFonts w:ascii="Arial" w:hAnsi="Arial" w:cs="Arial"/>
        </w:rPr>
        <w:t xml:space="preserve"> questions </w:t>
      </w:r>
      <w:r w:rsidR="004F007E">
        <w:rPr>
          <w:rFonts w:ascii="Arial" w:hAnsi="Arial" w:cs="Arial"/>
        </w:rPr>
        <w:t>were</w:t>
      </w:r>
      <w:r>
        <w:rPr>
          <w:rFonts w:ascii="Arial" w:hAnsi="Arial" w:cs="Arial"/>
        </w:rPr>
        <w:t xml:space="preserve"> </w:t>
      </w:r>
      <w:r w:rsidR="004D2691">
        <w:rPr>
          <w:rFonts w:ascii="Arial" w:hAnsi="Arial" w:cs="Arial"/>
        </w:rPr>
        <w:t>introduced</w:t>
      </w:r>
      <w:r>
        <w:rPr>
          <w:rFonts w:ascii="Arial" w:hAnsi="Arial" w:cs="Arial"/>
        </w:rPr>
        <w:t>:</w:t>
      </w:r>
    </w:p>
    <w:p w:rsidR="00810766" w:rsidP="001F579C" w14:paraId="3D740616" w14:textId="02E77076">
      <w:pPr>
        <w:pStyle w:val="ListParagraph"/>
        <w:numPr>
          <w:ilvl w:val="2"/>
          <w:numId w:val="12"/>
        </w:numPr>
        <w:spacing w:line="240" w:lineRule="auto"/>
        <w:jc w:val="both"/>
        <w:rPr>
          <w:rFonts w:ascii="Arial" w:hAnsi="Arial" w:cs="Arial"/>
        </w:rPr>
      </w:pPr>
      <w:r w:rsidRPr="00810766">
        <w:rPr>
          <w:rFonts w:ascii="Arial" w:hAnsi="Arial" w:cs="Arial"/>
        </w:rPr>
        <w:t>Has the company developed</w:t>
      </w:r>
      <w:r w:rsidR="00F453E4">
        <w:rPr>
          <w:rFonts w:ascii="Arial" w:hAnsi="Arial" w:cs="Arial"/>
        </w:rPr>
        <w:t xml:space="preserve"> and/or filed</w:t>
      </w:r>
      <w:r w:rsidRPr="00810766">
        <w:rPr>
          <w:rFonts w:ascii="Arial" w:hAnsi="Arial" w:cs="Arial"/>
        </w:rPr>
        <w:t xml:space="preserve"> any new intellectual property under the NSF funded work?  </w:t>
      </w:r>
      <w:r>
        <w:rPr>
          <w:rFonts w:ascii="Arial" w:hAnsi="Arial" w:cs="Arial"/>
        </w:rPr>
        <w:t>(Yes/</w:t>
      </w:r>
      <w:r w:rsidR="00355889">
        <w:rPr>
          <w:rFonts w:ascii="Arial" w:hAnsi="Arial" w:cs="Arial"/>
        </w:rPr>
        <w:t xml:space="preserve"> </w:t>
      </w:r>
      <w:r>
        <w:rPr>
          <w:rFonts w:ascii="Arial" w:hAnsi="Arial" w:cs="Arial"/>
        </w:rPr>
        <w:t>No)</w:t>
      </w:r>
    </w:p>
    <w:p w:rsidR="00355889" w:rsidP="001F579C" w14:paraId="3FB4DCB3" w14:textId="31B1D71A">
      <w:pPr>
        <w:pStyle w:val="ListParagraph"/>
        <w:numPr>
          <w:ilvl w:val="3"/>
          <w:numId w:val="12"/>
        </w:numPr>
        <w:spacing w:line="240" w:lineRule="auto"/>
        <w:jc w:val="both"/>
        <w:rPr>
          <w:rFonts w:ascii="Arial" w:hAnsi="Arial" w:cs="Arial"/>
        </w:rPr>
      </w:pPr>
      <w:r>
        <w:rPr>
          <w:rFonts w:ascii="Arial" w:hAnsi="Arial" w:cs="Arial"/>
        </w:rPr>
        <w:t>I</w:t>
      </w:r>
      <w:r w:rsidRPr="00810766" w:rsidR="005D77D3">
        <w:rPr>
          <w:rFonts w:ascii="Arial" w:hAnsi="Arial" w:cs="Arial"/>
        </w:rPr>
        <w:t xml:space="preserve">f </w:t>
      </w:r>
      <w:r>
        <w:rPr>
          <w:rFonts w:ascii="Arial" w:hAnsi="Arial" w:cs="Arial"/>
        </w:rPr>
        <w:t>‘Yes’</w:t>
      </w:r>
      <w:r w:rsidRPr="00810766" w:rsidR="005D77D3">
        <w:rPr>
          <w:rFonts w:ascii="Arial" w:hAnsi="Arial" w:cs="Arial"/>
        </w:rPr>
        <w:t>, has this new intellectual property been registered in iEdison?</w:t>
      </w:r>
      <w:r>
        <w:rPr>
          <w:rFonts w:ascii="Arial" w:hAnsi="Arial" w:cs="Arial"/>
        </w:rPr>
        <w:t xml:space="preserve"> (Yes/ No/ N/A)</w:t>
      </w:r>
    </w:p>
    <w:p w:rsidR="00355889" w:rsidP="001F579C" w14:paraId="03DA57BD" w14:textId="3139613D">
      <w:pPr>
        <w:pStyle w:val="ListParagraph"/>
        <w:numPr>
          <w:ilvl w:val="2"/>
          <w:numId w:val="12"/>
        </w:numPr>
        <w:spacing w:line="240" w:lineRule="auto"/>
        <w:jc w:val="both"/>
        <w:rPr>
          <w:rFonts w:ascii="Arial" w:hAnsi="Arial" w:cs="Arial"/>
        </w:rPr>
      </w:pPr>
      <w:r w:rsidRPr="00810766">
        <w:rPr>
          <w:rFonts w:ascii="Arial" w:hAnsi="Arial" w:cs="Arial"/>
        </w:rPr>
        <w:t xml:space="preserve">Has the company established any new subsidiaries, affiliated companies, or joint ventures during this reporting period? </w:t>
      </w:r>
      <w:r>
        <w:rPr>
          <w:rFonts w:ascii="Arial" w:hAnsi="Arial" w:cs="Arial"/>
        </w:rPr>
        <w:t xml:space="preserve"> (Yes/ No)</w:t>
      </w:r>
    </w:p>
    <w:p w:rsidR="005D77D3" w:rsidP="001F579C" w14:paraId="17EB531F" w14:textId="2581833F">
      <w:pPr>
        <w:pStyle w:val="ListParagraph"/>
        <w:numPr>
          <w:ilvl w:val="3"/>
          <w:numId w:val="12"/>
        </w:numPr>
        <w:spacing w:line="240" w:lineRule="auto"/>
        <w:jc w:val="both"/>
        <w:rPr>
          <w:rFonts w:ascii="Arial" w:hAnsi="Arial" w:cs="Arial"/>
        </w:rPr>
      </w:pPr>
      <w:r w:rsidRPr="00810766">
        <w:rPr>
          <w:rFonts w:ascii="Arial" w:hAnsi="Arial" w:cs="Arial"/>
        </w:rPr>
        <w:t xml:space="preserve">If </w:t>
      </w:r>
      <w:r w:rsidR="00355889">
        <w:rPr>
          <w:rFonts w:ascii="Arial" w:hAnsi="Arial" w:cs="Arial"/>
        </w:rPr>
        <w:t>‘Y</w:t>
      </w:r>
      <w:r w:rsidRPr="00810766">
        <w:rPr>
          <w:rFonts w:ascii="Arial" w:hAnsi="Arial" w:cs="Arial"/>
        </w:rPr>
        <w:t>es</w:t>
      </w:r>
      <w:r w:rsidR="00355889">
        <w:rPr>
          <w:rFonts w:ascii="Arial" w:hAnsi="Arial" w:cs="Arial"/>
        </w:rPr>
        <w:t>’</w:t>
      </w:r>
      <w:r w:rsidRPr="00810766">
        <w:rPr>
          <w:rFonts w:ascii="Arial" w:hAnsi="Arial" w:cs="Arial"/>
        </w:rPr>
        <w:t>, please give details</w:t>
      </w:r>
    </w:p>
    <w:p w:rsidR="00355889" w:rsidRPr="00810766" w:rsidP="00355889" w14:paraId="7BE0C966" w14:textId="77777777">
      <w:pPr>
        <w:pStyle w:val="ListParagraph"/>
        <w:spacing w:line="240" w:lineRule="auto"/>
        <w:ind w:left="2340"/>
        <w:jc w:val="both"/>
        <w:rPr>
          <w:rFonts w:ascii="Arial" w:hAnsi="Arial" w:cs="Arial"/>
        </w:rPr>
      </w:pPr>
    </w:p>
    <w:p w:rsidR="00171D5A" w:rsidRPr="001F579C" w:rsidP="00171D5A" w14:paraId="4345B250" w14:textId="28C7668C">
      <w:pPr>
        <w:pStyle w:val="ListParagraph"/>
        <w:numPr>
          <w:ilvl w:val="0"/>
          <w:numId w:val="12"/>
        </w:numPr>
        <w:spacing w:line="240" w:lineRule="auto"/>
        <w:jc w:val="both"/>
        <w:rPr>
          <w:rFonts w:ascii="Arial" w:hAnsi="Arial" w:cs="Arial"/>
          <w:color w:val="002060"/>
        </w:rPr>
      </w:pPr>
      <w:r w:rsidRPr="001F579C">
        <w:rPr>
          <w:rFonts w:ascii="Arial" w:hAnsi="Arial" w:cs="Arial"/>
          <w:color w:val="002060"/>
        </w:rPr>
        <w:t>Level of Effort</w:t>
      </w:r>
    </w:p>
    <w:p w:rsidR="001F579C" w:rsidP="008D72B8" w14:paraId="6A2DC509" w14:textId="2E6E6757">
      <w:pPr>
        <w:pStyle w:val="ListParagraph"/>
        <w:numPr>
          <w:ilvl w:val="1"/>
          <w:numId w:val="12"/>
        </w:numPr>
        <w:spacing w:line="240" w:lineRule="auto"/>
        <w:jc w:val="both"/>
        <w:rPr>
          <w:rFonts w:ascii="Arial" w:hAnsi="Arial" w:cs="Arial"/>
        </w:rPr>
      </w:pPr>
      <w:r>
        <w:rPr>
          <w:rFonts w:ascii="Arial" w:hAnsi="Arial" w:cs="Arial"/>
        </w:rPr>
        <w:t>A n</w:t>
      </w:r>
      <w:r w:rsidR="008D72B8">
        <w:rPr>
          <w:rFonts w:ascii="Arial" w:hAnsi="Arial" w:cs="Arial"/>
        </w:rPr>
        <w:t xml:space="preserve">ew column </w:t>
      </w:r>
      <w:r w:rsidR="004F007E">
        <w:rPr>
          <w:rFonts w:ascii="Arial" w:hAnsi="Arial" w:cs="Arial"/>
        </w:rPr>
        <w:t>were</w:t>
      </w:r>
      <w:r>
        <w:rPr>
          <w:rFonts w:ascii="Arial" w:hAnsi="Arial" w:cs="Arial"/>
        </w:rPr>
        <w:t xml:space="preserve"> </w:t>
      </w:r>
      <w:r w:rsidR="008D72B8">
        <w:rPr>
          <w:rFonts w:ascii="Arial" w:hAnsi="Arial" w:cs="Arial"/>
        </w:rPr>
        <w:t xml:space="preserve">added: </w:t>
      </w:r>
    </w:p>
    <w:p w:rsidR="001F579C" w:rsidP="001F579C" w14:paraId="78421EF0" w14:textId="4FF44CA9">
      <w:pPr>
        <w:pStyle w:val="ListParagraph"/>
        <w:numPr>
          <w:ilvl w:val="2"/>
          <w:numId w:val="12"/>
        </w:numPr>
        <w:spacing w:line="240" w:lineRule="auto"/>
        <w:jc w:val="both"/>
        <w:rPr>
          <w:rFonts w:ascii="Arial" w:hAnsi="Arial" w:cs="Arial"/>
        </w:rPr>
      </w:pPr>
      <w:r>
        <w:rPr>
          <w:rFonts w:ascii="Arial" w:hAnsi="Arial" w:cs="Arial"/>
        </w:rPr>
        <w:t>Projected Phase II total (from initial approved budget)</w:t>
      </w:r>
    </w:p>
    <w:p w:rsidR="001F579C" w:rsidP="001F579C" w14:paraId="51D1ECB2" w14:textId="77777777">
      <w:pPr>
        <w:pStyle w:val="ListParagraph"/>
        <w:numPr>
          <w:ilvl w:val="1"/>
          <w:numId w:val="12"/>
        </w:numPr>
        <w:spacing w:line="240" w:lineRule="auto"/>
        <w:jc w:val="both"/>
        <w:rPr>
          <w:rFonts w:ascii="Arial" w:hAnsi="Arial" w:cs="Arial"/>
        </w:rPr>
      </w:pPr>
      <w:r>
        <w:rPr>
          <w:rFonts w:ascii="Arial" w:hAnsi="Arial" w:cs="Arial"/>
        </w:rPr>
        <w:t>A</w:t>
      </w:r>
      <w:r w:rsidR="008D72B8">
        <w:rPr>
          <w:rFonts w:ascii="Arial" w:hAnsi="Arial" w:cs="Arial"/>
        </w:rPr>
        <w:t xml:space="preserve">s opposed to 4 periods, up to 8 periods are </w:t>
      </w:r>
      <w:r>
        <w:rPr>
          <w:rFonts w:ascii="Arial" w:hAnsi="Arial" w:cs="Arial"/>
        </w:rPr>
        <w:t xml:space="preserve">now </w:t>
      </w:r>
      <w:r w:rsidR="008D72B8">
        <w:rPr>
          <w:rFonts w:ascii="Arial" w:hAnsi="Arial" w:cs="Arial"/>
        </w:rPr>
        <w:t>provided</w:t>
      </w:r>
      <w:r>
        <w:rPr>
          <w:rFonts w:ascii="Arial" w:hAnsi="Arial" w:cs="Arial"/>
        </w:rPr>
        <w:t xml:space="preserve"> in the table</w:t>
      </w:r>
    </w:p>
    <w:p w:rsidR="004D2691" w:rsidP="001F579C" w14:paraId="50A57AEB" w14:textId="5566DB47">
      <w:pPr>
        <w:pStyle w:val="ListParagraph"/>
        <w:numPr>
          <w:ilvl w:val="1"/>
          <w:numId w:val="12"/>
        </w:numPr>
        <w:spacing w:line="240" w:lineRule="auto"/>
        <w:jc w:val="both"/>
        <w:rPr>
          <w:rFonts w:ascii="Arial" w:hAnsi="Arial" w:cs="Arial"/>
        </w:rPr>
      </w:pPr>
      <w:r>
        <w:rPr>
          <w:rFonts w:ascii="Arial" w:hAnsi="Arial" w:cs="Arial"/>
        </w:rPr>
        <w:t xml:space="preserve">A new question </w:t>
      </w:r>
      <w:r w:rsidR="00AF6501">
        <w:rPr>
          <w:rFonts w:ascii="Arial" w:hAnsi="Arial" w:cs="Arial"/>
        </w:rPr>
        <w:t>was introduced</w:t>
      </w:r>
      <w:r>
        <w:rPr>
          <w:rFonts w:ascii="Arial" w:hAnsi="Arial" w:cs="Arial"/>
        </w:rPr>
        <w:t>:</w:t>
      </w:r>
    </w:p>
    <w:p w:rsidR="004F007E" w:rsidP="00B01E3A" w14:paraId="161774F5" w14:textId="19DA13EF">
      <w:pPr>
        <w:pStyle w:val="ListParagraph"/>
        <w:numPr>
          <w:ilvl w:val="2"/>
          <w:numId w:val="12"/>
        </w:numPr>
        <w:spacing w:line="240" w:lineRule="auto"/>
        <w:jc w:val="both"/>
        <w:rPr>
          <w:rFonts w:ascii="Arial" w:hAnsi="Arial" w:cs="Arial"/>
        </w:rPr>
      </w:pPr>
      <w:r w:rsidRPr="001F579C">
        <w:rPr>
          <w:rFonts w:ascii="Arial" w:hAnsi="Arial" w:cs="Arial"/>
        </w:rPr>
        <w:t xml:space="preserve">Has any of the above data for earlier project periods changed from what was reported previously?  </w:t>
      </w:r>
      <w:r>
        <w:rPr>
          <w:rFonts w:ascii="Arial" w:hAnsi="Arial" w:cs="Arial"/>
        </w:rPr>
        <w:t>(Yes/ No)</w:t>
      </w:r>
    </w:p>
    <w:p w:rsidR="001F579C" w:rsidRPr="00B01E3A" w:rsidP="004F007E" w14:paraId="6DE711D6" w14:textId="3708975B">
      <w:pPr>
        <w:pStyle w:val="ListParagraph"/>
        <w:numPr>
          <w:ilvl w:val="3"/>
          <w:numId w:val="12"/>
        </w:numPr>
        <w:spacing w:line="240" w:lineRule="auto"/>
        <w:jc w:val="both"/>
        <w:rPr>
          <w:rFonts w:ascii="Arial" w:hAnsi="Arial" w:cs="Arial"/>
        </w:rPr>
      </w:pPr>
      <w:r w:rsidRPr="001F579C">
        <w:rPr>
          <w:rFonts w:ascii="Arial" w:hAnsi="Arial" w:cs="Arial"/>
        </w:rPr>
        <w:t xml:space="preserve">If </w:t>
      </w:r>
      <w:r w:rsidR="004F007E">
        <w:rPr>
          <w:rFonts w:ascii="Arial" w:hAnsi="Arial" w:cs="Arial"/>
        </w:rPr>
        <w:t>‘Yes’</w:t>
      </w:r>
      <w:r w:rsidRPr="001F579C">
        <w:rPr>
          <w:rFonts w:ascii="Arial" w:hAnsi="Arial" w:cs="Arial"/>
        </w:rPr>
        <w:t>, please give details.</w:t>
      </w:r>
    </w:p>
    <w:p w:rsidR="001F579C" w:rsidP="001F579C" w14:paraId="17FC95AF" w14:textId="77777777">
      <w:pPr>
        <w:pStyle w:val="ListParagraph"/>
        <w:spacing w:line="240" w:lineRule="auto"/>
        <w:ind w:left="1440"/>
        <w:jc w:val="both"/>
        <w:rPr>
          <w:rFonts w:ascii="Arial" w:hAnsi="Arial" w:cs="Arial"/>
        </w:rPr>
      </w:pPr>
    </w:p>
    <w:p w:rsidR="00171D5A" w:rsidRPr="00B01E3A" w:rsidP="00171D5A" w14:paraId="63D68FCF" w14:textId="77777777">
      <w:pPr>
        <w:pStyle w:val="ListParagraph"/>
        <w:numPr>
          <w:ilvl w:val="0"/>
          <w:numId w:val="12"/>
        </w:numPr>
        <w:spacing w:line="240" w:lineRule="auto"/>
        <w:jc w:val="both"/>
        <w:rPr>
          <w:rFonts w:ascii="Arial" w:hAnsi="Arial" w:cs="Arial"/>
          <w:color w:val="002060"/>
        </w:rPr>
      </w:pPr>
      <w:r w:rsidRPr="00B01E3A">
        <w:rPr>
          <w:rFonts w:ascii="Arial" w:hAnsi="Arial" w:cs="Arial"/>
          <w:color w:val="002060"/>
        </w:rPr>
        <w:t>SBIR-wide Certification</w:t>
      </w:r>
    </w:p>
    <w:p w:rsidR="00B01E3A" w:rsidRPr="00680FCF" w:rsidP="00680FCF" w14:paraId="74FF07DA" w14:textId="5AB3A177">
      <w:pPr>
        <w:pStyle w:val="ListParagraph"/>
        <w:numPr>
          <w:ilvl w:val="1"/>
          <w:numId w:val="12"/>
        </w:numPr>
        <w:spacing w:line="240" w:lineRule="auto"/>
        <w:jc w:val="both"/>
        <w:rPr>
          <w:rFonts w:ascii="Arial" w:hAnsi="Arial" w:cs="Arial"/>
        </w:rPr>
      </w:pPr>
      <w:r>
        <w:rPr>
          <w:rFonts w:ascii="Arial" w:hAnsi="Arial" w:cs="Arial"/>
        </w:rPr>
        <w:t>No changes were made.</w:t>
      </w:r>
    </w:p>
    <w:p w:rsidR="00B01E3A" w:rsidRPr="00B01E3A" w:rsidP="00B01E3A" w14:paraId="1A1CB38A" w14:textId="77777777">
      <w:pPr>
        <w:pStyle w:val="ListParagraph"/>
        <w:spacing w:line="240" w:lineRule="auto"/>
        <w:ind w:left="1440"/>
        <w:jc w:val="both"/>
        <w:rPr>
          <w:rFonts w:ascii="Arial" w:hAnsi="Arial" w:cs="Arial"/>
        </w:rPr>
      </w:pPr>
    </w:p>
    <w:p w:rsidR="00171D5A" w:rsidP="00171D5A" w14:paraId="3957F5DB" w14:textId="77777777">
      <w:pPr>
        <w:pStyle w:val="ListParagraph"/>
        <w:numPr>
          <w:ilvl w:val="0"/>
          <w:numId w:val="12"/>
        </w:numPr>
        <w:spacing w:line="240" w:lineRule="auto"/>
        <w:jc w:val="both"/>
        <w:rPr>
          <w:rFonts w:ascii="Arial" w:hAnsi="Arial" w:cs="Arial"/>
          <w:color w:val="002060"/>
        </w:rPr>
      </w:pPr>
      <w:r w:rsidRPr="00B01E3A">
        <w:rPr>
          <w:rFonts w:ascii="Arial" w:hAnsi="Arial" w:cs="Arial"/>
          <w:color w:val="002060"/>
        </w:rPr>
        <w:t>Cooperative Agreement</w:t>
      </w:r>
    </w:p>
    <w:p w:rsidR="00B01E3A" w:rsidRPr="00B01E3A" w:rsidP="00B01E3A" w14:paraId="0F07CC19" w14:textId="4F2A056F">
      <w:pPr>
        <w:pStyle w:val="ListParagraph"/>
        <w:numPr>
          <w:ilvl w:val="1"/>
          <w:numId w:val="12"/>
        </w:numPr>
        <w:spacing w:line="240" w:lineRule="auto"/>
        <w:jc w:val="both"/>
        <w:rPr>
          <w:rFonts w:ascii="Arial" w:hAnsi="Arial" w:cs="Arial"/>
        </w:rPr>
      </w:pPr>
      <w:r>
        <w:rPr>
          <w:rFonts w:ascii="Arial" w:hAnsi="Arial" w:cs="Arial"/>
        </w:rPr>
        <w:t>No changes were made.</w:t>
      </w:r>
    </w:p>
    <w:p w:rsidR="00B01E3A" w:rsidP="00B01E3A" w14:paraId="6A49B843" w14:textId="77777777">
      <w:pPr>
        <w:pStyle w:val="ListParagraph"/>
        <w:spacing w:line="240" w:lineRule="auto"/>
        <w:jc w:val="both"/>
        <w:rPr>
          <w:rFonts w:ascii="Arial" w:hAnsi="Arial" w:cs="Arial"/>
        </w:rPr>
      </w:pPr>
    </w:p>
    <w:p w:rsidR="00171D5A" w:rsidP="00613256" w14:paraId="7E7F9D7C" w14:textId="77777777">
      <w:pPr>
        <w:pStyle w:val="ListParagraph"/>
        <w:numPr>
          <w:ilvl w:val="0"/>
          <w:numId w:val="12"/>
        </w:numPr>
        <w:spacing w:line="240" w:lineRule="auto"/>
        <w:jc w:val="both"/>
        <w:rPr>
          <w:rFonts w:ascii="Arial" w:hAnsi="Arial" w:cs="Arial"/>
          <w:color w:val="002060"/>
        </w:rPr>
      </w:pPr>
      <w:r w:rsidRPr="00B01E3A">
        <w:rPr>
          <w:rFonts w:ascii="Arial" w:hAnsi="Arial" w:cs="Arial"/>
          <w:color w:val="002060"/>
        </w:rPr>
        <w:t>Technical Narrative</w:t>
      </w:r>
    </w:p>
    <w:p w:rsidR="008609C9" w:rsidP="00613256" w14:paraId="3CFFE1FB" w14:textId="57667BA6">
      <w:pPr>
        <w:pStyle w:val="ListParagraph"/>
        <w:numPr>
          <w:ilvl w:val="1"/>
          <w:numId w:val="12"/>
        </w:numPr>
        <w:spacing w:line="240" w:lineRule="auto"/>
        <w:jc w:val="both"/>
        <w:rPr>
          <w:rFonts w:ascii="Arial" w:hAnsi="Arial" w:cs="Arial"/>
        </w:rPr>
      </w:pPr>
      <w:r>
        <w:rPr>
          <w:rFonts w:ascii="Arial" w:hAnsi="Arial" w:cs="Arial"/>
        </w:rPr>
        <w:t>An optional narrative prompt was added.</w:t>
      </w:r>
    </w:p>
    <w:p w:rsidR="00967307" w:rsidRPr="00967307" w:rsidP="00613256" w14:paraId="20F007DD" w14:textId="5BCA1834">
      <w:pPr>
        <w:pStyle w:val="ListParagraph"/>
        <w:numPr>
          <w:ilvl w:val="2"/>
          <w:numId w:val="12"/>
        </w:numPr>
        <w:spacing w:line="240" w:lineRule="auto"/>
        <w:jc w:val="both"/>
        <w:rPr>
          <w:rFonts w:ascii="Arial" w:hAnsi="Arial" w:cs="Arial"/>
        </w:rPr>
      </w:pPr>
      <w:r>
        <w:rPr>
          <w:rFonts w:ascii="Arial" w:hAnsi="Arial" w:cs="Arial"/>
        </w:rPr>
        <w:t>(Optional) If your project or company has received media attention</w:t>
      </w:r>
      <w:r w:rsidR="00051872">
        <w:rPr>
          <w:rFonts w:ascii="Arial" w:hAnsi="Arial" w:cs="Arial"/>
        </w:rPr>
        <w:t xml:space="preserve">, has garnered other important awards or </w:t>
      </w:r>
      <w:r w:rsidR="009035E9">
        <w:rPr>
          <w:rFonts w:ascii="Arial" w:hAnsi="Arial" w:cs="Arial"/>
        </w:rPr>
        <w:t>recognitions, or has any other great “wins” to share with NSF, please let us know! (suggested: 1 page)</w:t>
      </w:r>
    </w:p>
    <w:p w:rsidR="00B01E3A" w:rsidP="00613256" w14:paraId="47145E15" w14:textId="77777777">
      <w:pPr>
        <w:pStyle w:val="ListParagraph"/>
        <w:spacing w:line="240" w:lineRule="auto"/>
        <w:jc w:val="both"/>
        <w:rPr>
          <w:rFonts w:ascii="Arial" w:hAnsi="Arial" w:cs="Arial"/>
        </w:rPr>
      </w:pPr>
    </w:p>
    <w:p w:rsidR="00171D5A" w:rsidRPr="00B01E3A" w:rsidP="00613256" w14:paraId="00C99077" w14:textId="77777777">
      <w:pPr>
        <w:pStyle w:val="ListParagraph"/>
        <w:numPr>
          <w:ilvl w:val="0"/>
          <w:numId w:val="12"/>
        </w:numPr>
        <w:spacing w:line="240" w:lineRule="auto"/>
        <w:jc w:val="both"/>
        <w:rPr>
          <w:rFonts w:ascii="Arial" w:hAnsi="Arial" w:cs="Arial"/>
          <w:color w:val="002060"/>
        </w:rPr>
      </w:pPr>
      <w:r w:rsidRPr="00B01E3A">
        <w:rPr>
          <w:rFonts w:ascii="Arial" w:hAnsi="Arial" w:cs="Arial"/>
          <w:color w:val="002060"/>
        </w:rPr>
        <w:t>Project Milestones</w:t>
      </w:r>
    </w:p>
    <w:p w:rsidR="00B01E3A" w:rsidP="00613256" w14:paraId="2E9B3D17" w14:textId="77777777">
      <w:pPr>
        <w:pStyle w:val="ListParagraph"/>
        <w:numPr>
          <w:ilvl w:val="1"/>
          <w:numId w:val="12"/>
        </w:numPr>
        <w:spacing w:line="240" w:lineRule="auto"/>
        <w:jc w:val="both"/>
        <w:rPr>
          <w:rFonts w:ascii="Arial" w:hAnsi="Arial" w:cs="Arial"/>
        </w:rPr>
      </w:pPr>
      <w:r>
        <w:rPr>
          <w:rFonts w:ascii="Arial" w:hAnsi="Arial" w:cs="Arial"/>
        </w:rPr>
        <w:t>No changes were made.</w:t>
      </w:r>
    </w:p>
    <w:p w:rsidR="00B01E3A" w:rsidRPr="00513093" w:rsidP="00613256" w14:paraId="305E5979" w14:textId="77777777">
      <w:pPr>
        <w:pStyle w:val="ListParagraph"/>
        <w:spacing w:line="240" w:lineRule="auto"/>
        <w:ind w:left="1440"/>
        <w:jc w:val="both"/>
        <w:rPr>
          <w:rFonts w:ascii="Arial" w:hAnsi="Arial" w:cs="Arial"/>
        </w:rPr>
      </w:pPr>
    </w:p>
    <w:p w:rsidR="00FE5DDB" w:rsidP="002645AD" w14:paraId="314E201B" w14:textId="15820951">
      <w:pPr>
        <w:spacing w:after="120" w:line="240" w:lineRule="auto"/>
        <w:jc w:val="both"/>
        <w:rPr>
          <w:rFonts w:ascii="Arial" w:eastAsia="Times New Roman" w:hAnsi="Arial" w:cs="Arial"/>
        </w:rPr>
      </w:pPr>
      <w:r w:rsidRPr="00513093">
        <w:rPr>
          <w:rFonts w:ascii="Arial" w:hAnsi="Arial" w:cs="Arial"/>
        </w:rPr>
        <w:t>Collection of these data has several purposes, including</w:t>
      </w:r>
      <w:r w:rsidR="003C73E3">
        <w:rPr>
          <w:rFonts w:ascii="Arial" w:hAnsi="Arial" w:cs="Arial"/>
        </w:rPr>
        <w:t xml:space="preserve">: (1) </w:t>
      </w:r>
      <w:r w:rsidR="003C73E3">
        <w:rPr>
          <w:rFonts w:ascii="Arial" w:eastAsia="Times New Roman" w:hAnsi="Arial" w:cs="Arial"/>
        </w:rPr>
        <w:t>p</w:t>
      </w:r>
      <w:r w:rsidRPr="00513093">
        <w:rPr>
          <w:rFonts w:ascii="Arial" w:eastAsia="Times New Roman" w:hAnsi="Arial" w:cs="Arial"/>
        </w:rPr>
        <w:t xml:space="preserve">roviding a source of information on the outcomes of the research investments in terms of advancements in science, technology, and </w:t>
      </w:r>
      <w:r w:rsidRPr="00513093">
        <w:rPr>
          <w:rFonts w:ascii="Arial" w:eastAsia="Times New Roman" w:hAnsi="Arial" w:cs="Arial"/>
        </w:rPr>
        <w:t>society impact in NSF-funded projects,</w:t>
      </w:r>
      <w:r w:rsidR="003C73E3">
        <w:rPr>
          <w:rFonts w:ascii="Arial" w:eastAsia="Times New Roman" w:hAnsi="Arial" w:cs="Arial"/>
        </w:rPr>
        <w:t xml:space="preserve"> (2)</w:t>
      </w:r>
      <w:r w:rsidRPr="00513093">
        <w:rPr>
          <w:rFonts w:ascii="Arial" w:eastAsia="Times New Roman" w:hAnsi="Arial" w:cs="Arial"/>
        </w:rPr>
        <w:t xml:space="preserve"> in compliance with Foundation responsibilities to monitor scientific and technical resources enabling NSF to monitor the effectiveness of NSF-sponsored project</w:t>
      </w:r>
      <w:r w:rsidR="000D11D6">
        <w:rPr>
          <w:rFonts w:ascii="Arial" w:eastAsia="Times New Roman" w:hAnsi="Arial" w:cs="Arial"/>
        </w:rPr>
        <w:t xml:space="preserve">, and (3) </w:t>
      </w:r>
      <w:r w:rsidRPr="00513093">
        <w:rPr>
          <w:rFonts w:ascii="Arial" w:eastAsia="Times New Roman" w:hAnsi="Arial" w:cs="Arial"/>
        </w:rPr>
        <w:t xml:space="preserve"> identify outputs of projects funded under NSF awards for management and for reporting to the Administration and Congress</w:t>
      </w:r>
    </w:p>
    <w:p w:rsidR="002645AD" w:rsidRPr="003C73E3" w:rsidP="002645AD" w14:paraId="7046FAB5" w14:textId="6D2F20BE">
      <w:pPr>
        <w:spacing w:after="0" w:line="240" w:lineRule="auto"/>
        <w:jc w:val="both"/>
        <w:rPr>
          <w:rFonts w:ascii="Arial" w:hAnsi="Arial" w:cs="Arial"/>
        </w:rPr>
      </w:pPr>
    </w:p>
    <w:p w:rsidR="00D02A12" w:rsidRPr="001240AB" w:rsidP="002645AD" w14:paraId="1162C1B6" w14:textId="7DA0C91F">
      <w:pPr>
        <w:pStyle w:val="Heading3"/>
        <w:spacing w:before="0" w:beforeAutospacing="0"/>
        <w:rPr>
          <w:rFonts w:ascii="Arial" w:hAnsi="Arial" w:cs="Arial"/>
          <w:sz w:val="24"/>
          <w:szCs w:val="24"/>
        </w:rPr>
      </w:pPr>
      <w:r w:rsidRPr="001240AB">
        <w:rPr>
          <w:rFonts w:ascii="Arial" w:hAnsi="Arial" w:cs="Arial"/>
          <w:sz w:val="24"/>
          <w:szCs w:val="24"/>
        </w:rPr>
        <w:t>A.2 Purposes and Use of the Data</w:t>
      </w:r>
    </w:p>
    <w:p w:rsidR="00D02A12" w:rsidRPr="00513093" w:rsidP="00613256" w14:paraId="46123B63" w14:textId="2CBC90C4">
      <w:pPr>
        <w:pStyle w:val="p1-standpara"/>
        <w:spacing w:before="0" w:beforeAutospacing="0" w:after="240" w:afterAutospacing="0" w:line="264" w:lineRule="auto"/>
        <w:jc w:val="both"/>
        <w:rPr>
          <w:rFonts w:ascii="Arial" w:hAnsi="Arial" w:cs="Arial"/>
          <w:sz w:val="22"/>
          <w:szCs w:val="22"/>
        </w:rPr>
      </w:pPr>
      <w:r w:rsidRPr="00513093">
        <w:rPr>
          <w:rFonts w:ascii="Arial" w:hAnsi="Arial" w:cs="Arial"/>
          <w:sz w:val="22"/>
          <w:szCs w:val="22"/>
        </w:rPr>
        <w:t>The</w:t>
      </w:r>
      <w:r w:rsidRPr="00513093" w:rsidR="00A411A3">
        <w:rPr>
          <w:rFonts w:ascii="Arial" w:hAnsi="Arial" w:cs="Arial"/>
          <w:sz w:val="22"/>
          <w:szCs w:val="22"/>
        </w:rPr>
        <w:t xml:space="preserve"> </w:t>
      </w:r>
      <w:r w:rsidRPr="00513093">
        <w:rPr>
          <w:rFonts w:ascii="Arial" w:hAnsi="Arial" w:cs="Arial"/>
          <w:sz w:val="22"/>
          <w:szCs w:val="22"/>
        </w:rPr>
        <w:t>objective</w:t>
      </w:r>
      <w:r w:rsidR="00684C4C">
        <w:rPr>
          <w:rFonts w:ascii="Arial" w:hAnsi="Arial" w:cs="Arial"/>
          <w:sz w:val="22"/>
          <w:szCs w:val="22"/>
        </w:rPr>
        <w:t xml:space="preserve"> of</w:t>
      </w:r>
      <w:r w:rsidRPr="00513093">
        <w:rPr>
          <w:rFonts w:ascii="Arial" w:hAnsi="Arial" w:cs="Arial"/>
          <w:sz w:val="22"/>
          <w:szCs w:val="22"/>
        </w:rPr>
        <w:t xml:space="preserve"> this </w:t>
      </w:r>
      <w:r w:rsidR="00D67DE2">
        <w:rPr>
          <w:rFonts w:ascii="Arial" w:hAnsi="Arial" w:cs="Arial"/>
          <w:sz w:val="22"/>
          <w:szCs w:val="22"/>
        </w:rPr>
        <w:t>data collection</w:t>
      </w:r>
      <w:r w:rsidRPr="00513093">
        <w:rPr>
          <w:rFonts w:ascii="Arial" w:hAnsi="Arial" w:cs="Arial"/>
          <w:sz w:val="22"/>
          <w:szCs w:val="22"/>
        </w:rPr>
        <w:t xml:space="preserve"> is</w:t>
      </w:r>
      <w:r w:rsidRPr="00513093" w:rsidR="00A411A3">
        <w:rPr>
          <w:rFonts w:ascii="Arial" w:hAnsi="Arial" w:cs="Arial"/>
          <w:sz w:val="22"/>
          <w:szCs w:val="22"/>
        </w:rPr>
        <w:t xml:space="preserve"> threefold:</w:t>
      </w:r>
      <w:r w:rsidRPr="00513093">
        <w:rPr>
          <w:rFonts w:ascii="Arial" w:hAnsi="Arial" w:cs="Arial"/>
          <w:sz w:val="22"/>
          <w:szCs w:val="22"/>
        </w:rPr>
        <w:t xml:space="preserve"> </w:t>
      </w:r>
      <w:r w:rsidRPr="00513093" w:rsidR="00A411A3">
        <w:rPr>
          <w:rFonts w:ascii="Arial" w:hAnsi="Arial" w:cs="Arial"/>
          <w:sz w:val="22"/>
          <w:szCs w:val="22"/>
        </w:rPr>
        <w:t xml:space="preserve">1) </w:t>
      </w:r>
      <w:r w:rsidRPr="00513093" w:rsidR="00684C4C">
        <w:rPr>
          <w:rFonts w:ascii="Arial" w:hAnsi="Arial" w:cs="Arial"/>
          <w:sz w:val="22"/>
          <w:szCs w:val="22"/>
        </w:rPr>
        <w:t>to ascertain that</w:t>
      </w:r>
      <w:r w:rsidR="00684C4C">
        <w:rPr>
          <w:rFonts w:ascii="Arial" w:hAnsi="Arial" w:cs="Arial"/>
          <w:sz w:val="22"/>
          <w:szCs w:val="22"/>
        </w:rPr>
        <w:t xml:space="preserve"> NSF SBIR/STTR Phase II</w:t>
      </w:r>
      <w:r w:rsidRPr="00513093" w:rsidR="00684C4C">
        <w:rPr>
          <w:rFonts w:ascii="Arial" w:hAnsi="Arial" w:cs="Arial"/>
          <w:sz w:val="22"/>
          <w:szCs w:val="22"/>
        </w:rPr>
        <w:t xml:space="preserve"> </w:t>
      </w:r>
      <w:r w:rsidR="00684C4C">
        <w:rPr>
          <w:rFonts w:ascii="Arial" w:hAnsi="Arial" w:cs="Arial"/>
          <w:sz w:val="22"/>
          <w:szCs w:val="22"/>
        </w:rPr>
        <w:t>grantee</w:t>
      </w:r>
      <w:r w:rsidR="00372B9A">
        <w:rPr>
          <w:rFonts w:ascii="Arial" w:hAnsi="Arial" w:cs="Arial"/>
          <w:sz w:val="22"/>
          <w:szCs w:val="22"/>
        </w:rPr>
        <w:t>s</w:t>
      </w:r>
      <w:r w:rsidRPr="00513093" w:rsidR="00684C4C">
        <w:rPr>
          <w:rFonts w:ascii="Arial" w:hAnsi="Arial" w:cs="Arial"/>
          <w:sz w:val="22"/>
          <w:szCs w:val="22"/>
        </w:rPr>
        <w:t xml:space="preserve"> compl</w:t>
      </w:r>
      <w:r w:rsidR="00372B9A">
        <w:rPr>
          <w:rFonts w:ascii="Arial" w:hAnsi="Arial" w:cs="Arial"/>
          <w:sz w:val="22"/>
          <w:szCs w:val="22"/>
        </w:rPr>
        <w:t>y</w:t>
      </w:r>
      <w:r w:rsidRPr="00513093" w:rsidR="00684C4C">
        <w:rPr>
          <w:rFonts w:ascii="Arial" w:hAnsi="Arial" w:cs="Arial"/>
          <w:sz w:val="22"/>
          <w:szCs w:val="22"/>
        </w:rPr>
        <w:t xml:space="preserve"> with both </w:t>
      </w:r>
      <w:r w:rsidRPr="00513093" w:rsidR="00D67DE2">
        <w:rPr>
          <w:rFonts w:ascii="Arial" w:hAnsi="Arial" w:cs="Arial"/>
          <w:sz w:val="22"/>
          <w:szCs w:val="22"/>
        </w:rPr>
        <w:t xml:space="preserve">Small Business Administration </w:t>
      </w:r>
      <w:r w:rsidR="00D67DE2">
        <w:rPr>
          <w:rFonts w:ascii="Arial" w:hAnsi="Arial" w:cs="Arial"/>
          <w:sz w:val="22"/>
          <w:szCs w:val="22"/>
        </w:rPr>
        <w:t>(</w:t>
      </w:r>
      <w:r w:rsidRPr="00513093" w:rsidR="00684C4C">
        <w:rPr>
          <w:rFonts w:ascii="Arial" w:hAnsi="Arial" w:cs="Arial"/>
          <w:sz w:val="22"/>
          <w:szCs w:val="22"/>
        </w:rPr>
        <w:t>SB</w:t>
      </w:r>
      <w:r w:rsidR="00372B9A">
        <w:rPr>
          <w:rFonts w:ascii="Arial" w:hAnsi="Arial" w:cs="Arial"/>
          <w:sz w:val="22"/>
          <w:szCs w:val="22"/>
        </w:rPr>
        <w:t>A</w:t>
      </w:r>
      <w:r w:rsidR="00D67DE2">
        <w:rPr>
          <w:rFonts w:ascii="Arial" w:hAnsi="Arial" w:cs="Arial"/>
          <w:sz w:val="22"/>
          <w:szCs w:val="22"/>
        </w:rPr>
        <w:t>)</w:t>
      </w:r>
      <w:r w:rsidRPr="00513093" w:rsidR="00684C4C">
        <w:rPr>
          <w:rFonts w:ascii="Arial" w:hAnsi="Arial" w:cs="Arial"/>
          <w:sz w:val="22"/>
          <w:szCs w:val="22"/>
        </w:rPr>
        <w:t xml:space="preserve"> and NSF </w:t>
      </w:r>
      <w:r w:rsidR="00372B9A">
        <w:rPr>
          <w:rFonts w:ascii="Arial" w:hAnsi="Arial" w:cs="Arial"/>
          <w:sz w:val="22"/>
          <w:szCs w:val="22"/>
        </w:rPr>
        <w:t xml:space="preserve">compliance </w:t>
      </w:r>
      <w:r w:rsidRPr="00513093" w:rsidR="00684C4C">
        <w:rPr>
          <w:rFonts w:ascii="Arial" w:hAnsi="Arial" w:cs="Arial"/>
          <w:sz w:val="22"/>
          <w:szCs w:val="22"/>
        </w:rPr>
        <w:t>requirements</w:t>
      </w:r>
      <w:r w:rsidR="00372B9A">
        <w:rPr>
          <w:rFonts w:ascii="Arial" w:hAnsi="Arial" w:cs="Arial"/>
          <w:sz w:val="22"/>
          <w:szCs w:val="22"/>
        </w:rPr>
        <w:t xml:space="preserve">, 2) </w:t>
      </w:r>
      <w:r w:rsidRPr="00513093" w:rsidR="00372B9A">
        <w:rPr>
          <w:rFonts w:ascii="Arial" w:hAnsi="Arial" w:cs="Arial"/>
          <w:sz w:val="22"/>
          <w:szCs w:val="22"/>
        </w:rPr>
        <w:t xml:space="preserve">to collect data that is required by the SBA </w:t>
      </w:r>
      <w:hyperlink r:id="rId11" w:history="1">
        <w:r w:rsidRPr="00513093" w:rsidR="00372B9A">
          <w:rPr>
            <w:rStyle w:val="Hyperlink"/>
            <w:rFonts w:ascii="Arial" w:hAnsi="Arial" w:cs="Arial"/>
            <w:sz w:val="22"/>
            <w:szCs w:val="22"/>
          </w:rPr>
          <w:t>SBIR Policy Directive</w:t>
        </w:r>
      </w:hyperlink>
      <w:r w:rsidR="00372B9A">
        <w:rPr>
          <w:rFonts w:ascii="Arial" w:hAnsi="Arial" w:cs="Arial"/>
          <w:sz w:val="22"/>
          <w:szCs w:val="22"/>
        </w:rPr>
        <w:t xml:space="preserve">, and finally, 3) </w:t>
      </w:r>
      <w:r w:rsidRPr="00513093">
        <w:rPr>
          <w:rFonts w:ascii="Arial" w:hAnsi="Arial" w:cs="Arial"/>
          <w:sz w:val="22"/>
          <w:szCs w:val="22"/>
        </w:rPr>
        <w:t>to allow managing Program Director</w:t>
      </w:r>
      <w:r w:rsidRPr="00513093" w:rsidR="00C00203">
        <w:rPr>
          <w:rFonts w:ascii="Arial" w:hAnsi="Arial" w:cs="Arial"/>
          <w:sz w:val="22"/>
          <w:szCs w:val="22"/>
        </w:rPr>
        <w:t>s</w:t>
      </w:r>
      <w:r w:rsidRPr="00513093">
        <w:rPr>
          <w:rFonts w:ascii="Arial" w:hAnsi="Arial" w:cs="Arial"/>
          <w:sz w:val="22"/>
          <w:szCs w:val="22"/>
        </w:rPr>
        <w:t xml:space="preserve"> to monitor the project</w:t>
      </w:r>
      <w:r w:rsidRPr="00513093" w:rsidR="00A411A3">
        <w:rPr>
          <w:rFonts w:ascii="Arial" w:hAnsi="Arial" w:cs="Arial"/>
          <w:sz w:val="22"/>
          <w:szCs w:val="22"/>
        </w:rPr>
        <w:t xml:space="preserve"> and </w:t>
      </w:r>
      <w:r w:rsidRPr="00513093">
        <w:rPr>
          <w:rFonts w:ascii="Arial" w:hAnsi="Arial" w:cs="Arial"/>
          <w:sz w:val="22"/>
          <w:szCs w:val="22"/>
        </w:rPr>
        <w:t>ensure that the Phase II award is in good standing</w:t>
      </w:r>
      <w:r w:rsidR="00372B9A">
        <w:rPr>
          <w:rFonts w:ascii="Arial" w:hAnsi="Arial" w:cs="Arial"/>
          <w:sz w:val="22"/>
          <w:szCs w:val="22"/>
        </w:rPr>
        <w:t>.</w:t>
      </w:r>
    </w:p>
    <w:p w:rsidR="0030276C" w:rsidP="000D11D6" w14:paraId="5EAFD418" w14:textId="6B4DA561">
      <w:pPr>
        <w:pStyle w:val="p1-standpara"/>
        <w:spacing w:before="0" w:beforeAutospacing="0" w:after="120" w:afterAutospacing="0" w:line="264" w:lineRule="auto"/>
        <w:jc w:val="both"/>
        <w:rPr>
          <w:rFonts w:ascii="Arial" w:hAnsi="Arial" w:cs="Arial"/>
          <w:sz w:val="22"/>
          <w:szCs w:val="22"/>
        </w:rPr>
      </w:pPr>
      <w:r w:rsidRPr="00513093">
        <w:rPr>
          <w:rFonts w:ascii="Arial" w:hAnsi="Arial" w:cs="Arial"/>
          <w:sz w:val="22"/>
          <w:szCs w:val="22"/>
        </w:rPr>
        <w:t>The information from the reports will be used</w:t>
      </w:r>
      <w:r w:rsidR="00372B9A">
        <w:rPr>
          <w:rFonts w:ascii="Arial" w:hAnsi="Arial" w:cs="Arial"/>
          <w:sz w:val="22"/>
          <w:szCs w:val="22"/>
        </w:rPr>
        <w:t xml:space="preserve"> primarily </w:t>
      </w:r>
      <w:r w:rsidRPr="00513093">
        <w:rPr>
          <w:rFonts w:ascii="Arial" w:hAnsi="Arial" w:cs="Arial"/>
          <w:sz w:val="22"/>
          <w:szCs w:val="22"/>
        </w:rPr>
        <w:t xml:space="preserve">by </w:t>
      </w:r>
      <w:r w:rsidR="00372B9A">
        <w:rPr>
          <w:rFonts w:ascii="Arial" w:hAnsi="Arial" w:cs="Arial"/>
          <w:sz w:val="22"/>
          <w:szCs w:val="22"/>
        </w:rPr>
        <w:t>managing</w:t>
      </w:r>
      <w:r w:rsidRPr="00513093">
        <w:rPr>
          <w:rFonts w:ascii="Arial" w:hAnsi="Arial" w:cs="Arial"/>
          <w:sz w:val="22"/>
          <w:szCs w:val="22"/>
        </w:rPr>
        <w:t xml:space="preserve"> Program Directors for project monitoring</w:t>
      </w:r>
      <w:r w:rsidRPr="00513093" w:rsidR="000D3B15">
        <w:rPr>
          <w:rFonts w:ascii="Arial" w:hAnsi="Arial" w:cs="Arial"/>
          <w:sz w:val="22"/>
          <w:szCs w:val="22"/>
        </w:rPr>
        <w:t xml:space="preserve"> and effective</w:t>
      </w:r>
      <w:r w:rsidRPr="00513093">
        <w:rPr>
          <w:rFonts w:ascii="Arial" w:hAnsi="Arial" w:cs="Arial"/>
          <w:sz w:val="22"/>
          <w:szCs w:val="22"/>
        </w:rPr>
        <w:t xml:space="preserve"> administration. </w:t>
      </w:r>
      <w:r w:rsidRPr="00513093" w:rsidR="008D0A41">
        <w:rPr>
          <w:rFonts w:ascii="Arial" w:hAnsi="Arial" w:cs="Arial"/>
          <w:sz w:val="22"/>
          <w:szCs w:val="22"/>
        </w:rPr>
        <w:t xml:space="preserve"> </w:t>
      </w:r>
      <w:r w:rsidRPr="00513093">
        <w:rPr>
          <w:rFonts w:ascii="Arial" w:hAnsi="Arial" w:cs="Arial"/>
          <w:sz w:val="22"/>
          <w:szCs w:val="22"/>
        </w:rPr>
        <w:t xml:space="preserve">Some of the data collected will be used for SBA reports, </w:t>
      </w:r>
      <w:r w:rsidR="003754EE">
        <w:rPr>
          <w:rFonts w:ascii="Arial" w:hAnsi="Arial" w:cs="Arial"/>
          <w:sz w:val="22"/>
          <w:szCs w:val="22"/>
        </w:rPr>
        <w:t xml:space="preserve">and occasionally, the data will also be used in congressional reporting and/or testimonies. </w:t>
      </w:r>
    </w:p>
    <w:p w:rsidR="000D11D6" w:rsidRPr="000D11D6" w:rsidP="000D11D6" w14:paraId="4D05DFE5" w14:textId="77777777">
      <w:pPr>
        <w:pStyle w:val="p1-standpara"/>
        <w:spacing w:before="0" w:beforeAutospacing="0" w:after="120" w:afterAutospacing="0" w:line="264" w:lineRule="auto"/>
        <w:jc w:val="both"/>
        <w:rPr>
          <w:rFonts w:ascii="Arial" w:hAnsi="Arial" w:cs="Arial"/>
          <w:sz w:val="22"/>
          <w:szCs w:val="22"/>
        </w:rPr>
      </w:pPr>
    </w:p>
    <w:p w:rsidR="00E96893" w:rsidRPr="001240AB" w:rsidP="000D11D6" w14:paraId="7B0CBC81"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A.3 Use of Information Technology to Reduce Burden</w:t>
      </w:r>
    </w:p>
    <w:p w:rsidR="00D07C3A" w:rsidP="00743271" w14:paraId="143ADFD7" w14:textId="02CC9A32">
      <w:pPr>
        <w:spacing w:after="0" w:line="240" w:lineRule="auto"/>
        <w:jc w:val="both"/>
        <w:rPr>
          <w:rFonts w:ascii="Arial" w:hAnsi="Arial" w:cs="Arial"/>
        </w:rPr>
      </w:pPr>
      <w:r>
        <w:rPr>
          <w:rFonts w:ascii="Arial" w:hAnsi="Arial" w:cs="Arial"/>
        </w:rPr>
        <w:t>T</w:t>
      </w:r>
      <w:r w:rsidRPr="0030276C">
        <w:rPr>
          <w:rFonts w:ascii="Arial" w:hAnsi="Arial" w:cs="Arial"/>
        </w:rPr>
        <w:t xml:space="preserve">he </w:t>
      </w:r>
      <w:r w:rsidR="001647EC">
        <w:rPr>
          <w:rFonts w:ascii="Arial" w:hAnsi="Arial" w:cs="Arial"/>
        </w:rPr>
        <w:t xml:space="preserve">data </w:t>
      </w:r>
      <w:r w:rsidRPr="0030276C">
        <w:rPr>
          <w:rFonts w:ascii="Arial" w:hAnsi="Arial" w:cs="Arial"/>
        </w:rPr>
        <w:t>collection</w:t>
      </w:r>
      <w:r>
        <w:rPr>
          <w:rFonts w:ascii="Arial" w:hAnsi="Arial" w:cs="Arial"/>
        </w:rPr>
        <w:t>(s)</w:t>
      </w:r>
      <w:r w:rsidRPr="0030276C">
        <w:rPr>
          <w:rFonts w:ascii="Arial" w:hAnsi="Arial" w:cs="Arial"/>
        </w:rPr>
        <w:t xml:space="preserve"> under this clearance request </w:t>
      </w:r>
      <w:r w:rsidRPr="0030276C" w:rsidR="004C001D">
        <w:rPr>
          <w:rFonts w:ascii="Arial" w:hAnsi="Arial" w:cs="Arial"/>
        </w:rPr>
        <w:t xml:space="preserve">will utilize </w:t>
      </w:r>
      <w:r w:rsidRPr="0030276C" w:rsidR="00843F46">
        <w:rPr>
          <w:rFonts w:ascii="Arial" w:hAnsi="Arial" w:cs="Arial"/>
        </w:rPr>
        <w:t>electronic form</w:t>
      </w:r>
      <w:r w:rsidRPr="0030276C" w:rsidR="004C001D">
        <w:rPr>
          <w:rFonts w:ascii="Arial" w:hAnsi="Arial" w:cs="Arial"/>
        </w:rPr>
        <w:t>s</w:t>
      </w:r>
      <w:r w:rsidRPr="0030276C" w:rsidR="00843F46">
        <w:rPr>
          <w:rFonts w:ascii="Arial" w:hAnsi="Arial" w:cs="Arial"/>
        </w:rPr>
        <w:t xml:space="preserve"> </w:t>
      </w:r>
      <w:r w:rsidRPr="0030276C">
        <w:rPr>
          <w:rFonts w:ascii="Arial" w:hAnsi="Arial" w:cs="Arial"/>
        </w:rPr>
        <w:t xml:space="preserve">to minimize data </w:t>
      </w:r>
      <w:r w:rsidRPr="0030276C" w:rsidR="00843F46">
        <w:rPr>
          <w:rFonts w:ascii="Arial" w:hAnsi="Arial" w:cs="Arial"/>
        </w:rPr>
        <w:t>error</w:t>
      </w:r>
      <w:r w:rsidRPr="0030276C" w:rsidR="004C001D">
        <w:rPr>
          <w:rFonts w:ascii="Arial" w:hAnsi="Arial" w:cs="Arial"/>
        </w:rPr>
        <w:t>s</w:t>
      </w:r>
      <w:r w:rsidRPr="0030276C">
        <w:rPr>
          <w:rFonts w:ascii="Arial" w:hAnsi="Arial" w:cs="Arial"/>
        </w:rPr>
        <w:t xml:space="preserve"> and respondent burden. </w:t>
      </w:r>
      <w:r w:rsidRPr="0030276C" w:rsidR="00C34FD4">
        <w:rPr>
          <w:rFonts w:ascii="Arial" w:hAnsi="Arial" w:cs="Arial"/>
        </w:rPr>
        <w:t xml:space="preserve"> </w:t>
      </w:r>
      <w:r w:rsidRPr="0030276C" w:rsidR="00F168DA">
        <w:rPr>
          <w:rFonts w:ascii="Arial" w:hAnsi="Arial" w:cs="Arial"/>
        </w:rPr>
        <w:t xml:space="preserve">In some cases, </w:t>
      </w:r>
      <w:r w:rsidRPr="0030276C" w:rsidR="004C001D">
        <w:rPr>
          <w:rFonts w:ascii="Arial" w:hAnsi="Arial" w:cs="Arial"/>
        </w:rPr>
        <w:t>P</w:t>
      </w:r>
      <w:r w:rsidRPr="0030276C" w:rsidR="00F168DA">
        <w:rPr>
          <w:rFonts w:ascii="Arial" w:hAnsi="Arial" w:cs="Arial"/>
        </w:rPr>
        <w:t xml:space="preserve">rogram </w:t>
      </w:r>
      <w:r w:rsidRPr="0030276C" w:rsidR="004C001D">
        <w:rPr>
          <w:rFonts w:ascii="Arial" w:hAnsi="Arial" w:cs="Arial"/>
        </w:rPr>
        <w:t xml:space="preserve">Directors </w:t>
      </w:r>
      <w:r w:rsidRPr="0030276C" w:rsidR="00F168DA">
        <w:rPr>
          <w:rFonts w:ascii="Arial" w:hAnsi="Arial" w:cs="Arial"/>
        </w:rPr>
        <w:t xml:space="preserve">may </w:t>
      </w:r>
      <w:r w:rsidRPr="0030276C" w:rsidR="004C001D">
        <w:rPr>
          <w:rFonts w:ascii="Arial" w:hAnsi="Arial" w:cs="Arial"/>
        </w:rPr>
        <w:t>contact</w:t>
      </w:r>
      <w:r w:rsidRPr="0030276C" w:rsidR="00F168DA">
        <w:rPr>
          <w:rFonts w:ascii="Arial" w:hAnsi="Arial" w:cs="Arial"/>
        </w:rPr>
        <w:t xml:space="preserve"> the respondent for </w:t>
      </w:r>
      <w:r w:rsidRPr="0030276C" w:rsidR="000D3B15">
        <w:rPr>
          <w:rFonts w:ascii="Arial" w:hAnsi="Arial" w:cs="Arial"/>
        </w:rPr>
        <w:t>clarification</w:t>
      </w:r>
      <w:r w:rsidRPr="0030276C" w:rsidR="004C001D">
        <w:rPr>
          <w:rFonts w:ascii="Arial" w:hAnsi="Arial" w:cs="Arial"/>
        </w:rPr>
        <w:t>s or</w:t>
      </w:r>
      <w:r w:rsidRPr="0030276C" w:rsidR="000D3B15">
        <w:rPr>
          <w:rFonts w:ascii="Arial" w:hAnsi="Arial" w:cs="Arial"/>
        </w:rPr>
        <w:t xml:space="preserve"> </w:t>
      </w:r>
      <w:r w:rsidRPr="0030276C" w:rsidR="00F168DA">
        <w:rPr>
          <w:rFonts w:ascii="Arial" w:hAnsi="Arial" w:cs="Arial"/>
        </w:rPr>
        <w:t>follow-up</w:t>
      </w:r>
      <w:r w:rsidRPr="0030276C" w:rsidR="004C001D">
        <w:rPr>
          <w:rFonts w:ascii="Arial" w:hAnsi="Arial" w:cs="Arial"/>
        </w:rPr>
        <w:t xml:space="preserve"> questions</w:t>
      </w:r>
      <w:r w:rsidR="007565A3">
        <w:rPr>
          <w:rFonts w:ascii="Arial" w:hAnsi="Arial" w:cs="Arial"/>
        </w:rPr>
        <w:t xml:space="preserve"> </w:t>
      </w:r>
      <w:r w:rsidRPr="0030276C" w:rsidR="00F168DA">
        <w:rPr>
          <w:rFonts w:ascii="Arial" w:hAnsi="Arial" w:cs="Arial"/>
        </w:rPr>
        <w:t xml:space="preserve">and </w:t>
      </w:r>
      <w:r w:rsidRPr="0030276C" w:rsidR="004C001D">
        <w:rPr>
          <w:rFonts w:ascii="Arial" w:hAnsi="Arial" w:cs="Arial"/>
        </w:rPr>
        <w:t xml:space="preserve">will </w:t>
      </w:r>
      <w:r w:rsidRPr="0030276C" w:rsidR="00843F46">
        <w:rPr>
          <w:rFonts w:ascii="Arial" w:hAnsi="Arial" w:cs="Arial"/>
        </w:rPr>
        <w:t>update</w:t>
      </w:r>
      <w:r w:rsidRPr="0030276C" w:rsidR="000D3B15">
        <w:rPr>
          <w:rFonts w:ascii="Arial" w:hAnsi="Arial" w:cs="Arial"/>
        </w:rPr>
        <w:t xml:space="preserve"> the</w:t>
      </w:r>
      <w:r w:rsidRPr="0030276C" w:rsidR="00F168DA">
        <w:rPr>
          <w:rFonts w:ascii="Arial" w:hAnsi="Arial" w:cs="Arial"/>
        </w:rPr>
        <w:t xml:space="preserve"> data gathered </w:t>
      </w:r>
      <w:r w:rsidRPr="0030276C" w:rsidR="00843F46">
        <w:rPr>
          <w:rFonts w:ascii="Arial" w:hAnsi="Arial" w:cs="Arial"/>
        </w:rPr>
        <w:t>from</w:t>
      </w:r>
      <w:r w:rsidRPr="0030276C" w:rsidR="00F168DA">
        <w:rPr>
          <w:rFonts w:ascii="Arial" w:hAnsi="Arial" w:cs="Arial"/>
        </w:rPr>
        <w:t xml:space="preserve"> these conversations</w:t>
      </w:r>
      <w:r w:rsidRPr="0030276C" w:rsidR="004C001D">
        <w:rPr>
          <w:rFonts w:ascii="Arial" w:hAnsi="Arial" w:cs="Arial"/>
        </w:rPr>
        <w:t xml:space="preserve"> accordingly. </w:t>
      </w:r>
      <w:r w:rsidRPr="0030276C" w:rsidR="00F168DA">
        <w:rPr>
          <w:rFonts w:ascii="Arial" w:hAnsi="Arial" w:cs="Arial"/>
        </w:rPr>
        <w:t xml:space="preserve"> </w:t>
      </w:r>
    </w:p>
    <w:p w:rsidR="00743271" w:rsidRPr="0030276C" w:rsidP="0030276C" w14:paraId="608A34E4" w14:textId="77777777">
      <w:pPr>
        <w:spacing w:after="240" w:line="240" w:lineRule="auto"/>
        <w:jc w:val="both"/>
        <w:rPr>
          <w:rFonts w:ascii="Arial" w:hAnsi="Arial" w:cs="Arial"/>
        </w:rPr>
      </w:pPr>
    </w:p>
    <w:p w:rsidR="00E96893" w:rsidRPr="001240AB" w:rsidP="006B418C" w14:paraId="31A9F5A0"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A.4 Efforts to Identify Duplication</w:t>
      </w:r>
    </w:p>
    <w:p w:rsidR="00D07C3A" w:rsidP="00743271" w14:paraId="6040CFA4" w14:textId="2844BD72">
      <w:pPr>
        <w:pStyle w:val="p1-standpara"/>
        <w:spacing w:before="0" w:beforeAutospacing="0" w:after="0" w:afterAutospacing="0"/>
        <w:jc w:val="both"/>
        <w:rPr>
          <w:rFonts w:ascii="Arial" w:hAnsi="Arial" w:cs="Arial"/>
          <w:sz w:val="22"/>
          <w:szCs w:val="22"/>
        </w:rPr>
      </w:pPr>
      <w:r w:rsidRPr="0030276C">
        <w:rPr>
          <w:rFonts w:ascii="Arial" w:hAnsi="Arial" w:cs="Arial"/>
          <w:sz w:val="22"/>
          <w:szCs w:val="22"/>
        </w:rPr>
        <w:t xml:space="preserve">The </w:t>
      </w:r>
      <w:r w:rsidR="006B418C">
        <w:rPr>
          <w:rFonts w:ascii="Arial" w:hAnsi="Arial" w:cs="Arial"/>
          <w:sz w:val="22"/>
          <w:szCs w:val="22"/>
        </w:rPr>
        <w:t xml:space="preserve">data collection does </w:t>
      </w:r>
      <w:r w:rsidRPr="0030276C">
        <w:rPr>
          <w:rFonts w:ascii="Arial" w:hAnsi="Arial" w:cs="Arial"/>
          <w:sz w:val="22"/>
          <w:szCs w:val="22"/>
        </w:rPr>
        <w:t xml:space="preserve">not duplicate efforts undertaken by </w:t>
      </w:r>
      <w:r w:rsidRPr="0030276C" w:rsidR="000D3B15">
        <w:rPr>
          <w:rFonts w:ascii="Arial" w:hAnsi="Arial" w:cs="Arial"/>
          <w:sz w:val="22"/>
          <w:szCs w:val="22"/>
        </w:rPr>
        <w:t>NSF</w:t>
      </w:r>
      <w:r w:rsidRPr="0030276C">
        <w:rPr>
          <w:rFonts w:ascii="Arial" w:hAnsi="Arial" w:cs="Arial"/>
          <w:sz w:val="22"/>
          <w:szCs w:val="22"/>
        </w:rPr>
        <w:t>, other federal agencies, or other data collection agents. </w:t>
      </w:r>
    </w:p>
    <w:p w:rsidR="006B418C" w:rsidP="00743271" w14:paraId="6157496E" w14:textId="77777777">
      <w:pPr>
        <w:pStyle w:val="p1-standpara"/>
        <w:spacing w:before="0" w:beforeAutospacing="0" w:after="0" w:afterAutospacing="0"/>
        <w:jc w:val="both"/>
        <w:rPr>
          <w:rFonts w:ascii="Arial" w:hAnsi="Arial" w:cs="Arial"/>
          <w:sz w:val="22"/>
          <w:szCs w:val="22"/>
        </w:rPr>
      </w:pPr>
    </w:p>
    <w:p w:rsidR="00A422FD" w:rsidRPr="0030276C" w:rsidP="00743271" w14:paraId="374A9DA9" w14:textId="77777777">
      <w:pPr>
        <w:pStyle w:val="p1-standpara"/>
        <w:spacing w:before="0" w:beforeAutospacing="0" w:after="0" w:afterAutospacing="0"/>
        <w:jc w:val="both"/>
        <w:rPr>
          <w:rFonts w:ascii="Arial" w:hAnsi="Arial" w:cs="Arial"/>
          <w:sz w:val="22"/>
          <w:szCs w:val="22"/>
        </w:rPr>
      </w:pPr>
    </w:p>
    <w:p w:rsidR="00E96893" w:rsidRPr="001240AB" w:rsidP="006B418C" w14:paraId="316AC296"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A.5 Small Business</w:t>
      </w:r>
    </w:p>
    <w:p w:rsidR="00743271" w:rsidP="00743271" w14:paraId="3CD046D3" w14:textId="4BE0A256">
      <w:pPr>
        <w:spacing w:after="0" w:line="240" w:lineRule="auto"/>
        <w:jc w:val="both"/>
        <w:rPr>
          <w:rFonts w:ascii="Arial" w:hAnsi="Arial" w:cs="Arial"/>
        </w:rPr>
      </w:pPr>
      <w:r>
        <w:rPr>
          <w:rFonts w:ascii="Arial" w:hAnsi="Arial" w:cs="Arial"/>
        </w:rPr>
        <w:t>T</w:t>
      </w:r>
      <w:r w:rsidRPr="002F6215" w:rsidR="00D07C3A">
        <w:rPr>
          <w:rFonts w:ascii="Arial" w:hAnsi="Arial" w:cs="Arial"/>
        </w:rPr>
        <w:t xml:space="preserve">he </w:t>
      </w:r>
      <w:r w:rsidRPr="002F6215" w:rsidR="00657A1D">
        <w:rPr>
          <w:rFonts w:ascii="Arial" w:hAnsi="Arial" w:cs="Arial"/>
          <w:b/>
          <w:bCs/>
          <w:i/>
          <w:iCs/>
        </w:rPr>
        <w:t>Grantee Reporting Requirements for NSF SBIR/STTR Program</w:t>
      </w:r>
      <w:r w:rsidRPr="002F6215" w:rsidR="00D07C3A">
        <w:rPr>
          <w:rFonts w:ascii="Arial" w:hAnsi="Arial" w:cs="Arial"/>
        </w:rPr>
        <w:t xml:space="preserve"> </w:t>
      </w:r>
      <w:r w:rsidRPr="002F6215" w:rsidR="00C9675E">
        <w:rPr>
          <w:rFonts w:ascii="Arial" w:hAnsi="Arial" w:cs="Arial"/>
        </w:rPr>
        <w:t>collect</w:t>
      </w:r>
      <w:r>
        <w:rPr>
          <w:rFonts w:ascii="Arial" w:hAnsi="Arial" w:cs="Arial"/>
        </w:rPr>
        <w:t>s</w:t>
      </w:r>
      <w:r w:rsidRPr="002F6215" w:rsidR="00D07C3A">
        <w:rPr>
          <w:rFonts w:ascii="Arial" w:hAnsi="Arial" w:cs="Arial"/>
        </w:rPr>
        <w:t xml:space="preserve"> information from small businesses. </w:t>
      </w:r>
      <w:r w:rsidRPr="002F6215" w:rsidR="004A031B">
        <w:rPr>
          <w:rFonts w:ascii="Arial" w:hAnsi="Arial" w:cs="Arial"/>
        </w:rPr>
        <w:t xml:space="preserve">These businesses </w:t>
      </w:r>
      <w:r w:rsidRPr="002F6215" w:rsidR="008B7BDD">
        <w:rPr>
          <w:rFonts w:ascii="Arial" w:hAnsi="Arial" w:cs="Arial"/>
        </w:rPr>
        <w:t xml:space="preserve">are partners to current awardees or </w:t>
      </w:r>
      <w:r w:rsidRPr="002F6215" w:rsidR="00CC29C1">
        <w:rPr>
          <w:rFonts w:ascii="Arial" w:hAnsi="Arial" w:cs="Arial"/>
        </w:rPr>
        <w:t>are run/</w:t>
      </w:r>
      <w:r w:rsidRPr="002F6215" w:rsidR="004A031B">
        <w:rPr>
          <w:rFonts w:ascii="Arial" w:hAnsi="Arial" w:cs="Arial"/>
        </w:rPr>
        <w:t xml:space="preserve">owned </w:t>
      </w:r>
      <w:r w:rsidRPr="002F6215" w:rsidR="00E05CB9">
        <w:rPr>
          <w:rFonts w:ascii="Arial" w:hAnsi="Arial" w:cs="Arial"/>
        </w:rPr>
        <w:t xml:space="preserve">by </w:t>
      </w:r>
      <w:r w:rsidRPr="002F6215" w:rsidR="008B7BDD">
        <w:rPr>
          <w:rFonts w:ascii="Arial" w:hAnsi="Arial" w:cs="Arial"/>
        </w:rPr>
        <w:t>current</w:t>
      </w:r>
      <w:r w:rsidRPr="002F6215" w:rsidR="001B71AF">
        <w:rPr>
          <w:rFonts w:ascii="Arial" w:hAnsi="Arial" w:cs="Arial"/>
        </w:rPr>
        <w:t xml:space="preserve"> </w:t>
      </w:r>
      <w:r w:rsidRPr="002F6215" w:rsidR="008B7BDD">
        <w:rPr>
          <w:rFonts w:ascii="Arial" w:hAnsi="Arial" w:cs="Arial"/>
        </w:rPr>
        <w:t xml:space="preserve">awardees. </w:t>
      </w:r>
      <w:r>
        <w:rPr>
          <w:rFonts w:ascii="Arial" w:hAnsi="Arial" w:cs="Arial"/>
        </w:rPr>
        <w:t xml:space="preserve"> </w:t>
      </w:r>
      <w:r w:rsidRPr="002F6215" w:rsidR="008B7BDD">
        <w:rPr>
          <w:rFonts w:ascii="Arial" w:hAnsi="Arial" w:cs="Arial"/>
        </w:rPr>
        <w:t>T</w:t>
      </w:r>
      <w:r w:rsidRPr="002F6215" w:rsidR="004A031B">
        <w:rPr>
          <w:rFonts w:ascii="Arial" w:hAnsi="Arial" w:cs="Arial"/>
        </w:rPr>
        <w:t>he only impact</w:t>
      </w:r>
      <w:r w:rsidRPr="002F6215" w:rsidR="008B7BDD">
        <w:rPr>
          <w:rFonts w:ascii="Arial" w:hAnsi="Arial" w:cs="Arial"/>
        </w:rPr>
        <w:t xml:space="preserve"> of this data collection</w:t>
      </w:r>
      <w:r w:rsidRPr="002F6215" w:rsidR="004A031B">
        <w:rPr>
          <w:rFonts w:ascii="Arial" w:hAnsi="Arial" w:cs="Arial"/>
        </w:rPr>
        <w:t xml:space="preserve"> on the business will be </w:t>
      </w:r>
      <w:r w:rsidRPr="002F6215" w:rsidR="006F1DC9">
        <w:rPr>
          <w:rFonts w:ascii="Arial" w:hAnsi="Arial" w:cs="Arial"/>
        </w:rPr>
        <w:t xml:space="preserve">the time required for </w:t>
      </w:r>
      <w:r w:rsidRPr="002F6215" w:rsidR="00CF0829">
        <w:rPr>
          <w:rFonts w:ascii="Arial" w:hAnsi="Arial" w:cs="Arial"/>
        </w:rPr>
        <w:t xml:space="preserve">respondents </w:t>
      </w:r>
      <w:r w:rsidRPr="002F6215" w:rsidR="006F1DC9">
        <w:rPr>
          <w:rFonts w:ascii="Arial" w:hAnsi="Arial" w:cs="Arial"/>
        </w:rPr>
        <w:t xml:space="preserve">to </w:t>
      </w:r>
      <w:r w:rsidRPr="002F6215" w:rsidR="001B71AF">
        <w:rPr>
          <w:rFonts w:ascii="Arial" w:hAnsi="Arial" w:cs="Arial"/>
        </w:rPr>
        <w:t xml:space="preserve">gather the information, </w:t>
      </w:r>
      <w:r w:rsidRPr="002F6215" w:rsidR="006F1DC9">
        <w:rPr>
          <w:rFonts w:ascii="Arial" w:hAnsi="Arial" w:cs="Arial"/>
        </w:rPr>
        <w:t xml:space="preserve">complete the </w:t>
      </w:r>
      <w:r w:rsidRPr="002F6215" w:rsidR="001B71AF">
        <w:rPr>
          <w:rFonts w:ascii="Arial" w:hAnsi="Arial" w:cs="Arial"/>
        </w:rPr>
        <w:t>form, and/</w:t>
      </w:r>
      <w:r w:rsidRPr="002F6215" w:rsidR="006F1DC9">
        <w:rPr>
          <w:rFonts w:ascii="Arial" w:hAnsi="Arial" w:cs="Arial"/>
        </w:rPr>
        <w:t>or</w:t>
      </w:r>
      <w:r w:rsidR="007565A3">
        <w:rPr>
          <w:rFonts w:ascii="Arial" w:hAnsi="Arial" w:cs="Arial"/>
        </w:rPr>
        <w:t xml:space="preserve"> engage in clarifying </w:t>
      </w:r>
      <w:r w:rsidRPr="002F6215" w:rsidR="006F1DC9">
        <w:rPr>
          <w:rFonts w:ascii="Arial" w:hAnsi="Arial" w:cs="Arial"/>
        </w:rPr>
        <w:t>conversation</w:t>
      </w:r>
      <w:r w:rsidRPr="002F6215" w:rsidR="001B71AF">
        <w:rPr>
          <w:rFonts w:ascii="Arial" w:hAnsi="Arial" w:cs="Arial"/>
        </w:rPr>
        <w:t>s</w:t>
      </w:r>
      <w:r w:rsidRPr="002F6215" w:rsidR="006F1DC9">
        <w:rPr>
          <w:rFonts w:ascii="Arial" w:hAnsi="Arial" w:cs="Arial"/>
        </w:rPr>
        <w:t xml:space="preserve"> with </w:t>
      </w:r>
      <w:r w:rsidRPr="002F6215" w:rsidR="001B71AF">
        <w:rPr>
          <w:rFonts w:ascii="Arial" w:hAnsi="Arial" w:cs="Arial"/>
        </w:rPr>
        <w:t xml:space="preserve">managing </w:t>
      </w:r>
      <w:r w:rsidRPr="002F6215" w:rsidR="0030362D">
        <w:rPr>
          <w:rFonts w:ascii="Arial" w:hAnsi="Arial" w:cs="Arial"/>
        </w:rPr>
        <w:t>P</w:t>
      </w:r>
      <w:r w:rsidRPr="002F6215" w:rsidR="001B71AF">
        <w:rPr>
          <w:rFonts w:ascii="Arial" w:hAnsi="Arial" w:cs="Arial"/>
        </w:rPr>
        <w:t xml:space="preserve">rogram </w:t>
      </w:r>
      <w:r w:rsidRPr="002F6215" w:rsidR="0030362D">
        <w:rPr>
          <w:rFonts w:ascii="Arial" w:hAnsi="Arial" w:cs="Arial"/>
        </w:rPr>
        <w:t>D</w:t>
      </w:r>
      <w:r w:rsidRPr="002F6215" w:rsidR="001B71AF">
        <w:rPr>
          <w:rFonts w:ascii="Arial" w:hAnsi="Arial" w:cs="Arial"/>
        </w:rPr>
        <w:t>irectors</w:t>
      </w:r>
      <w:r w:rsidRPr="002F6215" w:rsidR="006F1DC9">
        <w:rPr>
          <w:rFonts w:ascii="Arial" w:hAnsi="Arial" w:cs="Arial"/>
        </w:rPr>
        <w:t>.</w:t>
      </w:r>
    </w:p>
    <w:p w:rsidR="00743271" w:rsidP="00743271" w14:paraId="649BC50F" w14:textId="77777777">
      <w:pPr>
        <w:spacing w:after="0" w:line="240" w:lineRule="auto"/>
        <w:jc w:val="both"/>
        <w:rPr>
          <w:rFonts w:ascii="Arial" w:hAnsi="Arial" w:cs="Arial"/>
        </w:rPr>
      </w:pPr>
    </w:p>
    <w:p w:rsidR="006B418C" w:rsidRPr="00743271" w:rsidP="00743271" w14:paraId="0C8A6B36" w14:textId="77777777">
      <w:pPr>
        <w:spacing w:after="0" w:line="240" w:lineRule="auto"/>
        <w:jc w:val="both"/>
        <w:rPr>
          <w:rFonts w:ascii="Arial" w:hAnsi="Arial" w:cs="Arial"/>
        </w:rPr>
      </w:pPr>
    </w:p>
    <w:p w:rsidR="00E96893" w:rsidRPr="001240AB" w:rsidP="006B418C" w14:paraId="0F3D1E08" w14:textId="60B28CCC">
      <w:pPr>
        <w:pStyle w:val="Heading3"/>
        <w:spacing w:before="0" w:beforeAutospacing="0" w:after="120" w:afterAutospacing="0"/>
        <w:rPr>
          <w:rFonts w:ascii="Arial" w:hAnsi="Arial" w:cs="Arial"/>
          <w:sz w:val="24"/>
          <w:szCs w:val="24"/>
        </w:rPr>
      </w:pPr>
      <w:r w:rsidRPr="001240AB">
        <w:rPr>
          <w:rFonts w:ascii="Arial" w:hAnsi="Arial" w:cs="Arial"/>
          <w:sz w:val="24"/>
          <w:szCs w:val="24"/>
        </w:rPr>
        <w:t>A.6 Consequences of Not Collecting the Information</w:t>
      </w:r>
    </w:p>
    <w:p w:rsidR="000D3B15" w:rsidP="00936BBF" w14:paraId="007F622D" w14:textId="448F3DA7">
      <w:pPr>
        <w:spacing w:after="0" w:line="240" w:lineRule="auto"/>
        <w:jc w:val="both"/>
        <w:rPr>
          <w:rFonts w:ascii="Arial" w:hAnsi="Arial" w:cs="Arial"/>
        </w:rPr>
      </w:pPr>
      <w:r w:rsidRPr="00294814">
        <w:rPr>
          <w:rFonts w:ascii="Arial" w:hAnsi="Arial" w:cs="Arial"/>
        </w:rPr>
        <w:t xml:space="preserve">If </w:t>
      </w:r>
      <w:r w:rsidRPr="00294814" w:rsidR="00033EFA">
        <w:rPr>
          <w:rFonts w:ascii="Arial" w:hAnsi="Arial" w:cs="Arial"/>
        </w:rPr>
        <w:t>the information</w:t>
      </w:r>
      <w:r w:rsidRPr="00294814">
        <w:rPr>
          <w:rFonts w:ascii="Arial" w:hAnsi="Arial" w:cs="Arial"/>
        </w:rPr>
        <w:t xml:space="preserve"> were not collected, </w:t>
      </w:r>
      <w:r w:rsidR="00743271">
        <w:rPr>
          <w:rFonts w:ascii="Arial" w:hAnsi="Arial" w:cs="Arial"/>
        </w:rPr>
        <w:t>the NSF SBIR/STTR prog</w:t>
      </w:r>
      <w:r w:rsidR="00A422FD">
        <w:rPr>
          <w:rFonts w:ascii="Arial" w:hAnsi="Arial" w:cs="Arial"/>
        </w:rPr>
        <w:t>r</w:t>
      </w:r>
      <w:r w:rsidR="00743271">
        <w:rPr>
          <w:rFonts w:ascii="Arial" w:hAnsi="Arial" w:cs="Arial"/>
        </w:rPr>
        <w:t>am</w:t>
      </w:r>
      <w:r w:rsidRPr="00294814">
        <w:rPr>
          <w:rFonts w:ascii="Arial" w:hAnsi="Arial" w:cs="Arial"/>
        </w:rPr>
        <w:t xml:space="preserve"> would be unable to</w:t>
      </w:r>
      <w:r w:rsidRPr="00294814" w:rsidR="00033EFA">
        <w:rPr>
          <w:rFonts w:ascii="Arial" w:hAnsi="Arial" w:cs="Arial"/>
        </w:rPr>
        <w:t xml:space="preserve"> 1) verify and validate compliance requirements, 2) </w:t>
      </w:r>
      <w:r w:rsidRPr="00294814" w:rsidR="00123005">
        <w:rPr>
          <w:rFonts w:ascii="Arial" w:hAnsi="Arial" w:cs="Arial"/>
        </w:rPr>
        <w:t xml:space="preserve">meet its accountability requirements or assess the degree to which projects and Phase II awards are meeting their goals over time, and 3) </w:t>
      </w:r>
      <w:r w:rsidRPr="00294814">
        <w:rPr>
          <w:rFonts w:ascii="Arial" w:hAnsi="Arial" w:cs="Arial"/>
        </w:rPr>
        <w:t xml:space="preserve">document </w:t>
      </w:r>
      <w:r w:rsidRPr="00294814" w:rsidR="00123005">
        <w:rPr>
          <w:rFonts w:ascii="Arial" w:hAnsi="Arial" w:cs="Arial"/>
        </w:rPr>
        <w:t xml:space="preserve">progress and outcomes of the Phase II </w:t>
      </w:r>
      <w:r w:rsidRPr="00294814" w:rsidR="00366368">
        <w:rPr>
          <w:rFonts w:ascii="Arial" w:hAnsi="Arial" w:cs="Arial"/>
        </w:rPr>
        <w:t>projects.</w:t>
      </w:r>
    </w:p>
    <w:p w:rsidR="006B418C" w:rsidP="00936BBF" w14:paraId="5233DADD" w14:textId="77777777">
      <w:pPr>
        <w:spacing w:after="0" w:line="240" w:lineRule="auto"/>
        <w:jc w:val="both"/>
        <w:rPr>
          <w:rFonts w:ascii="Arial" w:hAnsi="Arial" w:cs="Arial"/>
        </w:rPr>
      </w:pPr>
    </w:p>
    <w:p w:rsidR="006B418C" w:rsidRPr="00743271" w:rsidP="00936BBF" w14:paraId="0F7E0B8A" w14:textId="77777777">
      <w:pPr>
        <w:spacing w:after="0" w:line="240" w:lineRule="auto"/>
        <w:jc w:val="both"/>
        <w:rPr>
          <w:rFonts w:ascii="Arial" w:hAnsi="Arial" w:cs="Arial"/>
        </w:rPr>
      </w:pPr>
    </w:p>
    <w:p w:rsidR="00E96893" w:rsidRPr="001240AB" w:rsidP="006B418C" w14:paraId="14C23967" w14:textId="267C21EA">
      <w:pPr>
        <w:pStyle w:val="Heading3"/>
        <w:spacing w:before="0" w:beforeAutospacing="0" w:after="120" w:after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1A4011" w:rsidRPr="00A422FD" w:rsidP="006B418C" w14:paraId="3C7E709E" w14:textId="23FA5C1A">
      <w:pPr>
        <w:pStyle w:val="NormalWeb"/>
        <w:spacing w:after="240" w:afterAutospacing="0"/>
        <w:jc w:val="both"/>
        <w:rPr>
          <w:rFonts w:ascii="Arial" w:hAnsi="Arial" w:cs="Arial"/>
          <w:sz w:val="22"/>
          <w:szCs w:val="22"/>
        </w:rPr>
      </w:pPr>
      <w:r w:rsidRPr="00A422FD">
        <w:rPr>
          <w:rFonts w:ascii="Arial" w:hAnsi="Arial" w:cs="Arial"/>
          <w:sz w:val="22"/>
          <w:szCs w:val="22"/>
        </w:rPr>
        <w:t xml:space="preserve">Data collected </w:t>
      </w:r>
      <w:r w:rsidRPr="00A422FD" w:rsidR="00D07C3A">
        <w:rPr>
          <w:rFonts w:ascii="Arial" w:hAnsi="Arial" w:cs="Arial"/>
          <w:sz w:val="22"/>
          <w:szCs w:val="22"/>
        </w:rPr>
        <w:t xml:space="preserve">will comply with 5 CFR 1320.6. </w:t>
      </w:r>
      <w:r w:rsidRPr="00A422FD">
        <w:rPr>
          <w:rFonts w:ascii="Arial" w:hAnsi="Arial" w:cs="Arial"/>
          <w:sz w:val="22"/>
          <w:szCs w:val="22"/>
        </w:rPr>
        <w:t xml:space="preserve">  </w:t>
      </w:r>
      <w:r w:rsidRPr="00A422FD">
        <w:rPr>
          <w:rFonts w:ascii="Arial" w:hAnsi="Arial" w:cs="Arial"/>
          <w:sz w:val="22"/>
          <w:szCs w:val="22"/>
        </w:rPr>
        <w:t xml:space="preserve">First, a </w:t>
      </w:r>
      <w:r w:rsidRPr="00A422FD">
        <w:rPr>
          <w:rFonts w:ascii="Arial" w:hAnsi="Arial" w:cs="Arial"/>
          <w:sz w:val="22"/>
          <w:szCs w:val="22"/>
        </w:rPr>
        <w:t xml:space="preserve">valid OMB control number will be displayed at the beginning of the </w:t>
      </w:r>
      <w:r w:rsidRPr="00A422FD">
        <w:rPr>
          <w:rFonts w:ascii="Arial" w:hAnsi="Arial" w:cs="Arial"/>
          <w:sz w:val="22"/>
          <w:szCs w:val="22"/>
        </w:rPr>
        <w:t xml:space="preserve">electronic </w:t>
      </w:r>
      <w:r w:rsidRPr="00A422FD">
        <w:rPr>
          <w:rFonts w:ascii="Arial" w:hAnsi="Arial" w:cs="Arial"/>
          <w:sz w:val="22"/>
          <w:szCs w:val="22"/>
        </w:rPr>
        <w:t>form</w:t>
      </w:r>
      <w:r w:rsidRPr="00A422FD">
        <w:rPr>
          <w:rFonts w:ascii="Arial" w:hAnsi="Arial" w:cs="Arial"/>
          <w:sz w:val="22"/>
          <w:szCs w:val="22"/>
        </w:rPr>
        <w:t>.  Second, as the reporting requirement is mandatory,</w:t>
      </w:r>
      <w:r w:rsidRPr="00A422FD" w:rsidR="002B43C1">
        <w:rPr>
          <w:rFonts w:ascii="Arial" w:hAnsi="Arial" w:cs="Arial"/>
          <w:sz w:val="22"/>
          <w:szCs w:val="22"/>
        </w:rPr>
        <w:t xml:space="preserve"> </w:t>
      </w:r>
      <w:r w:rsidRPr="00A422FD">
        <w:rPr>
          <w:rFonts w:ascii="Arial" w:hAnsi="Arial" w:cs="Arial"/>
          <w:sz w:val="22"/>
          <w:szCs w:val="22"/>
        </w:rPr>
        <w:t xml:space="preserve">the </w:t>
      </w:r>
      <w:r w:rsidRPr="00A422FD">
        <w:rPr>
          <w:rFonts w:ascii="Arial" w:hAnsi="Arial" w:cs="Arial"/>
          <w:sz w:val="22"/>
          <w:szCs w:val="22"/>
        </w:rPr>
        <w:t>NSF SBI</w:t>
      </w:r>
      <w:r w:rsidRPr="00A422FD" w:rsidR="006B418C">
        <w:rPr>
          <w:rFonts w:ascii="Arial" w:hAnsi="Arial" w:cs="Arial"/>
          <w:sz w:val="22"/>
          <w:szCs w:val="22"/>
        </w:rPr>
        <w:t>R/</w:t>
      </w:r>
      <w:r w:rsidRPr="00A422FD">
        <w:rPr>
          <w:rFonts w:ascii="Arial" w:hAnsi="Arial" w:cs="Arial"/>
          <w:sz w:val="22"/>
          <w:szCs w:val="22"/>
        </w:rPr>
        <w:t xml:space="preserve">STTR </w:t>
      </w:r>
      <w:r w:rsidRPr="00A422FD" w:rsidR="006B418C">
        <w:rPr>
          <w:rFonts w:ascii="Arial" w:hAnsi="Arial" w:cs="Arial"/>
          <w:sz w:val="22"/>
          <w:szCs w:val="22"/>
        </w:rPr>
        <w:t>p</w:t>
      </w:r>
      <w:r w:rsidRPr="00A422FD">
        <w:rPr>
          <w:rFonts w:ascii="Arial" w:hAnsi="Arial" w:cs="Arial"/>
          <w:sz w:val="22"/>
          <w:szCs w:val="22"/>
        </w:rPr>
        <w:t>rogram will</w:t>
      </w:r>
      <w:r w:rsidRPr="00A422FD" w:rsidR="002B43C1">
        <w:rPr>
          <w:rFonts w:ascii="Arial" w:hAnsi="Arial" w:cs="Arial"/>
          <w:sz w:val="22"/>
          <w:szCs w:val="22"/>
        </w:rPr>
        <w:t xml:space="preserve"> communicate clearly—by ways of</w:t>
      </w:r>
      <w:r w:rsidRPr="00A422FD" w:rsidR="002B43C1">
        <w:rPr>
          <w:rFonts w:ascii="Arial" w:hAnsi="Arial" w:cs="Arial"/>
          <w:i/>
          <w:iCs/>
          <w:sz w:val="22"/>
          <w:szCs w:val="22"/>
        </w:rPr>
        <w:t xml:space="preserve"> </w:t>
      </w:r>
      <w:r w:rsidRPr="00A422FD" w:rsidR="002B43C1">
        <w:rPr>
          <w:rFonts w:ascii="Arial" w:hAnsi="Arial" w:cs="Arial"/>
          <w:sz w:val="22"/>
          <w:szCs w:val="22"/>
        </w:rPr>
        <w:t>proposal solicitations, the NSF SBIR/STTR website, and program announcements—that such collection of information will be treated as a means for proving and satisfying a condition for the receipt</w:t>
      </w:r>
      <w:r w:rsidRPr="00A422FD" w:rsidR="002B43C1">
        <w:rPr>
          <w:rFonts w:ascii="Arial" w:hAnsi="Arial" w:cs="Arial"/>
          <w:i/>
          <w:iCs/>
          <w:sz w:val="22"/>
          <w:szCs w:val="22"/>
        </w:rPr>
        <w:t xml:space="preserve"> </w:t>
      </w:r>
      <w:r w:rsidRPr="00A422FD" w:rsidR="002B43C1">
        <w:rPr>
          <w:rFonts w:ascii="Arial" w:hAnsi="Arial" w:cs="Arial"/>
          <w:sz w:val="22"/>
          <w:szCs w:val="22"/>
        </w:rPr>
        <w:t>of the Phase II grant.</w:t>
      </w:r>
    </w:p>
    <w:p w:rsidR="006B418C" w:rsidRPr="00A422FD" w:rsidP="00A422FD" w14:paraId="2A21DDF7" w14:textId="7B6E76DF">
      <w:pPr>
        <w:pStyle w:val="NormalWeb"/>
        <w:spacing w:after="120" w:afterAutospacing="0"/>
        <w:jc w:val="both"/>
        <w:rPr>
          <w:rFonts w:ascii="Arial" w:hAnsi="Arial" w:cs="Arial"/>
          <w:sz w:val="22"/>
          <w:szCs w:val="22"/>
        </w:rPr>
      </w:pPr>
      <w:r w:rsidRPr="00A422FD">
        <w:rPr>
          <w:rFonts w:ascii="Arial" w:hAnsi="Arial" w:cs="Arial"/>
          <w:sz w:val="22"/>
          <w:szCs w:val="22"/>
        </w:rPr>
        <w:t xml:space="preserve">NSF SBIR and STTR Phase II grantees will be asked to submit this report </w:t>
      </w:r>
      <w:r w:rsidRPr="00A422FD" w:rsidR="004410FB">
        <w:rPr>
          <w:rFonts w:ascii="Arial" w:hAnsi="Arial" w:cs="Arial"/>
          <w:sz w:val="22"/>
          <w:szCs w:val="22"/>
        </w:rPr>
        <w:t>bi-</w:t>
      </w:r>
      <w:r w:rsidRPr="00A422FD" w:rsidR="00D07C3A">
        <w:rPr>
          <w:rFonts w:ascii="Arial" w:hAnsi="Arial" w:cs="Arial"/>
          <w:sz w:val="22"/>
          <w:szCs w:val="22"/>
        </w:rPr>
        <w:t>annually</w:t>
      </w:r>
      <w:r w:rsidRPr="00A422FD" w:rsidR="0036024D">
        <w:rPr>
          <w:rFonts w:ascii="Arial" w:hAnsi="Arial" w:cs="Arial"/>
          <w:sz w:val="22"/>
          <w:szCs w:val="22"/>
        </w:rPr>
        <w:t>, or occasionally at shorter intervals for data collected during the life of the award</w:t>
      </w:r>
      <w:r w:rsidRPr="00A422FD" w:rsidR="004410FB">
        <w:rPr>
          <w:rFonts w:ascii="Arial" w:hAnsi="Arial" w:cs="Arial"/>
          <w:sz w:val="22"/>
          <w:szCs w:val="22"/>
        </w:rPr>
        <w:t>.</w:t>
      </w:r>
    </w:p>
    <w:p w:rsidR="006B418C" w:rsidRPr="001240AB" w:rsidP="00A422FD" w14:paraId="07A562DC" w14:textId="3847E8D4">
      <w:pPr>
        <w:pStyle w:val="NormalWeb"/>
        <w:spacing w:before="0" w:beforeAutospacing="0" w:after="0" w:afterAutospacing="0"/>
        <w:jc w:val="both"/>
        <w:rPr>
          <w:rFonts w:ascii="Arial" w:hAnsi="Arial" w:cs="Arial"/>
        </w:rPr>
      </w:pPr>
    </w:p>
    <w:p w:rsidR="002D1CDC" w:rsidRPr="0006120A" w:rsidP="006B418C" w14:paraId="0C69C9DC" w14:textId="61E442CF">
      <w:pPr>
        <w:pStyle w:val="Heading3"/>
        <w:spacing w:before="0" w:beforeAutospacing="0" w:after="120" w:afterAutospacing="0"/>
        <w:rPr>
          <w:rFonts w:ascii="Arial" w:hAnsi="Arial" w:cs="Arial"/>
          <w:sz w:val="24"/>
          <w:szCs w:val="24"/>
        </w:rPr>
      </w:pPr>
      <w:r w:rsidRPr="0006120A">
        <w:rPr>
          <w:rFonts w:ascii="Arial" w:hAnsi="Arial" w:cs="Arial"/>
          <w:sz w:val="24"/>
          <w:szCs w:val="24"/>
        </w:rPr>
        <w:t xml:space="preserve">A.8 </w:t>
      </w:r>
      <w:r w:rsidRPr="0006120A" w:rsidR="00773F2E">
        <w:rPr>
          <w:rFonts w:ascii="Arial" w:hAnsi="Arial" w:cs="Arial"/>
          <w:sz w:val="24"/>
          <w:szCs w:val="24"/>
        </w:rPr>
        <w:t xml:space="preserve">Federal Register Notice and </w:t>
      </w:r>
      <w:r w:rsidRPr="0006120A">
        <w:rPr>
          <w:rFonts w:ascii="Arial" w:hAnsi="Arial" w:cs="Arial"/>
          <w:sz w:val="24"/>
          <w:szCs w:val="24"/>
        </w:rPr>
        <w:t>Consultation Outside the Agency</w:t>
      </w:r>
    </w:p>
    <w:p w:rsidR="008B7984" w:rsidRPr="00A422FD" w:rsidP="00A422FD" w14:paraId="603062B3" w14:textId="0FB14971">
      <w:pPr>
        <w:pStyle w:val="BodyText"/>
        <w:suppressAutoHyphens/>
        <w:spacing w:after="120" w:line="240" w:lineRule="auto"/>
        <w:rPr>
          <w:rFonts w:ascii="Arial" w:hAnsi="Arial" w:cs="Arial"/>
          <w:bCs/>
          <w:szCs w:val="22"/>
        </w:rPr>
      </w:pPr>
      <w:r w:rsidRPr="00A422FD">
        <w:rPr>
          <w:rFonts w:ascii="Arial" w:hAnsi="Arial" w:cs="Arial"/>
          <w:bCs/>
          <w:szCs w:val="22"/>
        </w:rPr>
        <w:t xml:space="preserve">The agency’s notice, as required by 5 CFR 1320.8(d), </w:t>
      </w:r>
      <w:r w:rsidR="006148A0">
        <w:rPr>
          <w:rFonts w:ascii="Arial" w:hAnsi="Arial" w:cs="Arial"/>
          <w:bCs/>
          <w:szCs w:val="22"/>
        </w:rPr>
        <w:t xml:space="preserve">to reinstate this collection </w:t>
      </w:r>
      <w:r w:rsidRPr="00A422FD">
        <w:rPr>
          <w:rFonts w:ascii="Arial" w:hAnsi="Arial" w:cs="Arial"/>
          <w:bCs/>
          <w:szCs w:val="22"/>
        </w:rPr>
        <w:t xml:space="preserve">was published in the </w:t>
      </w:r>
      <w:r w:rsidRPr="00A422FD">
        <w:rPr>
          <w:rFonts w:ascii="Arial" w:hAnsi="Arial" w:cs="Arial"/>
          <w:bCs/>
          <w:i/>
          <w:iCs/>
          <w:szCs w:val="22"/>
        </w:rPr>
        <w:t>Federal</w:t>
      </w:r>
      <w:r w:rsidRPr="00A422FD" w:rsidR="00FB074A">
        <w:rPr>
          <w:rFonts w:ascii="Arial" w:hAnsi="Arial" w:cs="Arial"/>
          <w:bCs/>
          <w:i/>
          <w:iCs/>
          <w:szCs w:val="22"/>
        </w:rPr>
        <w:t xml:space="preserve"> </w:t>
      </w:r>
      <w:r w:rsidRPr="00A422FD">
        <w:rPr>
          <w:rFonts w:ascii="Arial" w:hAnsi="Arial" w:cs="Arial"/>
          <w:bCs/>
          <w:i/>
          <w:iCs/>
          <w:szCs w:val="22"/>
        </w:rPr>
        <w:t>Register</w:t>
      </w:r>
      <w:r w:rsidRPr="00A422FD">
        <w:rPr>
          <w:rFonts w:ascii="Arial" w:hAnsi="Arial" w:cs="Arial"/>
          <w:bCs/>
          <w:szCs w:val="22"/>
        </w:rPr>
        <w:t xml:space="preserve"> o</w:t>
      </w:r>
      <w:r w:rsidR="006148A0">
        <w:rPr>
          <w:rFonts w:ascii="Arial" w:hAnsi="Arial" w:cs="Arial"/>
          <w:bCs/>
          <w:szCs w:val="22"/>
        </w:rPr>
        <w:t>n March 13, 2024</w:t>
      </w:r>
      <w:r w:rsidRPr="00A422FD">
        <w:rPr>
          <w:rFonts w:ascii="Arial" w:hAnsi="Arial" w:cs="Arial"/>
          <w:bCs/>
          <w:szCs w:val="22"/>
        </w:rPr>
        <w:t>, at 8</w:t>
      </w:r>
      <w:r w:rsidR="006148A0">
        <w:rPr>
          <w:rFonts w:ascii="Arial" w:hAnsi="Arial" w:cs="Arial"/>
          <w:bCs/>
          <w:szCs w:val="22"/>
        </w:rPr>
        <w:t>9</w:t>
      </w:r>
      <w:r w:rsidRPr="00A422FD">
        <w:rPr>
          <w:rFonts w:ascii="Arial" w:hAnsi="Arial" w:cs="Arial"/>
          <w:bCs/>
          <w:szCs w:val="22"/>
        </w:rPr>
        <w:t xml:space="preserve"> FR</w:t>
      </w:r>
      <w:r w:rsidRPr="00A422FD" w:rsidR="0006120A">
        <w:rPr>
          <w:rFonts w:ascii="Arial" w:hAnsi="Arial" w:cs="Arial"/>
          <w:bCs/>
          <w:szCs w:val="22"/>
        </w:rPr>
        <w:t xml:space="preserve"> </w:t>
      </w:r>
      <w:r w:rsidR="006148A0">
        <w:rPr>
          <w:rFonts w:ascii="Arial" w:hAnsi="Arial" w:cs="Arial"/>
          <w:bCs/>
          <w:szCs w:val="22"/>
        </w:rPr>
        <w:t>18443</w:t>
      </w:r>
      <w:r w:rsidRPr="00A422FD">
        <w:rPr>
          <w:rFonts w:ascii="Arial" w:hAnsi="Arial" w:cs="Arial"/>
          <w:bCs/>
          <w:szCs w:val="22"/>
        </w:rPr>
        <w:t xml:space="preserve"> and no comments were received.</w:t>
      </w:r>
    </w:p>
    <w:p w:rsidR="008B7984" w:rsidRPr="008B7984" w:rsidP="008B7984" w14:paraId="599D360F" w14:textId="3ECE2628">
      <w:pPr>
        <w:pStyle w:val="BodyText"/>
        <w:suppressAutoHyphens/>
        <w:spacing w:line="240" w:lineRule="auto"/>
        <w:rPr>
          <w:rFonts w:ascii="Arial" w:hAnsi="Arial" w:cs="Arial"/>
          <w:b/>
          <w:bCs/>
          <w:color w:val="FF0000"/>
          <w:sz w:val="24"/>
          <w:szCs w:val="24"/>
        </w:rPr>
      </w:pPr>
    </w:p>
    <w:p w:rsidR="002D1CDC" w:rsidRPr="001240AB" w:rsidP="0006120A" w14:paraId="12410274" w14:textId="49947A9B">
      <w:pPr>
        <w:pStyle w:val="Heading3"/>
        <w:spacing w:before="0" w:beforeAutospacing="0" w:after="120" w:afterAutospacing="0"/>
        <w:rPr>
          <w:rFonts w:ascii="Arial" w:hAnsi="Arial" w:cs="Arial"/>
          <w:sz w:val="24"/>
          <w:szCs w:val="24"/>
        </w:rPr>
      </w:pPr>
      <w:r w:rsidRPr="001240AB">
        <w:rPr>
          <w:rFonts w:ascii="Arial" w:hAnsi="Arial" w:cs="Arial"/>
          <w:sz w:val="24"/>
          <w:szCs w:val="24"/>
        </w:rPr>
        <w:t>A.9. Payments or Gifts to Respondents</w:t>
      </w:r>
    </w:p>
    <w:p w:rsidR="00B8340C" w:rsidRPr="00A422FD" w:rsidP="00A422FD" w14:paraId="6307D3F6" w14:textId="50FF7259">
      <w:pPr>
        <w:spacing w:after="120" w:line="240" w:lineRule="auto"/>
        <w:rPr>
          <w:rFonts w:ascii="Arial" w:hAnsi="Arial" w:cs="Arial"/>
        </w:rPr>
      </w:pPr>
      <w:r w:rsidRPr="00A422FD">
        <w:rPr>
          <w:rFonts w:ascii="Arial" w:hAnsi="Arial" w:cs="Arial"/>
        </w:rPr>
        <w:t>Not applicable</w:t>
      </w:r>
    </w:p>
    <w:p w:rsidR="0006120A" w:rsidRPr="001240AB" w:rsidP="0006120A" w14:paraId="3805CC32" w14:textId="04269771">
      <w:pPr>
        <w:spacing w:after="0" w:line="240" w:lineRule="auto"/>
        <w:rPr>
          <w:rFonts w:ascii="Arial" w:hAnsi="Arial" w:cs="Arial"/>
          <w:sz w:val="24"/>
          <w:szCs w:val="24"/>
        </w:rPr>
      </w:pPr>
    </w:p>
    <w:p w:rsidR="002D1CDC" w:rsidRPr="001240AB" w:rsidP="0006120A" w14:paraId="54143396"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A.10. Assurance of Confidentiality</w:t>
      </w:r>
    </w:p>
    <w:p w:rsidR="002D1CDC" w:rsidRPr="0006120A" w:rsidP="0006120A" w14:paraId="260BE573" w14:textId="77777777">
      <w:pPr>
        <w:pStyle w:val="NormalWeb"/>
        <w:spacing w:before="0" w:beforeAutospacing="0" w:after="240" w:afterAutospacing="0"/>
        <w:jc w:val="both"/>
        <w:rPr>
          <w:rFonts w:ascii="Arial" w:hAnsi="Arial" w:cs="Arial"/>
          <w:sz w:val="22"/>
          <w:szCs w:val="22"/>
        </w:rPr>
      </w:pPr>
      <w:r w:rsidRPr="0006120A">
        <w:rPr>
          <w:rFonts w:ascii="Arial" w:hAnsi="Arial" w:cs="Arial"/>
          <w:sz w:val="22"/>
          <w:szCs w:val="22"/>
        </w:rPr>
        <w:t xml:space="preserve">Respondents </w:t>
      </w:r>
      <w:r w:rsidRPr="0006120A" w:rsidR="00A665E8">
        <w:rPr>
          <w:rFonts w:ascii="Arial" w:hAnsi="Arial" w:cs="Arial"/>
          <w:sz w:val="22"/>
          <w:szCs w:val="22"/>
        </w:rPr>
        <w:t xml:space="preserve">will be </w:t>
      </w:r>
      <w:r w:rsidRPr="0006120A">
        <w:rPr>
          <w:rFonts w:ascii="Arial" w:hAnsi="Arial" w:cs="Arial"/>
          <w:sz w:val="22"/>
          <w:szCs w:val="22"/>
        </w:rPr>
        <w:t xml:space="preserve">informed that any information on specific individuals is maintained in accordance with the Privacy Act of 1974. Every data collection instrument </w:t>
      </w:r>
      <w:r w:rsidRPr="0006120A" w:rsidR="00A665E8">
        <w:rPr>
          <w:rFonts w:ascii="Arial" w:hAnsi="Arial" w:cs="Arial"/>
          <w:sz w:val="22"/>
          <w:szCs w:val="22"/>
        </w:rPr>
        <w:t xml:space="preserve">will </w:t>
      </w:r>
      <w:r w:rsidRPr="0006120A">
        <w:rPr>
          <w:rFonts w:ascii="Arial" w:hAnsi="Arial" w:cs="Arial"/>
          <w:sz w:val="22"/>
          <w:szCs w:val="22"/>
        </w:rPr>
        <w:t>display both OMB and Privacy Act notices.</w:t>
      </w:r>
    </w:p>
    <w:p w:rsidR="0006120A" w:rsidRPr="0006120A" w:rsidP="003A70BA" w14:paraId="40CA3778" w14:textId="205D37AB">
      <w:pPr>
        <w:pStyle w:val="NormalWeb"/>
        <w:spacing w:before="0" w:beforeAutospacing="0" w:after="120" w:afterAutospacing="0"/>
        <w:jc w:val="both"/>
        <w:rPr>
          <w:rFonts w:ascii="Arial" w:hAnsi="Arial" w:cs="Arial"/>
          <w:sz w:val="22"/>
          <w:szCs w:val="22"/>
        </w:rPr>
      </w:pPr>
      <w:r w:rsidRPr="0006120A">
        <w:rPr>
          <w:rFonts w:ascii="Arial" w:hAnsi="Arial" w:cs="Arial"/>
          <w:sz w:val="22"/>
          <w:szCs w:val="22"/>
        </w:rPr>
        <w:t xml:space="preserve">Respondents </w:t>
      </w:r>
      <w:r w:rsidRPr="0006120A" w:rsidR="00A665E8">
        <w:rPr>
          <w:rFonts w:ascii="Arial" w:hAnsi="Arial" w:cs="Arial"/>
          <w:sz w:val="22"/>
          <w:szCs w:val="22"/>
        </w:rPr>
        <w:t xml:space="preserve">will be </w:t>
      </w:r>
      <w:r w:rsidR="007007B8">
        <w:rPr>
          <w:rFonts w:ascii="Arial" w:hAnsi="Arial" w:cs="Arial"/>
          <w:sz w:val="22"/>
          <w:szCs w:val="22"/>
        </w:rPr>
        <w:t>informed</w:t>
      </w:r>
      <w:r w:rsidRPr="0006120A">
        <w:rPr>
          <w:rFonts w:ascii="Arial" w:hAnsi="Arial" w:cs="Arial"/>
          <w:sz w:val="22"/>
          <w:szCs w:val="22"/>
        </w:rPr>
        <w:t xml:space="preserve"> that</w:t>
      </w:r>
      <w:r w:rsidR="007007B8">
        <w:rPr>
          <w:rFonts w:ascii="Arial" w:hAnsi="Arial" w:cs="Arial"/>
          <w:sz w:val="22"/>
          <w:szCs w:val="22"/>
        </w:rPr>
        <w:t xml:space="preserve"> the</w:t>
      </w:r>
      <w:r w:rsidRPr="0006120A">
        <w:rPr>
          <w:rFonts w:ascii="Arial" w:hAnsi="Arial" w:cs="Arial"/>
          <w:sz w:val="22"/>
          <w:szCs w:val="22"/>
        </w:rPr>
        <w:t xml:space="preserve"> data collected are available to NSF officials and staff, </w:t>
      </w:r>
      <w:r w:rsidRPr="0006120A" w:rsidR="002B26A1">
        <w:rPr>
          <w:rFonts w:ascii="Arial" w:hAnsi="Arial" w:cs="Arial"/>
          <w:sz w:val="22"/>
          <w:szCs w:val="22"/>
        </w:rPr>
        <w:t>and contractors</w:t>
      </w:r>
      <w:r w:rsidRPr="0006120A">
        <w:rPr>
          <w:rFonts w:ascii="Arial" w:hAnsi="Arial" w:cs="Arial"/>
          <w:sz w:val="22"/>
          <w:szCs w:val="22"/>
        </w:rPr>
        <w:t xml:space="preserve"> hired to manage the data and data collection software. </w:t>
      </w:r>
      <w:r w:rsidRPr="0006120A" w:rsidR="002B26A1">
        <w:rPr>
          <w:rFonts w:ascii="Arial" w:hAnsi="Arial" w:cs="Arial"/>
          <w:sz w:val="22"/>
          <w:szCs w:val="22"/>
        </w:rPr>
        <w:t xml:space="preserve"> </w:t>
      </w:r>
      <w:r w:rsidRPr="0006120A">
        <w:rPr>
          <w:rFonts w:ascii="Arial" w:hAnsi="Arial" w:cs="Arial"/>
          <w:sz w:val="22"/>
          <w:szCs w:val="22"/>
        </w:rPr>
        <w:t xml:space="preserve">Data </w:t>
      </w:r>
      <w:r w:rsidRPr="0006120A" w:rsidR="00A665E8">
        <w:rPr>
          <w:rFonts w:ascii="Arial" w:hAnsi="Arial" w:cs="Arial"/>
          <w:sz w:val="22"/>
          <w:szCs w:val="22"/>
        </w:rPr>
        <w:t xml:space="preserve">will be </w:t>
      </w:r>
      <w:r w:rsidRPr="0006120A">
        <w:rPr>
          <w:rFonts w:ascii="Arial" w:hAnsi="Arial" w:cs="Arial"/>
          <w:sz w:val="22"/>
          <w:szCs w:val="22"/>
        </w:rPr>
        <w:t>processed according to federal and state privacy statutes. Th</w:t>
      </w:r>
      <w:r w:rsidRPr="0006120A" w:rsidR="00A665E8">
        <w:rPr>
          <w:rFonts w:ascii="Arial" w:hAnsi="Arial" w:cs="Arial"/>
          <w:sz w:val="22"/>
          <w:szCs w:val="22"/>
        </w:rPr>
        <w:t>e</w:t>
      </w:r>
      <w:r w:rsidRPr="0006120A">
        <w:rPr>
          <w:rFonts w:ascii="Arial" w:hAnsi="Arial" w:cs="Arial"/>
          <w:sz w:val="22"/>
          <w:szCs w:val="22"/>
        </w:rPr>
        <w:t xml:space="preserve"> system </w:t>
      </w:r>
      <w:r w:rsidRPr="0006120A" w:rsidR="00A665E8">
        <w:rPr>
          <w:rFonts w:ascii="Arial" w:hAnsi="Arial" w:cs="Arial"/>
          <w:sz w:val="22"/>
          <w:szCs w:val="22"/>
        </w:rPr>
        <w:t xml:space="preserve">will </w:t>
      </w:r>
      <w:r w:rsidRPr="0006120A">
        <w:rPr>
          <w:rFonts w:ascii="Arial" w:hAnsi="Arial" w:cs="Arial"/>
          <w:sz w:val="22"/>
          <w:szCs w:val="22"/>
        </w:rPr>
        <w:t xml:space="preserve">limit access to personally identifiable information to authorized users. </w:t>
      </w:r>
      <w:r w:rsidRPr="0006120A" w:rsidR="00E07E98">
        <w:rPr>
          <w:rFonts w:ascii="Arial" w:hAnsi="Arial" w:cs="Arial"/>
          <w:sz w:val="22"/>
          <w:szCs w:val="22"/>
        </w:rPr>
        <w:t xml:space="preserve"> </w:t>
      </w:r>
      <w:r w:rsidRPr="0006120A">
        <w:rPr>
          <w:rFonts w:ascii="Arial" w:hAnsi="Arial" w:cs="Arial"/>
          <w:sz w:val="22"/>
          <w:szCs w:val="22"/>
        </w:rPr>
        <w:t xml:space="preserve">Data submitted </w:t>
      </w:r>
      <w:r w:rsidRPr="0006120A" w:rsidR="00A665E8">
        <w:rPr>
          <w:rFonts w:ascii="Arial" w:hAnsi="Arial" w:cs="Arial"/>
          <w:sz w:val="22"/>
          <w:szCs w:val="22"/>
        </w:rPr>
        <w:t xml:space="preserve">will be </w:t>
      </w:r>
      <w:r w:rsidRPr="0006120A">
        <w:rPr>
          <w:rFonts w:ascii="Arial" w:hAnsi="Arial" w:cs="Arial"/>
          <w:sz w:val="22"/>
          <w:szCs w:val="22"/>
        </w:rPr>
        <w:t>used in accordance with criteria established by NSF for monitoring research and education grants and in response to Public Law 99-383 and 42 USC 1885c.</w:t>
      </w:r>
    </w:p>
    <w:p w:rsidR="0006120A" w:rsidRPr="001240AB" w:rsidP="0006120A" w14:paraId="2D841231" w14:textId="7F4082DE">
      <w:pPr>
        <w:pStyle w:val="NormalWeb"/>
        <w:spacing w:before="0" w:beforeAutospacing="0" w:after="0" w:afterAutospacing="0"/>
        <w:jc w:val="both"/>
        <w:rPr>
          <w:rFonts w:ascii="Arial" w:hAnsi="Arial" w:cs="Arial"/>
        </w:rPr>
      </w:pPr>
    </w:p>
    <w:p w:rsidR="00E96893" w:rsidRPr="001240AB" w:rsidP="0006120A" w14:paraId="581037A2"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A.11 Questions of a Sensitive Nature</w:t>
      </w:r>
    </w:p>
    <w:p w:rsidR="00E07E98" w:rsidP="0006120A" w14:paraId="76C07B5A" w14:textId="097DEB73">
      <w:pPr>
        <w:spacing w:line="240" w:lineRule="auto"/>
        <w:jc w:val="both"/>
        <w:rPr>
          <w:rFonts w:ascii="Arial" w:hAnsi="Arial" w:cs="Arial"/>
        </w:rPr>
      </w:pPr>
      <w:r w:rsidRPr="0006120A">
        <w:rPr>
          <w:rFonts w:ascii="Arial" w:hAnsi="Arial" w:cs="Arial"/>
        </w:rPr>
        <w:t xml:space="preserve">In the </w:t>
      </w:r>
      <w:r w:rsidRPr="0006120A">
        <w:rPr>
          <w:rFonts w:ascii="Arial" w:hAnsi="Arial" w:cs="Arial"/>
          <w:b/>
          <w:bCs/>
          <w:i/>
          <w:iCs/>
        </w:rPr>
        <w:t>Grantee Reporting Requirements for NSF SBIR/STTR Program</w:t>
      </w:r>
      <w:r w:rsidRPr="0006120A">
        <w:rPr>
          <w:rFonts w:ascii="Arial" w:hAnsi="Arial" w:cs="Arial"/>
        </w:rPr>
        <w:t xml:space="preserve">, </w:t>
      </w:r>
      <w:r w:rsidRPr="0006120A" w:rsidR="00591479">
        <w:rPr>
          <w:rFonts w:ascii="Arial" w:hAnsi="Arial" w:cs="Arial"/>
        </w:rPr>
        <w:t>information f</w:t>
      </w:r>
      <w:r w:rsidRPr="0006120A" w:rsidR="00933F49">
        <w:rPr>
          <w:rFonts w:ascii="Arial" w:hAnsi="Arial" w:cs="Arial"/>
        </w:rPr>
        <w:t>rom respondents, including name</w:t>
      </w:r>
      <w:r w:rsidRPr="0006120A">
        <w:rPr>
          <w:rFonts w:ascii="Arial" w:hAnsi="Arial" w:cs="Arial"/>
        </w:rPr>
        <w:t xml:space="preserve">, affiliated organization, </w:t>
      </w:r>
      <w:r w:rsidR="0006120A">
        <w:rPr>
          <w:rFonts w:ascii="Arial" w:hAnsi="Arial" w:cs="Arial"/>
        </w:rPr>
        <w:t>phone number, and</w:t>
      </w:r>
      <w:r w:rsidRPr="0006120A">
        <w:rPr>
          <w:rFonts w:ascii="Arial" w:hAnsi="Arial" w:cs="Arial"/>
        </w:rPr>
        <w:t xml:space="preserve"> </w:t>
      </w:r>
      <w:r w:rsidRPr="0006120A" w:rsidR="00B477AC">
        <w:rPr>
          <w:rFonts w:ascii="Arial" w:hAnsi="Arial" w:cs="Arial"/>
        </w:rPr>
        <w:t>email</w:t>
      </w:r>
      <w:r w:rsidRPr="0006120A" w:rsidR="00591479">
        <w:rPr>
          <w:rFonts w:ascii="Arial" w:hAnsi="Arial" w:cs="Arial"/>
        </w:rPr>
        <w:t xml:space="preserve"> address</w:t>
      </w:r>
      <w:r w:rsidRPr="0006120A">
        <w:rPr>
          <w:rFonts w:ascii="Arial" w:hAnsi="Arial" w:cs="Arial"/>
        </w:rPr>
        <w:t xml:space="preserve"> are requested</w:t>
      </w:r>
      <w:r w:rsidRPr="0006120A" w:rsidR="005273DF">
        <w:rPr>
          <w:rFonts w:ascii="Arial" w:hAnsi="Arial" w:cs="Arial"/>
        </w:rPr>
        <w:t xml:space="preserve">. </w:t>
      </w:r>
      <w:r w:rsidR="00C2382E">
        <w:rPr>
          <w:rFonts w:ascii="Arial" w:hAnsi="Arial" w:cs="Arial"/>
        </w:rPr>
        <w:t xml:space="preserve"> </w:t>
      </w:r>
      <w:r w:rsidRPr="0006120A" w:rsidR="00591479">
        <w:rPr>
          <w:rFonts w:ascii="Arial" w:hAnsi="Arial" w:cs="Arial"/>
        </w:rPr>
        <w:t>These data are collected to track recipients of</w:t>
      </w:r>
      <w:r w:rsidRPr="0006120A">
        <w:rPr>
          <w:rFonts w:ascii="Arial" w:hAnsi="Arial" w:cs="Arial"/>
        </w:rPr>
        <w:t xml:space="preserve"> their roles in an organization,</w:t>
      </w:r>
      <w:r w:rsidRPr="0006120A" w:rsidR="00591479">
        <w:rPr>
          <w:rFonts w:ascii="Arial" w:hAnsi="Arial" w:cs="Arial"/>
        </w:rPr>
        <w:t xml:space="preserve"> </w:t>
      </w:r>
      <w:r w:rsidRPr="0006120A">
        <w:rPr>
          <w:rFonts w:ascii="Arial" w:hAnsi="Arial" w:cs="Arial"/>
        </w:rPr>
        <w:t>levels of efforts, and expenditures</w:t>
      </w:r>
      <w:r w:rsidRPr="0006120A" w:rsidR="00591479">
        <w:rPr>
          <w:rFonts w:ascii="Arial" w:hAnsi="Arial" w:cs="Arial"/>
        </w:rPr>
        <w:t xml:space="preserve">. </w:t>
      </w:r>
    </w:p>
    <w:p w:rsidR="00EC5355" w:rsidRPr="0006120A" w:rsidP="00EC5355" w14:paraId="5461A1FC" w14:textId="77777777">
      <w:pPr>
        <w:spacing w:line="240" w:lineRule="auto"/>
        <w:jc w:val="both"/>
        <w:rPr>
          <w:rFonts w:ascii="Arial" w:hAnsi="Arial" w:cs="Arial"/>
        </w:rPr>
      </w:pPr>
      <w:r w:rsidRPr="006036B8">
        <w:rPr>
          <w:rFonts w:ascii="Arial" w:hAnsi="Arial" w:cs="Arial"/>
        </w:rPr>
        <w:t xml:space="preserve">Information pertaining to the number of full-time equivalent employees and other funding sources obtained from the small business during the reporting period are needed to help Program Directors monitor the potential existence of overlapping or equivalent projects funded by other entities. </w:t>
      </w:r>
    </w:p>
    <w:p w:rsidR="00E07E98" w:rsidP="00CC3FBC" w14:paraId="003F345E" w14:textId="7808E8BC">
      <w:pPr>
        <w:spacing w:after="120" w:line="240" w:lineRule="auto"/>
        <w:jc w:val="both"/>
        <w:rPr>
          <w:rFonts w:ascii="Arial" w:hAnsi="Arial" w:cs="Arial"/>
        </w:rPr>
      </w:pPr>
      <w:r w:rsidRPr="0006120A">
        <w:rPr>
          <w:rFonts w:ascii="Arial" w:hAnsi="Arial" w:cs="Arial"/>
        </w:rPr>
        <w:t>I</w:t>
      </w:r>
      <w:r w:rsidRPr="0006120A" w:rsidR="00591479">
        <w:rPr>
          <w:rFonts w:ascii="Arial" w:hAnsi="Arial" w:cs="Arial"/>
        </w:rPr>
        <w:t>ndividual-level</w:t>
      </w:r>
      <w:r w:rsidR="001F70D5">
        <w:rPr>
          <w:rFonts w:ascii="Arial" w:hAnsi="Arial" w:cs="Arial"/>
        </w:rPr>
        <w:t xml:space="preserve"> and business-level</w:t>
      </w:r>
      <w:r w:rsidRPr="0006120A" w:rsidR="00591479">
        <w:rPr>
          <w:rFonts w:ascii="Arial" w:hAnsi="Arial" w:cs="Arial"/>
        </w:rPr>
        <w:t xml:space="preserve"> data </w:t>
      </w:r>
      <w:r w:rsidRPr="0006120A" w:rsidR="00C413A3">
        <w:rPr>
          <w:rFonts w:ascii="Arial" w:hAnsi="Arial" w:cs="Arial"/>
        </w:rPr>
        <w:t xml:space="preserve">will be </w:t>
      </w:r>
      <w:r w:rsidRPr="0006120A" w:rsidR="00591479">
        <w:rPr>
          <w:rFonts w:ascii="Arial" w:hAnsi="Arial" w:cs="Arial"/>
        </w:rPr>
        <w:t xml:space="preserve">provided only to </w:t>
      </w:r>
      <w:r w:rsidRPr="0006120A">
        <w:rPr>
          <w:rFonts w:ascii="Arial" w:hAnsi="Arial" w:cs="Arial"/>
        </w:rPr>
        <w:t>managing Program Directors, NSF senior management, and supporting</w:t>
      </w:r>
      <w:r w:rsidRPr="0006120A" w:rsidR="00591479">
        <w:rPr>
          <w:rFonts w:ascii="Arial" w:hAnsi="Arial" w:cs="Arial"/>
        </w:rPr>
        <w:t xml:space="preserve"> staff conducting </w:t>
      </w:r>
      <w:r w:rsidRPr="0006120A">
        <w:rPr>
          <w:rFonts w:ascii="Arial" w:hAnsi="Arial" w:cs="Arial"/>
        </w:rPr>
        <w:t>analyses</w:t>
      </w:r>
      <w:r w:rsidRPr="0006120A" w:rsidR="00591479">
        <w:rPr>
          <w:rFonts w:ascii="Arial" w:hAnsi="Arial" w:cs="Arial"/>
        </w:rPr>
        <w:t xml:space="preserve"> using the data as authorized by NSF. </w:t>
      </w:r>
      <w:r w:rsidRPr="0006120A">
        <w:rPr>
          <w:rFonts w:ascii="Arial" w:hAnsi="Arial" w:cs="Arial"/>
        </w:rPr>
        <w:t xml:space="preserve"> </w:t>
      </w:r>
      <w:r w:rsidRPr="0006120A" w:rsidR="00591479">
        <w:rPr>
          <w:rFonts w:ascii="Arial" w:hAnsi="Arial" w:cs="Arial"/>
        </w:rPr>
        <w:t>Any public reporti</w:t>
      </w:r>
      <w:r w:rsidRPr="0006120A" w:rsidR="005E4A96">
        <w:rPr>
          <w:rFonts w:ascii="Arial" w:hAnsi="Arial" w:cs="Arial"/>
        </w:rPr>
        <w:t xml:space="preserve">ng of data </w:t>
      </w:r>
      <w:r w:rsidRPr="0006120A" w:rsidR="00C413A3">
        <w:rPr>
          <w:rFonts w:ascii="Arial" w:hAnsi="Arial" w:cs="Arial"/>
        </w:rPr>
        <w:t>will be in</w:t>
      </w:r>
      <w:r w:rsidRPr="0006120A" w:rsidR="005E4A96">
        <w:rPr>
          <w:rFonts w:ascii="Arial" w:hAnsi="Arial" w:cs="Arial"/>
        </w:rPr>
        <w:t xml:space="preserve"> aggregate form, and all personal identifiers </w:t>
      </w:r>
      <w:r w:rsidRPr="0006120A" w:rsidR="00C413A3">
        <w:rPr>
          <w:rFonts w:ascii="Arial" w:hAnsi="Arial" w:cs="Arial"/>
        </w:rPr>
        <w:t xml:space="preserve">will be </w:t>
      </w:r>
      <w:r w:rsidRPr="0006120A" w:rsidR="005E4A96">
        <w:rPr>
          <w:rFonts w:ascii="Arial" w:hAnsi="Arial" w:cs="Arial"/>
        </w:rPr>
        <w:t>removed.</w:t>
      </w:r>
    </w:p>
    <w:p w:rsidR="001F70D5" w:rsidRPr="0006120A" w:rsidP="001F70D5" w14:paraId="71866B84" w14:textId="1AA46011">
      <w:pPr>
        <w:spacing w:after="0" w:line="240" w:lineRule="auto"/>
        <w:jc w:val="both"/>
        <w:rPr>
          <w:rFonts w:ascii="Arial" w:hAnsi="Arial" w:cs="Arial"/>
        </w:rPr>
      </w:pPr>
    </w:p>
    <w:p w:rsidR="00E96893" w:rsidRPr="001240AB" w:rsidP="001F70D5" w14:paraId="258697AA"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A.12 Estimates of Response Burden</w:t>
      </w:r>
    </w:p>
    <w:p w:rsidR="00294508" w:rsidRPr="001F70D5" w:rsidP="00294508" w14:paraId="6800EC17" w14:textId="77777777">
      <w:pPr>
        <w:pStyle w:val="Heading4"/>
        <w:spacing w:line="240" w:lineRule="auto"/>
        <w:rPr>
          <w:rFonts w:ascii="Arial" w:hAnsi="Arial" w:cs="Arial"/>
          <w:color w:val="1F497D" w:themeColor="text2"/>
        </w:rPr>
      </w:pPr>
      <w:r w:rsidRPr="001F70D5">
        <w:rPr>
          <w:rFonts w:ascii="Arial" w:hAnsi="Arial" w:cs="Arial"/>
          <w:color w:val="1F497D" w:themeColor="text2"/>
        </w:rPr>
        <w:t>A.12.1. Number of Respondents, Frequency of Response, and Annual Hour Burden</w:t>
      </w:r>
    </w:p>
    <w:p w:rsidR="00294508" w:rsidRPr="001F70D5" w:rsidP="00294508" w14:paraId="066E19CE" w14:textId="77777777">
      <w:pPr>
        <w:pStyle w:val="Heading3"/>
        <w:spacing w:before="160" w:beforeAutospacing="0" w:after="160" w:afterAutospacing="0"/>
        <w:rPr>
          <w:rFonts w:ascii="Arial" w:hAnsi="Arial" w:cs="Arial"/>
          <w:color w:val="4A442A" w:themeColor="background2" w:themeShade="40"/>
        </w:rPr>
      </w:pPr>
      <w:r w:rsidRPr="001F70D5">
        <w:rPr>
          <w:rStyle w:val="Strong"/>
          <w:rFonts w:ascii="Arial" w:hAnsi="Arial" w:cs="Arial"/>
          <w:b/>
          <w:bCs/>
          <w:color w:val="4A442A" w:themeColor="background2" w:themeShade="40"/>
        </w:rPr>
        <w:t>Table 1. Respondents, Responses, and Annual Hour Burden</w:t>
      </w:r>
    </w:p>
    <w:tbl>
      <w:tblPr>
        <w:tblStyle w:val="TableGrid"/>
        <w:tblW w:w="9468" w:type="dxa"/>
        <w:tblLook w:val="04A0"/>
      </w:tblPr>
      <w:tblGrid>
        <w:gridCol w:w="3754"/>
        <w:gridCol w:w="1737"/>
        <w:gridCol w:w="2363"/>
        <w:gridCol w:w="1614"/>
      </w:tblGrid>
      <w:tr w14:paraId="591C8E2D" w14:textId="77777777" w:rsidTr="00DB3BE6">
        <w:tblPrEx>
          <w:tblW w:w="9468" w:type="dxa"/>
          <w:tblLook w:val="04A0"/>
        </w:tblPrEx>
        <w:trPr>
          <w:trHeight w:val="791"/>
        </w:trPr>
        <w:tc>
          <w:tcPr>
            <w:tcW w:w="3754" w:type="dxa"/>
            <w:hideMark/>
          </w:tcPr>
          <w:p w:rsidR="00294508" w:rsidRPr="001F70D5" w:rsidP="00DB3BE6" w14:paraId="48E0B972" w14:textId="77777777">
            <w:pPr>
              <w:pStyle w:val="NormalWeb"/>
              <w:spacing w:after="0" w:afterAutospacing="0"/>
              <w:rPr>
                <w:rFonts w:ascii="Arial" w:hAnsi="Arial" w:cs="Arial"/>
                <w:color w:val="404040" w:themeColor="text1" w:themeTint="BF"/>
                <w:sz w:val="22"/>
                <w:szCs w:val="22"/>
              </w:rPr>
            </w:pPr>
            <w:r w:rsidRPr="001F70D5">
              <w:rPr>
                <w:rStyle w:val="Strong"/>
                <w:rFonts w:ascii="Arial" w:hAnsi="Arial" w:cs="Arial"/>
                <w:color w:val="404040" w:themeColor="text1" w:themeTint="BF"/>
                <w:sz w:val="22"/>
                <w:szCs w:val="22"/>
              </w:rPr>
              <w:t>Collection Title</w:t>
            </w:r>
          </w:p>
        </w:tc>
        <w:tc>
          <w:tcPr>
            <w:tcW w:w="1737" w:type="dxa"/>
            <w:hideMark/>
          </w:tcPr>
          <w:p w:rsidR="00294508" w:rsidRPr="001F70D5" w:rsidP="00DB3BE6" w14:paraId="70371A6F" w14:textId="77777777">
            <w:pPr>
              <w:pStyle w:val="NormalWeb"/>
              <w:spacing w:after="0" w:afterAutospacing="0"/>
              <w:rPr>
                <w:rFonts w:ascii="Arial" w:hAnsi="Arial" w:cs="Arial"/>
                <w:color w:val="404040" w:themeColor="text1" w:themeTint="BF"/>
                <w:sz w:val="22"/>
                <w:szCs w:val="22"/>
              </w:rPr>
            </w:pPr>
            <w:r w:rsidRPr="001F70D5">
              <w:rPr>
                <w:rStyle w:val="Strong"/>
                <w:rFonts w:ascii="Arial" w:hAnsi="Arial" w:cs="Arial"/>
                <w:color w:val="404040" w:themeColor="text1" w:themeTint="BF"/>
                <w:sz w:val="22"/>
                <w:szCs w:val="22"/>
              </w:rPr>
              <w:t>No. of Respondents</w:t>
            </w:r>
          </w:p>
        </w:tc>
        <w:tc>
          <w:tcPr>
            <w:tcW w:w="2363" w:type="dxa"/>
            <w:hideMark/>
          </w:tcPr>
          <w:p w:rsidR="00294508" w:rsidRPr="001F70D5" w:rsidP="00DB3BE6" w14:paraId="0CFE143B" w14:textId="77777777">
            <w:pPr>
              <w:pStyle w:val="NormalWeb"/>
              <w:spacing w:after="0" w:afterAutospacing="0"/>
              <w:rPr>
                <w:rFonts w:ascii="Arial" w:hAnsi="Arial" w:cs="Arial"/>
                <w:color w:val="404040" w:themeColor="text1" w:themeTint="BF"/>
                <w:sz w:val="22"/>
                <w:szCs w:val="22"/>
              </w:rPr>
            </w:pPr>
            <w:r w:rsidRPr="001F70D5">
              <w:rPr>
                <w:rStyle w:val="Strong"/>
                <w:rFonts w:ascii="Arial" w:hAnsi="Arial" w:cs="Arial"/>
                <w:color w:val="404040" w:themeColor="text1" w:themeTint="BF"/>
                <w:sz w:val="22"/>
                <w:szCs w:val="22"/>
              </w:rPr>
              <w:t>Annual No. of Hours/Respondent</w:t>
            </w:r>
          </w:p>
        </w:tc>
        <w:tc>
          <w:tcPr>
            <w:tcW w:w="1614" w:type="dxa"/>
            <w:hideMark/>
          </w:tcPr>
          <w:p w:rsidR="00294508" w:rsidRPr="001F70D5" w:rsidP="00DB3BE6" w14:paraId="0A5AD150" w14:textId="77777777">
            <w:pPr>
              <w:pStyle w:val="NormalWeb"/>
              <w:spacing w:after="0" w:afterAutospacing="0"/>
              <w:rPr>
                <w:rFonts w:ascii="Arial" w:hAnsi="Arial" w:cs="Arial"/>
                <w:color w:val="404040" w:themeColor="text1" w:themeTint="BF"/>
                <w:sz w:val="22"/>
                <w:szCs w:val="22"/>
              </w:rPr>
            </w:pPr>
            <w:r w:rsidRPr="001F70D5">
              <w:rPr>
                <w:rStyle w:val="Strong"/>
                <w:rFonts w:ascii="Arial" w:hAnsi="Arial" w:cs="Arial"/>
                <w:color w:val="404040" w:themeColor="text1" w:themeTint="BF"/>
                <w:sz w:val="22"/>
                <w:szCs w:val="22"/>
              </w:rPr>
              <w:t>Annual Hour Burden</w:t>
            </w:r>
          </w:p>
        </w:tc>
      </w:tr>
      <w:tr w14:paraId="047391F2" w14:textId="77777777" w:rsidTr="00DB3BE6">
        <w:tblPrEx>
          <w:tblW w:w="9468" w:type="dxa"/>
          <w:tblLook w:val="04A0"/>
        </w:tblPrEx>
        <w:tc>
          <w:tcPr>
            <w:tcW w:w="3754" w:type="dxa"/>
            <w:vAlign w:val="center"/>
          </w:tcPr>
          <w:p w:rsidR="00294508" w:rsidRPr="001F70D5" w:rsidP="00DB3BE6" w14:paraId="37874351" w14:textId="77777777">
            <w:pPr>
              <w:pStyle w:val="p1-standpara"/>
              <w:spacing w:before="0" w:beforeAutospacing="0" w:after="240" w:afterAutospacing="0"/>
              <w:rPr>
                <w:rFonts w:ascii="Arial" w:hAnsi="Arial" w:cs="Arial"/>
                <w:sz w:val="22"/>
                <w:szCs w:val="22"/>
              </w:rPr>
            </w:pPr>
            <w:r w:rsidRPr="001F70D5">
              <w:rPr>
                <w:rFonts w:ascii="Arial" w:hAnsi="Arial" w:cs="Arial"/>
                <w:i/>
                <w:iCs/>
                <w:sz w:val="22"/>
                <w:szCs w:val="22"/>
              </w:rPr>
              <w:t>Grantee Reporting Requirements for NSF SBIR/STTR Program</w:t>
            </w:r>
          </w:p>
        </w:tc>
        <w:tc>
          <w:tcPr>
            <w:tcW w:w="1737" w:type="dxa"/>
          </w:tcPr>
          <w:p w:rsidR="00294508" w:rsidRPr="001F70D5" w:rsidP="00DB3BE6" w14:paraId="5B2E54A3" w14:textId="77777777">
            <w:pPr>
              <w:pStyle w:val="NormalWeb"/>
              <w:rPr>
                <w:rFonts w:ascii="Arial" w:hAnsi="Arial" w:cs="Arial"/>
                <w:sz w:val="22"/>
                <w:szCs w:val="22"/>
              </w:rPr>
            </w:pPr>
            <w:r w:rsidRPr="006036B8">
              <w:rPr>
                <w:rFonts w:ascii="Arial" w:hAnsi="Arial" w:cs="Arial"/>
                <w:sz w:val="22"/>
                <w:szCs w:val="22"/>
              </w:rPr>
              <w:t>410</w:t>
            </w:r>
          </w:p>
        </w:tc>
        <w:tc>
          <w:tcPr>
            <w:tcW w:w="2363" w:type="dxa"/>
          </w:tcPr>
          <w:p w:rsidR="00294508" w:rsidRPr="001F70D5" w:rsidP="00DB3BE6" w14:paraId="1B71E5BB" w14:textId="77777777">
            <w:pPr>
              <w:pStyle w:val="NormalWeb"/>
              <w:rPr>
                <w:rFonts w:ascii="Arial" w:hAnsi="Arial" w:cs="Arial"/>
                <w:sz w:val="22"/>
                <w:szCs w:val="22"/>
              </w:rPr>
            </w:pPr>
            <w:r w:rsidRPr="001F70D5">
              <w:rPr>
                <w:rFonts w:ascii="Arial" w:hAnsi="Arial" w:cs="Arial"/>
                <w:sz w:val="22"/>
                <w:szCs w:val="22"/>
              </w:rPr>
              <w:t>1</w:t>
            </w:r>
            <w:r>
              <w:rPr>
                <w:rFonts w:ascii="Arial" w:hAnsi="Arial" w:cs="Arial"/>
                <w:sz w:val="22"/>
                <w:szCs w:val="22"/>
              </w:rPr>
              <w:t>8</w:t>
            </w:r>
          </w:p>
        </w:tc>
        <w:tc>
          <w:tcPr>
            <w:tcW w:w="1614" w:type="dxa"/>
          </w:tcPr>
          <w:p w:rsidR="00294508" w:rsidRPr="001F70D5" w:rsidP="00DB3BE6" w14:paraId="7B86FBB7" w14:textId="77777777">
            <w:pPr>
              <w:pStyle w:val="NormalWeb"/>
              <w:rPr>
                <w:rFonts w:ascii="Arial" w:hAnsi="Arial" w:cs="Arial"/>
                <w:sz w:val="22"/>
                <w:szCs w:val="22"/>
              </w:rPr>
            </w:pPr>
            <w:r>
              <w:rPr>
                <w:rFonts w:ascii="Arial" w:hAnsi="Arial" w:cs="Arial"/>
                <w:sz w:val="22"/>
                <w:szCs w:val="22"/>
              </w:rPr>
              <w:t>738</w:t>
            </w:r>
            <w:r w:rsidRPr="001F70D5">
              <w:rPr>
                <w:rFonts w:ascii="Arial" w:hAnsi="Arial" w:cs="Arial"/>
                <w:sz w:val="22"/>
                <w:szCs w:val="22"/>
              </w:rPr>
              <w:t>0</w:t>
            </w:r>
          </w:p>
        </w:tc>
      </w:tr>
      <w:tr w14:paraId="655C778C" w14:textId="77777777" w:rsidTr="00DB3BE6">
        <w:tblPrEx>
          <w:tblW w:w="9468" w:type="dxa"/>
          <w:tblLook w:val="04A0"/>
        </w:tblPrEx>
        <w:tc>
          <w:tcPr>
            <w:tcW w:w="3754" w:type="dxa"/>
          </w:tcPr>
          <w:p w:rsidR="00294508" w:rsidRPr="001F70D5" w:rsidP="00DB3BE6" w14:paraId="60B2AB22" w14:textId="77777777">
            <w:pPr>
              <w:pStyle w:val="p1-standpara"/>
              <w:spacing w:before="0" w:beforeAutospacing="0" w:after="240" w:afterAutospacing="0"/>
              <w:rPr>
                <w:rFonts w:ascii="Arial" w:hAnsi="Arial" w:cs="Arial"/>
                <w:sz w:val="22"/>
                <w:szCs w:val="22"/>
              </w:rPr>
            </w:pPr>
            <w:r w:rsidRPr="001F70D5">
              <w:rPr>
                <w:rStyle w:val="Strong"/>
                <w:rFonts w:ascii="Arial" w:hAnsi="Arial" w:cs="Arial"/>
                <w:sz w:val="22"/>
                <w:szCs w:val="22"/>
              </w:rPr>
              <w:t>Total</w:t>
            </w:r>
          </w:p>
        </w:tc>
        <w:tc>
          <w:tcPr>
            <w:tcW w:w="1737" w:type="dxa"/>
          </w:tcPr>
          <w:p w:rsidR="00294508" w:rsidRPr="001F70D5" w:rsidP="00DB3BE6" w14:paraId="415C165C" w14:textId="77777777">
            <w:pPr>
              <w:pStyle w:val="NormalWeb"/>
              <w:spacing w:after="240" w:afterAutospacing="0"/>
              <w:rPr>
                <w:rFonts w:ascii="Arial" w:hAnsi="Arial" w:cs="Arial"/>
                <w:sz w:val="22"/>
                <w:szCs w:val="22"/>
              </w:rPr>
            </w:pPr>
            <w:r>
              <w:rPr>
                <w:rFonts w:ascii="Arial" w:hAnsi="Arial" w:cs="Arial"/>
                <w:sz w:val="22"/>
                <w:szCs w:val="22"/>
              </w:rPr>
              <w:t>410</w:t>
            </w:r>
          </w:p>
        </w:tc>
        <w:tc>
          <w:tcPr>
            <w:tcW w:w="2363" w:type="dxa"/>
          </w:tcPr>
          <w:p w:rsidR="00294508" w:rsidRPr="001F70D5" w:rsidP="00DB3BE6" w14:paraId="04D2AD8E" w14:textId="77777777">
            <w:pPr>
              <w:pStyle w:val="NormalWeb"/>
              <w:spacing w:after="240" w:afterAutospacing="0"/>
              <w:rPr>
                <w:rFonts w:ascii="Arial" w:hAnsi="Arial" w:cs="Arial"/>
                <w:sz w:val="22"/>
                <w:szCs w:val="22"/>
              </w:rPr>
            </w:pPr>
            <w:r w:rsidRPr="001F70D5">
              <w:rPr>
                <w:rFonts w:ascii="Arial" w:hAnsi="Arial" w:cs="Arial"/>
                <w:sz w:val="22"/>
                <w:szCs w:val="22"/>
              </w:rPr>
              <w:t>1</w:t>
            </w:r>
            <w:r>
              <w:rPr>
                <w:rFonts w:ascii="Arial" w:hAnsi="Arial" w:cs="Arial"/>
                <w:sz w:val="22"/>
                <w:szCs w:val="22"/>
              </w:rPr>
              <w:t>8</w:t>
            </w:r>
          </w:p>
        </w:tc>
        <w:tc>
          <w:tcPr>
            <w:tcW w:w="1614" w:type="dxa"/>
          </w:tcPr>
          <w:p w:rsidR="00294508" w:rsidRPr="001F70D5" w:rsidP="00DB3BE6" w14:paraId="2158C3CE" w14:textId="77777777">
            <w:pPr>
              <w:pStyle w:val="NormalWeb"/>
              <w:rPr>
                <w:rFonts w:ascii="Arial" w:hAnsi="Arial" w:cs="Arial"/>
                <w:sz w:val="22"/>
                <w:szCs w:val="22"/>
              </w:rPr>
            </w:pPr>
            <w:r>
              <w:rPr>
                <w:rFonts w:ascii="Arial" w:hAnsi="Arial" w:cs="Arial"/>
                <w:sz w:val="22"/>
                <w:szCs w:val="22"/>
              </w:rPr>
              <w:t>738</w:t>
            </w:r>
            <w:r w:rsidRPr="001F70D5">
              <w:rPr>
                <w:rFonts w:ascii="Arial" w:hAnsi="Arial" w:cs="Arial"/>
                <w:sz w:val="22"/>
                <w:szCs w:val="22"/>
              </w:rPr>
              <w:t>0</w:t>
            </w:r>
          </w:p>
        </w:tc>
      </w:tr>
    </w:tbl>
    <w:p w:rsidR="00294508" w:rsidP="00294508" w14:paraId="27631B2A" w14:textId="77777777">
      <w:pPr>
        <w:pStyle w:val="NormalWeb"/>
        <w:spacing w:before="0" w:beforeAutospacing="0" w:after="0" w:afterAutospacing="0"/>
        <w:jc w:val="both"/>
        <w:rPr>
          <w:rFonts w:ascii="Arial" w:hAnsi="Arial" w:cs="Arial"/>
          <w:sz w:val="22"/>
          <w:szCs w:val="22"/>
        </w:rPr>
      </w:pPr>
    </w:p>
    <w:p w:rsidR="00294508" w:rsidRPr="004D56F3" w:rsidP="00294508" w14:paraId="2015E3EA" w14:textId="77777777">
      <w:pPr>
        <w:pStyle w:val="NormalWeb"/>
        <w:spacing w:before="0" w:beforeAutospacing="0" w:after="120" w:afterAutospacing="0"/>
        <w:jc w:val="both"/>
        <w:rPr>
          <w:rFonts w:ascii="Arial" w:hAnsi="Arial" w:cs="Arial"/>
          <w:sz w:val="22"/>
          <w:szCs w:val="22"/>
        </w:rPr>
      </w:pPr>
      <w:r w:rsidRPr="00B00796">
        <w:rPr>
          <w:rFonts w:ascii="Arial" w:hAnsi="Arial" w:cs="Arial"/>
          <w:sz w:val="22"/>
          <w:szCs w:val="22"/>
        </w:rPr>
        <w:t xml:space="preserve">As shown in Table 1 above, the annual response burden for the collections under this request is </w:t>
      </w:r>
      <w:r>
        <w:rPr>
          <w:rFonts w:ascii="Arial" w:hAnsi="Arial" w:cs="Arial"/>
          <w:sz w:val="22"/>
          <w:szCs w:val="22"/>
        </w:rPr>
        <w:t>7,38</w:t>
      </w:r>
      <w:r w:rsidRPr="00B00796">
        <w:rPr>
          <w:rFonts w:ascii="Arial" w:hAnsi="Arial" w:cs="Arial"/>
          <w:sz w:val="22"/>
          <w:szCs w:val="22"/>
        </w:rPr>
        <w:t xml:space="preserve">0 hours.  </w:t>
      </w:r>
      <w:r>
        <w:rPr>
          <w:rFonts w:ascii="Arial" w:hAnsi="Arial" w:cs="Arial"/>
          <w:sz w:val="22"/>
          <w:szCs w:val="22"/>
        </w:rPr>
        <w:t xml:space="preserve"> </w:t>
      </w:r>
      <w:r w:rsidRPr="00B00796">
        <w:rPr>
          <w:rFonts w:ascii="Arial" w:hAnsi="Arial" w:cs="Arial"/>
          <w:sz w:val="22"/>
          <w:szCs w:val="22"/>
        </w:rPr>
        <w:t xml:space="preserve">For life-of-award monitoring, the data collection burden to awardees will be limited to no more than </w:t>
      </w:r>
      <w:r>
        <w:rPr>
          <w:rFonts w:ascii="Arial" w:hAnsi="Arial" w:cs="Arial"/>
          <w:sz w:val="22"/>
          <w:szCs w:val="22"/>
        </w:rPr>
        <w:t>9</w:t>
      </w:r>
      <w:r w:rsidRPr="00B00796">
        <w:rPr>
          <w:rFonts w:ascii="Arial" w:hAnsi="Arial" w:cs="Arial"/>
          <w:sz w:val="22"/>
          <w:szCs w:val="22"/>
        </w:rPr>
        <w:t xml:space="preserve"> hours of the respondents’ time in each instance</w:t>
      </w:r>
      <w:r>
        <w:rPr>
          <w:rFonts w:ascii="Arial" w:hAnsi="Arial" w:cs="Arial"/>
          <w:sz w:val="22"/>
          <w:szCs w:val="22"/>
        </w:rPr>
        <w:t xml:space="preserve"> </w:t>
      </w:r>
      <w:r w:rsidRPr="00B00796">
        <w:rPr>
          <w:rFonts w:ascii="Arial" w:hAnsi="Arial" w:cs="Arial"/>
          <w:sz w:val="22"/>
          <w:szCs w:val="22"/>
        </w:rPr>
        <w:t xml:space="preserve">but will most likely be an average of </w:t>
      </w:r>
      <w:r>
        <w:rPr>
          <w:rFonts w:ascii="Arial" w:hAnsi="Arial" w:cs="Arial"/>
          <w:sz w:val="22"/>
          <w:szCs w:val="22"/>
        </w:rPr>
        <w:t>5</w:t>
      </w:r>
      <w:r w:rsidRPr="00B00796">
        <w:rPr>
          <w:rFonts w:ascii="Arial" w:hAnsi="Arial" w:cs="Arial"/>
          <w:sz w:val="22"/>
          <w:szCs w:val="22"/>
        </w:rPr>
        <w:t>-</w:t>
      </w:r>
      <w:r>
        <w:rPr>
          <w:rFonts w:ascii="Arial" w:hAnsi="Arial" w:cs="Arial"/>
          <w:sz w:val="22"/>
          <w:szCs w:val="22"/>
        </w:rPr>
        <w:t>7</w:t>
      </w:r>
      <w:r w:rsidRPr="00B00796">
        <w:rPr>
          <w:rFonts w:ascii="Arial" w:hAnsi="Arial" w:cs="Arial"/>
          <w:sz w:val="22"/>
          <w:szCs w:val="22"/>
        </w:rPr>
        <w:t xml:space="preserve"> hours of the respondents’ time in each instance.</w:t>
      </w:r>
      <w:r>
        <w:rPr>
          <w:rFonts w:ascii="Arial" w:hAnsi="Arial" w:cs="Arial"/>
          <w:sz w:val="22"/>
          <w:szCs w:val="22"/>
        </w:rPr>
        <w:t xml:space="preserve"> </w:t>
      </w:r>
      <w:r w:rsidRPr="00B00796">
        <w:rPr>
          <w:rFonts w:ascii="Arial" w:hAnsi="Arial" w:cs="Arial"/>
          <w:sz w:val="22"/>
          <w:szCs w:val="22"/>
        </w:rPr>
        <w:t>The r</w:t>
      </w:r>
      <w:r w:rsidRPr="00B00796">
        <w:rPr>
          <w:rFonts w:ascii="Arial" w:hAnsi="Arial" w:cs="Arial"/>
          <w:color w:val="000000"/>
          <w:sz w:val="22"/>
          <w:szCs w:val="22"/>
        </w:rPr>
        <w:t xml:space="preserve">espondents are Principal Investigators (PIs) of the awards and/or founders, co-founders, or other key personnel of the businesses. </w:t>
      </w:r>
    </w:p>
    <w:p w:rsidR="003B2BD5" w:rsidRPr="00B00796" w:rsidP="00B00796" w14:paraId="1F554759" w14:textId="77777777">
      <w:pPr>
        <w:pStyle w:val="NormalWeb"/>
        <w:spacing w:before="0" w:beforeAutospacing="0" w:after="0" w:afterAutospacing="0"/>
        <w:jc w:val="both"/>
        <w:rPr>
          <w:rFonts w:ascii="Arial" w:hAnsi="Arial" w:cs="Arial"/>
          <w:color w:val="000000"/>
          <w:sz w:val="22"/>
          <w:szCs w:val="22"/>
        </w:rPr>
      </w:pPr>
    </w:p>
    <w:p w:rsidR="00E24A3C" w:rsidRPr="003B2BD5" w:rsidP="00E24A3C" w14:paraId="4D91A4AD" w14:textId="77777777">
      <w:pPr>
        <w:pStyle w:val="Heading4"/>
        <w:spacing w:before="0" w:after="120" w:line="240" w:lineRule="auto"/>
        <w:rPr>
          <w:rFonts w:ascii="Arial" w:hAnsi="Arial" w:cs="Arial"/>
          <w:color w:val="1F497D" w:themeColor="text2"/>
        </w:rPr>
      </w:pPr>
      <w:r w:rsidRPr="003B2BD5">
        <w:rPr>
          <w:rFonts w:ascii="Arial" w:hAnsi="Arial" w:cs="Arial"/>
          <w:color w:val="1F497D" w:themeColor="text2"/>
        </w:rPr>
        <w:t>A.12.2. Estimates of Annualized Cost to Respondents for the Hour Burdens</w:t>
      </w:r>
    </w:p>
    <w:p w:rsidR="00E24A3C" w:rsidRPr="003B2BD5" w:rsidP="00E24A3C" w14:paraId="6767688C" w14:textId="77777777">
      <w:pPr>
        <w:pStyle w:val="p1-standpara"/>
        <w:spacing w:before="0" w:beforeAutospacing="0" w:after="0" w:afterAutospacing="0"/>
        <w:rPr>
          <w:rFonts w:ascii="Arial" w:hAnsi="Arial" w:cs="Arial"/>
          <w:color w:val="1F497D"/>
          <w:sz w:val="22"/>
          <w:szCs w:val="22"/>
        </w:rPr>
      </w:pPr>
      <w:r w:rsidRPr="003B2BD5">
        <w:rPr>
          <w:rFonts w:ascii="Arial" w:hAnsi="Arial" w:cs="Arial"/>
          <w:color w:val="000000"/>
          <w:sz w:val="22"/>
          <w:szCs w:val="22"/>
        </w:rPr>
        <w:t xml:space="preserve">The following table shows the annualized estimate of costs to PI/Founder/Co-Founder/Business Partner respondents, who are generally university professors. </w:t>
      </w:r>
      <w:r w:rsidRPr="003B2BD5">
        <w:rPr>
          <w:rFonts w:ascii="Arial" w:hAnsi="Arial" w:cs="Arial"/>
          <w:sz w:val="22"/>
          <w:szCs w:val="22"/>
        </w:rPr>
        <w:t>This estimated hourly rate is based on a report from the American Association of University Professors, “</w:t>
      </w:r>
      <w:hyperlink r:id="rId12" w:history="1">
        <w:r>
          <w:rPr>
            <w:rStyle w:val="Hyperlink"/>
            <w:rFonts w:ascii="Arial" w:hAnsi="Arial" w:cs="Arial"/>
            <w:sz w:val="22"/>
            <w:szCs w:val="22"/>
          </w:rPr>
          <w:t>The Annual Report on the Economic Status of the Profession, 2022-23</w:t>
        </w:r>
      </w:hyperlink>
      <w:r w:rsidRPr="003B2BD5">
        <w:rPr>
          <w:rFonts w:ascii="Arial" w:hAnsi="Arial" w:cs="Arial"/>
          <w:sz w:val="22"/>
          <w:szCs w:val="22"/>
        </w:rPr>
        <w:t>”, Survey Report Table 1.</w:t>
      </w:r>
      <w:r w:rsidRPr="003B2BD5">
        <w:rPr>
          <w:rFonts w:ascii="Arial" w:hAnsi="Arial" w:cs="Arial"/>
          <w:color w:val="1F497D"/>
          <w:sz w:val="22"/>
          <w:szCs w:val="22"/>
        </w:rPr>
        <w:t xml:space="preserve"> </w:t>
      </w:r>
    </w:p>
    <w:p w:rsidR="00E24A3C" w:rsidRPr="003B2BD5" w:rsidP="00E24A3C" w14:paraId="0522ABB0" w14:textId="77777777">
      <w:pPr>
        <w:pStyle w:val="p1-standpara"/>
        <w:spacing w:before="0" w:beforeAutospacing="0" w:after="0" w:afterAutospacing="0"/>
        <w:rPr>
          <w:rFonts w:ascii="Arial" w:hAnsi="Arial" w:cs="Arial"/>
          <w:color w:val="1F497D"/>
          <w:sz w:val="22"/>
          <w:szCs w:val="22"/>
        </w:rPr>
      </w:pPr>
    </w:p>
    <w:p w:rsidR="00E24A3C" w:rsidRPr="003B2BD5" w:rsidP="00E24A3C" w14:paraId="1E2136D6" w14:textId="77777777">
      <w:pPr>
        <w:pStyle w:val="p1-standpara"/>
        <w:spacing w:before="0" w:beforeAutospacing="0" w:after="120" w:afterAutospacing="0"/>
        <w:rPr>
          <w:rFonts w:ascii="Arial" w:hAnsi="Arial" w:cs="Arial"/>
          <w:sz w:val="22"/>
          <w:szCs w:val="22"/>
        </w:rPr>
      </w:pPr>
      <w:r w:rsidRPr="003B2BD5">
        <w:rPr>
          <w:rFonts w:ascii="Arial" w:hAnsi="Arial" w:cs="Arial"/>
          <w:sz w:val="22"/>
          <w:szCs w:val="22"/>
        </w:rPr>
        <w:t>According to this report, the average salary of an associate professor across all types of doctoral-granting institutions (public, private-independent, religiously affiliated) was $1</w:t>
      </w:r>
      <w:r>
        <w:rPr>
          <w:rFonts w:ascii="Arial" w:hAnsi="Arial" w:cs="Arial"/>
          <w:sz w:val="22"/>
          <w:szCs w:val="22"/>
        </w:rPr>
        <w:t>10,945</w:t>
      </w:r>
      <w:r w:rsidRPr="003B2BD5">
        <w:rPr>
          <w:rFonts w:ascii="Arial" w:hAnsi="Arial" w:cs="Arial"/>
          <w:sz w:val="22"/>
          <w:szCs w:val="22"/>
        </w:rPr>
        <w:t>.   When divided by the number of standard annual work hours (2,080), this calculates to approximately $</w:t>
      </w:r>
      <w:r>
        <w:rPr>
          <w:rFonts w:ascii="Arial" w:hAnsi="Arial" w:cs="Arial"/>
          <w:sz w:val="22"/>
          <w:szCs w:val="22"/>
        </w:rPr>
        <w:t>53</w:t>
      </w:r>
      <w:r w:rsidRPr="003B2BD5">
        <w:rPr>
          <w:rFonts w:ascii="Arial" w:hAnsi="Arial" w:cs="Arial"/>
          <w:sz w:val="22"/>
          <w:szCs w:val="22"/>
        </w:rPr>
        <w:t xml:space="preserve"> per hour.</w:t>
      </w:r>
    </w:p>
    <w:p w:rsidR="00E24A3C" w:rsidRPr="003B2BD5" w:rsidP="00E24A3C" w14:paraId="7B41768C" w14:textId="77777777">
      <w:pPr>
        <w:pStyle w:val="Heading3"/>
        <w:spacing w:after="160" w:afterAutospacing="0"/>
        <w:rPr>
          <w:rFonts w:ascii="Arial" w:hAnsi="Arial" w:cs="Arial"/>
          <w:color w:val="4A442A" w:themeColor="background2" w:themeShade="40"/>
        </w:rPr>
      </w:pPr>
      <w:r w:rsidRPr="003B2BD5">
        <w:rPr>
          <w:rStyle w:val="Strong"/>
          <w:rFonts w:ascii="Arial" w:hAnsi="Arial" w:cs="Arial"/>
          <w:b/>
          <w:bCs/>
          <w:color w:val="4A442A" w:themeColor="background2" w:themeShade="40"/>
        </w:rPr>
        <w:t>Table 2. Annuitized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9"/>
        <w:gridCol w:w="1610"/>
        <w:gridCol w:w="1626"/>
        <w:gridCol w:w="1530"/>
        <w:gridCol w:w="1434"/>
      </w:tblGrid>
      <w:tr w14:paraId="0CD4E092" w14:textId="77777777" w:rsidTr="00DB3BE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E24A3C" w:rsidRPr="003B2BD5" w:rsidP="00DB3BE6" w14:paraId="196DCBA7"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Respondent Type</w:t>
            </w:r>
          </w:p>
        </w:tc>
        <w:tc>
          <w:tcPr>
            <w:tcW w:w="1610" w:type="dxa"/>
            <w:tcMar>
              <w:top w:w="0" w:type="dxa"/>
              <w:left w:w="108" w:type="dxa"/>
              <w:bottom w:w="0" w:type="dxa"/>
              <w:right w:w="108" w:type="dxa"/>
            </w:tcMar>
            <w:vAlign w:val="center"/>
            <w:hideMark/>
          </w:tcPr>
          <w:p w:rsidR="00E24A3C" w:rsidRPr="003B2BD5" w:rsidP="00DB3BE6" w14:paraId="242A83A3"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 xml:space="preserve">No. of Respondents </w:t>
            </w:r>
          </w:p>
        </w:tc>
        <w:tc>
          <w:tcPr>
            <w:tcW w:w="1626" w:type="dxa"/>
            <w:tcMar>
              <w:top w:w="0" w:type="dxa"/>
              <w:left w:w="108" w:type="dxa"/>
              <w:bottom w:w="0" w:type="dxa"/>
              <w:right w:w="108" w:type="dxa"/>
            </w:tcMar>
            <w:vAlign w:val="center"/>
            <w:hideMark/>
          </w:tcPr>
          <w:p w:rsidR="00E24A3C" w:rsidRPr="003B2BD5" w:rsidP="00DB3BE6" w14:paraId="0E08C003"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Total Burden Hours</w:t>
            </w:r>
          </w:p>
        </w:tc>
        <w:tc>
          <w:tcPr>
            <w:tcW w:w="1530" w:type="dxa"/>
            <w:tcMar>
              <w:top w:w="0" w:type="dxa"/>
              <w:left w:w="108" w:type="dxa"/>
              <w:bottom w:w="0" w:type="dxa"/>
              <w:right w:w="108" w:type="dxa"/>
            </w:tcMar>
            <w:vAlign w:val="center"/>
            <w:hideMark/>
          </w:tcPr>
          <w:p w:rsidR="00E24A3C" w:rsidRPr="003B2BD5" w:rsidP="00DB3BE6" w14:paraId="00BAE49F"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Average Hourly Rate</w:t>
            </w:r>
          </w:p>
        </w:tc>
        <w:tc>
          <w:tcPr>
            <w:tcW w:w="1434" w:type="dxa"/>
            <w:tcMar>
              <w:top w:w="0" w:type="dxa"/>
              <w:left w:w="108" w:type="dxa"/>
              <w:bottom w:w="0" w:type="dxa"/>
              <w:right w:w="108" w:type="dxa"/>
            </w:tcMar>
            <w:vAlign w:val="center"/>
            <w:hideMark/>
          </w:tcPr>
          <w:p w:rsidR="00E24A3C" w:rsidRPr="003B2BD5" w:rsidP="00DB3BE6" w14:paraId="1CE15DB6"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Estimated Annual Cost</w:t>
            </w:r>
          </w:p>
        </w:tc>
      </w:tr>
      <w:tr w14:paraId="5B9DE0E4" w14:textId="77777777" w:rsidTr="00DB3BE6">
        <w:tblPrEx>
          <w:tblW w:w="0" w:type="auto"/>
          <w:jc w:val="center"/>
          <w:tblLayout w:type="fixed"/>
          <w:tblCellMar>
            <w:left w:w="0" w:type="dxa"/>
            <w:right w:w="0" w:type="dxa"/>
          </w:tblCellMar>
          <w:tblLook w:val="04A0"/>
        </w:tblPrEx>
        <w:trPr>
          <w:jc w:val="center"/>
        </w:trPr>
        <w:tc>
          <w:tcPr>
            <w:tcW w:w="3149" w:type="dxa"/>
            <w:tcMar>
              <w:top w:w="0" w:type="dxa"/>
              <w:left w:w="108" w:type="dxa"/>
              <w:bottom w:w="0" w:type="dxa"/>
              <w:right w:w="108" w:type="dxa"/>
            </w:tcMar>
            <w:hideMark/>
          </w:tcPr>
          <w:p w:rsidR="00E24A3C" w:rsidRPr="003B2BD5" w:rsidP="00DB3BE6" w14:paraId="5DB7EAA9" w14:textId="77777777">
            <w:pPr>
              <w:spacing w:before="100" w:beforeAutospacing="1" w:after="100" w:afterAutospacing="1" w:line="240" w:lineRule="auto"/>
              <w:rPr>
                <w:rFonts w:ascii="Arial" w:eastAsia="Times New Roman" w:hAnsi="Arial" w:cs="Arial"/>
              </w:rPr>
            </w:pPr>
            <w:r w:rsidRPr="003B2BD5">
              <w:rPr>
                <w:rFonts w:ascii="Arial" w:eastAsia="Times New Roman" w:hAnsi="Arial" w:cs="Arial"/>
                <w:color w:val="000000"/>
              </w:rPr>
              <w:t>PIs, (co-) Founders, Assignees, Business Partners</w:t>
            </w:r>
          </w:p>
        </w:tc>
        <w:tc>
          <w:tcPr>
            <w:tcW w:w="1610" w:type="dxa"/>
            <w:tcMar>
              <w:top w:w="0" w:type="dxa"/>
              <w:left w:w="108" w:type="dxa"/>
              <w:bottom w:w="0" w:type="dxa"/>
              <w:right w:w="108" w:type="dxa"/>
            </w:tcMar>
            <w:vAlign w:val="center"/>
          </w:tcPr>
          <w:p w:rsidR="00E24A3C" w:rsidRPr="003B2BD5" w:rsidP="00DB3BE6" w14:paraId="73B23EA1" w14:textId="77777777">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41</w:t>
            </w:r>
            <w:r w:rsidRPr="003B2BD5">
              <w:rPr>
                <w:rFonts w:ascii="Arial" w:eastAsia="Times New Roman" w:hAnsi="Arial" w:cs="Arial"/>
              </w:rPr>
              <w:t>0</w:t>
            </w:r>
          </w:p>
        </w:tc>
        <w:tc>
          <w:tcPr>
            <w:tcW w:w="1626" w:type="dxa"/>
            <w:tcMar>
              <w:top w:w="0" w:type="dxa"/>
              <w:left w:w="108" w:type="dxa"/>
              <w:bottom w:w="0" w:type="dxa"/>
              <w:right w:w="108" w:type="dxa"/>
            </w:tcMar>
            <w:vAlign w:val="center"/>
            <w:hideMark/>
          </w:tcPr>
          <w:p w:rsidR="00E24A3C" w:rsidRPr="003B2BD5" w:rsidP="00DB3BE6" w14:paraId="181997EF" w14:textId="77777777">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7380</w:t>
            </w:r>
          </w:p>
        </w:tc>
        <w:tc>
          <w:tcPr>
            <w:tcW w:w="1530" w:type="dxa"/>
            <w:tcMar>
              <w:top w:w="0" w:type="dxa"/>
              <w:left w:w="108" w:type="dxa"/>
              <w:bottom w:w="0" w:type="dxa"/>
              <w:right w:w="108" w:type="dxa"/>
            </w:tcMar>
            <w:vAlign w:val="center"/>
            <w:hideMark/>
          </w:tcPr>
          <w:p w:rsidR="00E24A3C" w:rsidRPr="003B2BD5" w:rsidP="00DB3BE6" w14:paraId="28E65F9A" w14:textId="77777777">
            <w:pPr>
              <w:spacing w:before="100" w:beforeAutospacing="1" w:after="100" w:afterAutospacing="1" w:line="240" w:lineRule="auto"/>
              <w:rPr>
                <w:rFonts w:ascii="Arial" w:eastAsia="Times New Roman" w:hAnsi="Arial" w:cs="Arial"/>
              </w:rPr>
            </w:pPr>
            <w:r w:rsidRPr="003B2BD5">
              <w:rPr>
                <w:rFonts w:ascii="Arial" w:eastAsia="Times New Roman" w:hAnsi="Arial" w:cs="Arial"/>
                <w:color w:val="000000"/>
              </w:rPr>
              <w:t>$</w:t>
            </w:r>
            <w:r>
              <w:rPr>
                <w:rFonts w:ascii="Arial" w:eastAsia="Times New Roman" w:hAnsi="Arial" w:cs="Arial"/>
                <w:color w:val="000000"/>
              </w:rPr>
              <w:t>53</w:t>
            </w:r>
          </w:p>
        </w:tc>
        <w:tc>
          <w:tcPr>
            <w:tcW w:w="1434" w:type="dxa"/>
            <w:tcMar>
              <w:top w:w="0" w:type="dxa"/>
              <w:left w:w="108" w:type="dxa"/>
              <w:bottom w:w="0" w:type="dxa"/>
              <w:right w:w="108" w:type="dxa"/>
            </w:tcMar>
            <w:vAlign w:val="center"/>
            <w:hideMark/>
          </w:tcPr>
          <w:p w:rsidR="00E24A3C" w:rsidRPr="003B2BD5" w:rsidP="00DB3BE6" w14:paraId="28EE5E21" w14:textId="77777777">
            <w:pPr>
              <w:spacing w:before="100" w:beforeAutospacing="1" w:after="100" w:afterAutospacing="1" w:line="240" w:lineRule="auto"/>
              <w:rPr>
                <w:rFonts w:ascii="Arial" w:eastAsia="Times New Roman" w:hAnsi="Arial" w:cs="Arial"/>
                <w:highlight w:val="yellow"/>
              </w:rPr>
            </w:pPr>
            <w:r w:rsidRPr="003B2BD5">
              <w:rPr>
                <w:rFonts w:ascii="Arial" w:eastAsia="Times New Roman" w:hAnsi="Arial" w:cs="Arial"/>
              </w:rPr>
              <w:t>$</w:t>
            </w:r>
            <w:r>
              <w:rPr>
                <w:rFonts w:ascii="Arial" w:eastAsia="Times New Roman" w:hAnsi="Arial" w:cs="Arial"/>
              </w:rPr>
              <w:t>391</w:t>
            </w:r>
            <w:r w:rsidRPr="003B2BD5">
              <w:rPr>
                <w:rFonts w:ascii="Arial" w:eastAsia="Times New Roman" w:hAnsi="Arial" w:cs="Arial"/>
              </w:rPr>
              <w:t>,</w:t>
            </w:r>
            <w:r>
              <w:rPr>
                <w:rFonts w:ascii="Arial" w:eastAsia="Times New Roman" w:hAnsi="Arial" w:cs="Arial"/>
              </w:rPr>
              <w:t>14</w:t>
            </w:r>
            <w:r w:rsidRPr="003B2BD5">
              <w:rPr>
                <w:rFonts w:ascii="Arial" w:eastAsia="Times New Roman" w:hAnsi="Arial" w:cs="Arial"/>
              </w:rPr>
              <w:t>0</w:t>
            </w:r>
          </w:p>
        </w:tc>
      </w:tr>
    </w:tbl>
    <w:p w:rsidR="003A70BA" w:rsidP="004D56F3" w14:paraId="5B8F3A43" w14:textId="77777777">
      <w:pPr>
        <w:pStyle w:val="Heading3"/>
        <w:spacing w:before="400" w:beforeAutospacing="0" w:after="120" w:afterAutospacing="0"/>
        <w:jc w:val="both"/>
        <w:rPr>
          <w:rFonts w:ascii="Arial" w:hAnsi="Arial" w:cs="Arial"/>
          <w:sz w:val="24"/>
          <w:szCs w:val="24"/>
        </w:rPr>
      </w:pPr>
    </w:p>
    <w:p w:rsidR="00E96893" w:rsidRPr="002D168F" w:rsidP="003A70BA" w14:paraId="1B7649F1" w14:textId="1272DCD9">
      <w:pPr>
        <w:pStyle w:val="Heading3"/>
        <w:spacing w:before="0" w:beforeAutospacing="0" w:after="120" w:afterAutospacing="0"/>
        <w:jc w:val="both"/>
        <w:rPr>
          <w:rFonts w:ascii="Arial" w:hAnsi="Arial" w:cs="Arial"/>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 xml:space="preserve">peration and Maintenance </w:t>
      </w:r>
      <w:r w:rsidRPr="002D168F">
        <w:rPr>
          <w:rFonts w:ascii="Arial" w:hAnsi="Arial" w:cs="Arial"/>
          <w:sz w:val="24"/>
          <w:szCs w:val="24"/>
        </w:rPr>
        <w:t>Costs to Respondents or Record Keepers</w:t>
      </w:r>
    </w:p>
    <w:p w:rsidR="002D168F" w:rsidP="004D56F3" w14:paraId="190FAE3B" w14:textId="7AAEB4B4">
      <w:pPr>
        <w:spacing w:after="120" w:line="240" w:lineRule="auto"/>
        <w:rPr>
          <w:rFonts w:ascii="Arial" w:hAnsi="Arial" w:cs="Arial"/>
        </w:rPr>
      </w:pPr>
      <w:r w:rsidRPr="002D168F">
        <w:rPr>
          <w:rFonts w:ascii="Arial" w:hAnsi="Arial" w:cs="Arial"/>
        </w:rPr>
        <w:t>Not applicable</w:t>
      </w:r>
      <w:r w:rsidRPr="002D168F" w:rsidR="00FB074A">
        <w:rPr>
          <w:rFonts w:ascii="Arial" w:hAnsi="Arial" w:cs="Arial"/>
        </w:rPr>
        <w:t>.</w:t>
      </w:r>
    </w:p>
    <w:p w:rsidR="004D56F3" w:rsidP="004D56F3" w14:paraId="01B9E174" w14:textId="59FF48FA">
      <w:pPr>
        <w:spacing w:after="0" w:line="240" w:lineRule="auto"/>
        <w:rPr>
          <w:rFonts w:ascii="Arial" w:hAnsi="Arial" w:cs="Arial"/>
        </w:rPr>
      </w:pPr>
    </w:p>
    <w:p w:rsidR="003A70BA" w:rsidRPr="004D56F3" w:rsidP="004D56F3" w14:paraId="6EC63830" w14:textId="77777777">
      <w:pPr>
        <w:spacing w:after="0" w:line="240" w:lineRule="auto"/>
        <w:rPr>
          <w:rFonts w:ascii="Arial" w:hAnsi="Arial" w:cs="Arial"/>
        </w:rPr>
      </w:pPr>
    </w:p>
    <w:p w:rsidR="00BD3022" w:rsidP="002D168F" w14:paraId="3CF801C5" w14:textId="7A288705">
      <w:pPr>
        <w:pStyle w:val="Heading3"/>
        <w:spacing w:before="0" w:beforeAutospacing="0" w:after="120" w:afterAutospacing="0"/>
        <w:rPr>
          <w:rFonts w:ascii="Arial" w:hAnsi="Arial" w:cs="Arial"/>
          <w:sz w:val="24"/>
          <w:szCs w:val="24"/>
        </w:rPr>
      </w:pPr>
      <w:r w:rsidRPr="001240AB">
        <w:rPr>
          <w:rFonts w:ascii="Arial" w:hAnsi="Arial" w:cs="Arial"/>
          <w:sz w:val="24"/>
          <w:szCs w:val="24"/>
        </w:rPr>
        <w:t>A.14 Estimates of Costs to the Federal Government</w:t>
      </w:r>
    </w:p>
    <w:p w:rsidR="00016178" w:rsidRPr="002D168F" w:rsidP="00016178" w14:paraId="648F4C22" w14:textId="77777777">
      <w:pPr>
        <w:spacing w:after="240" w:line="240" w:lineRule="auto"/>
        <w:rPr>
          <w:rFonts w:ascii="Arial" w:hAnsi="Arial" w:cs="Arial"/>
        </w:rPr>
      </w:pPr>
      <w:r w:rsidRPr="002D168F">
        <w:rPr>
          <w:rFonts w:ascii="Arial" w:hAnsi="Arial" w:cs="Arial"/>
        </w:rPr>
        <w:t xml:space="preserve">On average, the managing Program Director will take about 45 minutes to review the technical narratives in a report. Each grantee is asked to submit an updated report twice a year. </w:t>
      </w:r>
      <w:r w:rsidRPr="002D168F">
        <w:rPr>
          <w:rFonts w:ascii="Arial" w:hAnsi="Arial" w:cs="Arial"/>
        </w:rPr>
        <w:t xml:space="preserve">Reviewing the report is part of the due diligence process that each Program Director needs to perform to monitor the project(s), ensure the grantee’s compliance with the requirements, and ascertain that the award is in good standing.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10"/>
        <w:gridCol w:w="1530"/>
        <w:gridCol w:w="1440"/>
        <w:gridCol w:w="1530"/>
        <w:gridCol w:w="1350"/>
      </w:tblGrid>
      <w:tr w14:paraId="174725CF" w14:textId="77777777" w:rsidTr="00DB3BE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510" w:type="dxa"/>
            <w:tcMar>
              <w:top w:w="0" w:type="dxa"/>
              <w:left w:w="108" w:type="dxa"/>
              <w:bottom w:w="0" w:type="dxa"/>
              <w:right w:w="108" w:type="dxa"/>
            </w:tcMar>
            <w:vAlign w:val="center"/>
            <w:hideMark/>
          </w:tcPr>
          <w:p w:rsidR="00016178" w:rsidRPr="002D168F" w:rsidP="00DB3BE6" w14:paraId="68688EA3" w14:textId="77777777">
            <w:pPr>
              <w:spacing w:before="100" w:beforeAutospacing="1" w:after="100" w:afterAutospacing="1" w:line="240" w:lineRule="auto"/>
              <w:rPr>
                <w:rFonts w:ascii="Arial" w:eastAsia="Times New Roman" w:hAnsi="Arial" w:cs="Arial"/>
                <w:color w:val="404040" w:themeColor="text1" w:themeTint="BF"/>
              </w:rPr>
            </w:pPr>
            <w:r w:rsidRPr="002D168F">
              <w:rPr>
                <w:rFonts w:ascii="Arial" w:eastAsia="Times New Roman" w:hAnsi="Arial" w:cs="Arial"/>
                <w:b/>
                <w:bCs/>
                <w:color w:val="404040" w:themeColor="text1" w:themeTint="BF"/>
              </w:rPr>
              <w:t>Task</w:t>
            </w:r>
          </w:p>
        </w:tc>
        <w:tc>
          <w:tcPr>
            <w:tcW w:w="1530" w:type="dxa"/>
            <w:tcMar>
              <w:top w:w="0" w:type="dxa"/>
              <w:left w:w="108" w:type="dxa"/>
              <w:bottom w:w="0" w:type="dxa"/>
              <w:right w:w="108" w:type="dxa"/>
            </w:tcMar>
            <w:vAlign w:val="center"/>
            <w:hideMark/>
          </w:tcPr>
          <w:p w:rsidR="00016178" w:rsidRPr="002D168F" w:rsidP="00DB3BE6" w14:paraId="0E34FEB3" w14:textId="77777777">
            <w:pPr>
              <w:spacing w:before="100" w:beforeAutospacing="1" w:after="100" w:afterAutospacing="1" w:line="240" w:lineRule="auto"/>
              <w:rPr>
                <w:rFonts w:ascii="Arial" w:eastAsia="Times New Roman" w:hAnsi="Arial" w:cs="Arial"/>
                <w:color w:val="404040" w:themeColor="text1" w:themeTint="BF"/>
              </w:rPr>
            </w:pPr>
            <w:r w:rsidRPr="002D168F">
              <w:rPr>
                <w:rFonts w:ascii="Arial" w:eastAsia="Times New Roman" w:hAnsi="Arial" w:cs="Arial"/>
                <w:b/>
                <w:bCs/>
                <w:color w:val="404040" w:themeColor="text1" w:themeTint="BF"/>
              </w:rPr>
              <w:t>Number of Reports</w:t>
            </w:r>
          </w:p>
        </w:tc>
        <w:tc>
          <w:tcPr>
            <w:tcW w:w="1440" w:type="dxa"/>
            <w:tcMar>
              <w:top w:w="0" w:type="dxa"/>
              <w:left w:w="108" w:type="dxa"/>
              <w:bottom w:w="0" w:type="dxa"/>
              <w:right w:w="108" w:type="dxa"/>
            </w:tcMar>
            <w:vAlign w:val="center"/>
            <w:hideMark/>
          </w:tcPr>
          <w:p w:rsidR="00016178" w:rsidRPr="002D168F" w:rsidP="00DB3BE6" w14:paraId="221BD9B1" w14:textId="77777777">
            <w:pPr>
              <w:spacing w:before="100" w:beforeAutospacing="1" w:after="100" w:afterAutospacing="1" w:line="240" w:lineRule="auto"/>
              <w:rPr>
                <w:rFonts w:ascii="Arial" w:eastAsia="Times New Roman" w:hAnsi="Arial" w:cs="Arial"/>
                <w:b/>
                <w:bCs/>
                <w:color w:val="404040" w:themeColor="text1" w:themeTint="BF"/>
              </w:rPr>
            </w:pPr>
            <w:r w:rsidRPr="002D168F">
              <w:rPr>
                <w:rFonts w:ascii="Arial" w:eastAsia="Times New Roman" w:hAnsi="Arial" w:cs="Arial"/>
                <w:b/>
                <w:bCs/>
                <w:color w:val="404040" w:themeColor="text1" w:themeTint="BF"/>
              </w:rPr>
              <w:t>Time</w:t>
            </w:r>
            <w:r>
              <w:rPr>
                <w:rFonts w:ascii="Arial" w:eastAsia="Times New Roman" w:hAnsi="Arial" w:cs="Arial"/>
                <w:b/>
                <w:bCs/>
                <w:color w:val="404040" w:themeColor="text1" w:themeTint="BF"/>
              </w:rPr>
              <w:t xml:space="preserve"> per </w:t>
            </w:r>
            <w:r w:rsidRPr="002D168F">
              <w:rPr>
                <w:rFonts w:ascii="Arial" w:eastAsia="Times New Roman" w:hAnsi="Arial" w:cs="Arial"/>
                <w:b/>
                <w:bCs/>
                <w:color w:val="404040" w:themeColor="text1" w:themeTint="BF"/>
              </w:rPr>
              <w:t>Review</w:t>
            </w:r>
          </w:p>
        </w:tc>
        <w:tc>
          <w:tcPr>
            <w:tcW w:w="1530" w:type="dxa"/>
          </w:tcPr>
          <w:p w:rsidR="00016178" w:rsidRPr="002D168F" w:rsidP="00DB3BE6" w14:paraId="217B2BC7" w14:textId="77777777">
            <w:pPr>
              <w:spacing w:before="100" w:beforeAutospacing="1" w:after="100" w:afterAutospacing="1" w:line="240" w:lineRule="auto"/>
              <w:rPr>
                <w:rFonts w:ascii="Arial" w:eastAsia="Times New Roman" w:hAnsi="Arial" w:cs="Arial"/>
                <w:b/>
                <w:bCs/>
                <w:color w:val="404040" w:themeColor="text1" w:themeTint="BF"/>
              </w:rPr>
            </w:pPr>
            <w:r>
              <w:rPr>
                <w:rFonts w:ascii="Arial" w:eastAsia="Times New Roman" w:hAnsi="Arial" w:cs="Arial"/>
                <w:b/>
                <w:bCs/>
                <w:color w:val="404040" w:themeColor="text1" w:themeTint="BF"/>
              </w:rPr>
              <w:t>Review frequency</w:t>
            </w:r>
          </w:p>
        </w:tc>
        <w:tc>
          <w:tcPr>
            <w:tcW w:w="1350" w:type="dxa"/>
          </w:tcPr>
          <w:p w:rsidR="00016178" w:rsidRPr="002D168F" w:rsidP="00DB3BE6" w14:paraId="0D4B27EB" w14:textId="77777777">
            <w:pPr>
              <w:spacing w:before="100" w:beforeAutospacing="1" w:after="100" w:afterAutospacing="1" w:line="240" w:lineRule="auto"/>
              <w:rPr>
                <w:rFonts w:ascii="Arial" w:eastAsia="Times New Roman" w:hAnsi="Arial" w:cs="Arial"/>
                <w:b/>
                <w:bCs/>
                <w:color w:val="404040" w:themeColor="text1" w:themeTint="BF"/>
              </w:rPr>
            </w:pPr>
            <w:r w:rsidRPr="002D168F">
              <w:rPr>
                <w:rFonts w:ascii="Arial" w:eastAsia="Times New Roman" w:hAnsi="Arial" w:cs="Arial"/>
                <w:b/>
                <w:bCs/>
                <w:color w:val="404040" w:themeColor="text1" w:themeTint="BF"/>
              </w:rPr>
              <w:t>Total Time</w:t>
            </w:r>
          </w:p>
        </w:tc>
      </w:tr>
      <w:tr w14:paraId="61855B56" w14:textId="77777777" w:rsidTr="00DB3BE6">
        <w:tblPrEx>
          <w:tblW w:w="9360" w:type="dxa"/>
          <w:tblInd w:w="-5" w:type="dxa"/>
          <w:tblCellMar>
            <w:left w:w="0" w:type="dxa"/>
            <w:right w:w="0" w:type="dxa"/>
          </w:tblCellMar>
          <w:tblLook w:val="04A0"/>
        </w:tblPrEx>
        <w:tc>
          <w:tcPr>
            <w:tcW w:w="3510" w:type="dxa"/>
            <w:tcMar>
              <w:top w:w="0" w:type="dxa"/>
              <w:left w:w="108" w:type="dxa"/>
              <w:bottom w:w="0" w:type="dxa"/>
              <w:right w:w="108" w:type="dxa"/>
            </w:tcMar>
            <w:hideMark/>
          </w:tcPr>
          <w:p w:rsidR="00016178" w:rsidRPr="002D168F" w:rsidP="00DB3BE6" w14:paraId="1F823BF6" w14:textId="77777777">
            <w:pPr>
              <w:spacing w:before="100" w:beforeAutospacing="1" w:after="100" w:afterAutospacing="1" w:line="240" w:lineRule="auto"/>
              <w:rPr>
                <w:rFonts w:ascii="Arial" w:eastAsia="Times New Roman" w:hAnsi="Arial" w:cs="Arial"/>
              </w:rPr>
            </w:pPr>
            <w:r w:rsidRPr="002D168F">
              <w:rPr>
                <w:rFonts w:ascii="Arial" w:eastAsia="Times New Roman" w:hAnsi="Arial" w:cs="Arial"/>
                <w:color w:val="000000"/>
              </w:rPr>
              <w:t>Program Directors reviewing technical narrative in the reports</w:t>
            </w:r>
          </w:p>
        </w:tc>
        <w:tc>
          <w:tcPr>
            <w:tcW w:w="1530" w:type="dxa"/>
            <w:shd w:val="clear" w:color="auto" w:fill="auto"/>
            <w:tcMar>
              <w:top w:w="0" w:type="dxa"/>
              <w:left w:w="108" w:type="dxa"/>
              <w:bottom w:w="0" w:type="dxa"/>
              <w:right w:w="108" w:type="dxa"/>
            </w:tcMar>
            <w:vAlign w:val="center"/>
          </w:tcPr>
          <w:p w:rsidR="00016178" w:rsidRPr="002D168F" w:rsidP="00DB3BE6" w14:paraId="624303F6" w14:textId="77777777">
            <w:pPr>
              <w:spacing w:before="100" w:beforeAutospacing="1" w:after="100" w:afterAutospacing="1" w:line="240" w:lineRule="auto"/>
              <w:rPr>
                <w:rFonts w:ascii="Arial" w:eastAsia="Times New Roman" w:hAnsi="Arial" w:cs="Arial"/>
                <w:highlight w:val="yellow"/>
              </w:rPr>
            </w:pPr>
            <w:r w:rsidRPr="00A314E8">
              <w:rPr>
                <w:rFonts w:ascii="Arial" w:eastAsia="Times New Roman" w:hAnsi="Arial" w:cs="Arial"/>
              </w:rPr>
              <w:t>410</w:t>
            </w:r>
          </w:p>
        </w:tc>
        <w:tc>
          <w:tcPr>
            <w:tcW w:w="1440" w:type="dxa"/>
            <w:tcMar>
              <w:top w:w="0" w:type="dxa"/>
              <w:left w:w="108" w:type="dxa"/>
              <w:bottom w:w="0" w:type="dxa"/>
              <w:right w:w="108" w:type="dxa"/>
            </w:tcMar>
            <w:vAlign w:val="center"/>
            <w:hideMark/>
          </w:tcPr>
          <w:p w:rsidR="00016178" w:rsidRPr="002D168F" w:rsidP="00DB3BE6" w14:paraId="3FFBEC07" w14:textId="77777777">
            <w:pPr>
              <w:spacing w:before="100" w:beforeAutospacing="1" w:after="100" w:afterAutospacing="1" w:line="240" w:lineRule="auto"/>
              <w:rPr>
                <w:rFonts w:ascii="Arial" w:eastAsia="Times New Roman" w:hAnsi="Arial" w:cs="Arial"/>
                <w:highlight w:val="yellow"/>
              </w:rPr>
            </w:pPr>
            <w:r w:rsidRPr="002D168F">
              <w:rPr>
                <w:rFonts w:ascii="Arial" w:eastAsia="Times New Roman" w:hAnsi="Arial" w:cs="Arial"/>
              </w:rPr>
              <w:t>45 minutes</w:t>
            </w:r>
          </w:p>
        </w:tc>
        <w:tc>
          <w:tcPr>
            <w:tcW w:w="1530" w:type="dxa"/>
          </w:tcPr>
          <w:p w:rsidR="00016178" w:rsidRPr="002D168F" w:rsidP="00DB3BE6" w14:paraId="3E9AA574" w14:textId="77777777">
            <w:pPr>
              <w:spacing w:before="100" w:beforeAutospacing="1" w:after="100" w:afterAutospacing="1" w:line="240" w:lineRule="auto"/>
              <w:rPr>
                <w:rFonts w:ascii="Arial" w:eastAsia="Times New Roman" w:hAnsi="Arial" w:cs="Arial"/>
              </w:rPr>
            </w:pPr>
            <w:r w:rsidRPr="002D168F">
              <w:rPr>
                <w:rFonts w:ascii="Arial" w:eastAsia="Times New Roman" w:hAnsi="Arial" w:cs="Arial"/>
              </w:rPr>
              <w:t>Twice per year</w:t>
            </w:r>
          </w:p>
        </w:tc>
        <w:tc>
          <w:tcPr>
            <w:tcW w:w="1350" w:type="dxa"/>
          </w:tcPr>
          <w:p w:rsidR="00016178" w:rsidRPr="002D168F" w:rsidP="00DB3BE6" w14:paraId="4DCA35F8" w14:textId="06E992C8">
            <w:pPr>
              <w:spacing w:before="100" w:beforeAutospacing="1" w:after="100" w:afterAutospacing="1" w:line="240" w:lineRule="auto"/>
              <w:rPr>
                <w:rFonts w:ascii="Arial" w:eastAsia="Times New Roman" w:hAnsi="Arial" w:cs="Arial"/>
              </w:rPr>
            </w:pPr>
            <w:r>
              <w:rPr>
                <w:rFonts w:ascii="Arial" w:eastAsia="Times New Roman" w:hAnsi="Arial" w:cs="Arial"/>
              </w:rPr>
              <w:t>615</w:t>
            </w:r>
            <w:r w:rsidR="00385EAE">
              <w:rPr>
                <w:rFonts w:ascii="Arial" w:eastAsia="Times New Roman" w:hAnsi="Arial" w:cs="Arial"/>
              </w:rPr>
              <w:t xml:space="preserve"> </w:t>
            </w:r>
            <w:r w:rsidRPr="002D168F">
              <w:rPr>
                <w:rFonts w:ascii="Arial" w:eastAsia="Times New Roman" w:hAnsi="Arial" w:cs="Arial"/>
              </w:rPr>
              <w:t>hours/year</w:t>
            </w:r>
          </w:p>
        </w:tc>
      </w:tr>
    </w:tbl>
    <w:p w:rsidR="00BD3022" w:rsidRPr="001240AB" w:rsidP="008944A3" w14:paraId="7576A02E" w14:textId="77777777">
      <w:pPr>
        <w:spacing w:after="240" w:line="240" w:lineRule="auto"/>
        <w:rPr>
          <w:rFonts w:ascii="Arial" w:hAnsi="Arial" w:cs="Arial"/>
          <w:sz w:val="24"/>
          <w:szCs w:val="24"/>
        </w:rPr>
      </w:pPr>
    </w:p>
    <w:p w:rsidR="009E7AAA" w:rsidRPr="001240AB" w:rsidP="00C16A12" w14:paraId="2DFAB86E"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A.15. Changes in Burden</w:t>
      </w:r>
    </w:p>
    <w:p w:rsidR="00C16A12" w:rsidP="004D56F3" w14:paraId="0E26E363" w14:textId="6C7B8820">
      <w:pPr>
        <w:spacing w:after="120" w:line="240" w:lineRule="auto"/>
        <w:jc w:val="both"/>
        <w:rPr>
          <w:rFonts w:ascii="Arial" w:hAnsi="Arial" w:cs="Arial"/>
        </w:rPr>
      </w:pPr>
      <w:r w:rsidRPr="00C16A12">
        <w:rPr>
          <w:rFonts w:ascii="Arial" w:hAnsi="Arial" w:cs="Arial"/>
        </w:rPr>
        <w:t>The burden was changed from 16 hours of burden annually per respondent to 18 hours</w:t>
      </w:r>
      <w:r w:rsidRPr="00C16A12">
        <w:rPr>
          <w:rFonts w:ascii="Arial" w:hAnsi="Arial" w:cs="Arial"/>
        </w:rPr>
        <w:t xml:space="preserve"> to account for the changes introduced in the modified version of the report.</w:t>
      </w:r>
    </w:p>
    <w:p w:rsidR="004D56F3" w:rsidRPr="00C16A12" w:rsidP="004D56F3" w14:paraId="064CC0CC" w14:textId="77777777">
      <w:pPr>
        <w:spacing w:after="0" w:line="240" w:lineRule="auto"/>
        <w:jc w:val="both"/>
        <w:rPr>
          <w:rFonts w:ascii="Arial" w:hAnsi="Arial" w:cs="Arial"/>
        </w:rPr>
      </w:pPr>
    </w:p>
    <w:p w:rsidR="002D1CDC" w:rsidRPr="001240AB" w:rsidP="004D56F3" w14:paraId="48DC5D66" w14:textId="207C6153">
      <w:pPr>
        <w:pStyle w:val="Heading3"/>
        <w:spacing w:before="0" w:beforeAutospacing="0" w:after="120" w:afterAutospacing="0"/>
        <w:rPr>
          <w:rFonts w:ascii="Arial" w:hAnsi="Arial" w:cs="Arial"/>
          <w:sz w:val="24"/>
          <w:szCs w:val="24"/>
        </w:rPr>
      </w:pPr>
      <w:r w:rsidRPr="001240AB">
        <w:rPr>
          <w:rFonts w:ascii="Arial" w:hAnsi="Arial" w:cs="Arial"/>
          <w:sz w:val="24"/>
          <w:szCs w:val="24"/>
        </w:rPr>
        <w:t>A.16. Plans for Publication, Analysis, and Schedule</w:t>
      </w:r>
    </w:p>
    <w:p w:rsidR="0022509B" w:rsidRPr="000B6702" w:rsidP="00AE641A" w14:paraId="600FB5A2" w14:textId="2556335E">
      <w:pPr>
        <w:spacing w:after="120" w:line="240" w:lineRule="auto"/>
        <w:rPr>
          <w:rFonts w:ascii="Arial" w:hAnsi="Arial" w:cs="Arial"/>
        </w:rPr>
      </w:pPr>
      <w:r w:rsidRPr="000B6702">
        <w:rPr>
          <w:rFonts w:ascii="Arial" w:hAnsi="Arial" w:cs="Arial"/>
        </w:rPr>
        <w:t>Not applicable</w:t>
      </w:r>
      <w:r w:rsidRPr="000B6702" w:rsidR="00FB074A">
        <w:rPr>
          <w:rFonts w:ascii="Arial" w:hAnsi="Arial" w:cs="Arial"/>
        </w:rPr>
        <w:t>.</w:t>
      </w:r>
    </w:p>
    <w:p w:rsidR="004D56F3" w:rsidRPr="001240AB" w:rsidP="004D56F3" w14:paraId="7758A406" w14:textId="77777777">
      <w:pPr>
        <w:spacing w:after="0" w:line="240" w:lineRule="auto"/>
        <w:rPr>
          <w:rFonts w:ascii="Arial" w:hAnsi="Arial" w:cs="Arial"/>
          <w:sz w:val="24"/>
          <w:szCs w:val="24"/>
        </w:rPr>
      </w:pPr>
    </w:p>
    <w:p w:rsidR="002D1CDC" w:rsidRPr="001240AB" w:rsidP="004D56F3" w14:paraId="4A295164"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A.17. Approval to Not Display Expiration Date</w:t>
      </w:r>
    </w:p>
    <w:p w:rsidR="002D1CDC" w:rsidRPr="000B6702" w:rsidP="00AE641A" w14:paraId="2E244544" w14:textId="76FD6959">
      <w:pPr>
        <w:spacing w:after="120" w:line="240" w:lineRule="auto"/>
        <w:rPr>
          <w:rFonts w:ascii="Arial" w:hAnsi="Arial" w:cs="Arial"/>
        </w:rPr>
      </w:pPr>
      <w:r w:rsidRPr="000B6702">
        <w:rPr>
          <w:rFonts w:ascii="Arial" w:hAnsi="Arial" w:cs="Arial"/>
        </w:rPr>
        <w:t>Not applicable</w:t>
      </w:r>
      <w:r w:rsidRPr="000B6702" w:rsidR="00FB074A">
        <w:rPr>
          <w:rFonts w:ascii="Arial" w:hAnsi="Arial" w:cs="Arial"/>
        </w:rPr>
        <w:t>.</w:t>
      </w:r>
    </w:p>
    <w:p w:rsidR="004D56F3" w:rsidRPr="001240AB" w:rsidP="004D56F3" w14:paraId="49FD5C0A" w14:textId="021ECBB7">
      <w:pPr>
        <w:spacing w:after="0" w:line="240" w:lineRule="auto"/>
        <w:rPr>
          <w:rFonts w:ascii="Arial" w:hAnsi="Arial" w:cs="Arial"/>
          <w:sz w:val="24"/>
          <w:szCs w:val="24"/>
        </w:rPr>
      </w:pPr>
    </w:p>
    <w:p w:rsidR="002D1CDC" w:rsidRPr="001240AB" w:rsidP="004D56F3" w14:paraId="408216AC"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A.18 Exceptions to Item 19 of OMB Form 83-I</w:t>
      </w:r>
    </w:p>
    <w:p w:rsidR="002E3A4B" w:rsidRPr="000B6702" w:rsidP="0022509B" w14:paraId="7C4261E0" w14:textId="008C72BA">
      <w:pPr>
        <w:spacing w:after="240" w:line="240" w:lineRule="auto"/>
        <w:rPr>
          <w:rFonts w:ascii="Arial" w:hAnsi="Arial" w:cs="Arial"/>
        </w:rPr>
      </w:pPr>
      <w:r w:rsidRPr="000B6702">
        <w:rPr>
          <w:rFonts w:ascii="Arial" w:hAnsi="Arial" w:cs="Arial"/>
        </w:rPr>
        <w:t>No exceptions apply.</w:t>
      </w:r>
    </w:p>
    <w:p w:rsidR="00AE641A" w:rsidP="0022509B" w14:paraId="5D20C65D" w14:textId="77777777">
      <w:pPr>
        <w:spacing w:after="240" w:line="240" w:lineRule="auto"/>
        <w:rPr>
          <w:rFonts w:ascii="Arial" w:hAnsi="Arial" w:cs="Arial"/>
          <w:b/>
          <w:bCs/>
          <w:sz w:val="24"/>
          <w:szCs w:val="24"/>
        </w:rPr>
      </w:pPr>
    </w:p>
    <w:p w:rsidR="003A70BA" w:rsidP="0022509B" w14:paraId="0A818154" w14:textId="77777777">
      <w:pPr>
        <w:spacing w:after="240" w:line="240" w:lineRule="auto"/>
        <w:rPr>
          <w:rFonts w:ascii="Arial" w:hAnsi="Arial" w:cs="Arial"/>
          <w:b/>
          <w:bCs/>
          <w:sz w:val="24"/>
          <w:szCs w:val="24"/>
        </w:rPr>
      </w:pPr>
    </w:p>
    <w:p w:rsidR="001240AB" w:rsidP="0022509B" w14:paraId="71A91986" w14:textId="3B58EA49">
      <w:pPr>
        <w:spacing w:after="240" w:line="240" w:lineRule="auto"/>
        <w:rPr>
          <w:rFonts w:ascii="Arial" w:hAnsi="Arial" w:cs="Arial"/>
          <w:sz w:val="24"/>
          <w:szCs w:val="24"/>
        </w:rPr>
      </w:pPr>
      <w:r>
        <w:rPr>
          <w:rFonts w:ascii="Arial" w:hAnsi="Arial" w:cs="Arial"/>
          <w:b/>
          <w:bCs/>
          <w:sz w:val="24"/>
          <w:szCs w:val="24"/>
        </w:rPr>
        <w:t>Part B.</w:t>
      </w:r>
    </w:p>
    <w:p w:rsidR="001240AB" w:rsidRPr="001240AB" w:rsidP="0022509B" w14:paraId="654E6EF8" w14:textId="0CB4E9DF">
      <w:pPr>
        <w:spacing w:after="240" w:line="240" w:lineRule="auto"/>
        <w:rPr>
          <w:rFonts w:ascii="Arial" w:hAnsi="Arial" w:cs="Arial"/>
          <w:sz w:val="24"/>
          <w:szCs w:val="24"/>
        </w:rPr>
      </w:pPr>
      <w:r>
        <w:rPr>
          <w:rFonts w:ascii="Arial" w:hAnsi="Arial" w:cs="Arial"/>
          <w:sz w:val="24"/>
          <w:szCs w:val="24"/>
        </w:rPr>
        <w:t>Not applicable.</w:t>
      </w:r>
    </w:p>
    <w:sectPr w:rsidSect="007C55B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603201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rsidP="001D75C2" w14:paraId="4D5F2971" w14:textId="6F85F368">
    <w:pPr>
      <w:pStyle w:val="Footer"/>
    </w:pPr>
    <w:bookmarkStart w:id="0" w:name="TITUS1FooterPrimary"/>
    <w:r w:rsidRPr="001D75C2">
      <w:rPr>
        <w:color w:val="000000"/>
        <w:sz w:val="17"/>
      </w:rPr>
      <w:t>  </w:t>
    </w:r>
    <w:bookmarkEnd w:id="0"/>
  </w:p>
  <w:p w:rsidR="005A30F2" w14:paraId="500DA8CE" w14:textId="0C630262">
    <w:pPr>
      <w:pStyle w:val="Footer"/>
      <w:jc w:val="center"/>
    </w:pPr>
    <w:sdt>
      <w:sdtPr>
        <w:id w:val="14278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5A7">
          <w:rPr>
            <w:noProof/>
          </w:rPr>
          <w:t>14</w:t>
        </w:r>
        <w:r>
          <w:rPr>
            <w:noProof/>
          </w:rPr>
          <w:fldChar w:fldCharType="end"/>
        </w:r>
      </w:sdtContent>
    </w:sdt>
  </w:p>
  <w:p w:rsidR="005A30F2" w14:paraId="3711B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2F03E0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5B4" w:rsidP="00F168DA" w14:paraId="14AF428D" w14:textId="77777777">
      <w:pPr>
        <w:spacing w:after="0" w:line="240" w:lineRule="auto"/>
      </w:pPr>
      <w:r>
        <w:separator/>
      </w:r>
    </w:p>
  </w:footnote>
  <w:footnote w:type="continuationSeparator" w:id="1">
    <w:p w:rsidR="007C55B4" w:rsidP="00F168DA" w14:paraId="5A24C75F" w14:textId="77777777">
      <w:pPr>
        <w:spacing w:after="0" w:line="240" w:lineRule="auto"/>
      </w:pPr>
      <w:r>
        <w:continuationSeparator/>
      </w:r>
    </w:p>
  </w:footnote>
  <w:footnote w:id="2">
    <w:p w:rsidR="00B515ED" w:rsidRPr="00B515ED" w14:paraId="1374A710" w14:textId="4FF35358">
      <w:pPr>
        <w:pStyle w:val="FootnoteText"/>
        <w:rPr>
          <w:rFonts w:ascii="Arial" w:hAnsi="Arial" w:cs="Arial"/>
          <w:sz w:val="16"/>
          <w:szCs w:val="16"/>
        </w:rPr>
      </w:pPr>
      <w:r w:rsidRPr="00B515ED">
        <w:rPr>
          <w:rStyle w:val="FootnoteReference"/>
          <w:rFonts w:ascii="Arial" w:hAnsi="Arial" w:cs="Arial"/>
          <w:sz w:val="16"/>
          <w:szCs w:val="16"/>
          <w:vertAlign w:val="superscript"/>
        </w:rPr>
        <w:footnoteRef/>
      </w:r>
      <w:r w:rsidRPr="00B515ED">
        <w:rPr>
          <w:rFonts w:ascii="Arial" w:hAnsi="Arial" w:cs="Arial"/>
          <w:sz w:val="16"/>
          <w:szCs w:val="16"/>
          <w:vertAlign w:val="superscript"/>
        </w:rPr>
        <w:t xml:space="preserve"> </w:t>
      </w:r>
      <w:r w:rsidRPr="00B515ED">
        <w:rPr>
          <w:rFonts w:ascii="Arial" w:hAnsi="Arial" w:cs="Arial"/>
          <w:color w:val="1B1B1B"/>
          <w:sz w:val="16"/>
          <w:szCs w:val="16"/>
          <w:shd w:val="clear" w:color="auto" w:fill="FFFFFF"/>
        </w:rPr>
        <w:t>R. T. Tibbetts, "NSF's three-phase program helps the small-business innovator bootstrap an idea to commercial success," in IEEE Spectrum, vol. 15, no. 10, pp. 86-86, Oct. 1978, doi: 10.1109/MSPEC.1978.6367918.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77D3BA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rsidP="001D75C2" w14:paraId="54B66E38" w14:textId="0D5B8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62269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D27094"/>
    <w:multiLevelType w:val="hybridMultilevel"/>
    <w:tmpl w:val="04D605C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966DEA"/>
    <w:multiLevelType w:val="hybridMultilevel"/>
    <w:tmpl w:val="1870C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178836">
    <w:abstractNumId w:val="7"/>
  </w:num>
  <w:num w:numId="2" w16cid:durableId="1965186046">
    <w:abstractNumId w:val="9"/>
  </w:num>
  <w:num w:numId="3" w16cid:durableId="269702851">
    <w:abstractNumId w:val="2"/>
  </w:num>
  <w:num w:numId="4" w16cid:durableId="1755518121">
    <w:abstractNumId w:val="11"/>
  </w:num>
  <w:num w:numId="5" w16cid:durableId="2091190211">
    <w:abstractNumId w:val="4"/>
  </w:num>
  <w:num w:numId="6" w16cid:durableId="1520581903">
    <w:abstractNumId w:val="6"/>
  </w:num>
  <w:num w:numId="7" w16cid:durableId="1482035564">
    <w:abstractNumId w:val="8"/>
  </w:num>
  <w:num w:numId="8" w16cid:durableId="296304328">
    <w:abstractNumId w:val="10"/>
  </w:num>
  <w:num w:numId="9" w16cid:durableId="2124374776">
    <w:abstractNumId w:val="1"/>
  </w:num>
  <w:num w:numId="10" w16cid:durableId="1088693677">
    <w:abstractNumId w:val="0"/>
  </w:num>
  <w:num w:numId="11" w16cid:durableId="1681659105">
    <w:abstractNumId w:val="5"/>
  </w:num>
  <w:num w:numId="12" w16cid:durableId="846871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1D56"/>
    <w:rsid w:val="00016178"/>
    <w:rsid w:val="000234B1"/>
    <w:rsid w:val="00023DA3"/>
    <w:rsid w:val="0002722D"/>
    <w:rsid w:val="00031961"/>
    <w:rsid w:val="00032495"/>
    <w:rsid w:val="00033EFA"/>
    <w:rsid w:val="00034B7B"/>
    <w:rsid w:val="000427AD"/>
    <w:rsid w:val="00043444"/>
    <w:rsid w:val="00046995"/>
    <w:rsid w:val="00051872"/>
    <w:rsid w:val="00053B98"/>
    <w:rsid w:val="00055682"/>
    <w:rsid w:val="0006120A"/>
    <w:rsid w:val="00067A86"/>
    <w:rsid w:val="000840B1"/>
    <w:rsid w:val="0009037D"/>
    <w:rsid w:val="00092E27"/>
    <w:rsid w:val="000935C0"/>
    <w:rsid w:val="00093910"/>
    <w:rsid w:val="00096FC2"/>
    <w:rsid w:val="000A0225"/>
    <w:rsid w:val="000A3840"/>
    <w:rsid w:val="000A65C4"/>
    <w:rsid w:val="000B1C19"/>
    <w:rsid w:val="000B6702"/>
    <w:rsid w:val="000C4DF0"/>
    <w:rsid w:val="000D11D6"/>
    <w:rsid w:val="000D3B15"/>
    <w:rsid w:val="000D6E30"/>
    <w:rsid w:val="000E0214"/>
    <w:rsid w:val="000E541D"/>
    <w:rsid w:val="000E56BB"/>
    <w:rsid w:val="000E670E"/>
    <w:rsid w:val="000F239C"/>
    <w:rsid w:val="000F3D3D"/>
    <w:rsid w:val="000F626C"/>
    <w:rsid w:val="000F69EC"/>
    <w:rsid w:val="00102FCC"/>
    <w:rsid w:val="00106A43"/>
    <w:rsid w:val="0011779D"/>
    <w:rsid w:val="00122ED4"/>
    <w:rsid w:val="00123005"/>
    <w:rsid w:val="00123041"/>
    <w:rsid w:val="001240AB"/>
    <w:rsid w:val="00125C9E"/>
    <w:rsid w:val="00125DE8"/>
    <w:rsid w:val="00127D5A"/>
    <w:rsid w:val="001331EB"/>
    <w:rsid w:val="00145A7B"/>
    <w:rsid w:val="001544E1"/>
    <w:rsid w:val="00156389"/>
    <w:rsid w:val="001647EC"/>
    <w:rsid w:val="001648EB"/>
    <w:rsid w:val="00166248"/>
    <w:rsid w:val="001701C5"/>
    <w:rsid w:val="00171D5A"/>
    <w:rsid w:val="001832C7"/>
    <w:rsid w:val="00184163"/>
    <w:rsid w:val="001A4011"/>
    <w:rsid w:val="001B1388"/>
    <w:rsid w:val="001B71AF"/>
    <w:rsid w:val="001D1495"/>
    <w:rsid w:val="001D1A18"/>
    <w:rsid w:val="001D254C"/>
    <w:rsid w:val="001D2B32"/>
    <w:rsid w:val="001D4CB2"/>
    <w:rsid w:val="001D75C2"/>
    <w:rsid w:val="001E68CA"/>
    <w:rsid w:val="001E7215"/>
    <w:rsid w:val="001F0B2A"/>
    <w:rsid w:val="001F268D"/>
    <w:rsid w:val="001F4E46"/>
    <w:rsid w:val="001F579C"/>
    <w:rsid w:val="001F70D5"/>
    <w:rsid w:val="00216FAD"/>
    <w:rsid w:val="00216FB0"/>
    <w:rsid w:val="00220CF2"/>
    <w:rsid w:val="0022509B"/>
    <w:rsid w:val="0022742B"/>
    <w:rsid w:val="00241839"/>
    <w:rsid w:val="002438C4"/>
    <w:rsid w:val="00244CA8"/>
    <w:rsid w:val="002471EB"/>
    <w:rsid w:val="0025025E"/>
    <w:rsid w:val="002503EF"/>
    <w:rsid w:val="00260A33"/>
    <w:rsid w:val="002645AD"/>
    <w:rsid w:val="00282405"/>
    <w:rsid w:val="00292DDE"/>
    <w:rsid w:val="00294508"/>
    <w:rsid w:val="00294814"/>
    <w:rsid w:val="002958A7"/>
    <w:rsid w:val="002B0FE9"/>
    <w:rsid w:val="002B1B3C"/>
    <w:rsid w:val="002B26A1"/>
    <w:rsid w:val="002B43C1"/>
    <w:rsid w:val="002D168F"/>
    <w:rsid w:val="002D1CDC"/>
    <w:rsid w:val="002E3A4B"/>
    <w:rsid w:val="002F1BDC"/>
    <w:rsid w:val="002F2FCF"/>
    <w:rsid w:val="002F6215"/>
    <w:rsid w:val="0030276C"/>
    <w:rsid w:val="0030362D"/>
    <w:rsid w:val="00305CB0"/>
    <w:rsid w:val="00314861"/>
    <w:rsid w:val="00320A03"/>
    <w:rsid w:val="00337F5A"/>
    <w:rsid w:val="00353D98"/>
    <w:rsid w:val="00354035"/>
    <w:rsid w:val="00355889"/>
    <w:rsid w:val="003566BA"/>
    <w:rsid w:val="0036024D"/>
    <w:rsid w:val="00366368"/>
    <w:rsid w:val="00372B9A"/>
    <w:rsid w:val="003754EE"/>
    <w:rsid w:val="00385EAE"/>
    <w:rsid w:val="00395279"/>
    <w:rsid w:val="003A70BA"/>
    <w:rsid w:val="003B1473"/>
    <w:rsid w:val="003B2BD5"/>
    <w:rsid w:val="003B4E54"/>
    <w:rsid w:val="003C447A"/>
    <w:rsid w:val="003C73E3"/>
    <w:rsid w:val="003E08FE"/>
    <w:rsid w:val="003E38D7"/>
    <w:rsid w:val="003E3C64"/>
    <w:rsid w:val="003E62C6"/>
    <w:rsid w:val="003F7EA5"/>
    <w:rsid w:val="00412F61"/>
    <w:rsid w:val="004410FB"/>
    <w:rsid w:val="004437AE"/>
    <w:rsid w:val="0044773E"/>
    <w:rsid w:val="00456091"/>
    <w:rsid w:val="0045782B"/>
    <w:rsid w:val="004646E8"/>
    <w:rsid w:val="00472079"/>
    <w:rsid w:val="00477E11"/>
    <w:rsid w:val="004A031B"/>
    <w:rsid w:val="004A3E86"/>
    <w:rsid w:val="004B3995"/>
    <w:rsid w:val="004B547F"/>
    <w:rsid w:val="004B6BC5"/>
    <w:rsid w:val="004B765B"/>
    <w:rsid w:val="004B78C8"/>
    <w:rsid w:val="004C001D"/>
    <w:rsid w:val="004C1285"/>
    <w:rsid w:val="004C16A3"/>
    <w:rsid w:val="004D2691"/>
    <w:rsid w:val="004D56F3"/>
    <w:rsid w:val="004D592E"/>
    <w:rsid w:val="004F007E"/>
    <w:rsid w:val="004F7C46"/>
    <w:rsid w:val="00504FB3"/>
    <w:rsid w:val="00510B2D"/>
    <w:rsid w:val="005111FA"/>
    <w:rsid w:val="0051157F"/>
    <w:rsid w:val="00511CD0"/>
    <w:rsid w:val="00513093"/>
    <w:rsid w:val="00515CE5"/>
    <w:rsid w:val="00516B40"/>
    <w:rsid w:val="00517082"/>
    <w:rsid w:val="0052245B"/>
    <w:rsid w:val="00522AC9"/>
    <w:rsid w:val="005273DF"/>
    <w:rsid w:val="00527B24"/>
    <w:rsid w:val="0053789E"/>
    <w:rsid w:val="0054533F"/>
    <w:rsid w:val="005455B2"/>
    <w:rsid w:val="005514B0"/>
    <w:rsid w:val="00573BD5"/>
    <w:rsid w:val="005902F9"/>
    <w:rsid w:val="00591479"/>
    <w:rsid w:val="005917C4"/>
    <w:rsid w:val="00592007"/>
    <w:rsid w:val="005A2AA9"/>
    <w:rsid w:val="005A30F2"/>
    <w:rsid w:val="005B0139"/>
    <w:rsid w:val="005B3449"/>
    <w:rsid w:val="005B5DD6"/>
    <w:rsid w:val="005C799C"/>
    <w:rsid w:val="005D053D"/>
    <w:rsid w:val="005D6059"/>
    <w:rsid w:val="005D77D3"/>
    <w:rsid w:val="005E3890"/>
    <w:rsid w:val="005E47BC"/>
    <w:rsid w:val="005E4A96"/>
    <w:rsid w:val="005F48E3"/>
    <w:rsid w:val="006036B8"/>
    <w:rsid w:val="0061156E"/>
    <w:rsid w:val="00611915"/>
    <w:rsid w:val="00612D92"/>
    <w:rsid w:val="00613256"/>
    <w:rsid w:val="006148A0"/>
    <w:rsid w:val="0061515F"/>
    <w:rsid w:val="0062334B"/>
    <w:rsid w:val="00624347"/>
    <w:rsid w:val="00624C1F"/>
    <w:rsid w:val="00626B0C"/>
    <w:rsid w:val="0063418F"/>
    <w:rsid w:val="00640FA9"/>
    <w:rsid w:val="006463E2"/>
    <w:rsid w:val="00646AF8"/>
    <w:rsid w:val="00651395"/>
    <w:rsid w:val="00653392"/>
    <w:rsid w:val="006538E5"/>
    <w:rsid w:val="00655AB4"/>
    <w:rsid w:val="00657A1D"/>
    <w:rsid w:val="00667CFF"/>
    <w:rsid w:val="0067088E"/>
    <w:rsid w:val="00670CE2"/>
    <w:rsid w:val="00673A28"/>
    <w:rsid w:val="006764C4"/>
    <w:rsid w:val="00680FCF"/>
    <w:rsid w:val="006829BB"/>
    <w:rsid w:val="006838E9"/>
    <w:rsid w:val="00684C4C"/>
    <w:rsid w:val="00690FE4"/>
    <w:rsid w:val="006916D2"/>
    <w:rsid w:val="00693E6D"/>
    <w:rsid w:val="0069402B"/>
    <w:rsid w:val="00695DE3"/>
    <w:rsid w:val="006A1F50"/>
    <w:rsid w:val="006B07E4"/>
    <w:rsid w:val="006B1BF2"/>
    <w:rsid w:val="006B3F9F"/>
    <w:rsid w:val="006B418C"/>
    <w:rsid w:val="006B5A36"/>
    <w:rsid w:val="006B6626"/>
    <w:rsid w:val="006B6D9C"/>
    <w:rsid w:val="006C2A0D"/>
    <w:rsid w:val="006C7605"/>
    <w:rsid w:val="006E25EF"/>
    <w:rsid w:val="006E378A"/>
    <w:rsid w:val="006F0C8B"/>
    <w:rsid w:val="006F0E44"/>
    <w:rsid w:val="006F1947"/>
    <w:rsid w:val="006F1DC9"/>
    <w:rsid w:val="006F7C19"/>
    <w:rsid w:val="006F7FAE"/>
    <w:rsid w:val="00700301"/>
    <w:rsid w:val="007007B8"/>
    <w:rsid w:val="00703BEA"/>
    <w:rsid w:val="007200D5"/>
    <w:rsid w:val="00721C44"/>
    <w:rsid w:val="00722D1C"/>
    <w:rsid w:val="00723180"/>
    <w:rsid w:val="007365F2"/>
    <w:rsid w:val="00743271"/>
    <w:rsid w:val="007458A8"/>
    <w:rsid w:val="007564EB"/>
    <w:rsid w:val="007565A3"/>
    <w:rsid w:val="007607BE"/>
    <w:rsid w:val="00761DF7"/>
    <w:rsid w:val="00765AA5"/>
    <w:rsid w:val="0077248C"/>
    <w:rsid w:val="00772B48"/>
    <w:rsid w:val="00773F2E"/>
    <w:rsid w:val="00774D13"/>
    <w:rsid w:val="0078128C"/>
    <w:rsid w:val="007871E0"/>
    <w:rsid w:val="00792334"/>
    <w:rsid w:val="00792E7D"/>
    <w:rsid w:val="00797F64"/>
    <w:rsid w:val="007B11DC"/>
    <w:rsid w:val="007B530E"/>
    <w:rsid w:val="007C55B4"/>
    <w:rsid w:val="007D088E"/>
    <w:rsid w:val="007D22DF"/>
    <w:rsid w:val="007D48AA"/>
    <w:rsid w:val="007D48BB"/>
    <w:rsid w:val="007E669A"/>
    <w:rsid w:val="007F0209"/>
    <w:rsid w:val="007F07BF"/>
    <w:rsid w:val="00802099"/>
    <w:rsid w:val="00803CC9"/>
    <w:rsid w:val="00804EC9"/>
    <w:rsid w:val="008073A1"/>
    <w:rsid w:val="00810766"/>
    <w:rsid w:val="008136C4"/>
    <w:rsid w:val="008142C8"/>
    <w:rsid w:val="00816620"/>
    <w:rsid w:val="008169C2"/>
    <w:rsid w:val="008220F3"/>
    <w:rsid w:val="00824A87"/>
    <w:rsid w:val="00824CAF"/>
    <w:rsid w:val="00836FC6"/>
    <w:rsid w:val="0084022F"/>
    <w:rsid w:val="00840705"/>
    <w:rsid w:val="00841FCC"/>
    <w:rsid w:val="008433B2"/>
    <w:rsid w:val="00843F46"/>
    <w:rsid w:val="008460B7"/>
    <w:rsid w:val="008501CF"/>
    <w:rsid w:val="00852861"/>
    <w:rsid w:val="008609C9"/>
    <w:rsid w:val="00860EC4"/>
    <w:rsid w:val="00875769"/>
    <w:rsid w:val="00881A42"/>
    <w:rsid w:val="00882723"/>
    <w:rsid w:val="00886BB8"/>
    <w:rsid w:val="00892D6E"/>
    <w:rsid w:val="00893374"/>
    <w:rsid w:val="008944A3"/>
    <w:rsid w:val="008B43B1"/>
    <w:rsid w:val="008B7984"/>
    <w:rsid w:val="008B7BDD"/>
    <w:rsid w:val="008C5A03"/>
    <w:rsid w:val="008C6A16"/>
    <w:rsid w:val="008C7409"/>
    <w:rsid w:val="008D0A41"/>
    <w:rsid w:val="008D202F"/>
    <w:rsid w:val="008D72B8"/>
    <w:rsid w:val="008F57B7"/>
    <w:rsid w:val="009001D4"/>
    <w:rsid w:val="00902250"/>
    <w:rsid w:val="009035E9"/>
    <w:rsid w:val="00910288"/>
    <w:rsid w:val="009306DD"/>
    <w:rsid w:val="009325F5"/>
    <w:rsid w:val="0093322C"/>
    <w:rsid w:val="00933F49"/>
    <w:rsid w:val="00936179"/>
    <w:rsid w:val="00936BBF"/>
    <w:rsid w:val="00946F8D"/>
    <w:rsid w:val="00962C4A"/>
    <w:rsid w:val="00965D3E"/>
    <w:rsid w:val="00967307"/>
    <w:rsid w:val="00974D7A"/>
    <w:rsid w:val="0097673C"/>
    <w:rsid w:val="00984542"/>
    <w:rsid w:val="00995F7B"/>
    <w:rsid w:val="009A1529"/>
    <w:rsid w:val="009A4466"/>
    <w:rsid w:val="009C0129"/>
    <w:rsid w:val="009C3751"/>
    <w:rsid w:val="009C4DCF"/>
    <w:rsid w:val="009C53B5"/>
    <w:rsid w:val="009C6E43"/>
    <w:rsid w:val="009D08E8"/>
    <w:rsid w:val="009E221C"/>
    <w:rsid w:val="009E7AAA"/>
    <w:rsid w:val="009F2247"/>
    <w:rsid w:val="009F4477"/>
    <w:rsid w:val="009F4C4A"/>
    <w:rsid w:val="009F4E4C"/>
    <w:rsid w:val="00A1168C"/>
    <w:rsid w:val="00A11B8B"/>
    <w:rsid w:val="00A314E8"/>
    <w:rsid w:val="00A358F2"/>
    <w:rsid w:val="00A41159"/>
    <w:rsid w:val="00A411A3"/>
    <w:rsid w:val="00A422FD"/>
    <w:rsid w:val="00A43B15"/>
    <w:rsid w:val="00A51E94"/>
    <w:rsid w:val="00A57A64"/>
    <w:rsid w:val="00A62D55"/>
    <w:rsid w:val="00A665E8"/>
    <w:rsid w:val="00A741C2"/>
    <w:rsid w:val="00A7597A"/>
    <w:rsid w:val="00A8701D"/>
    <w:rsid w:val="00A94577"/>
    <w:rsid w:val="00A95861"/>
    <w:rsid w:val="00A95FDE"/>
    <w:rsid w:val="00A96FDD"/>
    <w:rsid w:val="00AA38AD"/>
    <w:rsid w:val="00AA4A58"/>
    <w:rsid w:val="00AA5065"/>
    <w:rsid w:val="00AB1802"/>
    <w:rsid w:val="00AB5F85"/>
    <w:rsid w:val="00AC054C"/>
    <w:rsid w:val="00AC0D2F"/>
    <w:rsid w:val="00AD0976"/>
    <w:rsid w:val="00AD0A95"/>
    <w:rsid w:val="00AD1AD6"/>
    <w:rsid w:val="00AE03A4"/>
    <w:rsid w:val="00AE5F8B"/>
    <w:rsid w:val="00AE641A"/>
    <w:rsid w:val="00AE6A29"/>
    <w:rsid w:val="00AF6501"/>
    <w:rsid w:val="00B00796"/>
    <w:rsid w:val="00B01E3A"/>
    <w:rsid w:val="00B027A5"/>
    <w:rsid w:val="00B02E1A"/>
    <w:rsid w:val="00B05AE7"/>
    <w:rsid w:val="00B2103D"/>
    <w:rsid w:val="00B428D6"/>
    <w:rsid w:val="00B477AC"/>
    <w:rsid w:val="00B515ED"/>
    <w:rsid w:val="00B51B8F"/>
    <w:rsid w:val="00B52A1C"/>
    <w:rsid w:val="00B53E0E"/>
    <w:rsid w:val="00B624BE"/>
    <w:rsid w:val="00B73113"/>
    <w:rsid w:val="00B759FA"/>
    <w:rsid w:val="00B809BF"/>
    <w:rsid w:val="00B8340C"/>
    <w:rsid w:val="00B86848"/>
    <w:rsid w:val="00BA1837"/>
    <w:rsid w:val="00BA5219"/>
    <w:rsid w:val="00BB0094"/>
    <w:rsid w:val="00BB3440"/>
    <w:rsid w:val="00BC4B11"/>
    <w:rsid w:val="00BD2302"/>
    <w:rsid w:val="00BD298A"/>
    <w:rsid w:val="00BD3022"/>
    <w:rsid w:val="00BE14B1"/>
    <w:rsid w:val="00BE321E"/>
    <w:rsid w:val="00BF0750"/>
    <w:rsid w:val="00BF1839"/>
    <w:rsid w:val="00BF5CBA"/>
    <w:rsid w:val="00C00203"/>
    <w:rsid w:val="00C16A12"/>
    <w:rsid w:val="00C2382E"/>
    <w:rsid w:val="00C34FD4"/>
    <w:rsid w:val="00C413A3"/>
    <w:rsid w:val="00C41656"/>
    <w:rsid w:val="00C52140"/>
    <w:rsid w:val="00C56F31"/>
    <w:rsid w:val="00C662A7"/>
    <w:rsid w:val="00C731D7"/>
    <w:rsid w:val="00C75A71"/>
    <w:rsid w:val="00C812EC"/>
    <w:rsid w:val="00C823E1"/>
    <w:rsid w:val="00C857D7"/>
    <w:rsid w:val="00C93D1B"/>
    <w:rsid w:val="00C9675E"/>
    <w:rsid w:val="00CA008C"/>
    <w:rsid w:val="00CA0BD4"/>
    <w:rsid w:val="00CA2166"/>
    <w:rsid w:val="00CA3557"/>
    <w:rsid w:val="00CB0F31"/>
    <w:rsid w:val="00CB489A"/>
    <w:rsid w:val="00CC29C1"/>
    <w:rsid w:val="00CC3FBC"/>
    <w:rsid w:val="00CC5153"/>
    <w:rsid w:val="00CC5AF3"/>
    <w:rsid w:val="00CC67FD"/>
    <w:rsid w:val="00CE135B"/>
    <w:rsid w:val="00CF0060"/>
    <w:rsid w:val="00CF0829"/>
    <w:rsid w:val="00CF543E"/>
    <w:rsid w:val="00D00F1E"/>
    <w:rsid w:val="00D02A12"/>
    <w:rsid w:val="00D03C64"/>
    <w:rsid w:val="00D04720"/>
    <w:rsid w:val="00D07C3A"/>
    <w:rsid w:val="00D20731"/>
    <w:rsid w:val="00D305F5"/>
    <w:rsid w:val="00D43860"/>
    <w:rsid w:val="00D5340E"/>
    <w:rsid w:val="00D53A0C"/>
    <w:rsid w:val="00D540F1"/>
    <w:rsid w:val="00D552D5"/>
    <w:rsid w:val="00D61A0E"/>
    <w:rsid w:val="00D67DE2"/>
    <w:rsid w:val="00D7042B"/>
    <w:rsid w:val="00D76401"/>
    <w:rsid w:val="00D82126"/>
    <w:rsid w:val="00D8332A"/>
    <w:rsid w:val="00D8477A"/>
    <w:rsid w:val="00D91370"/>
    <w:rsid w:val="00D95C39"/>
    <w:rsid w:val="00DA4CC2"/>
    <w:rsid w:val="00DA79C1"/>
    <w:rsid w:val="00DB3BE6"/>
    <w:rsid w:val="00DC24EC"/>
    <w:rsid w:val="00DC3B19"/>
    <w:rsid w:val="00DD06DE"/>
    <w:rsid w:val="00DD2681"/>
    <w:rsid w:val="00DD3D7C"/>
    <w:rsid w:val="00DE188A"/>
    <w:rsid w:val="00DE575B"/>
    <w:rsid w:val="00DE6330"/>
    <w:rsid w:val="00DF4FB0"/>
    <w:rsid w:val="00E05CB9"/>
    <w:rsid w:val="00E07E98"/>
    <w:rsid w:val="00E1478E"/>
    <w:rsid w:val="00E16001"/>
    <w:rsid w:val="00E20B37"/>
    <w:rsid w:val="00E23BFD"/>
    <w:rsid w:val="00E24A3C"/>
    <w:rsid w:val="00E2720A"/>
    <w:rsid w:val="00E30638"/>
    <w:rsid w:val="00E316BC"/>
    <w:rsid w:val="00E33C67"/>
    <w:rsid w:val="00E34F6C"/>
    <w:rsid w:val="00E44266"/>
    <w:rsid w:val="00E467BA"/>
    <w:rsid w:val="00E5719E"/>
    <w:rsid w:val="00E736B9"/>
    <w:rsid w:val="00E85A88"/>
    <w:rsid w:val="00E86160"/>
    <w:rsid w:val="00E86815"/>
    <w:rsid w:val="00E869C4"/>
    <w:rsid w:val="00E93307"/>
    <w:rsid w:val="00E96893"/>
    <w:rsid w:val="00EA1F7B"/>
    <w:rsid w:val="00EA2FE1"/>
    <w:rsid w:val="00EA4E63"/>
    <w:rsid w:val="00EA5A6A"/>
    <w:rsid w:val="00EB5384"/>
    <w:rsid w:val="00EB63C3"/>
    <w:rsid w:val="00EC5355"/>
    <w:rsid w:val="00ED4F24"/>
    <w:rsid w:val="00EE2318"/>
    <w:rsid w:val="00EE5677"/>
    <w:rsid w:val="00EE5C48"/>
    <w:rsid w:val="00EF53FD"/>
    <w:rsid w:val="00EF714E"/>
    <w:rsid w:val="00F00DFC"/>
    <w:rsid w:val="00F026CF"/>
    <w:rsid w:val="00F06084"/>
    <w:rsid w:val="00F1141D"/>
    <w:rsid w:val="00F12793"/>
    <w:rsid w:val="00F138D4"/>
    <w:rsid w:val="00F168DA"/>
    <w:rsid w:val="00F16937"/>
    <w:rsid w:val="00F320C3"/>
    <w:rsid w:val="00F453E4"/>
    <w:rsid w:val="00F463F1"/>
    <w:rsid w:val="00F55249"/>
    <w:rsid w:val="00F623AE"/>
    <w:rsid w:val="00F72B3A"/>
    <w:rsid w:val="00F72D93"/>
    <w:rsid w:val="00F82889"/>
    <w:rsid w:val="00F94CD6"/>
    <w:rsid w:val="00FA25B3"/>
    <w:rsid w:val="00FB074A"/>
    <w:rsid w:val="00FB1FAC"/>
    <w:rsid w:val="00FC2687"/>
    <w:rsid w:val="00FC677D"/>
    <w:rsid w:val="00FD45A7"/>
    <w:rsid w:val="00FE0F8A"/>
    <w:rsid w:val="00FE5DDB"/>
    <w:rsid w:val="00FF4922"/>
    <w:rsid w:val="00FF6A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paragraph" w:styleId="ListParagraph">
    <w:name w:val="List Paragraph"/>
    <w:basedOn w:val="Normal"/>
    <w:uiPriority w:val="34"/>
    <w:qFormat/>
    <w:rsid w:val="0081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w.nsf.gov/tip/about-tip" TargetMode="External" /><Relationship Id="rId11" Type="http://schemas.openxmlformats.org/officeDocument/2006/relationships/hyperlink" Target="https://www.sbir.gov/sites/default/files/SBIR-STTR_Policy_Directive_2019.pdf" TargetMode="External" /><Relationship Id="rId12" Type="http://schemas.openxmlformats.org/officeDocument/2006/relationships/hyperlink" Target="https://www.aaup.org/file/ARES-2022-23.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eedfund.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2.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customXml/itemProps4.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32</cp:revision>
  <cp:lastPrinted>2015-02-05T13:50:00Z</cp:lastPrinted>
  <dcterms:created xsi:type="dcterms:W3CDTF">2024-03-05T17:50:00Z</dcterms:created>
  <dcterms:modified xsi:type="dcterms:W3CDTF">2024-05-17T19:29:00Z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d8bd976d-ca80-48bf-bc7c-93deba9a4e5a</vt:lpwstr>
  </property>
  <property fmtid="{D5CDD505-2E9C-101B-9397-08002B2CF9AE}" pid="5"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6" name="ZOTERO_PREF_2">
    <vt:lpwstr>e"/&gt;&lt;pref name="automaticJournalAbbreviations" value="true"/&gt;&lt;pref name="noteType" value="0"/&gt;&lt;/prefs&gt;&lt;/data&gt;</vt:lpwstr>
  </property>
</Properties>
</file>