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272" w:rsidP="006D67A0" w14:paraId="4B8A3792" w14:textId="4B458C37">
      <w:pPr>
        <w:widowControl w:val="0"/>
        <w:tabs>
          <w:tab w:val="center" w:pos="4680"/>
        </w:tabs>
        <w:ind w:left="0"/>
        <w:jc w:val="center"/>
      </w:pPr>
      <w:r>
        <w:fldChar w:fldCharType="begin"/>
      </w:r>
      <w:r>
        <w:instrText xml:space="preserve"> SEQ CHAPTER \h \r 1</w:instrText>
      </w:r>
      <w:r>
        <w:fldChar w:fldCharType="separate"/>
      </w:r>
      <w:r>
        <w:fldChar w:fldCharType="end"/>
      </w:r>
      <w:r>
        <w:t>NONSUBSTANTIVE CHANGE REQUEST</w:t>
      </w:r>
    </w:p>
    <w:p w:rsidR="00883272" w:rsidP="00883272" w14:paraId="1082BB93" w14:textId="77777777">
      <w:pPr>
        <w:widowControl w:val="0"/>
        <w:tabs>
          <w:tab w:val="center" w:pos="4680"/>
        </w:tabs>
        <w:ind w:left="0"/>
        <w:jc w:val="center"/>
      </w:pPr>
      <w:r>
        <w:t>FOR</w:t>
      </w:r>
    </w:p>
    <w:p w:rsidR="00B17970" w:rsidRPr="001763E0" w:rsidP="00B17970" w14:paraId="6280DC50" w14:textId="77777777">
      <w:pPr>
        <w:pStyle w:val="BodyText"/>
        <w:spacing w:before="1" w:line="252" w:lineRule="exact"/>
        <w:jc w:val="center"/>
      </w:pPr>
      <w:r w:rsidRPr="001763E0">
        <w:t xml:space="preserve">10 </w:t>
      </w:r>
      <w:r w:rsidRPr="00AB746F">
        <w:t>CFR PART</w:t>
      </w:r>
      <w:r w:rsidRPr="001763E0">
        <w:t xml:space="preserve"> </w:t>
      </w:r>
      <w:r w:rsidRPr="00AB746F">
        <w:t>73</w:t>
      </w:r>
    </w:p>
    <w:p w:rsidR="00B17970" w:rsidP="00B17970" w14:paraId="0490DE08" w14:textId="77777777">
      <w:pPr>
        <w:pStyle w:val="BodyText"/>
        <w:jc w:val="center"/>
      </w:pPr>
      <w:r w:rsidRPr="001763E0">
        <w:t xml:space="preserve">PHYSICAL PROTECTION OF PLANTS AND MATERIALS </w:t>
      </w:r>
    </w:p>
    <w:p w:rsidR="00B17970" w:rsidP="00B17970" w14:paraId="44A27AC6" w14:textId="77777777">
      <w:pPr>
        <w:pStyle w:val="BodyText"/>
        <w:jc w:val="center"/>
      </w:pPr>
    </w:p>
    <w:p w:rsidR="00B17970" w:rsidRPr="001763E0" w:rsidP="00B17970" w14:paraId="284CDBAB" w14:textId="77777777">
      <w:pPr>
        <w:pStyle w:val="BodyText"/>
        <w:jc w:val="center"/>
      </w:pPr>
      <w:r w:rsidRPr="00AB746F">
        <w:t>(3150-0002)</w:t>
      </w:r>
    </w:p>
    <w:p w:rsidR="00883272" w:rsidRPr="00A0219C" w:rsidP="00883272" w14:paraId="4177EC24" w14:textId="77777777">
      <w:pPr>
        <w:ind w:left="0"/>
      </w:pPr>
    </w:p>
    <w:p w:rsidR="00DE25CA" w:rsidP="00DE25CA" w14:paraId="630718E3" w14:textId="77777777">
      <w:pPr>
        <w:ind w:left="0"/>
      </w:pPr>
      <w:r w:rsidRPr="0051740C">
        <w:t xml:space="preserve">The U.S. Nuclear Regulatory Commission (NRC) regulations in 10 CFR Part 73 prescribe requirements for the establishment and maintenance of a system for physical protection of special nuclear material (SNM) </w:t>
      </w:r>
      <w:r>
        <w:t xml:space="preserve">and spent nuclear fuel (SNF) </w:t>
      </w:r>
      <w:r w:rsidRPr="0051740C">
        <w:t xml:space="preserve">at fixed sites, </w:t>
      </w:r>
      <w:r>
        <w:t xml:space="preserve">of </w:t>
      </w:r>
      <w:r w:rsidRPr="0051740C">
        <w:t xml:space="preserve">SNM </w:t>
      </w:r>
      <w:r>
        <w:t xml:space="preserve">and SNF </w:t>
      </w:r>
      <w:r w:rsidRPr="0051740C">
        <w:t>in transit</w:t>
      </w:r>
      <w:r>
        <w:t>,</w:t>
      </w:r>
      <w:r w:rsidRPr="0051740C">
        <w:t xml:space="preserve"> and of plants in which SNM is utilized.  </w:t>
      </w:r>
      <w:r w:rsidRPr="00A32597">
        <w:t xml:space="preserve">The regulations are issued pursuant to the </w:t>
      </w:r>
      <w:r w:rsidRPr="00AF4A3D">
        <w:rPr>
          <w:i/>
        </w:rPr>
        <w:t>Atomic Energy Act of 1954</w:t>
      </w:r>
      <w:r w:rsidRPr="00A32597">
        <w:t>, as amended</w:t>
      </w:r>
      <w:r>
        <w:t xml:space="preserve"> (AEA)</w:t>
      </w:r>
      <w:r w:rsidRPr="00A32597">
        <w:t xml:space="preserve">, and Title II of the </w:t>
      </w:r>
      <w:r w:rsidRPr="00AF4A3D">
        <w:rPr>
          <w:i/>
        </w:rPr>
        <w:t>Energy Reorganization Act of 1974</w:t>
      </w:r>
      <w:r w:rsidRPr="00A32597">
        <w:t xml:space="preserve">, as amended.  </w:t>
      </w:r>
      <w:r>
        <w:t xml:space="preserve">The regulations in 10 CFR </w:t>
      </w:r>
      <w:r w:rsidRPr="00A32597">
        <w:t>Part 73 contain reporting and recordkeeping requirements which are necessary to help ensure that an adequate level of protection is provided for NRC licensed facilities and activities.</w:t>
      </w:r>
    </w:p>
    <w:p w:rsidR="00883272" w:rsidRPr="00E56459" w:rsidP="00883272" w14:paraId="13181319" w14:textId="0B2D46F0">
      <w:pPr>
        <w:ind w:left="0"/>
        <w:rPr>
          <w:lang w:val="en"/>
        </w:rPr>
      </w:pPr>
    </w:p>
    <w:p w:rsidR="00883272" w:rsidP="00883272" w14:paraId="1E628234" w14:textId="664F6950">
      <w:pPr>
        <w:ind w:left="0"/>
      </w:pPr>
      <w:r>
        <w:t xml:space="preserve">On </w:t>
      </w:r>
      <w:r w:rsidR="005E2CD4">
        <w:t>March 14, 2023</w:t>
      </w:r>
      <w:r>
        <w:t xml:space="preserve"> (8</w:t>
      </w:r>
      <w:r w:rsidR="00D53B10">
        <w:t>8</w:t>
      </w:r>
      <w:r>
        <w:t xml:space="preserve"> FR </w:t>
      </w:r>
      <w:r w:rsidR="00D53B10">
        <w:t>15864</w:t>
      </w:r>
      <w:r>
        <w:t>), the NRC published a final rule “</w:t>
      </w:r>
      <w:r w:rsidRPr="00E97B48" w:rsidR="00E97B48">
        <w:t>Enhanced Weapons, Firearms Background Checks, and Security Event Notifications</w:t>
      </w:r>
      <w:r>
        <w:t>.”  This final rule was preapproved by OMB on October 18, 2022.  It was submitted under temporary clearance number 3150-025</w:t>
      </w:r>
      <w:r w:rsidR="00B40F3D">
        <w:t>3</w:t>
      </w:r>
      <w:r>
        <w:t xml:space="preserve"> because the clearance for Part </w:t>
      </w:r>
      <w:r w:rsidR="00313F7B">
        <w:t>73</w:t>
      </w:r>
      <w:r>
        <w:t xml:space="preserve"> (3150-0</w:t>
      </w:r>
      <w:r w:rsidR="00313F7B">
        <w:t>002</w:t>
      </w:r>
      <w:r>
        <w:t>) was blocked by another submission.  The purpose of this nonsubstantive change request is to transfer the burden from temporary clearance number 3150-025</w:t>
      </w:r>
      <w:r w:rsidR="00313F7B">
        <w:t>4</w:t>
      </w:r>
      <w:r>
        <w:t xml:space="preserve"> to the appropriate Part </w:t>
      </w:r>
      <w:r w:rsidR="00313F7B">
        <w:t>73</w:t>
      </w:r>
      <w:r>
        <w:t xml:space="preserve"> clearance number, 3150-0</w:t>
      </w:r>
      <w:r w:rsidR="00313F7B">
        <w:t>002</w:t>
      </w:r>
      <w:r>
        <w:t>.  After approval of this nonsubstantive change request, clearance 3150-025</w:t>
      </w:r>
      <w:r w:rsidR="00313F7B">
        <w:t>3</w:t>
      </w:r>
      <w:r>
        <w:t xml:space="preserve"> will be discontinued.</w:t>
      </w:r>
    </w:p>
    <w:p w:rsidR="00883272" w:rsidP="00883272" w14:paraId="14302AAC" w14:textId="77777777">
      <w:pPr>
        <w:ind w:left="0"/>
      </w:pPr>
    </w:p>
    <w:p w:rsidR="00DE02FB" w:rsidP="00DE02FB" w14:paraId="0783D63C" w14:textId="3870AB5F">
      <w:pPr>
        <w:ind w:left="0"/>
      </w:pPr>
      <w:r w:rsidRPr="0025037D">
        <w:t xml:space="preserve">The </w:t>
      </w:r>
      <w:r w:rsidR="001861DC">
        <w:t xml:space="preserve">final rule implemented </w:t>
      </w:r>
      <w:r w:rsidRPr="0025037D">
        <w:t>the NRC’s authority under Section 161A of the AEA.</w:t>
      </w:r>
      <w:r>
        <w:t xml:space="preserve">  This </w:t>
      </w:r>
      <w:r w:rsidRPr="0025037D">
        <w:t xml:space="preserve">permits NRC licensees to voluntarily apply for </w:t>
      </w:r>
      <w:r>
        <w:t xml:space="preserve">stand-alone </w:t>
      </w:r>
      <w:r w:rsidRPr="0025037D">
        <w:t xml:space="preserve">preemption authority </w:t>
      </w:r>
      <w:r>
        <w:t>or</w:t>
      </w:r>
      <w:r w:rsidRPr="0025037D">
        <w:t xml:space="preserve"> </w:t>
      </w:r>
      <w:r>
        <w:t>combined preemption</w:t>
      </w:r>
      <w:r w:rsidRPr="0025037D">
        <w:t xml:space="preserve"> authority</w:t>
      </w:r>
      <w:r>
        <w:t xml:space="preserve"> and </w:t>
      </w:r>
      <w:r w:rsidRPr="0025037D">
        <w:t xml:space="preserve">enhanced weapons </w:t>
      </w:r>
      <w:r>
        <w:t>authority</w:t>
      </w:r>
      <w:r w:rsidRPr="0025037D">
        <w:t>.  These implementing regulations would apply to nuclear power reactor facilities, independent spent fuel storage installations (ISFSIs),</w:t>
      </w:r>
      <w:r>
        <w:t xml:space="preserve"> shipments of SNF,</w:t>
      </w:r>
      <w:r w:rsidRPr="0025037D">
        <w:t xml:space="preserve"> and Category I strategic special nuclear material (SSNM) facilities.</w:t>
      </w:r>
      <w:r>
        <w:t xml:space="preserve">  </w:t>
      </w:r>
      <w:r w:rsidR="003B035A">
        <w:t>In addition, the rule revised</w:t>
      </w:r>
      <w:r w:rsidRPr="001B0614">
        <w:t xml:space="preserve"> existing regulations to provide for consistency of mandatory </w:t>
      </w:r>
      <w:r>
        <w:t xml:space="preserve">physical </w:t>
      </w:r>
      <w:r w:rsidRPr="001B0614">
        <w:t>securi</w:t>
      </w:r>
      <w:r w:rsidRPr="00593479">
        <w:t>ty event notification requirements from different classes of facilities</w:t>
      </w:r>
      <w:r>
        <w:t xml:space="preserve"> and from</w:t>
      </w:r>
      <w:r w:rsidRPr="00593479">
        <w:t xml:space="preserve"> the transportation of radioactive material.  </w:t>
      </w:r>
      <w:r>
        <w:t>E</w:t>
      </w:r>
      <w:r w:rsidRPr="002D30C7">
        <w:t xml:space="preserve">xisting mandatory physical security event notification requirements </w:t>
      </w:r>
      <w:r w:rsidR="003B035A">
        <w:t>were</w:t>
      </w:r>
      <w:r>
        <w:t xml:space="preserve"> modified to</w:t>
      </w:r>
      <w:r w:rsidRPr="002D30C7">
        <w:t xml:space="preserve"> add requirements for two</w:t>
      </w:r>
      <w:r>
        <w:t xml:space="preserve"> new</w:t>
      </w:r>
      <w:r w:rsidRPr="002D30C7">
        <w:t xml:space="preserve"> types of events:  stolen or lost enhanced weapons and actual or imminent hostile </w:t>
      </w:r>
      <w:r>
        <w:t>actions</w:t>
      </w:r>
      <w:r w:rsidRPr="002D30C7">
        <w:t xml:space="preserve">.  </w:t>
      </w:r>
      <w:r w:rsidR="003B035A">
        <w:t>Finally, the rule established</w:t>
      </w:r>
      <w:r w:rsidRPr="00B55144">
        <w:t xml:space="preserve"> new requirements for licensees to report suspicious activities to local law enforcement agencies (LLEA), the </w:t>
      </w:r>
      <w:r w:rsidRPr="00A32597">
        <w:t xml:space="preserve">Federal Bureau of Investigation </w:t>
      </w:r>
      <w:r>
        <w:t>(</w:t>
      </w:r>
      <w:r w:rsidRPr="00B55144">
        <w:t>FBI</w:t>
      </w:r>
      <w:r>
        <w:t>)</w:t>
      </w:r>
      <w:r w:rsidRPr="00B55144">
        <w:t>, the NRC, and the Federal Aviation Administration (FAA) (for suspicious activities involving aircraft).</w:t>
      </w:r>
    </w:p>
    <w:p w:rsidR="00F60547" w:rsidP="00883272" w14:paraId="6FFF90C5" w14:textId="3A61CFB3">
      <w:pPr>
        <w:ind w:left="0"/>
      </w:pPr>
    </w:p>
    <w:p w:rsidR="00F60547" w:rsidP="003B035A" w14:paraId="5569E2DD" w14:textId="1385866D">
      <w:pPr>
        <w:spacing w:after="160" w:line="259" w:lineRule="auto"/>
        <w:ind w:left="0"/>
      </w:pPr>
      <w:r>
        <w:t xml:space="preserve">The burden for Part </w:t>
      </w:r>
      <w:r w:rsidR="003B035A">
        <w:t>73</w:t>
      </w:r>
      <w:r>
        <w:t xml:space="preserve"> </w:t>
      </w:r>
      <w:r w:rsidR="00845389">
        <w:t>(3150-</w:t>
      </w:r>
      <w:r w:rsidR="003B035A">
        <w:t>0002</w:t>
      </w:r>
      <w:r w:rsidR="001B030A">
        <w:t xml:space="preserve">) </w:t>
      </w:r>
      <w:r>
        <w:t>has been updated as follows:</w:t>
      </w:r>
    </w:p>
    <w:p w:rsidR="00F60547" w:rsidP="00883272" w14:paraId="310C84EA" w14:textId="0B3AEEC9">
      <w:pPr>
        <w:ind w:left="0"/>
      </w:pPr>
    </w:p>
    <w:p w:rsidR="001F4104" w:rsidP="00883272" w14:paraId="6EE74F16" w14:textId="77777777">
      <w:pPr>
        <w:ind w:left="0"/>
      </w:pPr>
    </w:p>
    <w:p w:rsidR="00F60547" w:rsidP="00F60547" w14:paraId="53E104C8" w14:textId="2C445444">
      <w:pPr>
        <w:ind w:left="0"/>
        <w:jc w:val="center"/>
      </w:pPr>
      <w:r w:rsidRPr="008E050E">
        <w:drawing>
          <wp:inline distT="0" distB="0" distL="0" distR="0">
            <wp:extent cx="4178300" cy="1250950"/>
            <wp:effectExtent l="0" t="0" r="0" b="6350"/>
            <wp:docPr id="21107441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74413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547" w:rsidP="00F60547" w14:paraId="0CB76DED" w14:textId="7726C498">
      <w:pPr>
        <w:ind w:left="0"/>
        <w:jc w:val="center"/>
      </w:pPr>
    </w:p>
    <w:p w:rsidR="00462E66" w:rsidP="00F60547" w14:paraId="255104CA" w14:textId="0F71F1DC">
      <w:pPr>
        <w:ind w:left="0"/>
        <w:jc w:val="center"/>
      </w:pPr>
      <w:r w:rsidRPr="00017D43">
        <w:drawing>
          <wp:inline distT="0" distB="0" distL="0" distR="0">
            <wp:extent cx="4178300" cy="1250950"/>
            <wp:effectExtent l="0" t="0" r="0" b="6350"/>
            <wp:docPr id="2996291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62916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104" w:rsidP="00F60547" w14:paraId="3E457F8C" w14:textId="54619270">
      <w:pPr>
        <w:ind w:left="0"/>
        <w:jc w:val="center"/>
      </w:pPr>
    </w:p>
    <w:p w:rsidR="00F60547" w:rsidP="005C692C" w14:paraId="0C5AF6CC" w14:textId="1A31A0AB">
      <w:pPr>
        <w:ind w:left="0"/>
      </w:pPr>
      <w:r>
        <w:t>Note that 7 recordkeeping responses were not transferred from 3150-0253.  These recordkeepers are already counted as responses in the existing Part 73 clearance; transferring them would result in double-counting</w:t>
      </w:r>
      <w:r w:rsidR="005C692C">
        <w:t>.</w:t>
      </w:r>
    </w:p>
    <w:p w:rsidR="004D55CA" w:rsidP="00A53890" w14:paraId="57C2A260" w14:textId="77777777">
      <w:pPr>
        <w:ind w:left="0"/>
      </w:pPr>
    </w:p>
    <w:p w:rsidR="0074124D" w:rsidP="0074124D" w14:paraId="0D2B99C1" w14:textId="47A58954">
      <w:pPr>
        <w:ind w:left="0"/>
      </w:pPr>
      <w:r>
        <w:t>Finally, $</w:t>
      </w:r>
      <w:r w:rsidR="00AB418F">
        <w:t>320</w:t>
      </w:r>
      <w:r>
        <w:t xml:space="preserve"> in additional costs have been transferred from 3150-025</w:t>
      </w:r>
      <w:r w:rsidR="00AB418F">
        <w:t>3</w:t>
      </w:r>
      <w:r>
        <w:t xml:space="preserve"> to 3150-0</w:t>
      </w:r>
      <w:r w:rsidR="00AB418F">
        <w:t>002</w:t>
      </w:r>
      <w:r w:rsidR="00E81050">
        <w:t xml:space="preserve">, increasing the overall additional costs from </w:t>
      </w:r>
      <w:r w:rsidR="00524375">
        <w:t xml:space="preserve">$552,969 to </w:t>
      </w:r>
      <w:r w:rsidR="00B35997">
        <w:t>$553,289</w:t>
      </w:r>
      <w:r>
        <w:t>.</w:t>
      </w:r>
    </w:p>
    <w:p w:rsidR="0074124D" w:rsidRPr="00883272" w:rsidP="00A53890" w14:paraId="4642026A" w14:textId="5CB63FD4">
      <w:pPr>
        <w:ind w:left="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49221D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4777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72"/>
    <w:rsid w:val="00017D43"/>
    <w:rsid w:val="000C7ADB"/>
    <w:rsid w:val="00110BDB"/>
    <w:rsid w:val="001763E0"/>
    <w:rsid w:val="001861DC"/>
    <w:rsid w:val="001B030A"/>
    <w:rsid w:val="001B0614"/>
    <w:rsid w:val="001F4104"/>
    <w:rsid w:val="0025037D"/>
    <w:rsid w:val="002D30C7"/>
    <w:rsid w:val="00313F7B"/>
    <w:rsid w:val="003A4E49"/>
    <w:rsid w:val="003B035A"/>
    <w:rsid w:val="004553B5"/>
    <w:rsid w:val="00462E66"/>
    <w:rsid w:val="004D55CA"/>
    <w:rsid w:val="004F5FF3"/>
    <w:rsid w:val="0051740C"/>
    <w:rsid w:val="00523420"/>
    <w:rsid w:val="00524375"/>
    <w:rsid w:val="00562C28"/>
    <w:rsid w:val="00590E75"/>
    <w:rsid w:val="00593479"/>
    <w:rsid w:val="005C692C"/>
    <w:rsid w:val="005E2CD4"/>
    <w:rsid w:val="0066212C"/>
    <w:rsid w:val="006D67A0"/>
    <w:rsid w:val="0074124D"/>
    <w:rsid w:val="00844EB1"/>
    <w:rsid w:val="00845389"/>
    <w:rsid w:val="00883272"/>
    <w:rsid w:val="008B6A37"/>
    <w:rsid w:val="008E050E"/>
    <w:rsid w:val="009266E3"/>
    <w:rsid w:val="009D15E5"/>
    <w:rsid w:val="00A0219C"/>
    <w:rsid w:val="00A03611"/>
    <w:rsid w:val="00A32597"/>
    <w:rsid w:val="00A53890"/>
    <w:rsid w:val="00AB418F"/>
    <w:rsid w:val="00AB746F"/>
    <w:rsid w:val="00AF4A3D"/>
    <w:rsid w:val="00B17970"/>
    <w:rsid w:val="00B35997"/>
    <w:rsid w:val="00B40F3D"/>
    <w:rsid w:val="00B55144"/>
    <w:rsid w:val="00B72F8E"/>
    <w:rsid w:val="00C04626"/>
    <w:rsid w:val="00C4608B"/>
    <w:rsid w:val="00D53B10"/>
    <w:rsid w:val="00D85BF8"/>
    <w:rsid w:val="00DE02FB"/>
    <w:rsid w:val="00DE25CA"/>
    <w:rsid w:val="00E23742"/>
    <w:rsid w:val="00E56459"/>
    <w:rsid w:val="00E81050"/>
    <w:rsid w:val="00E97B48"/>
    <w:rsid w:val="00F60547"/>
    <w:rsid w:val="00FA7052"/>
    <w:rsid w:val="00FC706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5D2C84"/>
  <w15:chartTrackingRefBased/>
  <w15:docId w15:val="{8FB7C992-6A8E-445B-9C79-F675DD58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3272"/>
    <w:pPr>
      <w:spacing w:after="0" w:line="240" w:lineRule="auto"/>
      <w:ind w:left="720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883272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883272"/>
    <w:pPr>
      <w:widowControl w:val="0"/>
      <w:tabs>
        <w:tab w:val="left" w:pos="-1440"/>
        <w:tab w:val="left" w:pos="-360"/>
        <w:tab w:val="left" w:pos="0"/>
        <w:tab w:val="left" w:pos="720"/>
        <w:tab w:val="left" w:pos="12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3272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B17970"/>
    <w:pPr>
      <w:widowControl w:val="0"/>
      <w:autoSpaceDE w:val="0"/>
      <w:autoSpaceDN w:val="0"/>
      <w:ind w:left="0"/>
    </w:pPr>
    <w:rPr>
      <w:rFonts w:eastAsia="Arial"/>
    </w:rPr>
  </w:style>
  <w:style w:type="character" w:customStyle="1" w:styleId="BodyTextChar">
    <w:name w:val="Body Text Char"/>
    <w:basedOn w:val="DefaultParagraphFont"/>
    <w:link w:val="BodyText"/>
    <w:uiPriority w:val="1"/>
    <w:rsid w:val="00B17970"/>
    <w:rPr>
      <w:rFonts w:eastAsia="Arial" w:cs="Arial"/>
    </w:rPr>
  </w:style>
  <w:style w:type="paragraph" w:styleId="ListBullet">
    <w:name w:val="List Bullet"/>
    <w:basedOn w:val="Normal"/>
    <w:rsid w:val="00DE02FB"/>
    <w:pPr>
      <w:widowControl w:val="0"/>
      <w:numPr>
        <w:numId w:val="1"/>
      </w:numPr>
      <w:autoSpaceDE w:val="0"/>
      <w:autoSpaceDN w:val="0"/>
      <w:adjustRightInd w:val="0"/>
      <w:contextualSpacing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emf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8d01475-c3b5-436a-a065-5def4c64f52e}" enabled="0" method="" siteId="{e8d01475-c3b5-436a-a065-5def4c64f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Benney</dc:creator>
  <cp:lastModifiedBy>Kristen Benney</cp:lastModifiedBy>
  <cp:revision>21</cp:revision>
  <cp:lastPrinted>2023-05-16T12:56:00Z</cp:lastPrinted>
  <dcterms:created xsi:type="dcterms:W3CDTF">2024-05-06T18:10:00Z</dcterms:created>
  <dcterms:modified xsi:type="dcterms:W3CDTF">2024-05-06T18:49:00Z</dcterms:modified>
</cp:coreProperties>
</file>