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28D1" w:rsidP="009928D1" w14:paraId="255FB049" w14:textId="515AC1A7">
      <w:pPr>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Summary of </w:t>
      </w:r>
      <w:r w:rsidR="00C731D8">
        <w:rPr>
          <w:rFonts w:ascii="Times New Roman" w:hAnsi="Times New Roman" w:cs="Times New Roman"/>
          <w:b/>
          <w:sz w:val="24"/>
          <w:szCs w:val="24"/>
          <w:u w:val="single"/>
        </w:rPr>
        <w:t xml:space="preserve">OGE Form </w:t>
      </w:r>
      <w:r w:rsidR="00DB73AF">
        <w:rPr>
          <w:rFonts w:ascii="Times New Roman" w:hAnsi="Times New Roman" w:cs="Times New Roman"/>
          <w:b/>
          <w:sz w:val="24"/>
          <w:szCs w:val="24"/>
          <w:u w:val="single"/>
        </w:rPr>
        <w:t>450</w:t>
      </w:r>
      <w:r>
        <w:rPr>
          <w:rFonts w:ascii="Times New Roman" w:hAnsi="Times New Roman" w:cs="Times New Roman"/>
          <w:b/>
          <w:sz w:val="24"/>
          <w:szCs w:val="24"/>
          <w:u w:val="single"/>
        </w:rPr>
        <w:t xml:space="preserve"> Comments</w:t>
      </w:r>
    </w:p>
    <w:p w:rsidR="00C731D8" w:rsidRPr="00C731D8" w:rsidP="00C731D8" w14:paraId="004293AC" w14:textId="4FD7BA07">
      <w:pPr>
        <w:rPr>
          <w:rFonts w:ascii="Times New Roman" w:hAnsi="Times New Roman" w:cs="Times New Roman"/>
          <w:sz w:val="24"/>
          <w:szCs w:val="24"/>
        </w:rPr>
      </w:pPr>
      <w:r>
        <w:rPr>
          <w:rFonts w:ascii="Times New Roman" w:hAnsi="Times New Roman" w:cs="Times New Roman"/>
          <w:sz w:val="24"/>
          <w:szCs w:val="24"/>
        </w:rPr>
        <w:tab/>
      </w:r>
      <w:r w:rsidRPr="00C731D8">
        <w:rPr>
          <w:rFonts w:ascii="Times New Roman" w:hAnsi="Times New Roman" w:cs="Times New Roman"/>
          <w:sz w:val="24"/>
          <w:szCs w:val="24"/>
        </w:rPr>
        <w:t xml:space="preserve">In the last review and clearance for </w:t>
      </w:r>
      <w:r>
        <w:rPr>
          <w:rFonts w:ascii="Times New Roman" w:hAnsi="Times New Roman" w:cs="Times New Roman"/>
          <w:sz w:val="24"/>
          <w:szCs w:val="24"/>
        </w:rPr>
        <w:t>the OGE</w:t>
      </w:r>
      <w:r w:rsidRPr="00C731D8">
        <w:rPr>
          <w:rFonts w:ascii="Times New Roman" w:hAnsi="Times New Roman" w:cs="Times New Roman"/>
          <w:sz w:val="24"/>
          <w:szCs w:val="24"/>
        </w:rPr>
        <w:t xml:space="preserve"> Form</w:t>
      </w:r>
      <w:r>
        <w:rPr>
          <w:rFonts w:ascii="Times New Roman" w:hAnsi="Times New Roman" w:cs="Times New Roman"/>
          <w:sz w:val="24"/>
          <w:szCs w:val="24"/>
        </w:rPr>
        <w:t xml:space="preserve"> </w:t>
      </w:r>
      <w:r w:rsidR="00DB73AF">
        <w:rPr>
          <w:rFonts w:ascii="Times New Roman" w:hAnsi="Times New Roman" w:cs="Times New Roman"/>
          <w:sz w:val="24"/>
          <w:szCs w:val="24"/>
        </w:rPr>
        <w:t>450</w:t>
      </w:r>
      <w:r w:rsidRPr="00C731D8">
        <w:rPr>
          <w:rFonts w:ascii="Times New Roman" w:hAnsi="Times New Roman" w:cs="Times New Roman"/>
          <w:sz w:val="24"/>
          <w:szCs w:val="24"/>
        </w:rPr>
        <w:t>, the Office of Management and Budget, Office of Information and Regulatory Affairs (OIRA), directed</w:t>
      </w:r>
      <w:r>
        <w:rPr>
          <w:rFonts w:ascii="Times New Roman" w:hAnsi="Times New Roman" w:cs="Times New Roman"/>
          <w:sz w:val="24"/>
          <w:szCs w:val="24"/>
        </w:rPr>
        <w:t xml:space="preserve"> the Office of Government Ethics</w:t>
      </w:r>
      <w:r w:rsidRPr="00C731D8">
        <w:rPr>
          <w:rFonts w:ascii="Times New Roman" w:hAnsi="Times New Roman" w:cs="Times New Roman"/>
          <w:sz w:val="24"/>
          <w:szCs w:val="24"/>
        </w:rPr>
        <w:t xml:space="preserve"> </w:t>
      </w:r>
      <w:r>
        <w:rPr>
          <w:rFonts w:ascii="Times New Roman" w:hAnsi="Times New Roman" w:cs="Times New Roman"/>
          <w:sz w:val="24"/>
          <w:szCs w:val="24"/>
        </w:rPr>
        <w:t>(</w:t>
      </w:r>
      <w:r w:rsidRPr="00C731D8">
        <w:rPr>
          <w:rFonts w:ascii="Times New Roman" w:hAnsi="Times New Roman" w:cs="Times New Roman"/>
          <w:sz w:val="24"/>
          <w:szCs w:val="24"/>
        </w:rPr>
        <w:t>OGE</w:t>
      </w:r>
      <w:r>
        <w:rPr>
          <w:rFonts w:ascii="Times New Roman" w:hAnsi="Times New Roman" w:cs="Times New Roman"/>
          <w:sz w:val="24"/>
          <w:szCs w:val="24"/>
        </w:rPr>
        <w:t>)</w:t>
      </w:r>
      <w:r w:rsidRPr="00C731D8">
        <w:rPr>
          <w:rFonts w:ascii="Times New Roman" w:hAnsi="Times New Roman" w:cs="Times New Roman"/>
          <w:sz w:val="24"/>
          <w:szCs w:val="24"/>
        </w:rPr>
        <w:t xml:space="preserve"> to incorporate public feedback that will improve the clarity and efficiency of this collection</w:t>
      </w:r>
      <w:r>
        <w:rPr>
          <w:rFonts w:ascii="Times New Roman" w:hAnsi="Times New Roman" w:cs="Times New Roman"/>
          <w:sz w:val="24"/>
          <w:szCs w:val="24"/>
        </w:rPr>
        <w:t xml:space="preserve"> and </w:t>
      </w:r>
      <w:r w:rsidR="00893751">
        <w:rPr>
          <w:rFonts w:ascii="Times New Roman" w:hAnsi="Times New Roman" w:cs="Times New Roman"/>
          <w:sz w:val="24"/>
          <w:szCs w:val="24"/>
        </w:rPr>
        <w:t xml:space="preserve">to </w:t>
      </w:r>
      <w:r>
        <w:rPr>
          <w:rFonts w:ascii="Times New Roman" w:hAnsi="Times New Roman" w:cs="Times New Roman"/>
          <w:sz w:val="24"/>
          <w:szCs w:val="24"/>
        </w:rPr>
        <w:t xml:space="preserve">update OIRA </w:t>
      </w:r>
      <w:r w:rsidRPr="00C731D8">
        <w:rPr>
          <w:rFonts w:ascii="Times New Roman" w:hAnsi="Times New Roman" w:cs="Times New Roman"/>
          <w:sz w:val="24"/>
          <w:szCs w:val="24"/>
        </w:rPr>
        <w:t xml:space="preserve">every </w:t>
      </w:r>
      <w:r w:rsidR="004623CB">
        <w:rPr>
          <w:rFonts w:ascii="Times New Roman" w:hAnsi="Times New Roman" w:cs="Times New Roman"/>
          <w:sz w:val="24"/>
          <w:szCs w:val="24"/>
        </w:rPr>
        <w:t>six</w:t>
      </w:r>
      <w:r w:rsidRPr="00C731D8">
        <w:rPr>
          <w:rFonts w:ascii="Times New Roman" w:hAnsi="Times New Roman" w:cs="Times New Roman"/>
          <w:sz w:val="24"/>
          <w:szCs w:val="24"/>
        </w:rPr>
        <w:t xml:space="preserve"> months until </w:t>
      </w:r>
      <w:r w:rsidR="00893751">
        <w:rPr>
          <w:rFonts w:ascii="Times New Roman" w:hAnsi="Times New Roman" w:cs="Times New Roman"/>
          <w:sz w:val="24"/>
          <w:szCs w:val="24"/>
        </w:rPr>
        <w:t>OGE</w:t>
      </w:r>
      <w:r w:rsidRPr="00C731D8">
        <w:rPr>
          <w:rFonts w:ascii="Times New Roman" w:hAnsi="Times New Roman" w:cs="Times New Roman"/>
          <w:sz w:val="24"/>
          <w:szCs w:val="24"/>
        </w:rPr>
        <w:t xml:space="preserve"> makes a final determination, in consultation with OMB, regarding updates to the collection.</w:t>
      </w:r>
    </w:p>
    <w:p w:rsidR="0083281E" w:rsidP="00C731D8" w14:paraId="39200A2D" w14:textId="313DAB1E">
      <w:pPr>
        <w:ind w:firstLine="720"/>
        <w:rPr>
          <w:rFonts w:ascii="Times New Roman" w:hAnsi="Times New Roman" w:cs="Times New Roman"/>
          <w:bCs/>
          <w:sz w:val="24"/>
          <w:szCs w:val="24"/>
        </w:rPr>
      </w:pPr>
      <w:r w:rsidRPr="00C731D8">
        <w:rPr>
          <w:rFonts w:ascii="Times New Roman" w:hAnsi="Times New Roman" w:cs="Times New Roman"/>
          <w:sz w:val="24"/>
          <w:szCs w:val="24"/>
        </w:rPr>
        <w:t>OGE created an action plan to capture and evaluate public and stakeholder feedback from a variety of</w:t>
      </w:r>
      <w:r>
        <w:rPr>
          <w:rFonts w:ascii="Times New Roman" w:hAnsi="Times New Roman" w:cs="Times New Roman"/>
          <w:sz w:val="24"/>
          <w:szCs w:val="24"/>
        </w:rPr>
        <w:t xml:space="preserve"> sources</w:t>
      </w:r>
      <w:r w:rsidRPr="00C731D8">
        <w:rPr>
          <w:rFonts w:ascii="Times New Roman" w:hAnsi="Times New Roman" w:cs="Times New Roman"/>
          <w:sz w:val="24"/>
          <w:szCs w:val="24"/>
        </w:rPr>
        <w:t>.</w:t>
      </w:r>
      <w:r>
        <w:rPr>
          <w:rFonts w:ascii="Times New Roman" w:hAnsi="Times New Roman" w:cs="Times New Roman"/>
          <w:sz w:val="24"/>
          <w:szCs w:val="24"/>
        </w:rPr>
        <w:t xml:space="preserve"> During the implementation of this plan, </w:t>
      </w:r>
      <w:r w:rsidR="0083635C">
        <w:rPr>
          <w:rFonts w:ascii="Times New Roman" w:hAnsi="Times New Roman" w:cs="Times New Roman"/>
          <w:sz w:val="24"/>
          <w:szCs w:val="24"/>
        </w:rPr>
        <w:t xml:space="preserve">OGE </w:t>
      </w:r>
      <w:r w:rsidR="007812CC">
        <w:rPr>
          <w:rFonts w:ascii="Times New Roman" w:hAnsi="Times New Roman" w:cs="Times New Roman"/>
          <w:sz w:val="24"/>
          <w:szCs w:val="24"/>
        </w:rPr>
        <w:t xml:space="preserve">received </w:t>
      </w:r>
      <w:r w:rsidRPr="0083635C" w:rsidR="007812CC">
        <w:rPr>
          <w:rFonts w:ascii="Times New Roman" w:hAnsi="Times New Roman" w:cs="Times New Roman"/>
          <w:bCs/>
          <w:sz w:val="24"/>
          <w:szCs w:val="24"/>
        </w:rPr>
        <w:t>comments</w:t>
      </w:r>
      <w:r w:rsidRPr="0083635C" w:rsidR="0083635C">
        <w:rPr>
          <w:rFonts w:ascii="Times New Roman" w:hAnsi="Times New Roman" w:cs="Times New Roman"/>
          <w:bCs/>
          <w:sz w:val="24"/>
          <w:szCs w:val="24"/>
        </w:rPr>
        <w:t xml:space="preserve"> from OGE employees</w:t>
      </w:r>
      <w:r w:rsidR="00893751">
        <w:rPr>
          <w:rFonts w:ascii="Times New Roman" w:hAnsi="Times New Roman" w:cs="Times New Roman"/>
          <w:bCs/>
          <w:sz w:val="24"/>
          <w:szCs w:val="24"/>
        </w:rPr>
        <w:t>,</w:t>
      </w:r>
      <w:r w:rsidR="00AE56DB">
        <w:rPr>
          <w:rFonts w:ascii="Times New Roman" w:hAnsi="Times New Roman" w:cs="Times New Roman"/>
          <w:bCs/>
          <w:sz w:val="24"/>
          <w:szCs w:val="24"/>
        </w:rPr>
        <w:t xml:space="preserve"> </w:t>
      </w:r>
      <w:r w:rsidRPr="0083635C" w:rsidR="0083635C">
        <w:rPr>
          <w:rFonts w:ascii="Times New Roman" w:hAnsi="Times New Roman" w:cs="Times New Roman"/>
          <w:bCs/>
          <w:sz w:val="24"/>
          <w:szCs w:val="24"/>
        </w:rPr>
        <w:t>agency ethics officials</w:t>
      </w:r>
      <w:r w:rsidR="00893751">
        <w:rPr>
          <w:rFonts w:ascii="Times New Roman" w:hAnsi="Times New Roman" w:cs="Times New Roman"/>
          <w:bCs/>
          <w:sz w:val="24"/>
          <w:szCs w:val="24"/>
        </w:rPr>
        <w:t>,</w:t>
      </w:r>
      <w:r w:rsidR="00AE56DB">
        <w:rPr>
          <w:rFonts w:ascii="Times New Roman" w:hAnsi="Times New Roman" w:cs="Times New Roman"/>
          <w:bCs/>
          <w:sz w:val="24"/>
          <w:szCs w:val="24"/>
        </w:rPr>
        <w:t xml:space="preserve"> and a member of the public</w:t>
      </w:r>
      <w:r w:rsidRPr="009B4CA3" w:rsidR="0083635C">
        <w:rPr>
          <w:rFonts w:ascii="Times New Roman" w:hAnsi="Times New Roman" w:cs="Times New Roman"/>
          <w:bCs/>
          <w:sz w:val="24"/>
          <w:szCs w:val="24"/>
        </w:rPr>
        <w:t xml:space="preserve">. </w:t>
      </w:r>
      <w:r w:rsidRPr="009B4CA3" w:rsidR="0083635C">
        <w:rPr>
          <w:rFonts w:ascii="Times New Roman" w:hAnsi="Times New Roman" w:cs="Times New Roman"/>
          <w:bCs/>
          <w:sz w:val="24"/>
          <w:szCs w:val="24"/>
        </w:rPr>
        <w:t>A</w:t>
      </w:r>
      <w:r w:rsidRPr="0083635C" w:rsidR="0083635C">
        <w:rPr>
          <w:rFonts w:ascii="Times New Roman" w:hAnsi="Times New Roman" w:cs="Times New Roman"/>
          <w:bCs/>
          <w:sz w:val="24"/>
          <w:szCs w:val="24"/>
        </w:rPr>
        <w:t xml:space="preserve"> majority of</w:t>
      </w:r>
      <w:r w:rsidRPr="0083635C" w:rsidR="0083635C">
        <w:rPr>
          <w:rFonts w:ascii="Times New Roman" w:hAnsi="Times New Roman" w:cs="Times New Roman"/>
          <w:bCs/>
          <w:sz w:val="24"/>
          <w:szCs w:val="24"/>
        </w:rPr>
        <w:t xml:space="preserve"> the comments </w:t>
      </w:r>
      <w:r w:rsidR="00893751">
        <w:rPr>
          <w:rFonts w:ascii="Times New Roman" w:hAnsi="Times New Roman" w:cs="Times New Roman"/>
          <w:bCs/>
          <w:sz w:val="24"/>
          <w:szCs w:val="24"/>
        </w:rPr>
        <w:t xml:space="preserve">OGE received </w:t>
      </w:r>
      <w:r w:rsidR="003802C7">
        <w:rPr>
          <w:rFonts w:ascii="Times New Roman" w:hAnsi="Times New Roman" w:cs="Times New Roman"/>
          <w:bCs/>
          <w:sz w:val="24"/>
          <w:szCs w:val="24"/>
        </w:rPr>
        <w:t xml:space="preserve">are </w:t>
      </w:r>
      <w:r w:rsidRPr="0083635C" w:rsidR="0083635C">
        <w:rPr>
          <w:rFonts w:ascii="Times New Roman" w:hAnsi="Times New Roman" w:cs="Times New Roman"/>
          <w:bCs/>
          <w:sz w:val="24"/>
          <w:szCs w:val="24"/>
        </w:rPr>
        <w:t xml:space="preserve">related to the definitions and instructions. </w:t>
      </w:r>
    </w:p>
    <w:p w:rsidR="009928D1" w:rsidP="00C731D8" w14:paraId="62FAB543" w14:textId="47438499">
      <w:pPr>
        <w:ind w:firstLine="720"/>
        <w:rPr>
          <w:rFonts w:ascii="Times New Roman" w:hAnsi="Times New Roman" w:cs="Times New Roman"/>
          <w:sz w:val="24"/>
          <w:szCs w:val="24"/>
        </w:rPr>
      </w:pPr>
      <w:bookmarkStart w:id="0" w:name="_Hlk164869295"/>
      <w:r>
        <w:rPr>
          <w:rFonts w:ascii="Times New Roman" w:hAnsi="Times New Roman" w:cs="Times New Roman"/>
          <w:bCs/>
          <w:sz w:val="24"/>
          <w:szCs w:val="24"/>
        </w:rPr>
        <w:t xml:space="preserve">OGE </w:t>
      </w:r>
      <w:r w:rsidR="004623CB">
        <w:rPr>
          <w:rFonts w:ascii="Times New Roman" w:hAnsi="Times New Roman" w:cs="Times New Roman"/>
          <w:bCs/>
          <w:sz w:val="24"/>
          <w:szCs w:val="24"/>
        </w:rPr>
        <w:t xml:space="preserve">thoroughly </w:t>
      </w:r>
      <w:r w:rsidRPr="0083635C" w:rsidR="0083635C">
        <w:rPr>
          <w:rFonts w:ascii="Times New Roman" w:hAnsi="Times New Roman" w:cs="Times New Roman"/>
          <w:bCs/>
          <w:sz w:val="24"/>
          <w:szCs w:val="24"/>
        </w:rPr>
        <w:t>considered each comment submitted</w:t>
      </w:r>
      <w:r w:rsidR="007812CC">
        <w:rPr>
          <w:rFonts w:ascii="Times New Roman" w:hAnsi="Times New Roman" w:cs="Times New Roman"/>
          <w:bCs/>
          <w:sz w:val="24"/>
          <w:szCs w:val="24"/>
        </w:rPr>
        <w:t xml:space="preserve">. </w:t>
      </w:r>
      <w:r>
        <w:rPr>
          <w:rFonts w:ascii="Times New Roman" w:hAnsi="Times New Roman" w:cs="Times New Roman"/>
          <w:bCs/>
          <w:sz w:val="24"/>
          <w:szCs w:val="24"/>
        </w:rPr>
        <w:t xml:space="preserve">OGE </w:t>
      </w:r>
      <w:r w:rsidR="00394D76">
        <w:rPr>
          <w:rFonts w:ascii="Times New Roman" w:hAnsi="Times New Roman" w:cs="Times New Roman"/>
          <w:bCs/>
          <w:sz w:val="24"/>
          <w:szCs w:val="24"/>
        </w:rPr>
        <w:t>accepted</w:t>
      </w:r>
      <w:r w:rsidRPr="0083635C" w:rsidR="0083635C">
        <w:rPr>
          <w:rFonts w:ascii="Times New Roman" w:hAnsi="Times New Roman" w:cs="Times New Roman"/>
          <w:bCs/>
          <w:sz w:val="24"/>
          <w:szCs w:val="24"/>
        </w:rPr>
        <w:t xml:space="preserve"> </w:t>
      </w:r>
      <w:r>
        <w:rPr>
          <w:rFonts w:ascii="Times New Roman" w:hAnsi="Times New Roman" w:cs="Times New Roman"/>
          <w:bCs/>
          <w:sz w:val="24"/>
          <w:szCs w:val="24"/>
        </w:rPr>
        <w:t xml:space="preserve">those </w:t>
      </w:r>
      <w:r w:rsidRPr="0083635C" w:rsidR="0083635C">
        <w:rPr>
          <w:rFonts w:ascii="Times New Roman" w:hAnsi="Times New Roman" w:cs="Times New Roman"/>
          <w:bCs/>
          <w:sz w:val="24"/>
          <w:szCs w:val="24"/>
        </w:rPr>
        <w:t xml:space="preserve">suggested changes </w:t>
      </w:r>
      <w:r>
        <w:rPr>
          <w:rFonts w:ascii="Times New Roman" w:hAnsi="Times New Roman" w:cs="Times New Roman"/>
          <w:bCs/>
          <w:sz w:val="24"/>
          <w:szCs w:val="24"/>
        </w:rPr>
        <w:t xml:space="preserve">that </w:t>
      </w:r>
      <w:r w:rsidR="004623CB">
        <w:rPr>
          <w:rFonts w:ascii="Times New Roman" w:hAnsi="Times New Roman" w:cs="Times New Roman"/>
          <w:bCs/>
          <w:sz w:val="24"/>
          <w:szCs w:val="24"/>
        </w:rPr>
        <w:t>improve</w:t>
      </w:r>
      <w:r w:rsidRPr="0083635C" w:rsidR="0083635C">
        <w:rPr>
          <w:rFonts w:ascii="Times New Roman" w:hAnsi="Times New Roman" w:cs="Times New Roman"/>
          <w:bCs/>
          <w:sz w:val="24"/>
          <w:szCs w:val="24"/>
        </w:rPr>
        <w:t xml:space="preserve"> clarity and </w:t>
      </w:r>
      <w:r w:rsidR="004623CB">
        <w:rPr>
          <w:rFonts w:ascii="Times New Roman" w:hAnsi="Times New Roman" w:cs="Times New Roman"/>
          <w:bCs/>
          <w:sz w:val="24"/>
          <w:szCs w:val="24"/>
        </w:rPr>
        <w:t>efficiency of this collection</w:t>
      </w:r>
      <w:r w:rsidR="007812CC">
        <w:rPr>
          <w:rFonts w:ascii="Times New Roman" w:hAnsi="Times New Roman" w:cs="Times New Roman"/>
          <w:bCs/>
          <w:sz w:val="24"/>
          <w:szCs w:val="24"/>
        </w:rPr>
        <w:t xml:space="preserve">. </w:t>
      </w:r>
      <w:r w:rsidR="00EC4C65">
        <w:rPr>
          <w:rFonts w:ascii="Times New Roman" w:hAnsi="Times New Roman" w:cs="Times New Roman"/>
          <w:bCs/>
          <w:sz w:val="24"/>
          <w:szCs w:val="24"/>
        </w:rPr>
        <w:t xml:space="preserve">OGE rejected </w:t>
      </w:r>
      <w:r w:rsidR="004623CB">
        <w:rPr>
          <w:rFonts w:ascii="Times New Roman" w:hAnsi="Times New Roman" w:cs="Times New Roman"/>
          <w:bCs/>
          <w:sz w:val="24"/>
          <w:szCs w:val="24"/>
        </w:rPr>
        <w:t xml:space="preserve">other </w:t>
      </w:r>
      <w:r w:rsidR="00EC4C65">
        <w:rPr>
          <w:rFonts w:ascii="Times New Roman" w:hAnsi="Times New Roman" w:cs="Times New Roman"/>
          <w:bCs/>
          <w:sz w:val="24"/>
          <w:szCs w:val="24"/>
        </w:rPr>
        <w:t xml:space="preserve">suggested changes </w:t>
      </w:r>
      <w:r w:rsidR="004623CB">
        <w:rPr>
          <w:rFonts w:ascii="Times New Roman" w:hAnsi="Times New Roman" w:cs="Times New Roman"/>
          <w:bCs/>
          <w:sz w:val="24"/>
          <w:szCs w:val="24"/>
        </w:rPr>
        <w:t xml:space="preserve">due to a lack of </w:t>
      </w:r>
      <w:r w:rsidR="00EC4C65">
        <w:rPr>
          <w:rFonts w:ascii="Times New Roman" w:hAnsi="Times New Roman" w:cs="Times New Roman"/>
          <w:bCs/>
          <w:sz w:val="24"/>
          <w:szCs w:val="24"/>
        </w:rPr>
        <w:t xml:space="preserve">regulatory authority, </w:t>
      </w:r>
      <w:r w:rsidR="004623CB">
        <w:rPr>
          <w:rFonts w:ascii="Times New Roman" w:hAnsi="Times New Roman" w:cs="Times New Roman"/>
          <w:bCs/>
          <w:sz w:val="24"/>
          <w:szCs w:val="24"/>
        </w:rPr>
        <w:t xml:space="preserve">adequate budget resources, </w:t>
      </w:r>
      <w:r w:rsidR="00EC4C65">
        <w:rPr>
          <w:rFonts w:ascii="Times New Roman" w:hAnsi="Times New Roman" w:cs="Times New Roman"/>
          <w:bCs/>
          <w:sz w:val="24"/>
          <w:szCs w:val="24"/>
        </w:rPr>
        <w:t xml:space="preserve">or agency support. </w:t>
      </w:r>
    </w:p>
    <w:bookmarkEnd w:id="0"/>
    <w:p w:rsidR="00C731D8" w:rsidP="00C731D8" w14:paraId="302F637D" w14:textId="3AF24720">
      <w:pPr>
        <w:ind w:firstLine="720"/>
        <w:rPr>
          <w:rFonts w:ascii="Times New Roman" w:hAnsi="Times New Roman" w:cs="Times New Roman"/>
          <w:sz w:val="24"/>
          <w:szCs w:val="24"/>
        </w:rPr>
      </w:pPr>
      <w:r>
        <w:rPr>
          <w:rFonts w:ascii="Times New Roman" w:hAnsi="Times New Roman" w:cs="Times New Roman"/>
          <w:sz w:val="24"/>
          <w:szCs w:val="24"/>
        </w:rPr>
        <w:t xml:space="preserve">The following is a </w:t>
      </w:r>
      <w:r w:rsidR="004623CB">
        <w:rPr>
          <w:rFonts w:ascii="Times New Roman" w:hAnsi="Times New Roman" w:cs="Times New Roman"/>
          <w:sz w:val="24"/>
          <w:szCs w:val="24"/>
        </w:rPr>
        <w:t xml:space="preserve">summary of the </w:t>
      </w:r>
      <w:r>
        <w:rPr>
          <w:rFonts w:ascii="Times New Roman" w:hAnsi="Times New Roman" w:cs="Times New Roman"/>
          <w:sz w:val="24"/>
          <w:szCs w:val="24"/>
        </w:rPr>
        <w:t xml:space="preserve">comments </w:t>
      </w:r>
      <w:r w:rsidR="00EC4C65">
        <w:rPr>
          <w:rFonts w:ascii="Times New Roman" w:hAnsi="Times New Roman" w:cs="Times New Roman"/>
          <w:sz w:val="24"/>
          <w:szCs w:val="24"/>
        </w:rPr>
        <w:t xml:space="preserve">received </w:t>
      </w:r>
      <w:r>
        <w:rPr>
          <w:rFonts w:ascii="Times New Roman" w:hAnsi="Times New Roman" w:cs="Times New Roman"/>
          <w:sz w:val="24"/>
          <w:szCs w:val="24"/>
        </w:rPr>
        <w:t>and their disposition:</w:t>
      </w:r>
    </w:p>
    <w:tbl>
      <w:tblPr>
        <w:tblStyle w:val="TableGrid"/>
        <w:tblW w:w="9720" w:type="dxa"/>
        <w:tblInd w:w="-95" w:type="dxa"/>
        <w:tblLook w:val="04A0"/>
      </w:tblPr>
      <w:tblGrid>
        <w:gridCol w:w="1870"/>
        <w:gridCol w:w="3552"/>
        <w:gridCol w:w="4298"/>
      </w:tblGrid>
      <w:tr w14:paraId="745A0C3D" w14:textId="77777777" w:rsidTr="008C5D77">
        <w:tblPrEx>
          <w:tblW w:w="9720" w:type="dxa"/>
          <w:tblInd w:w="-95" w:type="dxa"/>
          <w:tblLook w:val="04A0"/>
        </w:tblPrEx>
        <w:tc>
          <w:tcPr>
            <w:tcW w:w="1870" w:type="dxa"/>
          </w:tcPr>
          <w:p w:rsidR="001D178C" w:rsidRPr="00C731D8" w:rsidP="00C731D8" w14:paraId="787CC0EF" w14:textId="62C1B99A">
            <w:pPr>
              <w:rPr>
                <w:rFonts w:ascii="Times New Roman" w:hAnsi="Times New Roman" w:cs="Times New Roman"/>
                <w:b/>
                <w:bCs/>
                <w:sz w:val="24"/>
                <w:szCs w:val="24"/>
              </w:rPr>
            </w:pPr>
            <w:r w:rsidRPr="00C731D8">
              <w:rPr>
                <w:rFonts w:ascii="Times New Roman" w:hAnsi="Times New Roman" w:cs="Times New Roman"/>
                <w:b/>
                <w:bCs/>
                <w:sz w:val="24"/>
                <w:szCs w:val="24"/>
              </w:rPr>
              <w:t>Commenter</w:t>
            </w:r>
          </w:p>
        </w:tc>
        <w:tc>
          <w:tcPr>
            <w:tcW w:w="3552" w:type="dxa"/>
          </w:tcPr>
          <w:p w:rsidR="001D178C" w:rsidRPr="00C731D8" w:rsidP="00C731D8" w14:paraId="65027946" w14:textId="035E1F8D">
            <w:pPr>
              <w:rPr>
                <w:rFonts w:ascii="Times New Roman" w:hAnsi="Times New Roman" w:cs="Times New Roman"/>
                <w:b/>
                <w:bCs/>
                <w:sz w:val="24"/>
                <w:szCs w:val="24"/>
              </w:rPr>
            </w:pPr>
            <w:r>
              <w:rPr>
                <w:rFonts w:ascii="Times New Roman" w:hAnsi="Times New Roman" w:cs="Times New Roman"/>
                <w:b/>
                <w:bCs/>
                <w:sz w:val="24"/>
                <w:szCs w:val="24"/>
              </w:rPr>
              <w:t>Suggestion</w:t>
            </w:r>
          </w:p>
        </w:tc>
        <w:tc>
          <w:tcPr>
            <w:tcW w:w="4298" w:type="dxa"/>
          </w:tcPr>
          <w:p w:rsidR="001D178C" w:rsidRPr="001D178C" w:rsidP="00C731D8" w14:paraId="2AF3545D" w14:textId="6DB7A822">
            <w:pPr>
              <w:rPr>
                <w:rFonts w:ascii="Times New Roman" w:hAnsi="Times New Roman" w:cs="Times New Roman"/>
                <w:b/>
                <w:bCs/>
                <w:sz w:val="24"/>
                <w:szCs w:val="24"/>
              </w:rPr>
            </w:pPr>
            <w:r w:rsidRPr="001D178C">
              <w:rPr>
                <w:rFonts w:ascii="Times New Roman" w:hAnsi="Times New Roman" w:cs="Times New Roman"/>
                <w:b/>
                <w:bCs/>
                <w:sz w:val="24"/>
                <w:szCs w:val="24"/>
              </w:rPr>
              <w:t>Disposition</w:t>
            </w:r>
          </w:p>
        </w:tc>
      </w:tr>
      <w:tr w14:paraId="7026BDB1" w14:textId="77777777" w:rsidTr="008C5D77">
        <w:tblPrEx>
          <w:tblW w:w="9720" w:type="dxa"/>
          <w:tblInd w:w="-95" w:type="dxa"/>
          <w:tblLook w:val="04A0"/>
        </w:tblPrEx>
        <w:tc>
          <w:tcPr>
            <w:tcW w:w="1870" w:type="dxa"/>
          </w:tcPr>
          <w:p w:rsidR="002E1584" w:rsidRPr="00F04F3B" w:rsidP="00072B1E" w14:paraId="11324461" w14:textId="577A9A1A">
            <w:pPr>
              <w:rPr>
                <w:rFonts w:ascii="Times New Roman" w:hAnsi="Times New Roman" w:cs="Times New Roman"/>
                <w:iCs/>
                <w:sz w:val="24"/>
                <w:szCs w:val="24"/>
              </w:rPr>
            </w:pPr>
            <w:r w:rsidRPr="002E1584">
              <w:rPr>
                <w:rFonts w:ascii="Times New Roman" w:hAnsi="Times New Roman" w:cs="Times New Roman"/>
                <w:iCs/>
                <w:sz w:val="24"/>
                <w:szCs w:val="24"/>
              </w:rPr>
              <w:t>Comments received during public and agency sessions</w:t>
            </w:r>
          </w:p>
        </w:tc>
        <w:tc>
          <w:tcPr>
            <w:tcW w:w="3552" w:type="dxa"/>
          </w:tcPr>
          <w:p w:rsidR="002E1584" w:rsidRPr="002E1584" w:rsidP="002E1584" w14:paraId="0483AE52" w14:textId="17DAE5D5">
            <w:pPr>
              <w:rPr>
                <w:rFonts w:ascii="Times New Roman" w:hAnsi="Times New Roman" w:cs="Times New Roman"/>
                <w:iCs/>
                <w:sz w:val="24"/>
                <w:szCs w:val="24"/>
              </w:rPr>
            </w:pPr>
            <w:r>
              <w:rPr>
                <w:rFonts w:ascii="Times New Roman" w:hAnsi="Times New Roman" w:cs="Times New Roman"/>
                <w:iCs/>
                <w:sz w:val="24"/>
                <w:szCs w:val="24"/>
              </w:rPr>
              <w:t>O</w:t>
            </w:r>
            <w:r w:rsidRPr="002E1584">
              <w:rPr>
                <w:rFonts w:ascii="Times New Roman" w:hAnsi="Times New Roman" w:cs="Times New Roman"/>
                <w:iCs/>
                <w:sz w:val="24"/>
                <w:szCs w:val="24"/>
              </w:rPr>
              <w:t xml:space="preserve">ver the course of the current life of the OGE Form 450, OGE has offered 3 options for agencies and </w:t>
            </w:r>
            <w:r w:rsidR="00125237">
              <w:rPr>
                <w:rFonts w:ascii="Times New Roman" w:hAnsi="Times New Roman" w:cs="Times New Roman"/>
                <w:iCs/>
                <w:sz w:val="24"/>
                <w:szCs w:val="24"/>
              </w:rPr>
              <w:t>filers</w:t>
            </w:r>
            <w:r w:rsidRPr="002E1584">
              <w:rPr>
                <w:rFonts w:ascii="Times New Roman" w:hAnsi="Times New Roman" w:cs="Times New Roman"/>
                <w:iCs/>
                <w:sz w:val="24"/>
                <w:szCs w:val="24"/>
              </w:rPr>
              <w:t xml:space="preserve">: </w:t>
            </w:r>
          </w:p>
          <w:p w:rsidR="002E1584" w:rsidRPr="002E1584" w:rsidP="002E1584" w14:paraId="4AC32B06" w14:textId="08BC1C7C">
            <w:pPr>
              <w:numPr>
                <w:ilvl w:val="0"/>
                <w:numId w:val="33"/>
              </w:numPr>
              <w:rPr>
                <w:rFonts w:ascii="Times New Roman" w:hAnsi="Times New Roman" w:cs="Times New Roman"/>
                <w:iCs/>
                <w:sz w:val="24"/>
                <w:szCs w:val="24"/>
              </w:rPr>
            </w:pPr>
            <w:r w:rsidRPr="002E1584">
              <w:rPr>
                <w:rFonts w:ascii="Times New Roman" w:hAnsi="Times New Roman" w:cs="Times New Roman"/>
                <w:iCs/>
                <w:sz w:val="24"/>
                <w:szCs w:val="24"/>
              </w:rPr>
              <w:t xml:space="preserve">the </w:t>
            </w:r>
            <w:r w:rsidRPr="002E1584">
              <w:rPr>
                <w:rFonts w:ascii="Times New Roman" w:hAnsi="Times New Roman" w:cs="Times New Roman"/>
                <w:b/>
                <w:bCs/>
                <w:iCs/>
                <w:sz w:val="24"/>
                <w:szCs w:val="24"/>
              </w:rPr>
              <w:t>static PDF</w:t>
            </w:r>
            <w:r w:rsidRPr="002E1584">
              <w:rPr>
                <w:rFonts w:ascii="Times New Roman" w:hAnsi="Times New Roman" w:cs="Times New Roman"/>
                <w:iCs/>
                <w:sz w:val="24"/>
                <w:szCs w:val="24"/>
              </w:rPr>
              <w:t>, which is fillable, but you can’t add pages; [508 compliant</w:t>
            </w:r>
            <w:r w:rsidR="00F55565">
              <w:rPr>
                <w:rFonts w:ascii="Times New Roman" w:hAnsi="Times New Roman" w:cs="Times New Roman"/>
                <w:iCs/>
                <w:sz w:val="24"/>
                <w:szCs w:val="24"/>
              </w:rPr>
              <w:t>]</w:t>
            </w:r>
          </w:p>
          <w:p w:rsidR="002E1584" w:rsidRPr="002E1584" w:rsidP="002E1584" w14:paraId="3C56579A" w14:textId="77777777">
            <w:pPr>
              <w:numPr>
                <w:ilvl w:val="0"/>
                <w:numId w:val="33"/>
              </w:numPr>
              <w:rPr>
                <w:rFonts w:ascii="Times New Roman" w:hAnsi="Times New Roman" w:cs="Times New Roman"/>
                <w:iCs/>
                <w:sz w:val="24"/>
                <w:szCs w:val="24"/>
              </w:rPr>
            </w:pPr>
            <w:r w:rsidRPr="002E1584">
              <w:rPr>
                <w:rFonts w:ascii="Times New Roman" w:hAnsi="Times New Roman" w:cs="Times New Roman"/>
                <w:iCs/>
                <w:sz w:val="24"/>
                <w:szCs w:val="24"/>
              </w:rPr>
              <w:t xml:space="preserve">the </w:t>
            </w:r>
            <w:r w:rsidRPr="002E1584">
              <w:rPr>
                <w:rFonts w:ascii="Times New Roman" w:hAnsi="Times New Roman" w:cs="Times New Roman"/>
                <w:b/>
                <w:bCs/>
                <w:iCs/>
                <w:sz w:val="24"/>
                <w:szCs w:val="24"/>
              </w:rPr>
              <w:t>dynamic PDF</w:t>
            </w:r>
            <w:r w:rsidRPr="002E1584">
              <w:rPr>
                <w:rFonts w:ascii="Times New Roman" w:hAnsi="Times New Roman" w:cs="Times New Roman"/>
                <w:iCs/>
                <w:sz w:val="24"/>
                <w:szCs w:val="24"/>
              </w:rPr>
              <w:t xml:space="preserve"> which is also </w:t>
            </w:r>
            <w:r w:rsidRPr="002E1584">
              <w:rPr>
                <w:rFonts w:ascii="Times New Roman" w:hAnsi="Times New Roman" w:cs="Times New Roman"/>
                <w:iCs/>
                <w:sz w:val="24"/>
                <w:szCs w:val="24"/>
              </w:rPr>
              <w:t>fillable</w:t>
            </w:r>
            <w:r w:rsidRPr="002E1584">
              <w:rPr>
                <w:rFonts w:ascii="Times New Roman" w:hAnsi="Times New Roman" w:cs="Times New Roman"/>
                <w:iCs/>
                <w:sz w:val="24"/>
                <w:szCs w:val="24"/>
              </w:rPr>
              <w:t xml:space="preserve"> and you can add pages; and </w:t>
            </w:r>
          </w:p>
          <w:p w:rsidR="002E1584" w:rsidRPr="002E1584" w:rsidP="002E1584" w14:paraId="576B814A" w14:textId="77777777">
            <w:pPr>
              <w:numPr>
                <w:ilvl w:val="0"/>
                <w:numId w:val="33"/>
              </w:numPr>
              <w:rPr>
                <w:rFonts w:ascii="Times New Roman" w:hAnsi="Times New Roman" w:cs="Times New Roman"/>
                <w:iCs/>
                <w:sz w:val="24"/>
                <w:szCs w:val="24"/>
              </w:rPr>
            </w:pPr>
            <w:r w:rsidRPr="002E1584">
              <w:rPr>
                <w:rFonts w:ascii="Times New Roman" w:hAnsi="Times New Roman" w:cs="Times New Roman"/>
                <w:iCs/>
                <w:sz w:val="24"/>
                <w:szCs w:val="24"/>
              </w:rPr>
              <w:t xml:space="preserve">the </w:t>
            </w:r>
            <w:r w:rsidRPr="002E1584">
              <w:rPr>
                <w:rFonts w:ascii="Times New Roman" w:hAnsi="Times New Roman" w:cs="Times New Roman"/>
                <w:b/>
                <w:bCs/>
                <w:iCs/>
                <w:sz w:val="24"/>
                <w:szCs w:val="24"/>
              </w:rPr>
              <w:t xml:space="preserve">Excel </w:t>
            </w:r>
            <w:r w:rsidRPr="002E1584">
              <w:rPr>
                <w:rFonts w:ascii="Times New Roman" w:hAnsi="Times New Roman" w:cs="Times New Roman"/>
                <w:iCs/>
                <w:sz w:val="24"/>
                <w:szCs w:val="24"/>
              </w:rPr>
              <w:t xml:space="preserve">version which has an add page feature. </w:t>
            </w:r>
          </w:p>
          <w:p w:rsidR="002E1584" w:rsidP="00072B1E" w14:paraId="4159583E" w14:textId="77777777">
            <w:pPr>
              <w:rPr>
                <w:rFonts w:ascii="Times New Roman" w:hAnsi="Times New Roman" w:cs="Times New Roman"/>
                <w:iCs/>
                <w:sz w:val="24"/>
                <w:szCs w:val="24"/>
              </w:rPr>
            </w:pPr>
          </w:p>
          <w:p w:rsidR="002E1584" w:rsidP="00072B1E" w14:paraId="4475B605" w14:textId="3DDD0C43">
            <w:pPr>
              <w:rPr>
                <w:rFonts w:ascii="Times New Roman" w:hAnsi="Times New Roman" w:cs="Times New Roman"/>
                <w:iCs/>
                <w:sz w:val="24"/>
                <w:szCs w:val="24"/>
              </w:rPr>
            </w:pPr>
            <w:r w:rsidRPr="002E1584">
              <w:rPr>
                <w:rFonts w:ascii="Times New Roman" w:hAnsi="Times New Roman" w:cs="Times New Roman"/>
                <w:iCs/>
                <w:sz w:val="24"/>
                <w:szCs w:val="24"/>
              </w:rPr>
              <w:t xml:space="preserve">It has come to OGE’s attention that the dynamic PDF is problematic for both the </w:t>
            </w:r>
            <w:r w:rsidR="00125237">
              <w:rPr>
                <w:rFonts w:ascii="Times New Roman" w:hAnsi="Times New Roman" w:cs="Times New Roman"/>
                <w:iCs/>
                <w:sz w:val="24"/>
                <w:szCs w:val="24"/>
              </w:rPr>
              <w:t>filer</w:t>
            </w:r>
            <w:r w:rsidRPr="002E1584">
              <w:rPr>
                <w:rFonts w:ascii="Times New Roman" w:hAnsi="Times New Roman" w:cs="Times New Roman"/>
                <w:iCs/>
                <w:sz w:val="24"/>
                <w:szCs w:val="24"/>
              </w:rPr>
              <w:t xml:space="preserve"> and the agencies to manage when pages are added. In response to comments and forms presented to OGE for review, OGE sought guidance and was advised by its internal IT Department (ITD) that there are no vendors including Adobe that can support or resolve any of the dynamic PDF issues, thus rendering the form unmanageable and burdensome </w:t>
            </w:r>
            <w:r w:rsidRPr="002E1584">
              <w:rPr>
                <w:rFonts w:ascii="Times New Roman" w:hAnsi="Times New Roman" w:cs="Times New Roman"/>
                <w:iCs/>
                <w:sz w:val="24"/>
                <w:szCs w:val="24"/>
              </w:rPr>
              <w:t xml:space="preserve">for OGE as well as agencies and </w:t>
            </w:r>
            <w:r w:rsidR="00125237">
              <w:rPr>
                <w:rFonts w:ascii="Times New Roman" w:hAnsi="Times New Roman" w:cs="Times New Roman"/>
                <w:iCs/>
                <w:sz w:val="24"/>
                <w:szCs w:val="24"/>
              </w:rPr>
              <w:t>filers</w:t>
            </w:r>
            <w:r>
              <w:rPr>
                <w:rFonts w:ascii="Times New Roman" w:hAnsi="Times New Roman" w:cs="Times New Roman"/>
                <w:iCs/>
                <w:sz w:val="24"/>
                <w:szCs w:val="24"/>
              </w:rPr>
              <w:t>.</w:t>
            </w:r>
          </w:p>
          <w:p w:rsidR="00922AF7" w:rsidP="00072B1E" w14:paraId="65A1F92F" w14:textId="77777777">
            <w:pPr>
              <w:rPr>
                <w:rFonts w:ascii="Times New Roman" w:hAnsi="Times New Roman" w:cs="Times New Roman"/>
                <w:iCs/>
                <w:sz w:val="24"/>
                <w:szCs w:val="24"/>
              </w:rPr>
            </w:pPr>
          </w:p>
          <w:p w:rsidR="00922AF7" w:rsidRPr="00F04F3B" w:rsidP="00072B1E" w14:paraId="5075E865" w14:textId="40A6A19C">
            <w:pPr>
              <w:rPr>
                <w:rFonts w:ascii="Times New Roman" w:hAnsi="Times New Roman" w:cs="Times New Roman"/>
                <w:iCs/>
                <w:sz w:val="24"/>
                <w:szCs w:val="24"/>
              </w:rPr>
            </w:pPr>
            <w:r>
              <w:rPr>
                <w:rFonts w:ascii="Times New Roman" w:hAnsi="Times New Roman" w:cs="Times New Roman"/>
                <w:iCs/>
                <w:sz w:val="24"/>
                <w:szCs w:val="24"/>
              </w:rPr>
              <w:t xml:space="preserve">During </w:t>
            </w:r>
            <w:r w:rsidRPr="00922AF7">
              <w:rPr>
                <w:rFonts w:ascii="Times New Roman" w:hAnsi="Times New Roman" w:cs="Times New Roman"/>
                <w:iCs/>
                <w:sz w:val="24"/>
                <w:szCs w:val="24"/>
              </w:rPr>
              <w:t>public and agency sessions</w:t>
            </w:r>
            <w:r>
              <w:rPr>
                <w:rFonts w:ascii="Times New Roman" w:hAnsi="Times New Roman" w:cs="Times New Roman"/>
                <w:iCs/>
                <w:sz w:val="24"/>
                <w:szCs w:val="24"/>
              </w:rPr>
              <w:t>, a</w:t>
            </w:r>
            <w:r w:rsidRPr="00922AF7">
              <w:rPr>
                <w:rFonts w:ascii="Times New Roman" w:hAnsi="Times New Roman" w:cs="Times New Roman"/>
                <w:iCs/>
                <w:sz w:val="24"/>
                <w:szCs w:val="24"/>
              </w:rPr>
              <w:t>gencies requested that OGE maintain at least one PDF option of the form.</w:t>
            </w:r>
          </w:p>
        </w:tc>
        <w:tc>
          <w:tcPr>
            <w:tcW w:w="4298" w:type="dxa"/>
          </w:tcPr>
          <w:p w:rsidR="000F71C6" w:rsidP="000F71C6" w14:paraId="23DD9AEC" w14:textId="662DE655">
            <w:pPr>
              <w:rPr>
                <w:rFonts w:ascii="Times New Roman" w:hAnsi="Times New Roman" w:cs="Times New Roman"/>
                <w:iCs/>
                <w:sz w:val="24"/>
                <w:szCs w:val="24"/>
              </w:rPr>
            </w:pPr>
            <w:r w:rsidRPr="002E1584">
              <w:rPr>
                <w:rFonts w:ascii="Times New Roman" w:hAnsi="Times New Roman" w:cs="Times New Roman"/>
                <w:iCs/>
                <w:sz w:val="24"/>
                <w:szCs w:val="24"/>
              </w:rPr>
              <w:t xml:space="preserve">OGE </w:t>
            </w:r>
            <w:r>
              <w:rPr>
                <w:rFonts w:ascii="Times New Roman" w:hAnsi="Times New Roman" w:cs="Times New Roman"/>
                <w:iCs/>
                <w:sz w:val="24"/>
                <w:szCs w:val="24"/>
              </w:rPr>
              <w:t>is</w:t>
            </w:r>
            <w:r w:rsidRPr="002E1584">
              <w:rPr>
                <w:rFonts w:ascii="Times New Roman" w:hAnsi="Times New Roman" w:cs="Times New Roman"/>
                <w:iCs/>
                <w:sz w:val="24"/>
                <w:szCs w:val="24"/>
              </w:rPr>
              <w:t xml:space="preserve"> formally retir</w:t>
            </w:r>
            <w:r>
              <w:rPr>
                <w:rFonts w:ascii="Times New Roman" w:hAnsi="Times New Roman" w:cs="Times New Roman"/>
                <w:iCs/>
                <w:sz w:val="24"/>
                <w:szCs w:val="24"/>
              </w:rPr>
              <w:t>ing</w:t>
            </w:r>
            <w:r w:rsidRPr="002E1584">
              <w:rPr>
                <w:rFonts w:ascii="Times New Roman" w:hAnsi="Times New Roman" w:cs="Times New Roman"/>
                <w:iCs/>
                <w:sz w:val="24"/>
                <w:szCs w:val="24"/>
              </w:rPr>
              <w:t xml:space="preserve"> </w:t>
            </w:r>
            <w:r>
              <w:rPr>
                <w:rFonts w:ascii="Times New Roman" w:hAnsi="Times New Roman" w:cs="Times New Roman"/>
                <w:iCs/>
                <w:sz w:val="24"/>
                <w:szCs w:val="24"/>
              </w:rPr>
              <w:t>the dynamic PDF version of the form</w:t>
            </w:r>
            <w:r>
              <w:rPr>
                <w:rFonts w:ascii="Times New Roman" w:hAnsi="Times New Roman" w:cs="Times New Roman"/>
                <w:iCs/>
                <w:sz w:val="24"/>
                <w:szCs w:val="24"/>
              </w:rPr>
              <w:t xml:space="preserve"> due to technical problems. </w:t>
            </w:r>
            <w:r w:rsidRPr="002E1584">
              <w:rPr>
                <w:rFonts w:ascii="Times New Roman" w:hAnsi="Times New Roman" w:cs="Times New Roman"/>
                <w:iCs/>
                <w:sz w:val="24"/>
                <w:szCs w:val="24"/>
              </w:rPr>
              <w:t xml:space="preserve">OGE </w:t>
            </w:r>
            <w:r>
              <w:rPr>
                <w:rFonts w:ascii="Times New Roman" w:hAnsi="Times New Roman" w:cs="Times New Roman"/>
                <w:iCs/>
                <w:sz w:val="24"/>
                <w:szCs w:val="24"/>
              </w:rPr>
              <w:t xml:space="preserve">is maintaining the static PDF version, as requested by agencies, and </w:t>
            </w:r>
            <w:r w:rsidRPr="002E1584">
              <w:rPr>
                <w:rFonts w:ascii="Times New Roman" w:hAnsi="Times New Roman" w:cs="Times New Roman"/>
                <w:iCs/>
                <w:sz w:val="24"/>
                <w:szCs w:val="24"/>
              </w:rPr>
              <w:t>restructur</w:t>
            </w:r>
            <w:r>
              <w:rPr>
                <w:rFonts w:ascii="Times New Roman" w:hAnsi="Times New Roman" w:cs="Times New Roman"/>
                <w:iCs/>
                <w:sz w:val="24"/>
                <w:szCs w:val="24"/>
              </w:rPr>
              <w:t>ing</w:t>
            </w:r>
            <w:r w:rsidRPr="002E1584">
              <w:rPr>
                <w:rFonts w:ascii="Times New Roman" w:hAnsi="Times New Roman" w:cs="Times New Roman"/>
                <w:iCs/>
                <w:sz w:val="24"/>
                <w:szCs w:val="24"/>
              </w:rPr>
              <w:t xml:space="preserve"> </w:t>
            </w:r>
            <w:r>
              <w:rPr>
                <w:rFonts w:ascii="Times New Roman" w:hAnsi="Times New Roman" w:cs="Times New Roman"/>
                <w:iCs/>
                <w:sz w:val="24"/>
                <w:szCs w:val="24"/>
              </w:rPr>
              <w:t>it</w:t>
            </w:r>
            <w:r w:rsidRPr="002E1584">
              <w:rPr>
                <w:rFonts w:ascii="Times New Roman" w:hAnsi="Times New Roman" w:cs="Times New Roman"/>
                <w:iCs/>
                <w:sz w:val="24"/>
                <w:szCs w:val="24"/>
              </w:rPr>
              <w:t xml:space="preserve"> </w:t>
            </w:r>
            <w:r>
              <w:rPr>
                <w:rFonts w:ascii="Times New Roman" w:hAnsi="Times New Roman" w:cs="Times New Roman"/>
                <w:iCs/>
                <w:sz w:val="24"/>
                <w:szCs w:val="24"/>
              </w:rPr>
              <w:t xml:space="preserve">by </w:t>
            </w:r>
            <w:r w:rsidRPr="002E1584">
              <w:rPr>
                <w:rFonts w:ascii="Times New Roman" w:hAnsi="Times New Roman" w:cs="Times New Roman"/>
                <w:iCs/>
                <w:sz w:val="24"/>
                <w:szCs w:val="24"/>
              </w:rPr>
              <w:t xml:space="preserve">breaking out each </w:t>
            </w:r>
            <w:r>
              <w:rPr>
                <w:rFonts w:ascii="Times New Roman" w:hAnsi="Times New Roman" w:cs="Times New Roman"/>
                <w:iCs/>
                <w:sz w:val="24"/>
                <w:szCs w:val="24"/>
              </w:rPr>
              <w:t>p</w:t>
            </w:r>
            <w:r w:rsidRPr="002E1584">
              <w:rPr>
                <w:rFonts w:ascii="Times New Roman" w:hAnsi="Times New Roman" w:cs="Times New Roman"/>
                <w:iCs/>
                <w:sz w:val="24"/>
                <w:szCs w:val="24"/>
              </w:rPr>
              <w:t>art of the report</w:t>
            </w:r>
            <w:r>
              <w:rPr>
                <w:rFonts w:ascii="Times New Roman" w:hAnsi="Times New Roman" w:cs="Times New Roman"/>
                <w:iCs/>
                <w:sz w:val="24"/>
                <w:szCs w:val="24"/>
              </w:rPr>
              <w:t xml:space="preserve"> on a separate page and adding more pages to provide</w:t>
            </w:r>
            <w:r w:rsidRPr="002E1584">
              <w:rPr>
                <w:rFonts w:ascii="Times New Roman" w:hAnsi="Times New Roman" w:cs="Times New Roman"/>
                <w:iCs/>
                <w:sz w:val="24"/>
                <w:szCs w:val="24"/>
              </w:rPr>
              <w:t xml:space="preserve"> ample additional pages for the average </w:t>
            </w:r>
            <w:r>
              <w:rPr>
                <w:rFonts w:ascii="Times New Roman" w:hAnsi="Times New Roman" w:cs="Times New Roman"/>
                <w:iCs/>
                <w:sz w:val="24"/>
                <w:szCs w:val="24"/>
              </w:rPr>
              <w:t>filer</w:t>
            </w:r>
            <w:r w:rsidRPr="002E1584">
              <w:rPr>
                <w:rFonts w:ascii="Times New Roman" w:hAnsi="Times New Roman" w:cs="Times New Roman"/>
                <w:iCs/>
                <w:sz w:val="24"/>
                <w:szCs w:val="24"/>
              </w:rPr>
              <w:t xml:space="preserve">. </w:t>
            </w:r>
            <w:r w:rsidRPr="00922AF7">
              <w:rPr>
                <w:rFonts w:ascii="Times New Roman" w:hAnsi="Times New Roman" w:cs="Times New Roman"/>
                <w:iCs/>
                <w:sz w:val="24"/>
                <w:szCs w:val="24"/>
              </w:rPr>
              <w:t>OGE believes that this major change in structure will address and lessen the</w:t>
            </w:r>
            <w:r>
              <w:rPr>
                <w:rFonts w:ascii="Times New Roman" w:hAnsi="Times New Roman" w:cs="Times New Roman"/>
                <w:iCs/>
                <w:sz w:val="24"/>
                <w:szCs w:val="24"/>
              </w:rPr>
              <w:t xml:space="preserve"> </w:t>
            </w:r>
            <w:r w:rsidRPr="00922AF7">
              <w:rPr>
                <w:rFonts w:ascii="Times New Roman" w:hAnsi="Times New Roman" w:cs="Times New Roman"/>
                <w:iCs/>
                <w:sz w:val="24"/>
                <w:szCs w:val="24"/>
              </w:rPr>
              <w:t xml:space="preserve">burden to </w:t>
            </w:r>
            <w:r>
              <w:rPr>
                <w:rFonts w:ascii="Times New Roman" w:hAnsi="Times New Roman" w:cs="Times New Roman"/>
                <w:iCs/>
                <w:sz w:val="24"/>
                <w:szCs w:val="24"/>
              </w:rPr>
              <w:t>filers</w:t>
            </w:r>
            <w:r w:rsidRPr="00922AF7">
              <w:rPr>
                <w:rFonts w:ascii="Times New Roman" w:hAnsi="Times New Roman" w:cs="Times New Roman"/>
                <w:iCs/>
                <w:sz w:val="24"/>
                <w:szCs w:val="24"/>
              </w:rPr>
              <w:t>, agencies</w:t>
            </w:r>
            <w:r>
              <w:rPr>
                <w:rFonts w:ascii="Times New Roman" w:hAnsi="Times New Roman" w:cs="Times New Roman"/>
                <w:iCs/>
                <w:sz w:val="24"/>
                <w:szCs w:val="24"/>
              </w:rPr>
              <w:t>,</w:t>
            </w:r>
            <w:r w:rsidRPr="00922AF7">
              <w:rPr>
                <w:rFonts w:ascii="Times New Roman" w:hAnsi="Times New Roman" w:cs="Times New Roman"/>
                <w:iCs/>
                <w:sz w:val="24"/>
                <w:szCs w:val="24"/>
              </w:rPr>
              <w:t xml:space="preserve"> and OGE reviewers.</w:t>
            </w:r>
          </w:p>
          <w:p w:rsidR="000F71C6" w:rsidP="002E1584" w14:paraId="2EA8EE01" w14:textId="77777777">
            <w:pPr>
              <w:rPr>
                <w:rFonts w:ascii="Times New Roman" w:hAnsi="Times New Roman" w:cs="Times New Roman"/>
                <w:iCs/>
                <w:sz w:val="24"/>
                <w:szCs w:val="24"/>
              </w:rPr>
            </w:pPr>
          </w:p>
          <w:p w:rsidR="002E1584" w:rsidP="002E1584" w14:paraId="73F85A02" w14:textId="16CF587B">
            <w:pPr>
              <w:rPr>
                <w:rFonts w:ascii="Times New Roman" w:hAnsi="Times New Roman" w:cs="Times New Roman"/>
                <w:iCs/>
                <w:sz w:val="24"/>
                <w:szCs w:val="24"/>
              </w:rPr>
            </w:pPr>
          </w:p>
          <w:p w:rsidR="00922AF7" w:rsidP="002E1584" w14:paraId="23610135" w14:textId="77777777">
            <w:pPr>
              <w:rPr>
                <w:rFonts w:ascii="Times New Roman" w:hAnsi="Times New Roman" w:cs="Times New Roman"/>
                <w:iCs/>
                <w:sz w:val="24"/>
                <w:szCs w:val="24"/>
              </w:rPr>
            </w:pPr>
          </w:p>
          <w:p w:rsidR="002E1584" w:rsidP="002E1584" w14:paraId="174555CA" w14:textId="11AA5E77">
            <w:pPr>
              <w:rPr>
                <w:rFonts w:ascii="Times New Roman" w:hAnsi="Times New Roman" w:cs="Times New Roman"/>
                <w:iCs/>
                <w:sz w:val="24"/>
                <w:szCs w:val="24"/>
              </w:rPr>
            </w:pPr>
          </w:p>
          <w:p w:rsidR="002E1584" w:rsidP="002E1584" w14:paraId="47385F5C" w14:textId="3B370F9E">
            <w:pPr>
              <w:rPr>
                <w:rFonts w:ascii="Times New Roman" w:hAnsi="Times New Roman" w:cs="Times New Roman"/>
                <w:iCs/>
                <w:sz w:val="24"/>
                <w:szCs w:val="24"/>
              </w:rPr>
            </w:pPr>
          </w:p>
          <w:p w:rsidR="002E1584" w:rsidRPr="00F04F3B" w:rsidP="00922AF7" w14:paraId="56615C82" w14:textId="77777777">
            <w:pPr>
              <w:rPr>
                <w:rFonts w:ascii="Times New Roman" w:hAnsi="Times New Roman" w:cs="Times New Roman"/>
                <w:iCs/>
                <w:sz w:val="24"/>
                <w:szCs w:val="24"/>
              </w:rPr>
            </w:pPr>
          </w:p>
        </w:tc>
      </w:tr>
      <w:tr w14:paraId="3C4A15DA" w14:textId="77777777" w:rsidTr="000E1DF2">
        <w:tblPrEx>
          <w:tblW w:w="9720" w:type="dxa"/>
          <w:tblInd w:w="-95" w:type="dxa"/>
          <w:tblLook w:val="04A0"/>
        </w:tblPrEx>
        <w:tc>
          <w:tcPr>
            <w:tcW w:w="9720" w:type="dxa"/>
            <w:gridSpan w:val="3"/>
          </w:tcPr>
          <w:p w:rsidR="008C5D77" w:rsidP="00072B1E" w14:paraId="6567057A" w14:textId="0D50A54C">
            <w:pPr>
              <w:rPr>
                <w:rFonts w:ascii="Times New Roman" w:hAnsi="Times New Roman" w:cs="Times New Roman"/>
                <w:iCs/>
                <w:sz w:val="24"/>
                <w:szCs w:val="24"/>
              </w:rPr>
            </w:pPr>
            <w:r>
              <w:rPr>
                <w:rFonts w:ascii="Times New Roman" w:hAnsi="Times New Roman" w:cs="Times New Roman"/>
                <w:iCs/>
                <w:sz w:val="24"/>
                <w:szCs w:val="24"/>
              </w:rPr>
              <w:t>FORM STRUCTURE</w:t>
            </w:r>
            <w:r w:rsidR="009C61E8">
              <w:rPr>
                <w:rFonts w:ascii="Times New Roman" w:hAnsi="Times New Roman" w:cs="Times New Roman"/>
                <w:iCs/>
                <w:sz w:val="24"/>
                <w:szCs w:val="24"/>
              </w:rPr>
              <w:t>,</w:t>
            </w:r>
            <w:r>
              <w:rPr>
                <w:rFonts w:ascii="Times New Roman" w:hAnsi="Times New Roman" w:cs="Times New Roman"/>
                <w:iCs/>
                <w:sz w:val="24"/>
                <w:szCs w:val="24"/>
              </w:rPr>
              <w:t xml:space="preserve"> INSTRUCTIONS</w:t>
            </w:r>
            <w:r w:rsidR="009C61E8">
              <w:rPr>
                <w:rFonts w:ascii="Times New Roman" w:hAnsi="Times New Roman" w:cs="Times New Roman"/>
                <w:iCs/>
                <w:sz w:val="24"/>
                <w:szCs w:val="24"/>
              </w:rPr>
              <w:t>,</w:t>
            </w:r>
            <w:r>
              <w:rPr>
                <w:rFonts w:ascii="Times New Roman" w:hAnsi="Times New Roman" w:cs="Times New Roman"/>
                <w:iCs/>
                <w:sz w:val="24"/>
                <w:szCs w:val="24"/>
              </w:rPr>
              <w:t xml:space="preserve"> </w:t>
            </w:r>
            <w:r w:rsidR="009C61E8">
              <w:rPr>
                <w:rFonts w:ascii="Times New Roman" w:hAnsi="Times New Roman" w:cs="Times New Roman"/>
                <w:iCs/>
                <w:sz w:val="24"/>
                <w:szCs w:val="24"/>
              </w:rPr>
              <w:t>and</w:t>
            </w:r>
            <w:r>
              <w:rPr>
                <w:rFonts w:ascii="Times New Roman" w:hAnsi="Times New Roman" w:cs="Times New Roman"/>
                <w:iCs/>
                <w:sz w:val="24"/>
                <w:szCs w:val="24"/>
              </w:rPr>
              <w:t xml:space="preserve"> DEFINITIONS</w:t>
            </w:r>
          </w:p>
        </w:tc>
      </w:tr>
      <w:tr w14:paraId="0901D3C2" w14:textId="77777777" w:rsidTr="008C5D77">
        <w:tblPrEx>
          <w:tblW w:w="9720" w:type="dxa"/>
          <w:tblInd w:w="-95" w:type="dxa"/>
          <w:tblLook w:val="04A0"/>
        </w:tblPrEx>
        <w:tc>
          <w:tcPr>
            <w:tcW w:w="1870" w:type="dxa"/>
          </w:tcPr>
          <w:p w:rsidR="00072B1E" w:rsidRPr="00F6093A" w:rsidP="00072B1E" w14:paraId="74E93BBF" w14:textId="5399D495">
            <w:pPr>
              <w:rPr>
                <w:rFonts w:ascii="Times New Roman" w:hAnsi="Times New Roman" w:cs="Times New Roman"/>
                <w:iCs/>
                <w:sz w:val="24"/>
                <w:szCs w:val="24"/>
              </w:rPr>
            </w:pPr>
            <w:r>
              <w:rPr>
                <w:rFonts w:ascii="Times New Roman" w:hAnsi="Times New Roman" w:cs="Times New Roman"/>
                <w:iCs/>
                <w:sz w:val="24"/>
                <w:szCs w:val="24"/>
              </w:rPr>
              <w:t>OGE</w:t>
            </w:r>
            <w:r w:rsidR="00952C75">
              <w:rPr>
                <w:rFonts w:ascii="Times New Roman" w:hAnsi="Times New Roman" w:cs="Times New Roman"/>
                <w:iCs/>
                <w:sz w:val="24"/>
                <w:szCs w:val="24"/>
              </w:rPr>
              <w:t xml:space="preserve"> </w:t>
            </w:r>
            <w:r w:rsidRPr="00952C75" w:rsidR="00952C75">
              <w:rPr>
                <w:rFonts w:ascii="Times New Roman" w:hAnsi="Times New Roman" w:cs="Times New Roman"/>
                <w:iCs/>
                <w:sz w:val="24"/>
                <w:szCs w:val="24"/>
              </w:rPr>
              <w:t>subject matter expert</w:t>
            </w:r>
          </w:p>
        </w:tc>
        <w:tc>
          <w:tcPr>
            <w:tcW w:w="3552" w:type="dxa"/>
          </w:tcPr>
          <w:p w:rsidR="00072B1E" w:rsidP="00072B1E" w14:paraId="32A5FFFB" w14:textId="07F21B8E">
            <w:pPr>
              <w:rPr>
                <w:rFonts w:ascii="Times New Roman" w:hAnsi="Times New Roman" w:cs="Times New Roman"/>
                <w:iCs/>
                <w:sz w:val="24"/>
                <w:szCs w:val="24"/>
              </w:rPr>
            </w:pPr>
            <w:r w:rsidRPr="00F04F3B">
              <w:rPr>
                <w:rFonts w:ascii="Times New Roman" w:hAnsi="Times New Roman" w:cs="Times New Roman"/>
                <w:iCs/>
                <w:sz w:val="24"/>
                <w:szCs w:val="24"/>
              </w:rPr>
              <w:t>OGE identified a potential need and asked agency officials about their thoughts on moving</w:t>
            </w:r>
            <w:r w:rsidR="008C5D77">
              <w:rPr>
                <w:rFonts w:ascii="Times New Roman" w:hAnsi="Times New Roman" w:cs="Times New Roman"/>
                <w:iCs/>
                <w:sz w:val="24"/>
                <w:szCs w:val="24"/>
              </w:rPr>
              <w:t xml:space="preserve"> all instructions</w:t>
            </w:r>
            <w:r w:rsidRPr="00F04F3B">
              <w:rPr>
                <w:rFonts w:ascii="Times New Roman" w:hAnsi="Times New Roman" w:cs="Times New Roman"/>
                <w:iCs/>
                <w:sz w:val="24"/>
                <w:szCs w:val="24"/>
              </w:rPr>
              <w:t xml:space="preserve"> </w:t>
            </w:r>
            <w:r>
              <w:rPr>
                <w:rFonts w:ascii="Times New Roman" w:hAnsi="Times New Roman" w:cs="Times New Roman"/>
                <w:iCs/>
                <w:sz w:val="24"/>
                <w:szCs w:val="24"/>
              </w:rPr>
              <w:t xml:space="preserve">to the beginning of the </w:t>
            </w:r>
            <w:r w:rsidRPr="00F04F3B">
              <w:rPr>
                <w:rFonts w:ascii="Times New Roman" w:hAnsi="Times New Roman" w:cs="Times New Roman"/>
                <w:iCs/>
                <w:sz w:val="24"/>
                <w:szCs w:val="24"/>
              </w:rPr>
              <w:t>OGE Form 450</w:t>
            </w:r>
            <w:r w:rsidR="009C61E8">
              <w:rPr>
                <w:rFonts w:ascii="Times New Roman" w:hAnsi="Times New Roman" w:cs="Times New Roman"/>
                <w:iCs/>
                <w:sz w:val="24"/>
                <w:szCs w:val="24"/>
              </w:rPr>
              <w:t>, which is</w:t>
            </w:r>
            <w:r>
              <w:rPr>
                <w:rFonts w:ascii="Times New Roman" w:hAnsi="Times New Roman" w:cs="Times New Roman"/>
                <w:iCs/>
                <w:sz w:val="24"/>
                <w:szCs w:val="24"/>
              </w:rPr>
              <w:t xml:space="preserve"> </w:t>
            </w:r>
            <w:r>
              <w:rPr>
                <w:rFonts w:ascii="Times New Roman" w:hAnsi="Times New Roman" w:cs="Times New Roman"/>
                <w:iCs/>
                <w:sz w:val="24"/>
                <w:szCs w:val="24"/>
              </w:rPr>
              <w:t>similar to</w:t>
            </w:r>
            <w:r>
              <w:rPr>
                <w:rFonts w:ascii="Times New Roman" w:hAnsi="Times New Roman" w:cs="Times New Roman"/>
                <w:iCs/>
                <w:sz w:val="24"/>
                <w:szCs w:val="24"/>
              </w:rPr>
              <w:t xml:space="preserve"> that of the OGE Form 278e</w:t>
            </w:r>
            <w:r w:rsidRPr="00F04F3B">
              <w:rPr>
                <w:rFonts w:ascii="Times New Roman" w:hAnsi="Times New Roman" w:cs="Times New Roman"/>
                <w:iCs/>
                <w:sz w:val="24"/>
                <w:szCs w:val="24"/>
              </w:rPr>
              <w:t xml:space="preserve">. </w:t>
            </w:r>
          </w:p>
        </w:tc>
        <w:tc>
          <w:tcPr>
            <w:tcW w:w="4298" w:type="dxa"/>
          </w:tcPr>
          <w:p w:rsidR="00072B1E" w:rsidRPr="005C73F9" w:rsidP="00072B1E" w14:paraId="255A01BF" w14:textId="6614FA14">
            <w:pPr>
              <w:rPr>
                <w:rFonts w:ascii="Times New Roman" w:hAnsi="Times New Roman" w:cs="Times New Roman"/>
                <w:iCs/>
                <w:sz w:val="24"/>
                <w:szCs w:val="24"/>
              </w:rPr>
            </w:pPr>
            <w:r>
              <w:rPr>
                <w:rFonts w:ascii="Times New Roman" w:hAnsi="Times New Roman" w:cs="Times New Roman"/>
                <w:iCs/>
                <w:sz w:val="24"/>
                <w:szCs w:val="24"/>
              </w:rPr>
              <w:t>OGE</w:t>
            </w:r>
            <w:r w:rsidR="000A1A1E">
              <w:rPr>
                <w:rFonts w:ascii="Times New Roman" w:hAnsi="Times New Roman" w:cs="Times New Roman"/>
                <w:iCs/>
                <w:sz w:val="24"/>
                <w:szCs w:val="24"/>
              </w:rPr>
              <w:t xml:space="preserve"> </w:t>
            </w:r>
            <w:r w:rsidR="00BC48E8">
              <w:rPr>
                <w:rFonts w:ascii="Times New Roman" w:hAnsi="Times New Roman" w:cs="Times New Roman"/>
                <w:iCs/>
                <w:sz w:val="24"/>
                <w:szCs w:val="24"/>
              </w:rPr>
              <w:t xml:space="preserve">accepts </w:t>
            </w:r>
            <w:r w:rsidR="000A1A1E">
              <w:rPr>
                <w:rFonts w:ascii="Times New Roman" w:hAnsi="Times New Roman" w:cs="Times New Roman"/>
                <w:iCs/>
                <w:sz w:val="24"/>
                <w:szCs w:val="24"/>
              </w:rPr>
              <w:t>the agency</w:t>
            </w:r>
            <w:r w:rsidR="00253FEF">
              <w:rPr>
                <w:rFonts w:ascii="Times New Roman" w:hAnsi="Times New Roman" w:cs="Times New Roman"/>
                <w:iCs/>
                <w:sz w:val="24"/>
                <w:szCs w:val="24"/>
              </w:rPr>
              <w:t>’s</w:t>
            </w:r>
            <w:r w:rsidR="000A1A1E">
              <w:rPr>
                <w:rFonts w:ascii="Times New Roman" w:hAnsi="Times New Roman" w:cs="Times New Roman"/>
                <w:iCs/>
                <w:sz w:val="24"/>
                <w:szCs w:val="24"/>
              </w:rPr>
              <w:t xml:space="preserve"> suggestion</w:t>
            </w:r>
            <w:r w:rsidR="00BC48E8">
              <w:rPr>
                <w:rFonts w:ascii="Times New Roman" w:hAnsi="Times New Roman" w:cs="Times New Roman"/>
                <w:iCs/>
                <w:sz w:val="24"/>
                <w:szCs w:val="24"/>
              </w:rPr>
              <w:t xml:space="preserve"> to add examples</w:t>
            </w:r>
            <w:r w:rsidR="000F71C6">
              <w:rPr>
                <w:rFonts w:ascii="Times New Roman" w:hAnsi="Times New Roman" w:cs="Times New Roman"/>
                <w:iCs/>
                <w:sz w:val="24"/>
                <w:szCs w:val="24"/>
              </w:rPr>
              <w:t xml:space="preserve"> rather than move the instructions</w:t>
            </w:r>
            <w:r w:rsidR="000A1A1E">
              <w:rPr>
                <w:rFonts w:ascii="Times New Roman" w:hAnsi="Times New Roman" w:cs="Times New Roman"/>
                <w:iCs/>
                <w:sz w:val="24"/>
                <w:szCs w:val="24"/>
              </w:rPr>
              <w:t xml:space="preserve"> because</w:t>
            </w:r>
            <w:r w:rsidR="000F71C6">
              <w:rPr>
                <w:rFonts w:ascii="Times New Roman" w:hAnsi="Times New Roman" w:cs="Times New Roman"/>
                <w:iCs/>
                <w:sz w:val="24"/>
                <w:szCs w:val="24"/>
              </w:rPr>
              <w:t xml:space="preserve"> agencies believe the change will be more beneficial and provide greater</w:t>
            </w:r>
            <w:r w:rsidR="000A1A1E">
              <w:rPr>
                <w:rFonts w:ascii="Times New Roman" w:hAnsi="Times New Roman" w:cs="Times New Roman"/>
                <w:iCs/>
                <w:sz w:val="24"/>
                <w:szCs w:val="24"/>
              </w:rPr>
              <w:t xml:space="preserve"> </w:t>
            </w:r>
            <w:r>
              <w:rPr>
                <w:rFonts w:ascii="Times New Roman" w:hAnsi="Times New Roman" w:cs="Times New Roman"/>
                <w:iCs/>
                <w:sz w:val="24"/>
                <w:szCs w:val="24"/>
              </w:rPr>
              <w:t xml:space="preserve">clarity for </w:t>
            </w:r>
            <w:r w:rsidR="00125237">
              <w:rPr>
                <w:rFonts w:ascii="Times New Roman" w:hAnsi="Times New Roman" w:cs="Times New Roman"/>
                <w:iCs/>
                <w:sz w:val="24"/>
                <w:szCs w:val="24"/>
              </w:rPr>
              <w:t>filers</w:t>
            </w:r>
            <w:r>
              <w:rPr>
                <w:rFonts w:ascii="Times New Roman" w:hAnsi="Times New Roman" w:cs="Times New Roman"/>
                <w:iCs/>
                <w:sz w:val="24"/>
                <w:szCs w:val="24"/>
              </w:rPr>
              <w:t xml:space="preserve">. </w:t>
            </w:r>
          </w:p>
        </w:tc>
      </w:tr>
      <w:tr w14:paraId="3C758CC0" w14:textId="77777777" w:rsidTr="008C5D77">
        <w:tblPrEx>
          <w:tblW w:w="9720" w:type="dxa"/>
          <w:tblInd w:w="-95" w:type="dxa"/>
          <w:tblLook w:val="04A0"/>
        </w:tblPrEx>
        <w:tc>
          <w:tcPr>
            <w:tcW w:w="1870" w:type="dxa"/>
          </w:tcPr>
          <w:p w:rsidR="008C5D77" w:rsidRPr="00BC5EF8" w:rsidP="00072B1E" w14:paraId="79E4D07B" w14:textId="649A4000">
            <w:pPr>
              <w:rPr>
                <w:rFonts w:ascii="Times New Roman" w:hAnsi="Times New Roman" w:cs="Times New Roman"/>
                <w:iCs/>
                <w:sz w:val="24"/>
                <w:szCs w:val="24"/>
              </w:rPr>
            </w:pPr>
            <w:r w:rsidRPr="00952C75">
              <w:rPr>
                <w:rFonts w:ascii="Times New Roman" w:hAnsi="Times New Roman" w:cs="Times New Roman"/>
                <w:iCs/>
                <w:sz w:val="24"/>
                <w:szCs w:val="24"/>
              </w:rPr>
              <w:t>OGE subject matter expert</w:t>
            </w:r>
            <w:r w:rsidRPr="00952C75">
              <w:rPr>
                <w:rFonts w:ascii="Times New Roman" w:hAnsi="Times New Roman" w:cs="Times New Roman"/>
                <w:iCs/>
                <w:sz w:val="24"/>
                <w:szCs w:val="24"/>
              </w:rPr>
              <w:t xml:space="preserve"> </w:t>
            </w:r>
            <w:r w:rsidR="000D3E0C">
              <w:rPr>
                <w:rFonts w:ascii="Times New Roman" w:hAnsi="Times New Roman" w:cs="Times New Roman"/>
                <w:iCs/>
                <w:sz w:val="24"/>
                <w:szCs w:val="24"/>
              </w:rPr>
              <w:t>and agency comment</w:t>
            </w:r>
          </w:p>
        </w:tc>
        <w:tc>
          <w:tcPr>
            <w:tcW w:w="3552" w:type="dxa"/>
          </w:tcPr>
          <w:p w:rsidR="008C5D77" w:rsidRPr="00BC5EF8" w:rsidP="00072B1E" w14:paraId="5A1EF0A6" w14:textId="2C653EE4">
            <w:pPr>
              <w:rPr>
                <w:rFonts w:ascii="Times New Roman" w:hAnsi="Times New Roman" w:cs="Times New Roman"/>
                <w:iCs/>
                <w:sz w:val="24"/>
                <w:szCs w:val="24"/>
              </w:rPr>
            </w:pPr>
            <w:r>
              <w:rPr>
                <w:rFonts w:ascii="Times New Roman" w:hAnsi="Times New Roman" w:cs="Times New Roman"/>
                <w:iCs/>
                <w:sz w:val="24"/>
                <w:szCs w:val="24"/>
              </w:rPr>
              <w:t>An</w:t>
            </w:r>
            <w:r w:rsidR="009C61E8">
              <w:rPr>
                <w:rFonts w:ascii="Times New Roman" w:hAnsi="Times New Roman" w:cs="Times New Roman"/>
                <w:iCs/>
                <w:sz w:val="24"/>
                <w:szCs w:val="24"/>
              </w:rPr>
              <w:t xml:space="preserve"> </w:t>
            </w:r>
            <w:r w:rsidR="00E66300">
              <w:rPr>
                <w:rFonts w:ascii="Times New Roman" w:hAnsi="Times New Roman" w:cs="Times New Roman"/>
                <w:iCs/>
                <w:sz w:val="24"/>
                <w:szCs w:val="24"/>
              </w:rPr>
              <w:t xml:space="preserve">OGE </w:t>
            </w:r>
            <w:r w:rsidR="009C61E8">
              <w:rPr>
                <w:rFonts w:ascii="Times New Roman" w:hAnsi="Times New Roman" w:cs="Times New Roman"/>
                <w:iCs/>
                <w:sz w:val="24"/>
                <w:szCs w:val="24"/>
              </w:rPr>
              <w:t xml:space="preserve">subject matter expert </w:t>
            </w:r>
            <w:r w:rsidR="00E66300">
              <w:rPr>
                <w:rFonts w:ascii="Times New Roman" w:hAnsi="Times New Roman" w:cs="Times New Roman"/>
                <w:iCs/>
                <w:sz w:val="24"/>
                <w:szCs w:val="24"/>
              </w:rPr>
              <w:t>suggested</w:t>
            </w:r>
            <w:r w:rsidRPr="00BC5EF8">
              <w:rPr>
                <w:rFonts w:ascii="Times New Roman" w:hAnsi="Times New Roman" w:cs="Times New Roman"/>
                <w:iCs/>
                <w:sz w:val="24"/>
                <w:szCs w:val="24"/>
              </w:rPr>
              <w:t xml:space="preserve"> chang</w:t>
            </w:r>
            <w:r w:rsidR="00E66300">
              <w:rPr>
                <w:rFonts w:ascii="Times New Roman" w:hAnsi="Times New Roman" w:cs="Times New Roman"/>
                <w:iCs/>
                <w:sz w:val="24"/>
                <w:szCs w:val="24"/>
              </w:rPr>
              <w:t>ing</w:t>
            </w:r>
            <w:r w:rsidRPr="00BC5EF8">
              <w:rPr>
                <w:rFonts w:ascii="Times New Roman" w:hAnsi="Times New Roman" w:cs="Times New Roman"/>
                <w:iCs/>
                <w:sz w:val="24"/>
                <w:szCs w:val="24"/>
              </w:rPr>
              <w:t xml:space="preserve"> </w:t>
            </w:r>
            <w:r w:rsidR="00E66300">
              <w:rPr>
                <w:rFonts w:ascii="Times New Roman" w:hAnsi="Times New Roman" w:cs="Times New Roman"/>
                <w:iCs/>
                <w:sz w:val="24"/>
                <w:szCs w:val="24"/>
              </w:rPr>
              <w:t xml:space="preserve">the numbering of the parts </w:t>
            </w:r>
            <w:r w:rsidRPr="00BC5EF8">
              <w:rPr>
                <w:rFonts w:ascii="Times New Roman" w:hAnsi="Times New Roman" w:cs="Times New Roman"/>
                <w:iCs/>
                <w:sz w:val="24"/>
                <w:szCs w:val="24"/>
              </w:rPr>
              <w:t xml:space="preserve">from roman </w:t>
            </w:r>
            <w:r w:rsidR="009C61E8">
              <w:rPr>
                <w:rFonts w:ascii="Times New Roman" w:hAnsi="Times New Roman" w:cs="Times New Roman"/>
                <w:iCs/>
                <w:sz w:val="24"/>
                <w:szCs w:val="24"/>
              </w:rPr>
              <w:t>numerals</w:t>
            </w:r>
            <w:r w:rsidRPr="00BC5EF8" w:rsidR="009C61E8">
              <w:rPr>
                <w:rFonts w:ascii="Times New Roman" w:hAnsi="Times New Roman" w:cs="Times New Roman"/>
                <w:iCs/>
                <w:sz w:val="24"/>
                <w:szCs w:val="24"/>
              </w:rPr>
              <w:t xml:space="preserve"> </w:t>
            </w:r>
            <w:r w:rsidRPr="00BC5EF8">
              <w:rPr>
                <w:rFonts w:ascii="Times New Roman" w:hAnsi="Times New Roman" w:cs="Times New Roman"/>
                <w:iCs/>
                <w:sz w:val="24"/>
                <w:szCs w:val="24"/>
              </w:rPr>
              <w:t xml:space="preserve">to cardinal numbering. The rationale is that it would </w:t>
            </w:r>
            <w:r w:rsidR="00E66300">
              <w:rPr>
                <w:rFonts w:ascii="Times New Roman" w:hAnsi="Times New Roman" w:cs="Times New Roman"/>
                <w:iCs/>
                <w:sz w:val="24"/>
                <w:szCs w:val="24"/>
              </w:rPr>
              <w:t xml:space="preserve">make it easier to </w:t>
            </w:r>
            <w:r w:rsidRPr="00BC5EF8">
              <w:rPr>
                <w:rFonts w:ascii="Times New Roman" w:hAnsi="Times New Roman" w:cs="Times New Roman"/>
                <w:iCs/>
                <w:sz w:val="24"/>
                <w:szCs w:val="24"/>
              </w:rPr>
              <w:t xml:space="preserve">reference the </w:t>
            </w:r>
            <w:r w:rsidR="00E66300">
              <w:rPr>
                <w:rFonts w:ascii="Times New Roman" w:hAnsi="Times New Roman" w:cs="Times New Roman"/>
                <w:iCs/>
                <w:sz w:val="24"/>
                <w:szCs w:val="24"/>
              </w:rPr>
              <w:t xml:space="preserve">parts </w:t>
            </w:r>
            <w:r w:rsidRPr="00BC5EF8">
              <w:rPr>
                <w:rFonts w:ascii="Times New Roman" w:hAnsi="Times New Roman" w:cs="Times New Roman"/>
                <w:iCs/>
                <w:sz w:val="24"/>
                <w:szCs w:val="24"/>
              </w:rPr>
              <w:t>of the report.</w:t>
            </w:r>
          </w:p>
        </w:tc>
        <w:tc>
          <w:tcPr>
            <w:tcW w:w="4298" w:type="dxa"/>
          </w:tcPr>
          <w:p w:rsidR="00357EFE" w:rsidP="00072B1E" w14:paraId="5CAF5905" w14:textId="79EB61A0">
            <w:pPr>
              <w:rPr>
                <w:rFonts w:ascii="Times New Roman" w:hAnsi="Times New Roman" w:cs="Times New Roman"/>
                <w:sz w:val="24"/>
                <w:szCs w:val="24"/>
              </w:rPr>
            </w:pPr>
            <w:r w:rsidRPr="00BC5EF8">
              <w:rPr>
                <w:rFonts w:ascii="Times New Roman" w:hAnsi="Times New Roman" w:cs="Times New Roman"/>
                <w:sz w:val="24"/>
                <w:szCs w:val="24"/>
              </w:rPr>
              <w:t xml:space="preserve">OGE </w:t>
            </w:r>
            <w:r>
              <w:rPr>
                <w:rFonts w:ascii="Times New Roman" w:hAnsi="Times New Roman" w:cs="Times New Roman"/>
                <w:sz w:val="24"/>
                <w:szCs w:val="24"/>
              </w:rPr>
              <w:t>declines</w:t>
            </w:r>
            <w:r w:rsidRPr="00BC5EF8">
              <w:rPr>
                <w:rFonts w:ascii="Times New Roman" w:hAnsi="Times New Roman" w:cs="Times New Roman"/>
                <w:sz w:val="24"/>
                <w:szCs w:val="24"/>
              </w:rPr>
              <w:t xml:space="preserve"> to make this </w:t>
            </w:r>
            <w:r>
              <w:rPr>
                <w:rFonts w:ascii="Times New Roman" w:hAnsi="Times New Roman" w:cs="Times New Roman"/>
                <w:sz w:val="24"/>
                <w:szCs w:val="24"/>
              </w:rPr>
              <w:t>change because a</w:t>
            </w:r>
            <w:r>
              <w:rPr>
                <w:rFonts w:ascii="Times New Roman" w:hAnsi="Times New Roman" w:cs="Times New Roman"/>
                <w:sz w:val="24"/>
                <w:szCs w:val="24"/>
              </w:rPr>
              <w:t xml:space="preserve">gencies expressed no interest in </w:t>
            </w:r>
            <w:r>
              <w:rPr>
                <w:rFonts w:ascii="Times New Roman" w:hAnsi="Times New Roman" w:cs="Times New Roman"/>
                <w:sz w:val="24"/>
                <w:szCs w:val="24"/>
              </w:rPr>
              <w:t>it</w:t>
            </w:r>
            <w:r>
              <w:rPr>
                <w:rFonts w:ascii="Times New Roman" w:hAnsi="Times New Roman" w:cs="Times New Roman"/>
                <w:sz w:val="24"/>
                <w:szCs w:val="24"/>
              </w:rPr>
              <w:t xml:space="preserve"> and noted it would require changes </w:t>
            </w:r>
            <w:r w:rsidR="009C61E8">
              <w:rPr>
                <w:rFonts w:ascii="Times New Roman" w:hAnsi="Times New Roman" w:cs="Times New Roman"/>
                <w:sz w:val="24"/>
                <w:szCs w:val="24"/>
              </w:rPr>
              <w:t xml:space="preserve">to </w:t>
            </w:r>
            <w:r>
              <w:rPr>
                <w:rFonts w:ascii="Times New Roman" w:hAnsi="Times New Roman" w:cs="Times New Roman"/>
                <w:sz w:val="24"/>
                <w:szCs w:val="24"/>
              </w:rPr>
              <w:t>the electronic filing systems, which are costly.</w:t>
            </w:r>
          </w:p>
          <w:p w:rsidR="008C5D77" w:rsidRPr="00BC5EF8" w:rsidP="00072B1E" w14:paraId="7002F4C8" w14:textId="7701BC53">
            <w:pPr>
              <w:rPr>
                <w:rFonts w:ascii="Times New Roman" w:hAnsi="Times New Roman" w:cs="Times New Roman"/>
                <w:sz w:val="24"/>
                <w:szCs w:val="24"/>
              </w:rPr>
            </w:pPr>
          </w:p>
        </w:tc>
      </w:tr>
      <w:tr w14:paraId="4E8BADC3" w14:textId="77777777" w:rsidTr="008C5D77">
        <w:tblPrEx>
          <w:tblW w:w="9720" w:type="dxa"/>
          <w:tblInd w:w="-95" w:type="dxa"/>
          <w:tblLook w:val="04A0"/>
        </w:tblPrEx>
        <w:tc>
          <w:tcPr>
            <w:tcW w:w="1870" w:type="dxa"/>
          </w:tcPr>
          <w:p w:rsidR="008C5D77" w:rsidRPr="00FF27E3" w:rsidP="00072B1E" w14:paraId="3D9476D9" w14:textId="7C97E75A">
            <w:pPr>
              <w:rPr>
                <w:rFonts w:ascii="Times New Roman" w:hAnsi="Times New Roman" w:cs="Times New Roman"/>
                <w:color w:val="FF0000"/>
                <w:sz w:val="24"/>
                <w:szCs w:val="24"/>
              </w:rPr>
            </w:pPr>
            <w:r w:rsidRPr="00953B13">
              <w:rPr>
                <w:rFonts w:ascii="Times New Roman" w:hAnsi="Times New Roman" w:cs="Times New Roman"/>
                <w:iCs/>
                <w:sz w:val="24"/>
                <w:szCs w:val="24"/>
              </w:rPr>
              <w:t xml:space="preserve">Agency written comments and comments </w:t>
            </w:r>
            <w:r w:rsidR="00893751">
              <w:rPr>
                <w:rFonts w:ascii="Times New Roman" w:hAnsi="Times New Roman" w:cs="Times New Roman"/>
                <w:iCs/>
                <w:sz w:val="24"/>
                <w:szCs w:val="24"/>
              </w:rPr>
              <w:t xml:space="preserve">received </w:t>
            </w:r>
            <w:r w:rsidRPr="00953B13">
              <w:rPr>
                <w:rFonts w:ascii="Times New Roman" w:hAnsi="Times New Roman" w:cs="Times New Roman"/>
                <w:iCs/>
                <w:sz w:val="24"/>
                <w:szCs w:val="24"/>
              </w:rPr>
              <w:t>during public and agency sessions</w:t>
            </w:r>
          </w:p>
        </w:tc>
        <w:tc>
          <w:tcPr>
            <w:tcW w:w="3552" w:type="dxa"/>
          </w:tcPr>
          <w:p w:rsidR="008C5D77" w:rsidRPr="00FF27E3" w:rsidP="00072B1E" w14:paraId="03A031E3" w14:textId="75E5E7B0">
            <w:pPr>
              <w:rPr>
                <w:rFonts w:ascii="Times New Roman" w:hAnsi="Times New Roman" w:cs="Times New Roman"/>
                <w:iCs/>
                <w:color w:val="FF0000"/>
                <w:sz w:val="24"/>
                <w:szCs w:val="24"/>
              </w:rPr>
            </w:pPr>
            <w:r>
              <w:rPr>
                <w:rFonts w:ascii="Times New Roman" w:hAnsi="Times New Roman" w:cs="Times New Roman"/>
                <w:sz w:val="24"/>
                <w:szCs w:val="24"/>
              </w:rPr>
              <w:t xml:space="preserve">OGE should repeat the reporting period for each part of the report within the instructions box for each part. </w:t>
            </w:r>
          </w:p>
        </w:tc>
        <w:tc>
          <w:tcPr>
            <w:tcW w:w="4298" w:type="dxa"/>
          </w:tcPr>
          <w:p w:rsidR="008C5D77" w:rsidRPr="00FF27E3" w:rsidP="00072B1E" w14:paraId="33A676C8" w14:textId="28DDEBBF">
            <w:pPr>
              <w:rPr>
                <w:rFonts w:ascii="Times New Roman" w:hAnsi="Times New Roman" w:cs="Times New Roman"/>
                <w:color w:val="FF0000"/>
                <w:sz w:val="24"/>
                <w:szCs w:val="24"/>
              </w:rPr>
            </w:pPr>
            <w:r>
              <w:rPr>
                <w:rFonts w:ascii="Times New Roman" w:hAnsi="Times New Roman" w:cs="Times New Roman"/>
                <w:sz w:val="24"/>
                <w:szCs w:val="24"/>
              </w:rPr>
              <w:t xml:space="preserve">OGE </w:t>
            </w:r>
            <w:r w:rsidR="0064282E">
              <w:rPr>
                <w:rFonts w:ascii="Times New Roman" w:hAnsi="Times New Roman" w:cs="Times New Roman"/>
                <w:sz w:val="24"/>
                <w:szCs w:val="24"/>
              </w:rPr>
              <w:t>declines</w:t>
            </w:r>
            <w:r>
              <w:rPr>
                <w:rFonts w:ascii="Times New Roman" w:hAnsi="Times New Roman" w:cs="Times New Roman"/>
                <w:sz w:val="24"/>
                <w:szCs w:val="24"/>
              </w:rPr>
              <w:t xml:space="preserve"> to make this change </w:t>
            </w:r>
            <w:r w:rsidR="00125237">
              <w:rPr>
                <w:rFonts w:ascii="Times New Roman" w:hAnsi="Times New Roman" w:cs="Times New Roman"/>
                <w:sz w:val="24"/>
                <w:szCs w:val="24"/>
              </w:rPr>
              <w:t xml:space="preserve">due to </w:t>
            </w:r>
            <w:r w:rsidR="009C61E8">
              <w:rPr>
                <w:rFonts w:ascii="Times New Roman" w:hAnsi="Times New Roman" w:cs="Times New Roman"/>
                <w:sz w:val="24"/>
                <w:szCs w:val="24"/>
              </w:rPr>
              <w:t xml:space="preserve">the </w:t>
            </w:r>
            <w:r w:rsidR="00125237">
              <w:rPr>
                <w:rFonts w:ascii="Times New Roman" w:hAnsi="Times New Roman" w:cs="Times New Roman"/>
                <w:sz w:val="24"/>
                <w:szCs w:val="24"/>
              </w:rPr>
              <w:t xml:space="preserve">lack of </w:t>
            </w:r>
            <w:r w:rsidR="000A1A1E">
              <w:rPr>
                <w:rFonts w:ascii="Times New Roman" w:hAnsi="Times New Roman" w:cs="Times New Roman"/>
                <w:sz w:val="24"/>
                <w:szCs w:val="24"/>
              </w:rPr>
              <w:t>space</w:t>
            </w:r>
            <w:r w:rsidR="00125237">
              <w:rPr>
                <w:rFonts w:ascii="Times New Roman" w:hAnsi="Times New Roman" w:cs="Times New Roman"/>
                <w:sz w:val="24"/>
                <w:szCs w:val="24"/>
              </w:rPr>
              <w:t xml:space="preserve"> on the form</w:t>
            </w:r>
            <w:r w:rsidR="000D3E0C">
              <w:rPr>
                <w:rFonts w:ascii="Times New Roman" w:hAnsi="Times New Roman" w:cs="Times New Roman"/>
                <w:sz w:val="24"/>
                <w:szCs w:val="24"/>
              </w:rPr>
              <w:t xml:space="preserve"> but will consider it if the form</w:t>
            </w:r>
            <w:r w:rsidR="00125237">
              <w:rPr>
                <w:rFonts w:ascii="Times New Roman" w:hAnsi="Times New Roman" w:cs="Times New Roman"/>
                <w:sz w:val="24"/>
                <w:szCs w:val="24"/>
              </w:rPr>
              <w:t xml:space="preserve"> </w:t>
            </w:r>
            <w:r w:rsidR="0064282E">
              <w:rPr>
                <w:rFonts w:ascii="Times New Roman" w:hAnsi="Times New Roman" w:cs="Times New Roman"/>
                <w:sz w:val="24"/>
                <w:szCs w:val="24"/>
              </w:rPr>
              <w:t xml:space="preserve">is restructured </w:t>
            </w:r>
            <w:r w:rsidR="000C0BF1">
              <w:rPr>
                <w:rFonts w:ascii="Times New Roman" w:hAnsi="Times New Roman" w:cs="Times New Roman"/>
                <w:sz w:val="24"/>
                <w:szCs w:val="24"/>
              </w:rPr>
              <w:t xml:space="preserve">in </w:t>
            </w:r>
            <w:r w:rsidR="00125237">
              <w:rPr>
                <w:rFonts w:ascii="Times New Roman" w:hAnsi="Times New Roman" w:cs="Times New Roman"/>
                <w:sz w:val="24"/>
                <w:szCs w:val="24"/>
              </w:rPr>
              <w:t>the future</w:t>
            </w:r>
            <w:r>
              <w:rPr>
                <w:rFonts w:ascii="Times New Roman" w:hAnsi="Times New Roman" w:cs="Times New Roman"/>
                <w:sz w:val="24"/>
                <w:szCs w:val="24"/>
              </w:rPr>
              <w:t xml:space="preserve">. </w:t>
            </w:r>
          </w:p>
        </w:tc>
      </w:tr>
      <w:tr w14:paraId="12FF8119" w14:textId="77777777" w:rsidTr="00847800">
        <w:tblPrEx>
          <w:tblW w:w="9720" w:type="dxa"/>
          <w:tblInd w:w="-95" w:type="dxa"/>
          <w:tblLook w:val="04A0"/>
        </w:tblPrEx>
        <w:tc>
          <w:tcPr>
            <w:tcW w:w="9720" w:type="dxa"/>
            <w:gridSpan w:val="3"/>
          </w:tcPr>
          <w:p w:rsidR="008C5D77" w:rsidP="00072B1E" w14:paraId="3AE8E0A9" w14:textId="485D5979">
            <w:pPr>
              <w:rPr>
                <w:rFonts w:ascii="Times New Roman" w:hAnsi="Times New Roman" w:cs="Times New Roman"/>
                <w:sz w:val="24"/>
                <w:szCs w:val="24"/>
              </w:rPr>
            </w:pPr>
            <w:r>
              <w:rPr>
                <w:rFonts w:ascii="Times New Roman" w:hAnsi="Times New Roman" w:cs="Times New Roman"/>
                <w:sz w:val="24"/>
                <w:szCs w:val="24"/>
              </w:rPr>
              <w:t>COVER PAGE</w:t>
            </w:r>
            <w:r w:rsidR="009C61E8">
              <w:rPr>
                <w:rFonts w:ascii="Times New Roman" w:hAnsi="Times New Roman" w:cs="Times New Roman"/>
                <w:sz w:val="24"/>
                <w:szCs w:val="24"/>
              </w:rPr>
              <w:t>:</w:t>
            </w:r>
            <w:r>
              <w:rPr>
                <w:rFonts w:ascii="Times New Roman" w:hAnsi="Times New Roman" w:cs="Times New Roman"/>
                <w:sz w:val="24"/>
                <w:szCs w:val="24"/>
              </w:rPr>
              <w:t xml:space="preserve"> STEP 1 </w:t>
            </w:r>
            <w:r w:rsidR="009C61E8">
              <w:rPr>
                <w:rFonts w:ascii="Times New Roman" w:hAnsi="Times New Roman" w:cs="Times New Roman"/>
                <w:sz w:val="24"/>
                <w:szCs w:val="24"/>
              </w:rPr>
              <w:t xml:space="preserve">and </w:t>
            </w:r>
            <w:r>
              <w:rPr>
                <w:rFonts w:ascii="Times New Roman" w:hAnsi="Times New Roman" w:cs="Times New Roman"/>
                <w:sz w:val="24"/>
                <w:szCs w:val="24"/>
              </w:rPr>
              <w:t>STEP 2</w:t>
            </w:r>
          </w:p>
        </w:tc>
      </w:tr>
      <w:tr w14:paraId="208CC9B6" w14:textId="77777777" w:rsidTr="008C5D77">
        <w:tblPrEx>
          <w:tblW w:w="9720" w:type="dxa"/>
          <w:tblInd w:w="-95" w:type="dxa"/>
          <w:tblLook w:val="04A0"/>
        </w:tblPrEx>
        <w:tc>
          <w:tcPr>
            <w:tcW w:w="1870" w:type="dxa"/>
          </w:tcPr>
          <w:p w:rsidR="008C5D77" w:rsidP="00072B1E" w14:paraId="5F95E5FC" w14:textId="5E844A3F">
            <w:pPr>
              <w:rPr>
                <w:rFonts w:ascii="Times New Roman" w:hAnsi="Times New Roman" w:cs="Times New Roman"/>
                <w:sz w:val="24"/>
                <w:szCs w:val="24"/>
              </w:rPr>
            </w:pPr>
            <w:r>
              <w:rPr>
                <w:rFonts w:ascii="Times New Roman" w:hAnsi="Times New Roman" w:cs="Times New Roman"/>
                <w:iCs/>
                <w:sz w:val="24"/>
                <w:szCs w:val="24"/>
              </w:rPr>
              <w:t>C</w:t>
            </w:r>
            <w:r w:rsidRPr="00F23AD9">
              <w:rPr>
                <w:rFonts w:ascii="Times New Roman" w:hAnsi="Times New Roman" w:cs="Times New Roman"/>
                <w:iCs/>
                <w:sz w:val="24"/>
                <w:szCs w:val="24"/>
              </w:rPr>
              <w:t>omments</w:t>
            </w:r>
            <w:r>
              <w:rPr>
                <w:rFonts w:ascii="Times New Roman" w:hAnsi="Times New Roman" w:cs="Times New Roman"/>
                <w:iCs/>
                <w:sz w:val="24"/>
                <w:szCs w:val="24"/>
              </w:rPr>
              <w:t xml:space="preserve"> received</w:t>
            </w:r>
            <w:r w:rsidRPr="00F23AD9">
              <w:rPr>
                <w:rFonts w:ascii="Times New Roman" w:hAnsi="Times New Roman" w:cs="Times New Roman"/>
                <w:iCs/>
                <w:sz w:val="24"/>
                <w:szCs w:val="24"/>
              </w:rPr>
              <w:t xml:space="preserve"> during public and agency sessions</w:t>
            </w:r>
          </w:p>
        </w:tc>
        <w:tc>
          <w:tcPr>
            <w:tcW w:w="3552" w:type="dxa"/>
          </w:tcPr>
          <w:p w:rsidR="008C5D77" w:rsidP="00072B1E" w14:paraId="14A4CDB7" w14:textId="7F128576">
            <w:pPr>
              <w:rPr>
                <w:rFonts w:ascii="Times New Roman" w:hAnsi="Times New Roman" w:cs="Times New Roman"/>
                <w:sz w:val="24"/>
                <w:szCs w:val="24"/>
              </w:rPr>
            </w:pPr>
            <w:r>
              <w:rPr>
                <w:rFonts w:ascii="Times New Roman" w:hAnsi="Times New Roman" w:cs="Times New Roman"/>
                <w:iCs/>
                <w:sz w:val="24"/>
                <w:szCs w:val="24"/>
              </w:rPr>
              <w:t xml:space="preserve">OGE should clarify the definitions and/or the instructions of the definition of “Special Government Employee” (SGE). </w:t>
            </w:r>
          </w:p>
        </w:tc>
        <w:tc>
          <w:tcPr>
            <w:tcW w:w="4298" w:type="dxa"/>
          </w:tcPr>
          <w:p w:rsidR="008C5D77" w:rsidP="00072B1E" w14:paraId="11749ECE" w14:textId="472CA94F">
            <w:pPr>
              <w:rPr>
                <w:rFonts w:ascii="Times New Roman" w:hAnsi="Times New Roman" w:cs="Times New Roman"/>
                <w:sz w:val="24"/>
                <w:szCs w:val="24"/>
              </w:rPr>
            </w:pPr>
            <w:r>
              <w:rPr>
                <w:rFonts w:ascii="Times New Roman" w:hAnsi="Times New Roman" w:cs="Times New Roman"/>
                <w:sz w:val="24"/>
                <w:szCs w:val="24"/>
              </w:rPr>
              <w:t xml:space="preserve">OGE </w:t>
            </w:r>
            <w:r w:rsidR="00CF79B6">
              <w:rPr>
                <w:rFonts w:ascii="Times New Roman" w:hAnsi="Times New Roman" w:cs="Times New Roman"/>
                <w:sz w:val="24"/>
                <w:szCs w:val="24"/>
              </w:rPr>
              <w:t xml:space="preserve">accepts </w:t>
            </w:r>
            <w:r>
              <w:rPr>
                <w:rFonts w:ascii="Times New Roman" w:hAnsi="Times New Roman" w:cs="Times New Roman"/>
                <w:sz w:val="24"/>
                <w:szCs w:val="24"/>
              </w:rPr>
              <w:t>th</w:t>
            </w:r>
            <w:r w:rsidR="00506344">
              <w:rPr>
                <w:rFonts w:ascii="Times New Roman" w:hAnsi="Times New Roman" w:cs="Times New Roman"/>
                <w:sz w:val="24"/>
                <w:szCs w:val="24"/>
              </w:rPr>
              <w:t>is</w:t>
            </w:r>
            <w:r>
              <w:rPr>
                <w:rFonts w:ascii="Times New Roman" w:hAnsi="Times New Roman" w:cs="Times New Roman"/>
                <w:sz w:val="24"/>
                <w:szCs w:val="24"/>
              </w:rPr>
              <w:t xml:space="preserve"> change</w:t>
            </w:r>
            <w:r w:rsidR="008A2F93">
              <w:rPr>
                <w:rFonts w:ascii="Times New Roman" w:hAnsi="Times New Roman" w:cs="Times New Roman"/>
                <w:sz w:val="24"/>
                <w:szCs w:val="24"/>
              </w:rPr>
              <w:t>.</w:t>
            </w:r>
            <w:r>
              <w:rPr>
                <w:rFonts w:ascii="Times New Roman" w:hAnsi="Times New Roman" w:cs="Times New Roman"/>
                <w:sz w:val="24"/>
                <w:szCs w:val="24"/>
              </w:rPr>
              <w:t xml:space="preserve"> </w:t>
            </w:r>
            <w:r w:rsidR="008A2F93">
              <w:rPr>
                <w:rFonts w:ascii="Times New Roman" w:hAnsi="Times New Roman" w:cs="Times New Roman"/>
                <w:sz w:val="24"/>
                <w:szCs w:val="24"/>
              </w:rPr>
              <w:t>T</w:t>
            </w:r>
            <w:r w:rsidR="00CF79B6">
              <w:rPr>
                <w:rFonts w:ascii="Times New Roman" w:hAnsi="Times New Roman" w:cs="Times New Roman"/>
                <w:sz w:val="24"/>
                <w:szCs w:val="24"/>
              </w:rPr>
              <w:t xml:space="preserve">he form provides </w:t>
            </w:r>
            <w:r>
              <w:rPr>
                <w:rFonts w:ascii="Times New Roman" w:hAnsi="Times New Roman" w:cs="Times New Roman"/>
                <w:sz w:val="24"/>
                <w:szCs w:val="24"/>
              </w:rPr>
              <w:t xml:space="preserve">a succinct definition that will aid </w:t>
            </w:r>
            <w:r w:rsidR="00125237">
              <w:rPr>
                <w:rFonts w:ascii="Times New Roman" w:hAnsi="Times New Roman" w:cs="Times New Roman"/>
                <w:sz w:val="24"/>
                <w:szCs w:val="24"/>
              </w:rPr>
              <w:t>filers</w:t>
            </w:r>
            <w:r>
              <w:rPr>
                <w:rFonts w:ascii="Times New Roman" w:hAnsi="Times New Roman" w:cs="Times New Roman"/>
                <w:sz w:val="24"/>
                <w:szCs w:val="24"/>
              </w:rPr>
              <w:t xml:space="preserve"> and agency reviewers. </w:t>
            </w:r>
          </w:p>
        </w:tc>
      </w:tr>
      <w:tr w14:paraId="581B63A5" w14:textId="77777777" w:rsidTr="008C5D77">
        <w:tblPrEx>
          <w:tblW w:w="9720" w:type="dxa"/>
          <w:tblInd w:w="-95" w:type="dxa"/>
          <w:tblLook w:val="04A0"/>
        </w:tblPrEx>
        <w:tc>
          <w:tcPr>
            <w:tcW w:w="1870" w:type="dxa"/>
          </w:tcPr>
          <w:p w:rsidR="008C5D77" w:rsidP="00072B1E" w14:paraId="54B613DF" w14:textId="13E17419">
            <w:pPr>
              <w:rPr>
                <w:rFonts w:ascii="Times New Roman" w:hAnsi="Times New Roman" w:cs="Times New Roman"/>
                <w:iCs/>
                <w:sz w:val="24"/>
                <w:szCs w:val="24"/>
              </w:rPr>
            </w:pPr>
            <w:r w:rsidRPr="00952C75">
              <w:rPr>
                <w:rFonts w:ascii="Times New Roman" w:hAnsi="Times New Roman" w:cs="Times New Roman"/>
                <w:iCs/>
                <w:sz w:val="24"/>
                <w:szCs w:val="24"/>
              </w:rPr>
              <w:t>OGE subject matter exper</w:t>
            </w:r>
            <w:r>
              <w:rPr>
                <w:rFonts w:ascii="Times New Roman" w:hAnsi="Times New Roman" w:cs="Times New Roman"/>
                <w:iCs/>
                <w:sz w:val="24"/>
                <w:szCs w:val="24"/>
              </w:rPr>
              <w:t>t</w:t>
            </w:r>
          </w:p>
        </w:tc>
        <w:tc>
          <w:tcPr>
            <w:tcW w:w="3552" w:type="dxa"/>
          </w:tcPr>
          <w:p w:rsidR="008C5D77" w:rsidRPr="00BB6A1C" w:rsidP="00072B1E" w14:paraId="68254579" w14:textId="33183AB9">
            <w:pPr>
              <w:rPr>
                <w:rFonts w:ascii="Times New Roman" w:hAnsi="Times New Roman" w:cs="Times New Roman"/>
                <w:iCs/>
                <w:sz w:val="24"/>
                <w:szCs w:val="24"/>
              </w:rPr>
            </w:pPr>
            <w:r w:rsidRPr="00BB6A1C">
              <w:rPr>
                <w:rFonts w:ascii="Times New Roman" w:hAnsi="Times New Roman" w:cs="Times New Roman"/>
                <w:iCs/>
                <w:sz w:val="24"/>
                <w:szCs w:val="24"/>
              </w:rPr>
              <w:t xml:space="preserve">OGE </w:t>
            </w:r>
            <w:r w:rsidR="000A1A1E">
              <w:rPr>
                <w:rFonts w:ascii="Times New Roman" w:hAnsi="Times New Roman" w:cs="Times New Roman"/>
                <w:iCs/>
                <w:sz w:val="24"/>
                <w:szCs w:val="24"/>
              </w:rPr>
              <w:t xml:space="preserve">should </w:t>
            </w:r>
            <w:r w:rsidRPr="00BB6A1C">
              <w:rPr>
                <w:rFonts w:ascii="Times New Roman" w:hAnsi="Times New Roman" w:cs="Times New Roman"/>
                <w:iCs/>
                <w:sz w:val="24"/>
                <w:szCs w:val="24"/>
              </w:rPr>
              <w:t xml:space="preserve">add a box that asks the </w:t>
            </w:r>
            <w:r w:rsidR="00125237">
              <w:rPr>
                <w:rFonts w:ascii="Times New Roman" w:hAnsi="Times New Roman" w:cs="Times New Roman"/>
                <w:iCs/>
                <w:sz w:val="24"/>
                <w:szCs w:val="24"/>
              </w:rPr>
              <w:t>filer</w:t>
            </w:r>
            <w:r w:rsidRPr="00BB6A1C">
              <w:rPr>
                <w:rFonts w:ascii="Times New Roman" w:hAnsi="Times New Roman" w:cs="Times New Roman"/>
                <w:iCs/>
                <w:sz w:val="24"/>
                <w:szCs w:val="24"/>
              </w:rPr>
              <w:t xml:space="preserve"> to identify the type of asset</w:t>
            </w:r>
            <w:r>
              <w:rPr>
                <w:rFonts w:ascii="Times New Roman" w:hAnsi="Times New Roman" w:cs="Times New Roman"/>
                <w:iCs/>
                <w:sz w:val="24"/>
                <w:szCs w:val="24"/>
              </w:rPr>
              <w:t xml:space="preserve"> with standard responses</w:t>
            </w:r>
            <w:r w:rsidRPr="00BB6A1C">
              <w:rPr>
                <w:rFonts w:ascii="Times New Roman" w:hAnsi="Times New Roman" w:cs="Times New Roman"/>
                <w:iCs/>
                <w:sz w:val="24"/>
                <w:szCs w:val="24"/>
              </w:rPr>
              <w:t xml:space="preserve">. </w:t>
            </w:r>
          </w:p>
        </w:tc>
        <w:tc>
          <w:tcPr>
            <w:tcW w:w="4298" w:type="dxa"/>
          </w:tcPr>
          <w:p w:rsidR="008C5D77" w:rsidRPr="00BB6A1C" w:rsidP="00072B1E" w14:paraId="78E72FA2" w14:textId="3C8B650C">
            <w:pPr>
              <w:rPr>
                <w:rFonts w:ascii="Times New Roman" w:hAnsi="Times New Roman" w:cs="Times New Roman"/>
                <w:sz w:val="24"/>
                <w:szCs w:val="24"/>
              </w:rPr>
            </w:pPr>
            <w:r w:rsidRPr="00BB6A1C">
              <w:rPr>
                <w:rFonts w:ascii="Times New Roman" w:hAnsi="Times New Roman" w:cs="Times New Roman"/>
                <w:sz w:val="24"/>
                <w:szCs w:val="24"/>
              </w:rPr>
              <w:t xml:space="preserve">OGE </w:t>
            </w:r>
            <w:r w:rsidR="002E48B0">
              <w:rPr>
                <w:rFonts w:ascii="Times New Roman" w:hAnsi="Times New Roman" w:cs="Times New Roman"/>
                <w:sz w:val="24"/>
                <w:szCs w:val="24"/>
              </w:rPr>
              <w:t>declines</w:t>
            </w:r>
            <w:r w:rsidRPr="00BB6A1C">
              <w:rPr>
                <w:rFonts w:ascii="Times New Roman" w:hAnsi="Times New Roman" w:cs="Times New Roman"/>
                <w:sz w:val="24"/>
                <w:szCs w:val="24"/>
              </w:rPr>
              <w:t xml:space="preserve"> to make </w:t>
            </w:r>
            <w:r w:rsidR="00637481">
              <w:rPr>
                <w:rFonts w:ascii="Times New Roman" w:hAnsi="Times New Roman" w:cs="Times New Roman"/>
                <w:sz w:val="24"/>
                <w:szCs w:val="24"/>
              </w:rPr>
              <w:t>this</w:t>
            </w:r>
            <w:r w:rsidRPr="00BB6A1C" w:rsidR="00637481">
              <w:rPr>
                <w:rFonts w:ascii="Times New Roman" w:hAnsi="Times New Roman" w:cs="Times New Roman"/>
                <w:sz w:val="24"/>
                <w:szCs w:val="24"/>
              </w:rPr>
              <w:t xml:space="preserve"> </w:t>
            </w:r>
            <w:r w:rsidRPr="00BB6A1C">
              <w:rPr>
                <w:rFonts w:ascii="Times New Roman" w:hAnsi="Times New Roman" w:cs="Times New Roman"/>
                <w:sz w:val="24"/>
                <w:szCs w:val="24"/>
              </w:rPr>
              <w:t>change</w:t>
            </w:r>
            <w:r w:rsidR="008A2F93">
              <w:rPr>
                <w:rFonts w:ascii="Times New Roman" w:hAnsi="Times New Roman" w:cs="Times New Roman"/>
                <w:sz w:val="24"/>
                <w:szCs w:val="24"/>
              </w:rPr>
              <w:t xml:space="preserve"> </w:t>
            </w:r>
            <w:r w:rsidR="00E0352E">
              <w:rPr>
                <w:rFonts w:ascii="Times New Roman" w:hAnsi="Times New Roman" w:cs="Times New Roman"/>
                <w:sz w:val="24"/>
                <w:szCs w:val="24"/>
              </w:rPr>
              <w:t>b</w:t>
            </w:r>
            <w:r w:rsidRPr="00BB6A1C" w:rsidR="008A2F93">
              <w:rPr>
                <w:rFonts w:ascii="Times New Roman" w:hAnsi="Times New Roman" w:cs="Times New Roman"/>
                <w:sz w:val="24"/>
                <w:szCs w:val="24"/>
              </w:rPr>
              <w:t xml:space="preserve">ased upon </w:t>
            </w:r>
            <w:r w:rsidR="009C61E8">
              <w:rPr>
                <w:rFonts w:ascii="Times New Roman" w:hAnsi="Times New Roman" w:cs="Times New Roman"/>
                <w:sz w:val="24"/>
                <w:szCs w:val="24"/>
              </w:rPr>
              <w:t xml:space="preserve">the </w:t>
            </w:r>
            <w:r w:rsidRPr="00BB6A1C" w:rsidR="008A2F93">
              <w:rPr>
                <w:rFonts w:ascii="Times New Roman" w:hAnsi="Times New Roman" w:cs="Times New Roman"/>
                <w:sz w:val="24"/>
                <w:szCs w:val="24"/>
              </w:rPr>
              <w:t xml:space="preserve">lack of support </w:t>
            </w:r>
            <w:r w:rsidR="008A2F93">
              <w:rPr>
                <w:rFonts w:ascii="Times New Roman" w:hAnsi="Times New Roman" w:cs="Times New Roman"/>
                <w:sz w:val="24"/>
                <w:szCs w:val="24"/>
              </w:rPr>
              <w:t>from the public and</w:t>
            </w:r>
            <w:r w:rsidRPr="00BB6A1C" w:rsidR="008A2F93">
              <w:rPr>
                <w:rFonts w:ascii="Times New Roman" w:hAnsi="Times New Roman" w:cs="Times New Roman"/>
                <w:sz w:val="24"/>
                <w:szCs w:val="24"/>
              </w:rPr>
              <w:t xml:space="preserve"> agency reviewers</w:t>
            </w:r>
            <w:r w:rsidRPr="00BB6A1C">
              <w:rPr>
                <w:rFonts w:ascii="Times New Roman" w:hAnsi="Times New Roman" w:cs="Times New Roman"/>
                <w:sz w:val="24"/>
                <w:szCs w:val="24"/>
              </w:rPr>
              <w:t>.</w:t>
            </w:r>
          </w:p>
        </w:tc>
      </w:tr>
    </w:tbl>
    <w:p w:rsidR="00952C75" w14:paraId="6F0558C7" w14:textId="77777777">
      <w:r>
        <w:br w:type="page"/>
      </w:r>
    </w:p>
    <w:tbl>
      <w:tblPr>
        <w:tblStyle w:val="TableGrid"/>
        <w:tblW w:w="9720" w:type="dxa"/>
        <w:tblInd w:w="-95" w:type="dxa"/>
        <w:tblLook w:val="04A0"/>
      </w:tblPr>
      <w:tblGrid>
        <w:gridCol w:w="1870"/>
        <w:gridCol w:w="3552"/>
        <w:gridCol w:w="4298"/>
      </w:tblGrid>
      <w:tr w14:paraId="0682BFD2" w14:textId="77777777" w:rsidTr="008C5D77">
        <w:tblPrEx>
          <w:tblW w:w="9720" w:type="dxa"/>
          <w:tblInd w:w="-95" w:type="dxa"/>
          <w:tblLook w:val="04A0"/>
        </w:tblPrEx>
        <w:tc>
          <w:tcPr>
            <w:tcW w:w="1870" w:type="dxa"/>
          </w:tcPr>
          <w:p w:rsidR="008C5D77" w:rsidRPr="00BB6A1C" w:rsidP="00072B1E" w14:paraId="4FF71630" w14:textId="2F446C8E">
            <w:pPr>
              <w:rPr>
                <w:rFonts w:ascii="Times New Roman" w:hAnsi="Times New Roman" w:cs="Times New Roman"/>
                <w:iCs/>
                <w:sz w:val="24"/>
                <w:szCs w:val="24"/>
              </w:rPr>
            </w:pPr>
            <w:r w:rsidRPr="00F04F3B">
              <w:rPr>
                <w:rFonts w:ascii="Times New Roman" w:hAnsi="Times New Roman" w:cs="Times New Roman"/>
                <w:iCs/>
                <w:sz w:val="24"/>
                <w:szCs w:val="24"/>
              </w:rPr>
              <w:t>Agency written comments and comments during public and agency sessions</w:t>
            </w:r>
          </w:p>
        </w:tc>
        <w:tc>
          <w:tcPr>
            <w:tcW w:w="3552" w:type="dxa"/>
          </w:tcPr>
          <w:p w:rsidR="008C5D77" w:rsidP="00072B1E" w14:paraId="0E61C09D" w14:textId="1B290EA9">
            <w:pPr>
              <w:rPr>
                <w:rFonts w:ascii="Times New Roman" w:hAnsi="Times New Roman" w:cs="Times New Roman"/>
                <w:iCs/>
                <w:sz w:val="24"/>
                <w:szCs w:val="24"/>
              </w:rPr>
            </w:pPr>
            <w:r>
              <w:rPr>
                <w:rFonts w:ascii="Times New Roman" w:hAnsi="Times New Roman" w:cs="Times New Roman"/>
                <w:iCs/>
                <w:sz w:val="24"/>
                <w:szCs w:val="24"/>
              </w:rPr>
              <w:t xml:space="preserve">OGE should add a question concerning a </w:t>
            </w:r>
            <w:r w:rsidR="00125237">
              <w:rPr>
                <w:rFonts w:ascii="Times New Roman" w:hAnsi="Times New Roman" w:cs="Times New Roman"/>
                <w:iCs/>
                <w:sz w:val="24"/>
                <w:szCs w:val="24"/>
              </w:rPr>
              <w:t>filer</w:t>
            </w:r>
            <w:r>
              <w:rPr>
                <w:rFonts w:ascii="Times New Roman" w:hAnsi="Times New Roman" w:cs="Times New Roman"/>
                <w:iCs/>
                <w:sz w:val="24"/>
                <w:szCs w:val="24"/>
              </w:rPr>
              <w:t xml:space="preserve">’s marital status. </w:t>
            </w:r>
            <w:r w:rsidR="009C61E8">
              <w:rPr>
                <w:rFonts w:ascii="Times New Roman" w:hAnsi="Times New Roman" w:cs="Times New Roman"/>
                <w:iCs/>
                <w:sz w:val="24"/>
                <w:szCs w:val="24"/>
              </w:rPr>
              <w:t>The r</w:t>
            </w:r>
            <w:r>
              <w:rPr>
                <w:rFonts w:ascii="Times New Roman" w:hAnsi="Times New Roman" w:cs="Times New Roman"/>
                <w:iCs/>
                <w:sz w:val="24"/>
                <w:szCs w:val="24"/>
              </w:rPr>
              <w:t>ationale is that it would provide clarity to agency reviewers on what they should expect to see in the report.</w:t>
            </w:r>
          </w:p>
          <w:p w:rsidR="008C5D77" w:rsidP="00072B1E" w14:paraId="57270D8B" w14:textId="77777777">
            <w:pPr>
              <w:rPr>
                <w:rFonts w:ascii="Times New Roman" w:hAnsi="Times New Roman" w:cs="Times New Roman"/>
                <w:iCs/>
                <w:sz w:val="24"/>
                <w:szCs w:val="24"/>
              </w:rPr>
            </w:pPr>
          </w:p>
          <w:p w:rsidR="008C5D77" w:rsidRPr="00BB6A1C" w:rsidP="00072B1E" w14:paraId="551B07D1" w14:textId="3DA90641">
            <w:pPr>
              <w:rPr>
                <w:rFonts w:ascii="Times New Roman" w:hAnsi="Times New Roman" w:cs="Times New Roman"/>
                <w:iCs/>
                <w:sz w:val="24"/>
                <w:szCs w:val="24"/>
              </w:rPr>
            </w:pPr>
            <w:r>
              <w:rPr>
                <w:rFonts w:ascii="Times New Roman" w:hAnsi="Times New Roman" w:cs="Times New Roman"/>
                <w:iCs/>
                <w:sz w:val="24"/>
                <w:szCs w:val="24"/>
              </w:rPr>
              <w:t xml:space="preserve">The form as it currently exists does provide for an option to self-identify </w:t>
            </w:r>
            <w:r w:rsidR="009C61E8">
              <w:rPr>
                <w:rFonts w:ascii="Times New Roman" w:hAnsi="Times New Roman" w:cs="Times New Roman"/>
                <w:iCs/>
                <w:sz w:val="24"/>
                <w:szCs w:val="24"/>
              </w:rPr>
              <w:t xml:space="preserve">an </w:t>
            </w:r>
            <w:r>
              <w:rPr>
                <w:rFonts w:ascii="Times New Roman" w:hAnsi="Times New Roman" w:cs="Times New Roman"/>
                <w:iCs/>
                <w:sz w:val="24"/>
                <w:szCs w:val="24"/>
              </w:rPr>
              <w:t>asset</w:t>
            </w:r>
            <w:r w:rsidR="009C61E8">
              <w:rPr>
                <w:rFonts w:ascii="Times New Roman" w:hAnsi="Times New Roman" w:cs="Times New Roman"/>
                <w:iCs/>
                <w:sz w:val="24"/>
                <w:szCs w:val="24"/>
              </w:rPr>
              <w:t>’s</w:t>
            </w:r>
            <w:r>
              <w:rPr>
                <w:rFonts w:ascii="Times New Roman" w:hAnsi="Times New Roman" w:cs="Times New Roman"/>
                <w:iCs/>
                <w:sz w:val="24"/>
                <w:szCs w:val="24"/>
              </w:rPr>
              <w:t xml:space="preserve"> owner</w:t>
            </w:r>
            <w:r w:rsidR="00125237">
              <w:rPr>
                <w:rFonts w:ascii="Times New Roman" w:hAnsi="Times New Roman" w:cs="Times New Roman"/>
                <w:iCs/>
                <w:sz w:val="24"/>
                <w:szCs w:val="24"/>
              </w:rPr>
              <w:t>,</w:t>
            </w:r>
            <w:r>
              <w:rPr>
                <w:rFonts w:ascii="Times New Roman" w:hAnsi="Times New Roman" w:cs="Times New Roman"/>
                <w:iCs/>
                <w:sz w:val="24"/>
                <w:szCs w:val="24"/>
              </w:rPr>
              <w:t xml:space="preserve"> however</w:t>
            </w:r>
            <w:r w:rsidR="00942074">
              <w:rPr>
                <w:rFonts w:ascii="Times New Roman" w:hAnsi="Times New Roman" w:cs="Times New Roman"/>
                <w:iCs/>
                <w:sz w:val="24"/>
                <w:szCs w:val="24"/>
              </w:rPr>
              <w:t>,</w:t>
            </w:r>
            <w:r>
              <w:rPr>
                <w:rFonts w:ascii="Times New Roman" w:hAnsi="Times New Roman" w:cs="Times New Roman"/>
                <w:iCs/>
                <w:sz w:val="24"/>
                <w:szCs w:val="24"/>
              </w:rPr>
              <w:t xml:space="preserve"> it is not required</w:t>
            </w:r>
            <w:r w:rsidR="000A1A1E">
              <w:rPr>
                <w:rFonts w:ascii="Times New Roman" w:hAnsi="Times New Roman" w:cs="Times New Roman"/>
                <w:iCs/>
                <w:sz w:val="24"/>
                <w:szCs w:val="24"/>
              </w:rPr>
              <w:t xml:space="preserve"> by the regulation</w:t>
            </w:r>
            <w:r>
              <w:rPr>
                <w:rFonts w:ascii="Times New Roman" w:hAnsi="Times New Roman" w:cs="Times New Roman"/>
                <w:iCs/>
                <w:sz w:val="24"/>
                <w:szCs w:val="24"/>
              </w:rPr>
              <w:t>.</w:t>
            </w:r>
          </w:p>
        </w:tc>
        <w:tc>
          <w:tcPr>
            <w:tcW w:w="4298" w:type="dxa"/>
          </w:tcPr>
          <w:p w:rsidR="008C5D77" w:rsidRPr="00BB6A1C" w:rsidP="00072B1E" w14:paraId="0907ACF4" w14:textId="45AE6886">
            <w:pPr>
              <w:rPr>
                <w:rFonts w:ascii="Times New Roman" w:hAnsi="Times New Roman" w:cs="Times New Roman"/>
                <w:sz w:val="24"/>
                <w:szCs w:val="24"/>
              </w:rPr>
            </w:pPr>
            <w:r>
              <w:rPr>
                <w:rFonts w:ascii="Times New Roman" w:hAnsi="Times New Roman" w:cs="Times New Roman"/>
                <w:sz w:val="24"/>
                <w:szCs w:val="24"/>
              </w:rPr>
              <w:t>OGE accept</w:t>
            </w:r>
            <w:r w:rsidR="000B7A45">
              <w:rPr>
                <w:rFonts w:ascii="Times New Roman" w:hAnsi="Times New Roman" w:cs="Times New Roman"/>
                <w:sz w:val="24"/>
                <w:szCs w:val="24"/>
              </w:rPr>
              <w:t>s</w:t>
            </w:r>
            <w:r>
              <w:rPr>
                <w:rFonts w:ascii="Times New Roman" w:hAnsi="Times New Roman" w:cs="Times New Roman"/>
                <w:sz w:val="24"/>
                <w:szCs w:val="24"/>
              </w:rPr>
              <w:t xml:space="preserve"> th</w:t>
            </w:r>
            <w:r w:rsidR="00506344">
              <w:rPr>
                <w:rFonts w:ascii="Times New Roman" w:hAnsi="Times New Roman" w:cs="Times New Roman"/>
                <w:sz w:val="24"/>
                <w:szCs w:val="24"/>
              </w:rPr>
              <w:t xml:space="preserve">is </w:t>
            </w:r>
            <w:r>
              <w:rPr>
                <w:rFonts w:ascii="Times New Roman" w:hAnsi="Times New Roman" w:cs="Times New Roman"/>
                <w:sz w:val="24"/>
                <w:szCs w:val="24"/>
              </w:rPr>
              <w:t xml:space="preserve">change and </w:t>
            </w:r>
            <w:r w:rsidR="000B7A45">
              <w:rPr>
                <w:rFonts w:ascii="Times New Roman" w:hAnsi="Times New Roman" w:cs="Times New Roman"/>
                <w:sz w:val="24"/>
                <w:szCs w:val="24"/>
              </w:rPr>
              <w:t xml:space="preserve">adds </w:t>
            </w:r>
            <w:r w:rsidR="00C4163C">
              <w:rPr>
                <w:rFonts w:ascii="Times New Roman" w:hAnsi="Times New Roman" w:cs="Times New Roman"/>
                <w:sz w:val="24"/>
                <w:szCs w:val="24"/>
              </w:rPr>
              <w:t>the following question to the form:</w:t>
            </w:r>
            <w:r>
              <w:rPr>
                <w:rFonts w:ascii="Times New Roman" w:hAnsi="Times New Roman" w:cs="Times New Roman"/>
                <w:sz w:val="24"/>
                <w:szCs w:val="24"/>
              </w:rPr>
              <w:t xml:space="preserve"> “I have a spouse who has paid employment outside </w:t>
            </w:r>
            <w:r w:rsidR="009C61E8">
              <w:rPr>
                <w:rFonts w:ascii="Times New Roman" w:hAnsi="Times New Roman" w:cs="Times New Roman"/>
                <w:sz w:val="24"/>
                <w:szCs w:val="24"/>
              </w:rPr>
              <w:t xml:space="preserve">of </w:t>
            </w:r>
            <w:r>
              <w:rPr>
                <w:rFonts w:ascii="Times New Roman" w:hAnsi="Times New Roman" w:cs="Times New Roman"/>
                <w:sz w:val="24"/>
                <w:szCs w:val="24"/>
              </w:rPr>
              <w:t xml:space="preserve">the </w:t>
            </w:r>
            <w:r w:rsidR="00942074">
              <w:rPr>
                <w:rFonts w:ascii="Times New Roman" w:hAnsi="Times New Roman" w:cs="Times New Roman"/>
                <w:sz w:val="24"/>
                <w:szCs w:val="24"/>
              </w:rPr>
              <w:t>F</w:t>
            </w:r>
            <w:r>
              <w:rPr>
                <w:rFonts w:ascii="Times New Roman" w:hAnsi="Times New Roman" w:cs="Times New Roman"/>
                <w:sz w:val="24"/>
                <w:szCs w:val="24"/>
              </w:rPr>
              <w:t>ederal government</w:t>
            </w:r>
            <w:r w:rsidR="00C4163C">
              <w:rPr>
                <w:rFonts w:ascii="Times New Roman" w:hAnsi="Times New Roman" w:cs="Times New Roman"/>
                <w:sz w:val="24"/>
                <w:szCs w:val="24"/>
              </w:rPr>
              <w:t>.</w:t>
            </w:r>
            <w:r>
              <w:rPr>
                <w:rFonts w:ascii="Times New Roman" w:hAnsi="Times New Roman" w:cs="Times New Roman"/>
                <w:sz w:val="24"/>
                <w:szCs w:val="24"/>
              </w:rPr>
              <w:t>”</w:t>
            </w:r>
          </w:p>
        </w:tc>
      </w:tr>
      <w:tr w14:paraId="31CC7317" w14:textId="77777777" w:rsidTr="004D7F20">
        <w:tblPrEx>
          <w:tblW w:w="9720" w:type="dxa"/>
          <w:tblInd w:w="-95" w:type="dxa"/>
          <w:tblLook w:val="04A0"/>
        </w:tblPrEx>
        <w:tc>
          <w:tcPr>
            <w:tcW w:w="9720" w:type="dxa"/>
            <w:gridSpan w:val="3"/>
          </w:tcPr>
          <w:p w:rsidR="00E202B8" w:rsidRPr="00BB6A1C" w:rsidP="00072B1E" w14:paraId="2525AF8D" w14:textId="487C057A">
            <w:pPr>
              <w:rPr>
                <w:rFonts w:ascii="Times New Roman" w:hAnsi="Times New Roman" w:cs="Times New Roman"/>
                <w:sz w:val="24"/>
                <w:szCs w:val="24"/>
              </w:rPr>
            </w:pPr>
            <w:r>
              <w:rPr>
                <w:rFonts w:ascii="Times New Roman" w:hAnsi="Times New Roman" w:cs="Times New Roman"/>
                <w:sz w:val="24"/>
                <w:szCs w:val="24"/>
              </w:rPr>
              <w:t>PART I</w:t>
            </w:r>
            <w:r w:rsidR="009C61E8">
              <w:rPr>
                <w:rFonts w:ascii="Times New Roman" w:hAnsi="Times New Roman" w:cs="Times New Roman"/>
                <w:sz w:val="24"/>
                <w:szCs w:val="24"/>
              </w:rPr>
              <w:t>:</w:t>
            </w:r>
            <w:r>
              <w:rPr>
                <w:rFonts w:ascii="Times New Roman" w:hAnsi="Times New Roman" w:cs="Times New Roman"/>
                <w:sz w:val="24"/>
                <w:szCs w:val="24"/>
              </w:rPr>
              <w:t xml:space="preserve"> ASSETS </w:t>
            </w:r>
            <w:r w:rsidR="009C61E8">
              <w:rPr>
                <w:rFonts w:ascii="Times New Roman" w:hAnsi="Times New Roman" w:cs="Times New Roman"/>
                <w:sz w:val="24"/>
                <w:szCs w:val="24"/>
              </w:rPr>
              <w:t xml:space="preserve">and </w:t>
            </w:r>
            <w:r>
              <w:rPr>
                <w:rFonts w:ascii="Times New Roman" w:hAnsi="Times New Roman" w:cs="Times New Roman"/>
                <w:sz w:val="24"/>
                <w:szCs w:val="24"/>
              </w:rPr>
              <w:t>INCOME</w:t>
            </w:r>
          </w:p>
        </w:tc>
      </w:tr>
      <w:tr w14:paraId="44AE6479" w14:textId="77777777" w:rsidTr="008C5D77">
        <w:tblPrEx>
          <w:tblW w:w="9720" w:type="dxa"/>
          <w:tblInd w:w="-95" w:type="dxa"/>
          <w:tblLook w:val="04A0"/>
        </w:tblPrEx>
        <w:tc>
          <w:tcPr>
            <w:tcW w:w="1870" w:type="dxa"/>
          </w:tcPr>
          <w:p w:rsidR="008C5D77" w:rsidRPr="00F04F3B" w:rsidP="00072B1E" w14:paraId="3E1D8F7B" w14:textId="36C52EB4">
            <w:pPr>
              <w:rPr>
                <w:rFonts w:ascii="Times New Roman" w:hAnsi="Times New Roman" w:cs="Times New Roman"/>
                <w:iCs/>
                <w:sz w:val="24"/>
                <w:szCs w:val="24"/>
              </w:rPr>
            </w:pPr>
            <w:r>
              <w:rPr>
                <w:rFonts w:ascii="Times New Roman" w:hAnsi="Times New Roman" w:cs="Times New Roman"/>
                <w:iCs/>
                <w:sz w:val="24"/>
                <w:szCs w:val="24"/>
              </w:rPr>
              <w:t>Comment received in prior renewal</w:t>
            </w:r>
          </w:p>
        </w:tc>
        <w:tc>
          <w:tcPr>
            <w:tcW w:w="3552" w:type="dxa"/>
          </w:tcPr>
          <w:p w:rsidR="008C5D77" w:rsidRPr="00F04F3B" w:rsidP="00072B1E" w14:paraId="0F163934" w14:textId="70B5A7AB">
            <w:pPr>
              <w:rPr>
                <w:rFonts w:ascii="Times New Roman" w:hAnsi="Times New Roman" w:cs="Times New Roman"/>
                <w:iCs/>
                <w:sz w:val="24"/>
                <w:szCs w:val="24"/>
              </w:rPr>
            </w:pPr>
            <w:r w:rsidRPr="00BB6A1C">
              <w:rPr>
                <w:rFonts w:ascii="Times New Roman" w:hAnsi="Times New Roman" w:cs="Times New Roman"/>
                <w:iCs/>
                <w:sz w:val="24"/>
                <w:szCs w:val="24"/>
              </w:rPr>
              <w:t xml:space="preserve">OGE previously received comments that Part I should include a field that asks whether a reported interest had value below a certain threshold. </w:t>
            </w:r>
            <w:r w:rsidR="00D52083">
              <w:rPr>
                <w:rFonts w:ascii="Times New Roman" w:hAnsi="Times New Roman" w:cs="Times New Roman"/>
                <w:iCs/>
                <w:sz w:val="24"/>
                <w:szCs w:val="24"/>
              </w:rPr>
              <w:t xml:space="preserve">One </w:t>
            </w:r>
            <w:r w:rsidRPr="00BB6A1C">
              <w:rPr>
                <w:rFonts w:ascii="Times New Roman" w:hAnsi="Times New Roman" w:cs="Times New Roman"/>
                <w:iCs/>
                <w:sz w:val="24"/>
                <w:szCs w:val="24"/>
              </w:rPr>
              <w:t>agenc</w:t>
            </w:r>
            <w:r w:rsidR="00D52083">
              <w:rPr>
                <w:rFonts w:ascii="Times New Roman" w:hAnsi="Times New Roman" w:cs="Times New Roman"/>
                <w:iCs/>
                <w:sz w:val="24"/>
                <w:szCs w:val="24"/>
              </w:rPr>
              <w:t>y</w:t>
            </w:r>
            <w:r w:rsidRPr="00BB6A1C">
              <w:rPr>
                <w:rFonts w:ascii="Times New Roman" w:hAnsi="Times New Roman" w:cs="Times New Roman"/>
                <w:iCs/>
                <w:sz w:val="24"/>
                <w:szCs w:val="24"/>
              </w:rPr>
              <w:t xml:space="preserve"> opined that it would provide additional clarity and perhaps negate a need for certain follow up questions. </w:t>
            </w:r>
          </w:p>
        </w:tc>
        <w:tc>
          <w:tcPr>
            <w:tcW w:w="4298" w:type="dxa"/>
          </w:tcPr>
          <w:p w:rsidR="008C5D77" w:rsidP="00072B1E" w14:paraId="629D395C" w14:textId="7D5F9180">
            <w:pPr>
              <w:rPr>
                <w:rFonts w:ascii="Times New Roman" w:hAnsi="Times New Roman" w:cs="Times New Roman"/>
                <w:sz w:val="24"/>
                <w:szCs w:val="24"/>
              </w:rPr>
            </w:pPr>
            <w:r w:rsidRPr="00BB6A1C">
              <w:rPr>
                <w:rFonts w:ascii="Times New Roman" w:hAnsi="Times New Roman" w:cs="Times New Roman"/>
                <w:sz w:val="24"/>
                <w:szCs w:val="24"/>
              </w:rPr>
              <w:t>OGE decline</w:t>
            </w:r>
            <w:r w:rsidR="00076EF7">
              <w:rPr>
                <w:rFonts w:ascii="Times New Roman" w:hAnsi="Times New Roman" w:cs="Times New Roman"/>
                <w:sz w:val="24"/>
                <w:szCs w:val="24"/>
              </w:rPr>
              <w:t>s</w:t>
            </w:r>
            <w:r w:rsidRPr="00BB6A1C">
              <w:rPr>
                <w:rFonts w:ascii="Times New Roman" w:hAnsi="Times New Roman" w:cs="Times New Roman"/>
                <w:sz w:val="24"/>
                <w:szCs w:val="24"/>
              </w:rPr>
              <w:t xml:space="preserve"> to make </w:t>
            </w:r>
            <w:r w:rsidR="00076EF7">
              <w:rPr>
                <w:rFonts w:ascii="Times New Roman" w:hAnsi="Times New Roman" w:cs="Times New Roman"/>
                <w:sz w:val="24"/>
                <w:szCs w:val="24"/>
              </w:rPr>
              <w:t>this</w:t>
            </w:r>
            <w:r w:rsidRPr="00BB6A1C" w:rsidR="00076EF7">
              <w:rPr>
                <w:rFonts w:ascii="Times New Roman" w:hAnsi="Times New Roman" w:cs="Times New Roman"/>
                <w:sz w:val="24"/>
                <w:szCs w:val="24"/>
              </w:rPr>
              <w:t xml:space="preserve"> </w:t>
            </w:r>
            <w:r w:rsidRPr="00BB6A1C">
              <w:rPr>
                <w:rFonts w:ascii="Times New Roman" w:hAnsi="Times New Roman" w:cs="Times New Roman"/>
                <w:sz w:val="24"/>
                <w:szCs w:val="24"/>
              </w:rPr>
              <w:t>change</w:t>
            </w:r>
            <w:r w:rsidR="00076EF7">
              <w:rPr>
                <w:rFonts w:ascii="Times New Roman" w:hAnsi="Times New Roman" w:cs="Times New Roman"/>
                <w:sz w:val="24"/>
                <w:szCs w:val="24"/>
              </w:rPr>
              <w:t xml:space="preserve"> because the limited agency feedback indicated that the change is not useful</w:t>
            </w:r>
            <w:r w:rsidRPr="00BB6A1C">
              <w:rPr>
                <w:rFonts w:ascii="Times New Roman" w:hAnsi="Times New Roman" w:cs="Times New Roman"/>
                <w:sz w:val="24"/>
                <w:szCs w:val="24"/>
              </w:rPr>
              <w:t>.</w:t>
            </w:r>
          </w:p>
        </w:tc>
      </w:tr>
      <w:tr w14:paraId="28367C3A" w14:textId="77777777" w:rsidTr="008C5D77">
        <w:tblPrEx>
          <w:tblW w:w="9720" w:type="dxa"/>
          <w:tblInd w:w="-95" w:type="dxa"/>
          <w:tblLook w:val="04A0"/>
        </w:tblPrEx>
        <w:tc>
          <w:tcPr>
            <w:tcW w:w="1870" w:type="dxa"/>
          </w:tcPr>
          <w:p w:rsidR="008C5D77" w:rsidRPr="00BB6A1C" w:rsidP="00072B1E" w14:paraId="70AF403E" w14:textId="6D510E68">
            <w:pPr>
              <w:rPr>
                <w:rFonts w:ascii="Times New Roman" w:hAnsi="Times New Roman" w:cs="Times New Roman"/>
                <w:iCs/>
                <w:sz w:val="24"/>
                <w:szCs w:val="24"/>
              </w:rPr>
            </w:pPr>
            <w:r>
              <w:rPr>
                <w:rFonts w:ascii="Times New Roman" w:hAnsi="Times New Roman" w:cs="Times New Roman"/>
                <w:iCs/>
                <w:sz w:val="24"/>
                <w:szCs w:val="24"/>
              </w:rPr>
              <w:t>O</w:t>
            </w:r>
            <w:r w:rsidRPr="00952C75">
              <w:rPr>
                <w:rFonts w:ascii="Times New Roman" w:hAnsi="Times New Roman" w:cs="Times New Roman"/>
                <w:iCs/>
                <w:sz w:val="24"/>
                <w:szCs w:val="24"/>
              </w:rPr>
              <w:t>GE subject matter expert</w:t>
            </w:r>
          </w:p>
        </w:tc>
        <w:tc>
          <w:tcPr>
            <w:tcW w:w="3552" w:type="dxa"/>
          </w:tcPr>
          <w:p w:rsidR="008C5D77" w:rsidRPr="00BB6A1C" w:rsidP="00072B1E" w14:paraId="0E408F3A" w14:textId="08158E17">
            <w:pPr>
              <w:rPr>
                <w:rFonts w:ascii="Times New Roman" w:hAnsi="Times New Roman" w:cs="Times New Roman"/>
                <w:iCs/>
                <w:sz w:val="24"/>
                <w:szCs w:val="24"/>
              </w:rPr>
            </w:pPr>
            <w:r>
              <w:rPr>
                <w:rFonts w:ascii="Times New Roman" w:hAnsi="Times New Roman" w:cs="Times New Roman"/>
                <w:iCs/>
                <w:sz w:val="24"/>
                <w:szCs w:val="24"/>
              </w:rPr>
              <w:t xml:space="preserve">OGE </w:t>
            </w:r>
            <w:r w:rsidR="00C07D2E">
              <w:rPr>
                <w:rFonts w:ascii="Times New Roman" w:hAnsi="Times New Roman" w:cs="Times New Roman"/>
                <w:iCs/>
                <w:sz w:val="24"/>
                <w:szCs w:val="24"/>
              </w:rPr>
              <w:t xml:space="preserve">suggested </w:t>
            </w:r>
            <w:r>
              <w:rPr>
                <w:rFonts w:ascii="Times New Roman" w:hAnsi="Times New Roman" w:cs="Times New Roman"/>
                <w:iCs/>
                <w:sz w:val="24"/>
                <w:szCs w:val="24"/>
              </w:rPr>
              <w:t>add</w:t>
            </w:r>
            <w:r w:rsidR="00C07D2E">
              <w:rPr>
                <w:rFonts w:ascii="Times New Roman" w:hAnsi="Times New Roman" w:cs="Times New Roman"/>
                <w:iCs/>
                <w:sz w:val="24"/>
                <w:szCs w:val="24"/>
              </w:rPr>
              <w:t>ing</w:t>
            </w:r>
            <w:r>
              <w:rPr>
                <w:rFonts w:ascii="Times New Roman" w:hAnsi="Times New Roman" w:cs="Times New Roman"/>
                <w:iCs/>
                <w:sz w:val="24"/>
                <w:szCs w:val="24"/>
              </w:rPr>
              <w:t xml:space="preserve"> an “excepted investment fund” field</w:t>
            </w:r>
            <w:r w:rsidR="00E202B8">
              <w:rPr>
                <w:rFonts w:ascii="Times New Roman" w:hAnsi="Times New Roman" w:cs="Times New Roman"/>
                <w:iCs/>
                <w:sz w:val="24"/>
                <w:szCs w:val="24"/>
              </w:rPr>
              <w:t xml:space="preserve"> to Part I</w:t>
            </w:r>
            <w:r w:rsidR="009C61E8">
              <w:rPr>
                <w:rFonts w:ascii="Times New Roman" w:hAnsi="Times New Roman" w:cs="Times New Roman"/>
                <w:iCs/>
                <w:sz w:val="24"/>
                <w:szCs w:val="24"/>
              </w:rPr>
              <w:t>, which is</w:t>
            </w:r>
            <w:r>
              <w:rPr>
                <w:rFonts w:ascii="Times New Roman" w:hAnsi="Times New Roman" w:cs="Times New Roman"/>
                <w:iCs/>
                <w:sz w:val="24"/>
                <w:szCs w:val="24"/>
              </w:rPr>
              <w:t xml:space="preserve"> </w:t>
            </w:r>
            <w:r>
              <w:rPr>
                <w:rFonts w:ascii="Times New Roman" w:hAnsi="Times New Roman" w:cs="Times New Roman"/>
                <w:iCs/>
                <w:sz w:val="24"/>
                <w:szCs w:val="24"/>
              </w:rPr>
              <w:t>similar to</w:t>
            </w:r>
            <w:r>
              <w:rPr>
                <w:rFonts w:ascii="Times New Roman" w:hAnsi="Times New Roman" w:cs="Times New Roman"/>
                <w:iCs/>
                <w:sz w:val="24"/>
                <w:szCs w:val="24"/>
              </w:rPr>
              <w:t xml:space="preserve"> what currently exists on the </w:t>
            </w:r>
            <w:r w:rsidR="00573719">
              <w:rPr>
                <w:rFonts w:ascii="Times New Roman" w:hAnsi="Times New Roman" w:cs="Times New Roman"/>
                <w:iCs/>
                <w:sz w:val="24"/>
                <w:szCs w:val="24"/>
              </w:rPr>
              <w:t xml:space="preserve">OGE Form </w:t>
            </w:r>
            <w:r>
              <w:rPr>
                <w:rFonts w:ascii="Times New Roman" w:hAnsi="Times New Roman" w:cs="Times New Roman"/>
                <w:iCs/>
                <w:sz w:val="24"/>
                <w:szCs w:val="24"/>
              </w:rPr>
              <w:t>278e</w:t>
            </w:r>
            <w:r w:rsidR="00E202B8">
              <w:rPr>
                <w:rFonts w:ascii="Times New Roman" w:hAnsi="Times New Roman" w:cs="Times New Roman"/>
                <w:iCs/>
                <w:sz w:val="24"/>
                <w:szCs w:val="24"/>
              </w:rPr>
              <w:t xml:space="preserve"> (Parts 2, 5 and 6)</w:t>
            </w:r>
            <w:r>
              <w:rPr>
                <w:rFonts w:ascii="Times New Roman" w:hAnsi="Times New Roman" w:cs="Times New Roman"/>
                <w:iCs/>
                <w:sz w:val="24"/>
                <w:szCs w:val="24"/>
              </w:rPr>
              <w:t xml:space="preserve"> to clarify whether an asset holds underlying assets. </w:t>
            </w:r>
            <w:r w:rsidR="00E202B8">
              <w:rPr>
                <w:rFonts w:ascii="Times New Roman" w:hAnsi="Times New Roman" w:cs="Times New Roman"/>
                <w:iCs/>
                <w:sz w:val="24"/>
                <w:szCs w:val="24"/>
              </w:rPr>
              <w:t>The rational</w:t>
            </w:r>
            <w:r>
              <w:rPr>
                <w:rFonts w:ascii="Times New Roman" w:hAnsi="Times New Roman" w:cs="Times New Roman"/>
                <w:iCs/>
                <w:sz w:val="24"/>
                <w:szCs w:val="24"/>
              </w:rPr>
              <w:t xml:space="preserve"> is to provide </w:t>
            </w:r>
            <w:r w:rsidR="00125237">
              <w:rPr>
                <w:rFonts w:ascii="Times New Roman" w:hAnsi="Times New Roman" w:cs="Times New Roman"/>
                <w:iCs/>
                <w:sz w:val="24"/>
                <w:szCs w:val="24"/>
              </w:rPr>
              <w:t>filers</w:t>
            </w:r>
            <w:r>
              <w:rPr>
                <w:rFonts w:ascii="Times New Roman" w:hAnsi="Times New Roman" w:cs="Times New Roman"/>
                <w:iCs/>
                <w:sz w:val="24"/>
                <w:szCs w:val="24"/>
              </w:rPr>
              <w:t xml:space="preserve"> and agency reviewers </w:t>
            </w:r>
            <w:r w:rsidR="009C61E8">
              <w:rPr>
                <w:rFonts w:ascii="Times New Roman" w:hAnsi="Times New Roman" w:cs="Times New Roman"/>
                <w:iCs/>
                <w:sz w:val="24"/>
                <w:szCs w:val="24"/>
              </w:rPr>
              <w:t xml:space="preserve">with </w:t>
            </w:r>
            <w:r>
              <w:rPr>
                <w:rFonts w:ascii="Times New Roman" w:hAnsi="Times New Roman" w:cs="Times New Roman"/>
                <w:iCs/>
                <w:sz w:val="24"/>
                <w:szCs w:val="24"/>
              </w:rPr>
              <w:t xml:space="preserve">more clarity as to </w:t>
            </w:r>
            <w:r w:rsidR="00C07D2E">
              <w:rPr>
                <w:rFonts w:ascii="Times New Roman" w:hAnsi="Times New Roman" w:cs="Times New Roman"/>
                <w:iCs/>
                <w:sz w:val="24"/>
                <w:szCs w:val="24"/>
              </w:rPr>
              <w:t>whether certain underlying assets need to be reported.</w:t>
            </w:r>
          </w:p>
        </w:tc>
        <w:tc>
          <w:tcPr>
            <w:tcW w:w="4298" w:type="dxa"/>
          </w:tcPr>
          <w:p w:rsidR="008C5D77" w:rsidRPr="00BB6A1C" w:rsidP="00072B1E" w14:paraId="5DC34B8E" w14:textId="2814B684">
            <w:pPr>
              <w:rPr>
                <w:rFonts w:ascii="Times New Roman" w:hAnsi="Times New Roman" w:cs="Times New Roman"/>
                <w:sz w:val="24"/>
                <w:szCs w:val="24"/>
              </w:rPr>
            </w:pPr>
            <w:r>
              <w:rPr>
                <w:rFonts w:ascii="Times New Roman" w:hAnsi="Times New Roman" w:cs="Times New Roman"/>
                <w:sz w:val="24"/>
                <w:szCs w:val="24"/>
              </w:rPr>
              <w:t xml:space="preserve">OGE </w:t>
            </w:r>
            <w:r w:rsidR="00076EF7">
              <w:rPr>
                <w:rFonts w:ascii="Times New Roman" w:hAnsi="Times New Roman" w:cs="Times New Roman"/>
                <w:sz w:val="24"/>
                <w:szCs w:val="24"/>
              </w:rPr>
              <w:t xml:space="preserve">declines </w:t>
            </w:r>
            <w:r>
              <w:rPr>
                <w:rFonts w:ascii="Times New Roman" w:hAnsi="Times New Roman" w:cs="Times New Roman"/>
                <w:sz w:val="24"/>
                <w:szCs w:val="24"/>
              </w:rPr>
              <w:t xml:space="preserve">to make </w:t>
            </w:r>
            <w:r w:rsidR="009645B4">
              <w:rPr>
                <w:rFonts w:ascii="Times New Roman" w:hAnsi="Times New Roman" w:cs="Times New Roman"/>
                <w:sz w:val="24"/>
                <w:szCs w:val="24"/>
              </w:rPr>
              <w:t>this</w:t>
            </w:r>
            <w:r>
              <w:rPr>
                <w:rFonts w:ascii="Times New Roman" w:hAnsi="Times New Roman" w:cs="Times New Roman"/>
                <w:sz w:val="24"/>
                <w:szCs w:val="24"/>
              </w:rPr>
              <w:t xml:space="preserve"> change and firmly believe</w:t>
            </w:r>
            <w:r w:rsidR="00C4163C">
              <w:rPr>
                <w:rFonts w:ascii="Times New Roman" w:hAnsi="Times New Roman" w:cs="Times New Roman"/>
                <w:sz w:val="24"/>
                <w:szCs w:val="24"/>
              </w:rPr>
              <w:t>s</w:t>
            </w:r>
            <w:r w:rsidR="00076EF7">
              <w:rPr>
                <w:rFonts w:ascii="Times New Roman" w:hAnsi="Times New Roman" w:cs="Times New Roman"/>
                <w:sz w:val="24"/>
                <w:szCs w:val="24"/>
              </w:rPr>
              <w:t>, following extensive discussion with the agencies,</w:t>
            </w:r>
            <w:r>
              <w:rPr>
                <w:rFonts w:ascii="Times New Roman" w:hAnsi="Times New Roman" w:cs="Times New Roman"/>
                <w:sz w:val="24"/>
                <w:szCs w:val="24"/>
              </w:rPr>
              <w:t xml:space="preserve"> that it would not provide </w:t>
            </w:r>
            <w:r w:rsidR="00076EF7">
              <w:rPr>
                <w:rFonts w:ascii="Times New Roman" w:hAnsi="Times New Roman" w:cs="Times New Roman"/>
                <w:sz w:val="24"/>
                <w:szCs w:val="24"/>
              </w:rPr>
              <w:t>greater clarity</w:t>
            </w:r>
            <w:r w:rsidR="00573719">
              <w:rPr>
                <w:rFonts w:ascii="Times New Roman" w:hAnsi="Times New Roman" w:cs="Times New Roman"/>
                <w:sz w:val="24"/>
                <w:szCs w:val="24"/>
              </w:rPr>
              <w:t>,</w:t>
            </w:r>
            <w:r>
              <w:rPr>
                <w:rFonts w:ascii="Times New Roman" w:hAnsi="Times New Roman" w:cs="Times New Roman"/>
                <w:sz w:val="24"/>
                <w:szCs w:val="24"/>
              </w:rPr>
              <w:t xml:space="preserve"> ease of review</w:t>
            </w:r>
            <w:r w:rsidR="00573719">
              <w:rPr>
                <w:rFonts w:ascii="Times New Roman" w:hAnsi="Times New Roman" w:cs="Times New Roman"/>
                <w:sz w:val="24"/>
                <w:szCs w:val="24"/>
              </w:rPr>
              <w:t>,</w:t>
            </w:r>
            <w:r>
              <w:rPr>
                <w:rFonts w:ascii="Times New Roman" w:hAnsi="Times New Roman" w:cs="Times New Roman"/>
                <w:sz w:val="24"/>
                <w:szCs w:val="24"/>
              </w:rPr>
              <w:t xml:space="preserve"> or understanding for </w:t>
            </w:r>
            <w:r w:rsidR="00125237">
              <w:rPr>
                <w:rFonts w:ascii="Times New Roman" w:hAnsi="Times New Roman" w:cs="Times New Roman"/>
                <w:sz w:val="24"/>
                <w:szCs w:val="24"/>
              </w:rPr>
              <w:t>filers</w:t>
            </w:r>
            <w:r>
              <w:rPr>
                <w:rFonts w:ascii="Times New Roman" w:hAnsi="Times New Roman" w:cs="Times New Roman"/>
                <w:sz w:val="24"/>
                <w:szCs w:val="24"/>
              </w:rPr>
              <w:t xml:space="preserve"> or agency reviewers. </w:t>
            </w:r>
          </w:p>
        </w:tc>
      </w:tr>
      <w:tr w14:paraId="072768D1" w14:textId="77777777" w:rsidTr="008C5D77">
        <w:tblPrEx>
          <w:tblW w:w="9720" w:type="dxa"/>
          <w:tblInd w:w="-95" w:type="dxa"/>
          <w:tblLook w:val="04A0"/>
        </w:tblPrEx>
        <w:tc>
          <w:tcPr>
            <w:tcW w:w="1870" w:type="dxa"/>
          </w:tcPr>
          <w:p w:rsidR="008C5D77" w:rsidRPr="00801052" w:rsidP="00072B1E" w14:paraId="63C1B1B5" w14:textId="22A0A5D3">
            <w:pPr>
              <w:rPr>
                <w:rFonts w:ascii="Times New Roman" w:hAnsi="Times New Roman" w:cs="Times New Roman"/>
                <w:iCs/>
                <w:sz w:val="24"/>
                <w:szCs w:val="24"/>
              </w:rPr>
            </w:pPr>
            <w:r w:rsidRPr="00801052">
              <w:rPr>
                <w:rFonts w:ascii="Times New Roman" w:hAnsi="Times New Roman" w:cs="Times New Roman"/>
                <w:iCs/>
                <w:sz w:val="24"/>
                <w:szCs w:val="24"/>
              </w:rPr>
              <w:t xml:space="preserve">Agency written comments and comments </w:t>
            </w:r>
            <w:r w:rsidR="009C61E8">
              <w:rPr>
                <w:rFonts w:ascii="Times New Roman" w:hAnsi="Times New Roman" w:cs="Times New Roman"/>
                <w:iCs/>
                <w:sz w:val="24"/>
                <w:szCs w:val="24"/>
              </w:rPr>
              <w:t xml:space="preserve">received </w:t>
            </w:r>
            <w:r w:rsidRPr="00801052">
              <w:rPr>
                <w:rFonts w:ascii="Times New Roman" w:hAnsi="Times New Roman" w:cs="Times New Roman"/>
                <w:iCs/>
                <w:sz w:val="24"/>
                <w:szCs w:val="24"/>
              </w:rPr>
              <w:t>during public and agency sessions</w:t>
            </w:r>
          </w:p>
        </w:tc>
        <w:tc>
          <w:tcPr>
            <w:tcW w:w="3552" w:type="dxa"/>
          </w:tcPr>
          <w:p w:rsidR="008C5D77" w:rsidRPr="0099431E" w:rsidP="00072B1E" w14:paraId="18CB6458" w14:textId="3CA4630F">
            <w:pPr>
              <w:rPr>
                <w:rFonts w:ascii="Times New Roman" w:hAnsi="Times New Roman" w:cs="Times New Roman"/>
                <w:iCs/>
                <w:sz w:val="24"/>
                <w:szCs w:val="24"/>
              </w:rPr>
            </w:pPr>
            <w:r w:rsidRPr="00801052">
              <w:rPr>
                <w:rFonts w:ascii="Times New Roman" w:hAnsi="Times New Roman" w:cs="Times New Roman"/>
                <w:iCs/>
                <w:sz w:val="24"/>
                <w:szCs w:val="24"/>
              </w:rPr>
              <w:t>OGE was asked to</w:t>
            </w:r>
            <w:r>
              <w:rPr>
                <w:rFonts w:ascii="Times New Roman" w:hAnsi="Times New Roman" w:cs="Times New Roman"/>
                <w:iCs/>
                <w:sz w:val="24"/>
                <w:szCs w:val="24"/>
              </w:rPr>
              <w:t xml:space="preserve"> add more instructional guidance concerning treatment of reporting assets with underlying portfolios.</w:t>
            </w:r>
            <w:r w:rsidRPr="00801052">
              <w:rPr>
                <w:rFonts w:ascii="Times New Roman" w:hAnsi="Times New Roman" w:cs="Times New Roman"/>
                <w:iCs/>
                <w:sz w:val="24"/>
                <w:szCs w:val="24"/>
              </w:rPr>
              <w:t xml:space="preserve"> </w:t>
            </w:r>
          </w:p>
        </w:tc>
        <w:tc>
          <w:tcPr>
            <w:tcW w:w="4298" w:type="dxa"/>
          </w:tcPr>
          <w:p w:rsidR="008C5D77" w:rsidP="00072B1E" w14:paraId="4DD5338C" w14:textId="7550867F">
            <w:pPr>
              <w:rPr>
                <w:rFonts w:ascii="Times New Roman" w:hAnsi="Times New Roman" w:cs="Times New Roman"/>
                <w:sz w:val="24"/>
                <w:szCs w:val="24"/>
              </w:rPr>
            </w:pPr>
            <w:r>
              <w:rPr>
                <w:rFonts w:ascii="Times New Roman" w:hAnsi="Times New Roman" w:cs="Times New Roman"/>
                <w:sz w:val="24"/>
                <w:szCs w:val="24"/>
              </w:rPr>
              <w:t xml:space="preserve">OGE </w:t>
            </w:r>
            <w:r w:rsidR="00076EF7">
              <w:rPr>
                <w:rFonts w:ascii="Times New Roman" w:hAnsi="Times New Roman" w:cs="Times New Roman"/>
                <w:sz w:val="24"/>
                <w:szCs w:val="24"/>
              </w:rPr>
              <w:t>accepts</w:t>
            </w:r>
            <w:r>
              <w:rPr>
                <w:rFonts w:ascii="Times New Roman" w:hAnsi="Times New Roman" w:cs="Times New Roman"/>
                <w:sz w:val="24"/>
                <w:szCs w:val="24"/>
              </w:rPr>
              <w:t xml:space="preserve"> th</w:t>
            </w:r>
            <w:r w:rsidR="00506344">
              <w:rPr>
                <w:rFonts w:ascii="Times New Roman" w:hAnsi="Times New Roman" w:cs="Times New Roman"/>
                <w:sz w:val="24"/>
                <w:szCs w:val="24"/>
              </w:rPr>
              <w:t>is</w:t>
            </w:r>
            <w:r>
              <w:rPr>
                <w:rFonts w:ascii="Times New Roman" w:hAnsi="Times New Roman" w:cs="Times New Roman"/>
                <w:sz w:val="24"/>
                <w:szCs w:val="24"/>
              </w:rPr>
              <w:t xml:space="preserve"> change and </w:t>
            </w:r>
            <w:r w:rsidR="00076EF7">
              <w:rPr>
                <w:rFonts w:ascii="Times New Roman" w:hAnsi="Times New Roman" w:cs="Times New Roman"/>
                <w:sz w:val="24"/>
                <w:szCs w:val="24"/>
              </w:rPr>
              <w:t xml:space="preserve">adds </w:t>
            </w:r>
            <w:r>
              <w:rPr>
                <w:rFonts w:ascii="Times New Roman" w:hAnsi="Times New Roman" w:cs="Times New Roman"/>
                <w:sz w:val="24"/>
                <w:szCs w:val="24"/>
              </w:rPr>
              <w:t xml:space="preserve">examples to </w:t>
            </w:r>
            <w:r w:rsidR="00E0352E">
              <w:rPr>
                <w:rFonts w:ascii="Times New Roman" w:hAnsi="Times New Roman" w:cs="Times New Roman"/>
                <w:sz w:val="24"/>
                <w:szCs w:val="24"/>
              </w:rPr>
              <w:t>Part I</w:t>
            </w:r>
            <w:r w:rsidR="00076EF7">
              <w:rPr>
                <w:rFonts w:ascii="Times New Roman" w:hAnsi="Times New Roman" w:cs="Times New Roman"/>
                <w:sz w:val="24"/>
                <w:szCs w:val="24"/>
              </w:rPr>
              <w:t>. OGE</w:t>
            </w:r>
            <w:r>
              <w:rPr>
                <w:rFonts w:ascii="Times New Roman" w:hAnsi="Times New Roman" w:cs="Times New Roman"/>
                <w:sz w:val="24"/>
                <w:szCs w:val="24"/>
              </w:rPr>
              <w:t xml:space="preserve"> also </w:t>
            </w:r>
            <w:r w:rsidR="00076EF7">
              <w:rPr>
                <w:rFonts w:ascii="Times New Roman" w:hAnsi="Times New Roman" w:cs="Times New Roman"/>
                <w:sz w:val="24"/>
                <w:szCs w:val="24"/>
              </w:rPr>
              <w:t xml:space="preserve">updates </w:t>
            </w:r>
            <w:r>
              <w:rPr>
                <w:rFonts w:ascii="Times New Roman" w:hAnsi="Times New Roman" w:cs="Times New Roman"/>
                <w:sz w:val="24"/>
                <w:szCs w:val="24"/>
              </w:rPr>
              <w:t>the examples on the</w:t>
            </w:r>
            <w:r w:rsidR="00076EF7">
              <w:rPr>
                <w:rFonts w:ascii="Times New Roman" w:hAnsi="Times New Roman" w:cs="Times New Roman"/>
                <w:sz w:val="24"/>
                <w:szCs w:val="24"/>
              </w:rPr>
              <w:t xml:space="preserve"> existing</w:t>
            </w:r>
            <w:r>
              <w:rPr>
                <w:rFonts w:ascii="Times New Roman" w:hAnsi="Times New Roman" w:cs="Times New Roman"/>
                <w:sz w:val="24"/>
                <w:szCs w:val="24"/>
              </w:rPr>
              <w:t xml:space="preserve"> “Example</w:t>
            </w:r>
            <w:r w:rsidR="00C07D2E">
              <w:rPr>
                <w:rFonts w:ascii="Times New Roman" w:hAnsi="Times New Roman" w:cs="Times New Roman"/>
                <w:sz w:val="24"/>
                <w:szCs w:val="24"/>
              </w:rPr>
              <w:t>s</w:t>
            </w:r>
            <w:r>
              <w:rPr>
                <w:rFonts w:ascii="Times New Roman" w:hAnsi="Times New Roman" w:cs="Times New Roman"/>
                <w:sz w:val="24"/>
                <w:szCs w:val="24"/>
              </w:rPr>
              <w:t xml:space="preserve">” page. </w:t>
            </w:r>
          </w:p>
        </w:tc>
      </w:tr>
    </w:tbl>
    <w:p w:rsidR="00952C75" w14:paraId="63FA6F63" w14:textId="77777777">
      <w:r>
        <w:br w:type="page"/>
      </w:r>
    </w:p>
    <w:tbl>
      <w:tblPr>
        <w:tblStyle w:val="TableGrid"/>
        <w:tblW w:w="9720" w:type="dxa"/>
        <w:tblInd w:w="-95" w:type="dxa"/>
        <w:tblLook w:val="04A0"/>
      </w:tblPr>
      <w:tblGrid>
        <w:gridCol w:w="1870"/>
        <w:gridCol w:w="3552"/>
        <w:gridCol w:w="4298"/>
      </w:tblGrid>
      <w:tr w14:paraId="59FB0481" w14:textId="77777777" w:rsidTr="008C5D77">
        <w:tblPrEx>
          <w:tblW w:w="9720" w:type="dxa"/>
          <w:tblInd w:w="-95" w:type="dxa"/>
          <w:tblLook w:val="04A0"/>
        </w:tblPrEx>
        <w:tc>
          <w:tcPr>
            <w:tcW w:w="1870" w:type="dxa"/>
          </w:tcPr>
          <w:p w:rsidR="008C5D77" w:rsidP="00072B1E" w14:paraId="54231033" w14:textId="3575CB02">
            <w:pPr>
              <w:rPr>
                <w:rFonts w:ascii="Times New Roman" w:hAnsi="Times New Roman" w:cs="Times New Roman"/>
                <w:sz w:val="24"/>
                <w:szCs w:val="24"/>
              </w:rPr>
            </w:pPr>
            <w:r w:rsidRPr="001E413E">
              <w:rPr>
                <w:rFonts w:ascii="Times New Roman" w:hAnsi="Times New Roman" w:cs="Times New Roman"/>
                <w:iCs/>
                <w:sz w:val="24"/>
                <w:szCs w:val="24"/>
              </w:rPr>
              <w:t>Agenc</w:t>
            </w:r>
            <w:r>
              <w:rPr>
                <w:rFonts w:ascii="Times New Roman" w:hAnsi="Times New Roman" w:cs="Times New Roman"/>
                <w:iCs/>
                <w:sz w:val="24"/>
                <w:szCs w:val="24"/>
              </w:rPr>
              <w:t xml:space="preserve">y written comments and comments </w:t>
            </w:r>
            <w:r w:rsidR="009C61E8">
              <w:rPr>
                <w:rFonts w:ascii="Times New Roman" w:hAnsi="Times New Roman" w:cs="Times New Roman"/>
                <w:iCs/>
                <w:sz w:val="24"/>
                <w:szCs w:val="24"/>
              </w:rPr>
              <w:t xml:space="preserve">received </w:t>
            </w:r>
            <w:r>
              <w:rPr>
                <w:rFonts w:ascii="Times New Roman" w:hAnsi="Times New Roman" w:cs="Times New Roman"/>
                <w:iCs/>
                <w:sz w:val="24"/>
                <w:szCs w:val="24"/>
              </w:rPr>
              <w:t xml:space="preserve">during </w:t>
            </w:r>
            <w:r w:rsidRPr="001E413E">
              <w:rPr>
                <w:rFonts w:ascii="Times New Roman" w:hAnsi="Times New Roman" w:cs="Times New Roman"/>
                <w:iCs/>
                <w:sz w:val="24"/>
                <w:szCs w:val="24"/>
              </w:rPr>
              <w:t>public and agency sessions</w:t>
            </w:r>
          </w:p>
        </w:tc>
        <w:tc>
          <w:tcPr>
            <w:tcW w:w="3552" w:type="dxa"/>
          </w:tcPr>
          <w:p w:rsidR="008C5D77" w:rsidRPr="00801052" w:rsidP="00072B1E" w14:paraId="6031607F" w14:textId="63F93FF8">
            <w:pPr>
              <w:rPr>
                <w:rFonts w:ascii="Times New Roman" w:hAnsi="Times New Roman" w:cs="Times New Roman"/>
                <w:iCs/>
                <w:sz w:val="24"/>
                <w:szCs w:val="24"/>
              </w:rPr>
            </w:pPr>
            <w:r>
              <w:rPr>
                <w:rFonts w:ascii="Times New Roman" w:hAnsi="Times New Roman" w:cs="Times New Roman"/>
                <w:sz w:val="24"/>
                <w:szCs w:val="24"/>
              </w:rPr>
              <w:t xml:space="preserve">OGE was asked to update the instructions in </w:t>
            </w:r>
            <w:r w:rsidRPr="0083635C">
              <w:rPr>
                <w:rFonts w:ascii="Times New Roman" w:hAnsi="Times New Roman" w:cs="Times New Roman"/>
                <w:b/>
                <w:bCs/>
                <w:sz w:val="24"/>
                <w:szCs w:val="24"/>
              </w:rPr>
              <w:t>Part I</w:t>
            </w:r>
            <w:r>
              <w:rPr>
                <w:rFonts w:ascii="Times New Roman" w:hAnsi="Times New Roman" w:cs="Times New Roman"/>
                <w:sz w:val="24"/>
                <w:szCs w:val="24"/>
              </w:rPr>
              <w:t xml:space="preserve"> to clarify how to report certain types of assets, </w:t>
            </w:r>
            <w:r w:rsidR="00983086">
              <w:rPr>
                <w:rFonts w:ascii="Times New Roman" w:hAnsi="Times New Roman" w:cs="Times New Roman"/>
                <w:sz w:val="24"/>
                <w:szCs w:val="24"/>
              </w:rPr>
              <w:t xml:space="preserve">including </w:t>
            </w:r>
            <w:r>
              <w:rPr>
                <w:rFonts w:ascii="Times New Roman" w:hAnsi="Times New Roman" w:cs="Times New Roman"/>
                <w:sz w:val="24"/>
                <w:szCs w:val="24"/>
              </w:rPr>
              <w:t>retirement accounts</w:t>
            </w:r>
            <w:r w:rsidR="00983086">
              <w:rPr>
                <w:rFonts w:ascii="Times New Roman" w:hAnsi="Times New Roman" w:cs="Times New Roman"/>
                <w:sz w:val="24"/>
                <w:szCs w:val="24"/>
              </w:rPr>
              <w:t>.</w:t>
            </w:r>
            <w:r>
              <w:rPr>
                <w:rFonts w:ascii="Times New Roman" w:hAnsi="Times New Roman" w:cs="Times New Roman"/>
                <w:sz w:val="24"/>
                <w:szCs w:val="24"/>
              </w:rPr>
              <w:t xml:space="preserve"> The change would assist and reduce the burden for </w:t>
            </w:r>
            <w:r w:rsidR="00125237">
              <w:rPr>
                <w:rFonts w:ascii="Times New Roman" w:hAnsi="Times New Roman" w:cs="Times New Roman"/>
                <w:sz w:val="24"/>
                <w:szCs w:val="24"/>
              </w:rPr>
              <w:t>filers</w:t>
            </w:r>
            <w:r>
              <w:rPr>
                <w:rFonts w:ascii="Times New Roman" w:hAnsi="Times New Roman" w:cs="Times New Roman"/>
                <w:sz w:val="24"/>
                <w:szCs w:val="24"/>
              </w:rPr>
              <w:t xml:space="preserve"> and agency reviewers. </w:t>
            </w:r>
          </w:p>
        </w:tc>
        <w:tc>
          <w:tcPr>
            <w:tcW w:w="4298" w:type="dxa"/>
          </w:tcPr>
          <w:p w:rsidR="008C5D77" w:rsidP="00072B1E" w14:paraId="7FC92B31" w14:textId="5AE2CBAB">
            <w:pPr>
              <w:rPr>
                <w:rFonts w:ascii="Times New Roman" w:hAnsi="Times New Roman" w:cs="Times New Roman"/>
                <w:sz w:val="24"/>
                <w:szCs w:val="24"/>
              </w:rPr>
            </w:pPr>
            <w:r w:rsidRPr="0083635C">
              <w:rPr>
                <w:rFonts w:ascii="Times New Roman" w:hAnsi="Times New Roman" w:cs="Times New Roman"/>
                <w:sz w:val="24"/>
                <w:szCs w:val="24"/>
              </w:rPr>
              <w:t xml:space="preserve">OGE </w:t>
            </w:r>
            <w:r w:rsidR="0045527A">
              <w:rPr>
                <w:rFonts w:ascii="Times New Roman" w:hAnsi="Times New Roman" w:cs="Times New Roman"/>
                <w:sz w:val="24"/>
                <w:szCs w:val="24"/>
              </w:rPr>
              <w:t>accepts</w:t>
            </w:r>
            <w:r w:rsidRPr="0083635C">
              <w:rPr>
                <w:rFonts w:ascii="Times New Roman" w:hAnsi="Times New Roman" w:cs="Times New Roman"/>
                <w:sz w:val="24"/>
                <w:szCs w:val="24"/>
              </w:rPr>
              <w:t xml:space="preserve"> th</w:t>
            </w:r>
            <w:r w:rsidR="00274EB8">
              <w:rPr>
                <w:rFonts w:ascii="Times New Roman" w:hAnsi="Times New Roman" w:cs="Times New Roman"/>
                <w:sz w:val="24"/>
                <w:szCs w:val="24"/>
              </w:rPr>
              <w:t>ese</w:t>
            </w:r>
            <w:r w:rsidRPr="0083635C">
              <w:rPr>
                <w:rFonts w:ascii="Times New Roman" w:hAnsi="Times New Roman" w:cs="Times New Roman"/>
                <w:sz w:val="24"/>
                <w:szCs w:val="24"/>
              </w:rPr>
              <w:t xml:space="preserve"> changes and </w:t>
            </w:r>
            <w:r w:rsidR="0045527A">
              <w:rPr>
                <w:rFonts w:ascii="Times New Roman" w:hAnsi="Times New Roman" w:cs="Times New Roman"/>
                <w:sz w:val="24"/>
                <w:szCs w:val="24"/>
              </w:rPr>
              <w:t xml:space="preserve">updates </w:t>
            </w:r>
            <w:r>
              <w:rPr>
                <w:rFonts w:ascii="Times New Roman" w:hAnsi="Times New Roman" w:cs="Times New Roman"/>
                <w:sz w:val="24"/>
                <w:szCs w:val="24"/>
              </w:rPr>
              <w:t xml:space="preserve">and </w:t>
            </w:r>
            <w:r w:rsidR="003C7E69">
              <w:rPr>
                <w:rFonts w:ascii="Times New Roman" w:hAnsi="Times New Roman" w:cs="Times New Roman"/>
                <w:sz w:val="24"/>
                <w:szCs w:val="24"/>
              </w:rPr>
              <w:t xml:space="preserve">clarifies </w:t>
            </w:r>
            <w:r>
              <w:rPr>
                <w:rFonts w:ascii="Times New Roman" w:hAnsi="Times New Roman" w:cs="Times New Roman"/>
                <w:sz w:val="24"/>
                <w:szCs w:val="24"/>
              </w:rPr>
              <w:t>the</w:t>
            </w:r>
            <w:r w:rsidR="002329E1">
              <w:rPr>
                <w:rFonts w:ascii="Times New Roman" w:hAnsi="Times New Roman" w:cs="Times New Roman"/>
                <w:sz w:val="24"/>
                <w:szCs w:val="24"/>
              </w:rPr>
              <w:t xml:space="preserve"> instructions</w:t>
            </w:r>
            <w:r w:rsidR="003C7E69">
              <w:rPr>
                <w:rFonts w:ascii="Times New Roman" w:hAnsi="Times New Roman" w:cs="Times New Roman"/>
                <w:sz w:val="24"/>
                <w:szCs w:val="24"/>
              </w:rPr>
              <w:t xml:space="preserve"> in Part I</w:t>
            </w:r>
            <w:r w:rsidR="002329E1">
              <w:rPr>
                <w:rFonts w:ascii="Times New Roman" w:hAnsi="Times New Roman" w:cs="Times New Roman"/>
                <w:sz w:val="24"/>
                <w:szCs w:val="24"/>
              </w:rPr>
              <w:t>.</w:t>
            </w:r>
            <w:r>
              <w:rPr>
                <w:rFonts w:ascii="Times New Roman" w:hAnsi="Times New Roman" w:cs="Times New Roman"/>
                <w:sz w:val="24"/>
                <w:szCs w:val="24"/>
              </w:rPr>
              <w:t xml:space="preserve"> </w:t>
            </w:r>
          </w:p>
          <w:p w:rsidR="008C5D77" w:rsidP="00072B1E" w14:paraId="638B058A" w14:textId="77777777">
            <w:pPr>
              <w:rPr>
                <w:rFonts w:ascii="Times New Roman" w:hAnsi="Times New Roman" w:cs="Times New Roman"/>
                <w:sz w:val="24"/>
                <w:szCs w:val="24"/>
              </w:rPr>
            </w:pPr>
          </w:p>
          <w:p w:rsidR="008C5D77" w:rsidP="00072B1E" w14:paraId="614FDE86" w14:textId="7F2C321B">
            <w:pPr>
              <w:rPr>
                <w:rFonts w:ascii="Times New Roman" w:hAnsi="Times New Roman" w:cs="Times New Roman"/>
                <w:sz w:val="24"/>
                <w:szCs w:val="24"/>
              </w:rPr>
            </w:pPr>
            <w:r>
              <w:rPr>
                <w:rFonts w:ascii="Times New Roman" w:hAnsi="Times New Roman" w:cs="Times New Roman"/>
                <w:sz w:val="24"/>
                <w:szCs w:val="24"/>
              </w:rPr>
              <w:t xml:space="preserve">Additionally, OGE </w:t>
            </w:r>
            <w:r w:rsidR="003C7E69">
              <w:rPr>
                <w:rFonts w:ascii="Times New Roman" w:hAnsi="Times New Roman" w:cs="Times New Roman"/>
                <w:sz w:val="24"/>
                <w:szCs w:val="24"/>
              </w:rPr>
              <w:t>updates</w:t>
            </w:r>
            <w:r>
              <w:rPr>
                <w:rFonts w:ascii="Times New Roman" w:hAnsi="Times New Roman" w:cs="Times New Roman"/>
                <w:sz w:val="24"/>
                <w:szCs w:val="24"/>
              </w:rPr>
              <w:t xml:space="preserve"> the </w:t>
            </w:r>
            <w:r w:rsidRPr="002E1584">
              <w:rPr>
                <w:rFonts w:ascii="Times New Roman" w:hAnsi="Times New Roman" w:cs="Times New Roman"/>
                <w:b/>
                <w:bCs/>
                <w:sz w:val="24"/>
                <w:szCs w:val="24"/>
              </w:rPr>
              <w:t>“Do and Do Not”</w:t>
            </w:r>
            <w:r>
              <w:rPr>
                <w:rFonts w:ascii="Times New Roman" w:hAnsi="Times New Roman" w:cs="Times New Roman"/>
                <w:sz w:val="24"/>
                <w:szCs w:val="24"/>
              </w:rPr>
              <w:t xml:space="preserve"> report instructions </w:t>
            </w:r>
            <w:r w:rsidR="00A16ED2">
              <w:rPr>
                <w:rFonts w:ascii="Times New Roman" w:hAnsi="Times New Roman" w:cs="Times New Roman"/>
                <w:sz w:val="24"/>
                <w:szCs w:val="24"/>
              </w:rPr>
              <w:t>by:</w:t>
            </w:r>
            <w:r>
              <w:rPr>
                <w:rFonts w:ascii="Times New Roman" w:hAnsi="Times New Roman" w:cs="Times New Roman"/>
                <w:sz w:val="24"/>
                <w:szCs w:val="24"/>
              </w:rPr>
              <w:t xml:space="preserve"> </w:t>
            </w:r>
            <w:r w:rsidR="00942074">
              <w:rPr>
                <w:rFonts w:ascii="Times New Roman" w:hAnsi="Times New Roman" w:cs="Times New Roman"/>
                <w:sz w:val="24"/>
                <w:szCs w:val="24"/>
              </w:rPr>
              <w:t xml:space="preserve">(1) </w:t>
            </w:r>
            <w:r>
              <w:rPr>
                <w:rFonts w:ascii="Times New Roman" w:hAnsi="Times New Roman" w:cs="Times New Roman"/>
                <w:sz w:val="24"/>
                <w:szCs w:val="24"/>
              </w:rPr>
              <w:t>mov</w:t>
            </w:r>
            <w:r w:rsidR="00A16ED2">
              <w:rPr>
                <w:rFonts w:ascii="Times New Roman" w:hAnsi="Times New Roman" w:cs="Times New Roman"/>
                <w:sz w:val="24"/>
                <w:szCs w:val="24"/>
              </w:rPr>
              <w:t>ing</w:t>
            </w:r>
            <w:r>
              <w:rPr>
                <w:rFonts w:ascii="Times New Roman" w:hAnsi="Times New Roman" w:cs="Times New Roman"/>
                <w:sz w:val="24"/>
                <w:szCs w:val="24"/>
              </w:rPr>
              <w:t xml:space="preserve"> certain types of assets to more prominent locations; </w:t>
            </w:r>
            <w:r w:rsidR="00942074">
              <w:rPr>
                <w:rFonts w:ascii="Times New Roman" w:hAnsi="Times New Roman" w:cs="Times New Roman"/>
                <w:sz w:val="24"/>
                <w:szCs w:val="24"/>
              </w:rPr>
              <w:t xml:space="preserve">(2) </w:t>
            </w:r>
            <w:r w:rsidR="00A16ED2">
              <w:rPr>
                <w:rFonts w:ascii="Times New Roman" w:hAnsi="Times New Roman" w:cs="Times New Roman"/>
                <w:sz w:val="24"/>
                <w:szCs w:val="24"/>
              </w:rPr>
              <w:t>modernizing</w:t>
            </w:r>
            <w:r>
              <w:rPr>
                <w:rFonts w:ascii="Times New Roman" w:hAnsi="Times New Roman" w:cs="Times New Roman"/>
                <w:sz w:val="24"/>
                <w:szCs w:val="24"/>
              </w:rPr>
              <w:t xml:space="preserve"> </w:t>
            </w:r>
            <w:r w:rsidR="00A16ED2">
              <w:rPr>
                <w:rFonts w:ascii="Times New Roman" w:hAnsi="Times New Roman" w:cs="Times New Roman"/>
                <w:sz w:val="24"/>
                <w:szCs w:val="24"/>
              </w:rPr>
              <w:t>examples</w:t>
            </w:r>
            <w:r>
              <w:rPr>
                <w:rFonts w:ascii="Times New Roman" w:hAnsi="Times New Roman" w:cs="Times New Roman"/>
                <w:sz w:val="24"/>
                <w:szCs w:val="24"/>
              </w:rPr>
              <w:t xml:space="preserve"> of sector funds; </w:t>
            </w:r>
            <w:r w:rsidR="00942074">
              <w:rPr>
                <w:rFonts w:ascii="Times New Roman" w:hAnsi="Times New Roman" w:cs="Times New Roman"/>
                <w:sz w:val="24"/>
                <w:szCs w:val="24"/>
              </w:rPr>
              <w:t xml:space="preserve">(3) </w:t>
            </w:r>
            <w:r>
              <w:rPr>
                <w:rFonts w:ascii="Times New Roman" w:hAnsi="Times New Roman" w:cs="Times New Roman"/>
                <w:sz w:val="24"/>
                <w:szCs w:val="24"/>
              </w:rPr>
              <w:t>clarify</w:t>
            </w:r>
            <w:r w:rsidR="00A16ED2">
              <w:rPr>
                <w:rFonts w:ascii="Times New Roman" w:hAnsi="Times New Roman" w:cs="Times New Roman"/>
                <w:sz w:val="24"/>
                <w:szCs w:val="24"/>
              </w:rPr>
              <w:t>ing</w:t>
            </w:r>
            <w:r>
              <w:rPr>
                <w:rFonts w:ascii="Times New Roman" w:hAnsi="Times New Roman" w:cs="Times New Roman"/>
                <w:sz w:val="24"/>
                <w:szCs w:val="24"/>
              </w:rPr>
              <w:t xml:space="preserve"> “dependent child earned income”; </w:t>
            </w:r>
            <w:r w:rsidR="00A16ED2">
              <w:rPr>
                <w:rFonts w:ascii="Times New Roman" w:hAnsi="Times New Roman" w:cs="Times New Roman"/>
                <w:sz w:val="24"/>
                <w:szCs w:val="24"/>
              </w:rPr>
              <w:t xml:space="preserve">and </w:t>
            </w:r>
            <w:r w:rsidR="00942074">
              <w:rPr>
                <w:rFonts w:ascii="Times New Roman" w:hAnsi="Times New Roman" w:cs="Times New Roman"/>
                <w:sz w:val="24"/>
                <w:szCs w:val="24"/>
              </w:rPr>
              <w:t xml:space="preserve">(4) </w:t>
            </w:r>
            <w:r>
              <w:rPr>
                <w:rFonts w:ascii="Times New Roman" w:hAnsi="Times New Roman" w:cs="Times New Roman"/>
                <w:sz w:val="24"/>
                <w:szCs w:val="24"/>
              </w:rPr>
              <w:t>clarify</w:t>
            </w:r>
            <w:r w:rsidR="00A16ED2">
              <w:rPr>
                <w:rFonts w:ascii="Times New Roman" w:hAnsi="Times New Roman" w:cs="Times New Roman"/>
                <w:sz w:val="24"/>
                <w:szCs w:val="24"/>
              </w:rPr>
              <w:t>ing</w:t>
            </w:r>
            <w:r>
              <w:rPr>
                <w:rFonts w:ascii="Times New Roman" w:hAnsi="Times New Roman" w:cs="Times New Roman"/>
                <w:sz w:val="24"/>
                <w:szCs w:val="24"/>
              </w:rPr>
              <w:t xml:space="preserve"> that </w:t>
            </w:r>
            <w:r w:rsidR="00A16ED2">
              <w:rPr>
                <w:rFonts w:ascii="Times New Roman" w:hAnsi="Times New Roman" w:cs="Times New Roman"/>
                <w:sz w:val="24"/>
                <w:szCs w:val="24"/>
              </w:rPr>
              <w:t xml:space="preserve">only non-federal </w:t>
            </w:r>
            <w:r>
              <w:rPr>
                <w:rFonts w:ascii="Times New Roman" w:hAnsi="Times New Roman" w:cs="Times New Roman"/>
                <w:sz w:val="24"/>
                <w:szCs w:val="24"/>
              </w:rPr>
              <w:t>retirement accounts are</w:t>
            </w:r>
            <w:r w:rsidRPr="0083635C">
              <w:rPr>
                <w:rFonts w:ascii="Times New Roman" w:hAnsi="Times New Roman" w:cs="Times New Roman"/>
                <w:sz w:val="24"/>
                <w:szCs w:val="24"/>
              </w:rPr>
              <w:t xml:space="preserve"> </w:t>
            </w:r>
            <w:r w:rsidR="00A16ED2">
              <w:rPr>
                <w:rFonts w:ascii="Times New Roman" w:hAnsi="Times New Roman" w:cs="Times New Roman"/>
                <w:sz w:val="24"/>
                <w:szCs w:val="24"/>
              </w:rPr>
              <w:t>reportable</w:t>
            </w:r>
            <w:r w:rsidR="00A16ED2">
              <w:rPr>
                <w:rFonts w:ascii="Times New Roman" w:hAnsi="Times New Roman" w:cs="Times New Roman"/>
                <w:b/>
                <w:bCs/>
                <w:sz w:val="24"/>
                <w:szCs w:val="24"/>
              </w:rPr>
              <w:t>.</w:t>
            </w:r>
          </w:p>
        </w:tc>
      </w:tr>
      <w:tr w14:paraId="3948B7C2" w14:textId="77777777" w:rsidTr="008C5D77">
        <w:tblPrEx>
          <w:tblW w:w="9720" w:type="dxa"/>
          <w:tblInd w:w="-95" w:type="dxa"/>
          <w:tblLook w:val="04A0"/>
        </w:tblPrEx>
        <w:tc>
          <w:tcPr>
            <w:tcW w:w="1870" w:type="dxa"/>
          </w:tcPr>
          <w:p w:rsidR="00983086" w:rsidRPr="001E413E" w:rsidP="00072B1E" w14:paraId="50B89C6B" w14:textId="66B48159">
            <w:pPr>
              <w:rPr>
                <w:rFonts w:ascii="Times New Roman" w:hAnsi="Times New Roman" w:cs="Times New Roman"/>
                <w:iCs/>
                <w:sz w:val="24"/>
                <w:szCs w:val="24"/>
              </w:rPr>
            </w:pPr>
            <w:r w:rsidRPr="00A16ED2">
              <w:rPr>
                <w:rFonts w:ascii="Times New Roman" w:hAnsi="Times New Roman" w:cs="Times New Roman"/>
                <w:iCs/>
                <w:sz w:val="24"/>
                <w:szCs w:val="24"/>
              </w:rPr>
              <w:t xml:space="preserve">Agency written comments and comments </w:t>
            </w:r>
            <w:r w:rsidR="004A7096">
              <w:rPr>
                <w:rFonts w:ascii="Times New Roman" w:hAnsi="Times New Roman" w:cs="Times New Roman"/>
                <w:iCs/>
                <w:sz w:val="24"/>
                <w:szCs w:val="24"/>
              </w:rPr>
              <w:t xml:space="preserve">received </w:t>
            </w:r>
            <w:r w:rsidRPr="00A16ED2">
              <w:rPr>
                <w:rFonts w:ascii="Times New Roman" w:hAnsi="Times New Roman" w:cs="Times New Roman"/>
                <w:iCs/>
                <w:sz w:val="24"/>
                <w:szCs w:val="24"/>
              </w:rPr>
              <w:t>during public and agency sessions</w:t>
            </w:r>
          </w:p>
        </w:tc>
        <w:tc>
          <w:tcPr>
            <w:tcW w:w="3552" w:type="dxa"/>
          </w:tcPr>
          <w:p w:rsidR="00983086" w:rsidP="00072B1E" w14:paraId="555592D5" w14:textId="506D1DAA">
            <w:pPr>
              <w:rPr>
                <w:rFonts w:ascii="Times New Roman" w:hAnsi="Times New Roman" w:cs="Times New Roman"/>
                <w:sz w:val="24"/>
                <w:szCs w:val="24"/>
              </w:rPr>
            </w:pPr>
            <w:r>
              <w:rPr>
                <w:rFonts w:ascii="Times New Roman" w:hAnsi="Times New Roman" w:cs="Times New Roman"/>
                <w:sz w:val="24"/>
                <w:szCs w:val="24"/>
              </w:rPr>
              <w:t xml:space="preserve">OGE was asked to clarify in the instructions that personally identifiable information </w:t>
            </w:r>
            <w:r w:rsidR="004A7096">
              <w:rPr>
                <w:rFonts w:ascii="Times New Roman" w:hAnsi="Times New Roman" w:cs="Times New Roman"/>
                <w:sz w:val="24"/>
                <w:szCs w:val="24"/>
              </w:rPr>
              <w:t xml:space="preserve">(PII) </w:t>
            </w:r>
            <w:r>
              <w:rPr>
                <w:rFonts w:ascii="Times New Roman" w:hAnsi="Times New Roman" w:cs="Times New Roman"/>
                <w:sz w:val="24"/>
                <w:szCs w:val="24"/>
              </w:rPr>
              <w:t xml:space="preserve">is not reportable. </w:t>
            </w:r>
          </w:p>
        </w:tc>
        <w:tc>
          <w:tcPr>
            <w:tcW w:w="4298" w:type="dxa"/>
          </w:tcPr>
          <w:p w:rsidR="00983086" w:rsidRPr="0083635C" w:rsidP="00072B1E" w14:paraId="4EEEC6AD" w14:textId="0C1FC3D3">
            <w:pPr>
              <w:rPr>
                <w:rFonts w:ascii="Times New Roman" w:hAnsi="Times New Roman" w:cs="Times New Roman"/>
                <w:sz w:val="24"/>
                <w:szCs w:val="24"/>
              </w:rPr>
            </w:pPr>
            <w:r>
              <w:rPr>
                <w:rFonts w:ascii="Times New Roman" w:hAnsi="Times New Roman" w:cs="Times New Roman"/>
                <w:sz w:val="24"/>
                <w:szCs w:val="24"/>
              </w:rPr>
              <w:t>OGE</w:t>
            </w:r>
            <w:r w:rsidR="00C4316C">
              <w:rPr>
                <w:rFonts w:ascii="Times New Roman" w:hAnsi="Times New Roman" w:cs="Times New Roman"/>
                <w:sz w:val="24"/>
                <w:szCs w:val="24"/>
              </w:rPr>
              <w:t xml:space="preserve"> </w:t>
            </w:r>
            <w:r w:rsidR="003C7E69">
              <w:rPr>
                <w:rFonts w:ascii="Times New Roman" w:hAnsi="Times New Roman" w:cs="Times New Roman"/>
                <w:sz w:val="24"/>
                <w:szCs w:val="24"/>
              </w:rPr>
              <w:t xml:space="preserve">accepts </w:t>
            </w:r>
            <w:r w:rsidR="00C4316C">
              <w:rPr>
                <w:rFonts w:ascii="Times New Roman" w:hAnsi="Times New Roman" w:cs="Times New Roman"/>
                <w:sz w:val="24"/>
                <w:szCs w:val="24"/>
              </w:rPr>
              <w:t>th</w:t>
            </w:r>
            <w:r w:rsidR="00506344">
              <w:rPr>
                <w:rFonts w:ascii="Times New Roman" w:hAnsi="Times New Roman" w:cs="Times New Roman"/>
                <w:sz w:val="24"/>
                <w:szCs w:val="24"/>
              </w:rPr>
              <w:t>is</w:t>
            </w:r>
            <w:r w:rsidR="000C0BF1">
              <w:rPr>
                <w:rFonts w:ascii="Times New Roman" w:hAnsi="Times New Roman" w:cs="Times New Roman"/>
                <w:sz w:val="24"/>
                <w:szCs w:val="24"/>
              </w:rPr>
              <w:t xml:space="preserve"> change</w:t>
            </w:r>
            <w:r w:rsidR="00C4316C">
              <w:rPr>
                <w:rFonts w:ascii="Times New Roman" w:hAnsi="Times New Roman" w:cs="Times New Roman"/>
                <w:sz w:val="24"/>
                <w:szCs w:val="24"/>
              </w:rPr>
              <w:t xml:space="preserve"> and</w:t>
            </w:r>
            <w:r>
              <w:rPr>
                <w:rFonts w:ascii="Times New Roman" w:hAnsi="Times New Roman" w:cs="Times New Roman"/>
                <w:sz w:val="24"/>
                <w:szCs w:val="24"/>
              </w:rPr>
              <w:t xml:space="preserve"> clarif</w:t>
            </w:r>
            <w:r w:rsidR="003C7E69">
              <w:rPr>
                <w:rFonts w:ascii="Times New Roman" w:hAnsi="Times New Roman" w:cs="Times New Roman"/>
                <w:sz w:val="24"/>
                <w:szCs w:val="24"/>
              </w:rPr>
              <w:t>ies</w:t>
            </w:r>
            <w:r>
              <w:rPr>
                <w:rFonts w:ascii="Times New Roman" w:hAnsi="Times New Roman" w:cs="Times New Roman"/>
                <w:sz w:val="24"/>
                <w:szCs w:val="24"/>
              </w:rPr>
              <w:t xml:space="preserve"> that</w:t>
            </w:r>
            <w:r w:rsidRPr="00983086">
              <w:rPr>
                <w:rFonts w:ascii="Times New Roman" w:hAnsi="Times New Roman" w:cs="Times New Roman"/>
                <w:sz w:val="24"/>
                <w:szCs w:val="24"/>
              </w:rPr>
              <w:t xml:space="preserve"> asset and income descriptions should not include account or social security numbers or names of family members</w:t>
            </w:r>
            <w:r>
              <w:rPr>
                <w:rFonts w:ascii="Times New Roman" w:hAnsi="Times New Roman" w:cs="Times New Roman"/>
                <w:sz w:val="24"/>
                <w:szCs w:val="24"/>
              </w:rPr>
              <w:t>.</w:t>
            </w:r>
          </w:p>
        </w:tc>
      </w:tr>
      <w:tr w14:paraId="732D0F2F" w14:textId="77777777" w:rsidTr="002967BE">
        <w:tblPrEx>
          <w:tblW w:w="9720" w:type="dxa"/>
          <w:tblInd w:w="-95" w:type="dxa"/>
          <w:tblLook w:val="04A0"/>
        </w:tblPrEx>
        <w:tc>
          <w:tcPr>
            <w:tcW w:w="9720" w:type="dxa"/>
            <w:gridSpan w:val="3"/>
          </w:tcPr>
          <w:p w:rsidR="00E202B8" w:rsidP="00072B1E" w14:paraId="362CE3D4" w14:textId="43B37DF3">
            <w:pPr>
              <w:rPr>
                <w:rFonts w:ascii="Times New Roman" w:hAnsi="Times New Roman" w:cs="Times New Roman"/>
                <w:sz w:val="24"/>
                <w:szCs w:val="24"/>
              </w:rPr>
            </w:pPr>
            <w:r>
              <w:rPr>
                <w:rFonts w:ascii="Times New Roman" w:hAnsi="Times New Roman" w:cs="Times New Roman"/>
                <w:sz w:val="24"/>
                <w:szCs w:val="24"/>
              </w:rPr>
              <w:t>PART III</w:t>
            </w:r>
            <w:r w:rsidR="009C61E8">
              <w:rPr>
                <w:rFonts w:ascii="Times New Roman" w:hAnsi="Times New Roman" w:cs="Times New Roman"/>
                <w:sz w:val="24"/>
                <w:szCs w:val="24"/>
              </w:rPr>
              <w:t>:</w:t>
            </w:r>
            <w:r>
              <w:rPr>
                <w:rFonts w:ascii="Times New Roman" w:hAnsi="Times New Roman" w:cs="Times New Roman"/>
                <w:sz w:val="24"/>
                <w:szCs w:val="24"/>
              </w:rPr>
              <w:t xml:space="preserve"> INSTRUCTIONS</w:t>
            </w:r>
          </w:p>
        </w:tc>
      </w:tr>
      <w:tr w14:paraId="7D7D07DF" w14:textId="77777777" w:rsidTr="008C5D77">
        <w:tblPrEx>
          <w:tblW w:w="9720" w:type="dxa"/>
          <w:tblInd w:w="-95" w:type="dxa"/>
          <w:tblLook w:val="04A0"/>
        </w:tblPrEx>
        <w:tc>
          <w:tcPr>
            <w:tcW w:w="1870" w:type="dxa"/>
          </w:tcPr>
          <w:p w:rsidR="008C5D77" w:rsidRPr="001E413E" w:rsidP="00072B1E" w14:paraId="572A5185" w14:textId="722B0CFD">
            <w:pPr>
              <w:rPr>
                <w:rFonts w:ascii="Times New Roman" w:hAnsi="Times New Roman" w:cs="Times New Roman"/>
                <w:iCs/>
                <w:sz w:val="24"/>
                <w:szCs w:val="24"/>
              </w:rPr>
            </w:pPr>
            <w:r w:rsidRPr="0083635C">
              <w:rPr>
                <w:rFonts w:ascii="Times New Roman" w:hAnsi="Times New Roman" w:cs="Times New Roman"/>
                <w:iCs/>
                <w:sz w:val="24"/>
                <w:szCs w:val="24"/>
              </w:rPr>
              <w:t xml:space="preserve">Agency written comments and comments </w:t>
            </w:r>
            <w:r w:rsidR="008C4B98">
              <w:rPr>
                <w:rFonts w:ascii="Times New Roman" w:hAnsi="Times New Roman" w:cs="Times New Roman"/>
                <w:iCs/>
                <w:sz w:val="24"/>
                <w:szCs w:val="24"/>
              </w:rPr>
              <w:t xml:space="preserve">received </w:t>
            </w:r>
            <w:r w:rsidRPr="0083635C">
              <w:rPr>
                <w:rFonts w:ascii="Times New Roman" w:hAnsi="Times New Roman" w:cs="Times New Roman"/>
                <w:iCs/>
                <w:sz w:val="24"/>
                <w:szCs w:val="24"/>
              </w:rPr>
              <w:t>during public and agency sessions</w:t>
            </w:r>
          </w:p>
        </w:tc>
        <w:tc>
          <w:tcPr>
            <w:tcW w:w="3552" w:type="dxa"/>
          </w:tcPr>
          <w:p w:rsidR="008C5D77" w:rsidRPr="0083635C" w:rsidP="00072B1E" w14:paraId="0D8652E8" w14:textId="6EE5EFF3">
            <w:pPr>
              <w:rPr>
                <w:rFonts w:ascii="Times New Roman" w:hAnsi="Times New Roman" w:cs="Times New Roman"/>
                <w:b/>
                <w:bCs/>
                <w:sz w:val="24"/>
                <w:szCs w:val="24"/>
              </w:rPr>
            </w:pPr>
            <w:r>
              <w:rPr>
                <w:rFonts w:ascii="Times New Roman" w:hAnsi="Times New Roman" w:cs="Times New Roman"/>
                <w:sz w:val="24"/>
                <w:szCs w:val="24"/>
              </w:rPr>
              <w:t xml:space="preserve">OGE was asked to move the word “Trust” in the </w:t>
            </w:r>
            <w:r w:rsidR="002329E1">
              <w:rPr>
                <w:rFonts w:ascii="Times New Roman" w:hAnsi="Times New Roman" w:cs="Times New Roman"/>
                <w:sz w:val="24"/>
                <w:szCs w:val="24"/>
              </w:rPr>
              <w:t>i</w:t>
            </w:r>
            <w:r>
              <w:rPr>
                <w:rFonts w:ascii="Times New Roman" w:hAnsi="Times New Roman" w:cs="Times New Roman"/>
                <w:sz w:val="24"/>
                <w:szCs w:val="24"/>
              </w:rPr>
              <w:t xml:space="preserve">nstructions for Part III so that it would stand out to </w:t>
            </w:r>
            <w:r w:rsidR="00A16ED2">
              <w:rPr>
                <w:rFonts w:ascii="Times New Roman" w:hAnsi="Times New Roman" w:cs="Times New Roman"/>
                <w:sz w:val="24"/>
                <w:szCs w:val="24"/>
              </w:rPr>
              <w:t>f</w:t>
            </w:r>
            <w:r w:rsidR="00125237">
              <w:rPr>
                <w:rFonts w:ascii="Times New Roman" w:hAnsi="Times New Roman" w:cs="Times New Roman"/>
                <w:sz w:val="24"/>
                <w:szCs w:val="24"/>
              </w:rPr>
              <w:t>ilers</w:t>
            </w:r>
            <w:r>
              <w:rPr>
                <w:rFonts w:ascii="Times New Roman" w:hAnsi="Times New Roman" w:cs="Times New Roman"/>
                <w:sz w:val="24"/>
                <w:szCs w:val="24"/>
              </w:rPr>
              <w:t xml:space="preserve"> and agency reviewers. </w:t>
            </w:r>
            <w:r w:rsidR="002329E1">
              <w:rPr>
                <w:rFonts w:ascii="Times New Roman" w:hAnsi="Times New Roman" w:cs="Times New Roman"/>
                <w:sz w:val="24"/>
                <w:szCs w:val="24"/>
              </w:rPr>
              <w:t>The r</w:t>
            </w:r>
            <w:r>
              <w:rPr>
                <w:rFonts w:ascii="Times New Roman" w:hAnsi="Times New Roman" w:cs="Times New Roman"/>
                <w:sz w:val="24"/>
                <w:szCs w:val="24"/>
              </w:rPr>
              <w:t>ationale is that it would provide added clarity that an outside position with a trust is reportable</w:t>
            </w:r>
            <w:r w:rsidR="002329E1">
              <w:rPr>
                <w:rFonts w:ascii="Times New Roman" w:hAnsi="Times New Roman" w:cs="Times New Roman"/>
                <w:sz w:val="24"/>
                <w:szCs w:val="24"/>
              </w:rPr>
              <w:t>.</w:t>
            </w:r>
          </w:p>
        </w:tc>
        <w:tc>
          <w:tcPr>
            <w:tcW w:w="4298" w:type="dxa"/>
          </w:tcPr>
          <w:p w:rsidR="008C5D77" w:rsidRPr="0083635C" w:rsidP="00072B1E" w14:paraId="75273DDC" w14:textId="217BC42A">
            <w:pPr>
              <w:rPr>
                <w:rFonts w:ascii="Times New Roman" w:hAnsi="Times New Roman" w:cs="Times New Roman"/>
                <w:sz w:val="24"/>
                <w:szCs w:val="24"/>
              </w:rPr>
            </w:pPr>
            <w:r>
              <w:rPr>
                <w:rFonts w:ascii="Times New Roman" w:hAnsi="Times New Roman" w:cs="Times New Roman"/>
                <w:sz w:val="24"/>
                <w:szCs w:val="24"/>
              </w:rPr>
              <w:t xml:space="preserve">OGE </w:t>
            </w:r>
            <w:r w:rsidR="003C7E69">
              <w:rPr>
                <w:rFonts w:ascii="Times New Roman" w:hAnsi="Times New Roman" w:cs="Times New Roman"/>
                <w:sz w:val="24"/>
                <w:szCs w:val="24"/>
              </w:rPr>
              <w:t xml:space="preserve">accepts </w:t>
            </w:r>
            <w:r>
              <w:rPr>
                <w:rFonts w:ascii="Times New Roman" w:hAnsi="Times New Roman" w:cs="Times New Roman"/>
                <w:sz w:val="24"/>
                <w:szCs w:val="24"/>
              </w:rPr>
              <w:t>th</w:t>
            </w:r>
            <w:r w:rsidR="00506344">
              <w:rPr>
                <w:rFonts w:ascii="Times New Roman" w:hAnsi="Times New Roman" w:cs="Times New Roman"/>
                <w:sz w:val="24"/>
                <w:szCs w:val="24"/>
              </w:rPr>
              <w:t xml:space="preserve">is </w:t>
            </w:r>
            <w:r>
              <w:rPr>
                <w:rFonts w:ascii="Times New Roman" w:hAnsi="Times New Roman" w:cs="Times New Roman"/>
                <w:sz w:val="24"/>
                <w:szCs w:val="24"/>
              </w:rPr>
              <w:t xml:space="preserve">change and </w:t>
            </w:r>
            <w:r w:rsidR="003C7E69">
              <w:rPr>
                <w:rFonts w:ascii="Times New Roman" w:hAnsi="Times New Roman" w:cs="Times New Roman"/>
                <w:sz w:val="24"/>
                <w:szCs w:val="24"/>
              </w:rPr>
              <w:t xml:space="preserve">moves </w:t>
            </w:r>
            <w:r>
              <w:rPr>
                <w:rFonts w:ascii="Times New Roman" w:hAnsi="Times New Roman" w:cs="Times New Roman"/>
                <w:sz w:val="24"/>
                <w:szCs w:val="24"/>
              </w:rPr>
              <w:t xml:space="preserve">the word “Trust” to its own line item to highlight the need </w:t>
            </w:r>
            <w:r w:rsidR="003C7E69">
              <w:rPr>
                <w:rFonts w:ascii="Times New Roman" w:hAnsi="Times New Roman" w:cs="Times New Roman"/>
                <w:sz w:val="24"/>
                <w:szCs w:val="24"/>
              </w:rPr>
              <w:t xml:space="preserve">to report </w:t>
            </w:r>
            <w:r>
              <w:rPr>
                <w:rFonts w:ascii="Times New Roman" w:hAnsi="Times New Roman" w:cs="Times New Roman"/>
                <w:sz w:val="24"/>
                <w:szCs w:val="24"/>
              </w:rPr>
              <w:t>this outside position.</w:t>
            </w:r>
          </w:p>
        </w:tc>
      </w:tr>
      <w:tr w14:paraId="2FAB989E" w14:textId="77777777" w:rsidTr="0004344C">
        <w:tblPrEx>
          <w:tblW w:w="9720" w:type="dxa"/>
          <w:tblInd w:w="-95" w:type="dxa"/>
          <w:tblLook w:val="04A0"/>
        </w:tblPrEx>
        <w:tc>
          <w:tcPr>
            <w:tcW w:w="9720" w:type="dxa"/>
            <w:gridSpan w:val="3"/>
          </w:tcPr>
          <w:p w:rsidR="00E202B8" w:rsidP="00072B1E" w14:paraId="18C3B4CE" w14:textId="38E7791A">
            <w:pPr>
              <w:rPr>
                <w:rFonts w:ascii="Times New Roman" w:hAnsi="Times New Roman" w:cs="Times New Roman"/>
                <w:sz w:val="24"/>
                <w:szCs w:val="24"/>
              </w:rPr>
            </w:pPr>
            <w:r>
              <w:rPr>
                <w:rFonts w:ascii="Times New Roman" w:hAnsi="Times New Roman" w:cs="Times New Roman"/>
                <w:sz w:val="24"/>
                <w:szCs w:val="24"/>
              </w:rPr>
              <w:t>PART V</w:t>
            </w:r>
            <w:r w:rsidR="009C61E8">
              <w:rPr>
                <w:rFonts w:ascii="Times New Roman" w:hAnsi="Times New Roman" w:cs="Times New Roman"/>
                <w:sz w:val="24"/>
                <w:szCs w:val="24"/>
              </w:rPr>
              <w:t>:</w:t>
            </w:r>
            <w:r>
              <w:rPr>
                <w:rFonts w:ascii="Times New Roman" w:hAnsi="Times New Roman" w:cs="Times New Roman"/>
                <w:sz w:val="24"/>
                <w:szCs w:val="24"/>
              </w:rPr>
              <w:t xml:space="preserve"> INSTRUCTIONS </w:t>
            </w:r>
            <w:r w:rsidR="009C61E8">
              <w:rPr>
                <w:rFonts w:ascii="Times New Roman" w:hAnsi="Times New Roman" w:cs="Times New Roman"/>
                <w:sz w:val="24"/>
                <w:szCs w:val="24"/>
              </w:rPr>
              <w:t xml:space="preserve">and </w:t>
            </w:r>
            <w:r>
              <w:rPr>
                <w:rFonts w:ascii="Times New Roman" w:hAnsi="Times New Roman" w:cs="Times New Roman"/>
                <w:sz w:val="24"/>
                <w:szCs w:val="24"/>
              </w:rPr>
              <w:t>VALUE THRESHOLDS</w:t>
            </w:r>
          </w:p>
        </w:tc>
      </w:tr>
      <w:tr w14:paraId="064AFD22" w14:textId="77777777" w:rsidTr="008C5D77">
        <w:tblPrEx>
          <w:tblW w:w="9720" w:type="dxa"/>
          <w:tblInd w:w="-95" w:type="dxa"/>
          <w:tblLook w:val="04A0"/>
        </w:tblPrEx>
        <w:tc>
          <w:tcPr>
            <w:tcW w:w="1870" w:type="dxa"/>
          </w:tcPr>
          <w:p w:rsidR="008C5D77" w:rsidRPr="001E413E" w:rsidP="00072B1E" w14:paraId="06312031" w14:textId="21B39045">
            <w:pPr>
              <w:rPr>
                <w:rFonts w:ascii="Times New Roman" w:hAnsi="Times New Roman" w:cs="Times New Roman"/>
                <w:iCs/>
                <w:sz w:val="24"/>
                <w:szCs w:val="24"/>
              </w:rPr>
            </w:pPr>
            <w:r w:rsidRPr="00952C75">
              <w:rPr>
                <w:rFonts w:ascii="Times New Roman" w:hAnsi="Times New Roman" w:cs="Times New Roman"/>
                <w:iCs/>
                <w:sz w:val="24"/>
                <w:szCs w:val="24"/>
              </w:rPr>
              <w:t>OGE subject matter expert</w:t>
            </w:r>
          </w:p>
        </w:tc>
        <w:tc>
          <w:tcPr>
            <w:tcW w:w="3552" w:type="dxa"/>
          </w:tcPr>
          <w:p w:rsidR="008C5D77" w:rsidRPr="001E413E" w:rsidP="00072B1E" w14:paraId="25AC9FF7" w14:textId="72A98DAF">
            <w:pPr>
              <w:rPr>
                <w:rFonts w:ascii="Times New Roman" w:hAnsi="Times New Roman" w:cs="Times New Roman"/>
                <w:sz w:val="24"/>
                <w:szCs w:val="24"/>
              </w:rPr>
            </w:pPr>
            <w:r>
              <w:rPr>
                <w:rFonts w:ascii="Times New Roman" w:hAnsi="Times New Roman" w:cs="Times New Roman"/>
                <w:bCs/>
                <w:sz w:val="24"/>
                <w:szCs w:val="24"/>
              </w:rPr>
              <w:t xml:space="preserve">An </w:t>
            </w:r>
            <w:r w:rsidR="003673F2">
              <w:rPr>
                <w:rFonts w:ascii="Times New Roman" w:hAnsi="Times New Roman" w:cs="Times New Roman"/>
                <w:bCs/>
                <w:sz w:val="24"/>
                <w:szCs w:val="24"/>
              </w:rPr>
              <w:t xml:space="preserve">OGE </w:t>
            </w:r>
            <w:r>
              <w:rPr>
                <w:rFonts w:ascii="Times New Roman" w:hAnsi="Times New Roman" w:cs="Times New Roman"/>
                <w:bCs/>
                <w:sz w:val="24"/>
                <w:szCs w:val="24"/>
              </w:rPr>
              <w:t xml:space="preserve">subject matter expert </w:t>
            </w:r>
            <w:r w:rsidR="00A16ED2">
              <w:rPr>
                <w:rFonts w:ascii="Times New Roman" w:hAnsi="Times New Roman" w:cs="Times New Roman"/>
                <w:bCs/>
                <w:sz w:val="24"/>
                <w:szCs w:val="24"/>
              </w:rPr>
              <w:t xml:space="preserve">suggested </w:t>
            </w:r>
            <w:r w:rsidR="003673F2">
              <w:rPr>
                <w:rFonts w:ascii="Times New Roman" w:hAnsi="Times New Roman" w:cs="Times New Roman"/>
                <w:bCs/>
                <w:sz w:val="24"/>
                <w:szCs w:val="24"/>
              </w:rPr>
              <w:t>provid</w:t>
            </w:r>
            <w:r w:rsidR="00A16ED2">
              <w:rPr>
                <w:rFonts w:ascii="Times New Roman" w:hAnsi="Times New Roman" w:cs="Times New Roman"/>
                <w:bCs/>
                <w:sz w:val="24"/>
                <w:szCs w:val="24"/>
              </w:rPr>
              <w:t>ing</w:t>
            </w:r>
            <w:r w:rsidRPr="00AC3446" w:rsidR="003673F2">
              <w:rPr>
                <w:rFonts w:ascii="Times New Roman" w:hAnsi="Times New Roman" w:cs="Times New Roman"/>
                <w:bCs/>
                <w:sz w:val="24"/>
                <w:szCs w:val="24"/>
              </w:rPr>
              <w:t xml:space="preserve"> updated instructions and/or </w:t>
            </w:r>
            <w:r w:rsidR="003673F2">
              <w:rPr>
                <w:rFonts w:ascii="Times New Roman" w:hAnsi="Times New Roman" w:cs="Times New Roman"/>
                <w:bCs/>
                <w:sz w:val="24"/>
                <w:szCs w:val="24"/>
              </w:rPr>
              <w:t xml:space="preserve">clarifying </w:t>
            </w:r>
            <w:r w:rsidRPr="00AC3446" w:rsidR="003673F2">
              <w:rPr>
                <w:rFonts w:ascii="Times New Roman" w:hAnsi="Times New Roman" w:cs="Times New Roman"/>
                <w:bCs/>
                <w:sz w:val="24"/>
                <w:szCs w:val="24"/>
              </w:rPr>
              <w:t xml:space="preserve">guidance </w:t>
            </w:r>
            <w:r w:rsidR="003673F2">
              <w:rPr>
                <w:rFonts w:ascii="Times New Roman" w:hAnsi="Times New Roman" w:cs="Times New Roman"/>
                <w:bCs/>
                <w:sz w:val="24"/>
                <w:szCs w:val="24"/>
              </w:rPr>
              <w:t xml:space="preserve">as it applies to gifts and travel reimbursements. The rationale would be to </w:t>
            </w:r>
            <w:r w:rsidR="00A16ED2">
              <w:rPr>
                <w:rFonts w:ascii="Times New Roman" w:hAnsi="Times New Roman" w:cs="Times New Roman"/>
                <w:bCs/>
                <w:sz w:val="24"/>
                <w:szCs w:val="24"/>
              </w:rPr>
              <w:t xml:space="preserve">make it clear that the thresholds identified apply to </w:t>
            </w:r>
            <w:r w:rsidR="008F22A7">
              <w:rPr>
                <w:rFonts w:ascii="Times New Roman" w:hAnsi="Times New Roman" w:cs="Times New Roman"/>
                <w:bCs/>
                <w:sz w:val="24"/>
                <w:szCs w:val="24"/>
              </w:rPr>
              <w:t xml:space="preserve">reports for </w:t>
            </w:r>
            <w:r w:rsidRPr="00A16ED2" w:rsidR="00A16ED2">
              <w:rPr>
                <w:rFonts w:ascii="Times New Roman" w:hAnsi="Times New Roman" w:cs="Times New Roman"/>
                <w:bCs/>
                <w:sz w:val="24"/>
                <w:szCs w:val="24"/>
              </w:rPr>
              <w:t>calendar years 2023-2025</w:t>
            </w:r>
            <w:r w:rsidR="003673F2">
              <w:rPr>
                <w:rFonts w:ascii="Times New Roman" w:hAnsi="Times New Roman" w:cs="Times New Roman"/>
                <w:bCs/>
                <w:sz w:val="24"/>
                <w:szCs w:val="24"/>
              </w:rPr>
              <w:t>.</w:t>
            </w:r>
          </w:p>
        </w:tc>
        <w:tc>
          <w:tcPr>
            <w:tcW w:w="4298" w:type="dxa"/>
          </w:tcPr>
          <w:p w:rsidR="003673F2" w:rsidRPr="003673F2" w:rsidP="003673F2" w14:paraId="523DD054" w14:textId="3DAAB920">
            <w:pPr>
              <w:rPr>
                <w:rFonts w:ascii="Times New Roman" w:hAnsi="Times New Roman" w:cs="Times New Roman"/>
                <w:i/>
                <w:sz w:val="24"/>
                <w:szCs w:val="24"/>
              </w:rPr>
            </w:pPr>
            <w:r>
              <w:rPr>
                <w:rFonts w:ascii="Times New Roman" w:hAnsi="Times New Roman" w:cs="Times New Roman"/>
                <w:sz w:val="24"/>
                <w:szCs w:val="24"/>
              </w:rPr>
              <w:t xml:space="preserve">OGE </w:t>
            </w:r>
            <w:r w:rsidR="00CA13B2">
              <w:rPr>
                <w:rFonts w:ascii="Times New Roman" w:hAnsi="Times New Roman" w:cs="Times New Roman"/>
                <w:sz w:val="24"/>
                <w:szCs w:val="24"/>
              </w:rPr>
              <w:t>accepts th</w:t>
            </w:r>
            <w:r w:rsidR="00506344">
              <w:rPr>
                <w:rFonts w:ascii="Times New Roman" w:hAnsi="Times New Roman" w:cs="Times New Roman"/>
                <w:sz w:val="24"/>
                <w:szCs w:val="24"/>
              </w:rPr>
              <w:t xml:space="preserve">is </w:t>
            </w:r>
            <w:r>
              <w:rPr>
                <w:rFonts w:ascii="Times New Roman" w:hAnsi="Times New Roman" w:cs="Times New Roman"/>
                <w:sz w:val="24"/>
                <w:szCs w:val="24"/>
              </w:rPr>
              <w:t xml:space="preserve">change and </w:t>
            </w:r>
            <w:r w:rsidR="00CA13B2">
              <w:rPr>
                <w:rFonts w:ascii="Times New Roman" w:hAnsi="Times New Roman" w:cs="Times New Roman"/>
                <w:sz w:val="24"/>
                <w:szCs w:val="24"/>
              </w:rPr>
              <w:t xml:space="preserve">adds </w:t>
            </w:r>
            <w:r w:rsidR="002329E1">
              <w:rPr>
                <w:rFonts w:ascii="Times New Roman" w:hAnsi="Times New Roman" w:cs="Times New Roman"/>
                <w:sz w:val="24"/>
                <w:szCs w:val="24"/>
              </w:rPr>
              <w:t xml:space="preserve">the following: </w:t>
            </w:r>
            <w:r w:rsidRPr="003673F2">
              <w:rPr>
                <w:rFonts w:ascii="Times New Roman" w:hAnsi="Times New Roman" w:cs="Times New Roman"/>
                <w:i/>
                <w:sz w:val="24"/>
                <w:szCs w:val="24"/>
              </w:rPr>
              <w:t>“These amounts apply to gifts and travel reimbursements received in calendar years 2023-2025.  The next three-year adjustment to these amounts is schedule</w:t>
            </w:r>
            <w:r w:rsidR="009645B4">
              <w:rPr>
                <w:rFonts w:ascii="Times New Roman" w:hAnsi="Times New Roman" w:cs="Times New Roman"/>
                <w:i/>
                <w:sz w:val="24"/>
                <w:szCs w:val="24"/>
              </w:rPr>
              <w:t>d</w:t>
            </w:r>
            <w:r w:rsidRPr="003673F2">
              <w:rPr>
                <w:rFonts w:ascii="Times New Roman" w:hAnsi="Times New Roman" w:cs="Times New Roman"/>
                <w:i/>
                <w:sz w:val="24"/>
                <w:szCs w:val="24"/>
              </w:rPr>
              <w:t xml:space="preserve"> to occur in 2026.”</w:t>
            </w:r>
          </w:p>
          <w:p w:rsidR="008C5D77" w:rsidRPr="001E413E" w:rsidP="00072B1E" w14:paraId="6A8187FE" w14:textId="286E17BC">
            <w:pPr>
              <w:rPr>
                <w:rFonts w:ascii="Times New Roman" w:hAnsi="Times New Roman" w:cs="Times New Roman"/>
                <w:sz w:val="24"/>
                <w:szCs w:val="24"/>
              </w:rPr>
            </w:pPr>
          </w:p>
        </w:tc>
      </w:tr>
    </w:tbl>
    <w:p w:rsidR="00C731D8" w:rsidRPr="009928D1" w:rsidP="00C731D8" w14:paraId="70EF53CD" w14:textId="77777777">
      <w:pPr>
        <w:ind w:firstLine="720"/>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1E4747"/>
    <w:multiLevelType w:val="hybridMultilevel"/>
    <w:tmpl w:val="636697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85CE6"/>
    <w:multiLevelType w:val="hybridMultilevel"/>
    <w:tmpl w:val="729C26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1234E"/>
    <w:multiLevelType w:val="hybridMultilevel"/>
    <w:tmpl w:val="59F8EC6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D065B2F"/>
    <w:multiLevelType w:val="hybridMultilevel"/>
    <w:tmpl w:val="C78E32B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1E6569E"/>
    <w:multiLevelType w:val="hybridMultilevel"/>
    <w:tmpl w:val="5B5C35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102868"/>
    <w:multiLevelType w:val="hybridMultilevel"/>
    <w:tmpl w:val="8AEC266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6">
    <w:nsid w:val="175F4B58"/>
    <w:multiLevelType w:val="hybridMultilevel"/>
    <w:tmpl w:val="80025B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8EC5666"/>
    <w:multiLevelType w:val="hybridMultilevel"/>
    <w:tmpl w:val="88B294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0E06643"/>
    <w:multiLevelType w:val="hybridMultilevel"/>
    <w:tmpl w:val="EADCA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587AEE"/>
    <w:multiLevelType w:val="hybridMultilevel"/>
    <w:tmpl w:val="5EE627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B44989"/>
    <w:multiLevelType w:val="hybridMultilevel"/>
    <w:tmpl w:val="7CB46A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2C97637"/>
    <w:multiLevelType w:val="hybridMultilevel"/>
    <w:tmpl w:val="C4EAFA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74D4E4D"/>
    <w:multiLevelType w:val="hybridMultilevel"/>
    <w:tmpl w:val="F508DECE"/>
    <w:lvl w:ilvl="0">
      <w:start w:val="1"/>
      <w:numFmt w:val="decimal"/>
      <w:lvlText w:val="%1."/>
      <w:lvlJc w:val="left"/>
      <w:pPr>
        <w:ind w:left="720" w:hanging="360"/>
      </w:pPr>
      <w:rPr>
        <w:rFonts w:ascii="Times New Roman" w:hAnsi="Times New Roman" w:eastAsiaTheme="minorHAnsi" w:cs="Times New Roman"/>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534E65"/>
    <w:multiLevelType w:val="hybridMultilevel"/>
    <w:tmpl w:val="74E4B04C"/>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4192494F"/>
    <w:multiLevelType w:val="hybridMultilevel"/>
    <w:tmpl w:val="2FFE70D6"/>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5">
    <w:nsid w:val="45836622"/>
    <w:multiLevelType w:val="hybridMultilevel"/>
    <w:tmpl w:val="8D904918"/>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7472B99"/>
    <w:multiLevelType w:val="hybridMultilevel"/>
    <w:tmpl w:val="887A4F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A2775A0"/>
    <w:multiLevelType w:val="hybridMultilevel"/>
    <w:tmpl w:val="D5081EE6"/>
    <w:lvl w:ilvl="0">
      <w:start w:val="1"/>
      <w:numFmt w:val="decimal"/>
      <w:lvlText w:val="%1."/>
      <w:lvlJc w:val="left"/>
      <w:pPr>
        <w:ind w:left="1080" w:hanging="360"/>
      </w:pPr>
      <w:rPr>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0423805"/>
    <w:multiLevelType w:val="multilevel"/>
    <w:tmpl w:val="D5081EE6"/>
    <w:styleLink w:val="CurrentList2"/>
    <w:lvl w:ilvl="0">
      <w:start w:val="1"/>
      <w:numFmt w:val="decimal"/>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5160233C"/>
    <w:multiLevelType w:val="hybridMultilevel"/>
    <w:tmpl w:val="8D904918"/>
    <w:lvl w:ilvl="0">
      <w:start w:val="1"/>
      <w:numFmt w:val="decimal"/>
      <w:lvlText w:val="%1."/>
      <w:lvlJc w:val="left"/>
      <w:pPr>
        <w:ind w:left="720" w:hanging="360"/>
      </w:pPr>
      <w:rPr>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66F23E8"/>
    <w:multiLevelType w:val="hybridMultilevel"/>
    <w:tmpl w:val="4A5CFF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59A55F5B"/>
    <w:multiLevelType w:val="hybridMultilevel"/>
    <w:tmpl w:val="F9086D5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5D97259A"/>
    <w:multiLevelType w:val="hybridMultilevel"/>
    <w:tmpl w:val="88D4BAD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1A83BF2"/>
    <w:multiLevelType w:val="multilevel"/>
    <w:tmpl w:val="C4F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FF58C5"/>
    <w:multiLevelType w:val="hybridMultilevel"/>
    <w:tmpl w:val="6AF4AF9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A9D637C"/>
    <w:multiLevelType w:val="hybridMultilevel"/>
    <w:tmpl w:val="227C4BA4"/>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BDC22C9"/>
    <w:multiLevelType w:val="hybridMultilevel"/>
    <w:tmpl w:val="8D904918"/>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ED3758"/>
    <w:multiLevelType w:val="hybridMultilevel"/>
    <w:tmpl w:val="5802D656"/>
    <w:lvl w:ilvl="0">
      <w:start w:val="1"/>
      <w:numFmt w:val="decimal"/>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EB60D1B"/>
    <w:multiLevelType w:val="hybridMultilevel"/>
    <w:tmpl w:val="03729608"/>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9">
    <w:nsid w:val="6FAC7A15"/>
    <w:multiLevelType w:val="hybridMultilevel"/>
    <w:tmpl w:val="7B40D7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AC61AD"/>
    <w:multiLevelType w:val="hybridMultilevel"/>
    <w:tmpl w:val="16D2E3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AEB4AA6"/>
    <w:multiLevelType w:val="hybridMultilevel"/>
    <w:tmpl w:val="121AD04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724D38"/>
    <w:multiLevelType w:val="multilevel"/>
    <w:tmpl w:val="8D904918"/>
    <w:styleLink w:val="CurrentList1"/>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F66438D"/>
    <w:multiLevelType w:val="hybridMultilevel"/>
    <w:tmpl w:val="9F30976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50685681">
    <w:abstractNumId w:val="1"/>
  </w:num>
  <w:num w:numId="2" w16cid:durableId="1289165492">
    <w:abstractNumId w:val="19"/>
  </w:num>
  <w:num w:numId="3" w16cid:durableId="672995541">
    <w:abstractNumId w:val="13"/>
  </w:num>
  <w:num w:numId="4" w16cid:durableId="1657495917">
    <w:abstractNumId w:val="16"/>
  </w:num>
  <w:num w:numId="5" w16cid:durableId="1455095861">
    <w:abstractNumId w:val="33"/>
  </w:num>
  <w:num w:numId="6" w16cid:durableId="897977579">
    <w:abstractNumId w:val="0"/>
  </w:num>
  <w:num w:numId="7" w16cid:durableId="315493398">
    <w:abstractNumId w:val="29"/>
  </w:num>
  <w:num w:numId="8" w16cid:durableId="1201670576">
    <w:abstractNumId w:val="11"/>
  </w:num>
  <w:num w:numId="9" w16cid:durableId="620382843">
    <w:abstractNumId w:val="4"/>
  </w:num>
  <w:num w:numId="10" w16cid:durableId="1065882096">
    <w:abstractNumId w:val="22"/>
  </w:num>
  <w:num w:numId="11" w16cid:durableId="1512641872">
    <w:abstractNumId w:val="8"/>
  </w:num>
  <w:num w:numId="12" w16cid:durableId="217209617">
    <w:abstractNumId w:val="10"/>
  </w:num>
  <w:num w:numId="13" w16cid:durableId="571742024">
    <w:abstractNumId w:val="21"/>
  </w:num>
  <w:num w:numId="14" w16cid:durableId="518743481">
    <w:abstractNumId w:val="25"/>
  </w:num>
  <w:num w:numId="15" w16cid:durableId="1869178796">
    <w:abstractNumId w:val="3"/>
  </w:num>
  <w:num w:numId="16" w16cid:durableId="1405834748">
    <w:abstractNumId w:val="7"/>
  </w:num>
  <w:num w:numId="17" w16cid:durableId="25109688">
    <w:abstractNumId w:val="6"/>
  </w:num>
  <w:num w:numId="18" w16cid:durableId="1379892433">
    <w:abstractNumId w:val="17"/>
  </w:num>
  <w:num w:numId="19" w16cid:durableId="155343644">
    <w:abstractNumId w:val="31"/>
  </w:num>
  <w:num w:numId="20" w16cid:durableId="1605846112">
    <w:abstractNumId w:val="20"/>
  </w:num>
  <w:num w:numId="21" w16cid:durableId="1775442507">
    <w:abstractNumId w:val="15"/>
  </w:num>
  <w:num w:numId="22" w16cid:durableId="1002900939">
    <w:abstractNumId w:val="26"/>
  </w:num>
  <w:num w:numId="23" w16cid:durableId="531459276">
    <w:abstractNumId w:val="32"/>
  </w:num>
  <w:num w:numId="24" w16cid:durableId="1159344323">
    <w:abstractNumId w:val="27"/>
  </w:num>
  <w:num w:numId="25" w16cid:durableId="1267731547">
    <w:abstractNumId w:val="18"/>
  </w:num>
  <w:num w:numId="26" w16cid:durableId="250360785">
    <w:abstractNumId w:val="12"/>
  </w:num>
  <w:num w:numId="27" w16cid:durableId="1973905130">
    <w:abstractNumId w:val="30"/>
  </w:num>
  <w:num w:numId="28" w16cid:durableId="1340889726">
    <w:abstractNumId w:val="24"/>
  </w:num>
  <w:num w:numId="29" w16cid:durableId="210776412">
    <w:abstractNumId w:val="14"/>
  </w:num>
  <w:num w:numId="30" w16cid:durableId="29381715">
    <w:abstractNumId w:val="28"/>
  </w:num>
  <w:num w:numId="31" w16cid:durableId="1414205627">
    <w:abstractNumId w:val="5"/>
  </w:num>
  <w:num w:numId="32" w16cid:durableId="488861806">
    <w:abstractNumId w:val="2"/>
  </w:num>
  <w:num w:numId="33" w16cid:durableId="277222529">
    <w:abstractNumId w:val="23"/>
  </w:num>
  <w:num w:numId="34" w16cid:durableId="6625072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26"/>
    <w:rsid w:val="000145A9"/>
    <w:rsid w:val="0002197D"/>
    <w:rsid w:val="00023449"/>
    <w:rsid w:val="00034593"/>
    <w:rsid w:val="000459D6"/>
    <w:rsid w:val="000524FB"/>
    <w:rsid w:val="00056D84"/>
    <w:rsid w:val="00071ED3"/>
    <w:rsid w:val="00072B1E"/>
    <w:rsid w:val="00076EF7"/>
    <w:rsid w:val="000845E9"/>
    <w:rsid w:val="0009289E"/>
    <w:rsid w:val="000976A0"/>
    <w:rsid w:val="000A1A1E"/>
    <w:rsid w:val="000A305D"/>
    <w:rsid w:val="000A3803"/>
    <w:rsid w:val="000B7A45"/>
    <w:rsid w:val="000C0BF1"/>
    <w:rsid w:val="000D3E0C"/>
    <w:rsid w:val="000D4DCF"/>
    <w:rsid w:val="000D590F"/>
    <w:rsid w:val="000D7E24"/>
    <w:rsid w:val="000F71C6"/>
    <w:rsid w:val="00101595"/>
    <w:rsid w:val="00112708"/>
    <w:rsid w:val="00125237"/>
    <w:rsid w:val="001313A0"/>
    <w:rsid w:val="00131B57"/>
    <w:rsid w:val="00135B32"/>
    <w:rsid w:val="001372F7"/>
    <w:rsid w:val="001463AF"/>
    <w:rsid w:val="00155057"/>
    <w:rsid w:val="001679FC"/>
    <w:rsid w:val="00174D5A"/>
    <w:rsid w:val="001754E5"/>
    <w:rsid w:val="0018202E"/>
    <w:rsid w:val="00187413"/>
    <w:rsid w:val="0019228F"/>
    <w:rsid w:val="001934D1"/>
    <w:rsid w:val="00196169"/>
    <w:rsid w:val="001964BD"/>
    <w:rsid w:val="001B08F9"/>
    <w:rsid w:val="001B474A"/>
    <w:rsid w:val="001C781E"/>
    <w:rsid w:val="001D178C"/>
    <w:rsid w:val="001D3DD4"/>
    <w:rsid w:val="001D3F34"/>
    <w:rsid w:val="001E413E"/>
    <w:rsid w:val="001F10A0"/>
    <w:rsid w:val="001F3D54"/>
    <w:rsid w:val="001F3DE9"/>
    <w:rsid w:val="0023266A"/>
    <w:rsid w:val="002329E1"/>
    <w:rsid w:val="00251D96"/>
    <w:rsid w:val="00253CB5"/>
    <w:rsid w:val="00253FEF"/>
    <w:rsid w:val="00254E15"/>
    <w:rsid w:val="00267BF2"/>
    <w:rsid w:val="00274EB8"/>
    <w:rsid w:val="002B47AD"/>
    <w:rsid w:val="002B4C93"/>
    <w:rsid w:val="002B62A0"/>
    <w:rsid w:val="002E1584"/>
    <w:rsid w:val="002E4668"/>
    <w:rsid w:val="002E48B0"/>
    <w:rsid w:val="002E57B3"/>
    <w:rsid w:val="002F7B38"/>
    <w:rsid w:val="003111F7"/>
    <w:rsid w:val="003141FC"/>
    <w:rsid w:val="00320E0B"/>
    <w:rsid w:val="003210B4"/>
    <w:rsid w:val="00324BD0"/>
    <w:rsid w:val="003254E2"/>
    <w:rsid w:val="00344359"/>
    <w:rsid w:val="00347FF2"/>
    <w:rsid w:val="00355E3F"/>
    <w:rsid w:val="00356BB8"/>
    <w:rsid w:val="00357EFE"/>
    <w:rsid w:val="003673F2"/>
    <w:rsid w:val="003802C7"/>
    <w:rsid w:val="00385C6A"/>
    <w:rsid w:val="003916E9"/>
    <w:rsid w:val="00393C2B"/>
    <w:rsid w:val="00394D76"/>
    <w:rsid w:val="003C2FB6"/>
    <w:rsid w:val="003C5EEE"/>
    <w:rsid w:val="003C7E69"/>
    <w:rsid w:val="003D3EDB"/>
    <w:rsid w:val="003D5043"/>
    <w:rsid w:val="003E4A1A"/>
    <w:rsid w:val="003F2169"/>
    <w:rsid w:val="003F42D0"/>
    <w:rsid w:val="003F69F1"/>
    <w:rsid w:val="004228F8"/>
    <w:rsid w:val="00425693"/>
    <w:rsid w:val="00434E21"/>
    <w:rsid w:val="0045527A"/>
    <w:rsid w:val="00456387"/>
    <w:rsid w:val="004623CB"/>
    <w:rsid w:val="004657D3"/>
    <w:rsid w:val="0047578D"/>
    <w:rsid w:val="0048116C"/>
    <w:rsid w:val="00496528"/>
    <w:rsid w:val="004A7096"/>
    <w:rsid w:val="004C0432"/>
    <w:rsid w:val="004D3636"/>
    <w:rsid w:val="004F1145"/>
    <w:rsid w:val="004F426C"/>
    <w:rsid w:val="00506344"/>
    <w:rsid w:val="00513814"/>
    <w:rsid w:val="0051678A"/>
    <w:rsid w:val="00536501"/>
    <w:rsid w:val="00536B8B"/>
    <w:rsid w:val="0056384E"/>
    <w:rsid w:val="0057330C"/>
    <w:rsid w:val="00573719"/>
    <w:rsid w:val="00576068"/>
    <w:rsid w:val="00577367"/>
    <w:rsid w:val="005831BF"/>
    <w:rsid w:val="00587475"/>
    <w:rsid w:val="005A19AD"/>
    <w:rsid w:val="005C0EDC"/>
    <w:rsid w:val="005C1453"/>
    <w:rsid w:val="005C469A"/>
    <w:rsid w:val="005C73F9"/>
    <w:rsid w:val="005D2EF0"/>
    <w:rsid w:val="005D304C"/>
    <w:rsid w:val="005E22C7"/>
    <w:rsid w:val="005F41C2"/>
    <w:rsid w:val="00604081"/>
    <w:rsid w:val="0061542D"/>
    <w:rsid w:val="00622A0A"/>
    <w:rsid w:val="00637481"/>
    <w:rsid w:val="0064282E"/>
    <w:rsid w:val="00645EAA"/>
    <w:rsid w:val="00652AC2"/>
    <w:rsid w:val="00670904"/>
    <w:rsid w:val="006719CB"/>
    <w:rsid w:val="006A22F5"/>
    <w:rsid w:val="006C29B3"/>
    <w:rsid w:val="006D289F"/>
    <w:rsid w:val="006E4088"/>
    <w:rsid w:val="006F23E8"/>
    <w:rsid w:val="006F36A5"/>
    <w:rsid w:val="00701FDE"/>
    <w:rsid w:val="00703C0B"/>
    <w:rsid w:val="00711E7C"/>
    <w:rsid w:val="007175FA"/>
    <w:rsid w:val="00726B37"/>
    <w:rsid w:val="00727C72"/>
    <w:rsid w:val="00732F0E"/>
    <w:rsid w:val="00736619"/>
    <w:rsid w:val="00737BCB"/>
    <w:rsid w:val="00746678"/>
    <w:rsid w:val="00752341"/>
    <w:rsid w:val="00754C90"/>
    <w:rsid w:val="007609FA"/>
    <w:rsid w:val="007614BC"/>
    <w:rsid w:val="007812CC"/>
    <w:rsid w:val="00783098"/>
    <w:rsid w:val="007A05B1"/>
    <w:rsid w:val="007A1743"/>
    <w:rsid w:val="007A4C59"/>
    <w:rsid w:val="007B100D"/>
    <w:rsid w:val="007B5C12"/>
    <w:rsid w:val="007B7D18"/>
    <w:rsid w:val="007D52F2"/>
    <w:rsid w:val="00801052"/>
    <w:rsid w:val="00805DA8"/>
    <w:rsid w:val="00814163"/>
    <w:rsid w:val="008141E0"/>
    <w:rsid w:val="00817279"/>
    <w:rsid w:val="00817B90"/>
    <w:rsid w:val="0082023F"/>
    <w:rsid w:val="00820A2E"/>
    <w:rsid w:val="00831AFA"/>
    <w:rsid w:val="0083281E"/>
    <w:rsid w:val="0083635C"/>
    <w:rsid w:val="00840889"/>
    <w:rsid w:val="0084493C"/>
    <w:rsid w:val="00860B26"/>
    <w:rsid w:val="00876BEA"/>
    <w:rsid w:val="00880CEB"/>
    <w:rsid w:val="008842D2"/>
    <w:rsid w:val="0088537D"/>
    <w:rsid w:val="00893751"/>
    <w:rsid w:val="00893C4F"/>
    <w:rsid w:val="008A2F93"/>
    <w:rsid w:val="008A33DA"/>
    <w:rsid w:val="008A4CEC"/>
    <w:rsid w:val="008B1C0A"/>
    <w:rsid w:val="008B29FE"/>
    <w:rsid w:val="008B57C9"/>
    <w:rsid w:val="008C0A9D"/>
    <w:rsid w:val="008C4B98"/>
    <w:rsid w:val="008C53F2"/>
    <w:rsid w:val="008C58E8"/>
    <w:rsid w:val="008C5D77"/>
    <w:rsid w:val="008D0B29"/>
    <w:rsid w:val="008D3109"/>
    <w:rsid w:val="008E4C81"/>
    <w:rsid w:val="008E4E93"/>
    <w:rsid w:val="008E6B0C"/>
    <w:rsid w:val="008F22A7"/>
    <w:rsid w:val="008F5D6C"/>
    <w:rsid w:val="009058C6"/>
    <w:rsid w:val="00910E73"/>
    <w:rsid w:val="009114C6"/>
    <w:rsid w:val="009153F8"/>
    <w:rsid w:val="00917A71"/>
    <w:rsid w:val="0092051B"/>
    <w:rsid w:val="00922AF7"/>
    <w:rsid w:val="00923B34"/>
    <w:rsid w:val="00926A21"/>
    <w:rsid w:val="00942074"/>
    <w:rsid w:val="00944828"/>
    <w:rsid w:val="00946A66"/>
    <w:rsid w:val="00950328"/>
    <w:rsid w:val="00952C75"/>
    <w:rsid w:val="00953B13"/>
    <w:rsid w:val="00953E7F"/>
    <w:rsid w:val="00962D03"/>
    <w:rsid w:val="009645B4"/>
    <w:rsid w:val="00977ACE"/>
    <w:rsid w:val="00983086"/>
    <w:rsid w:val="00986D7A"/>
    <w:rsid w:val="0099084A"/>
    <w:rsid w:val="00992273"/>
    <w:rsid w:val="009928D1"/>
    <w:rsid w:val="0099431E"/>
    <w:rsid w:val="009A3EC6"/>
    <w:rsid w:val="009A5644"/>
    <w:rsid w:val="009B4CA3"/>
    <w:rsid w:val="009C3089"/>
    <w:rsid w:val="009C3F3C"/>
    <w:rsid w:val="009C61E8"/>
    <w:rsid w:val="009D0A69"/>
    <w:rsid w:val="009E56E2"/>
    <w:rsid w:val="009F125B"/>
    <w:rsid w:val="00A150C3"/>
    <w:rsid w:val="00A16ED2"/>
    <w:rsid w:val="00A2234D"/>
    <w:rsid w:val="00A2329E"/>
    <w:rsid w:val="00A246CA"/>
    <w:rsid w:val="00A44F1D"/>
    <w:rsid w:val="00A47DC4"/>
    <w:rsid w:val="00A543D2"/>
    <w:rsid w:val="00A66B01"/>
    <w:rsid w:val="00A70134"/>
    <w:rsid w:val="00A729F4"/>
    <w:rsid w:val="00A83891"/>
    <w:rsid w:val="00A96F4E"/>
    <w:rsid w:val="00AA21D0"/>
    <w:rsid w:val="00AC3446"/>
    <w:rsid w:val="00AD17D6"/>
    <w:rsid w:val="00AD3FD9"/>
    <w:rsid w:val="00AE044F"/>
    <w:rsid w:val="00AE0AD0"/>
    <w:rsid w:val="00AE56DB"/>
    <w:rsid w:val="00AE5B38"/>
    <w:rsid w:val="00B029BD"/>
    <w:rsid w:val="00B07CE1"/>
    <w:rsid w:val="00B07D99"/>
    <w:rsid w:val="00B24687"/>
    <w:rsid w:val="00B30BD5"/>
    <w:rsid w:val="00B4535B"/>
    <w:rsid w:val="00B51054"/>
    <w:rsid w:val="00B51885"/>
    <w:rsid w:val="00B540A0"/>
    <w:rsid w:val="00B82906"/>
    <w:rsid w:val="00B92B77"/>
    <w:rsid w:val="00B953C5"/>
    <w:rsid w:val="00BA1597"/>
    <w:rsid w:val="00BB6A1C"/>
    <w:rsid w:val="00BC029E"/>
    <w:rsid w:val="00BC48E8"/>
    <w:rsid w:val="00BC5A6F"/>
    <w:rsid w:val="00BC5EF8"/>
    <w:rsid w:val="00BC7D25"/>
    <w:rsid w:val="00BD2D72"/>
    <w:rsid w:val="00BE602E"/>
    <w:rsid w:val="00BF5D58"/>
    <w:rsid w:val="00C00414"/>
    <w:rsid w:val="00C01A88"/>
    <w:rsid w:val="00C0765D"/>
    <w:rsid w:val="00C07D2E"/>
    <w:rsid w:val="00C1025C"/>
    <w:rsid w:val="00C23797"/>
    <w:rsid w:val="00C4163C"/>
    <w:rsid w:val="00C42428"/>
    <w:rsid w:val="00C4316C"/>
    <w:rsid w:val="00C63396"/>
    <w:rsid w:val="00C65372"/>
    <w:rsid w:val="00C731D8"/>
    <w:rsid w:val="00C734E0"/>
    <w:rsid w:val="00C768BB"/>
    <w:rsid w:val="00C77E21"/>
    <w:rsid w:val="00C8053F"/>
    <w:rsid w:val="00C8335B"/>
    <w:rsid w:val="00CA13B2"/>
    <w:rsid w:val="00CB0923"/>
    <w:rsid w:val="00CC129D"/>
    <w:rsid w:val="00CE1418"/>
    <w:rsid w:val="00CE4D3A"/>
    <w:rsid w:val="00CE73A3"/>
    <w:rsid w:val="00CF343E"/>
    <w:rsid w:val="00CF79B6"/>
    <w:rsid w:val="00D004C8"/>
    <w:rsid w:val="00D16CA7"/>
    <w:rsid w:val="00D268CD"/>
    <w:rsid w:val="00D31404"/>
    <w:rsid w:val="00D406DC"/>
    <w:rsid w:val="00D43B68"/>
    <w:rsid w:val="00D45D68"/>
    <w:rsid w:val="00D45EC9"/>
    <w:rsid w:val="00D47F52"/>
    <w:rsid w:val="00D52083"/>
    <w:rsid w:val="00D63813"/>
    <w:rsid w:val="00D649B3"/>
    <w:rsid w:val="00D7317A"/>
    <w:rsid w:val="00D77B5C"/>
    <w:rsid w:val="00D86E88"/>
    <w:rsid w:val="00D94B9C"/>
    <w:rsid w:val="00DA0F1A"/>
    <w:rsid w:val="00DB73AF"/>
    <w:rsid w:val="00DC0B4F"/>
    <w:rsid w:val="00DD35E4"/>
    <w:rsid w:val="00DD686A"/>
    <w:rsid w:val="00DE22C9"/>
    <w:rsid w:val="00DE4B4A"/>
    <w:rsid w:val="00DF7334"/>
    <w:rsid w:val="00E0352E"/>
    <w:rsid w:val="00E0709E"/>
    <w:rsid w:val="00E134E4"/>
    <w:rsid w:val="00E14E6B"/>
    <w:rsid w:val="00E202B8"/>
    <w:rsid w:val="00E4207B"/>
    <w:rsid w:val="00E53616"/>
    <w:rsid w:val="00E55873"/>
    <w:rsid w:val="00E62274"/>
    <w:rsid w:val="00E62879"/>
    <w:rsid w:val="00E6488F"/>
    <w:rsid w:val="00E66300"/>
    <w:rsid w:val="00E67650"/>
    <w:rsid w:val="00E70E7F"/>
    <w:rsid w:val="00E851E8"/>
    <w:rsid w:val="00E96125"/>
    <w:rsid w:val="00EA3863"/>
    <w:rsid w:val="00EC4C65"/>
    <w:rsid w:val="00ED032B"/>
    <w:rsid w:val="00ED4E6F"/>
    <w:rsid w:val="00EE7D67"/>
    <w:rsid w:val="00EF016F"/>
    <w:rsid w:val="00F04F3B"/>
    <w:rsid w:val="00F05C19"/>
    <w:rsid w:val="00F137AC"/>
    <w:rsid w:val="00F1423F"/>
    <w:rsid w:val="00F17728"/>
    <w:rsid w:val="00F23AD9"/>
    <w:rsid w:val="00F3332E"/>
    <w:rsid w:val="00F374D2"/>
    <w:rsid w:val="00F400BF"/>
    <w:rsid w:val="00F4027E"/>
    <w:rsid w:val="00F40B57"/>
    <w:rsid w:val="00F44845"/>
    <w:rsid w:val="00F549FA"/>
    <w:rsid w:val="00F55565"/>
    <w:rsid w:val="00F6093A"/>
    <w:rsid w:val="00F814B9"/>
    <w:rsid w:val="00F8217A"/>
    <w:rsid w:val="00F852FF"/>
    <w:rsid w:val="00FA0150"/>
    <w:rsid w:val="00FA75C3"/>
    <w:rsid w:val="00FC1A6A"/>
    <w:rsid w:val="00FC39EA"/>
    <w:rsid w:val="00FE139A"/>
    <w:rsid w:val="00FF27E3"/>
    <w:rsid w:val="00FF4B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3ED256"/>
  <w15:docId w15:val="{83608B9C-C1A1-4996-BFD6-3B2300B4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1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8D1"/>
    <w:pPr>
      <w:ind w:left="720"/>
      <w:contextualSpacing/>
    </w:pPr>
  </w:style>
  <w:style w:type="character" w:styleId="CommentReference">
    <w:name w:val="annotation reference"/>
    <w:basedOn w:val="DefaultParagraphFont"/>
    <w:uiPriority w:val="99"/>
    <w:semiHidden/>
    <w:unhideWhenUsed/>
    <w:rsid w:val="00D649B3"/>
    <w:rPr>
      <w:sz w:val="16"/>
      <w:szCs w:val="16"/>
    </w:rPr>
  </w:style>
  <w:style w:type="paragraph" w:styleId="CommentText">
    <w:name w:val="annotation text"/>
    <w:basedOn w:val="Normal"/>
    <w:link w:val="CommentTextChar"/>
    <w:uiPriority w:val="99"/>
    <w:unhideWhenUsed/>
    <w:rsid w:val="00D649B3"/>
    <w:pPr>
      <w:spacing w:line="240" w:lineRule="auto"/>
    </w:pPr>
    <w:rPr>
      <w:sz w:val="20"/>
      <w:szCs w:val="20"/>
    </w:rPr>
  </w:style>
  <w:style w:type="character" w:customStyle="1" w:styleId="CommentTextChar">
    <w:name w:val="Comment Text Char"/>
    <w:basedOn w:val="DefaultParagraphFont"/>
    <w:link w:val="CommentText"/>
    <w:uiPriority w:val="99"/>
    <w:rsid w:val="00D649B3"/>
    <w:rPr>
      <w:sz w:val="20"/>
      <w:szCs w:val="20"/>
    </w:rPr>
  </w:style>
  <w:style w:type="paragraph" w:styleId="CommentSubject">
    <w:name w:val="annotation subject"/>
    <w:basedOn w:val="CommentText"/>
    <w:next w:val="CommentText"/>
    <w:link w:val="CommentSubjectChar"/>
    <w:uiPriority w:val="99"/>
    <w:semiHidden/>
    <w:unhideWhenUsed/>
    <w:rsid w:val="00D649B3"/>
    <w:rPr>
      <w:b/>
      <w:bCs/>
    </w:rPr>
  </w:style>
  <w:style w:type="character" w:customStyle="1" w:styleId="CommentSubjectChar">
    <w:name w:val="Comment Subject Char"/>
    <w:basedOn w:val="CommentTextChar"/>
    <w:link w:val="CommentSubject"/>
    <w:uiPriority w:val="99"/>
    <w:semiHidden/>
    <w:rsid w:val="00D649B3"/>
    <w:rPr>
      <w:b/>
      <w:bCs/>
      <w:sz w:val="20"/>
      <w:szCs w:val="20"/>
    </w:rPr>
  </w:style>
  <w:style w:type="paragraph" w:styleId="BalloonText">
    <w:name w:val="Balloon Text"/>
    <w:basedOn w:val="Normal"/>
    <w:link w:val="BalloonTextChar"/>
    <w:uiPriority w:val="99"/>
    <w:semiHidden/>
    <w:unhideWhenUsed/>
    <w:rsid w:val="00D64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9B3"/>
    <w:rPr>
      <w:rFonts w:ascii="Segoe UI" w:hAnsi="Segoe UI" w:cs="Segoe UI"/>
      <w:sz w:val="18"/>
      <w:szCs w:val="18"/>
    </w:rPr>
  </w:style>
  <w:style w:type="paragraph" w:styleId="Revision">
    <w:name w:val="Revision"/>
    <w:hidden/>
    <w:uiPriority w:val="99"/>
    <w:semiHidden/>
    <w:rsid w:val="00187413"/>
    <w:pPr>
      <w:spacing w:after="0" w:line="240" w:lineRule="auto"/>
    </w:pPr>
  </w:style>
  <w:style w:type="numbering" w:customStyle="1" w:styleId="CurrentList1">
    <w:name w:val="Current List1"/>
    <w:uiPriority w:val="99"/>
    <w:rsid w:val="007B7D18"/>
    <w:pPr>
      <w:numPr>
        <w:numId w:val="23"/>
      </w:numPr>
    </w:pPr>
  </w:style>
  <w:style w:type="numbering" w:customStyle="1" w:styleId="CurrentList2">
    <w:name w:val="Current List2"/>
    <w:uiPriority w:val="99"/>
    <w:rsid w:val="003F2169"/>
    <w:pPr>
      <w:numPr>
        <w:numId w:val="25"/>
      </w:numPr>
    </w:pPr>
  </w:style>
  <w:style w:type="table" w:styleId="TableGrid">
    <w:name w:val="Table Grid"/>
    <w:basedOn w:val="TableNormal"/>
    <w:uiPriority w:val="39"/>
    <w:rsid w:val="00C731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057"/>
    <w:rPr>
      <w:color w:val="0563C1" w:themeColor="hyperlink"/>
      <w:u w:val="single"/>
    </w:rPr>
  </w:style>
  <w:style w:type="character" w:styleId="UnresolvedMention">
    <w:name w:val="Unresolved Mention"/>
    <w:basedOn w:val="DefaultParagraphFont"/>
    <w:uiPriority w:val="99"/>
    <w:semiHidden/>
    <w:unhideWhenUsed/>
    <w:rsid w:val="00155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5F0910-F001-4107-A740-D073B380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1223</Words>
  <Characters>6977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USOGE</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J. Bortot</dc:creator>
  <cp:lastModifiedBy>Jody Keegan</cp:lastModifiedBy>
  <cp:revision>9</cp:revision>
  <dcterms:created xsi:type="dcterms:W3CDTF">2024-05-14T14:37:00Z</dcterms:created>
  <dcterms:modified xsi:type="dcterms:W3CDTF">2024-05-15T14:43:00Z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ab63a3ee-32b4-4855-8de2-dc232c2f54a4</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2023-11-16T01:44:11Z</vt:lpwstr>
  </property>
  <property fmtid="{D5CDD505-2E9C-101B-9397-08002B2CF9AE}" pid="8" name="MSIP_Label_defa4170-0d19-0005-0004-bc88714345d2_SiteId">
    <vt:lpwstr>c0abca44-0182-40a9-8010-01ec94254f77</vt:lpwstr>
  </property>
</Properties>
</file>