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27D9" w:rsidRPr="003D27D9" w:rsidP="003D27D9" w14:paraId="37DDE39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U. S. OFFICE OF GOVERNMENT ETHICS</w:t>
      </w:r>
    </w:p>
    <w:p w:rsidR="003D27D9" w:rsidRPr="003D27D9" w:rsidP="003D27D9" w14:paraId="5671985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SUPPORTING STATEMENT FOR FAST TRACK GENERIC CLEARANCE FOR THE</w:t>
      </w:r>
    </w:p>
    <w:p w:rsidR="003D27D9" w:rsidRPr="003D27D9" w:rsidP="003D27D9" w14:paraId="5EEDEBB7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COLLECTION OF QUALITATIVE FEEDBACK ON AGENCY SERVICE DELIVERY</w:t>
      </w:r>
    </w:p>
    <w:p w:rsidR="003D27D9" w:rsidRPr="003D27D9" w:rsidP="003D27D9" w14:paraId="6878A877" w14:textId="62B8EAE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September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202</w:t>
      </w:r>
      <w:r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4</w:t>
      </w:r>
    </w:p>
    <w:p w:rsidR="003D27D9" w:rsidP="003D27D9" w14:paraId="5ECE8EAC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RPr="003D27D9" w:rsidP="003D27D9" w14:paraId="77E3C707" w14:textId="3B2D958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A. Justification</w:t>
      </w:r>
    </w:p>
    <w:p w:rsidR="003D27D9" w:rsidP="003D27D9" w14:paraId="1512DDC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RPr="003D27D9" w:rsidP="003D27D9" w14:paraId="785743A9" w14:textId="3544378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1.-2. Explain the circumstances that make the collection of information necessary.</w:t>
      </w:r>
    </w:p>
    <w:p w:rsidR="003D27D9" w:rsidRPr="003D27D9" w:rsidP="003D27D9" w14:paraId="46CBAECB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Indicate how, by whom, and for what purpose the information is to be used. Except</w:t>
      </w:r>
    </w:p>
    <w:p w:rsidR="003D27D9" w:rsidRPr="003D27D9" w:rsidP="003D27D9" w14:paraId="0EFD7A17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for a new collection, indicate the actual use the agency has made of the information</w:t>
      </w:r>
    </w:p>
    <w:p w:rsidR="003D27D9" w:rsidP="003D27D9" w14:paraId="2D417DC1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received from the current collection.</w:t>
      </w:r>
    </w:p>
    <w:p w:rsidR="003D27D9" w:rsidRPr="003D27D9" w:rsidP="003D27D9" w14:paraId="0A212678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75A019CD" w14:textId="1D2752E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Executive Order 12862 (Sept. 11, 1993) directs Federal agencies to provide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service to the public that matches or exceeds the best service available in the private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sector.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To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ensure that the agency is effective and meeting our users’ needs, the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U.S. Office of Government Ethics (OGE) seeks to obtain OMB approval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to extend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a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G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eneric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learance to collect qualitative feedback on our products and services. If this information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is not collected, vital feedback from stakeholders on the agency’s services will be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unavailable.</w:t>
      </w:r>
    </w:p>
    <w:p w:rsidR="003D27D9" w:rsidRPr="003D27D9" w:rsidP="003D27D9" w14:paraId="4B356259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5E5E92B4" w14:textId="3E5035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 expects to use various methods (e.g., focus groups, satisfaction surveys) to solicit feedback. Responses will be assessed to plan and inform efforts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 improve or maintain the quality of service offered to the public and other agency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stakeholders. This feedback will provide insights into stakeholder perceptions,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experiences, and expectations, provide an early warning of issues with service, and focus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attention on areas where communication, training, or changes in operations might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improve delivery of products or services. These collections will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llow for ongoing,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collaborative, and actionable communications between the agency and its stakeholders. It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will also allow feedback to contribute directly to the improvement of program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management.</w:t>
      </w:r>
    </w:p>
    <w:p w:rsidR="003D27D9" w:rsidRPr="003D27D9" w:rsidP="003D27D9" w14:paraId="43565FF4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3E989C2D" w14:textId="506A6C6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The agency will only submit a collection for approval under this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G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eneric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C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learance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it meets the following conditions:</w:t>
      </w:r>
    </w:p>
    <w:p w:rsidR="003D27D9" w:rsidRPr="003D27D9" w:rsidP="003D27D9" w14:paraId="7FAC4BA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The collections are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voluntary;</w:t>
      </w:r>
    </w:p>
    <w:p w:rsidR="003D27D9" w:rsidRPr="003D27D9" w:rsidP="003D27D9" w14:paraId="2735248F" w14:textId="2C6E09D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The collections are low-burden for respondents (based on considerations of total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burden hours, total number of respondents, or burden-hours per respondent) and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are low-cost for both the respondents and the Federal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Government;</w:t>
      </w:r>
    </w:p>
    <w:p w:rsidR="003D27D9" w:rsidRPr="003D27D9" w:rsidP="003D27D9" w14:paraId="3CC83E91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The collections are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noncontroversial;</w:t>
      </w:r>
    </w:p>
    <w:p w:rsidR="003D27D9" w:rsidRPr="003D27D9" w:rsidP="003D27D9" w14:paraId="2708A778" w14:textId="0028DC3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The collections are focused on the awareness, understanding, attitudes,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preferences, or experiences of the public or other stakeholders in order to improve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existing or future services,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roducts, or communication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materials;</w:t>
      </w:r>
    </w:p>
    <w:p w:rsidR="003D27D9" w:rsidRPr="003D27D9" w:rsidP="003D27D9" w14:paraId="120D6AB5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Personally identifiable information (PII) is collected only to the extent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necessary;</w:t>
      </w:r>
    </w:p>
    <w:p w:rsidR="003D27D9" w:rsidRPr="003D27D9" w:rsidP="003D27D9" w14:paraId="0FD19AF8" w14:textId="629C9B7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Information gathered will be used only internally for general service improvement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and program management purposes and is not intended for release to the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public;</w:t>
      </w:r>
    </w:p>
    <w:p w:rsidR="003D27D9" w:rsidRPr="003D27D9" w:rsidP="003D27D9" w14:paraId="74C794E5" w14:textId="258217B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Information gathered will not be used for the purpose of substantially informing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influential policy decisions; and</w:t>
      </w:r>
    </w:p>
    <w:p w:rsidR="003D27D9" w:rsidP="003D27D9" w14:paraId="2B43C0BC" w14:textId="222AF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Information gathered will yield qualitative information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, and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the collections will not be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designed or expected to yield statistically reliable results or used as though the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results are generalizable to the population of study.</w:t>
      </w:r>
    </w:p>
    <w:p w:rsidR="00A107C5" w:rsidP="003D27D9" w14:paraId="0E04B3D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4B259187" w14:textId="6E382F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these conditions are not met, OGE will submit an information collection request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 OMB for approval through the normal PRA process.</w:t>
      </w:r>
    </w:p>
    <w:p w:rsidR="003D27D9" w:rsidRPr="003D27D9" w:rsidP="003D27D9" w14:paraId="048740D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08CFBACF" w14:textId="17AC108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To obtain approval for a collection that meets the conditions of this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G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eneric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learance, a new generic information collection will be submitted to OMB along with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supporting documentation (e.g., a copy of the comment card). Under OMB’s Fast Track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Process, approval will be automatically granted within five business days from receipt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unless OMB raises concerns.</w:t>
      </w:r>
    </w:p>
    <w:p w:rsidR="00725C4E" w:rsidP="003D27D9" w14:paraId="35A62C3A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725C4E" w:rsidP="003D27D9" w14:paraId="4300F205" w14:textId="05AF5CB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OGE currently has one collection approved under this Generic Clearance and is resubmitting it for re-approval with this Generic Clearance. </w:t>
      </w:r>
      <w:r w:rsidRPr="00725C4E">
        <w:rPr>
          <w:rFonts w:ascii="TimesNewRomanPSMT" w:hAnsi="TimesNewRomanPSMT" w:cs="TimesNewRomanPSMT"/>
          <w:color w:val="000000"/>
          <w:kern w:val="0"/>
          <w:sz w:val="24"/>
          <w:szCs w:val="24"/>
        </w:rPr>
        <w:t>This information collection is a voluntary user feedback survey directed at individuals who have visited the webpage for the OGE Form 201 Request for Ethics Records and/or submitted a request.</w:t>
      </w:r>
    </w:p>
    <w:p w:rsidR="00A107C5" w:rsidRPr="003D27D9" w:rsidP="003D27D9" w14:paraId="75E9BDFE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243E42A9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3. Describe whether, and to what extent, the collection of information involves the</w:t>
      </w:r>
    </w:p>
    <w:p w:rsidR="003D27D9" w:rsidRPr="003D27D9" w:rsidP="003D27D9" w14:paraId="03900E5D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use of automated, electronic, mechanical, or other technological collection</w:t>
      </w:r>
    </w:p>
    <w:p w:rsidR="003D27D9" w:rsidP="003D27D9" w14:paraId="4883A568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techniques or other forms of information technology.</w:t>
      </w:r>
    </w:p>
    <w:p w:rsidR="0088621E" w:rsidRPr="003D27D9" w:rsidP="003D27D9" w14:paraId="3E64D615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380A69D3" w14:textId="3D5A53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appropriate, OGE will collect information electronically and/or use online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collaboration tools to reduce burden. For example, website feedback surveys would be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collected electronically. OGE attempts to collect and manage information electronically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whenever possible to reduce the burden on the public and its other stakeholders,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as well as for administrative efficiency.</w:t>
      </w:r>
    </w:p>
    <w:p w:rsidR="00A107C5" w:rsidRPr="003D27D9" w:rsidP="003D27D9" w14:paraId="7E779E97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028AA6DD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4. Describe efforts to identify duplication. Show specifically why any similar</w:t>
      </w:r>
    </w:p>
    <w:p w:rsidR="003D27D9" w:rsidRPr="003D27D9" w:rsidP="003D27D9" w14:paraId="1C300C48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information already available cannot be used or modified for use for the purposes</w:t>
      </w:r>
    </w:p>
    <w:p w:rsidR="003D27D9" w:rsidP="003D27D9" w14:paraId="7A53EF2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described in item 2 above.</w:t>
      </w:r>
    </w:p>
    <w:p w:rsidR="00A107C5" w:rsidRPr="003D27D9" w:rsidP="003D27D9" w14:paraId="624D9250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779835FC" w14:textId="579230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 similar information is gathered or maintained by OGE or is available from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other sources known to OGE.</w:t>
      </w:r>
    </w:p>
    <w:p w:rsidR="00A107C5" w:rsidRPr="003D27D9" w:rsidP="003D27D9" w14:paraId="05FE0055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255BF265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5. If the collection of information impacts small businesses or other small entities,</w:t>
      </w:r>
    </w:p>
    <w:p w:rsidR="003D27D9" w:rsidP="003D27D9" w14:paraId="536ED6A5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describe any methods used to minimize burden.</w:t>
      </w:r>
    </w:p>
    <w:p w:rsidR="00A107C5" w:rsidRPr="003D27D9" w:rsidP="003D27D9" w14:paraId="76321009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A107C5" w:rsidP="003D27D9" w14:paraId="530B1499" w14:textId="319162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It is unlikely that small businesses or other small entities will be involved in these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efforts. OGE will minimize burden resulting from information collections approved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under this clearance through sampling, asking for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readily-available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information, and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using short, easy-to-complete information collection instruments.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</w:p>
    <w:p w:rsidR="00A107C5" w:rsidRPr="003D27D9" w:rsidP="003D27D9" w14:paraId="2E7C1FF0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5013D8BF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6. Describe the consequence to Federal program or policy activities if the collection</w:t>
      </w:r>
    </w:p>
    <w:p w:rsidR="003D27D9" w:rsidP="003D27D9" w14:paraId="69A632D0" w14:textId="15C0AD0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is not conducted or is conducted less frequently, as well as any technical or legal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obstacles to reducing the burden.</w:t>
      </w:r>
    </w:p>
    <w:p w:rsidR="00A107C5" w:rsidRPr="00A107C5" w:rsidP="003D27D9" w14:paraId="61CC1D00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6E4965BE" w14:textId="7D2E88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this information is not collected, vital feedback from stakeholders on the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agency’s services will be unavailable, and OGE will not have timely information to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adjust its services to meet stakeholder needs.</w:t>
      </w:r>
    </w:p>
    <w:p w:rsidR="00A107C5" w:rsidRPr="003D27D9" w:rsidP="003D27D9" w14:paraId="7609F4A5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10D129A1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7. Explain any special circumstances that would cause an information collection to</w:t>
      </w:r>
    </w:p>
    <w:p w:rsidR="003D27D9" w:rsidRPr="003D27D9" w:rsidP="003D27D9" w14:paraId="4336C5DA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be conducted in a manner:</w:t>
      </w:r>
    </w:p>
    <w:p w:rsidR="003D27D9" w:rsidRPr="003D27D9" w:rsidP="003D27D9" w14:paraId="6CF24700" w14:textId="042CCA4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Requiring respondents to report information to the agency more often than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quarterly;</w:t>
      </w:r>
    </w:p>
    <w:p w:rsidR="003D27D9" w:rsidRPr="003D27D9" w:rsidP="003D27D9" w14:paraId="3ADD64D1" w14:textId="45C2C06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Requiring respondents to prepare a written response to a collection of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information in fewer than 30 days after receipt of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it;</w:t>
      </w:r>
    </w:p>
    <w:p w:rsidR="003D27D9" w:rsidRPr="003D27D9" w:rsidP="003D27D9" w14:paraId="50B7E2EF" w14:textId="52364E7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Requiring respondents to submit more than an original and two copies of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any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document;</w:t>
      </w:r>
    </w:p>
    <w:p w:rsidR="003D27D9" w:rsidRPr="003D27D9" w:rsidP="003D27D9" w14:paraId="74CEE4FD" w14:textId="56157B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Requiring respondents to retain records, other than health, medical,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government contract, grant-in-aid, or tax records, for more than 3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years;</w:t>
      </w:r>
    </w:p>
    <w:p w:rsidR="003D27D9" w:rsidRPr="003D27D9" w:rsidP="003D27D9" w14:paraId="19CF6A5B" w14:textId="0346259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In connection with a statistical survey, that is not designed to produce valid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and reliable results that can be generalized to the universe of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study;</w:t>
      </w:r>
    </w:p>
    <w:p w:rsidR="003D27D9" w:rsidRPr="003D27D9" w:rsidP="003D27D9" w14:paraId="573F7531" w14:textId="27B4CEA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Requiring the use of a statistical data classification that has not been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reviewed and approved by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OMB;</w:t>
      </w:r>
    </w:p>
    <w:p w:rsidR="003D27D9" w:rsidRPr="003D27D9" w:rsidP="003D27D9" w14:paraId="0741B926" w14:textId="46AE787E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That includes a pledge of confidentiality that is not supported by authority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established in statute or regulation, that is not supported by disclosure and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data security policies that are consistent with the pledge, or that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unnecessarily impedes sharing of data with other 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a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gencies for compatible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confidential use; or</w:t>
      </w:r>
    </w:p>
    <w:p w:rsidR="003D27D9" w:rsidP="003D27D9" w14:paraId="3759D0AB" w14:textId="240CEE2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SymbolMT" w:hAnsi="SymbolMT" w:cs="SymbolMT"/>
          <w:color w:val="000000"/>
          <w:kern w:val="0"/>
          <w:sz w:val="24"/>
          <w:szCs w:val="24"/>
        </w:rPr>
        <w:t xml:space="preserve">•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Requiring respondents to submit proprietary trade secrets or other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confidential information unless the agency can demonstrate that it has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instituted procedures to protect the information's confidentiality to the</w:t>
      </w:r>
      <w:r w:rsidR="00A107C5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extent permitted by law.</w:t>
      </w:r>
    </w:p>
    <w:p w:rsidR="00A107C5" w:rsidRPr="003D27D9" w:rsidP="003D27D9" w14:paraId="139B39EC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0BA6F79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 such special circumstances exist.</w:t>
      </w:r>
    </w:p>
    <w:p w:rsidR="00A107C5" w:rsidRPr="003D27D9" w:rsidP="003D27D9" w14:paraId="197684BF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1F75B3BA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8. If applicable, provide a copy and identify the date and page number of</w:t>
      </w:r>
    </w:p>
    <w:p w:rsidR="003D27D9" w:rsidRPr="003D27D9" w:rsidP="003D27D9" w14:paraId="017CA5D0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 xml:space="preserve">publication in the </w:t>
      </w:r>
      <w:r w:rsidRPr="003D27D9">
        <w:rPr>
          <w:rFonts w:ascii="TimesNewRomanPS-BoldItalicMT" w:hAnsi="TimesNewRomanPS-BoldItalicMT" w:cs="TimesNewRomanPS-BoldItalicMT"/>
          <w:b/>
          <w:bCs/>
          <w:i/>
          <w:iCs/>
          <w:color w:val="000000"/>
          <w:kern w:val="0"/>
          <w:sz w:val="24"/>
          <w:szCs w:val="24"/>
        </w:rPr>
        <w:t xml:space="preserve">Federal Register </w:t>
      </w: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of the agency's notice, required by 5 CFR</w:t>
      </w:r>
    </w:p>
    <w:p w:rsidR="003D27D9" w:rsidRPr="003D27D9" w:rsidP="003D27D9" w14:paraId="25F1DBBB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1320.8(d), soliciting comments on the information collection prior to submission to</w:t>
      </w:r>
    </w:p>
    <w:p w:rsidR="003D27D9" w:rsidP="003D27D9" w14:paraId="4A874D21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OMB.</w:t>
      </w:r>
    </w:p>
    <w:p w:rsidR="00A107C5" w:rsidRPr="003D27D9" w:rsidP="003D27D9" w14:paraId="171D4418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1382F7D1" w14:textId="4C726E1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OGE published a first round </w:t>
      </w:r>
      <w:r w:rsidRPr="003D27D9">
        <w:rPr>
          <w:rFonts w:ascii="TimesNewRomanPS-ItalicMT" w:hAnsi="TimesNewRomanPS-ItalicMT" w:cs="TimesNewRomanPS-ItalicMT"/>
          <w:i/>
          <w:iCs/>
          <w:color w:val="000000"/>
          <w:kern w:val="0"/>
          <w:sz w:val="24"/>
          <w:szCs w:val="24"/>
        </w:rPr>
        <w:t xml:space="preserve">Federal Register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notice soliciting comments on this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information collection on </w:t>
      </w:r>
      <w:r w:rsidR="00725C4E">
        <w:rPr>
          <w:rFonts w:ascii="TimesNewRomanPSMT" w:hAnsi="TimesNewRomanPSMT" w:cs="TimesNewRomanPSMT"/>
          <w:kern w:val="0"/>
          <w:sz w:val="24"/>
          <w:szCs w:val="24"/>
        </w:rPr>
        <w:t>June 17, 2024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 w:rsidRPr="00A107C5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See </w:t>
      </w:r>
      <w:r w:rsidRPr="00725C4E" w:rsidR="00725C4E">
        <w:rPr>
          <w:rFonts w:ascii="TimesNewRomanPSMT" w:hAnsi="TimesNewRomanPSMT" w:cs="TimesNewRomanPSMT"/>
          <w:kern w:val="0"/>
          <w:sz w:val="24"/>
          <w:szCs w:val="24"/>
        </w:rPr>
        <w:t>89 FR 51344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>. OGE did not receive any</w:t>
      </w:r>
      <w:r w:rsidR="00A107C5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 xml:space="preserve">comments in response. OGE published a second round </w:t>
      </w:r>
      <w:r w:rsidRPr="00A107C5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Federal Register 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>notice soliciting</w:t>
      </w:r>
      <w:r w:rsidR="00A107C5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>comments to be directed to</w:t>
      </w:r>
      <w:r w:rsidR="00A107C5">
        <w:rPr>
          <w:rFonts w:ascii="TimesNewRomanPSMT" w:hAnsi="TimesNewRomanPSMT" w:cs="TimesNewRomanPSMT"/>
          <w:kern w:val="0"/>
          <w:sz w:val="24"/>
          <w:szCs w:val="24"/>
        </w:rPr>
        <w:t xml:space="preserve"> 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 xml:space="preserve">reginfo.gov on </w:t>
      </w:r>
      <w:r w:rsidR="00C40027">
        <w:rPr>
          <w:rFonts w:ascii="TimesNewRomanPSMT" w:hAnsi="TimesNewRomanPSMT" w:cs="TimesNewRomanPSMT"/>
          <w:kern w:val="0"/>
          <w:sz w:val="24"/>
          <w:szCs w:val="24"/>
        </w:rPr>
        <w:t>September 10, 2024</w:t>
      </w:r>
      <w:r w:rsidRPr="00A107C5">
        <w:rPr>
          <w:rFonts w:ascii="TimesNewRomanPSMT" w:hAnsi="TimesNewRomanPSMT" w:cs="TimesNewRomanPSMT"/>
          <w:kern w:val="0"/>
          <w:sz w:val="24"/>
          <w:szCs w:val="24"/>
        </w:rPr>
        <w:t xml:space="preserve">. </w:t>
      </w:r>
      <w:r w:rsidRPr="00A107C5">
        <w:rPr>
          <w:rFonts w:ascii="TimesNewRomanPS-ItalicMT" w:hAnsi="TimesNewRomanPS-ItalicMT" w:cs="TimesNewRomanPS-ItalicMT"/>
          <w:i/>
          <w:iCs/>
          <w:kern w:val="0"/>
          <w:sz w:val="24"/>
          <w:szCs w:val="24"/>
        </w:rPr>
        <w:t xml:space="preserve">See </w:t>
      </w:r>
      <w:r w:rsidRPr="00C40027" w:rsidR="00C40027">
        <w:rPr>
          <w:rFonts w:ascii="TimesNewRomanPS-ItalicMT" w:hAnsi="TimesNewRomanPS-ItalicMT" w:cs="TimesNewRomanPS-ItalicMT"/>
          <w:kern w:val="0"/>
          <w:sz w:val="24"/>
          <w:szCs w:val="24"/>
        </w:rPr>
        <w:t>89 FR 73419</w:t>
      </w:r>
      <w:r w:rsidRPr="00C40027">
        <w:rPr>
          <w:rFonts w:ascii="TimesNewRomanPSMT" w:hAnsi="TimesNewRomanPSMT" w:cs="TimesNewRomanPSMT"/>
          <w:kern w:val="0"/>
          <w:sz w:val="24"/>
          <w:szCs w:val="24"/>
        </w:rPr>
        <w:t>.</w:t>
      </w:r>
    </w:p>
    <w:p w:rsidR="00A107C5" w:rsidRPr="00A107C5" w:rsidP="003D27D9" w14:paraId="71D7FFBF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4"/>
          <w:szCs w:val="24"/>
        </w:rPr>
      </w:pPr>
    </w:p>
    <w:p w:rsidR="003D27D9" w:rsidRPr="003D27D9" w:rsidP="003D27D9" w14:paraId="2269BC6F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9. Explain any decision to provide any payment or gift to respondents, other than</w:t>
      </w:r>
    </w:p>
    <w:p w:rsidR="003D27D9" w:rsidP="003D27D9" w14:paraId="4D6EA7F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remuneration of contractors or grantees.</w:t>
      </w:r>
    </w:p>
    <w:p w:rsidR="00A107C5" w:rsidRPr="003D27D9" w:rsidP="003D27D9" w14:paraId="16812C2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5AA6DADD" w14:textId="3E2455B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Not applicable. Respondents receive no payments or gifts.</w:t>
      </w:r>
    </w:p>
    <w:p w:rsidR="00A107C5" w:rsidRPr="003D27D9" w:rsidP="003D27D9" w14:paraId="0E8B49F7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4E273D3B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10. Describe any assurance of confidentiality provided to respondents and the basis</w:t>
      </w:r>
    </w:p>
    <w:p w:rsidR="003D27D9" w:rsidP="003D27D9" w14:paraId="5264DE51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for the assurance in statute, regulation, or agency policy.</w:t>
      </w:r>
    </w:p>
    <w:p w:rsidR="00A107C5" w:rsidRPr="003D27D9" w:rsidP="003D27D9" w14:paraId="6447400A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7A7B27BE" w14:textId="27E0DFF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If a confidentiality pledge is deemed useful and feasible, OGE will only include a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pledge of confidentiality that is supported by authority established in statute or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regulation, that is supported by disclosure and data security policies consistent with the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pledge, and that does not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unnecessarily impede sharing of data with other agencies for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compatible confidential use. If OGE includes a pledge of confidentiality, it will include a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citation for the statute or regulation supporting the pledge.</w:t>
      </w:r>
    </w:p>
    <w:p w:rsidR="00A107C5" w:rsidRPr="003D27D9" w:rsidP="003D27D9" w14:paraId="7EBB4B10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61B0A77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11. Provide additional justification for any questions of a sensitive nature, such as</w:t>
      </w:r>
    </w:p>
    <w:p w:rsidR="003D27D9" w:rsidRPr="003D27D9" w:rsidP="003D27D9" w14:paraId="5114B155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sexual behavior and attitudes, religious beliefs, and other matters that are</w:t>
      </w:r>
    </w:p>
    <w:p w:rsidR="003D27D9" w:rsidP="003D27D9" w14:paraId="21E3D974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commonly considered private.</w:t>
      </w:r>
    </w:p>
    <w:p w:rsidR="00A107C5" w:rsidRPr="003D27D9" w:rsidP="003D27D9" w14:paraId="51DE4AB4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3D1A0D3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 questions will be asked that are of a personal or sensitive nature.</w:t>
      </w:r>
    </w:p>
    <w:p w:rsidR="00A107C5" w:rsidRPr="003D27D9" w:rsidP="003D27D9" w14:paraId="3859E12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2B7A855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12. Provide estimates of the hour burden of the collection of information.</w:t>
      </w:r>
    </w:p>
    <w:p w:rsidR="00A107C5" w:rsidP="003D27D9" w14:paraId="35ECD398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7333B922" w14:textId="3F4714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 estimates an average of approximately 91,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>555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responses each year for the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next three years, totaling an estimated</w:t>
      </w:r>
      <w:r w:rsidR="00BB5A5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annual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>4030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burden hours for all types of anticipated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activities. This was calculated based on the anticipated number of respondents to 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potential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small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discussion groups, in-person and web feedback surveys, and requests for feedback related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OGE’s Strategic Plan and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E.O. 13985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activities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, which are the types of collections anticipated to be covered under this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>G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eneric 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>C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learance.</w:t>
      </w:r>
    </w:p>
    <w:p w:rsidR="00B955A2" w:rsidP="003D27D9" w14:paraId="7E8C0C2D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0E6B5C80" w14:textId="58BBD97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Based on industry web survey response rates, 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 estimates that 90,000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website visitors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="00B955A2">
        <w:rPr>
          <w:rFonts w:ascii="TimesNewRomanPSMT" w:hAnsi="TimesNewRomanPSMT" w:cs="TimesNewRomanPSMT"/>
          <w:color w:val="000000"/>
          <w:kern w:val="0"/>
          <w:sz w:val="24"/>
          <w:szCs w:val="24"/>
        </w:rPr>
        <w:t>per year will respond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to web surveys. The average time per response is estimated to be 2 minutes, which means the annual</w:t>
      </w:r>
      <w:r w:rsidR="007E6C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burden hours is estimated to be 3,000 hours.</w:t>
      </w:r>
    </w:p>
    <w:p w:rsidR="00B955A2" w:rsidRPr="003D27D9" w:rsidP="003D27D9" w14:paraId="7E063C3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B955A2" w:rsidP="003D27D9" w14:paraId="23CE1757" w14:textId="592FC93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OGE estimates an average of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30 responses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="00CB7CE5">
        <w:rPr>
          <w:rFonts w:ascii="TimesNewRomanPSMT" w:hAnsi="TimesNewRomanPSMT" w:cs="TimesNewRomanPSMT"/>
          <w:color w:val="000000"/>
          <w:kern w:val="0"/>
          <w:sz w:val="24"/>
          <w:szCs w:val="24"/>
        </w:rPr>
        <w:t>per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year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to outreach soliciting feedback on </w:t>
      </w:r>
      <w:r w:rsidRPr="00725C4E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 Form 201 Request for Ethics Records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,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with an average of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60 minutes per response. Therefore, OGE estimates an annual burden of 30 hours for this type of information collection. </w:t>
      </w:r>
    </w:p>
    <w:p w:rsidR="00B955A2" w:rsidP="003D27D9" w14:paraId="3508AF5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CB7CE5" w:rsidP="00CB7CE5" w14:paraId="05EFE574" w14:textId="19BFF2F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OGE estimates an average of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100 responses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per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year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to outreach soliciting feedback on </w:t>
      </w:r>
      <w:r w:rsidRPr="00725C4E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’s 2027-2031 Strategic Plan,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with an average of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60 minutes per response. Therefore, OGE estimates an annual burden of 100 hours for this type of information collection. </w:t>
      </w:r>
    </w:p>
    <w:p w:rsidR="00CB7CE5" w:rsidP="00CB7CE5" w14:paraId="5F4236CE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CB7CE5" w14:paraId="26AD2110" w14:textId="66B543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OGE estimates an average of about </w:t>
      </w:r>
      <w:r w:rsidR="00CB7CE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300 responses per year to feedback surveys regarding its International Program, with an average of 5 minutes per response. Therefore, OGE estimates an annual burden of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25</w:t>
      </w:r>
      <w:r w:rsidR="007E6C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="00CB7CE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hours for this type of information collection. </w:t>
      </w:r>
    </w:p>
    <w:p w:rsidR="00CB7CE5" w:rsidP="00CB7CE5" w14:paraId="046F27F2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CB7CE5" w:rsidP="00CB7CE5" w14:paraId="289ED927" w14:textId="749C38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OGE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estimates an average of about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125 responses per year to feedback surveys and/or discussion groups regarding </w:t>
      </w:r>
      <w:r w:rsidR="00BB5A5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the activities of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its Institute for Ethics in Government, with an average of 180 minutes per response. Therefore, OGE estimates an annual burden of 375 hours for this type of information collection. </w:t>
      </w:r>
    </w:p>
    <w:p w:rsidR="00CB7CE5" w:rsidP="00CB7CE5" w14:paraId="66BC8FAF" w14:textId="70FD874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7697AC2D" w14:textId="7F2461D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With regard to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collecting feedback related to Executive Order 13985,</w:t>
      </w:r>
      <w:r w:rsidR="00BB5A5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Advancing Racial Equity and Support for Underserved Communities Through the</w:t>
      </w:r>
      <w:r w:rsidR="00BB5A5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Federal Government, OGE estimates an average of 5 activities a year with an average of</w:t>
      </w:r>
      <w:r w:rsidR="00174554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200 participants each, which equals an average of about 1,000 responses a year. The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average time per response is estimated to be 30 minutes, which means the annual burden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hours is estimated to be 500 hours.</w:t>
      </w:r>
    </w:p>
    <w:p w:rsidR="00174554" w:rsidRPr="003D27D9" w:rsidP="003D27D9" w14:paraId="4EF9F491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33B5232C" w14:textId="4E6A85C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The frequency for all these information collections will be occasional.</w:t>
      </w:r>
    </w:p>
    <w:p w:rsidR="00CB7CE5" w:rsidP="003D27D9" w14:paraId="3D2DCC3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CB7CE5" w:rsidP="003D27D9" w14:paraId="39762995" w14:textId="6F38D15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The total annual burden estimated for 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all of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these activities is 4030 hours.</w:t>
      </w:r>
    </w:p>
    <w:p w:rsidR="00A107C5" w:rsidRPr="003D27D9" w:rsidP="003D27D9" w14:paraId="0155EA7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47132D5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13. Provide an estimate for the total annual cost burden to respondents or recordkeepers</w:t>
      </w:r>
    </w:p>
    <w:p w:rsidR="003D27D9" w:rsidP="003D27D9" w14:paraId="45BE7091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resulting from the collection of information.</w:t>
      </w:r>
    </w:p>
    <w:p w:rsidR="009A169B" w:rsidRPr="003D27D9" w:rsidP="003D27D9" w14:paraId="5D960404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35F132F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 costs are anticipated.</w:t>
      </w:r>
    </w:p>
    <w:p w:rsidR="00A107C5" w:rsidRPr="003D27D9" w:rsidP="003D27D9" w14:paraId="5CAF1C11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013DABE4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14. Provide an estimate of annualized costs to the Federal Government.</w:t>
      </w:r>
    </w:p>
    <w:p w:rsidR="00A107C5" w:rsidRPr="003D27D9" w:rsidP="003D27D9" w14:paraId="293A7D67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RPr="003D27D9" w:rsidP="003D27D9" w14:paraId="35F8021A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 additional expenses that would not have been incurred without this collection</w:t>
      </w:r>
    </w:p>
    <w:p w:rsidR="003D27D9" w:rsidP="003D27D9" w14:paraId="067562B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of information are anticipated.</w:t>
      </w:r>
    </w:p>
    <w:p w:rsidR="00A107C5" w:rsidRPr="003D27D9" w:rsidP="003D27D9" w14:paraId="6E4895B9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60598995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15. Explain the reasons for any program changes or adjustments reported in items</w:t>
      </w:r>
    </w:p>
    <w:p w:rsidR="003D27D9" w:rsidP="003D27D9" w14:paraId="65FFF750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13 or 14.</w:t>
      </w:r>
    </w:p>
    <w:p w:rsidR="00A107C5" w:rsidRPr="003D27D9" w:rsidP="003D27D9" w14:paraId="08DB1600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93613C" w14:paraId="5E58BB74" w14:textId="53FFF11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 continues to estimate that th</w:t>
      </w:r>
      <w:r w:rsidR="0093613C">
        <w:rPr>
          <w:rFonts w:ascii="TimesNewRomanPSMT" w:hAnsi="TimesNewRomanPSMT" w:cs="TimesNewRomanPSMT"/>
          <w:color w:val="000000"/>
          <w:kern w:val="0"/>
          <w:sz w:val="24"/>
          <w:szCs w:val="24"/>
        </w:rPr>
        <w:t>is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collection of information will not impose a</w:t>
      </w:r>
      <w:r w:rsidR="0093613C">
        <w:rPr>
          <w:rFonts w:ascii="TimesNewRomanPSMT" w:hAnsi="TimesNewRomanPSMT" w:cs="TimesNewRomanPSMT"/>
          <w:color w:val="000000"/>
          <w:kern w:val="0"/>
          <w:sz w:val="24"/>
          <w:szCs w:val="24"/>
        </w:rPr>
        <w:t>ny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cost</w:t>
      </w:r>
      <w:r w:rsidR="0093613C">
        <w:rPr>
          <w:rFonts w:ascii="TimesNewRomanPSMT" w:hAnsi="TimesNewRomanPSMT" w:cs="TimesNewRomanPSMT"/>
          <w:color w:val="000000"/>
          <w:kern w:val="0"/>
          <w:sz w:val="24"/>
          <w:szCs w:val="24"/>
        </w:rPr>
        <w:t>s</w:t>
      </w:r>
      <w:r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on respondents, recordkeepers, or the Federal Government that</w:t>
      </w:r>
      <w:r w:rsidR="0093613C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="00BB5A52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otherwise </w:t>
      </w:r>
      <w:r w:rsidR="0093613C">
        <w:rPr>
          <w:rFonts w:ascii="TimesNewRomanPSMT" w:hAnsi="TimesNewRomanPSMT" w:cs="TimesNewRomanPSMT"/>
          <w:color w:val="000000"/>
          <w:kern w:val="0"/>
          <w:sz w:val="24"/>
          <w:szCs w:val="24"/>
        </w:rPr>
        <w:t>would not have been incurred.</w:t>
      </w:r>
    </w:p>
    <w:p w:rsidR="00A107C5" w:rsidRPr="003D27D9" w:rsidP="003D27D9" w14:paraId="177E11BF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0D1C4B81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16. For collections of information whose results will be published, outline plans for</w:t>
      </w:r>
    </w:p>
    <w:p w:rsidR="003D27D9" w:rsidP="003D27D9" w14:paraId="118938BB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tabulation and publication.</w:t>
      </w:r>
    </w:p>
    <w:p w:rsidR="00A107C5" w:rsidRPr="003D27D9" w:rsidP="003D27D9" w14:paraId="505234A5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110DFF91" w14:textId="2A9B11D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Feedback collected under this 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>G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eneric 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>C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learance provides useful information, but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it does not yield data that can be generalized to any larger populations. Findings will be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used for general service improvement and are not for publication or other public release.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Although OGE does not intend to publish its findings, OGE may receive requests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to release the information (e.g., congressional inquiry, Freedom of Information Act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requests). OGE will disseminate the findings when appropriate, strictly following OMB’s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"Standards and Guidelines for Statistical Surveys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>,”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and will include specific discussion of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the limitation of the qualitative results discussed above.</w:t>
      </w:r>
    </w:p>
    <w:p w:rsidR="00A107C5" w:rsidRPr="003D27D9" w:rsidP="003D27D9" w14:paraId="2F74E26B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6112117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17. If seeking approval to not display the expiration date for OMB approval of the</w:t>
      </w:r>
    </w:p>
    <w:p w:rsidR="003D27D9" w:rsidP="003D27D9" w14:paraId="0D34565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information collection, explain the reasons that display would be inappropriate.</w:t>
      </w:r>
    </w:p>
    <w:p w:rsidR="00A107C5" w:rsidRPr="003D27D9" w:rsidP="003D27D9" w14:paraId="6E20C592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RPr="003D27D9" w:rsidP="003D27D9" w14:paraId="2BE0770F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OGE is requesting no exemption.</w:t>
      </w:r>
    </w:p>
    <w:p w:rsidR="003D27D9" w:rsidRPr="003D27D9" w:rsidP="003D27D9" w14:paraId="5D444A2C" w14:textId="1A0881A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RPr="003D27D9" w:rsidP="003D27D9" w14:paraId="1FDE5E04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18. Explain each exception to the topics of the certification statement identified in</w:t>
      </w:r>
    </w:p>
    <w:p w:rsidR="003D27D9" w:rsidP="003D27D9" w14:paraId="30C985BD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Certification for Paperwork Reduction Act Submissions.</w:t>
      </w:r>
    </w:p>
    <w:p w:rsidR="00A107C5" w:rsidRPr="003D27D9" w:rsidP="003D27D9" w14:paraId="44CFCED3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3D27D9" w:rsidP="003D27D9" w14:paraId="3E1C65AC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Not applicable.</w:t>
      </w:r>
    </w:p>
    <w:p w:rsidR="00A107C5" w:rsidRPr="003D27D9" w:rsidP="003D27D9" w14:paraId="38338AFF" w14:textId="777777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kern w:val="0"/>
          <w:sz w:val="24"/>
          <w:szCs w:val="24"/>
        </w:rPr>
      </w:pPr>
    </w:p>
    <w:p w:rsidR="003D27D9" w:rsidP="003D27D9" w14:paraId="6275524C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  <w:r w:rsidRPr="003D27D9"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  <w:t>B. Collections of Information Employing Statistical Methods</w:t>
      </w:r>
    </w:p>
    <w:p w:rsidR="00A107C5" w:rsidRPr="003D27D9" w:rsidP="003D27D9" w14:paraId="3603315F" w14:textId="7777777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kern w:val="0"/>
          <w:sz w:val="24"/>
          <w:szCs w:val="24"/>
        </w:rPr>
      </w:pPr>
    </w:p>
    <w:p w:rsidR="004C64C6" w:rsidRPr="003D27D9" w:rsidP="00A107C5" w14:paraId="67ED423E" w14:textId="4920A52E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Not applicable. This collection of information does not employ statistical</w:t>
      </w:r>
      <w:r w:rsidR="00A107C5">
        <w:rPr>
          <w:rFonts w:ascii="TimesNewRomanPSMT" w:hAnsi="TimesNewRomanPSMT" w:cs="TimesNewRomanPSMT"/>
          <w:color w:val="000000"/>
          <w:kern w:val="0"/>
          <w:sz w:val="24"/>
          <w:szCs w:val="24"/>
        </w:rPr>
        <w:t xml:space="preserve"> </w:t>
      </w:r>
      <w:r w:rsidRPr="003D27D9">
        <w:rPr>
          <w:rFonts w:ascii="TimesNewRomanPSMT" w:hAnsi="TimesNewRomanPSMT" w:cs="TimesNewRomanPSMT"/>
          <w:color w:val="000000"/>
          <w:kern w:val="0"/>
          <w:sz w:val="24"/>
          <w:szCs w:val="24"/>
        </w:rPr>
        <w:t>methods.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M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7D9"/>
    <w:rsid w:val="0008541D"/>
    <w:rsid w:val="000A22A4"/>
    <w:rsid w:val="00174554"/>
    <w:rsid w:val="0035288C"/>
    <w:rsid w:val="003D27D9"/>
    <w:rsid w:val="004C64C6"/>
    <w:rsid w:val="00661CF4"/>
    <w:rsid w:val="006F440F"/>
    <w:rsid w:val="00725C4E"/>
    <w:rsid w:val="007E6CC5"/>
    <w:rsid w:val="0088621E"/>
    <w:rsid w:val="0093613C"/>
    <w:rsid w:val="009A169B"/>
    <w:rsid w:val="009F4D87"/>
    <w:rsid w:val="00A107C5"/>
    <w:rsid w:val="00B15E6D"/>
    <w:rsid w:val="00B955A2"/>
    <w:rsid w:val="00BB16A0"/>
    <w:rsid w:val="00BB5A52"/>
    <w:rsid w:val="00C40027"/>
    <w:rsid w:val="00CB7CE5"/>
    <w:rsid w:val="00CF62ED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DB1627"/>
  <w15:chartTrackingRefBased/>
  <w15:docId w15:val="{E10D634F-0D2A-4BC4-9B3B-42CB7B8EB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2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2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27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2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27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2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2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2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2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27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27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27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27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27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2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2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2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2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2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2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2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2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2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2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2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27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27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27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27D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D27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27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27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27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27D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Matis</dc:creator>
  <cp:lastModifiedBy>Jennifer Matis</cp:lastModifiedBy>
  <cp:revision>11</cp:revision>
  <dcterms:created xsi:type="dcterms:W3CDTF">2024-05-22T19:09:00Z</dcterms:created>
  <dcterms:modified xsi:type="dcterms:W3CDTF">2024-09-10T15:45:00Z</dcterms:modified>
</cp:coreProperties>
</file>