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368F" w:rsidRPr="005C4870" w:rsidP="005C4870" w14:paraId="328A876A" w14:textId="14056666">
      <w:pPr>
        <w:jc w:val="center"/>
        <w:rPr>
          <w:rFonts w:ascii="Times New Roman" w:hAnsi="Times New Roman" w:cs="Times New Roman"/>
          <w:b/>
          <w:bCs/>
          <w:sz w:val="24"/>
          <w:szCs w:val="24"/>
          <w:u w:val="single"/>
        </w:rPr>
      </w:pPr>
      <w:r w:rsidRPr="005C4870">
        <w:rPr>
          <w:rFonts w:ascii="Times New Roman" w:hAnsi="Times New Roman" w:cs="Times New Roman"/>
          <w:b/>
          <w:bCs/>
          <w:sz w:val="24"/>
          <w:szCs w:val="24"/>
          <w:u w:val="single"/>
        </w:rPr>
        <w:t>Laws and Regs SBA Form 413</w:t>
      </w:r>
    </w:p>
    <w:p w:rsidR="005C4870" w:rsidRPr="005C4870" w14:paraId="2E361E8A" w14:textId="6D3E528C">
      <w:pPr>
        <w:rPr>
          <w:rFonts w:ascii="Times New Roman" w:hAnsi="Times New Roman" w:cs="Times New Roman"/>
          <w:sz w:val="24"/>
          <w:szCs w:val="24"/>
        </w:rPr>
      </w:pPr>
    </w:p>
    <w:p w:rsidR="005C4870" w:rsidP="005C4870" w14:paraId="6BB63E31" w14:textId="77E8823A">
      <w:pPr>
        <w:rPr>
          <w:rFonts w:ascii="Times New Roman" w:hAnsi="Times New Roman" w:cs="Times New Roman"/>
          <w:sz w:val="24"/>
          <w:szCs w:val="24"/>
        </w:rPr>
      </w:pPr>
      <w:r w:rsidRPr="005C4870">
        <w:rPr>
          <w:rFonts w:ascii="Times New Roman" w:hAnsi="Times New Roman" w:cs="Times New Roman"/>
          <w:sz w:val="24"/>
          <w:szCs w:val="24"/>
        </w:rPr>
        <w:t xml:space="preserve">Sec. 7(a) and (b) of the Small Business Act, 15 U.S.C. § 631 et seq., </w:t>
      </w:r>
      <w:r w:rsidR="001E6506">
        <w:rPr>
          <w:rFonts w:ascii="Times New Roman" w:hAnsi="Times New Roman" w:cs="Times New Roman"/>
          <w:sz w:val="24"/>
          <w:szCs w:val="24"/>
        </w:rPr>
        <w:t>(attachment)</w:t>
      </w:r>
    </w:p>
    <w:p w:rsidR="005C4870" w:rsidP="005C4870" w14:paraId="5491B2CD" w14:textId="77777777">
      <w:pPr>
        <w:rPr>
          <w:rFonts w:ascii="Times New Roman" w:hAnsi="Times New Roman" w:cs="Times New Roman"/>
          <w:sz w:val="24"/>
          <w:szCs w:val="24"/>
        </w:rPr>
      </w:pPr>
    </w:p>
    <w:p w:rsidR="005C4870" w:rsidP="005C4870" w14:paraId="65DD1FB1" w14:textId="50C465C9">
      <w:pPr>
        <w:rPr>
          <w:rFonts w:ascii="Times New Roman" w:hAnsi="Times New Roman" w:cs="Times New Roman"/>
          <w:sz w:val="24"/>
          <w:szCs w:val="24"/>
        </w:rPr>
      </w:pPr>
      <w:r w:rsidRPr="005C4870">
        <w:rPr>
          <w:rFonts w:ascii="Times New Roman" w:hAnsi="Times New Roman" w:cs="Times New Roman"/>
          <w:sz w:val="24"/>
          <w:szCs w:val="24"/>
        </w:rPr>
        <w:t xml:space="preserve">Title V of the Small Business Investment Act of 1958, 15 U.S.C. § 695, et seq., </w:t>
      </w:r>
      <w:r w:rsidR="001E6506">
        <w:rPr>
          <w:rFonts w:ascii="Times New Roman" w:hAnsi="Times New Roman" w:cs="Times New Roman"/>
          <w:sz w:val="24"/>
          <w:szCs w:val="24"/>
        </w:rPr>
        <w:t>(attachment)</w:t>
      </w:r>
    </w:p>
    <w:p w:rsidR="005C4870" w:rsidP="005C4870" w14:paraId="2A969257" w14:textId="77777777">
      <w:pPr>
        <w:rPr>
          <w:rFonts w:ascii="Times New Roman" w:hAnsi="Times New Roman" w:cs="Times New Roman"/>
          <w:sz w:val="24"/>
          <w:szCs w:val="24"/>
        </w:rPr>
      </w:pPr>
    </w:p>
    <w:p w:rsidR="001E6506" w:rsidRPr="001E6506" w:rsidP="001E6506" w14:paraId="4D240E2E" w14:textId="6259E597">
      <w:pPr>
        <w:tabs>
          <w:tab w:val="left" w:pos="3002"/>
        </w:tabs>
        <w:rPr>
          <w:rFonts w:ascii="Times New Roman" w:hAnsi="Times New Roman" w:cs="Times New Roman"/>
          <w:sz w:val="24"/>
          <w:szCs w:val="24"/>
          <w:u w:val="single"/>
        </w:rPr>
      </w:pPr>
      <w:r w:rsidRPr="001E6506">
        <w:rPr>
          <w:rFonts w:ascii="Times New Roman" w:hAnsi="Times New Roman" w:cs="Times New Roman"/>
          <w:sz w:val="24"/>
          <w:szCs w:val="24"/>
          <w:u w:val="single"/>
        </w:rPr>
        <w:t xml:space="preserve">13 CFR § 120.191 </w:t>
      </w:r>
    </w:p>
    <w:p w:rsidR="001E6506" w:rsidRPr="001E6506" w:rsidP="001E6506" w14:paraId="48415B4D" w14:textId="77777777">
      <w:pPr>
        <w:shd w:val="clear" w:color="auto" w:fill="FFFFFF"/>
        <w:spacing w:before="200" w:after="100" w:line="240" w:lineRule="auto"/>
        <w:outlineLvl w:val="1"/>
        <w:rPr>
          <w:rFonts w:ascii="Arial" w:eastAsia="Times New Roman" w:hAnsi="Arial" w:cs="Arial"/>
          <w:b/>
          <w:bCs/>
          <w:color w:val="000000"/>
          <w:sz w:val="21"/>
          <w:szCs w:val="21"/>
        </w:rPr>
      </w:pPr>
      <w:r w:rsidRPr="001E6506">
        <w:rPr>
          <w:rFonts w:ascii="Arial" w:eastAsia="Times New Roman" w:hAnsi="Arial" w:cs="Arial"/>
          <w:b/>
          <w:bCs/>
          <w:color w:val="000000"/>
          <w:sz w:val="21"/>
          <w:szCs w:val="21"/>
        </w:rPr>
        <w:t>§120.191   The contents of a business loan application.</w:t>
      </w:r>
    </w:p>
    <w:p w:rsidR="001E6506" w:rsidRPr="001E6506" w:rsidP="001E6506" w14:paraId="0E586A20"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For most business loans, SBA requires that an application for a business loan contain, among other things, a description of the history and nature of the business, the amount and purpose of the loan, the collateral offered for the loan, current financial statements, historical financial statements (or tax returns if appropriate) for the past three years, IRS tax verification, and a business plan, when applicable. Personal histories and financial statements will be required from principals of the applicant (and the Operating Company, if applicable).</w:t>
      </w:r>
    </w:p>
    <w:p w:rsidR="005C4870" w:rsidRPr="001E6506" w:rsidP="005C4870" w14:paraId="54210065" w14:textId="33E24CAA">
      <w:pPr>
        <w:rPr>
          <w:rFonts w:ascii="Times New Roman" w:hAnsi="Times New Roman" w:cs="Times New Roman"/>
          <w:sz w:val="24"/>
          <w:szCs w:val="24"/>
          <w:u w:val="single"/>
        </w:rPr>
      </w:pPr>
      <w:r w:rsidRPr="001E6506">
        <w:rPr>
          <w:rFonts w:ascii="Times New Roman" w:hAnsi="Times New Roman" w:cs="Times New Roman"/>
          <w:sz w:val="24"/>
          <w:szCs w:val="24"/>
          <w:u w:val="single"/>
        </w:rPr>
        <w:t>13 CFR § 123.6</w:t>
      </w:r>
    </w:p>
    <w:p w:rsidR="001E6506" w:rsidRPr="001E6506" w:rsidP="001E6506" w14:paraId="7392AEA8" w14:textId="77777777">
      <w:pPr>
        <w:shd w:val="clear" w:color="auto" w:fill="FFFFFF"/>
        <w:spacing w:before="200" w:after="100" w:line="240" w:lineRule="auto"/>
        <w:outlineLvl w:val="1"/>
        <w:rPr>
          <w:rFonts w:ascii="Arial" w:eastAsia="Times New Roman" w:hAnsi="Arial" w:cs="Arial"/>
          <w:b/>
          <w:bCs/>
          <w:color w:val="000000"/>
          <w:sz w:val="21"/>
          <w:szCs w:val="21"/>
        </w:rPr>
      </w:pPr>
      <w:r w:rsidRPr="001E6506">
        <w:rPr>
          <w:rFonts w:ascii="Arial" w:eastAsia="Times New Roman" w:hAnsi="Arial" w:cs="Arial"/>
          <w:b/>
          <w:bCs/>
          <w:color w:val="000000"/>
          <w:sz w:val="21"/>
          <w:szCs w:val="21"/>
        </w:rPr>
        <w:t>§123.6   What does SBA look for when considering a disaster loan applicant?</w:t>
      </w:r>
    </w:p>
    <w:p w:rsidR="001E6506" w:rsidRPr="001E6506" w:rsidP="001E6506" w14:paraId="5D436362"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There must be reasonable assurance that you can repay your loan based on SBA's analysis of your credit or your personal or business cash flow, and you must also have satisfactory character. SBA will not make a loan to you if repayment depends upon the sale of collateral through foreclosure or any other disposition of assets owned by you. SBA is prohibited by statute from making a loan to you if you are engaged in the production or distribution of any product or service that has been determined to be obscene by a court.</w:t>
      </w:r>
    </w:p>
    <w:p w:rsidR="001E6506" w:rsidRPr="001E6506" w:rsidP="001E6506" w14:paraId="7D488648" w14:textId="77777777">
      <w:pPr>
        <w:shd w:val="clear" w:color="auto" w:fill="FFFFFF"/>
        <w:spacing w:before="200" w:after="100" w:afterAutospacing="1" w:line="240" w:lineRule="auto"/>
        <w:rPr>
          <w:rFonts w:ascii="Arial" w:eastAsia="Times New Roman" w:hAnsi="Arial" w:cs="Arial"/>
          <w:color w:val="000000"/>
          <w:sz w:val="18"/>
          <w:szCs w:val="18"/>
        </w:rPr>
      </w:pPr>
      <w:r w:rsidRPr="001E6506">
        <w:rPr>
          <w:rFonts w:ascii="Arial" w:eastAsia="Times New Roman" w:hAnsi="Arial" w:cs="Arial"/>
          <w:color w:val="000000"/>
          <w:sz w:val="18"/>
          <w:szCs w:val="18"/>
        </w:rPr>
        <w:t>[61 FR 3304, Jan. 31, 1996, as amended at 79 FR 22862, Apr. 25, 2014]</w:t>
      </w:r>
    </w:p>
    <w:p w:rsidR="001E6506" w:rsidRPr="001E6506" w:rsidP="005C4870" w14:paraId="77D440BB" w14:textId="13658EB7">
      <w:pPr>
        <w:rPr>
          <w:rFonts w:ascii="Times New Roman" w:hAnsi="Times New Roman" w:cs="Times New Roman"/>
          <w:sz w:val="24"/>
          <w:szCs w:val="24"/>
          <w:u w:val="single"/>
        </w:rPr>
      </w:pPr>
      <w:r w:rsidRPr="001E6506">
        <w:rPr>
          <w:rFonts w:ascii="Times New Roman" w:hAnsi="Times New Roman" w:cs="Times New Roman"/>
          <w:sz w:val="24"/>
          <w:szCs w:val="24"/>
          <w:u w:val="single"/>
        </w:rPr>
        <w:t xml:space="preserve">13 CFR §§ 124.104, </w:t>
      </w:r>
      <w:r w:rsidRPr="001E6506">
        <w:rPr>
          <w:rFonts w:ascii="Times New Roman" w:hAnsi="Times New Roman" w:cs="Times New Roman"/>
          <w:sz w:val="24"/>
          <w:szCs w:val="24"/>
          <w:u w:val="single"/>
        </w:rPr>
        <w:t xml:space="preserve">and </w:t>
      </w:r>
      <w:r w:rsidRPr="001E6506">
        <w:rPr>
          <w:rFonts w:ascii="Times New Roman" w:hAnsi="Times New Roman" w:cs="Times New Roman"/>
          <w:sz w:val="24"/>
          <w:szCs w:val="24"/>
          <w:u w:val="single"/>
        </w:rPr>
        <w:t>124.112</w:t>
      </w:r>
    </w:p>
    <w:p w:rsidR="001E6506" w:rsidRPr="001E6506" w:rsidP="001E6506" w14:paraId="628DADDF" w14:textId="77777777">
      <w:pPr>
        <w:shd w:val="clear" w:color="auto" w:fill="FFFFFF"/>
        <w:spacing w:before="200" w:after="100" w:line="240" w:lineRule="auto"/>
        <w:outlineLvl w:val="1"/>
        <w:rPr>
          <w:rFonts w:ascii="Arial" w:eastAsia="Times New Roman" w:hAnsi="Arial" w:cs="Arial"/>
          <w:b/>
          <w:bCs/>
          <w:color w:val="000000"/>
          <w:sz w:val="21"/>
          <w:szCs w:val="21"/>
        </w:rPr>
      </w:pPr>
      <w:r w:rsidRPr="001E6506">
        <w:rPr>
          <w:rFonts w:ascii="Arial" w:eastAsia="Times New Roman" w:hAnsi="Arial" w:cs="Arial"/>
          <w:b/>
          <w:bCs/>
          <w:color w:val="000000"/>
          <w:sz w:val="21"/>
          <w:szCs w:val="21"/>
        </w:rPr>
        <w:t>§124.104   Who is economically disadvantaged?</w:t>
      </w:r>
    </w:p>
    <w:p w:rsidR="001E6506" w:rsidRPr="001E6506" w:rsidP="001E6506" w14:paraId="70542664"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(a) </w:t>
      </w:r>
      <w:r w:rsidRPr="001E6506">
        <w:rPr>
          <w:rFonts w:ascii="Arial" w:eastAsia="Times New Roman" w:hAnsi="Arial" w:cs="Arial"/>
          <w:i/>
          <w:iCs/>
          <w:color w:val="000000"/>
          <w:sz w:val="21"/>
          <w:szCs w:val="21"/>
        </w:rPr>
        <w:t>General.</w:t>
      </w:r>
      <w:r w:rsidRPr="001E6506">
        <w:rPr>
          <w:rFonts w:ascii="Arial" w:eastAsia="Times New Roman" w:hAnsi="Arial" w:cs="Arial"/>
          <w:color w:val="000000"/>
          <w:sz w:val="21"/>
          <w:szCs w:val="21"/>
        </w:rPr>
        <w:t> Economically disadvantaged individuals are socially disadvantaged individuals whose ability to compete in the free enterprise system has been impaired due to diminished capital and credit opportunities as compared to others in the same or similar line of business who are not socially disadvantaged.</w:t>
      </w:r>
    </w:p>
    <w:p w:rsidR="001E6506" w:rsidRPr="001E6506" w:rsidP="001E6506" w14:paraId="6751B71F"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(b) </w:t>
      </w:r>
      <w:r w:rsidRPr="001E6506">
        <w:rPr>
          <w:rFonts w:ascii="Arial" w:eastAsia="Times New Roman" w:hAnsi="Arial" w:cs="Arial"/>
          <w:i/>
          <w:iCs/>
          <w:color w:val="000000"/>
          <w:sz w:val="21"/>
          <w:szCs w:val="21"/>
        </w:rPr>
        <w:t>Submission of narrative and financial information.</w:t>
      </w:r>
      <w:r w:rsidRPr="001E6506">
        <w:rPr>
          <w:rFonts w:ascii="Arial" w:eastAsia="Times New Roman" w:hAnsi="Arial" w:cs="Arial"/>
          <w:color w:val="000000"/>
          <w:sz w:val="21"/>
          <w:szCs w:val="21"/>
        </w:rPr>
        <w:t> (1) Each individual claiming economic disadvantage must submit personal financial information.</w:t>
      </w:r>
    </w:p>
    <w:p w:rsidR="001E6506" w:rsidRPr="001E6506" w:rsidP="001E6506" w14:paraId="44EB1693"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(2) When married, an individual claiming economic disadvantage must submit separate financial information for his or her spouse, unless the individual and the spouse are legally separated. SBA will consider a spouse's financial situation in determining an individual's access to credit and capital where the spouse has a role in the business (</w:t>
      </w:r>
      <w:r w:rsidRPr="001E6506">
        <w:rPr>
          <w:rFonts w:ascii="Arial" w:eastAsia="Times New Roman" w:hAnsi="Arial" w:cs="Arial"/>
          <w:i/>
          <w:iCs/>
          <w:color w:val="000000"/>
          <w:sz w:val="21"/>
          <w:szCs w:val="21"/>
        </w:rPr>
        <w:t>e.g.,</w:t>
      </w:r>
      <w:r w:rsidRPr="001E6506">
        <w:rPr>
          <w:rFonts w:ascii="Arial" w:eastAsia="Times New Roman" w:hAnsi="Arial" w:cs="Arial"/>
          <w:color w:val="000000"/>
          <w:sz w:val="21"/>
          <w:szCs w:val="21"/>
        </w:rPr>
        <w:t xml:space="preserve"> an officer, employee or director) </w:t>
      </w:r>
      <w:r w:rsidRPr="001E6506">
        <w:rPr>
          <w:rFonts w:ascii="Arial" w:eastAsia="Times New Roman" w:hAnsi="Arial" w:cs="Arial"/>
          <w:color w:val="000000"/>
          <w:sz w:val="21"/>
          <w:szCs w:val="21"/>
        </w:rPr>
        <w:t>or has lent money to, provided credit support to, or guaranteed a loan of the business. SBA does not take into consideration community property laws when determining economic disadvantage.</w:t>
      </w:r>
    </w:p>
    <w:p w:rsidR="001E6506" w:rsidRPr="001E6506" w:rsidP="001E6506" w14:paraId="09CDD7F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(c) </w:t>
      </w:r>
      <w:r w:rsidRPr="001E6506">
        <w:rPr>
          <w:rFonts w:ascii="Arial" w:eastAsia="Times New Roman" w:hAnsi="Arial" w:cs="Arial"/>
          <w:i/>
          <w:iCs/>
          <w:color w:val="000000"/>
          <w:sz w:val="21"/>
          <w:szCs w:val="21"/>
        </w:rPr>
        <w:t>Factors to be considered.</w:t>
      </w:r>
      <w:r w:rsidRPr="001E6506">
        <w:rPr>
          <w:rFonts w:ascii="Arial" w:eastAsia="Times New Roman" w:hAnsi="Arial" w:cs="Arial"/>
          <w:color w:val="000000"/>
          <w:sz w:val="21"/>
          <w:szCs w:val="21"/>
        </w:rPr>
        <w:t> In considering diminished capital and credit opportunities, SBA will examine factors relating to the personal financial condition of any individual claiming disadvantaged status, including income for the past three years (including bonuses and the value of company stock received in lieu of cash), personal net worth, and the fair market value of all assets, whether encumbered or not. An individual who exceeds any one of the thresholds set forth in this paragraph for personal income, net worth or total assets will generally be deemed to have access to credit and capital and not economically disadvantaged.</w:t>
      </w:r>
    </w:p>
    <w:p w:rsidR="001E6506" w:rsidRPr="001E6506" w:rsidP="001E6506" w14:paraId="38E34BBE"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(1) </w:t>
      </w:r>
      <w:r w:rsidRPr="001E6506">
        <w:rPr>
          <w:rFonts w:ascii="Arial" w:eastAsia="Times New Roman" w:hAnsi="Arial" w:cs="Arial"/>
          <w:i/>
          <w:iCs/>
          <w:color w:val="000000"/>
          <w:sz w:val="21"/>
          <w:szCs w:val="21"/>
        </w:rPr>
        <w:t>Transfers within two years.</w:t>
      </w:r>
      <w:r w:rsidRPr="001E6506">
        <w:rPr>
          <w:rFonts w:ascii="Arial" w:eastAsia="Times New Roman" w:hAnsi="Arial" w:cs="Arial"/>
          <w:color w:val="000000"/>
          <w:sz w:val="21"/>
          <w:szCs w:val="21"/>
        </w:rPr>
        <w:t> (i) Except as set forth in paragraph (c)(1)(ii) of this section, SBA will attribute to an individual claiming disadvantaged status any assets which that individual has transferred to an immediate family member, or to a trust a beneficiary of which is an immediate family member, for less than fair market value, within two years prior to a concern's application for participation in the 8(a) BD program or within two years of a Participant's annual program review, unless the individual claiming disadvantaged status can demonstrate that the transfer is to or on behalf of an immediate family member for that individual's education, medical expenses, or some other form of essential support.</w:t>
      </w:r>
    </w:p>
    <w:p w:rsidR="001E6506" w:rsidRPr="001E6506" w:rsidP="001E6506" w14:paraId="02DD7B2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 SBA will not attribute to an individual claiming disadvantaged status any assets transferred by that individual to an immediate family member that are consistent with the customary recognition of special occasions, such as birthdays, graduations, anniversaries, and retirements.</w:t>
      </w:r>
    </w:p>
    <w:p w:rsidR="001E6506" w:rsidRPr="001E6506" w:rsidP="001E6506" w14:paraId="05CAA426"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(iii) In determining an individual's access to capital and credit, SBA may consider any assets that the individual transferred within such two-year period described by paragraph (c)(1)(i) of this section that SBA does not consider in evaluating the individual's assets and net worth (e.g., transfers to charities).</w:t>
      </w:r>
    </w:p>
    <w:p w:rsidR="001E6506" w:rsidRPr="001E6506" w:rsidP="001E6506" w14:paraId="4A07E786" w14:textId="11D52FB8">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(2) </w:t>
      </w:r>
      <w:r w:rsidRPr="001E6506">
        <w:rPr>
          <w:rFonts w:ascii="Arial" w:eastAsia="Times New Roman" w:hAnsi="Arial" w:cs="Arial"/>
          <w:i/>
          <w:iCs/>
          <w:color w:val="000000"/>
          <w:sz w:val="21"/>
          <w:szCs w:val="21"/>
        </w:rPr>
        <w:t>Net worth.</w:t>
      </w:r>
      <w:r w:rsidRPr="001E6506">
        <w:rPr>
          <w:rFonts w:ascii="Arial" w:eastAsia="Times New Roman" w:hAnsi="Arial" w:cs="Arial"/>
          <w:color w:val="000000"/>
          <w:sz w:val="21"/>
          <w:szCs w:val="21"/>
        </w:rPr>
        <w:t> The net worth of an individual claiming disadvantage must be less than $</w:t>
      </w:r>
      <w:r w:rsidR="003B6206">
        <w:rPr>
          <w:rFonts w:ascii="Arial" w:eastAsia="Times New Roman" w:hAnsi="Arial" w:cs="Arial"/>
          <w:color w:val="000000"/>
          <w:sz w:val="21"/>
          <w:szCs w:val="21"/>
        </w:rPr>
        <w:t>8</w:t>
      </w:r>
      <w:r w:rsidRPr="001E6506">
        <w:rPr>
          <w:rFonts w:ascii="Arial" w:eastAsia="Times New Roman" w:hAnsi="Arial" w:cs="Arial"/>
          <w:color w:val="000000"/>
          <w:sz w:val="21"/>
          <w:szCs w:val="21"/>
        </w:rPr>
        <w:t>50,000. In determining such net worth, SBA will exclude the ownership interest in the applicant or Participant and the equity in the primary personal residence (except any portion of such equity which is attributable to excessive withdrawals from the applicant or Participant). Exclusions for net worth purposes are not exclusions for asset valuation or access to capital and credit purposes.</w:t>
      </w:r>
    </w:p>
    <w:p w:rsidR="001E6506" w:rsidRPr="001E6506" w:rsidP="001E6506" w14:paraId="2C49E679"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 A contingent liability does not reduce an individual's net worth.</w:t>
      </w:r>
    </w:p>
    <w:p w:rsidR="001E6506" w:rsidRPr="001E6506" w:rsidP="001E6506" w14:paraId="2A1B829B" w14:textId="7CBE095F">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 Funds invested in an Individual Retirement Account (IRA</w:t>
      </w:r>
      <w:r w:rsidRPr="001E6506">
        <w:rPr>
          <w:rFonts w:ascii="Arial" w:eastAsia="Times New Roman" w:hAnsi="Arial" w:cs="Arial"/>
          <w:color w:val="000000"/>
          <w:sz w:val="21"/>
          <w:szCs w:val="21"/>
        </w:rPr>
        <w:t>)</w:t>
      </w:r>
      <w:r w:rsidRPr="001E6506">
        <w:rPr>
          <w:rFonts w:ascii="Arial" w:eastAsia="Times New Roman" w:hAnsi="Arial" w:cs="Arial"/>
          <w:color w:val="000000"/>
          <w:sz w:val="21"/>
          <w:szCs w:val="21"/>
        </w:rPr>
        <w:t xml:space="preserve"> or other official retirement account will not be considered in determining an individual's net worth. </w:t>
      </w:r>
      <w:r w:rsidRPr="001E6506">
        <w:rPr>
          <w:rFonts w:ascii="Arial" w:eastAsia="Times New Roman" w:hAnsi="Arial" w:cs="Arial"/>
          <w:color w:val="000000"/>
          <w:sz w:val="21"/>
          <w:szCs w:val="21"/>
        </w:rPr>
        <w:t>In order to</w:t>
      </w:r>
      <w:r w:rsidRPr="001E6506">
        <w:rPr>
          <w:rFonts w:ascii="Arial" w:eastAsia="Times New Roman" w:hAnsi="Arial" w:cs="Arial"/>
          <w:color w:val="000000"/>
          <w:sz w:val="21"/>
          <w:szCs w:val="21"/>
        </w:rPr>
        <w:t xml:space="preserve"> properly assess whether funds invested in a retirement account may be excluded from an individual's net worth, </w:t>
      </w:r>
      <w:r w:rsidR="00384835">
        <w:rPr>
          <w:rFonts w:ascii="Arial" w:eastAsia="Times New Roman" w:hAnsi="Arial" w:cs="Arial"/>
          <w:color w:val="000000"/>
          <w:sz w:val="21"/>
          <w:szCs w:val="21"/>
        </w:rPr>
        <w:t>SBA may require</w:t>
      </w:r>
      <w:r w:rsidR="00EF4D8B">
        <w:rPr>
          <w:rFonts w:ascii="Arial" w:eastAsia="Times New Roman" w:hAnsi="Arial" w:cs="Arial"/>
          <w:color w:val="000000"/>
          <w:sz w:val="21"/>
          <w:szCs w:val="21"/>
        </w:rPr>
        <w:t xml:space="preserve"> the</w:t>
      </w:r>
      <w:r w:rsidRPr="001E6506">
        <w:rPr>
          <w:rFonts w:ascii="Arial" w:eastAsia="Times New Roman" w:hAnsi="Arial" w:cs="Arial"/>
          <w:color w:val="000000"/>
          <w:sz w:val="21"/>
          <w:szCs w:val="21"/>
        </w:rPr>
        <w:t xml:space="preserve"> individual provide information about the terms and restrictions of the account to SBA and certify that the retirement account is legitimate.</w:t>
      </w:r>
    </w:p>
    <w:p w:rsidR="001E6506" w:rsidRPr="001E6506" w:rsidP="001E6506" w14:paraId="2AFBA48B" w14:textId="01B882EF">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(iii) The personal net worth of an individual claiming to be an Alaska Native will include assets and income from sources other than an Alaska Native Corporation and exclude any of the following which the individual receives from any Alaska Native Corporation: cash (including cash dividends on stock received from an ANC) to the extent that it does not, in the aggregate, exceed $2,000 per individual per annum; stock (including stock issued or distributed by an ANC as a dividend or distribution on stock); a partnership interest; land or an interest in land (including land or an interest in land received from an ANC as a dividend or distribution on stock); and an interest in a settlement trust.</w:t>
      </w:r>
    </w:p>
    <w:p w:rsidR="001E6506" w:rsidRPr="001E6506" w:rsidP="001E6506" w14:paraId="12E43932" w14:textId="238C800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(3) </w:t>
      </w:r>
      <w:r w:rsidRPr="001E6506">
        <w:rPr>
          <w:rFonts w:ascii="Arial" w:eastAsia="Times New Roman" w:hAnsi="Arial" w:cs="Arial"/>
          <w:i/>
          <w:iCs/>
          <w:color w:val="000000"/>
          <w:sz w:val="21"/>
          <w:szCs w:val="21"/>
        </w:rPr>
        <w:t>Personal income for the past three years.</w:t>
      </w:r>
      <w:r w:rsidRPr="001E6506">
        <w:rPr>
          <w:rFonts w:ascii="Arial" w:eastAsia="Times New Roman" w:hAnsi="Arial" w:cs="Arial"/>
          <w:color w:val="000000"/>
          <w:sz w:val="21"/>
          <w:szCs w:val="21"/>
        </w:rPr>
        <w:t> (i) SBA will presume that an individual is not economically disadvantaged if his or her adjusted gross income averaged over the three preceding years exceeds $</w:t>
      </w:r>
      <w:r w:rsidR="000C5442">
        <w:rPr>
          <w:rFonts w:ascii="Arial" w:eastAsia="Times New Roman" w:hAnsi="Arial" w:cs="Arial"/>
          <w:color w:val="000000"/>
          <w:sz w:val="21"/>
          <w:szCs w:val="21"/>
        </w:rPr>
        <w:t>40</w:t>
      </w:r>
      <w:r w:rsidRPr="001E6506">
        <w:rPr>
          <w:rFonts w:ascii="Arial" w:eastAsia="Times New Roman" w:hAnsi="Arial" w:cs="Arial"/>
          <w:color w:val="000000"/>
          <w:sz w:val="21"/>
          <w:szCs w:val="21"/>
        </w:rPr>
        <w:t>0,000. The presumption may be rebutted by a showing that this income level was unusual and not likely to occur in the future, that losses commensurate with and directly related to the earnings were suffered, or by evidence that the income is not indicative of lack of economic disadvantage.</w:t>
      </w:r>
    </w:p>
    <w:p w:rsidR="001E6506" w:rsidRPr="001E6506" w:rsidP="001E6506" w14:paraId="5872FEB1"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 Income received from an applicant or Participant that is an S corporation, LLC or partnership will be excluded from an individual's income where the applicant or Participant provides documentary evidence demonstrating that the income was reinvested in the firm or used to pay taxes arising in the normal course of operations of the firm. Losses from the S corporation, LLC or partnership, however, are losses to the company only, not losses to the individual, and cannot be used to reduce an individual's personal income.</w:t>
      </w:r>
    </w:p>
    <w:p w:rsidR="001E6506" w:rsidRPr="001E6506" w:rsidP="001E6506" w14:paraId="4EA1A9BC" w14:textId="29F5A2E2">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(4) </w:t>
      </w:r>
      <w:r w:rsidRPr="001E6506">
        <w:rPr>
          <w:rFonts w:ascii="Arial" w:eastAsia="Times New Roman" w:hAnsi="Arial" w:cs="Arial"/>
          <w:i/>
          <w:iCs/>
          <w:color w:val="000000"/>
          <w:sz w:val="21"/>
          <w:szCs w:val="21"/>
        </w:rPr>
        <w:t>Fair market value of all assets.</w:t>
      </w:r>
      <w:r w:rsidRPr="001E6506">
        <w:rPr>
          <w:rFonts w:ascii="Arial" w:eastAsia="Times New Roman" w:hAnsi="Arial" w:cs="Arial"/>
          <w:color w:val="000000"/>
          <w:sz w:val="21"/>
          <w:szCs w:val="21"/>
        </w:rPr>
        <w:t> An individual will generally not be considered economically disadvantaged if the fair market value of all his or her assets (including his or her primary residence and the value of the applicant/Participant firm) exceeds $6</w:t>
      </w:r>
      <w:r w:rsidR="00550FA0">
        <w:rPr>
          <w:rFonts w:ascii="Arial" w:eastAsia="Times New Roman" w:hAnsi="Arial" w:cs="Arial"/>
          <w:color w:val="000000"/>
          <w:sz w:val="21"/>
          <w:szCs w:val="21"/>
        </w:rPr>
        <w:t>.5</w:t>
      </w:r>
      <w:r w:rsidRPr="001E6506">
        <w:rPr>
          <w:rFonts w:ascii="Arial" w:eastAsia="Times New Roman" w:hAnsi="Arial" w:cs="Arial"/>
          <w:color w:val="000000"/>
          <w:sz w:val="21"/>
          <w:szCs w:val="21"/>
        </w:rPr>
        <w:t xml:space="preserve"> million. The only assets excluded from this determination are funds excluded under paragraph (c)(2)(ii) of this section as being invested in a qualified IRA account.</w:t>
      </w:r>
    </w:p>
    <w:p w:rsidR="001E6506" w:rsidRPr="001E6506" w:rsidP="001E6506" w14:paraId="2AF97E8B" w14:textId="49FC61DF">
      <w:pPr>
        <w:shd w:val="clear" w:color="auto" w:fill="FFFFFF"/>
        <w:spacing w:before="200" w:after="100" w:afterAutospacing="1" w:line="240" w:lineRule="auto"/>
        <w:rPr>
          <w:rFonts w:ascii="Arial" w:eastAsia="Times New Roman" w:hAnsi="Arial" w:cs="Arial"/>
          <w:color w:val="000000"/>
          <w:sz w:val="18"/>
          <w:szCs w:val="18"/>
        </w:rPr>
      </w:pPr>
      <w:r w:rsidRPr="001E6506">
        <w:rPr>
          <w:rFonts w:ascii="Arial" w:eastAsia="Times New Roman" w:hAnsi="Arial" w:cs="Arial"/>
          <w:color w:val="000000"/>
          <w:sz w:val="18"/>
          <w:szCs w:val="18"/>
        </w:rPr>
        <w:t>[63 FR 35739, June 30, 1998, as amended at 76 FR 8254, Feb. 11, 2011; 81 FR 48580, July 25, 2016; 85 FR 27660, May 11, 2020</w:t>
      </w:r>
      <w:r w:rsidR="004764D5">
        <w:rPr>
          <w:rFonts w:ascii="Arial" w:eastAsia="Times New Roman" w:hAnsi="Arial" w:cs="Arial"/>
          <w:color w:val="000000"/>
          <w:sz w:val="18"/>
          <w:szCs w:val="18"/>
        </w:rPr>
        <w:t>;</w:t>
      </w:r>
      <w:r w:rsidR="00334827">
        <w:rPr>
          <w:rFonts w:ascii="Arial" w:eastAsia="Times New Roman" w:hAnsi="Arial" w:cs="Arial"/>
          <w:color w:val="000000"/>
          <w:sz w:val="18"/>
          <w:szCs w:val="18"/>
        </w:rPr>
        <w:t xml:space="preserve"> 87 FR 69154, Nov. 17, 2022; 88 FR 26204, Apr. 27</w:t>
      </w:r>
      <w:r w:rsidR="00797DB2">
        <w:rPr>
          <w:rFonts w:ascii="Arial" w:eastAsia="Times New Roman" w:hAnsi="Arial" w:cs="Arial"/>
          <w:color w:val="000000"/>
          <w:sz w:val="18"/>
          <w:szCs w:val="18"/>
        </w:rPr>
        <w:t>, 2023</w:t>
      </w:r>
      <w:r w:rsidRPr="001E6506">
        <w:rPr>
          <w:rFonts w:ascii="Arial" w:eastAsia="Times New Roman" w:hAnsi="Arial" w:cs="Arial"/>
          <w:color w:val="000000"/>
          <w:sz w:val="18"/>
          <w:szCs w:val="18"/>
        </w:rPr>
        <w:t>]</w:t>
      </w:r>
    </w:p>
    <w:p w:rsidR="001E6506" w:rsidRPr="001E6506" w:rsidP="001E6506" w14:paraId="3505BE31" w14:textId="77777777">
      <w:pPr>
        <w:shd w:val="clear" w:color="auto" w:fill="FFFFFF"/>
        <w:spacing w:before="200" w:after="100" w:line="240" w:lineRule="auto"/>
        <w:outlineLvl w:val="1"/>
        <w:rPr>
          <w:rFonts w:ascii="Arial" w:eastAsia="Times New Roman" w:hAnsi="Arial" w:cs="Arial"/>
          <w:b/>
          <w:bCs/>
          <w:color w:val="000000"/>
          <w:sz w:val="21"/>
          <w:szCs w:val="21"/>
        </w:rPr>
      </w:pPr>
      <w:r w:rsidRPr="001E6506">
        <w:rPr>
          <w:rFonts w:ascii="Arial" w:eastAsia="Times New Roman" w:hAnsi="Arial" w:cs="Arial"/>
          <w:b/>
          <w:bCs/>
          <w:color w:val="000000"/>
          <w:sz w:val="21"/>
          <w:szCs w:val="21"/>
        </w:rPr>
        <w:t>§124.112   What criteria must a business meet to remain eligible to participate in the 8(a) BD program?</w:t>
      </w:r>
    </w:p>
    <w:p w:rsidR="001E6506" w:rsidRPr="001E6506" w:rsidP="001E6506" w14:paraId="385E1DC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(a) </w:t>
      </w:r>
      <w:r w:rsidRPr="001E6506">
        <w:rPr>
          <w:rFonts w:ascii="Arial" w:eastAsia="Times New Roman" w:hAnsi="Arial" w:cs="Arial"/>
          <w:i/>
          <w:iCs/>
          <w:color w:val="000000"/>
          <w:sz w:val="21"/>
          <w:szCs w:val="21"/>
        </w:rPr>
        <w:t>Standards.</w:t>
      </w:r>
      <w:r w:rsidRPr="001E6506">
        <w:rPr>
          <w:rFonts w:ascii="Arial" w:eastAsia="Times New Roman" w:hAnsi="Arial" w:cs="Arial"/>
          <w:color w:val="000000"/>
          <w:sz w:val="21"/>
          <w:szCs w:val="21"/>
        </w:rPr>
        <w:t> </w:t>
      </w:r>
      <w:r w:rsidRPr="001E6506">
        <w:rPr>
          <w:rFonts w:ascii="Arial" w:eastAsia="Times New Roman" w:hAnsi="Arial" w:cs="Arial"/>
          <w:color w:val="000000"/>
          <w:sz w:val="21"/>
          <w:szCs w:val="21"/>
        </w:rPr>
        <w:t>In order for</w:t>
      </w:r>
      <w:r w:rsidRPr="001E6506">
        <w:rPr>
          <w:rFonts w:ascii="Arial" w:eastAsia="Times New Roman" w:hAnsi="Arial" w:cs="Arial"/>
          <w:color w:val="000000"/>
          <w:sz w:val="21"/>
          <w:szCs w:val="21"/>
        </w:rPr>
        <w:t xml:space="preserve"> a concern (except those owned by Indian tribes, ANCs, Native Hawaiian Organizations or CDCs) to remain eligible for 8(a) BD program participation, it must continue to meet all eligibility criteria contained in §124.101 through §124.108. For concerns owned by Indian tribes, ANCs, Native Hawaiian Organizations or CDCs to remain eligible, they must meet the criteria set forth in this §124.112 to the extent that they are not inconsistent with §124.109, §124.110 and §124.111, respectively. The concern must inform SBA in writing of any changes in circumstances which would adversely affect its program eligibility, especially economic disadvantage and ownership and control. Any concern that fails to meet the eligibility requirements after being admitted to the program will be subject to termination or early graduation under §§124.302 through 124.304, as appropriate.</w:t>
      </w:r>
    </w:p>
    <w:p w:rsidR="001E6506" w:rsidRPr="001E6506" w:rsidP="001E6506" w14:paraId="0DA9ACDF"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(b) </w:t>
      </w:r>
      <w:r w:rsidRPr="001E6506">
        <w:rPr>
          <w:rFonts w:ascii="Arial" w:eastAsia="Times New Roman" w:hAnsi="Arial" w:cs="Arial"/>
          <w:i/>
          <w:iCs/>
          <w:color w:val="000000"/>
          <w:sz w:val="21"/>
          <w:szCs w:val="21"/>
        </w:rPr>
        <w:t>Submissions supporting continued eligibility.</w:t>
      </w:r>
      <w:r w:rsidRPr="001E6506">
        <w:rPr>
          <w:rFonts w:ascii="Arial" w:eastAsia="Times New Roman" w:hAnsi="Arial" w:cs="Arial"/>
          <w:color w:val="000000"/>
          <w:sz w:val="21"/>
          <w:szCs w:val="21"/>
        </w:rPr>
        <w:t> As part of an annual review, each Participant must annually submit to the servicing district office the following:</w:t>
      </w:r>
    </w:p>
    <w:p w:rsidR="001E6506" w:rsidRPr="001E6506" w:rsidP="001E6506" w14:paraId="41599C5C"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(1) A certification that it meets the 8(a) BD program eligibility requirements as set forth in §124.101 through §124.108 and paragraph (a) of this </w:t>
      </w:r>
      <w:r w:rsidRPr="001E6506">
        <w:rPr>
          <w:rFonts w:ascii="Arial" w:eastAsia="Times New Roman" w:hAnsi="Arial" w:cs="Arial"/>
          <w:color w:val="000000"/>
          <w:sz w:val="21"/>
          <w:szCs w:val="21"/>
        </w:rPr>
        <w:t>section;</w:t>
      </w:r>
    </w:p>
    <w:p w:rsidR="001E6506" w:rsidRPr="001E6506" w:rsidP="001E6506" w14:paraId="25D05BD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(2) A certification that there have been no changed circumstances which could adversely affect the Participant's program eligibility. If the Participant is unable to provide such certification, the Participant must inform SBA of any changes and provide relevant supporting documentation.</w:t>
      </w:r>
    </w:p>
    <w:p w:rsidR="001E6506" w:rsidRPr="001E6506" w:rsidP="001E6506" w14:paraId="45607949"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(3) Personal financial information for each disadvantaged </w:t>
      </w:r>
      <w:r w:rsidRPr="001E6506">
        <w:rPr>
          <w:rFonts w:ascii="Arial" w:eastAsia="Times New Roman" w:hAnsi="Arial" w:cs="Arial"/>
          <w:color w:val="000000"/>
          <w:sz w:val="21"/>
          <w:szCs w:val="21"/>
        </w:rPr>
        <w:t>owner;</w:t>
      </w:r>
    </w:p>
    <w:p w:rsidR="001E6506" w:rsidRPr="001E6506" w:rsidP="001E6506" w14:paraId="2119BD1D"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(4) A record from each individual claiming disadvantaged status regarding the transfer of assets for less than fair market value to any immediate family member, or to a trust any beneficiary of which is an immediate family member, within two years of the date of the annual review. The record must </w:t>
      </w:r>
      <w:r w:rsidRPr="001E6506">
        <w:rPr>
          <w:rFonts w:ascii="Arial" w:eastAsia="Times New Roman" w:hAnsi="Arial" w:cs="Arial"/>
          <w:color w:val="000000"/>
          <w:sz w:val="21"/>
          <w:szCs w:val="21"/>
        </w:rPr>
        <w:t>provide the name of the recipient(s) and family relationship, and the difference between the fair market value of the asset transferred and the value received by the disadvantaged individual.</w:t>
      </w:r>
    </w:p>
    <w:p w:rsidR="001E6506" w:rsidRPr="001E6506" w:rsidP="001E6506" w14:paraId="7378C1F8"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(5) A record of all payments, compensation, and distributions (including loans, advances, salaries and dividends) made by the Participant to each of its owners, officers or directors, or to any person or entity affiliated with such </w:t>
      </w:r>
      <w:r w:rsidRPr="001E6506">
        <w:rPr>
          <w:rFonts w:ascii="Arial" w:eastAsia="Times New Roman" w:hAnsi="Arial" w:cs="Arial"/>
          <w:color w:val="000000"/>
          <w:sz w:val="21"/>
          <w:szCs w:val="21"/>
        </w:rPr>
        <w:t>individuals;</w:t>
      </w:r>
    </w:p>
    <w:p w:rsidR="001E6506" w:rsidRPr="001E6506" w:rsidP="001E6506" w14:paraId="7AB64F63"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(6) If it is an approved protégé, a narrative report detailing the contracts it has had with its mentor and benefits it has received from the mentor/protégé relationship. See §124.520(b)(4) for additional annual </w:t>
      </w:r>
      <w:r w:rsidRPr="001E6506">
        <w:rPr>
          <w:rFonts w:ascii="Arial" w:eastAsia="Times New Roman" w:hAnsi="Arial" w:cs="Arial"/>
          <w:color w:val="000000"/>
          <w:sz w:val="21"/>
          <w:szCs w:val="21"/>
        </w:rPr>
        <w:t>requirements;</w:t>
      </w:r>
    </w:p>
    <w:p w:rsidR="001E6506" w:rsidRPr="001E6506" w:rsidP="001E6506" w14:paraId="3F107264"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(7) A listing of any fees paid to agents or representatives to assist the Participant in obtaining or seeking to obtain a Federal </w:t>
      </w:r>
      <w:r w:rsidRPr="001E6506">
        <w:rPr>
          <w:rFonts w:ascii="Arial" w:eastAsia="Times New Roman" w:hAnsi="Arial" w:cs="Arial"/>
          <w:color w:val="000000"/>
          <w:sz w:val="21"/>
          <w:szCs w:val="21"/>
        </w:rPr>
        <w:t>contract;</w:t>
      </w:r>
    </w:p>
    <w:p w:rsidR="001E6506" w:rsidRPr="001E6506" w:rsidP="001E6506" w14:paraId="75012FAE"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(8) A report for each </w:t>
      </w:r>
      <w:r w:rsidRPr="001E6506">
        <w:rPr>
          <w:rFonts w:ascii="Arial" w:eastAsia="Times New Roman" w:hAnsi="Arial" w:cs="Arial"/>
          <w:color w:val="000000"/>
          <w:sz w:val="21"/>
          <w:szCs w:val="21"/>
        </w:rPr>
        <w:t>8(a) contract</w:t>
      </w:r>
      <w:r w:rsidRPr="001E6506">
        <w:rPr>
          <w:rFonts w:ascii="Arial" w:eastAsia="Times New Roman" w:hAnsi="Arial" w:cs="Arial"/>
          <w:color w:val="000000"/>
          <w:sz w:val="21"/>
          <w:szCs w:val="21"/>
        </w:rPr>
        <w:t xml:space="preserve"> performed during the year explaining how the performance of work requirements are being met for the contract, including any 8(a) contracts performed as a joint venture; and</w:t>
      </w:r>
    </w:p>
    <w:p w:rsidR="001E6506" w:rsidRPr="001E6506" w:rsidP="001E6506" w14:paraId="498F1FBF"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(9) Such other information as SBA may deem necessary. For other required annual submissions, </w:t>
      </w:r>
      <w:r w:rsidRPr="001E6506">
        <w:rPr>
          <w:rFonts w:ascii="Arial" w:eastAsia="Times New Roman" w:hAnsi="Arial" w:cs="Arial"/>
          <w:i/>
          <w:iCs/>
          <w:color w:val="000000"/>
          <w:sz w:val="21"/>
          <w:szCs w:val="21"/>
        </w:rPr>
        <w:t>see</w:t>
      </w:r>
      <w:r w:rsidRPr="001E6506">
        <w:rPr>
          <w:rFonts w:ascii="Arial" w:eastAsia="Times New Roman" w:hAnsi="Arial" w:cs="Arial"/>
          <w:color w:val="000000"/>
          <w:sz w:val="21"/>
          <w:szCs w:val="21"/>
        </w:rPr>
        <w:t> §§124.601 through 124.603.</w:t>
      </w:r>
    </w:p>
    <w:p w:rsidR="001E6506" w:rsidRPr="001E6506" w:rsidP="001E6506" w14:paraId="12C1ADD8"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(c) </w:t>
      </w:r>
      <w:r w:rsidRPr="001E6506">
        <w:rPr>
          <w:rFonts w:ascii="Arial" w:eastAsia="Times New Roman" w:hAnsi="Arial" w:cs="Arial"/>
          <w:i/>
          <w:iCs/>
          <w:color w:val="000000"/>
          <w:sz w:val="21"/>
          <w:szCs w:val="21"/>
        </w:rPr>
        <w:t>Eligibility reviews.</w:t>
      </w:r>
      <w:r w:rsidRPr="001E6506">
        <w:rPr>
          <w:rFonts w:ascii="Arial" w:eastAsia="Times New Roman" w:hAnsi="Arial" w:cs="Arial"/>
          <w:color w:val="000000"/>
          <w:sz w:val="21"/>
          <w:szCs w:val="21"/>
        </w:rPr>
        <w:t> (1) Upon receipt of specific and credible information alleging that a Participant no longer meets the eligibility requirements for continued program eligibility, SBA will review the concern's eligibility for continued participation in the program.</w:t>
      </w:r>
    </w:p>
    <w:p w:rsidR="001E6506" w:rsidRPr="001E6506" w:rsidP="001E6506" w14:paraId="2B36E793"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(2) Sufficient reasons for SBA to conclude that a socially disadvantaged individual is no longer economically disadvantaged include, but are not limited to, excessive withdrawals of funds or other assets withdrawn from the concern by its owners, or substantial personal assets, income or net worth of any disadvantaged owner. SBA may also consider access by the Participant firm to a significant new source of capital or loans since the financial condition of the Participant is considered in evaluating the disadvantaged individual's economic status.</w:t>
      </w:r>
    </w:p>
    <w:p w:rsidR="001E6506" w:rsidRPr="001E6506" w:rsidP="001E6506" w14:paraId="745EBD67"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(d) </w:t>
      </w:r>
      <w:r w:rsidRPr="001E6506">
        <w:rPr>
          <w:rFonts w:ascii="Arial" w:eastAsia="Times New Roman" w:hAnsi="Arial" w:cs="Arial"/>
          <w:i/>
          <w:iCs/>
          <w:color w:val="000000"/>
          <w:sz w:val="21"/>
          <w:szCs w:val="21"/>
        </w:rPr>
        <w:t>Excessive withdrawals.</w:t>
      </w:r>
      <w:r w:rsidRPr="001E6506">
        <w:rPr>
          <w:rFonts w:ascii="Arial" w:eastAsia="Times New Roman" w:hAnsi="Arial" w:cs="Arial"/>
          <w:color w:val="000000"/>
          <w:sz w:val="21"/>
          <w:szCs w:val="21"/>
        </w:rPr>
        <w:t xml:space="preserve"> (1) The term withdrawal includes, but is not limited to, the following: Cash dividends; distributions </w:t>
      </w:r>
      <w:r w:rsidRPr="001E6506">
        <w:rPr>
          <w:rFonts w:ascii="Arial" w:eastAsia="Times New Roman" w:hAnsi="Arial" w:cs="Arial"/>
          <w:color w:val="000000"/>
          <w:sz w:val="21"/>
          <w:szCs w:val="21"/>
        </w:rPr>
        <w:t>in excess of</w:t>
      </w:r>
      <w:r w:rsidRPr="001E6506">
        <w:rPr>
          <w:rFonts w:ascii="Arial" w:eastAsia="Times New Roman" w:hAnsi="Arial" w:cs="Arial"/>
          <w:color w:val="000000"/>
          <w:sz w:val="21"/>
          <w:szCs w:val="21"/>
        </w:rPr>
        <w:t xml:space="preserve"> amounts needed to pay S Corporation, LLC or partnership taxes; cash and property withdrawals; payments to immediate family members not employed by the Participant; bonuses to officers; and investments on behalf of an owner. Although officers' salaries are generally not considered withdrawals for purposes of this paragraph, SBA will count those salaries as withdrawals where SBA believes that a firm is attempting to circumvent the excessive withdrawal limitations through the payment of officers' salaries. SBA will look at the totality of the circumstances in determining whether to include any specific amount as a withdrawal under this paragraph.</w:t>
      </w:r>
    </w:p>
    <w:p w:rsidR="001E6506" w:rsidRPr="001E6506" w:rsidP="001E6506" w14:paraId="719511CD"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(2) If SBA determines that funds or assets have been excessively withdrawn from the Participant for the personal benefit of one or more owners or managers, or any person or entity affiliated with such owners or managers, and such withdrawal was detrimental to the achievement of the targets, objectives, and goals contained in the Participant's business plan, SBA may:</w:t>
      </w:r>
    </w:p>
    <w:p w:rsidR="001E6506" w:rsidRPr="001E6506" w:rsidP="001E6506" w14:paraId="7ED8C933"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(i) Initiate termination proceedings under §§124.303 and 124.304 where the withdrawals detrimentally affect the achievement of the Participant's targets, objectives and goals set forth in its business plan, or its overall business </w:t>
      </w:r>
      <w:r w:rsidRPr="001E6506">
        <w:rPr>
          <w:rFonts w:ascii="Arial" w:eastAsia="Times New Roman" w:hAnsi="Arial" w:cs="Arial"/>
          <w:color w:val="000000"/>
          <w:sz w:val="21"/>
          <w:szCs w:val="21"/>
        </w:rPr>
        <w:t>development;</w:t>
      </w:r>
    </w:p>
    <w:p w:rsidR="001E6506" w:rsidRPr="001E6506" w:rsidP="001E6506" w14:paraId="5DABA0BD"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 Initiate early graduation proceedings under §§124.302 and 124.303 where the withdrawals do not adversely affect the Participant's business development; or</w:t>
      </w:r>
    </w:p>
    <w:p w:rsidR="001E6506" w:rsidRPr="001E6506" w:rsidP="001E6506" w14:paraId="1C424C34"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(iii) Require an appropriate reinvestment of funds or other assets, as well as any other actions SBA deems necessary to counteract the detrimental effects of the withdrawals, as a condition of the Participant maintaining program eligibility.</w:t>
      </w:r>
    </w:p>
    <w:p w:rsidR="001E6506" w:rsidRPr="001E6506" w:rsidP="001E6506" w14:paraId="36721CB1"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(3) Withdrawals are excessive if in the aggregate during any fiscal year of the Participant they exceed (i) $250,000 for firms with sales up to $1,000,000; (ii) $300,000 for firms with sales between $1,000,000 and $2,000,000; and (iii) $400,000 for firms with sales exceeding $2,000,000.</w:t>
      </w:r>
    </w:p>
    <w:p w:rsidR="001E6506" w:rsidRPr="001E6506" w:rsidP="001E6506" w14:paraId="52C375CF"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(4) The fact that a concern's net worth has increased despite withdrawals that are deemed excessive will not preclude SBA from determining that such withdrawals were detrimental to the attainment of the concern's business objectives or to its overall business development.</w:t>
      </w:r>
    </w:p>
    <w:p w:rsidR="001E6506" w:rsidRPr="001E6506" w:rsidP="001E6506" w14:paraId="2F8B794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(5) The excessive withdrawal analysis does not apply to Participants owned by Tribes, ANCs, NHOs, or CDCs where a withdrawal is made for the benefit of the Tribe, ANC, NHO, CDC or the native or shareholder community. It does, however, apply to withdrawals from a firm owned by a Tribe, ANC, NHO, or CDC that do not benefit the relevant entity or community. Thus, if funds or assets are withdrawn from an entity-owned Participant for the benefit of a non-disadvantaged manager or owner that exceed the withdrawal thresholds, SBA may find that withdrawal to be excessive. However, a non-disadvantaged minority owner may receive a payout in excess of the excessive withdrawal amount if it is a pro rata distribution paid to all shareholders (</w:t>
      </w:r>
      <w:r w:rsidRPr="001E6506">
        <w:rPr>
          <w:rFonts w:ascii="Arial" w:eastAsia="Times New Roman" w:hAnsi="Arial" w:cs="Arial"/>
          <w:i/>
          <w:iCs/>
          <w:color w:val="000000"/>
          <w:sz w:val="21"/>
          <w:szCs w:val="21"/>
        </w:rPr>
        <w:t>i.e.,</w:t>
      </w:r>
      <w:r w:rsidRPr="001E6506">
        <w:rPr>
          <w:rFonts w:ascii="Arial" w:eastAsia="Times New Roman" w:hAnsi="Arial" w:cs="Arial"/>
          <w:color w:val="000000"/>
          <w:sz w:val="21"/>
          <w:szCs w:val="21"/>
        </w:rPr>
        <w:t> the only way to increase the distribution to the Tribe, ANC, NHO or CDC is to increase the distribution to all shareholders</w:t>
      </w:r>
      <w:r w:rsidRPr="001E6506">
        <w:rPr>
          <w:rFonts w:ascii="Arial" w:eastAsia="Times New Roman" w:hAnsi="Arial" w:cs="Arial"/>
          <w:color w:val="000000"/>
          <w:sz w:val="21"/>
          <w:szCs w:val="21"/>
        </w:rPr>
        <w:t>)</w:t>
      </w:r>
      <w:r w:rsidRPr="001E6506">
        <w:rPr>
          <w:rFonts w:ascii="Arial" w:eastAsia="Times New Roman" w:hAnsi="Arial" w:cs="Arial"/>
          <w:color w:val="000000"/>
          <w:sz w:val="21"/>
          <w:szCs w:val="21"/>
        </w:rPr>
        <w:t xml:space="preserve"> and it does not adversely affect the business development of the Participant.</w:t>
      </w:r>
    </w:p>
    <w:p w:rsidR="001E6506" w:rsidRPr="001E6506" w:rsidP="001E6506" w14:paraId="14B8E5B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i/>
          <w:iCs/>
          <w:color w:val="000000"/>
          <w:sz w:val="21"/>
          <w:szCs w:val="21"/>
        </w:rPr>
        <w:t>Example 1 to paragraph (d)(5).</w:t>
      </w:r>
      <w:r w:rsidRPr="001E6506">
        <w:rPr>
          <w:rFonts w:ascii="Arial" w:eastAsia="Times New Roman" w:hAnsi="Arial" w:cs="Arial"/>
          <w:color w:val="000000"/>
          <w:sz w:val="21"/>
          <w:szCs w:val="21"/>
        </w:rPr>
        <w:t> </w:t>
      </w:r>
      <w:r w:rsidRPr="001E6506">
        <w:rPr>
          <w:rFonts w:ascii="Arial" w:eastAsia="Times New Roman" w:hAnsi="Arial" w:cs="Arial"/>
          <w:color w:val="000000"/>
          <w:sz w:val="21"/>
          <w:szCs w:val="21"/>
        </w:rPr>
        <w:t>Tribally-owned</w:t>
      </w:r>
      <w:r w:rsidRPr="001E6506">
        <w:rPr>
          <w:rFonts w:ascii="Arial" w:eastAsia="Times New Roman" w:hAnsi="Arial" w:cs="Arial"/>
          <w:color w:val="000000"/>
          <w:sz w:val="21"/>
          <w:szCs w:val="21"/>
        </w:rPr>
        <w:t xml:space="preserve"> Participant X pays $1,000,000 to a non-disadvantaged manager. If that was not part of a pro rata distribution to all shareholders, that would be deemed an excessive withdrawal.</w:t>
      </w:r>
    </w:p>
    <w:p w:rsidR="001E6506" w:rsidRPr="001E6506" w:rsidP="001E6506" w14:paraId="1451BBE2"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i/>
          <w:iCs/>
          <w:color w:val="000000"/>
          <w:sz w:val="21"/>
          <w:szCs w:val="21"/>
        </w:rPr>
        <w:t>Example 2 to paragraph (d)(5).</w:t>
      </w:r>
      <w:r w:rsidRPr="001E6506">
        <w:rPr>
          <w:rFonts w:ascii="Arial" w:eastAsia="Times New Roman" w:hAnsi="Arial" w:cs="Arial"/>
          <w:color w:val="000000"/>
          <w:sz w:val="21"/>
          <w:szCs w:val="21"/>
        </w:rPr>
        <w:t> ANC-owned Participant Y seeks to distribute $550,000 to the ANC and $450,000 to non-disadvantaged individual A based on their 55%/45% ownership interests. Because the distribution is based on the pro rata share of ownership, this would not be prohibited as an excessive withdrawal unless SBA determined that Y would be adversely affected.</w:t>
      </w:r>
    </w:p>
    <w:p w:rsidR="001E6506" w:rsidRPr="001E6506" w:rsidP="001E6506" w14:paraId="1EA18021"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(e) </w:t>
      </w:r>
      <w:r w:rsidRPr="001E6506">
        <w:rPr>
          <w:rFonts w:ascii="Arial" w:eastAsia="Times New Roman" w:hAnsi="Arial" w:cs="Arial"/>
          <w:i/>
          <w:iCs/>
          <w:color w:val="000000"/>
          <w:sz w:val="21"/>
          <w:szCs w:val="21"/>
        </w:rPr>
        <w:t>Change in primary industry classification.</w:t>
      </w:r>
      <w:r w:rsidRPr="001E6506">
        <w:rPr>
          <w:rFonts w:ascii="Arial" w:eastAsia="Times New Roman" w:hAnsi="Arial" w:cs="Arial"/>
          <w:color w:val="000000"/>
          <w:sz w:val="21"/>
          <w:szCs w:val="21"/>
        </w:rPr>
        <w:t xml:space="preserve"> (1) A Participant may request that the primary industry classification contained in its business plan be changed by filing such a request with its servicing SBA district office. SBA will grant such a request where the Participant can demonstrate that </w:t>
      </w:r>
      <w:r w:rsidRPr="001E6506">
        <w:rPr>
          <w:rFonts w:ascii="Arial" w:eastAsia="Times New Roman" w:hAnsi="Arial" w:cs="Arial"/>
          <w:color w:val="000000"/>
          <w:sz w:val="21"/>
          <w:szCs w:val="21"/>
        </w:rPr>
        <w:t>the majority of</w:t>
      </w:r>
      <w:r w:rsidRPr="001E6506">
        <w:rPr>
          <w:rFonts w:ascii="Arial" w:eastAsia="Times New Roman" w:hAnsi="Arial" w:cs="Arial"/>
          <w:color w:val="000000"/>
          <w:sz w:val="21"/>
          <w:szCs w:val="21"/>
        </w:rPr>
        <w:t xml:space="preserve"> its total revenues during a three-year period have evolved from one NAICS code to another.</w:t>
      </w:r>
    </w:p>
    <w:p w:rsidR="001E6506" w:rsidRPr="001E6506" w:rsidP="001E6506" w14:paraId="34BD4037"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(2) SBA may change the primary industry classification contained in a Participant's business plan where the greatest portion of the Participant's total revenues during the Participant's last three completed fiscal years has evolved from one NAICS code to another. As part of its annual review, SBA will consider whether the primary NAICS code contained in a Participant's business plan continues to be appropriate.</w:t>
      </w:r>
    </w:p>
    <w:p w:rsidR="001E6506" w:rsidRPr="001E6506" w:rsidP="001E6506" w14:paraId="5B5549BB"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 Where SBA believes that the primary industry classification contained in a Participant's business plan does not match the Participant's actual revenues over the Participant's most recently completed three fiscal years, SBA may notify the Participant of its intent to change the Participant's primary industry classification and afford the Participant the opportunity to respond.</w:t>
      </w:r>
    </w:p>
    <w:p w:rsidR="001E6506" w:rsidRPr="001E6506" w:rsidP="001E6506" w14:paraId="71FA7D45"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 A Participant may challenge SBA's intent to change its primary industry classification by demonstrating why it believes the primary industry classification contained in its business plan continues to be appropriate, despite an increase in revenues in a secondary NAICS code beyond those received in its designated primary industry classification. The Participant should identify: All non-federal work that it has performed in its primary NAICS code; any efforts it has made and any plans it has to make to receive contracts to obtain contracts in its primary NAICS code; all contracts that it was awarded that it believes could have been classified under its primary NAICS code, but which a contracting officer assigned another reasonable NAICS code; and any other information that it believes has a bearing on why its primary NAICS code should not be changed despite performing more work in another NAICS code.</w:t>
      </w:r>
    </w:p>
    <w:p w:rsidR="001E6506" w:rsidRPr="001E6506" w:rsidP="001E6506" w14:paraId="31A4C750"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(iii) As long as the Participant provides a reasonable explanation as to why the identified primary NAICS code continues to be its primary NAICS code, SBA will not change the Participant's primary NAICS code.</w:t>
      </w:r>
    </w:p>
    <w:p w:rsidR="001E6506" w:rsidRPr="001E6506" w:rsidP="001E6506" w14:paraId="197F1CA9"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(iv) A Participant may appeal a district office's decision to change its primary NAICS code to SBA's Associate General Counsel for Procurement Law (AGC/PL) within 10 business days of receiving the district office's final determination. The AGC/PL will examine the record, including all information submitted by the Participant in support of its position as to why the primary NAICS code contained in its business plan continues to be appropriate despite performing more work in another NAICS code, and issue a final agency decision within 15 business days of receiving the appeal.</w:t>
      </w:r>
    </w:p>
    <w:p w:rsidR="001E6506" w:rsidRPr="001E6506" w:rsidP="001E6506" w14:paraId="3C7B35A5"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(v) Where an SBA change in the primary NAICS code of an entity-owned firm results in the entity having two Participants with the same primary NAICS code, the second, newer Participant will not be able to receive any 8(a) contracts in the six-digit NAICS code that is the primary NAICS code of the first, older Participant for a period of time equal to two years after the first Participant leaves the 8(a) BD program.</w:t>
      </w:r>
    </w:p>
    <w:p w:rsidR="001E6506" w:rsidRPr="001E6506" w:rsidP="001E6506" w14:paraId="5DC5C1E6"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(f) </w:t>
      </w:r>
      <w:r w:rsidRPr="001E6506">
        <w:rPr>
          <w:rFonts w:ascii="Arial" w:eastAsia="Times New Roman" w:hAnsi="Arial" w:cs="Arial"/>
          <w:i/>
          <w:iCs/>
          <w:color w:val="000000"/>
          <w:sz w:val="21"/>
          <w:szCs w:val="21"/>
        </w:rPr>
        <w:t>Graduation determination.</w:t>
      </w:r>
      <w:r w:rsidRPr="001E6506">
        <w:rPr>
          <w:rFonts w:ascii="Arial" w:eastAsia="Times New Roman" w:hAnsi="Arial" w:cs="Arial"/>
          <w:color w:val="000000"/>
          <w:sz w:val="21"/>
          <w:szCs w:val="21"/>
        </w:rPr>
        <w:t> As part of the final annual review performed by SBA prior to the expiration of a Participant's nine-year program term, SBA will determine if the Participant has met the targets, objectives and goals set forth in its business plan and, thus, whether the Participant will be considered to have graduated from the 8(a) BD program at the expiration of its program term. A firm that has not met the targets, objectives and goals set forth in its business plan at the end of its nine-year term in the 8(a) BD program will not be considered to have graduated from the 8(a) BD program, but rather to have merely completed its program term.</w:t>
      </w:r>
    </w:p>
    <w:p w:rsidR="001E6506" w:rsidRPr="001E6506" w:rsidP="001E6506" w14:paraId="06AC6EEC" w14:textId="77777777">
      <w:pPr>
        <w:shd w:val="clear" w:color="auto" w:fill="FFFFFF"/>
        <w:spacing w:before="200" w:after="100" w:afterAutospacing="1" w:line="240" w:lineRule="auto"/>
        <w:rPr>
          <w:rFonts w:ascii="Arial" w:eastAsia="Times New Roman" w:hAnsi="Arial" w:cs="Arial"/>
          <w:color w:val="000000"/>
          <w:sz w:val="18"/>
          <w:szCs w:val="18"/>
        </w:rPr>
      </w:pPr>
      <w:r w:rsidRPr="001E6506">
        <w:rPr>
          <w:rFonts w:ascii="Arial" w:eastAsia="Times New Roman" w:hAnsi="Arial" w:cs="Arial"/>
          <w:color w:val="000000"/>
          <w:sz w:val="18"/>
          <w:szCs w:val="18"/>
        </w:rPr>
        <w:t>[63 FR 35739, June 30, 1998, as amended at 76 FR 8257, Feb. 11, 2011; 77 FR 28237, May 14, 2012; 81 FR 48581, July 25, 2016; 81 FR 71983, Oct. 19, 2016; 85 FR 66185, Oct. 16, 2020]</w:t>
      </w:r>
    </w:p>
    <w:p w:rsidR="005C4870" w:rsidRPr="001E6506" w:rsidP="005C4870" w14:paraId="1119090C" w14:textId="444ADD2F">
      <w:pPr>
        <w:rPr>
          <w:rFonts w:ascii="Times New Roman" w:hAnsi="Times New Roman" w:cs="Times New Roman"/>
          <w:sz w:val="24"/>
          <w:szCs w:val="24"/>
          <w:u w:val="single"/>
        </w:rPr>
      </w:pPr>
      <w:r w:rsidRPr="001E6506">
        <w:rPr>
          <w:rFonts w:ascii="Times New Roman" w:hAnsi="Times New Roman" w:cs="Times New Roman"/>
          <w:sz w:val="24"/>
          <w:szCs w:val="24"/>
          <w:u w:val="single"/>
        </w:rPr>
        <w:t>A</w:t>
      </w:r>
      <w:r w:rsidRPr="001E6506">
        <w:rPr>
          <w:rFonts w:ascii="Times New Roman" w:hAnsi="Times New Roman" w:cs="Times New Roman"/>
          <w:sz w:val="24"/>
          <w:szCs w:val="24"/>
          <w:u w:val="single"/>
        </w:rPr>
        <w:t>s well as 13 CFR § 127.203</w:t>
      </w:r>
    </w:p>
    <w:p w:rsidR="001E6506" w:rsidRPr="001E6506" w:rsidP="001E6506" w14:paraId="46B7D25E" w14:textId="77777777">
      <w:pPr>
        <w:shd w:val="clear" w:color="auto" w:fill="FFFFFF"/>
        <w:spacing w:before="200" w:after="100" w:line="240" w:lineRule="auto"/>
        <w:outlineLvl w:val="1"/>
        <w:rPr>
          <w:rFonts w:ascii="Arial" w:eastAsia="Times New Roman" w:hAnsi="Arial" w:cs="Arial"/>
          <w:b/>
          <w:bCs/>
          <w:color w:val="000000"/>
          <w:sz w:val="21"/>
          <w:szCs w:val="21"/>
        </w:rPr>
      </w:pPr>
      <w:r w:rsidRPr="001E6506">
        <w:rPr>
          <w:rFonts w:ascii="Arial" w:eastAsia="Times New Roman" w:hAnsi="Arial" w:cs="Arial"/>
          <w:b/>
          <w:bCs/>
          <w:color w:val="000000"/>
          <w:sz w:val="21"/>
          <w:szCs w:val="21"/>
        </w:rPr>
        <w:t>§127.203   What are the rules governing the requirement that economically disadvantaged women must own EDWOSBs?</w:t>
      </w:r>
    </w:p>
    <w:p w:rsidR="001E6506" w:rsidRPr="001E6506" w:rsidP="001E6506" w14:paraId="150E2CA7"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(a) </w:t>
      </w:r>
      <w:r w:rsidRPr="001E6506">
        <w:rPr>
          <w:rFonts w:ascii="Arial" w:eastAsia="Times New Roman" w:hAnsi="Arial" w:cs="Arial"/>
          <w:i/>
          <w:iCs/>
          <w:color w:val="000000"/>
          <w:sz w:val="21"/>
          <w:szCs w:val="21"/>
        </w:rPr>
        <w:t>General.</w:t>
      </w:r>
      <w:r w:rsidRPr="001E6506">
        <w:rPr>
          <w:rFonts w:ascii="Arial" w:eastAsia="Times New Roman" w:hAnsi="Arial" w:cs="Arial"/>
          <w:color w:val="000000"/>
          <w:sz w:val="21"/>
          <w:szCs w:val="21"/>
        </w:rPr>
        <w:t> To qualify as an EDWOSB, the concern must be at least 51 percent owned by one or more women who are economically disadvantaged. A woman is economically disadvantaged if she can demonstrate that her ability to compete in the free enterprise system has been impaired due to diminished capital and credit opportunities as compared to others in the same or similar line of business. SBA does not take into consideration community property laws when determining economic disadvantage when the woman has no direct, individual or separate ownership interest in the property.</w:t>
      </w:r>
    </w:p>
    <w:p w:rsidR="001E6506" w:rsidRPr="001E6506" w:rsidP="001E6506" w14:paraId="5BD3C79A" w14:textId="38FFA2EE">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(b) </w:t>
      </w:r>
      <w:r w:rsidRPr="001E6506">
        <w:rPr>
          <w:rFonts w:ascii="Arial" w:eastAsia="Times New Roman" w:hAnsi="Arial" w:cs="Arial"/>
          <w:i/>
          <w:iCs/>
          <w:color w:val="000000"/>
          <w:sz w:val="21"/>
          <w:szCs w:val="21"/>
        </w:rPr>
        <w:t>Limitation on personal net worth.</w:t>
      </w:r>
      <w:r w:rsidRPr="001E6506">
        <w:rPr>
          <w:rFonts w:ascii="Arial" w:eastAsia="Times New Roman" w:hAnsi="Arial" w:cs="Arial"/>
          <w:color w:val="000000"/>
          <w:sz w:val="21"/>
          <w:szCs w:val="21"/>
        </w:rPr>
        <w:t> (1) In order to be considered economically disadvantaged, the woman's personal net worth must be less than $</w:t>
      </w:r>
      <w:r w:rsidR="00E0001E">
        <w:rPr>
          <w:rFonts w:ascii="Arial" w:eastAsia="Times New Roman" w:hAnsi="Arial" w:cs="Arial"/>
          <w:color w:val="000000"/>
          <w:sz w:val="21"/>
          <w:szCs w:val="21"/>
        </w:rPr>
        <w:t>8</w:t>
      </w:r>
      <w:r w:rsidRPr="001E6506">
        <w:rPr>
          <w:rFonts w:ascii="Arial" w:eastAsia="Times New Roman" w:hAnsi="Arial" w:cs="Arial"/>
          <w:color w:val="000000"/>
          <w:sz w:val="21"/>
          <w:szCs w:val="21"/>
        </w:rPr>
        <w:t>50,000, excluding her ownership interest in the concern and her equity interest in her primary personal residence.</w:t>
      </w:r>
    </w:p>
    <w:p w:rsidR="001E6506" w:rsidRPr="001E6506" w:rsidP="001E6506" w14:paraId="669D3CF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(2) Income received from an EDWOSB that is an S corporation, LLC or partnership will be excluded from net worth where the EDWOSB provides documentary evidence demonstrating that the income was reinvested in the business </w:t>
      </w:r>
      <w:r w:rsidRPr="001E6506">
        <w:rPr>
          <w:rFonts w:ascii="Arial" w:eastAsia="Times New Roman" w:hAnsi="Arial" w:cs="Arial"/>
          <w:color w:val="000000"/>
          <w:sz w:val="21"/>
          <w:szCs w:val="21"/>
        </w:rPr>
        <w:t>concern</w:t>
      </w:r>
      <w:r w:rsidRPr="001E6506">
        <w:rPr>
          <w:rFonts w:ascii="Arial" w:eastAsia="Times New Roman" w:hAnsi="Arial" w:cs="Arial"/>
          <w:color w:val="000000"/>
          <w:sz w:val="21"/>
          <w:szCs w:val="21"/>
        </w:rPr>
        <w:t xml:space="preserve"> or the distribution was solely for the purposes of paying taxes arising in the normal course of operations of the business concern. Losses from the S corporation, LLC or partnership, however, are losses to the EDWOSB only, not losses to the individual, and cannot be used to reduce an individual's net worth.</w:t>
      </w:r>
    </w:p>
    <w:p w:rsidR="001E6506" w:rsidRPr="001E6506" w:rsidP="001E6506" w14:paraId="39394173"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(3) Funds invested in an Individual Retirement Account (IRA</w:t>
      </w:r>
      <w:r w:rsidRPr="001E6506">
        <w:rPr>
          <w:rFonts w:ascii="Arial" w:eastAsia="Times New Roman" w:hAnsi="Arial" w:cs="Arial"/>
          <w:color w:val="000000"/>
          <w:sz w:val="21"/>
          <w:szCs w:val="21"/>
        </w:rPr>
        <w:t>)</w:t>
      </w:r>
      <w:r w:rsidRPr="001E6506">
        <w:rPr>
          <w:rFonts w:ascii="Arial" w:eastAsia="Times New Roman" w:hAnsi="Arial" w:cs="Arial"/>
          <w:color w:val="000000"/>
          <w:sz w:val="21"/>
          <w:szCs w:val="21"/>
        </w:rPr>
        <w:t xml:space="preserve"> or other official retirement account will not be considered in determining an individual's net worth. </w:t>
      </w:r>
      <w:r w:rsidRPr="001E6506">
        <w:rPr>
          <w:rFonts w:ascii="Arial" w:eastAsia="Times New Roman" w:hAnsi="Arial" w:cs="Arial"/>
          <w:color w:val="000000"/>
          <w:sz w:val="21"/>
          <w:szCs w:val="21"/>
        </w:rPr>
        <w:t>In order to</w:t>
      </w:r>
      <w:r w:rsidRPr="001E6506">
        <w:rPr>
          <w:rFonts w:ascii="Arial" w:eastAsia="Times New Roman" w:hAnsi="Arial" w:cs="Arial"/>
          <w:color w:val="000000"/>
          <w:sz w:val="21"/>
          <w:szCs w:val="21"/>
        </w:rPr>
        <w:t xml:space="preserve"> properly assess whether funds invested in a retirement account may be excluded from a woman's net worth, she must provide information about the terms and restrictions of the account to SBA and certify that the retirement account is legitimate.</w:t>
      </w:r>
    </w:p>
    <w:p w:rsidR="001E6506" w:rsidRPr="001E6506" w:rsidP="001E6506" w14:paraId="6490B191"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(c) </w:t>
      </w:r>
      <w:r w:rsidRPr="001E6506">
        <w:rPr>
          <w:rFonts w:ascii="Arial" w:eastAsia="Times New Roman" w:hAnsi="Arial" w:cs="Arial"/>
          <w:i/>
          <w:iCs/>
          <w:color w:val="000000"/>
          <w:sz w:val="21"/>
          <w:szCs w:val="21"/>
        </w:rPr>
        <w:t>Factors to be considered.</w:t>
      </w:r>
      <w:r w:rsidRPr="001E6506">
        <w:rPr>
          <w:rFonts w:ascii="Arial" w:eastAsia="Times New Roman" w:hAnsi="Arial" w:cs="Arial"/>
          <w:color w:val="000000"/>
          <w:sz w:val="21"/>
          <w:szCs w:val="21"/>
        </w:rPr>
        <w:t> (1) </w:t>
      </w:r>
      <w:r w:rsidRPr="001E6506">
        <w:rPr>
          <w:rFonts w:ascii="Arial" w:eastAsia="Times New Roman" w:hAnsi="Arial" w:cs="Arial"/>
          <w:i/>
          <w:iCs/>
          <w:color w:val="000000"/>
          <w:sz w:val="21"/>
          <w:szCs w:val="21"/>
        </w:rPr>
        <w:t>General.</w:t>
      </w:r>
      <w:r w:rsidRPr="001E6506">
        <w:rPr>
          <w:rFonts w:ascii="Arial" w:eastAsia="Times New Roman" w:hAnsi="Arial" w:cs="Arial"/>
          <w:color w:val="000000"/>
          <w:sz w:val="21"/>
          <w:szCs w:val="21"/>
        </w:rPr>
        <w:t xml:space="preserve"> The personal financial condition of the woman claiming economic disadvantage, including her personal income for the past three years (including bonuses, and the value of company stock given in lieu of cash), her personal net worth and the fair market value of </w:t>
      </w:r>
      <w:r w:rsidRPr="001E6506">
        <w:rPr>
          <w:rFonts w:ascii="Arial" w:eastAsia="Times New Roman" w:hAnsi="Arial" w:cs="Arial"/>
          <w:color w:val="000000"/>
          <w:sz w:val="21"/>
          <w:szCs w:val="21"/>
        </w:rPr>
        <w:t>all of</w:t>
      </w:r>
      <w:r w:rsidRPr="001E6506">
        <w:rPr>
          <w:rFonts w:ascii="Arial" w:eastAsia="Times New Roman" w:hAnsi="Arial" w:cs="Arial"/>
          <w:color w:val="000000"/>
          <w:sz w:val="21"/>
          <w:szCs w:val="21"/>
        </w:rPr>
        <w:t xml:space="preserve"> her assets, whether encumbered or not, will be considered in determining whether she is economically disadvantaged.</w:t>
      </w:r>
    </w:p>
    <w:p w:rsidR="001E6506" w:rsidRPr="001E6506" w:rsidP="001E6506" w14:paraId="1DF8EAE2"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(2) </w:t>
      </w:r>
      <w:r w:rsidRPr="001E6506">
        <w:rPr>
          <w:rFonts w:ascii="Arial" w:eastAsia="Times New Roman" w:hAnsi="Arial" w:cs="Arial"/>
          <w:i/>
          <w:iCs/>
          <w:color w:val="000000"/>
          <w:sz w:val="21"/>
          <w:szCs w:val="21"/>
        </w:rPr>
        <w:t>Spouse's financial situation.</w:t>
      </w:r>
      <w:r w:rsidRPr="001E6506">
        <w:rPr>
          <w:rFonts w:ascii="Arial" w:eastAsia="Times New Roman" w:hAnsi="Arial" w:cs="Arial"/>
          <w:color w:val="000000"/>
          <w:sz w:val="21"/>
          <w:szCs w:val="21"/>
        </w:rPr>
        <w:t> SBA may consider a spouse's financial situation in determining a woman's access to credit and capital. When married, an individual claiming economic disadvantage must submit separate financial information for her spouse, unless the individual and the spouse are legally separated. SBA will consider a spouse's financial situation in determining an individual's access to credit and capital where the spouse has a role in the business (e.g., an officer, employee or director) or has lent money to, provided credit or financial support to, or guaranteed a loan of the business. SBA may also consider the spouse's financial condition if the spouse's business is in the same or similar line of business as the EDWOSB or WOSB and the spouse's business and WOSB share similar names, Web sites, equipment or employees. In addition, all transfers to a spouse within two years of a certification will be attributed to a woman claiming economic disadvantage as set forth in paragraph (d) of this section.</w:t>
      </w:r>
    </w:p>
    <w:p w:rsidR="001E6506" w:rsidRPr="001E6506" w:rsidP="001E6506" w14:paraId="7157A675"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(3) </w:t>
      </w:r>
      <w:r w:rsidRPr="001E6506">
        <w:rPr>
          <w:rFonts w:ascii="Arial" w:eastAsia="Times New Roman" w:hAnsi="Arial" w:cs="Arial"/>
          <w:i/>
          <w:iCs/>
          <w:color w:val="000000"/>
          <w:sz w:val="21"/>
          <w:szCs w:val="21"/>
        </w:rPr>
        <w:t>Income.</w:t>
      </w:r>
    </w:p>
    <w:p w:rsidR="001E6506" w:rsidRPr="001E6506" w:rsidP="001E6506" w14:paraId="4A99C5D9" w14:textId="2F5933A8">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(i) When considering a woman's personal income, if the adjusted gross yearly income averaged over the three years preceding the certification exceeds $</w:t>
      </w:r>
      <w:r w:rsidR="007D59DB">
        <w:rPr>
          <w:rFonts w:ascii="Arial" w:eastAsia="Times New Roman" w:hAnsi="Arial" w:cs="Arial"/>
          <w:color w:val="000000"/>
          <w:sz w:val="21"/>
          <w:szCs w:val="21"/>
        </w:rPr>
        <w:t>4</w:t>
      </w:r>
      <w:r w:rsidR="00835CED">
        <w:rPr>
          <w:rFonts w:ascii="Arial" w:eastAsia="Times New Roman" w:hAnsi="Arial" w:cs="Arial"/>
          <w:color w:val="000000"/>
          <w:sz w:val="21"/>
          <w:szCs w:val="21"/>
        </w:rPr>
        <w:t>0</w:t>
      </w:r>
      <w:r w:rsidRPr="001E6506">
        <w:rPr>
          <w:rFonts w:ascii="Arial" w:eastAsia="Times New Roman" w:hAnsi="Arial" w:cs="Arial"/>
          <w:color w:val="000000"/>
          <w:sz w:val="21"/>
          <w:szCs w:val="21"/>
        </w:rPr>
        <w:t>0,000, SBA will presume that she is not economically disadvantaged. The presumption may be rebutted by a showing that this income level was unusual and not likely to occur in the future, that losses commensurate with and directly related to the earnings were suffered, or by evidence that the income is not indicative of lack of economic disadvantage.</w:t>
      </w:r>
    </w:p>
    <w:p w:rsidR="001E6506" w:rsidRPr="001E6506" w:rsidP="001E6506" w14:paraId="0847ECAD"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 xml:space="preserve">(ii) Income received by an EDWOSB that is an S corporation, LLC, or partnership will be excluded from an individual's income where the EDWOSB provides documentary evidence demonstrating that the income was reinvested in the </w:t>
      </w:r>
      <w:r w:rsidRPr="001E6506">
        <w:rPr>
          <w:rFonts w:ascii="Arial" w:eastAsia="Times New Roman" w:hAnsi="Arial" w:cs="Arial"/>
          <w:color w:val="000000"/>
          <w:sz w:val="21"/>
          <w:szCs w:val="21"/>
        </w:rPr>
        <w:t>EDWOSB</w:t>
      </w:r>
      <w:r w:rsidRPr="001E6506">
        <w:rPr>
          <w:rFonts w:ascii="Arial" w:eastAsia="Times New Roman" w:hAnsi="Arial" w:cs="Arial"/>
          <w:color w:val="000000"/>
          <w:sz w:val="21"/>
          <w:szCs w:val="21"/>
        </w:rPr>
        <w:t xml:space="preserve"> or the distribution was solely for the purposes of paying taxes arising in the normal course of operations of the business concern. Losses from the S corporation, LLC or partnership, however, are losses to the EDWOSB only, not losses to the individual, and cannot be used to reduce a woman's personal income.</w:t>
      </w:r>
    </w:p>
    <w:p w:rsidR="001E6506" w:rsidRPr="001E6506" w:rsidP="001E6506" w14:paraId="4A4F7054" w14:textId="03CAF624">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(4) </w:t>
      </w:r>
      <w:r w:rsidRPr="001E6506">
        <w:rPr>
          <w:rFonts w:ascii="Arial" w:eastAsia="Times New Roman" w:hAnsi="Arial" w:cs="Arial"/>
          <w:i/>
          <w:iCs/>
          <w:color w:val="000000"/>
          <w:sz w:val="21"/>
          <w:szCs w:val="21"/>
        </w:rPr>
        <w:t>Fair market value of all assets.</w:t>
      </w:r>
      <w:r w:rsidRPr="001E6506">
        <w:rPr>
          <w:rFonts w:ascii="Arial" w:eastAsia="Times New Roman" w:hAnsi="Arial" w:cs="Arial"/>
          <w:color w:val="000000"/>
          <w:sz w:val="21"/>
          <w:szCs w:val="21"/>
        </w:rPr>
        <w:t> A woman will generally not be considered economically disadvantaged if the fair market value of all her assets (including her primary residence and the value of the business concern) exceeds $6</w:t>
      </w:r>
      <w:r w:rsidR="00626D6C">
        <w:rPr>
          <w:rFonts w:ascii="Arial" w:eastAsia="Times New Roman" w:hAnsi="Arial" w:cs="Arial"/>
          <w:color w:val="000000"/>
          <w:sz w:val="21"/>
          <w:szCs w:val="21"/>
        </w:rPr>
        <w:t>.5</w:t>
      </w:r>
      <w:r w:rsidRPr="001E6506">
        <w:rPr>
          <w:rFonts w:ascii="Arial" w:eastAsia="Times New Roman" w:hAnsi="Arial" w:cs="Arial"/>
          <w:color w:val="000000"/>
          <w:sz w:val="21"/>
          <w:szCs w:val="21"/>
        </w:rPr>
        <w:t xml:space="preserve"> million. The only assets excluded from this determination are funds excluded under paragraph (b)(3) of this section as being invested in a qualified IRA account or other official retirement account.</w:t>
      </w:r>
    </w:p>
    <w:p w:rsidR="001E6506" w:rsidRPr="001E6506" w:rsidP="001E6506" w14:paraId="64952B4B"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(d) </w:t>
      </w:r>
      <w:r w:rsidRPr="001E6506">
        <w:rPr>
          <w:rFonts w:ascii="Arial" w:eastAsia="Times New Roman" w:hAnsi="Arial" w:cs="Arial"/>
          <w:i/>
          <w:iCs/>
          <w:color w:val="000000"/>
          <w:sz w:val="21"/>
          <w:szCs w:val="21"/>
        </w:rPr>
        <w:t>Transfers within two years.</w:t>
      </w:r>
      <w:r w:rsidRPr="001E6506">
        <w:rPr>
          <w:rFonts w:ascii="Arial" w:eastAsia="Times New Roman" w:hAnsi="Arial" w:cs="Arial"/>
          <w:color w:val="000000"/>
          <w:sz w:val="21"/>
          <w:szCs w:val="21"/>
        </w:rPr>
        <w:t> Assets that a woman claiming economic disadvantage transferred within two years of the date of the concern's certification will be attributed to the woman claiming economic disadvantage if the assets were transferred to an immediate family member, or to a trust that has as a beneficiary an immediate family member. The transferred assets within the two-year period will not be attributed to the woman if the transfer was:</w:t>
      </w:r>
    </w:p>
    <w:p w:rsidR="001E6506" w:rsidRPr="001E6506" w:rsidP="001E6506" w14:paraId="49AAC1D9"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(1) To or on behalf of an immediate family member for that individual's education, medical expenses, or some other form of essential support; or</w:t>
      </w:r>
    </w:p>
    <w:p w:rsidR="001E6506" w:rsidRPr="001E6506" w:rsidP="001E6506" w14:paraId="36DB875C"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1E6506">
        <w:rPr>
          <w:rFonts w:ascii="Arial" w:eastAsia="Times New Roman" w:hAnsi="Arial" w:cs="Arial"/>
          <w:color w:val="000000"/>
          <w:sz w:val="21"/>
          <w:szCs w:val="21"/>
        </w:rPr>
        <w:t>(2) To an immediate family member in recognition of a special occasion, such as a birthday, graduation, anniversary, or retirement.</w:t>
      </w:r>
    </w:p>
    <w:p w:rsidR="001E6506" w:rsidRPr="001E6506" w:rsidP="001E6506" w14:paraId="1EE4B2FC" w14:textId="1E426455">
      <w:pPr>
        <w:shd w:val="clear" w:color="auto" w:fill="FFFFFF"/>
        <w:spacing w:before="200" w:after="100" w:afterAutospacing="1" w:line="240" w:lineRule="auto"/>
        <w:rPr>
          <w:rFonts w:ascii="Arial" w:eastAsia="Times New Roman" w:hAnsi="Arial" w:cs="Arial"/>
          <w:color w:val="000000"/>
          <w:sz w:val="18"/>
          <w:szCs w:val="18"/>
        </w:rPr>
      </w:pPr>
      <w:r w:rsidRPr="001E6506">
        <w:rPr>
          <w:rFonts w:ascii="Arial" w:eastAsia="Times New Roman" w:hAnsi="Arial" w:cs="Arial"/>
          <w:color w:val="000000"/>
          <w:sz w:val="18"/>
          <w:szCs w:val="18"/>
        </w:rPr>
        <w:t>[75 FR 62282, Oct. 7, 2010, as amended at 85 FR 27660, May 11, 2020</w:t>
      </w:r>
      <w:r w:rsidR="00337BD6">
        <w:rPr>
          <w:rFonts w:ascii="Arial" w:eastAsia="Times New Roman" w:hAnsi="Arial" w:cs="Arial"/>
          <w:color w:val="000000"/>
          <w:sz w:val="18"/>
          <w:szCs w:val="18"/>
        </w:rPr>
        <w:t xml:space="preserve">; </w:t>
      </w:r>
      <w:r w:rsidR="002726A6">
        <w:rPr>
          <w:rFonts w:ascii="Arial" w:eastAsia="Times New Roman" w:hAnsi="Arial" w:cs="Arial"/>
          <w:color w:val="000000"/>
          <w:sz w:val="18"/>
          <w:szCs w:val="18"/>
        </w:rPr>
        <w:t>87 FR 69154, Nov.17, 2022</w:t>
      </w:r>
      <w:r w:rsidRPr="001E6506">
        <w:rPr>
          <w:rFonts w:ascii="Arial" w:eastAsia="Times New Roman" w:hAnsi="Arial" w:cs="Arial"/>
          <w:color w:val="000000"/>
          <w:sz w:val="18"/>
          <w:szCs w:val="18"/>
        </w:rPr>
        <w:t>]</w:t>
      </w:r>
    </w:p>
    <w:p w:rsidR="005C4870" w:rsidRPr="005C4870" w14:paraId="0AF1AA77" w14:textId="74255664">
      <w:pPr>
        <w:rPr>
          <w:rFonts w:ascii="Times New Roman" w:hAnsi="Times New Roman" w:cs="Times New Roman"/>
          <w:sz w:val="24"/>
          <w:szCs w:val="24"/>
        </w:rPr>
      </w:pPr>
    </w:p>
    <w:p w:rsidR="005C4870" w:rsidRPr="005C4870" w14:paraId="57703F40" w14:textId="08375D16">
      <w:pPr>
        <w:rPr>
          <w:rFonts w:ascii="Times New Roman" w:hAnsi="Times New Roman" w:cs="Times New Roman"/>
          <w:sz w:val="24"/>
          <w:szCs w:val="24"/>
        </w:rPr>
      </w:pPr>
    </w:p>
    <w:p w:rsidR="005C4870" w:rsidRPr="005C4870" w14:paraId="4EFAB882"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70"/>
    <w:rsid w:val="000C5442"/>
    <w:rsid w:val="001A180A"/>
    <w:rsid w:val="001C2BB0"/>
    <w:rsid w:val="001E6506"/>
    <w:rsid w:val="002726A6"/>
    <w:rsid w:val="002C00CA"/>
    <w:rsid w:val="00334827"/>
    <w:rsid w:val="00337BD6"/>
    <w:rsid w:val="00384835"/>
    <w:rsid w:val="003B6206"/>
    <w:rsid w:val="004764D5"/>
    <w:rsid w:val="00550FA0"/>
    <w:rsid w:val="005C4870"/>
    <w:rsid w:val="00626D6C"/>
    <w:rsid w:val="00785754"/>
    <w:rsid w:val="00797DB2"/>
    <w:rsid w:val="007D59DB"/>
    <w:rsid w:val="007D6FE2"/>
    <w:rsid w:val="0083506F"/>
    <w:rsid w:val="00835CED"/>
    <w:rsid w:val="00977008"/>
    <w:rsid w:val="009E699C"/>
    <w:rsid w:val="00AB2B63"/>
    <w:rsid w:val="00E0001E"/>
    <w:rsid w:val="00E62670"/>
    <w:rsid w:val="00EF4D8B"/>
    <w:rsid w:val="00FF36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34CF40"/>
  <w15:chartTrackingRefBased/>
  <w15:docId w15:val="{99665ACD-2608-4FDC-99E1-258B95B8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79d333-544f-4bd0-9a5f-057c2d6da4ba">
      <Terms xmlns="http://schemas.microsoft.com/office/infopath/2007/PartnerControls"/>
    </lcf76f155ced4ddcb4097134ff3c332f>
    <TaxCatchAll xmlns="844bffe8-3050-42e9-bae0-aa651ec28a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3F7B5D3D96640876D52520D2D7111" ma:contentTypeVersion="11" ma:contentTypeDescription="Create a new document." ma:contentTypeScope="" ma:versionID="26987cb6819adab00435ecce52acebd1">
  <xsd:schema xmlns:xsd="http://www.w3.org/2001/XMLSchema" xmlns:xs="http://www.w3.org/2001/XMLSchema" xmlns:p="http://schemas.microsoft.com/office/2006/metadata/properties" xmlns:ns2="5679d333-544f-4bd0-9a5f-057c2d6da4ba" xmlns:ns3="844bffe8-3050-42e9-bae0-aa651ec28a4a" targetNamespace="http://schemas.microsoft.com/office/2006/metadata/properties" ma:root="true" ma:fieldsID="78c08a75f307763a6cb846d7799348a2" ns2:_="" ns3:_="">
    <xsd:import namespace="5679d333-544f-4bd0-9a5f-057c2d6da4ba"/>
    <xsd:import namespace="844bffe8-3050-42e9-bae0-aa651ec28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9d333-544f-4bd0-9a5f-057c2d6da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bffe8-3050-42e9-bae0-aa651ec28a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67dd2-4f97-4f1c-a1a4-5af8c7591eba}" ma:internalName="TaxCatchAll" ma:showField="CatchAllData" ma:web="844bffe8-3050-42e9-bae0-aa651ec28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2B4C8-5DDC-459A-94A6-D798ECC3F4B4}">
  <ds:schemaRefs>
    <ds:schemaRef ds:uri="http://schemas.microsoft.com/sharepoint/v3/contenttype/forms"/>
  </ds:schemaRefs>
</ds:datastoreItem>
</file>

<file path=customXml/itemProps2.xml><?xml version="1.0" encoding="utf-8"?>
<ds:datastoreItem xmlns:ds="http://schemas.openxmlformats.org/officeDocument/2006/customXml" ds:itemID="{A66D6209-B9C9-4472-9B00-449D8AEA9C2D}">
  <ds:schemaRefs>
    <ds:schemaRef ds:uri="http://www.w3.org/XML/1998/namespace"/>
    <ds:schemaRef ds:uri="http://purl.org/dc/dcmitype/"/>
    <ds:schemaRef ds:uri="5679d333-544f-4bd0-9a5f-057c2d6da4ba"/>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844bffe8-3050-42e9-bae0-aa651ec28a4a"/>
  </ds:schemaRefs>
</ds:datastoreItem>
</file>

<file path=customXml/itemProps3.xml><?xml version="1.0" encoding="utf-8"?>
<ds:datastoreItem xmlns:ds="http://schemas.openxmlformats.org/officeDocument/2006/customXml" ds:itemID="{0FE950AC-836D-4639-8C45-D3CAB869B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9d333-544f-4bd0-9a5f-057c2d6da4ba"/>
    <ds:schemaRef ds:uri="844bffe8-3050-42e9-bae0-aa651ec28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Suryadi, Gregorius D.</dc:creator>
  <cp:lastModifiedBy>Rich, Curtis B.</cp:lastModifiedBy>
  <cp:revision>2</cp:revision>
  <dcterms:created xsi:type="dcterms:W3CDTF">2024-05-30T12:58:00Z</dcterms:created>
  <dcterms:modified xsi:type="dcterms:W3CDTF">2024-05-30T12:58:00Z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0x010100D9E3F7B5D3D96640876D52520D2D7111</vt:lpwstr>
  </property>
</Properties>
</file>