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7668" w:rsidRPr="007E0D1A" w:rsidP="002A7668" w14:paraId="1097BC72" w14:textId="77777777">
      <w:pPr>
        <w:shd w:val="clear" w:color="auto" w:fill="FFFFFF"/>
        <w:rPr>
          <w:rFonts w:ascii="Arial" w:hAnsi="Arial" w:cs="Arial"/>
          <w:color w:val="000000"/>
          <w:sz w:val="28"/>
          <w:szCs w:val="28"/>
        </w:rPr>
      </w:pPr>
      <w:hyperlink r:id="rId4" w:tooltip="TITLE 8 - ALIENS AND NATIONALITY" w:history="1">
        <w:r w:rsidRPr="007E0D1A">
          <w:rPr>
            <w:rStyle w:val="Hyperlink"/>
            <w:rFonts w:ascii="Arial" w:hAnsi="Arial" w:cs="Arial"/>
            <w:b/>
            <w:bCs/>
            <w:sz w:val="28"/>
            <w:szCs w:val="28"/>
          </w:rPr>
          <w:t>TITLE 8</w:t>
        </w:r>
      </w:hyperlink>
      <w:r w:rsidRPr="007E0D1A">
        <w:rPr>
          <w:rStyle w:val="backtrail"/>
          <w:rFonts w:ascii="Arial" w:hAnsi="Arial" w:cs="Arial"/>
          <w:color w:val="000000"/>
          <w:sz w:val="28"/>
          <w:szCs w:val="28"/>
        </w:rPr>
        <w:t xml:space="preserve"> &gt; </w:t>
      </w:r>
      <w:hyperlink r:id="rId5" w:tooltip="CHAPTER 12 - IMMIGRATION AND NATIONALITY" w:history="1">
        <w:r w:rsidRPr="007E0D1A">
          <w:rPr>
            <w:rStyle w:val="Hyperlink"/>
            <w:rFonts w:ascii="Arial" w:hAnsi="Arial" w:cs="Arial"/>
            <w:b/>
            <w:bCs/>
            <w:sz w:val="28"/>
            <w:szCs w:val="28"/>
          </w:rPr>
          <w:t>CHAPTER 12</w:t>
        </w:r>
      </w:hyperlink>
      <w:r w:rsidRPr="007E0D1A">
        <w:rPr>
          <w:rStyle w:val="backtrail"/>
          <w:rFonts w:ascii="Arial" w:hAnsi="Arial" w:cs="Arial"/>
          <w:color w:val="000000"/>
          <w:sz w:val="28"/>
          <w:szCs w:val="28"/>
        </w:rPr>
        <w:t xml:space="preserve"> &gt; </w:t>
      </w:r>
      <w:hyperlink r:id="rId6" w:tooltip="SUBCHAPTER II - IMMIGRATION" w:history="1">
        <w:r w:rsidRPr="007E0D1A">
          <w:rPr>
            <w:rStyle w:val="Hyperlink"/>
            <w:rFonts w:ascii="Arial" w:hAnsi="Arial" w:cs="Arial"/>
            <w:b/>
            <w:bCs/>
            <w:sz w:val="28"/>
            <w:szCs w:val="28"/>
          </w:rPr>
          <w:t>SUBCHAPTER II</w:t>
        </w:r>
      </w:hyperlink>
      <w:r w:rsidRPr="007E0D1A">
        <w:rPr>
          <w:rStyle w:val="backtrail"/>
          <w:rFonts w:ascii="Arial" w:hAnsi="Arial" w:cs="Arial"/>
          <w:color w:val="000000"/>
          <w:sz w:val="28"/>
          <w:szCs w:val="28"/>
        </w:rPr>
        <w:t xml:space="preserve"> &gt; </w:t>
      </w:r>
      <w:hyperlink r:id="rId7" w:tooltip="Part II - Admission Qualifications for Aliens; Travel Control of Citizens and Aliens" w:history="1">
        <w:r w:rsidRPr="007E0D1A">
          <w:rPr>
            <w:rStyle w:val="Hyperlink"/>
            <w:rFonts w:ascii="Arial" w:hAnsi="Arial" w:cs="Arial"/>
            <w:b/>
            <w:bCs/>
            <w:sz w:val="28"/>
            <w:szCs w:val="28"/>
          </w:rPr>
          <w:t>Part II</w:t>
        </w:r>
      </w:hyperlink>
      <w:r w:rsidRPr="007E0D1A">
        <w:rPr>
          <w:rStyle w:val="backtrail"/>
          <w:rFonts w:ascii="Arial" w:hAnsi="Arial" w:cs="Arial"/>
          <w:color w:val="000000"/>
          <w:sz w:val="28"/>
          <w:szCs w:val="28"/>
        </w:rPr>
        <w:t xml:space="preserve"> &gt; </w:t>
      </w:r>
      <w:hyperlink r:id="rId8" w:history="1">
        <w:r w:rsidRPr="007E0D1A">
          <w:rPr>
            <w:rStyle w:val="Hyperlink"/>
            <w:rFonts w:ascii="Arial" w:hAnsi="Arial" w:cs="Arial"/>
            <w:b/>
            <w:bCs/>
            <w:sz w:val="28"/>
            <w:szCs w:val="28"/>
          </w:rPr>
          <w:t>§ 1188</w:t>
        </w:r>
      </w:hyperlink>
      <w:r w:rsidRPr="007E0D1A">
        <w:rPr>
          <w:rFonts w:ascii="Arial" w:hAnsi="Arial" w:cs="Arial"/>
          <w:color w:val="000000"/>
          <w:sz w:val="28"/>
          <w:szCs w:val="28"/>
        </w:rPr>
        <w:t xml:space="preserve"> </w:t>
      </w:r>
    </w:p>
    <w:p w:rsidR="002A7668" w:rsidRPr="007E0D1A" w:rsidP="002A7668" w14:paraId="282522D4" w14:textId="77777777">
      <w:pPr>
        <w:shd w:val="clear" w:color="auto" w:fill="FFFFFF"/>
        <w:rPr>
          <w:rFonts w:ascii="Arial" w:hAnsi="Arial" w:cs="Arial"/>
          <w:color w:val="000000"/>
          <w:sz w:val="28"/>
          <w:szCs w:val="28"/>
        </w:rPr>
      </w:pPr>
    </w:p>
    <w:p w:rsidR="002A7668" w:rsidRPr="007E0D1A" w:rsidP="002A7668" w14:paraId="33B5F6D0" w14:textId="77777777">
      <w:pPr>
        <w:shd w:val="clear" w:color="auto" w:fill="FFFFFF"/>
        <w:rPr>
          <w:rFonts w:ascii="Arial" w:hAnsi="Arial" w:cs="Arial"/>
          <w:b/>
          <w:bCs/>
          <w:sz w:val="28"/>
          <w:szCs w:val="28"/>
        </w:rPr>
      </w:pPr>
      <w:r w:rsidRPr="007E0D1A">
        <w:rPr>
          <w:rFonts w:ascii="Arial" w:hAnsi="Arial" w:cs="Arial"/>
          <w:b/>
          <w:bCs/>
          <w:color w:val="000000"/>
          <w:sz w:val="28"/>
          <w:szCs w:val="28"/>
        </w:rPr>
        <w:t>Reports on H–</w:t>
      </w:r>
      <w:r w:rsidRPr="007E0D1A">
        <w:rPr>
          <w:rFonts w:ascii="Arial" w:hAnsi="Arial" w:cs="Arial"/>
          <w:b/>
          <w:bCs/>
          <w:sz w:val="28"/>
          <w:szCs w:val="28"/>
        </w:rPr>
        <w:t xml:space="preserve">2A </w:t>
      </w:r>
      <w:r w:rsidRPr="007E0D1A">
        <w:rPr>
          <w:rStyle w:val="highlight"/>
          <w:rFonts w:ascii="Arial" w:hAnsi="Arial" w:cs="Arial"/>
          <w:color w:val="auto"/>
          <w:sz w:val="28"/>
          <w:szCs w:val="28"/>
        </w:rPr>
        <w:t>Program</w:t>
      </w:r>
    </w:p>
    <w:p w:rsidR="002A7668" w:rsidRPr="007E0D1A" w:rsidP="002A7668" w14:paraId="66CA66C5" w14:textId="77777777">
      <w:pPr>
        <w:shd w:val="clear" w:color="auto" w:fill="FFFFFF"/>
        <w:rPr>
          <w:rFonts w:ascii="Arial" w:hAnsi="Arial" w:cs="Arial"/>
          <w:sz w:val="28"/>
          <w:szCs w:val="28"/>
        </w:rPr>
      </w:pPr>
    </w:p>
    <w:p w:rsidR="002A7668" w:rsidRPr="007E0D1A" w:rsidP="002A7668" w14:paraId="7DD59244" w14:textId="77777777">
      <w:pPr>
        <w:shd w:val="clear" w:color="auto" w:fill="FFFFFF"/>
        <w:rPr>
          <w:rFonts w:ascii="Arial" w:hAnsi="Arial" w:cs="Arial"/>
        </w:rPr>
      </w:pPr>
      <w:r w:rsidRPr="007E0D1A">
        <w:rPr>
          <w:rFonts w:ascii="Arial" w:hAnsi="Arial" w:cs="Arial"/>
        </w:rPr>
        <w:t xml:space="preserve">Section 403 of </w:t>
      </w:r>
      <w:hyperlink r:id="rId9" w:history="1">
        <w:r w:rsidRPr="007E0D1A">
          <w:rPr>
            <w:rStyle w:val="Hyperlink"/>
            <w:rFonts w:ascii="Arial" w:hAnsi="Arial" w:cs="Arial"/>
            <w:color w:val="auto"/>
          </w:rPr>
          <w:t>Pub. L. 99–603</w:t>
        </w:r>
      </w:hyperlink>
      <w:r w:rsidRPr="007E0D1A">
        <w:rPr>
          <w:rFonts w:ascii="Arial" w:hAnsi="Arial" w:cs="Arial"/>
        </w:rPr>
        <w:t xml:space="preserve"> provided that: </w:t>
      </w:r>
    </w:p>
    <w:p w:rsidR="002A7668" w:rsidRPr="007E0D1A" w:rsidP="002A7668" w14:paraId="055940D4" w14:textId="77777777">
      <w:pPr>
        <w:shd w:val="clear" w:color="auto" w:fill="FFFFFF"/>
        <w:rPr>
          <w:rFonts w:ascii="Arial" w:hAnsi="Arial" w:cs="Arial"/>
        </w:rPr>
      </w:pPr>
      <w:r w:rsidRPr="007E0D1A">
        <w:rPr>
          <w:rFonts w:ascii="Arial" w:hAnsi="Arial" w:cs="Arial"/>
        </w:rPr>
        <w:t xml:space="preserve">“(a) Presidential </w:t>
      </w:r>
      <w:r w:rsidRPr="007E0D1A">
        <w:rPr>
          <w:rFonts w:ascii="Arial" w:hAnsi="Arial" w:cs="Arial"/>
        </w:rPr>
        <w:t>Reports.—</w:t>
      </w:r>
      <w:r w:rsidRPr="007E0D1A">
        <w:rPr>
          <w:rFonts w:ascii="Arial" w:hAnsi="Arial" w:cs="Arial"/>
        </w:rPr>
        <w:t xml:space="preserve">The President shall transmit to the Committees on the Judiciary of the Senate and of the House of Representatives reports on the implementation of the temporary agricultural worker (H–2A) </w:t>
      </w:r>
      <w:r w:rsidRPr="007E0D1A">
        <w:rPr>
          <w:rStyle w:val="highlight"/>
          <w:rFonts w:ascii="Arial" w:hAnsi="Arial" w:cs="Arial"/>
          <w:b w:val="0"/>
          <w:color w:val="auto"/>
        </w:rPr>
        <w:t>program</w:t>
      </w:r>
      <w:r w:rsidRPr="007E0D1A">
        <w:rPr>
          <w:rFonts w:ascii="Arial" w:hAnsi="Arial" w:cs="Arial"/>
        </w:rPr>
        <w:t xml:space="preserve">, which shall include— </w:t>
      </w:r>
    </w:p>
    <w:p w:rsidR="002A7668" w:rsidRPr="007E0D1A" w:rsidP="002A7668" w14:paraId="4C18BDE3" w14:textId="77777777">
      <w:pPr>
        <w:shd w:val="clear" w:color="auto" w:fill="FFFFFF"/>
        <w:rPr>
          <w:rFonts w:ascii="Arial" w:hAnsi="Arial" w:cs="Arial"/>
        </w:rPr>
      </w:pPr>
      <w:r w:rsidRPr="007E0D1A">
        <w:rPr>
          <w:rFonts w:ascii="Arial" w:hAnsi="Arial" w:cs="Arial"/>
        </w:rPr>
        <w:t xml:space="preserve">“(1) the number of </w:t>
      </w:r>
      <w:r w:rsidRPr="007E0D1A">
        <w:rPr>
          <w:rStyle w:val="highlight"/>
          <w:rFonts w:ascii="Arial" w:hAnsi="Arial" w:cs="Arial"/>
          <w:b w:val="0"/>
          <w:color w:val="auto"/>
        </w:rPr>
        <w:t>for</w:t>
      </w:r>
      <w:r w:rsidRPr="007E0D1A">
        <w:rPr>
          <w:rFonts w:ascii="Arial" w:hAnsi="Arial" w:cs="Arial"/>
        </w:rPr>
        <w:t xml:space="preserve">eign workers permitted to be employed under the </w:t>
      </w:r>
      <w:r w:rsidRPr="007E0D1A">
        <w:rPr>
          <w:rStyle w:val="highlight"/>
          <w:rFonts w:ascii="Arial" w:hAnsi="Arial" w:cs="Arial"/>
          <w:b w:val="0"/>
          <w:color w:val="auto"/>
        </w:rPr>
        <w:t>program</w:t>
      </w:r>
      <w:r w:rsidRPr="007E0D1A">
        <w:rPr>
          <w:rFonts w:ascii="Arial" w:hAnsi="Arial" w:cs="Arial"/>
        </w:rPr>
        <w:t xml:space="preserve"> in each </w:t>
      </w:r>
      <w:r w:rsidRPr="007E0D1A">
        <w:rPr>
          <w:rFonts w:ascii="Arial" w:hAnsi="Arial" w:cs="Arial"/>
        </w:rPr>
        <w:t>year;</w:t>
      </w:r>
      <w:r w:rsidRPr="007E0D1A">
        <w:rPr>
          <w:rFonts w:ascii="Arial" w:hAnsi="Arial" w:cs="Arial"/>
        </w:rPr>
        <w:t xml:space="preserve"> </w:t>
      </w:r>
    </w:p>
    <w:p w:rsidR="002A7668" w:rsidRPr="007E0D1A" w:rsidP="002A7668" w14:paraId="6C398222" w14:textId="77777777">
      <w:pPr>
        <w:shd w:val="clear" w:color="auto" w:fill="FFFFFF"/>
        <w:rPr>
          <w:rFonts w:ascii="Arial" w:hAnsi="Arial" w:cs="Arial"/>
        </w:rPr>
      </w:pPr>
      <w:r w:rsidRPr="007E0D1A">
        <w:rPr>
          <w:rFonts w:ascii="Arial" w:hAnsi="Arial" w:cs="Arial"/>
        </w:rPr>
        <w:t xml:space="preserve">“(2) the compliance of employers and </w:t>
      </w:r>
      <w:r w:rsidRPr="007E0D1A">
        <w:rPr>
          <w:rStyle w:val="highlight"/>
          <w:rFonts w:ascii="Arial" w:hAnsi="Arial" w:cs="Arial"/>
          <w:b w:val="0"/>
          <w:color w:val="auto"/>
        </w:rPr>
        <w:t>for</w:t>
      </w:r>
      <w:r w:rsidRPr="007E0D1A">
        <w:rPr>
          <w:rFonts w:ascii="Arial" w:hAnsi="Arial" w:cs="Arial"/>
        </w:rPr>
        <w:t xml:space="preserve">eign workers with the terms and conditions of the </w:t>
      </w:r>
      <w:r w:rsidRPr="007E0D1A">
        <w:rPr>
          <w:rStyle w:val="highlight"/>
          <w:rFonts w:ascii="Arial" w:hAnsi="Arial" w:cs="Arial"/>
          <w:b w:val="0"/>
          <w:color w:val="auto"/>
        </w:rPr>
        <w:t>program</w:t>
      </w:r>
      <w:r w:rsidRPr="007E0D1A">
        <w:rPr>
          <w:rFonts w:ascii="Arial" w:hAnsi="Arial" w:cs="Arial"/>
        </w:rPr>
        <w:t>;</w:t>
      </w:r>
      <w:r w:rsidRPr="007E0D1A">
        <w:rPr>
          <w:rFonts w:ascii="Arial" w:hAnsi="Arial" w:cs="Arial"/>
        </w:rPr>
        <w:t xml:space="preserve"> </w:t>
      </w:r>
    </w:p>
    <w:p w:rsidR="002A7668" w:rsidRPr="007E0D1A" w:rsidP="002A7668" w14:paraId="754235EE" w14:textId="77777777">
      <w:pPr>
        <w:shd w:val="clear" w:color="auto" w:fill="FFFFFF"/>
        <w:rPr>
          <w:rFonts w:ascii="Arial" w:hAnsi="Arial" w:cs="Arial"/>
        </w:rPr>
      </w:pPr>
      <w:r w:rsidRPr="007E0D1A">
        <w:rPr>
          <w:rFonts w:ascii="Arial" w:hAnsi="Arial" w:cs="Arial"/>
        </w:rPr>
        <w:t xml:space="preserve">“(3) the impact of the </w:t>
      </w:r>
      <w:r w:rsidRPr="007E0D1A">
        <w:rPr>
          <w:rStyle w:val="highlight"/>
          <w:rFonts w:ascii="Arial" w:hAnsi="Arial" w:cs="Arial"/>
          <w:b w:val="0"/>
          <w:color w:val="auto"/>
        </w:rPr>
        <w:t>program</w:t>
      </w:r>
      <w:r w:rsidRPr="007E0D1A">
        <w:rPr>
          <w:rFonts w:ascii="Arial" w:hAnsi="Arial" w:cs="Arial"/>
        </w:rPr>
        <w:t xml:space="preserve"> on the labor needs of the United States agricultural employers and on the wages and working conditions of United States agricultural workers; and </w:t>
      </w:r>
    </w:p>
    <w:p w:rsidR="002A7668" w:rsidRPr="007E0D1A" w:rsidP="002A7668" w14:paraId="081BD4BD" w14:textId="77777777">
      <w:pPr>
        <w:shd w:val="clear" w:color="auto" w:fill="FFFFFF"/>
        <w:rPr>
          <w:rFonts w:ascii="Arial" w:hAnsi="Arial" w:cs="Arial"/>
        </w:rPr>
      </w:pPr>
      <w:r w:rsidRPr="007E0D1A">
        <w:rPr>
          <w:rFonts w:ascii="Arial" w:hAnsi="Arial" w:cs="Arial"/>
        </w:rPr>
        <w:t xml:space="preserve">“(4) recommendations </w:t>
      </w:r>
      <w:r w:rsidRPr="007E0D1A">
        <w:rPr>
          <w:rStyle w:val="highlight"/>
          <w:rFonts w:ascii="Arial" w:hAnsi="Arial" w:cs="Arial"/>
          <w:b w:val="0"/>
          <w:color w:val="auto"/>
        </w:rPr>
        <w:t>for</w:t>
      </w:r>
      <w:r w:rsidRPr="007E0D1A">
        <w:rPr>
          <w:rFonts w:ascii="Arial" w:hAnsi="Arial" w:cs="Arial"/>
        </w:rPr>
        <w:t xml:space="preserve"> modifications of the </w:t>
      </w:r>
      <w:r w:rsidRPr="007E0D1A">
        <w:rPr>
          <w:rStyle w:val="highlight"/>
          <w:rFonts w:ascii="Arial" w:hAnsi="Arial" w:cs="Arial"/>
          <w:b w:val="0"/>
          <w:color w:val="auto"/>
        </w:rPr>
        <w:t>program</w:t>
      </w:r>
      <w:r w:rsidRPr="007E0D1A">
        <w:rPr>
          <w:rFonts w:ascii="Arial" w:hAnsi="Arial" w:cs="Arial"/>
        </w:rPr>
        <w:t xml:space="preserve">, including— </w:t>
      </w:r>
    </w:p>
    <w:p w:rsidR="002A7668" w:rsidRPr="007E0D1A" w:rsidP="002A7668" w14:paraId="2EBD1214" w14:textId="77777777">
      <w:pPr>
        <w:shd w:val="clear" w:color="auto" w:fill="FFFFFF"/>
        <w:rPr>
          <w:rFonts w:ascii="Arial" w:hAnsi="Arial" w:cs="Arial"/>
        </w:rPr>
      </w:pPr>
      <w:r w:rsidRPr="007E0D1A">
        <w:rPr>
          <w:rFonts w:ascii="Arial" w:hAnsi="Arial" w:cs="Arial"/>
        </w:rPr>
        <w:t xml:space="preserve">“(A) improving the timeliness of decisions regarding admission of temporary </w:t>
      </w:r>
      <w:r w:rsidRPr="007E0D1A">
        <w:rPr>
          <w:rStyle w:val="highlight"/>
          <w:rFonts w:ascii="Arial" w:hAnsi="Arial" w:cs="Arial"/>
          <w:b w:val="0"/>
          <w:color w:val="auto"/>
        </w:rPr>
        <w:t>for</w:t>
      </w:r>
      <w:r w:rsidRPr="007E0D1A">
        <w:rPr>
          <w:rFonts w:ascii="Arial" w:hAnsi="Arial" w:cs="Arial"/>
        </w:rPr>
        <w:t xml:space="preserve">eign workers under the </w:t>
      </w:r>
      <w:r w:rsidRPr="007E0D1A">
        <w:rPr>
          <w:rStyle w:val="highlight"/>
          <w:rFonts w:ascii="Arial" w:hAnsi="Arial" w:cs="Arial"/>
          <w:b w:val="0"/>
          <w:color w:val="auto"/>
        </w:rPr>
        <w:t>program</w:t>
      </w:r>
      <w:r w:rsidRPr="007E0D1A">
        <w:rPr>
          <w:rFonts w:ascii="Arial" w:hAnsi="Arial" w:cs="Arial"/>
        </w:rPr>
        <w:t xml:space="preserve">, </w:t>
      </w:r>
    </w:p>
    <w:p w:rsidR="002A7668" w:rsidRPr="007E0D1A" w:rsidP="002A7668" w14:paraId="266B64AE" w14:textId="77777777">
      <w:pPr>
        <w:shd w:val="clear" w:color="auto" w:fill="FFFFFF"/>
        <w:rPr>
          <w:rFonts w:ascii="Arial" w:hAnsi="Arial" w:cs="Arial"/>
        </w:rPr>
      </w:pPr>
      <w:r w:rsidRPr="007E0D1A">
        <w:rPr>
          <w:rFonts w:ascii="Arial" w:hAnsi="Arial" w:cs="Arial"/>
        </w:rPr>
        <w:t xml:space="preserve">“(B) removing any economic disincentives to hiring </w:t>
      </w:r>
      <w:smartTag w:uri="urn:schemas-microsoft-com:office:smarttags" w:element="place">
        <w:smartTag w:uri="urn:schemas-microsoft-com:office:smarttags" w:element="country-region">
          <w:r w:rsidRPr="007E0D1A">
            <w:rPr>
              <w:rFonts w:ascii="Arial" w:hAnsi="Arial" w:cs="Arial"/>
            </w:rPr>
            <w:t>United States</w:t>
          </w:r>
        </w:smartTag>
      </w:smartTag>
      <w:r w:rsidRPr="007E0D1A">
        <w:rPr>
          <w:rFonts w:ascii="Arial" w:hAnsi="Arial" w:cs="Arial"/>
        </w:rPr>
        <w:t xml:space="preserve"> citizens or permanent resident aliens </w:t>
      </w:r>
      <w:r w:rsidRPr="007E0D1A">
        <w:rPr>
          <w:rStyle w:val="highlight"/>
          <w:rFonts w:ascii="Arial" w:hAnsi="Arial" w:cs="Arial"/>
          <w:b w:val="0"/>
          <w:color w:val="auto"/>
        </w:rPr>
        <w:t>for</w:t>
      </w:r>
      <w:r w:rsidRPr="007E0D1A">
        <w:rPr>
          <w:rFonts w:ascii="Arial" w:hAnsi="Arial" w:cs="Arial"/>
        </w:rPr>
        <w:t xml:space="preserve"> jobs </w:t>
      </w:r>
      <w:r w:rsidRPr="007E0D1A">
        <w:rPr>
          <w:rStyle w:val="highlight"/>
          <w:rFonts w:ascii="Arial" w:hAnsi="Arial" w:cs="Arial"/>
          <w:b w:val="0"/>
          <w:color w:val="auto"/>
        </w:rPr>
        <w:t>for</w:t>
      </w:r>
      <w:r w:rsidRPr="007E0D1A">
        <w:rPr>
          <w:rFonts w:ascii="Arial" w:hAnsi="Arial" w:cs="Arial"/>
        </w:rPr>
        <w:t xml:space="preserve"> which temporary </w:t>
      </w:r>
      <w:r w:rsidRPr="007E0D1A">
        <w:rPr>
          <w:rStyle w:val="highlight"/>
          <w:rFonts w:ascii="Arial" w:hAnsi="Arial" w:cs="Arial"/>
          <w:b w:val="0"/>
          <w:color w:val="auto"/>
        </w:rPr>
        <w:t>for</w:t>
      </w:r>
      <w:r w:rsidRPr="007E0D1A">
        <w:rPr>
          <w:rFonts w:ascii="Arial" w:hAnsi="Arial" w:cs="Arial"/>
        </w:rPr>
        <w:t xml:space="preserve">eign workers have been requested, </w:t>
      </w:r>
    </w:p>
    <w:p w:rsidR="002A7668" w:rsidRPr="007E0D1A" w:rsidP="002A7668" w14:paraId="010231C5" w14:textId="77777777">
      <w:pPr>
        <w:shd w:val="clear" w:color="auto" w:fill="FFFFFF"/>
        <w:rPr>
          <w:rFonts w:ascii="Arial" w:hAnsi="Arial" w:cs="Arial"/>
        </w:rPr>
      </w:pPr>
      <w:r w:rsidRPr="007E0D1A">
        <w:rPr>
          <w:rFonts w:ascii="Arial" w:hAnsi="Arial" w:cs="Arial"/>
        </w:rPr>
        <w:t xml:space="preserve">“(C) improving cooperation among government agencies, employers, employer associations, workers, unions, and other worker associations to end the dependence of any industry on a constant supply of temporary </w:t>
      </w:r>
      <w:r w:rsidRPr="007E0D1A">
        <w:rPr>
          <w:rStyle w:val="highlight"/>
          <w:rFonts w:ascii="Arial" w:hAnsi="Arial" w:cs="Arial"/>
          <w:b w:val="0"/>
          <w:color w:val="auto"/>
        </w:rPr>
        <w:t>for</w:t>
      </w:r>
      <w:r w:rsidRPr="007E0D1A">
        <w:rPr>
          <w:rFonts w:ascii="Arial" w:hAnsi="Arial" w:cs="Arial"/>
        </w:rPr>
        <w:t xml:space="preserve">eign workers, and </w:t>
      </w:r>
    </w:p>
    <w:p w:rsidR="002A7668" w:rsidRPr="007E0D1A" w:rsidP="002A7668" w14:paraId="4C3BFBC7" w14:textId="77777777">
      <w:pPr>
        <w:shd w:val="clear" w:color="auto" w:fill="FFFFFF"/>
        <w:rPr>
          <w:rFonts w:ascii="Arial" w:hAnsi="Arial" w:cs="Arial"/>
        </w:rPr>
      </w:pPr>
      <w:r w:rsidRPr="007E0D1A">
        <w:rPr>
          <w:rFonts w:ascii="Arial" w:hAnsi="Arial" w:cs="Arial"/>
        </w:rPr>
        <w:t xml:space="preserve">“(D) the relative benefits to domestic workers and burdens upon employers of a policy which requires employers, as a condition </w:t>
      </w:r>
      <w:r w:rsidRPr="007E0D1A">
        <w:rPr>
          <w:rStyle w:val="highlight"/>
          <w:rFonts w:ascii="Arial" w:hAnsi="Arial" w:cs="Arial"/>
          <w:b w:val="0"/>
          <w:color w:val="auto"/>
        </w:rPr>
        <w:t>for</w:t>
      </w:r>
      <w:r w:rsidRPr="007E0D1A">
        <w:rPr>
          <w:rFonts w:ascii="Arial" w:hAnsi="Arial" w:cs="Arial"/>
        </w:rPr>
        <w:t xml:space="preserve"> certification under the </w:t>
      </w:r>
      <w:r w:rsidRPr="007E0D1A">
        <w:rPr>
          <w:rStyle w:val="highlight"/>
          <w:rFonts w:ascii="Arial" w:hAnsi="Arial" w:cs="Arial"/>
          <w:b w:val="0"/>
          <w:color w:val="auto"/>
        </w:rPr>
        <w:t>program</w:t>
      </w:r>
      <w:r w:rsidRPr="007E0D1A">
        <w:rPr>
          <w:rFonts w:ascii="Arial" w:hAnsi="Arial" w:cs="Arial"/>
        </w:rPr>
        <w:t xml:space="preserve">, to continue to accept qualified </w:t>
      </w:r>
      <w:smartTag w:uri="urn:schemas-microsoft-com:office:smarttags" w:element="place">
        <w:smartTag w:uri="urn:schemas-microsoft-com:office:smarttags" w:element="country-region">
          <w:r w:rsidRPr="007E0D1A">
            <w:rPr>
              <w:rFonts w:ascii="Arial" w:hAnsi="Arial" w:cs="Arial"/>
            </w:rPr>
            <w:t>United States</w:t>
          </w:r>
        </w:smartTag>
      </w:smartTag>
      <w:r w:rsidRPr="007E0D1A">
        <w:rPr>
          <w:rFonts w:ascii="Arial" w:hAnsi="Arial" w:cs="Arial"/>
        </w:rPr>
        <w:t xml:space="preserve"> workers </w:t>
      </w:r>
      <w:r w:rsidRPr="007E0D1A">
        <w:rPr>
          <w:rStyle w:val="highlight"/>
          <w:rFonts w:ascii="Arial" w:hAnsi="Arial" w:cs="Arial"/>
          <w:b w:val="0"/>
          <w:color w:val="auto"/>
        </w:rPr>
        <w:t>for</w:t>
      </w:r>
      <w:r w:rsidRPr="007E0D1A">
        <w:rPr>
          <w:rFonts w:ascii="Arial" w:hAnsi="Arial" w:cs="Arial"/>
        </w:rPr>
        <w:t xml:space="preserve"> employment after the date the H–2A workers depart </w:t>
      </w:r>
      <w:r w:rsidRPr="007E0D1A">
        <w:rPr>
          <w:rStyle w:val="highlight"/>
          <w:rFonts w:ascii="Arial" w:hAnsi="Arial" w:cs="Arial"/>
          <w:b w:val="0"/>
          <w:color w:val="auto"/>
        </w:rPr>
        <w:t>for</w:t>
      </w:r>
      <w:r w:rsidRPr="007E0D1A">
        <w:rPr>
          <w:rFonts w:ascii="Arial" w:hAnsi="Arial" w:cs="Arial"/>
        </w:rPr>
        <w:t xml:space="preserve"> work with the employer. </w:t>
      </w:r>
    </w:p>
    <w:p w:rsidR="002A7668" w:rsidRPr="007E0D1A" w:rsidP="002A7668" w14:paraId="3436D763" w14:textId="77777777">
      <w:pPr>
        <w:shd w:val="clear" w:color="auto" w:fill="FFFFFF"/>
        <w:rPr>
          <w:rFonts w:ascii="Arial" w:hAnsi="Arial" w:cs="Arial"/>
        </w:rPr>
      </w:pPr>
      <w:r w:rsidRPr="007E0D1A">
        <w:rPr>
          <w:rStyle w:val="ptext-"/>
          <w:rFonts w:ascii="Arial" w:hAnsi="Arial" w:cs="Arial"/>
        </w:rPr>
        <w:t xml:space="preserve">The recommendations under subparagraph (D) shall be made in furtherance of the Congressional policy that aliens not be admitted under the H–2A </w:t>
      </w:r>
      <w:r w:rsidRPr="007E0D1A">
        <w:rPr>
          <w:rStyle w:val="highlight"/>
          <w:rFonts w:ascii="Arial" w:hAnsi="Arial" w:cs="Arial"/>
          <w:b w:val="0"/>
          <w:color w:val="auto"/>
        </w:rPr>
        <w:t>program</w:t>
      </w:r>
      <w:r w:rsidRPr="007E0D1A">
        <w:rPr>
          <w:rStyle w:val="ptext-"/>
          <w:rFonts w:ascii="Arial" w:hAnsi="Arial" w:cs="Arial"/>
        </w:rPr>
        <w:t xml:space="preserve"> unless there are not sufficient workers in the United States who are able, willing, and qualified to per</w:t>
      </w:r>
      <w:r w:rsidRPr="007E0D1A">
        <w:rPr>
          <w:rStyle w:val="highlight"/>
          <w:rFonts w:ascii="Arial" w:hAnsi="Arial" w:cs="Arial"/>
          <w:b w:val="0"/>
          <w:color w:val="auto"/>
        </w:rPr>
        <w:t>for</w:t>
      </w:r>
      <w:r w:rsidRPr="007E0D1A">
        <w:rPr>
          <w:rStyle w:val="ptext-"/>
          <w:rFonts w:ascii="Arial" w:hAnsi="Arial" w:cs="Arial"/>
        </w:rPr>
        <w:t xml:space="preserve">m the labor or services needed and that the employment of the alien in such labor or services will not adversely affect the wages and working conditions of workers in the United States similarly employed. </w:t>
      </w:r>
    </w:p>
    <w:p w:rsidR="002A7668" w:rsidRPr="002A7668" w:rsidP="002A7668" w14:paraId="36F1CAF4" w14:textId="77777777">
      <w:pPr>
        <w:shd w:val="clear" w:color="auto" w:fill="FFFFFF"/>
        <w:rPr>
          <w:rFonts w:ascii="Verdana" w:hAnsi="Verdana"/>
          <w:sz w:val="20"/>
          <w:szCs w:val="20"/>
        </w:rPr>
      </w:pPr>
      <w:r w:rsidRPr="007E0D1A">
        <w:rPr>
          <w:rFonts w:ascii="Arial" w:hAnsi="Arial" w:cs="Arial"/>
        </w:rPr>
        <w:t xml:space="preserve">“(b) </w:t>
      </w:r>
      <w:r w:rsidRPr="007E0D1A">
        <w:rPr>
          <w:rFonts w:ascii="Arial" w:hAnsi="Arial" w:cs="Arial"/>
        </w:rPr>
        <w:t>Deadlines.—</w:t>
      </w:r>
      <w:r w:rsidRPr="007E0D1A">
        <w:rPr>
          <w:rFonts w:ascii="Arial" w:hAnsi="Arial" w:cs="Arial"/>
        </w:rPr>
        <w:t xml:space="preserve">A report on the H–2A temporary worker </w:t>
      </w:r>
      <w:r w:rsidRPr="007E0D1A">
        <w:rPr>
          <w:rStyle w:val="highlight"/>
          <w:rFonts w:ascii="Arial" w:hAnsi="Arial" w:cs="Arial"/>
          <w:b w:val="0"/>
          <w:color w:val="auto"/>
        </w:rPr>
        <w:t>program</w:t>
      </w:r>
      <w:r w:rsidRPr="007E0D1A">
        <w:rPr>
          <w:rFonts w:ascii="Arial" w:hAnsi="Arial" w:cs="Arial"/>
        </w:rPr>
        <w:t xml:space="preserve"> under subsection (a) shall be submitted not later than two years after the date of the enactment of this Act [Nov. 6, 1986], and every two years</w:t>
      </w:r>
      <w:r w:rsidRPr="002A7668">
        <w:rPr>
          <w:rFonts w:ascii="Verdana" w:hAnsi="Verdana"/>
          <w:sz w:val="20"/>
          <w:szCs w:val="20"/>
        </w:rPr>
        <w:t xml:space="preserve"> thereafter.” </w:t>
      </w:r>
    </w:p>
    <w:p w:rsidR="00E6483F" w:rsidRPr="002A7668" w14:paraId="7503D23F" w14:textId="77777777"/>
    <w:sectPr w:rsidSect="006F32F5">
      <w:pgSz w:w="12240" w:h="1584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2FD513C"/>
    <w:multiLevelType w:val="multilevel"/>
    <w:tmpl w:val="7982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9370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668"/>
    <w:rsid w:val="002A7668"/>
    <w:rsid w:val="006F32F5"/>
    <w:rsid w:val="007E0D1A"/>
    <w:rsid w:val="009A2286"/>
    <w:rsid w:val="00B36304"/>
    <w:rsid w:val="00BB5E10"/>
    <w:rsid w:val="00E648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258517C"/>
  <w15:chartTrackingRefBased/>
  <w15:docId w15:val="{5CD29EA6-21AA-4F75-B2CE-DFFA33D3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2A7668"/>
    <w:rPr>
      <w:strike w:val="0"/>
      <w:dstrike w:val="0"/>
      <w:color w:val="000080"/>
      <w:u w:val="none"/>
      <w:effect w:val="none"/>
    </w:rPr>
  </w:style>
  <w:style w:type="paragraph" w:customStyle="1" w:styleId="leader">
    <w:name w:val="leader"/>
    <w:basedOn w:val="Normal"/>
    <w:rsid w:val="002A7668"/>
    <w:pPr>
      <w:spacing w:before="100" w:beforeAutospacing="1" w:after="100" w:afterAutospacing="1"/>
    </w:pPr>
    <w:rPr>
      <w:b/>
      <w:bCs/>
    </w:rPr>
  </w:style>
  <w:style w:type="character" w:customStyle="1" w:styleId="highlight">
    <w:name w:val="highlight"/>
    <w:basedOn w:val="DefaultParagraphFont"/>
    <w:rsid w:val="002A7668"/>
    <w:rPr>
      <w:b/>
      <w:bCs/>
      <w:color w:val="FF0000"/>
    </w:rPr>
  </w:style>
  <w:style w:type="character" w:customStyle="1" w:styleId="backtrail">
    <w:name w:val="backtrail"/>
    <w:basedOn w:val="DefaultParagraphFont"/>
    <w:rsid w:val="002A7668"/>
    <w:rPr>
      <w:b/>
      <w:bCs/>
      <w:sz w:val="24"/>
      <w:szCs w:val="24"/>
    </w:rPr>
  </w:style>
  <w:style w:type="character" w:customStyle="1" w:styleId="ptext-">
    <w:name w:val="ptext-"/>
    <w:basedOn w:val="DefaultParagraphFont"/>
    <w:rsid w:val="002A7668"/>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law.cornell.edu/uscode/html/uscode08/usc_sup_01_8.html" TargetMode="External" /><Relationship Id="rId5" Type="http://schemas.openxmlformats.org/officeDocument/2006/relationships/hyperlink" Target="http://www.law.cornell.edu/uscode/html/uscode08/usc_sup_01_8_10_12.html" TargetMode="External" /><Relationship Id="rId6" Type="http://schemas.openxmlformats.org/officeDocument/2006/relationships/hyperlink" Target="http://www.law.cornell.edu/uscode/html/uscode08/usc_sup_01_8_10_12_20_II.html" TargetMode="External" /><Relationship Id="rId7" Type="http://schemas.openxmlformats.org/officeDocument/2006/relationships/hyperlink" Target="http://www.law.cornell.edu/uscode/html/uscode08/usc_sup_01_8_10_12_20_II_30_II.html" TargetMode="External" /><Relationship Id="rId8" Type="http://schemas.openxmlformats.org/officeDocument/2006/relationships/hyperlink" Target="http://www.law.cornell.edu/uscode/html/uscode08/usc_sec_08_00001188----000-.html" TargetMode="External" /><Relationship Id="rId9" Type="http://schemas.openxmlformats.org/officeDocument/2006/relationships/hyperlink" Target="http://www.law.cornell.edu/usc-cgi/get_external.cgi?type=pubL&amp;target=99-60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U</vt:lpstr>
    </vt:vector>
  </TitlesOfParts>
  <Company>NASS</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hancda</dc:creator>
  <cp:lastModifiedBy>Hopper, Richard - REE-NASS, Washington, DC</cp:lastModifiedBy>
  <cp:revision>2</cp:revision>
  <dcterms:created xsi:type="dcterms:W3CDTF">2024-06-26T17:02:00Z</dcterms:created>
  <dcterms:modified xsi:type="dcterms:W3CDTF">2024-06-26T17:02:00Z</dcterms:modified>
</cp:coreProperties>
</file>