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93C78" w14:paraId="03076F8E" w14:textId="1B9DADDB">
      <w:pPr>
        <w:spacing w:line="258" w:lineRule="auto"/>
        <w:jc w:val="center"/>
        <w:outlineLvl w:val="0"/>
        <w:rPr>
          <w:b/>
          <w:bCs/>
        </w:rPr>
      </w:pPr>
    </w:p>
    <w:p w:rsidR="00593C78" w14:paraId="4F4F558E" w14:textId="66FB8DB9">
      <w:pPr>
        <w:spacing w:line="258" w:lineRule="auto"/>
        <w:jc w:val="center"/>
        <w:outlineLvl w:val="0"/>
        <w:rPr>
          <w:b/>
          <w:bCs/>
        </w:rPr>
      </w:pPr>
      <w:r>
        <w:rPr>
          <w:b/>
          <w:bCs/>
        </w:rPr>
        <w:t>Department of Commerce</w:t>
      </w:r>
    </w:p>
    <w:p w:rsidR="00593C78" w14:paraId="3192008E" w14:textId="77777777">
      <w:pPr>
        <w:spacing w:line="258" w:lineRule="auto"/>
        <w:jc w:val="center"/>
        <w:outlineLvl w:val="0"/>
        <w:rPr>
          <w:b/>
          <w:bCs/>
        </w:rPr>
      </w:pPr>
      <w:r>
        <w:rPr>
          <w:b/>
          <w:bCs/>
        </w:rPr>
        <w:t>U.S. Census Bureau</w:t>
      </w:r>
    </w:p>
    <w:p w:rsidR="00B011D6" w14:paraId="492C1B81" w14:textId="77777777">
      <w:pPr>
        <w:spacing w:line="258" w:lineRule="auto"/>
        <w:jc w:val="center"/>
        <w:outlineLvl w:val="0"/>
        <w:rPr>
          <w:b/>
          <w:bCs/>
        </w:rPr>
      </w:pPr>
      <w:r>
        <w:rPr>
          <w:b/>
          <w:bCs/>
        </w:rPr>
        <w:t>OMB Information Collection Request</w:t>
      </w:r>
    </w:p>
    <w:p w:rsidR="00593C78" w14:paraId="3C280E7D" w14:textId="77777777">
      <w:pPr>
        <w:pStyle w:val="Style0"/>
        <w:spacing w:line="258" w:lineRule="auto"/>
        <w:jc w:val="center"/>
        <w:rPr>
          <w:rFonts w:ascii="Times New Roman" w:hAnsi="Times New Roman" w:cs="Times New Roman"/>
          <w:b/>
          <w:bCs/>
        </w:rPr>
      </w:pPr>
      <w:r>
        <w:rPr>
          <w:rFonts w:ascii="Times New Roman" w:hAnsi="Times New Roman" w:cs="Times New Roman"/>
          <w:b/>
          <w:bCs/>
        </w:rPr>
        <w:t>Quarterly Financial Report (QFR) Program</w:t>
      </w:r>
    </w:p>
    <w:p w:rsidR="00593C78" w14:paraId="67C09717" w14:textId="77777777">
      <w:pPr>
        <w:pStyle w:val="Style0"/>
        <w:spacing w:line="258" w:lineRule="auto"/>
        <w:jc w:val="center"/>
        <w:rPr>
          <w:rFonts w:ascii="Times New Roman" w:hAnsi="Times New Roman" w:cs="Times New Roman"/>
          <w:b/>
          <w:bCs/>
          <w:szCs w:val="20"/>
        </w:rPr>
      </w:pPr>
      <w:r>
        <w:rPr>
          <w:rFonts w:ascii="Times New Roman" w:hAnsi="Times New Roman" w:cs="Times New Roman"/>
          <w:b/>
          <w:bCs/>
          <w:szCs w:val="20"/>
        </w:rPr>
        <w:t>OMB Control Number 0607-0432</w:t>
      </w:r>
    </w:p>
    <w:p w:rsidR="00593C78" w14:paraId="62714AB5" w14:textId="77777777">
      <w:pPr>
        <w:pStyle w:val="Style0"/>
        <w:spacing w:line="258" w:lineRule="auto"/>
        <w:jc w:val="center"/>
        <w:rPr>
          <w:rFonts w:ascii="Times New Roman" w:hAnsi="Times New Roman" w:cs="Times New Roman"/>
          <w:b/>
          <w:bCs/>
          <w:szCs w:val="20"/>
        </w:rPr>
      </w:pPr>
    </w:p>
    <w:p w:rsidR="00593C78" w14:paraId="2F4BFD89" w14:textId="77777777">
      <w:pPr>
        <w:pStyle w:val="Style0"/>
        <w:spacing w:line="258" w:lineRule="auto"/>
        <w:rPr>
          <w:rFonts w:ascii="CG Times" w:hAnsi="CG Times" w:cs="Times New Roman"/>
          <w:b/>
          <w:bCs/>
          <w:sz w:val="20"/>
          <w:szCs w:val="20"/>
        </w:rPr>
      </w:pPr>
    </w:p>
    <w:p w:rsidR="00593C78" w:rsidP="0030620E" w14:paraId="114A4D4F" w14:textId="77777777">
      <w:pPr>
        <w:pStyle w:val="Style0"/>
        <w:numPr>
          <w:ilvl w:val="0"/>
          <w:numId w:val="2"/>
        </w:numPr>
        <w:tabs>
          <w:tab w:val="num" w:pos="700"/>
          <w:tab w:val="clear" w:pos="1080"/>
        </w:tabs>
        <w:spacing w:line="258" w:lineRule="auto"/>
        <w:rPr>
          <w:rFonts w:ascii="Times New Roman" w:hAnsi="Times New Roman" w:cs="Times New Roman"/>
          <w:b/>
          <w:bCs/>
          <w:u w:val="single"/>
        </w:rPr>
      </w:pPr>
      <w:r>
        <w:rPr>
          <w:rFonts w:ascii="Times New Roman" w:hAnsi="Times New Roman" w:cs="Times New Roman"/>
          <w:b/>
          <w:bCs/>
          <w:u w:val="single"/>
        </w:rPr>
        <w:t>Justification</w:t>
      </w:r>
    </w:p>
    <w:p w:rsidR="00593C78" w14:paraId="6A848FB0" w14:textId="77777777">
      <w:pPr>
        <w:pStyle w:val="Style0"/>
        <w:spacing w:line="258" w:lineRule="auto"/>
        <w:ind w:left="360"/>
        <w:rPr>
          <w:rFonts w:ascii="Times New Roman" w:hAnsi="Times New Roman" w:cs="Times New Roman"/>
          <w:b/>
          <w:bCs/>
          <w:u w:val="single"/>
        </w:rPr>
      </w:pPr>
    </w:p>
    <w:p w:rsidR="00593C78" w14:paraId="7A89316B" w14:textId="77777777">
      <w:pPr>
        <w:pStyle w:val="Style0"/>
        <w:tabs>
          <w:tab w:val="left" w:pos="1080"/>
        </w:tabs>
        <w:spacing w:line="258" w:lineRule="auto"/>
        <w:ind w:firstLine="720"/>
        <w:rPr>
          <w:rFonts w:ascii="CG Times" w:hAnsi="CG Times" w:cs="Times New Roman"/>
        </w:rPr>
      </w:pPr>
      <w:r>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u w:val="single"/>
        </w:rPr>
        <w:t>Necessity of the Information Collection</w:t>
      </w:r>
    </w:p>
    <w:p w:rsidR="00593C78" w14:paraId="7C39D7F1" w14:textId="77777777">
      <w:pPr>
        <w:pStyle w:val="Style0"/>
        <w:spacing w:line="258" w:lineRule="auto"/>
        <w:rPr>
          <w:rFonts w:ascii="CG Times" w:hAnsi="CG Times" w:cs="Times New Roman"/>
        </w:rPr>
      </w:pPr>
    </w:p>
    <w:p w:rsidR="00593C78" w:rsidRPr="009F0136" w14:paraId="521E4557" w14:textId="34C404D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897C03">
        <w:rPr>
          <w:rFonts w:ascii="Times New Roman" w:hAnsi="Times New Roman" w:cs="Times New Roman"/>
        </w:rPr>
        <w:t xml:space="preserve">The U.S. Census Bureau requests an extension, without change, of the </w:t>
      </w:r>
      <w:r>
        <w:rPr>
          <w:rFonts w:ascii="Times New Roman" w:hAnsi="Times New Roman" w:cs="Times New Roman"/>
        </w:rPr>
        <w:t>Quarterly Financial Report</w:t>
      </w:r>
      <w:r w:rsidRPr="00897C03">
        <w:rPr>
          <w:rFonts w:ascii="Times New Roman" w:hAnsi="Times New Roman" w:cs="Times New Roman"/>
        </w:rPr>
        <w:t xml:space="preserve"> (</w:t>
      </w:r>
      <w:r>
        <w:rPr>
          <w:rFonts w:ascii="Times New Roman" w:hAnsi="Times New Roman" w:cs="Times New Roman"/>
        </w:rPr>
        <w:t>QFR</w:t>
      </w:r>
      <w:r w:rsidRPr="00897C03">
        <w:rPr>
          <w:rFonts w:ascii="Times New Roman" w:hAnsi="Times New Roman" w:cs="Times New Roman"/>
        </w:rPr>
        <w:t>).</w:t>
      </w:r>
      <w:r w:rsidR="00671F38">
        <w:rPr>
          <w:rFonts w:ascii="Times New Roman" w:hAnsi="Times New Roman" w:cs="Times New Roman"/>
        </w:rPr>
        <w:t xml:space="preserve"> </w:t>
      </w:r>
      <w:r>
        <w:rPr>
          <w:rFonts w:ascii="Times New Roman" w:hAnsi="Times New Roman" w:cs="Times New Roman"/>
        </w:rPr>
        <w:t xml:space="preserve">The QFR program has published up-to-date aggregate statistics on the financial results </w:t>
      </w:r>
      <w:r w:rsidRPr="0079369E">
        <w:rPr>
          <w:rFonts w:ascii="Times New Roman" w:hAnsi="Times New Roman" w:cs="Times New Roman"/>
        </w:rPr>
        <w:t xml:space="preserve">and position of U.S. corporations since 1947.  The program currently collects and publishes financial data for </w:t>
      </w:r>
      <w:r w:rsidRPr="0079369E" w:rsidR="009C076D">
        <w:rPr>
          <w:rFonts w:ascii="Times New Roman" w:hAnsi="Times New Roman" w:cs="Times New Roman"/>
        </w:rPr>
        <w:t xml:space="preserve">the </w:t>
      </w:r>
      <w:r w:rsidRPr="0079369E">
        <w:rPr>
          <w:rFonts w:ascii="Times New Roman" w:hAnsi="Times New Roman" w:cs="Times New Roman"/>
        </w:rPr>
        <w:t xml:space="preserve">manufacturing, mining, wholesale </w:t>
      </w:r>
      <w:r w:rsidRPr="0079369E" w:rsidR="002E5575">
        <w:rPr>
          <w:rFonts w:ascii="Times New Roman" w:hAnsi="Times New Roman" w:cs="Times New Roman"/>
        </w:rPr>
        <w:t xml:space="preserve">trade, </w:t>
      </w:r>
      <w:r w:rsidRPr="0079369E">
        <w:rPr>
          <w:rFonts w:ascii="Times New Roman" w:hAnsi="Times New Roman" w:cs="Times New Roman"/>
        </w:rPr>
        <w:t>retail trade</w:t>
      </w:r>
      <w:r w:rsidRPr="0079369E" w:rsidR="002E5575">
        <w:rPr>
          <w:rFonts w:ascii="Times New Roman" w:hAnsi="Times New Roman" w:cs="Times New Roman"/>
        </w:rPr>
        <w:t>, information, and professional and technical service</w:t>
      </w:r>
      <w:r w:rsidRPr="0079369E" w:rsidR="00BB779D">
        <w:rPr>
          <w:rFonts w:ascii="Times New Roman" w:hAnsi="Times New Roman" w:cs="Times New Roman"/>
        </w:rPr>
        <w:t>s</w:t>
      </w:r>
      <w:r w:rsidRPr="0079369E" w:rsidR="002E5575">
        <w:rPr>
          <w:rFonts w:ascii="Times New Roman" w:hAnsi="Times New Roman" w:cs="Times New Roman"/>
        </w:rPr>
        <w:t xml:space="preserve"> (except legal) sectors. </w:t>
      </w:r>
      <w:r w:rsidRPr="0079369E">
        <w:rPr>
          <w:rFonts w:ascii="Times New Roman" w:hAnsi="Times New Roman" w:cs="Times New Roman"/>
        </w:rPr>
        <w:t xml:space="preserve"> The survey is a principal economic indicator that provides financial data essential to calculation of key U.S. government measures of national economic performance.  The importance of this data collection is reflected by the granting of specific authority to conduct the program in Title 13 of the United States Code, Section 91, which requires</w:t>
      </w:r>
      <w:r>
        <w:rPr>
          <w:rFonts w:ascii="Times New Roman" w:hAnsi="Times New Roman" w:cs="Times New Roman"/>
        </w:rPr>
        <w:t xml:space="preserve"> that financial statistics of business operations be collected and published quarterly.  Public Law </w:t>
      </w:r>
      <w:r w:rsidRPr="009622E5" w:rsidR="006051BD">
        <w:rPr>
          <w:rFonts w:ascii="Times New Roman" w:hAnsi="Times New Roman" w:cs="Times New Roman"/>
        </w:rPr>
        <w:t>114-72</w:t>
      </w:r>
      <w:r>
        <w:rPr>
          <w:rFonts w:ascii="Times New Roman" w:hAnsi="Times New Roman" w:cs="Times New Roman"/>
        </w:rPr>
        <w:t xml:space="preserve">, Section </w:t>
      </w:r>
      <w:r w:rsidR="00694200">
        <w:rPr>
          <w:rFonts w:ascii="Times New Roman" w:hAnsi="Times New Roman" w:cs="Times New Roman"/>
        </w:rPr>
        <w:t>2</w:t>
      </w:r>
      <w:r>
        <w:rPr>
          <w:rFonts w:ascii="Times New Roman" w:hAnsi="Times New Roman" w:cs="Times New Roman"/>
        </w:rPr>
        <w:t xml:space="preserve"> extended the authority of the Secretary of Commerce to conduct the QFR program through September 30, 20</w:t>
      </w:r>
      <w:r w:rsidRPr="00694200" w:rsidR="006051BD">
        <w:rPr>
          <w:rFonts w:ascii="Times New Roman" w:hAnsi="Times New Roman" w:cs="Times New Roman"/>
        </w:rPr>
        <w:t>30</w:t>
      </w:r>
      <w:r>
        <w:rPr>
          <w:rFonts w:ascii="Times New Roman" w:hAnsi="Times New Roman" w:cs="Times New Roman"/>
        </w:rPr>
        <w:t>.</w:t>
      </w:r>
      <w:r w:rsidR="00AB37A2">
        <w:rPr>
          <w:rFonts w:ascii="Times New Roman" w:hAnsi="Times New Roman" w:cs="Times New Roman"/>
        </w:rPr>
        <w:t xml:space="preserve">  </w:t>
      </w:r>
    </w:p>
    <w:p w:rsidR="00D013A7" w:rsidP="00623E68" w14:paraId="78892B79"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p>
    <w:p w:rsidR="00593C78" w14:paraId="4155B133"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survey forms used to conduct the QFR are: QFR-200 (MT) Long Form (manufacturing, mining, wholesale trade, and retail trade); QFR-201 (MG) Short Form (manufacturing); and </w:t>
      </w:r>
      <w:r w:rsidR="002F5A20">
        <w:rPr>
          <w:rFonts w:ascii="Times New Roman" w:hAnsi="Times New Roman" w:cs="Times New Roman"/>
        </w:rPr>
        <w:t>the</w:t>
      </w:r>
      <w:r>
        <w:rPr>
          <w:rFonts w:ascii="Times New Roman" w:hAnsi="Times New Roman" w:cs="Times New Roman"/>
        </w:rPr>
        <w:t xml:space="preserve"> QFR-300 (S) Long Form (services). </w:t>
      </w:r>
    </w:p>
    <w:p w:rsidR="005E2C2D" w14:paraId="68F9DA29"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rsidP="0030620E" w14:paraId="54334C75" w14:textId="77777777">
      <w:pPr>
        <w:pStyle w:val="Style0"/>
        <w:numPr>
          <w:ilvl w:val="0"/>
          <w:numId w:val="12"/>
        </w:numPr>
        <w:tabs>
          <w:tab w:val="left" w:pos="0"/>
          <w:tab w:val="left" w:pos="417"/>
          <w:tab w:val="num" w:pos="710"/>
          <w:tab w:val="left" w:pos="835"/>
          <w:tab w:val="left" w:pos="1080"/>
          <w:tab w:val="clear" w:pos="1245"/>
          <w:tab w:val="left" w:pos="144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firstLine="0"/>
        <w:outlineLvl w:val="0"/>
        <w:rPr>
          <w:rFonts w:ascii="Times New Roman" w:hAnsi="Times New Roman" w:cs="Times New Roman"/>
          <w:b/>
          <w:bCs/>
          <w:u w:val="single"/>
        </w:rPr>
      </w:pPr>
      <w:r>
        <w:rPr>
          <w:rFonts w:ascii="Times New Roman" w:hAnsi="Times New Roman" w:cs="Times New Roman"/>
          <w:b/>
          <w:bCs/>
          <w:u w:val="single"/>
        </w:rPr>
        <w:t>Needs and Uses</w:t>
      </w:r>
    </w:p>
    <w:p w:rsidR="00593C78" w14:paraId="4F08FE1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CG Times" w:hAnsi="CG Times" w:cs="Times New Roman"/>
        </w:rPr>
      </w:pPr>
    </w:p>
    <w:p w:rsidR="00593C78" w14:paraId="2709A808"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primary purpose of the QFR is to provide timely, accurate data on business financial conditions for use by Government and private-sector organizations and individuals. The primary public users are listed below.  These same organizations play a major role in providing guidance, advice, and support to the QFR program.  The primary private-sector data users are a diverse group including universities, financial analysts, unions, trade associations, public libraries, banking institutions, and U.S. and foreign corporations. </w:t>
      </w:r>
    </w:p>
    <w:p w:rsidR="00593C78" w14:paraId="387FFA4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20B202B6"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following is a listing of key governmental users and short descriptions of their respective uses of the QFR data:</w:t>
      </w:r>
    </w:p>
    <w:p w:rsidR="00593C78" w14:paraId="681ED66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021543C2" w14:textId="77777777">
      <w:pPr>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CG Times" w:hAnsi="CG Times"/>
        </w:rPr>
      </w:pPr>
      <w:r>
        <w:tab/>
      </w:r>
      <w:r>
        <w:tab/>
        <w:t>•</w:t>
      </w:r>
      <w:r>
        <w:tab/>
      </w:r>
      <w:r>
        <w:tab/>
      </w:r>
      <w:r>
        <w:rPr>
          <w:b/>
          <w:bCs/>
          <w:u w:val="single"/>
        </w:rPr>
        <w:t>Bureau of Economic Analysis (BEA)</w:t>
      </w:r>
    </w:p>
    <w:p w:rsidR="00593C78" w14:paraId="04D51E6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CG Times" w:hAnsi="CG Times" w:cs="Times New Roman"/>
        </w:rPr>
      </w:pPr>
    </w:p>
    <w:p w:rsidR="00593C78" w14:paraId="7EFB2BDB" w14:textId="77777777">
      <w:pPr>
        <w:pStyle w:val="Style0"/>
        <w:tabs>
          <w:tab w:val="left" w:pos="-416"/>
          <w:tab w:val="left" w:pos="-1"/>
          <w:tab w:val="left" w:pos="418"/>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BEA uses QFR data as a primary source for current estimates of corporate profits, taxes, and dividends for the quarterly estimates of the Gross Domestic Income (GDI), a component of the National Income and Product Accounts (NIPA).  Reports emanating from these measures are used widely by the public and private sectors.  The GDI estimate, which must balance with the estimate of GDP, is critical </w:t>
      </w:r>
      <w:r>
        <w:rPr>
          <w:rFonts w:ascii="Times New Roman" w:hAnsi="Times New Roman" w:cs="Times New Roman"/>
        </w:rPr>
        <w:t>to economic policymaking.  In addition, QFR data are merged into BEA's database and used as a business cycle indicator in the "Survey of Current Business."</w:t>
      </w:r>
    </w:p>
    <w:p w:rsidR="00593C78" w14:paraId="04CE5F5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93C78" w14:paraId="7C2D7C93" w14:textId="77777777">
      <w:pPr>
        <w:pStyle w:val="Style0"/>
        <w:tabs>
          <w:tab w:val="left" w:pos="-416"/>
          <w:tab w:val="left" w:pos="-1"/>
          <w:tab w:val="left" w:pos="418"/>
          <w:tab w:val="left" w:pos="720"/>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Reserve Board (FRB)</w:t>
      </w:r>
    </w:p>
    <w:p w:rsidR="00593C78" w14:paraId="78111506"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426090AC" w14:textId="77777777">
      <w:pPr>
        <w:pStyle w:val="Style0"/>
        <w:tabs>
          <w:tab w:val="left" w:pos="418"/>
          <w:tab w:val="left" w:pos="835"/>
          <w:tab w:val="left" w:pos="1252"/>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78"/>
          <w:tab w:val="left" w:pos="10798"/>
        </w:tabs>
        <w:spacing w:line="258" w:lineRule="auto"/>
        <w:ind w:left="1260"/>
        <w:rPr>
          <w:rFonts w:ascii="Times New Roman" w:hAnsi="Times New Roman" w:cs="Times New Roman"/>
        </w:rPr>
      </w:pPr>
      <w:r>
        <w:rPr>
          <w:rFonts w:ascii="Times New Roman" w:hAnsi="Times New Roman" w:cs="Times New Roman"/>
          <w:szCs w:val="20"/>
        </w:rPr>
        <w:t xml:space="preserve">The FRB uses QFR data as a major building block of the FRB’s Flow of Funds accounts and its sole source of consolidated nonfinancial corporate data.  The FRB uses QFR data in briefings on conditions of financial markets in various sectors of the economy; to provide current insight into sector borrowing changes; and as a primary input to econometrics models for industry and size analysis of corporate finance. </w:t>
      </w:r>
      <w:r>
        <w:rPr>
          <w:rFonts w:ascii="Times New Roman" w:hAnsi="Times New Roman" w:cs="Times New Roman"/>
        </w:rPr>
        <w:t>FRB reports are used widely by the Executive and Legislative Branches for economic policymaking.  In addition, the FRB "Bulletin" regularly publishes data derived from the QFR.</w:t>
      </w:r>
    </w:p>
    <w:p w:rsidR="00593C78" w14:paraId="0D9AFC51"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rsidR="00593C78" w14:paraId="0DCE5D23" w14:textId="77777777">
      <w:pPr>
        <w:pStyle w:val="Style0"/>
        <w:tabs>
          <w:tab w:val="left" w:pos="0"/>
          <w:tab w:val="left" w:pos="417"/>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hanging="36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Trade Commission (FTC)</w:t>
      </w:r>
    </w:p>
    <w:p w:rsidR="00593C78" w14:paraId="40D7B38C"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195"/>
        <w:rPr>
          <w:rFonts w:ascii="Times New Roman" w:hAnsi="Times New Roman" w:cs="Times New Roman"/>
        </w:rPr>
      </w:pPr>
    </w:p>
    <w:p w:rsidR="00593C78" w14:paraId="2E0FE5AA"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 xml:space="preserve">The FTC uses QFR data to study the impact and extent of ownership concentration in the manufacturing sector. </w:t>
      </w:r>
    </w:p>
    <w:p w:rsidR="00593C78" w14:paraId="32EA8280"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p>
    <w:p w:rsidR="00593C78" w14:paraId="699D36DF" w14:textId="77777777">
      <w:pPr>
        <w:pStyle w:val="Style0"/>
        <w:tabs>
          <w:tab w:val="left" w:pos="417"/>
          <w:tab w:val="left" w:pos="720"/>
          <w:tab w:val="left" w:pos="835"/>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Small Business Administration</w:t>
      </w:r>
      <w:r w:rsidR="0030620E">
        <w:rPr>
          <w:rFonts w:ascii="Times New Roman" w:hAnsi="Times New Roman" w:cs="Times New Roman"/>
          <w:b/>
          <w:bCs/>
          <w:u w:val="single"/>
        </w:rPr>
        <w:t xml:space="preserve"> (SBA)</w:t>
      </w:r>
    </w:p>
    <w:p w:rsidR="00593C78" w14:paraId="4F4F0910"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261B94E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 xml:space="preserve">The SBA uses QFR data to trace the financial performance of small </w:t>
      </w:r>
      <w:r>
        <w:rPr>
          <w:rFonts w:ascii="Times New Roman" w:hAnsi="Times New Roman" w:cs="Times New Roman"/>
        </w:rPr>
        <w:t>businesses, and</w:t>
      </w:r>
      <w:r>
        <w:rPr>
          <w:rFonts w:ascii="Times New Roman" w:hAnsi="Times New Roman" w:cs="Times New Roman"/>
        </w:rPr>
        <w:t xml:space="preserve"> analyze and prepare reports for use in loan policy, Congressional testimony, and advice to the administration on small versus large company performance.</w:t>
      </w:r>
    </w:p>
    <w:p w:rsidR="00593C78" w14:paraId="0B2C904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47A7C145" w14:textId="77777777">
      <w:pPr>
        <w:pStyle w:val="Style0"/>
        <w:tabs>
          <w:tab w:val="left" w:pos="417"/>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 Treasury-Office of Tax Analysis</w:t>
      </w:r>
    </w:p>
    <w:p w:rsidR="00593C78" w14:paraId="09AE46D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7DE15B1B" w14:textId="5E043974">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 xml:space="preserve">The Treasury Department’s Office of Tax Analysis uses QFR data to extrapolate tax-based income, on a current basis, by industry, </w:t>
      </w:r>
      <w:r>
        <w:rPr>
          <w:rFonts w:ascii="Times New Roman" w:hAnsi="Times New Roman" w:cs="Times New Roman"/>
        </w:rPr>
        <w:t>in order to</w:t>
      </w:r>
      <w:r>
        <w:rPr>
          <w:rFonts w:ascii="Times New Roman" w:hAnsi="Times New Roman" w:cs="Times New Roman"/>
        </w:rPr>
        <w:t xml:space="preserve"> estimate</w:t>
      </w:r>
      <w:r w:rsidR="008468B2">
        <w:rPr>
          <w:rFonts w:ascii="Times New Roman" w:hAnsi="Times New Roman" w:cs="Times New Roman"/>
        </w:rPr>
        <w:t xml:space="preserve"> the</w:t>
      </w:r>
      <w:r>
        <w:rPr>
          <w:rFonts w:ascii="Times New Roman" w:hAnsi="Times New Roman" w:cs="Times New Roman"/>
        </w:rPr>
        <w:t xml:space="preserve"> effect of existing and contemplated tax law on the corporate sector.  The data are also used as a reference source to respond to questions, usually Congressional, concerning industry profitability and financial position.</w:t>
      </w:r>
    </w:p>
    <w:p w:rsidR="0084601E" w14:paraId="49711E4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13A48E26"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Joint Committee on Taxation (JCT)</w:t>
      </w:r>
    </w:p>
    <w:p w:rsidR="00593C78" w14:paraId="2AEE0C4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rsidR="00593C78" w14:paraId="095A4D7A"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The JCT uses QFR data to respond to congressional inquiries regarding corporate sales, profits, financial position, and rate of return by industry and asset size for the purpose of drafting or responding to proposed legislation.</w:t>
      </w:r>
    </w:p>
    <w:p w:rsidR="006D0DC7" w:rsidP="00AB37A2" w14:paraId="1A57653E" w14:textId="7D7FF4C9">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rsidR="00AB37A2" w:rsidRPr="003F2FCC" w:rsidP="00AB37A2" w14:paraId="25D3CA6D" w14:textId="77777777">
      <w:pPr>
        <w:pStyle w:val="Style0"/>
        <w:tabs>
          <w:tab w:val="left" w:pos="0"/>
          <w:tab w:val="left" w:pos="417"/>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b/>
          <w:bCs/>
          <w:u w:val="single"/>
        </w:rPr>
      </w:pPr>
      <w:r w:rsidRPr="003F2FCC">
        <w:rPr>
          <w:rFonts w:ascii="Times New Roman" w:hAnsi="Times New Roman" w:cs="Times New Roman"/>
        </w:rPr>
        <w:t>•</w:t>
      </w:r>
      <w:r w:rsidRPr="003F2FCC">
        <w:rPr>
          <w:rFonts w:ascii="Times New Roman" w:hAnsi="Times New Roman" w:cs="Times New Roman"/>
        </w:rPr>
        <w:tab/>
      </w:r>
      <w:r w:rsidRPr="003F2FCC">
        <w:rPr>
          <w:rFonts w:ascii="Times New Roman" w:hAnsi="Times New Roman" w:cs="Times New Roman"/>
          <w:b/>
          <w:bCs/>
          <w:u w:val="single"/>
        </w:rPr>
        <w:t>Private Sector Users:</w:t>
      </w:r>
    </w:p>
    <w:p w:rsidR="00AB37A2" w:rsidRPr="003F2FCC" w:rsidP="00AB37A2" w14:paraId="49098C57"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p>
    <w:p w:rsidR="00AB37A2" w:rsidRPr="003F2FCC" w:rsidP="00AB37A2" w14:paraId="0E59D028"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ProQuest and Haver Analytics</w:t>
      </w:r>
    </w:p>
    <w:p w:rsidR="00AB37A2" w:rsidRPr="003F2FCC" w:rsidP="00AB37A2" w14:paraId="26934D40"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Natural Resources Defense Council</w:t>
      </w:r>
    </w:p>
    <w:p w:rsidR="00AB37A2" w:rsidRPr="003F2FCC" w:rsidP="00AB37A2" w14:paraId="7C0744FF"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National Retail Federation</w:t>
      </w:r>
    </w:p>
    <w:p w:rsidR="00AB37A2" w:rsidRPr="003F2FCC" w:rsidP="00AB37A2" w14:paraId="3DEEE60B" w14:textId="77777777">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American Forest &amp; Paper Association</w:t>
      </w:r>
    </w:p>
    <w:p w:rsidR="00AB37A2" w:rsidRPr="003F2FCC" w:rsidP="00AB37A2" w14:paraId="10FC1422" w14:textId="2C5E4C1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Oxford Information Technology</w:t>
      </w:r>
    </w:p>
    <w:p w:rsidR="00FC6945" w:rsidP="00FC6945" w14:paraId="26D11AA0" w14:textId="6B6FA4C0">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Newspapers, trade magazines, and researchers</w:t>
      </w:r>
    </w:p>
    <w:p w:rsidR="00FC6945" w:rsidP="0050157C" w14:paraId="3510401B" w14:textId="7777777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00FC6945" w:rsidRPr="00FC6945" w:rsidP="0050157C" w14:paraId="6BC630F6" w14:textId="57B061A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50157C">
        <w:rPr>
          <w:rFonts w:ascii="Times New Roman" w:hAnsi="Times New Roman" w:cs="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w:t>
      </w:r>
      <w:r w:rsidR="00D03DDE">
        <w:rPr>
          <w:rFonts w:ascii="Times New Roman" w:hAnsi="Times New Roman" w:cs="Times New Roman"/>
        </w:rPr>
        <w:t>by the Paperwork Reduction Act.</w:t>
      </w:r>
    </w:p>
    <w:p w:rsidR="00AB37A2" w:rsidP="00AB37A2" w14:paraId="71B726B6" w14:textId="77777777">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rsidR="00593C78" w14:paraId="1A5501D1" w14:textId="77777777">
      <w:pPr>
        <w:pStyle w:val="Style0"/>
        <w:tabs>
          <w:tab w:val="left" w:pos="-416"/>
          <w:tab w:val="left" w:pos="-1"/>
          <w:tab w:val="left" w:pos="418"/>
          <w:tab w:val="left" w:pos="720"/>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250"/>
        <w:outlineLvl w:val="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3</w:t>
      </w: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Use of Information Technology</w:t>
      </w:r>
    </w:p>
    <w:p w:rsidR="00593C78" w14:paraId="4A335F67" w14:textId="77777777">
      <w:pPr>
        <w:pStyle w:val="Style0"/>
        <w:rPr>
          <w:rFonts w:ascii="Times New Roman" w:hAnsi="Times New Roman" w:cs="Times New Roman"/>
        </w:rPr>
      </w:pPr>
    </w:p>
    <w:p w:rsidR="00593C78" w:rsidRPr="0079369E" w14:paraId="2FDFE044" w14:textId="2B14BAC0">
      <w:pPr>
        <w:pStyle w:val="Style0"/>
        <w:ind w:left="720"/>
        <w:rPr>
          <w:rFonts w:ascii="Times New Roman" w:hAnsi="Times New Roman" w:cs="Times New Roman"/>
        </w:rPr>
      </w:pPr>
      <w:r w:rsidRPr="0079369E">
        <w:rPr>
          <w:rFonts w:ascii="Times New Roman" w:hAnsi="Times New Roman" w:cs="Times New Roman"/>
        </w:rPr>
        <w:t xml:space="preserve">The Census Bureau uses two forms of data collection: </w:t>
      </w:r>
      <w:r w:rsidRPr="0079369E" w:rsidR="006D0DC7">
        <w:rPr>
          <w:rFonts w:ascii="Times New Roman" w:hAnsi="Times New Roman" w:cs="Times New Roman"/>
        </w:rPr>
        <w:t>a</w:t>
      </w:r>
      <w:r w:rsidRPr="0079369E">
        <w:rPr>
          <w:rFonts w:ascii="Times New Roman" w:hAnsi="Times New Roman" w:cs="Times New Roman"/>
        </w:rPr>
        <w:t xml:space="preserve"> secure, encrypted Internet data collection system called Cen</w:t>
      </w:r>
      <w:r w:rsidRPr="0079369E" w:rsidR="006D0DC7">
        <w:rPr>
          <w:rFonts w:ascii="Times New Roman" w:hAnsi="Times New Roman" w:cs="Times New Roman"/>
        </w:rPr>
        <w:t>turion, and mail out</w:t>
      </w:r>
      <w:r w:rsidRPr="0079369E" w:rsidR="0022491E">
        <w:rPr>
          <w:rFonts w:ascii="Times New Roman" w:hAnsi="Times New Roman" w:cs="Times New Roman"/>
        </w:rPr>
        <w:t xml:space="preserve">, </w:t>
      </w:r>
      <w:r w:rsidRPr="0079369E" w:rsidR="00BB779D">
        <w:rPr>
          <w:rFonts w:ascii="Times New Roman" w:hAnsi="Times New Roman" w:cs="Times New Roman"/>
        </w:rPr>
        <w:t xml:space="preserve">with </w:t>
      </w:r>
      <w:r w:rsidRPr="0079369E" w:rsidR="006D0DC7">
        <w:rPr>
          <w:rFonts w:ascii="Times New Roman" w:hAnsi="Times New Roman" w:cs="Times New Roman"/>
        </w:rPr>
        <w:t>mail</w:t>
      </w:r>
      <w:r w:rsidRPr="0079369E" w:rsidR="0022491E">
        <w:rPr>
          <w:rFonts w:ascii="Times New Roman" w:hAnsi="Times New Roman" w:cs="Times New Roman"/>
        </w:rPr>
        <w:t xml:space="preserve"> or </w:t>
      </w:r>
      <w:r w:rsidRPr="0079369E" w:rsidR="006D0DC7">
        <w:rPr>
          <w:rFonts w:ascii="Times New Roman" w:hAnsi="Times New Roman" w:cs="Times New Roman"/>
        </w:rPr>
        <w:t>fax back paper survey forms.</w:t>
      </w:r>
      <w:r w:rsidRPr="0079369E" w:rsidR="00BB779D">
        <w:rPr>
          <w:rFonts w:ascii="Times New Roman" w:hAnsi="Times New Roman" w:cs="Times New Roman"/>
        </w:rPr>
        <w:t xml:space="preserve">  </w:t>
      </w:r>
      <w:r w:rsidRPr="003F2FCC" w:rsidR="00AB37A2">
        <w:rPr>
          <w:rFonts w:ascii="Times New Roman" w:hAnsi="Times New Roman" w:cs="Times New Roman"/>
        </w:rPr>
        <w:t>Every company receives an initial mail package which includes information about electronic reporting on the for</w:t>
      </w:r>
      <w:r w:rsidRPr="003F2FCC" w:rsidR="004C7C8C">
        <w:rPr>
          <w:rFonts w:ascii="Times New Roman" w:hAnsi="Times New Roman" w:cs="Times New Roman"/>
        </w:rPr>
        <w:t>m.</w:t>
      </w:r>
      <w:r w:rsidR="004C7C8C">
        <w:rPr>
          <w:rFonts w:ascii="Times New Roman" w:hAnsi="Times New Roman" w:cs="Times New Roman"/>
        </w:rPr>
        <w:t xml:space="preserve">  </w:t>
      </w:r>
      <w:r w:rsidRPr="0079369E">
        <w:rPr>
          <w:rFonts w:ascii="Times New Roman" w:hAnsi="Times New Roman" w:cs="Times New Roman"/>
        </w:rPr>
        <w:t>Cen</w:t>
      </w:r>
      <w:r w:rsidRPr="0079369E" w:rsidR="006D0DC7">
        <w:rPr>
          <w:rFonts w:ascii="Times New Roman" w:hAnsi="Times New Roman" w:cs="Times New Roman"/>
        </w:rPr>
        <w:t>turion</w:t>
      </w:r>
      <w:r w:rsidRPr="0079369E">
        <w:rPr>
          <w:rFonts w:ascii="Times New Roman" w:hAnsi="Times New Roman" w:cs="Times New Roman"/>
        </w:rPr>
        <w:t xml:space="preserve"> provides improved quality with automatic data checks and is context-sensitive to assist the data provider in identifying potential reporting problems before submission, thus reducing the need for follow-up. Cen</w:t>
      </w:r>
      <w:r w:rsidRPr="0079369E" w:rsidR="006D0DC7">
        <w:rPr>
          <w:rFonts w:ascii="Times New Roman" w:hAnsi="Times New Roman" w:cs="Times New Roman"/>
        </w:rPr>
        <w:t>turion</w:t>
      </w:r>
      <w:r w:rsidRPr="0079369E">
        <w:rPr>
          <w:rFonts w:ascii="Times New Roman" w:hAnsi="Times New Roman" w:cs="Times New Roman"/>
        </w:rPr>
        <w:t xml:space="preserve"> is completed via the Internet, eliminating the need for downloading software and increasing the integrity and confidentiality of the data.</w:t>
      </w:r>
      <w:r w:rsidR="00964221">
        <w:rPr>
          <w:rFonts w:ascii="Times New Roman" w:hAnsi="Times New Roman" w:cs="Times New Roman"/>
        </w:rPr>
        <w:t xml:space="preserve">  Approximately 90% of the respondents chose to use the Centurion instrument as their response mode. </w:t>
      </w:r>
    </w:p>
    <w:p w:rsidR="005E2C2D" w14:paraId="001D6F08" w14:textId="0AE2137E">
      <w:pPr>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670" w:hanging="2085"/>
      </w:pPr>
      <w:r>
        <w:tab/>
      </w:r>
      <w:r>
        <w:tab/>
      </w:r>
      <w:r>
        <w:tab/>
      </w:r>
    </w:p>
    <w:p w:rsidR="00593C78" w14:paraId="04393E1B" w14:textId="77777777">
      <w:pPr>
        <w:tabs>
          <w:tab w:val="left" w:pos="0"/>
          <w:tab w:val="left" w:pos="417"/>
          <w:tab w:val="left" w:pos="720"/>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pPr>
      <w:r>
        <w:rPr>
          <w:b/>
          <w:bCs/>
        </w:rPr>
        <w:tab/>
      </w:r>
      <w:r>
        <w:rPr>
          <w:b/>
          <w:bCs/>
        </w:rPr>
        <w:tab/>
        <w:t>4.</w:t>
      </w:r>
      <w:r>
        <w:rPr>
          <w:b/>
          <w:bCs/>
        </w:rPr>
        <w:tab/>
      </w:r>
      <w:r>
        <w:rPr>
          <w:b/>
          <w:bCs/>
          <w:u w:val="single"/>
        </w:rPr>
        <w:t>Efforts to Identify Duplication</w:t>
      </w:r>
    </w:p>
    <w:p w:rsidR="00593C78" w14:paraId="23104E2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4392124E"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QFR does not duplicate other data series.  Our consultations with user agencies</w:t>
      </w:r>
      <w:r w:rsidRPr="009F0136" w:rsidR="00067EE3">
        <w:rPr>
          <w:rFonts w:ascii="Times New Roman" w:hAnsi="Times New Roman" w:cs="Times New Roman"/>
        </w:rPr>
        <w:t>, such as BEA and FRB,</w:t>
      </w:r>
      <w:r>
        <w:rPr>
          <w:rFonts w:ascii="Times New Roman" w:hAnsi="Times New Roman" w:cs="Times New Roman"/>
        </w:rPr>
        <w:t xml:space="preserve"> concerning their needs, confirm that the QFR's timeliness and "domestic only" consolidated data are not available from other public or private sources.</w:t>
      </w:r>
    </w:p>
    <w:p w:rsidR="00593C78" w14:paraId="55D5047A"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68199F13"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While </w:t>
      </w:r>
      <w:r>
        <w:rPr>
          <w:rFonts w:ascii="Times New Roman" w:hAnsi="Times New Roman" w:cs="Times New Roman"/>
        </w:rPr>
        <w:t>a number of</w:t>
      </w:r>
      <w:r>
        <w:rPr>
          <w:rFonts w:ascii="Times New Roman" w:hAnsi="Times New Roman" w:cs="Times New Roman"/>
        </w:rPr>
        <w:t xml:space="preserve"> forms/reports have been cited by respondents as duplicative of QFR forms, we do not find this to be the case.  Through the years, careful analysis of other data collection forms has been undertaken, but none of these forms provides the same principles of consolidation and frequency as the QFR.  Discussion of those forms </w:t>
      </w:r>
      <w:r>
        <w:rPr>
          <w:rFonts w:ascii="Times New Roman" w:hAnsi="Times New Roman" w:cs="Times New Roman"/>
        </w:rPr>
        <w:t>most commonly cited</w:t>
      </w:r>
      <w:r>
        <w:rPr>
          <w:rFonts w:ascii="Times New Roman" w:hAnsi="Times New Roman" w:cs="Times New Roman"/>
        </w:rPr>
        <w:t xml:space="preserve"> as duplicative of the QFR and their actual differences from QFR forms follows:</w:t>
      </w:r>
    </w:p>
    <w:p w:rsidR="00593C78" w14:paraId="39F8852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0E19F10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Sect="00D40063">
          <w:footerReference w:type="even" r:id="rId5"/>
          <w:footerReference w:type="default" r:id="rId6"/>
          <w:type w:val="continuous"/>
          <w:pgSz w:w="12240" w:h="15840"/>
          <w:pgMar w:top="1080" w:right="1440" w:bottom="360" w:left="1440" w:header="1440" w:footer="1440" w:gutter="0"/>
          <w:cols w:space="720"/>
          <w:titlePg/>
        </w:sectPr>
      </w:pPr>
    </w:p>
    <w:p w:rsidR="00593C78" w14:paraId="14417A88" w14:textId="77777777">
      <w:pPr>
        <w:pStyle w:val="Style0"/>
        <w:numPr>
          <w:ilvl w:val="0"/>
          <w:numId w:val="18"/>
        </w:numPr>
        <w:tabs>
          <w:tab w:val="left" w:pos="0"/>
          <w:tab w:val="left" w:pos="417"/>
          <w:tab w:val="left" w:pos="1260"/>
          <w:tab w:val="left" w:pos="1440"/>
          <w:tab w:val="clear" w:pos="1554"/>
          <w:tab w:val="left" w:pos="2160"/>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IRS Form 1120</w:t>
      </w:r>
    </w:p>
    <w:p w:rsidR="00593C78" w14:paraId="2F068215" w14:textId="77777777">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firstLine="294"/>
        <w:rPr>
          <w:rFonts w:ascii="Times New Roman" w:hAnsi="Times New Roman" w:cs="Times New Roman"/>
        </w:rPr>
      </w:pPr>
    </w:p>
    <w:p w:rsidR="00593C78" w14:paraId="27B92ED4" w14:textId="77777777">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Form 1120 is the standard corporate tax return filed by corporations on an annual basis and includes a financial statement.  In contrast, the QFR is required quarterly.  Also, IRS consolidation rules differ significantly from the QFR rules.  On Form 1120 tax consolidation is an election when ownership is 80 percent or more; QFR requires consolidation at majority ownership (greater than 50 percent).  </w:t>
      </w:r>
    </w:p>
    <w:p w:rsidR="00593C78" w14:paraId="064654A2"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rPr>
      </w:pPr>
    </w:p>
    <w:p w:rsidR="00593C78" w14:paraId="5329879E"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Lastly, IRS tax accounting conventions differ significantly from generally accepted accounting principles (GAAP), especially in areas of income recognition and depreciation methods.  The QFR accounting policy adheres, as closely as possible, to GAAP.</w:t>
      </w:r>
    </w:p>
    <w:p w:rsidR="00593C78" w14:paraId="7B449E26"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00593C78" w14:paraId="12740B46" w14:textId="77777777">
      <w:pPr>
        <w:pStyle w:val="Style0"/>
        <w:numPr>
          <w:ilvl w:val="0"/>
          <w:numId w:val="18"/>
        </w:numPr>
        <w:tabs>
          <w:tab w:val="left" w:pos="0"/>
          <w:tab w:val="left" w:pos="417"/>
          <w:tab w:val="left" w:pos="720"/>
          <w:tab w:val="left" w:pos="1260"/>
          <w:tab w:val="clear" w:pos="1554"/>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sidRPr="003F2FCC">
        <w:rPr>
          <w:rFonts w:ascii="Times New Roman" w:hAnsi="Times New Roman" w:cs="Times New Roman"/>
          <w:b/>
          <w:bCs/>
          <w:u w:val="single"/>
        </w:rPr>
        <w:t>S</w:t>
      </w:r>
      <w:r w:rsidRPr="003F2FCC" w:rsidR="00D63E94">
        <w:rPr>
          <w:rFonts w:ascii="Times New Roman" w:hAnsi="Times New Roman" w:cs="Times New Roman"/>
          <w:b/>
          <w:bCs/>
          <w:u w:val="single"/>
        </w:rPr>
        <w:t>ecurity Exchange Commis</w:t>
      </w:r>
      <w:r w:rsidR="003F2FCC">
        <w:rPr>
          <w:rFonts w:ascii="Times New Roman" w:hAnsi="Times New Roman" w:cs="Times New Roman"/>
          <w:b/>
          <w:bCs/>
          <w:u w:val="single"/>
        </w:rPr>
        <w:t>s</w:t>
      </w:r>
      <w:r w:rsidRPr="003F2FCC" w:rsidR="00D63E94">
        <w:rPr>
          <w:rFonts w:ascii="Times New Roman" w:hAnsi="Times New Roman" w:cs="Times New Roman"/>
          <w:b/>
          <w:bCs/>
          <w:u w:val="single"/>
        </w:rPr>
        <w:t>ion (S</w:t>
      </w:r>
      <w:r w:rsidRPr="003F2FCC">
        <w:rPr>
          <w:rFonts w:ascii="Times New Roman" w:hAnsi="Times New Roman" w:cs="Times New Roman"/>
          <w:b/>
          <w:bCs/>
          <w:u w:val="single"/>
        </w:rPr>
        <w:t>EC</w:t>
      </w:r>
      <w:r w:rsidRPr="003F2FCC" w:rsidR="00D63E94">
        <w:rPr>
          <w:rFonts w:ascii="Times New Roman" w:hAnsi="Times New Roman" w:cs="Times New Roman"/>
          <w:b/>
          <w:bCs/>
          <w:u w:val="single"/>
        </w:rPr>
        <w:t>)</w:t>
      </w:r>
      <w:r>
        <w:rPr>
          <w:rFonts w:ascii="Times New Roman" w:hAnsi="Times New Roman" w:cs="Times New Roman"/>
          <w:b/>
          <w:bCs/>
          <w:u w:val="single"/>
        </w:rPr>
        <w:t xml:space="preserve"> Form 10-Q</w:t>
      </w:r>
    </w:p>
    <w:p w:rsidR="00593C78" w14:paraId="08E12C76" w14:textId="77777777">
      <w:pPr>
        <w:pStyle w:val="Style0"/>
        <w:tabs>
          <w:tab w:val="left" w:pos="0"/>
          <w:tab w:val="left" w:pos="417"/>
          <w:tab w:val="left" w:pos="835"/>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b/>
          <w:bCs/>
          <w:u w:val="single"/>
        </w:rPr>
      </w:pPr>
    </w:p>
    <w:p w:rsidR="00593C78" w14:paraId="41736EE7"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The 10-Q is the quarterly financial form filed with the SEC by publicly held corporations.  While both the QFR and 10-Q are quarterly, there are significant differences between them that are especially critical to GDI and Flow of Funds calculations. The QFR is designed to provide users with financial data on a domestic basis; the 10-Q reflects worldwide information on U.S. corporations. Without specialized QFR reporting rules, foreign operations of multinational corporations would be included in QFR data and in turn result in overstatement of GDI movements and levels.  Similarly, QFR rules designed to provide the FRB with data for the nonfinancial sector ensure against the overstatement in the Flow of Funds that would be created if 10-Q data were used.  Another significant difference is in the level of QFR detail on debt structure and security holdings as required by the FRB.  Also, in contrast to QFR data, the 10-Q financial statements are not standardized.  Thus, statistical aggregation using these statements would be costly to execute and would contain accounting classification inconsistencies.</w:t>
      </w:r>
    </w:p>
    <w:p w:rsidR="00CD5F28" w14:paraId="04726B10"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rsidR="00593C78" w14:paraId="348201CE"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Lastly, the 10-Q filing due date is 35 days after the end of each quarter; QFR reports are due within 25 days.  The 25-day QFR filing requirement was established to ensure adequate response time for preparation of special preliminary tabulations used in BEA's first revision of GDI, approximately 45 days after each quarterly closing.  </w:t>
      </w:r>
    </w:p>
    <w:p w:rsidR="00593C78" w14:paraId="7A8C102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6A53A916" w14:textId="77777777">
      <w:pPr>
        <w:pStyle w:val="Style0"/>
        <w:numPr>
          <w:ilvl w:val="0"/>
          <w:numId w:val="18"/>
        </w:numPr>
        <w:tabs>
          <w:tab w:val="left" w:pos="0"/>
          <w:tab w:val="left" w:pos="417"/>
          <w:tab w:val="left" w:pos="720"/>
          <w:tab w:val="left" w:pos="1252"/>
          <w:tab w:val="clear" w:pos="1554"/>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Census Bureau Forms</w:t>
      </w:r>
    </w:p>
    <w:p w:rsidR="00593C78" w14:paraId="268AAEC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3160A0FA" w14:textId="512ACE92">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Other Census Bureau data are inappropriate for the specific QFR user needs listed above for two reasons.   First, they are for the most part establishment or physical </w:t>
      </w:r>
      <w:r w:rsidR="00341AC6">
        <w:rPr>
          <w:rFonts w:ascii="Times New Roman" w:hAnsi="Times New Roman" w:cs="Times New Roman"/>
        </w:rPr>
        <w:t>location-based</w:t>
      </w:r>
      <w:r>
        <w:rPr>
          <w:rFonts w:ascii="Times New Roman" w:hAnsi="Times New Roman" w:cs="Times New Roman"/>
        </w:rPr>
        <w:t xml:space="preserve"> data and do not present integrated financial statement information.  Second, the establishment data do not provide enterprise industry classification information, which is needed for compatibility with the IRS benchmark data. </w:t>
      </w:r>
    </w:p>
    <w:p w:rsidR="00593C78" w14:paraId="630C5AA1"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p>
    <w:p w:rsidR="00593C78" w14:paraId="6BFDBB16" w14:textId="77777777">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Industry classification for establishments is based on employment or payroll, not receipts as it is for the QFR.  Where receipts are available, for example in manufacturing, information is not available to eliminate inter-plant transfers and therefore double counting in cases of vertical integration.</w:t>
      </w:r>
    </w:p>
    <w:p w:rsidR="00B51253" w14:paraId="7FFF2AB5"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1C3468" w14:paraId="7B165B5C"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1C3468" w14:paraId="23BBD122"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7752D0CD" w14:textId="77777777">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5.</w:t>
      </w:r>
      <w:r>
        <w:rPr>
          <w:rFonts w:ascii="Times New Roman" w:hAnsi="Times New Roman" w:cs="Times New Roman"/>
        </w:rPr>
        <w:tab/>
      </w:r>
      <w:r>
        <w:rPr>
          <w:rFonts w:ascii="Times New Roman" w:hAnsi="Times New Roman" w:cs="Times New Roman"/>
          <w:b/>
          <w:bCs/>
          <w:u w:val="single"/>
        </w:rPr>
        <w:t>Minimizing Burden</w:t>
      </w:r>
    </w:p>
    <w:p w:rsidR="00593C78" w14:paraId="3F21454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7A6C8C7C" w14:textId="77777777">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13A7">
        <w:rPr>
          <w:rFonts w:ascii="Times New Roman" w:hAnsi="Times New Roman" w:cs="Times New Roman"/>
        </w:rPr>
        <w:tab/>
      </w:r>
      <w:r w:rsidR="00D013A7">
        <w:rPr>
          <w:rFonts w:ascii="Times New Roman" w:hAnsi="Times New Roman" w:cs="Times New Roman"/>
        </w:rPr>
        <w:tab/>
      </w:r>
      <w:r>
        <w:rPr>
          <w:rFonts w:ascii="Times New Roman" w:hAnsi="Times New Roman" w:cs="Times New Roman"/>
        </w:rPr>
        <w:t>Efforts to lessen the QFR reporting burden on small firms fall into three categories:</w:t>
      </w:r>
    </w:p>
    <w:p w:rsidR="00593C78" w14:paraId="3156785E"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rPr>
          <w:rFonts w:ascii="Times New Roman" w:hAnsi="Times New Roman" w:cs="Times New Roman"/>
        </w:rPr>
      </w:pPr>
    </w:p>
    <w:p w:rsidR="00593C78" w14:paraId="5D5489C9" w14:textId="77777777">
      <w:pPr>
        <w:pStyle w:val="Style0"/>
        <w:tabs>
          <w:tab w:val="left" w:pos="-416"/>
          <w:tab w:val="left" w:pos="418"/>
          <w:tab w:val="left" w:pos="835"/>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Sample Design Used to Select Companies</w:t>
      </w:r>
    </w:p>
    <w:p w:rsidR="00593C78" w14:paraId="0F36C37B" w14:textId="77777777">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Structure of Reporting Form and Related Filing Requirements</w:t>
      </w:r>
    </w:p>
    <w:p w:rsidR="00593C78" w14:paraId="42F608E5" w14:textId="77777777">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Specific Program Actions to Reduce Burden (</w:t>
      </w:r>
      <w:r w:rsidR="00CA1CF3">
        <w:rPr>
          <w:rFonts w:ascii="Times New Roman" w:hAnsi="Times New Roman" w:cs="Times New Roman"/>
        </w:rPr>
        <w:t>2009</w:t>
      </w:r>
      <w:r>
        <w:rPr>
          <w:rFonts w:ascii="Times New Roman" w:hAnsi="Times New Roman" w:cs="Times New Roman"/>
        </w:rPr>
        <w:t xml:space="preserve"> to Present)</w:t>
      </w:r>
    </w:p>
    <w:p w:rsidR="00593C78" w14:paraId="73C01068"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outlineLvl w:val="0"/>
        <w:rPr>
          <w:rFonts w:ascii="Times New Roman" w:hAnsi="Times New Roman" w:cs="Times New Roman"/>
          <w:u w:val="single"/>
        </w:rPr>
      </w:pPr>
    </w:p>
    <w:p w:rsidR="00593C78" w:rsidP="0030620E" w14:paraId="2A42501B" w14:textId="77777777">
      <w:pPr>
        <w:pStyle w:val="Style0"/>
        <w:numPr>
          <w:ilvl w:val="2"/>
          <w:numId w:val="15"/>
        </w:numPr>
        <w:tabs>
          <w:tab w:val="left" w:pos="-416"/>
          <w:tab w:val="left" w:pos="-1"/>
          <w:tab w:val="left" w:pos="418"/>
          <w:tab w:val="left" w:pos="1260"/>
          <w:tab w:val="left" w:pos="1670"/>
          <w:tab w:val="num" w:pos="2320"/>
          <w:tab w:val="clear" w:pos="2340"/>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2330" w:hanging="1610"/>
        <w:outlineLvl w:val="0"/>
        <w:rPr>
          <w:rFonts w:ascii="Times New Roman" w:hAnsi="Times New Roman" w:cs="Times New Roman"/>
          <w:b/>
          <w:bCs/>
        </w:rPr>
      </w:pPr>
      <w:r>
        <w:rPr>
          <w:rFonts w:ascii="Times New Roman" w:hAnsi="Times New Roman" w:cs="Times New Roman"/>
          <w:b/>
          <w:bCs/>
          <w:u w:val="single"/>
        </w:rPr>
        <w:t>Sample Design Used to Select Small Manufacturing Companies</w:t>
      </w:r>
    </w:p>
    <w:p w:rsidR="00593C78" w:rsidP="0030620E" w14:paraId="4D07EC0E"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00593C78" w:rsidP="0030620E" w14:paraId="43F7C388" w14:textId="3D363B3B">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t>The QFR sample includes less than 5 percent of small-asset size</w:t>
      </w:r>
      <w:r>
        <w:rPr>
          <w:rFonts w:ascii="Times New Roman" w:hAnsi="Times New Roman" w:cs="Times New Roman"/>
          <w:b/>
          <w:bCs/>
        </w:rPr>
        <w:t xml:space="preserve"> </w:t>
      </w:r>
      <w:r>
        <w:rPr>
          <w:rFonts w:ascii="Times New Roman" w:hAnsi="Times New Roman" w:cs="Times New Roman"/>
        </w:rPr>
        <w:t xml:space="preserve">manufacturing corporations.  </w:t>
      </w:r>
      <w:r w:rsidR="00236327">
        <w:rPr>
          <w:rFonts w:ascii="Times New Roman" w:hAnsi="Times New Roman" w:cs="Times New Roman"/>
        </w:rPr>
        <w:t xml:space="preserve">Prior to the Paperwork Reduction Act (PRA) of 1995, all companies with assets of $50 million or more were certainty companies, i.e., companies required to file on a continuing basis.  </w:t>
      </w:r>
      <w:r>
        <w:rPr>
          <w:rFonts w:ascii="Times New Roman" w:hAnsi="Times New Roman" w:cs="Times New Roman"/>
        </w:rPr>
        <w:t xml:space="preserve">Effective October 1, 1995, the PRA of 1995 required that companies with assets of less than $100 million be sampled.  To comply with the PRA </w:t>
      </w:r>
      <w:r>
        <w:rPr>
          <w:rFonts w:ascii="Times New Roman" w:hAnsi="Times New Roman" w:cs="Times New Roman"/>
        </w:rPr>
        <w:t>and also</w:t>
      </w:r>
      <w:r>
        <w:rPr>
          <w:rFonts w:ascii="Times New Roman" w:hAnsi="Times New Roman" w:cs="Times New Roman"/>
        </w:rPr>
        <w:t xml:space="preserve"> ensure that there is sufficient number of companies from which to select the non-certainty sample, the take-all or certainty threshold of the QFR sample was raised to include only companies with assets of $250 million or more.  Companies with assets between $50 million and $250 million are sampled.  This change resulted in a reduction of the number of companies participating in the QFR by about 1,000, or approximately 10 percent.</w:t>
      </w:r>
    </w:p>
    <w:p w:rsidR="00593C78" w:rsidP="0030620E" w14:paraId="13150835"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40" w:hanging="1610"/>
        <w:rPr>
          <w:rFonts w:ascii="Times New Roman" w:hAnsi="Times New Roman" w:cs="Times New Roman"/>
        </w:rPr>
      </w:pPr>
    </w:p>
    <w:p w:rsidR="00593C78" w:rsidP="0030620E" w14:paraId="28E89DE4" w14:textId="7A1A156F">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PRA also established re-selection criteria for companies that have participated in the program.  </w:t>
      </w:r>
      <w:r>
        <w:rPr>
          <w:rFonts w:ascii="Times New Roman" w:hAnsi="Times New Roman" w:cs="Times New Roman"/>
          <w:szCs w:val="20"/>
        </w:rPr>
        <w:t xml:space="preserve">Using the assets size criteria described above, companies with assets between $250,000 and $50 million are now ineligible for sample re-selection for a 10-year period following the completion of their 2-year reporting period; and companies with assets of at least $50 million but less than $250 million are now ineligible for sample re-selection for a 2-year period following the completion of their 2-year reporting period. </w:t>
      </w:r>
      <w:r>
        <w:rPr>
          <w:rFonts w:ascii="Times New Roman" w:hAnsi="Times New Roman" w:cs="Times New Roman"/>
        </w:rPr>
        <w:t xml:space="preserve">This replacement scheme ensures that the same group of companies is not called upon to report continuously and that those chosen are burdened for a relatively short period of time.  The </w:t>
      </w:r>
      <w:r w:rsidR="00236327">
        <w:rPr>
          <w:rFonts w:ascii="Times New Roman" w:hAnsi="Times New Roman" w:cs="Times New Roman"/>
        </w:rPr>
        <w:t xml:space="preserve">current </w:t>
      </w:r>
      <w:r>
        <w:rPr>
          <w:rFonts w:ascii="Times New Roman" w:hAnsi="Times New Roman" w:cs="Times New Roman"/>
        </w:rPr>
        <w:t>sample design eliminates any possibility of companies being re-selected in adjacent samples.</w:t>
      </w:r>
    </w:p>
    <w:p w:rsidR="00D63E94" w:rsidP="0030620E" w14:paraId="7EFDF5FC" w14:textId="77777777">
      <w:pPr>
        <w:pStyle w:val="Style0"/>
        <w:tabs>
          <w:tab w:val="left" w:pos="-416"/>
          <w:tab w:val="left" w:pos="-1"/>
          <w:tab w:val="left" w:pos="418"/>
          <w:tab w:val="left" w:pos="835"/>
          <w:tab w:val="left" w:pos="162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610" w:hanging="1610"/>
        <w:rPr>
          <w:rFonts w:ascii="Times New Roman" w:hAnsi="Times New Roman" w:cs="Times New Roman"/>
        </w:rPr>
      </w:pPr>
    </w:p>
    <w:p w:rsidR="00593C78" w:rsidP="0030620E" w14:paraId="6FD2D3A8" w14:textId="77777777">
      <w:pPr>
        <w:pStyle w:val="Style0"/>
        <w:numPr>
          <w:ilvl w:val="0"/>
          <w:numId w:val="16"/>
        </w:numPr>
        <w:tabs>
          <w:tab w:val="left" w:pos="-416"/>
          <w:tab w:val="left" w:pos="-1"/>
          <w:tab w:val="left" w:pos="720"/>
          <w:tab w:val="left" w:pos="1260"/>
          <w:tab w:val="left" w:pos="1670"/>
          <w:tab w:val="num" w:pos="1945"/>
          <w:tab w:val="clear" w:pos="1965"/>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955" w:hanging="1235"/>
        <w:outlineLvl w:val="0"/>
        <w:rPr>
          <w:rFonts w:ascii="Times New Roman" w:hAnsi="Times New Roman" w:cs="Times New Roman"/>
          <w:b/>
          <w:bCs/>
        </w:rPr>
      </w:pPr>
      <w:r>
        <w:rPr>
          <w:rFonts w:ascii="Times New Roman" w:hAnsi="Times New Roman" w:cs="Times New Roman"/>
          <w:b/>
          <w:bCs/>
          <w:u w:val="single"/>
        </w:rPr>
        <w:t>Structure of Reporting Form and Related Filing Requirements</w:t>
      </w:r>
    </w:p>
    <w:p w:rsidR="00593C78" w:rsidP="0030620E" w14:paraId="060ED1D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00593C78" w:rsidP="008D53F9" w14:paraId="0194D7B0" w14:textId="77777777">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The QFR report forms adhere to a traditional financial statement format. Small companies are familiar with this type of reporting and can use already existing accounting records.  They do not have to perform a burdensome transition from company to Census Bureau format.</w:t>
      </w:r>
    </w:p>
    <w:p w:rsidR="00593C78" w:rsidP="0030620E" w14:paraId="46231F5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r>
        <w:rPr>
          <w:rFonts w:ascii="Times New Roman" w:hAnsi="Times New Roman" w:cs="Times New Roman"/>
        </w:rPr>
        <w:tab/>
      </w:r>
    </w:p>
    <w:p w:rsidR="00593C78" w:rsidP="008D53F9" w14:paraId="4C76A42D" w14:textId="77777777">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Census Bureau also recognizes that the 25-day filing deadline for the QFR reports may precede the availability of current data for some corporations. Under these circumstances reporting extensions can be granted </w:t>
      </w:r>
      <w:r>
        <w:rPr>
          <w:rFonts w:ascii="Times New Roman" w:hAnsi="Times New Roman" w:cs="Times New Roman"/>
        </w:rPr>
        <w:t>provided that</w:t>
      </w:r>
      <w:r>
        <w:rPr>
          <w:rFonts w:ascii="Times New Roman" w:hAnsi="Times New Roman" w:cs="Times New Roman"/>
        </w:rPr>
        <w:t xml:space="preserve"> data are </w:t>
      </w:r>
      <w:r>
        <w:rPr>
          <w:rFonts w:ascii="Times New Roman" w:hAnsi="Times New Roman" w:cs="Times New Roman"/>
        </w:rPr>
        <w:t>received within publication deadlines.  Company estimates are considered acceptable when actual data are not available.  Audited data are not required.</w:t>
      </w:r>
    </w:p>
    <w:p w:rsidR="00593C78" w:rsidP="0030620E" w14:paraId="7E85278A" w14:textId="77777777">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p>
    <w:p w:rsidR="00593C78" w:rsidP="008D53F9" w14:paraId="554AC720" w14:textId="77777777">
      <w:pPr>
        <w:pStyle w:val="Style0"/>
        <w:tabs>
          <w:tab w:val="left" w:pos="-416"/>
          <w:tab w:val="left" w:pos="0"/>
          <w:tab w:val="left" w:pos="417"/>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80"/>
          <w:tab w:val="left" w:pos="10800"/>
        </w:tabs>
        <w:spacing w:line="258" w:lineRule="auto"/>
        <w:ind w:left="1260"/>
        <w:rPr>
          <w:rFonts w:ascii="Times New Roman" w:hAnsi="Times New Roman" w:cs="Times New Roman"/>
        </w:rPr>
      </w:pPr>
      <w:r>
        <w:rPr>
          <w:rFonts w:ascii="Times New Roman" w:hAnsi="Times New Roman" w:cs="Times New Roman"/>
        </w:rPr>
        <w:t>The QFR professional staff works with corporations experiencing compliance problems.  Toll-free telephone numbers have been established to enable companies to FAX their forms without incurring long-distance charges and to provide easy access to QFR staff.  Staff's expert advice about a company's specific problem(s) frequently results in burden reduction.</w:t>
      </w:r>
    </w:p>
    <w:p w:rsidR="00593C78" w:rsidP="0030620E" w14:paraId="30C6095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rsidP="008D53F9" w14:paraId="38612BF8" w14:textId="77777777">
      <w:pPr>
        <w:pStyle w:val="Style0"/>
        <w:numPr>
          <w:ilvl w:val="0"/>
          <w:numId w:val="16"/>
        </w:numPr>
        <w:tabs>
          <w:tab w:val="left" w:pos="0"/>
          <w:tab w:val="left" w:pos="417"/>
          <w:tab w:val="left" w:pos="1260"/>
          <w:tab w:val="left" w:pos="1670"/>
          <w:tab w:val="clear" w:pos="1965"/>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610" w:hanging="890"/>
        <w:outlineLvl w:val="0"/>
        <w:rPr>
          <w:rFonts w:ascii="Times New Roman" w:hAnsi="Times New Roman" w:cs="Times New Roman"/>
          <w:b/>
          <w:bCs/>
        </w:rPr>
      </w:pPr>
      <w:r>
        <w:rPr>
          <w:rFonts w:ascii="Times New Roman" w:hAnsi="Times New Roman" w:cs="Times New Roman"/>
          <w:b/>
          <w:bCs/>
          <w:u w:val="single"/>
        </w:rPr>
        <w:t>Specific Program Actions to Reduce Burden (</w:t>
      </w:r>
      <w:r w:rsidR="000C4EF4">
        <w:rPr>
          <w:rFonts w:ascii="Times New Roman" w:hAnsi="Times New Roman" w:cs="Times New Roman"/>
          <w:b/>
          <w:bCs/>
          <w:u w:val="single"/>
        </w:rPr>
        <w:t>2009</w:t>
      </w:r>
      <w:r>
        <w:rPr>
          <w:rFonts w:ascii="Times New Roman" w:hAnsi="Times New Roman" w:cs="Times New Roman"/>
          <w:b/>
          <w:bCs/>
          <w:u w:val="single"/>
        </w:rPr>
        <w:t xml:space="preserve"> to Present)</w:t>
      </w:r>
    </w:p>
    <w:p w:rsidR="00593C78" w:rsidP="0030620E" w14:paraId="02E08903"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rsidR="00593C78" w:rsidRPr="0079369E" w:rsidP="005C0DDD" w14:paraId="50A6DF12" w14:textId="19ACB333">
      <w:pPr>
        <w:pStyle w:val="Style0"/>
        <w:tabs>
          <w:tab w:val="left" w:pos="-416"/>
          <w:tab w:val="left" w:pos="-1"/>
          <w:tab w:val="left" w:pos="417"/>
          <w:tab w:val="left" w:pos="835"/>
          <w:tab w:val="left" w:pos="1252"/>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QFR program has consistently sought to reduce reporting burdens for small </w:t>
      </w:r>
      <w:r w:rsidRPr="0079369E">
        <w:rPr>
          <w:rFonts w:ascii="Times New Roman" w:hAnsi="Times New Roman" w:cs="Times New Roman"/>
        </w:rPr>
        <w:t>and medium size firms.</w:t>
      </w:r>
      <w:r w:rsidR="006E6939">
        <w:rPr>
          <w:rFonts w:ascii="Times New Roman" w:hAnsi="Times New Roman" w:cs="Times New Roman"/>
        </w:rPr>
        <w:t xml:space="preserve">  </w:t>
      </w:r>
      <w:r w:rsidRPr="0079369E">
        <w:rPr>
          <w:rFonts w:ascii="Times New Roman" w:hAnsi="Times New Roman" w:cs="Times New Roman"/>
        </w:rPr>
        <w:t xml:space="preserve">During the </w:t>
      </w:r>
      <w:r w:rsidRPr="0079369E" w:rsidR="00415BF0">
        <w:rPr>
          <w:rFonts w:ascii="Times New Roman" w:hAnsi="Times New Roman" w:cs="Times New Roman"/>
        </w:rPr>
        <w:t xml:space="preserve">fourth </w:t>
      </w:r>
      <w:r w:rsidRPr="0079369E">
        <w:rPr>
          <w:rFonts w:ascii="Times New Roman" w:hAnsi="Times New Roman" w:cs="Times New Roman"/>
        </w:rPr>
        <w:t>quarter of 20</w:t>
      </w:r>
      <w:r w:rsidRPr="0079369E" w:rsidR="00415BF0">
        <w:rPr>
          <w:rFonts w:ascii="Times New Roman" w:hAnsi="Times New Roman" w:cs="Times New Roman"/>
        </w:rPr>
        <w:t>11</w:t>
      </w:r>
      <w:r w:rsidRPr="0079369E">
        <w:rPr>
          <w:rFonts w:ascii="Times New Roman" w:hAnsi="Times New Roman" w:cs="Times New Roman"/>
        </w:rPr>
        <w:t>, the QFR program introduced an encrypted</w:t>
      </w:r>
      <w:r w:rsidR="006E6939">
        <w:rPr>
          <w:rFonts w:ascii="Times New Roman" w:hAnsi="Times New Roman" w:cs="Times New Roman"/>
        </w:rPr>
        <w:t xml:space="preserve"> I</w:t>
      </w:r>
      <w:r w:rsidRPr="0079369E">
        <w:rPr>
          <w:rFonts w:ascii="Times New Roman" w:hAnsi="Times New Roman" w:cs="Times New Roman"/>
        </w:rPr>
        <w:t>nternet data collection system (Cen</w:t>
      </w:r>
      <w:r w:rsidRPr="0079369E" w:rsidR="00415BF0">
        <w:rPr>
          <w:rFonts w:ascii="Times New Roman" w:hAnsi="Times New Roman" w:cs="Times New Roman"/>
        </w:rPr>
        <w:t>turion</w:t>
      </w:r>
      <w:r w:rsidRPr="0079369E">
        <w:rPr>
          <w:rFonts w:ascii="Times New Roman" w:hAnsi="Times New Roman" w:cs="Times New Roman"/>
        </w:rPr>
        <w:t>) for use as a substitute for the paper form mailed to all companies.</w:t>
      </w:r>
    </w:p>
    <w:p w:rsidR="00D013A7" w:rsidP="0030620E" w14:paraId="2CC89A65" w14:textId="77777777">
      <w:pPr>
        <w:pStyle w:val="Style0"/>
        <w:tabs>
          <w:tab w:val="left" w:pos="-1"/>
          <w:tab w:val="left" w:pos="417"/>
          <w:tab w:val="left" w:pos="834"/>
          <w:tab w:val="left" w:pos="1252"/>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ind w:left="1970" w:hanging="1610"/>
        <w:rPr>
          <w:rFonts w:ascii="Times New Roman" w:hAnsi="Times New Roman" w:cs="Times New Roman"/>
        </w:rPr>
      </w:pPr>
    </w:p>
    <w:p w:rsidR="00593C78" w14:paraId="26D7DAE7" w14:textId="77777777">
      <w:pPr>
        <w:tabs>
          <w:tab w:val="left" w:pos="-1"/>
          <w:tab w:val="left" w:pos="416"/>
          <w:tab w:val="left" w:pos="720"/>
          <w:tab w:val="left" w:pos="1251"/>
          <w:tab w:val="left" w:pos="1669"/>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pPr>
      <w:r>
        <w:tab/>
      </w:r>
      <w:r>
        <w:tab/>
      </w:r>
      <w:r>
        <w:rPr>
          <w:b/>
          <w:bCs/>
        </w:rPr>
        <w:t>6.</w:t>
      </w:r>
      <w:r>
        <w:tab/>
      </w:r>
      <w:r>
        <w:rPr>
          <w:b/>
          <w:bCs/>
          <w:u w:val="single"/>
        </w:rPr>
        <w:t>Consequence of Less Frequent Data Collection</w:t>
      </w:r>
    </w:p>
    <w:p w:rsidR="00593C78" w14:paraId="41F58AF6"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03E0DE4E"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As explained in Item 1, the QFR data series is a principal economic indicator providing income statement and balance sheet data from publicly and privately held U.S. corporations on a quarterly basis as mandated by law.  </w:t>
      </w:r>
    </w:p>
    <w:p w:rsidR="00593C78" w14:paraId="64BD0F21"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rsidR="00593C78" w14:paraId="43FA590D" w14:textId="77777777">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frequency of the QFR data collection is based on the importance of these data to the quarterly GDI and Flow of Funds estimates.  The reliability of these estimates would be adversely affected if QFR data were collected less often.</w:t>
      </w:r>
    </w:p>
    <w:p w:rsidR="00593C78" w14:paraId="76372F6C"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14:paraId="3E232B0F" w14:textId="77777777">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9524C">
        <w:rPr>
          <w:rFonts w:ascii="Times New Roman" w:hAnsi="Times New Roman" w:cs="Times New Roman"/>
          <w:b/>
          <w:bCs/>
        </w:rPr>
        <w:t>7</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u w:val="single"/>
        </w:rPr>
        <w:t>Special Circumstances</w:t>
      </w:r>
    </w:p>
    <w:p w:rsidR="00593C78" w14:paraId="6637BCC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035238CD" w14:textId="77777777">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9622E5">
        <w:rPr>
          <w:rFonts w:ascii="Times New Roman" w:hAnsi="Times New Roman" w:cs="Times New Roman"/>
        </w:rPr>
        <w:t>QFR forms are mailed to companies approximately 15 days in advance of the end of the period being collected, and companies are asked to return them within 25 days after the close of the reporting period.</w:t>
      </w:r>
      <w:r>
        <w:rPr>
          <w:rFonts w:ascii="Times New Roman" w:hAnsi="Times New Roman" w:cs="Times New Roman"/>
        </w:rPr>
        <w:t xml:space="preserve">  Early return is encouraged to satisfy the need for maximum coverage in special preliminary tabulations required by BEA for its first revision of quarterly GDI estimates.  As necessary, companies can also be granted filing extensions.</w:t>
      </w:r>
    </w:p>
    <w:p w:rsidR="00593C78" w14:paraId="0459B26B"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001E7138" w14:textId="77777777">
      <w:pPr>
        <w:pStyle w:val="Style0"/>
        <w:numPr>
          <w:ilvl w:val="0"/>
          <w:numId w:val="13"/>
        </w:numPr>
        <w:tabs>
          <w:tab w:val="left" w:pos="0"/>
          <w:tab w:val="left" w:pos="417"/>
          <w:tab w:val="left" w:pos="720"/>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525"/>
        <w:outlineLvl w:val="0"/>
        <w:rPr>
          <w:rFonts w:ascii="Times New Roman" w:hAnsi="Times New Roman" w:cs="Times New Roman"/>
          <w:b/>
          <w:bCs/>
          <w:u w:val="single"/>
        </w:rPr>
      </w:pPr>
      <w:r>
        <w:rPr>
          <w:rFonts w:ascii="Times New Roman" w:hAnsi="Times New Roman" w:cs="Times New Roman"/>
          <w:b/>
          <w:bCs/>
          <w:u w:val="single"/>
        </w:rPr>
        <w:t>Consultations Outside the Agency</w:t>
      </w:r>
    </w:p>
    <w:p w:rsidR="00593C78" w14:paraId="2AEA1A3F"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rPr>
      </w:pPr>
    </w:p>
    <w:p w:rsidR="001E056F" w:rsidRPr="00392413" w:rsidP="001E056F" w14:paraId="71FDB436" w14:textId="05B38159">
      <w:pPr>
        <w:pStyle w:val="BodyTextIndent"/>
      </w:pPr>
      <w:r>
        <w:t>The Census Bureau published a notice in the Federal Register o</w:t>
      </w:r>
      <w:r w:rsidRPr="000118CB" w:rsidR="00593C78">
        <w:t xml:space="preserve">n </w:t>
      </w:r>
      <w:r w:rsidR="004700DA">
        <w:t xml:space="preserve">January </w:t>
      </w:r>
      <w:r w:rsidR="00341AC6">
        <w:t>26</w:t>
      </w:r>
      <w:r w:rsidRPr="000118CB" w:rsidR="008F4041">
        <w:t>, 20</w:t>
      </w:r>
      <w:r w:rsidR="004700DA">
        <w:t>2</w:t>
      </w:r>
      <w:r w:rsidR="00341AC6">
        <w:t>4</w:t>
      </w:r>
      <w:r>
        <w:t xml:space="preserve"> (Vol. </w:t>
      </w:r>
      <w:r w:rsidR="00341AC6">
        <w:t>89</w:t>
      </w:r>
      <w:r>
        <w:t xml:space="preserve">, No. </w:t>
      </w:r>
      <w:r w:rsidR="00341AC6">
        <w:t>18</w:t>
      </w:r>
      <w:r>
        <w:t xml:space="preserve">, pg. </w:t>
      </w:r>
      <w:r w:rsidR="00341AC6">
        <w:t>5205</w:t>
      </w:r>
      <w:r>
        <w:t>) announcing its intent</w:t>
      </w:r>
      <w:r w:rsidRPr="000118CB" w:rsidR="00392413">
        <w:t xml:space="preserve"> to resubmit for </w:t>
      </w:r>
      <w:r w:rsidRPr="000118CB" w:rsidR="003260C9">
        <w:t xml:space="preserve">approval to OMB the three data collection forms used by the QFR program.  </w:t>
      </w:r>
      <w:r w:rsidRPr="000118CB" w:rsidR="003F4464">
        <w:t xml:space="preserve">We received </w:t>
      </w:r>
      <w:r w:rsidR="00694200">
        <w:t>comment</w:t>
      </w:r>
      <w:r w:rsidR="00341AC6">
        <w:t>s</w:t>
      </w:r>
      <w:r w:rsidRPr="000118CB" w:rsidR="003F4464">
        <w:t xml:space="preserve"> in response to the notice</w:t>
      </w:r>
      <w:r w:rsidR="00341AC6">
        <w:t>.</w:t>
      </w:r>
      <w:r w:rsidR="00361FA0">
        <w:t xml:space="preserve">  </w:t>
      </w:r>
      <w:r w:rsidR="00341AC6">
        <w:t xml:space="preserve">One comment is </w:t>
      </w:r>
      <w:r w:rsidR="00694200">
        <w:t>a letter of support from</w:t>
      </w:r>
      <w:r w:rsidRPr="00694200" w:rsidR="003F4464">
        <w:t xml:space="preserve"> BEA.  We thank the BEA for its continued support for this collection.</w:t>
      </w:r>
      <w:r w:rsidRPr="00522DBF" w:rsidR="003F4464">
        <w:t xml:space="preserve"> </w:t>
      </w:r>
      <w:r w:rsidR="00694200">
        <w:t xml:space="preserve">See Attachment </w:t>
      </w:r>
      <w:r w:rsidR="001B0972">
        <w:t>A</w:t>
      </w:r>
      <w:r w:rsidR="00694200">
        <w:t xml:space="preserve"> for BEA’s letter of support.</w:t>
      </w:r>
      <w:r w:rsidR="00341AC6">
        <w:t xml:space="preserve">  Another comment</w:t>
      </w:r>
      <w:r w:rsidR="00361FA0">
        <w:t xml:space="preserve"> was received,</w:t>
      </w:r>
      <w:r w:rsidR="00341AC6">
        <w:t xml:space="preserve"> </w:t>
      </w:r>
      <w:r w:rsidRPr="00341AC6" w:rsidR="00341AC6">
        <w:t>which we deemed to be without merit.</w:t>
      </w:r>
      <w:r w:rsidR="00694200">
        <w:t xml:space="preserve"> </w:t>
      </w:r>
      <w:r w:rsidRPr="00522DBF" w:rsidR="00813A14">
        <w:t xml:space="preserve"> </w:t>
      </w:r>
      <w:r w:rsidRPr="00392413" w:rsidR="0055737A">
        <w:t xml:space="preserve"> </w:t>
      </w:r>
      <w:r w:rsidRPr="00392413" w:rsidR="005547EB">
        <w:t xml:space="preserve">  </w:t>
      </w:r>
      <w:r w:rsidRPr="00392413" w:rsidR="00B74D53">
        <w:t xml:space="preserve"> </w:t>
      </w:r>
    </w:p>
    <w:p w:rsidR="0055737A" w:rsidP="001E056F" w14:paraId="2CF76E4C" w14:textId="77777777">
      <w:pPr>
        <w:pStyle w:val="BodyTextIndent"/>
      </w:pPr>
    </w:p>
    <w:p w:rsidR="0090205B" w:rsidP="0090205B" w14:paraId="5E1FE0E0" w14:textId="1E851596">
      <w:pPr>
        <w:pStyle w:val="BodyTextIndent"/>
      </w:pPr>
      <w:r w:rsidRPr="00392413">
        <w:t xml:space="preserve">Consultation with the QFR’s primary users occurs on a continuing basis.  Open lines of communication have been established to address changes in accounting conventions, business practices, and economic conditions that can affect the usefulness of QFR data.  </w:t>
      </w:r>
      <w:r w:rsidRPr="0090205B">
        <w:t xml:space="preserve">Also, BEA (primarily </w:t>
      </w:r>
      <w:r>
        <w:t xml:space="preserve">Dennis </w:t>
      </w:r>
      <w:r>
        <w:t>Fixler</w:t>
      </w:r>
      <w:r>
        <w:t xml:space="preserve">, 301-278-9607, </w:t>
      </w:r>
      <w:hyperlink r:id="rId7" w:history="1">
        <w:r w:rsidRPr="0090205B">
          <w:rPr>
            <w:rStyle w:val="Hyperlink"/>
            <w:color w:val="auto"/>
            <w:u w:val="none"/>
          </w:rPr>
          <w:t>dennis.fixler@bea.gov</w:t>
        </w:r>
      </w:hyperlink>
      <w:r>
        <w:t>)</w:t>
      </w:r>
    </w:p>
    <w:p w:rsidR="000E2C8E" w:rsidP="0090205B" w14:paraId="2B4F206B" w14:textId="1C9F063D">
      <w:pPr>
        <w:pStyle w:val="BodyTextIndent"/>
      </w:pPr>
      <w:r w:rsidRPr="0090205B">
        <w:t xml:space="preserve"> and FRB (primarily</w:t>
      </w:r>
      <w:r w:rsidRPr="0090205B">
        <w:rPr>
          <w:color w:val="FF0000"/>
        </w:rPr>
        <w:t xml:space="preserve"> </w:t>
      </w:r>
      <w:r w:rsidR="00AA22C9">
        <w:t>John Stevens</w:t>
      </w:r>
      <w:r w:rsidR="00B63D30">
        <w:t>,</w:t>
      </w:r>
      <w:r w:rsidR="0090205B">
        <w:t xml:space="preserve"> </w:t>
      </w:r>
      <w:hyperlink r:id="rId8" w:history="1">
        <w:r w:rsidRPr="00361FA0" w:rsidR="00AA22C9">
          <w:rPr>
            <w:rStyle w:val="Hyperlink"/>
            <w:color w:val="auto"/>
            <w:u w:val="none"/>
          </w:rPr>
          <w:t>john.j.stevens@frb.gov</w:t>
        </w:r>
      </w:hyperlink>
      <w:r w:rsidRPr="0090205B">
        <w:t>) frequently propose program changes that would improve the contribution of the QFR data to GDI and the Flow of Funds estimates.</w:t>
      </w:r>
      <w:r>
        <w:t xml:space="preserve"> </w:t>
      </w:r>
    </w:p>
    <w:p w:rsidR="00593C78" w:rsidP="000E2C8E" w14:paraId="159B754D" w14:textId="6DE285D7">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p>
    <w:p w:rsidR="0064619C" w:rsidP="0064619C" w14:paraId="07EFC8F1" w14:textId="77777777">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Changes in GAAP and business practices affect the reporting community, generally large corporations, and require adjustments in the QFR program.  The QFR professional staff regularly contacts these large companies to discuss such changes and provide QFR reporting guidance.  These contacts ensure that our data requests are clearly stated and that each company is supplying information with minimal effort.  This one-on-one approach, on a professional level, is necessary because of the differences in accounting systems and treatment</w:t>
      </w:r>
      <w:r>
        <w:rPr>
          <w:rFonts w:ascii="Times New Roman" w:hAnsi="Times New Roman" w:cs="Times New Roman"/>
        </w:rPr>
        <w:t>s used by reporting companies.</w:t>
      </w:r>
    </w:p>
    <w:p w:rsidR="00AE0F1D" w14:paraId="14FC8159" w14:textId="77777777">
      <w:pPr>
        <w:ind w:left="834"/>
      </w:pPr>
    </w:p>
    <w:p w:rsidR="00593C78" w:rsidP="00023FEF" w14:paraId="35FAE4DC" w14:textId="77777777">
      <w:pPr>
        <w:pStyle w:val="Style0"/>
        <w:numPr>
          <w:ilvl w:val="0"/>
          <w:numId w:val="13"/>
        </w:numPr>
        <w:tabs>
          <w:tab w:val="left" w:pos="0"/>
          <w:tab w:val="left" w:pos="417"/>
          <w:tab w:val="left" w:pos="90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b/>
          <w:bCs/>
          <w:u w:val="single"/>
        </w:rPr>
      </w:pPr>
      <w:r>
        <w:rPr>
          <w:rFonts w:ascii="Times New Roman" w:hAnsi="Times New Roman" w:cs="Times New Roman"/>
          <w:b/>
          <w:bCs/>
          <w:u w:val="single"/>
        </w:rPr>
        <w:t>Paying Respondents</w:t>
      </w:r>
    </w:p>
    <w:p w:rsidR="00023FEF" w:rsidP="00023FEF" w14:paraId="752AA83B" w14:textId="77777777">
      <w:pPr>
        <w:pStyle w:val="Style0"/>
        <w:tabs>
          <w:tab w:val="left" w:pos="0"/>
          <w:tab w:val="left" w:pos="417"/>
          <w:tab w:val="left" w:pos="90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45"/>
        <w:outlineLvl w:val="0"/>
        <w:rPr>
          <w:rFonts w:ascii="Times New Roman" w:hAnsi="Times New Roman" w:cs="Times New Roman"/>
        </w:rPr>
      </w:pPr>
    </w:p>
    <w:p w:rsidR="00593C78" w14:paraId="0084D740"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Currently there is no provision to pay respondents or provide them with material incentives.</w:t>
      </w:r>
    </w:p>
    <w:p w:rsidR="005E2C2D" w14:paraId="460E4AA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2D539B77"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10.</w:t>
      </w:r>
      <w:r>
        <w:rPr>
          <w:rFonts w:ascii="Times New Roman" w:hAnsi="Times New Roman" w:cs="Times New Roman"/>
          <w:b/>
          <w:bCs/>
        </w:rPr>
        <w:tab/>
      </w:r>
      <w:r>
        <w:rPr>
          <w:rFonts w:ascii="Times New Roman" w:hAnsi="Times New Roman" w:cs="Times New Roman"/>
          <w:b/>
          <w:bCs/>
          <w:u w:val="single"/>
        </w:rPr>
        <w:t>Assurance of Confidentiality</w:t>
      </w:r>
    </w:p>
    <w:p w:rsidR="00593C78" w14:paraId="7B7FE07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73D35D4B"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Sect="00D40063">
          <w:type w:val="continuous"/>
          <w:pgSz w:w="12240" w:h="15840"/>
          <w:pgMar w:top="1080" w:right="1440" w:bottom="360" w:left="1440" w:header="1440" w:footer="1440" w:gutter="0"/>
          <w:cols w:space="720"/>
        </w:sectPr>
      </w:pPr>
    </w:p>
    <w:p w:rsidR="00593C78" w14:paraId="0EAEF046" w14:textId="0442AFF8">
      <w:pPr>
        <w:pStyle w:val="Style0"/>
        <w:tabs>
          <w:tab w:val="left" w:pos="0"/>
          <w:tab w:val="left" w:pos="417"/>
          <w:tab w:val="left" w:pos="835"/>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All data collected in the QFR</w:t>
      </w:r>
      <w:r w:rsidRPr="00A00F9F">
        <w:rPr>
          <w:rFonts w:ascii="Times New Roman" w:hAnsi="Times New Roman" w:cs="Times New Roman"/>
        </w:rPr>
        <w:t xml:space="preserve"> survey are confidential under Title 13, United States Code, Section 9 and may be used only for statistical purposes.  </w:t>
      </w:r>
      <w:r>
        <w:rPr>
          <w:rFonts w:ascii="Times New Roman" w:hAnsi="Times New Roman" w:cs="Times New Roman"/>
        </w:rPr>
        <w:t xml:space="preserve">Respondents are informed of the mandatory nature of the survey and the confidentiality of their reports in a letter accompanying the QFR survey questionnaire and in a statement on the questionnaire itself.  </w:t>
      </w:r>
    </w:p>
    <w:p w:rsidR="00643F2B" w14:paraId="684461CD"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93C78" w14:paraId="2268F467" w14:textId="77777777">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11.</w:t>
      </w:r>
      <w:r>
        <w:rPr>
          <w:rFonts w:ascii="Times New Roman" w:hAnsi="Times New Roman" w:cs="Times New Roman"/>
          <w:b/>
          <w:bCs/>
        </w:rPr>
        <w:tab/>
      </w:r>
      <w:r>
        <w:rPr>
          <w:rFonts w:ascii="Times New Roman" w:hAnsi="Times New Roman" w:cs="Times New Roman"/>
          <w:b/>
          <w:bCs/>
          <w:u w:val="single"/>
        </w:rPr>
        <w:t>Justification for Sensitive Questions</w:t>
      </w:r>
    </w:p>
    <w:p w:rsidR="00593C78" w14:paraId="2F74E1B8" w14:textId="77777777">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rsidR="00593C78" w14:paraId="32042291" w14:textId="7777777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No questions of a sensitive nature are asked.</w:t>
      </w:r>
    </w:p>
    <w:p w:rsidR="001C3468" w14:paraId="20C37908" w14:textId="30D0E589">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59028678" w14:textId="1E47A470">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3D7C237F" w14:textId="0BC2EC8E">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4FF9CD04" w14:textId="4C9CEB90">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3B05D372" w14:textId="1F76DF61">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2E64543F" w14:textId="26420FFA">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4F6BC349" w14:textId="392C62EF">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76DC3AFF" w14:textId="505BF4E9">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72CF712C" w14:textId="0AC4A88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358208CD" w14:textId="093EE50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4CE594F6" w14:textId="023AAAFF">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90205B" w14:paraId="1FBEA872" w14:textId="77777777">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rsidR="00593C78" w14:paraId="0606F982" w14:textId="77777777">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b/>
          <w:bCs/>
          <w:u w:val="single"/>
        </w:rPr>
      </w:pPr>
      <w:r>
        <w:rPr>
          <w:rFonts w:ascii="Times New Roman" w:hAnsi="Times New Roman" w:cs="Times New Roman"/>
          <w:b/>
          <w:bCs/>
        </w:rPr>
        <w:t xml:space="preserve"> </w:t>
      </w:r>
      <w:r>
        <w:rPr>
          <w:rFonts w:ascii="Times New Roman" w:hAnsi="Times New Roman" w:cs="Times New Roman"/>
          <w:b/>
          <w:bCs/>
        </w:rPr>
        <w:t xml:space="preserve">12.  </w:t>
      </w:r>
      <w:r>
        <w:rPr>
          <w:rFonts w:ascii="Times New Roman" w:hAnsi="Times New Roman" w:cs="Times New Roman"/>
          <w:b/>
          <w:bCs/>
          <w:u w:val="single"/>
        </w:rPr>
        <w:t>Estimate of Hour Burden</w:t>
      </w:r>
    </w:p>
    <w:p w:rsidR="00593C78" w14:paraId="549E9C49" w14:textId="77777777">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CG Times" w:hAnsi="CG Times" w:cs="Times New Roman"/>
        </w:rPr>
      </w:pPr>
    </w:p>
    <w:p w:rsidR="00593C78" w14:paraId="63DE6EDD" w14:textId="77777777">
      <w:pPr>
        <w:jc w:val="center"/>
      </w:pPr>
      <w:r>
        <w:t>QFR Annual Report Burden Summary</w:t>
      </w:r>
    </w:p>
    <w:p w:rsidR="00593C78" w14:paraId="67500606" w14:textId="77777777">
      <w:pPr>
        <w:jc w:val="center"/>
        <w:rPr>
          <w:color w:val="FF0000"/>
        </w:rPr>
      </w:pPr>
      <w:r>
        <w:rPr>
          <w:color w:val="FF0000"/>
        </w:rPr>
        <w:t xml:space="preserve"> </w:t>
      </w:r>
    </w:p>
    <w:tbl>
      <w:tblPr>
        <w:tblW w:w="8826" w:type="dxa"/>
        <w:tblInd w:w="791"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tblPr>
      <w:tblGrid>
        <w:gridCol w:w="3399"/>
        <w:gridCol w:w="1336"/>
        <w:gridCol w:w="1403"/>
        <w:gridCol w:w="1306"/>
        <w:gridCol w:w="1382"/>
      </w:tblGrid>
      <w:tr w14:paraId="2D3DD2E9" w14:textId="77777777" w:rsidTr="006B57FE">
        <w:tblPrEx>
          <w:tblW w:w="8826" w:type="dxa"/>
          <w:tblInd w:w="791"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tblPrEx>
        <w:trPr>
          <w:cantSplit/>
          <w:trHeight w:val="405"/>
        </w:trPr>
        <w:tc>
          <w:tcPr>
            <w:tcW w:w="3399" w:type="dxa"/>
            <w:vMerge w:val="restart"/>
          </w:tcPr>
          <w:p w:rsidR="006B57FE" w14:paraId="04040A0C" w14:textId="77777777">
            <w:pPr>
              <w:pStyle w:val="Style0"/>
              <w:tabs>
                <w:tab w:val="left" w:pos="-415"/>
                <w:tab w:val="left" w:pos="720"/>
                <w:tab w:val="left" w:pos="1440"/>
                <w:tab w:val="left" w:pos="2160"/>
                <w:tab w:val="left" w:pos="2880"/>
              </w:tabs>
              <w:jc w:val="center"/>
              <w:rPr>
                <w:rFonts w:ascii="Times New Roman" w:hAnsi="Times New Roman" w:cs="Times New Roman"/>
              </w:rPr>
            </w:pPr>
          </w:p>
        </w:tc>
        <w:tc>
          <w:tcPr>
            <w:tcW w:w="5427" w:type="dxa"/>
            <w:gridSpan w:val="4"/>
            <w:vAlign w:val="center"/>
          </w:tcPr>
          <w:p w:rsidR="006B57FE" w:rsidP="00A172BD" w14:paraId="2A02171F" w14:textId="77777777">
            <w:pPr>
              <w:tabs>
                <w:tab w:val="left" w:pos="-415"/>
                <w:tab w:val="left" w:pos="720"/>
                <w:tab w:val="left" w:pos="1440"/>
              </w:tabs>
              <w:jc w:val="center"/>
            </w:pPr>
            <w:r>
              <w:t>QFR Forms</w:t>
            </w:r>
          </w:p>
        </w:tc>
      </w:tr>
      <w:tr w14:paraId="71F728A6" w14:textId="77777777" w:rsidTr="008D0128">
        <w:tblPrEx>
          <w:tblW w:w="8826" w:type="dxa"/>
          <w:tblInd w:w="791" w:type="dxa"/>
          <w:tblLayout w:type="fixed"/>
          <w:tblCellMar>
            <w:left w:w="0" w:type="dxa"/>
            <w:right w:w="0" w:type="dxa"/>
          </w:tblCellMar>
          <w:tblLook w:val="0000"/>
        </w:tblPrEx>
        <w:trPr>
          <w:cantSplit/>
          <w:trHeight w:val="890"/>
        </w:trPr>
        <w:tc>
          <w:tcPr>
            <w:tcW w:w="3399" w:type="dxa"/>
            <w:vMerge/>
          </w:tcPr>
          <w:p w:rsidR="006B57FE" w14:paraId="37D0F589" w14:textId="77777777">
            <w:pPr>
              <w:pStyle w:val="Style0"/>
              <w:tabs>
                <w:tab w:val="left" w:pos="-415"/>
                <w:tab w:val="left" w:pos="720"/>
                <w:tab w:val="left" w:pos="1440"/>
                <w:tab w:val="left" w:pos="2160"/>
                <w:tab w:val="left" w:pos="2880"/>
              </w:tabs>
              <w:jc w:val="center"/>
              <w:rPr>
                <w:rFonts w:ascii="Times New Roman" w:hAnsi="Times New Roman" w:cs="Times New Roman"/>
              </w:rPr>
            </w:pPr>
          </w:p>
        </w:tc>
        <w:tc>
          <w:tcPr>
            <w:tcW w:w="1336" w:type="dxa"/>
            <w:vAlign w:val="center"/>
          </w:tcPr>
          <w:p w:rsidR="006B57FE" w:rsidP="008D0128" w14:paraId="666847C8" w14:textId="77777777">
            <w:pPr>
              <w:tabs>
                <w:tab w:val="left" w:pos="-415"/>
                <w:tab w:val="left" w:pos="720"/>
                <w:tab w:val="left" w:pos="1440"/>
              </w:tabs>
              <w:jc w:val="center"/>
            </w:pPr>
            <w:r>
              <w:t>200 – MT</w:t>
            </w:r>
          </w:p>
          <w:p w:rsidR="006B57FE" w:rsidP="008D0128" w14:paraId="4996BAA4" w14:textId="77777777">
            <w:pPr>
              <w:tabs>
                <w:tab w:val="left" w:pos="-415"/>
                <w:tab w:val="left" w:pos="720"/>
                <w:tab w:val="left" w:pos="1440"/>
              </w:tabs>
              <w:jc w:val="center"/>
            </w:pPr>
            <w:r>
              <w:t>(Long Form)</w:t>
            </w:r>
          </w:p>
        </w:tc>
        <w:tc>
          <w:tcPr>
            <w:tcW w:w="1403" w:type="dxa"/>
            <w:vAlign w:val="center"/>
          </w:tcPr>
          <w:p w:rsidR="006B57FE" w:rsidP="008D0128" w14:paraId="36831080" w14:textId="77777777">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300 – S</w:t>
            </w:r>
          </w:p>
          <w:p w:rsidR="006B57FE" w:rsidP="008D0128" w14:paraId="5D1CE00E" w14:textId="77777777">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(Long Form)</w:t>
            </w:r>
          </w:p>
        </w:tc>
        <w:tc>
          <w:tcPr>
            <w:tcW w:w="1306" w:type="dxa"/>
            <w:vAlign w:val="center"/>
          </w:tcPr>
          <w:p w:rsidR="006B57FE" w:rsidP="008D0128" w14:paraId="37CC65F5" w14:textId="77777777">
            <w:pPr>
              <w:tabs>
                <w:tab w:val="left" w:pos="-415"/>
                <w:tab w:val="left" w:pos="720"/>
              </w:tabs>
              <w:jc w:val="center"/>
            </w:pPr>
            <w:r>
              <w:t>201-MG</w:t>
            </w:r>
          </w:p>
          <w:p w:rsidR="006B57FE" w:rsidP="008D0128" w14:paraId="37703EEC" w14:textId="77777777">
            <w:pPr>
              <w:pStyle w:val="Style0"/>
              <w:tabs>
                <w:tab w:val="left" w:pos="-415"/>
                <w:tab w:val="left" w:pos="720"/>
              </w:tabs>
              <w:jc w:val="center"/>
              <w:rPr>
                <w:rFonts w:ascii="Times New Roman" w:hAnsi="Times New Roman" w:cs="Times New Roman"/>
              </w:rPr>
            </w:pPr>
            <w:r>
              <w:rPr>
                <w:rFonts w:ascii="Times New Roman" w:hAnsi="Times New Roman" w:cs="Times New Roman"/>
              </w:rPr>
              <w:t>(Short Form)</w:t>
            </w:r>
          </w:p>
        </w:tc>
        <w:tc>
          <w:tcPr>
            <w:tcW w:w="1382" w:type="dxa"/>
            <w:vAlign w:val="center"/>
          </w:tcPr>
          <w:p w:rsidR="006B57FE" w:rsidP="008D0128" w14:paraId="682AB22F" w14:textId="77777777">
            <w:pPr>
              <w:tabs>
                <w:tab w:val="left" w:pos="-415"/>
                <w:tab w:val="left" w:pos="720"/>
                <w:tab w:val="left" w:pos="1440"/>
              </w:tabs>
              <w:jc w:val="center"/>
            </w:pPr>
            <w:r>
              <w:t>Total</w:t>
            </w:r>
          </w:p>
          <w:p w:rsidR="006B57FE" w:rsidP="008D0128" w14:paraId="490295BB" w14:textId="77777777">
            <w:pPr>
              <w:tabs>
                <w:tab w:val="left" w:pos="-415"/>
                <w:tab w:val="left" w:pos="720"/>
                <w:tab w:val="left" w:pos="1440"/>
              </w:tabs>
              <w:jc w:val="center"/>
            </w:pPr>
            <w:r>
              <w:t>(SF-83,</w:t>
            </w:r>
          </w:p>
          <w:p w:rsidR="006B57FE" w:rsidP="008D0128" w14:paraId="03370CEA" w14:textId="77777777">
            <w:pPr>
              <w:tabs>
                <w:tab w:val="left" w:pos="-415"/>
                <w:tab w:val="left" w:pos="720"/>
                <w:tab w:val="left" w:pos="1440"/>
              </w:tabs>
              <w:jc w:val="center"/>
            </w:pPr>
            <w:r>
              <w:t>Item 17)</w:t>
            </w:r>
          </w:p>
        </w:tc>
      </w:tr>
      <w:tr w14:paraId="227E0B79" w14:textId="77777777" w:rsidTr="006B57FE">
        <w:tblPrEx>
          <w:tblW w:w="8826" w:type="dxa"/>
          <w:tblInd w:w="791" w:type="dxa"/>
          <w:tblLayout w:type="fixed"/>
          <w:tblCellMar>
            <w:left w:w="0" w:type="dxa"/>
            <w:right w:w="0" w:type="dxa"/>
          </w:tblCellMar>
          <w:tblLook w:val="0000"/>
        </w:tblPrEx>
        <w:trPr>
          <w:cantSplit/>
          <w:trHeight w:val="350"/>
        </w:trPr>
        <w:tc>
          <w:tcPr>
            <w:tcW w:w="3399" w:type="dxa"/>
            <w:vAlign w:val="center"/>
          </w:tcPr>
          <w:p w:rsidR="00A172BD" w:rsidRPr="009622E5" w:rsidP="006B57FE" w14:paraId="31DF58A0"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respondents</w:t>
            </w:r>
          </w:p>
        </w:tc>
        <w:tc>
          <w:tcPr>
            <w:tcW w:w="1336" w:type="dxa"/>
            <w:vAlign w:val="center"/>
          </w:tcPr>
          <w:p w:rsidR="00A172BD" w:rsidRPr="009622E5" w14:paraId="6057C751" w14:textId="352D306B">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4,</w:t>
            </w:r>
            <w:r w:rsidR="00AE0E95">
              <w:rPr>
                <w:rFonts w:ascii="Times New Roman" w:hAnsi="Times New Roman" w:cs="Times New Roman"/>
              </w:rPr>
              <w:t>311</w:t>
            </w:r>
          </w:p>
        </w:tc>
        <w:tc>
          <w:tcPr>
            <w:tcW w:w="1403" w:type="dxa"/>
            <w:vAlign w:val="center"/>
          </w:tcPr>
          <w:p w:rsidR="00A172BD" w:rsidRPr="009622E5" w:rsidP="006B57FE" w14:paraId="22865C6C" w14:textId="21A74AFF">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1,</w:t>
            </w:r>
            <w:r w:rsidR="00AE0E95">
              <w:rPr>
                <w:rFonts w:ascii="Times New Roman" w:hAnsi="Times New Roman" w:cs="Times New Roman"/>
              </w:rPr>
              <w:t>488</w:t>
            </w:r>
          </w:p>
        </w:tc>
        <w:tc>
          <w:tcPr>
            <w:tcW w:w="1306" w:type="dxa"/>
            <w:vAlign w:val="center"/>
          </w:tcPr>
          <w:p w:rsidR="00A172BD" w:rsidRPr="009622E5" w:rsidP="006B57FE" w14:paraId="17946797" w14:textId="29F4CF1C">
            <w:pPr>
              <w:pStyle w:val="Style0"/>
              <w:tabs>
                <w:tab w:val="left" w:pos="-415"/>
                <w:tab w:val="left" w:pos="720"/>
              </w:tabs>
              <w:jc w:val="center"/>
              <w:rPr>
                <w:rFonts w:ascii="Times New Roman" w:hAnsi="Times New Roman" w:cs="Times New Roman"/>
              </w:rPr>
            </w:pPr>
            <w:r>
              <w:rPr>
                <w:rFonts w:ascii="Times New Roman" w:hAnsi="Times New Roman" w:cs="Times New Roman"/>
              </w:rPr>
              <w:t>2,</w:t>
            </w:r>
            <w:r w:rsidR="00AE0E95">
              <w:rPr>
                <w:rFonts w:ascii="Times New Roman" w:hAnsi="Times New Roman" w:cs="Times New Roman"/>
              </w:rPr>
              <w:t>773</w:t>
            </w:r>
          </w:p>
        </w:tc>
        <w:tc>
          <w:tcPr>
            <w:tcW w:w="1382" w:type="dxa"/>
            <w:vAlign w:val="center"/>
          </w:tcPr>
          <w:p w:rsidR="00A172BD" w:rsidRPr="009622E5" w:rsidP="0048626D" w14:paraId="3356C2DB" w14:textId="2FBA4109">
            <w:pPr>
              <w:tabs>
                <w:tab w:val="left" w:pos="-415"/>
                <w:tab w:val="left" w:pos="720"/>
                <w:tab w:val="left" w:pos="1440"/>
              </w:tabs>
              <w:jc w:val="center"/>
            </w:pPr>
            <w:r>
              <w:t>8,</w:t>
            </w:r>
            <w:r w:rsidR="00AE0E95">
              <w:t>572</w:t>
            </w:r>
          </w:p>
        </w:tc>
      </w:tr>
      <w:tr w14:paraId="6479D9C3" w14:textId="77777777" w:rsidTr="006B57FE">
        <w:tblPrEx>
          <w:tblW w:w="8826" w:type="dxa"/>
          <w:tblInd w:w="791" w:type="dxa"/>
          <w:tblLayout w:type="fixed"/>
          <w:tblCellMar>
            <w:left w:w="0" w:type="dxa"/>
            <w:right w:w="0" w:type="dxa"/>
          </w:tblCellMar>
          <w:tblLook w:val="0000"/>
        </w:tblPrEx>
        <w:trPr>
          <w:cantSplit/>
          <w:trHeight w:val="504"/>
        </w:trPr>
        <w:tc>
          <w:tcPr>
            <w:tcW w:w="3399" w:type="dxa"/>
            <w:vAlign w:val="center"/>
          </w:tcPr>
          <w:p w:rsidR="00A172BD" w:rsidRPr="009622E5" w:rsidP="006B57FE" w14:paraId="588AF879"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responses per respondent/year</w:t>
            </w:r>
          </w:p>
        </w:tc>
        <w:tc>
          <w:tcPr>
            <w:tcW w:w="1336" w:type="dxa"/>
            <w:vAlign w:val="center"/>
          </w:tcPr>
          <w:p w:rsidR="00A172BD" w:rsidRPr="009622E5" w:rsidP="006B57FE" w14:paraId="666B19CA"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403" w:type="dxa"/>
            <w:vAlign w:val="center"/>
          </w:tcPr>
          <w:p w:rsidR="00A172BD" w:rsidRPr="009622E5" w:rsidP="006B57FE" w14:paraId="35C94070"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306" w:type="dxa"/>
            <w:vAlign w:val="center"/>
          </w:tcPr>
          <w:p w:rsidR="00A172BD" w:rsidRPr="009622E5" w:rsidP="006B57FE" w14:paraId="04B9CB4D" w14:textId="77777777">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4</w:t>
            </w:r>
          </w:p>
        </w:tc>
        <w:tc>
          <w:tcPr>
            <w:tcW w:w="1382" w:type="dxa"/>
            <w:vAlign w:val="center"/>
          </w:tcPr>
          <w:p w:rsidR="00A172BD" w:rsidRPr="009622E5" w:rsidP="006B57FE" w14:paraId="66B90ECE" w14:textId="77777777">
            <w:pPr>
              <w:tabs>
                <w:tab w:val="left" w:pos="-415"/>
                <w:tab w:val="left" w:pos="720"/>
                <w:tab w:val="left" w:pos="1440"/>
              </w:tabs>
              <w:jc w:val="center"/>
            </w:pPr>
            <w:r w:rsidRPr="009622E5">
              <w:t>4</w:t>
            </w:r>
          </w:p>
        </w:tc>
      </w:tr>
      <w:tr w14:paraId="1F457D38" w14:textId="77777777" w:rsidTr="006B57FE">
        <w:tblPrEx>
          <w:tblW w:w="8826" w:type="dxa"/>
          <w:tblInd w:w="791" w:type="dxa"/>
          <w:tblLayout w:type="fixed"/>
          <w:tblCellMar>
            <w:left w:w="0" w:type="dxa"/>
            <w:right w:w="0" w:type="dxa"/>
          </w:tblCellMar>
          <w:tblLook w:val="0000"/>
        </w:tblPrEx>
        <w:trPr>
          <w:cantSplit/>
          <w:trHeight w:val="491"/>
        </w:trPr>
        <w:tc>
          <w:tcPr>
            <w:tcW w:w="3399" w:type="dxa"/>
            <w:vAlign w:val="center"/>
          </w:tcPr>
          <w:p w:rsidR="00A172BD" w:rsidRPr="009622E5" w:rsidP="006B57FE" w14:paraId="31A40161" w14:textId="77777777">
            <w:pPr>
              <w:tabs>
                <w:tab w:val="left" w:pos="-415"/>
                <w:tab w:val="left" w:pos="720"/>
                <w:tab w:val="left" w:pos="1440"/>
                <w:tab w:val="left" w:pos="2160"/>
                <w:tab w:val="left" w:pos="2880"/>
              </w:tabs>
              <w:jc w:val="center"/>
            </w:pPr>
            <w:r w:rsidRPr="009622E5">
              <w:t>Total annual responses</w:t>
            </w:r>
          </w:p>
          <w:p w:rsidR="00A172BD" w:rsidRPr="009622E5" w:rsidP="006B57FE" w14:paraId="7BD5C385"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w:t>
            </w:r>
            <w:r w:rsidRPr="009622E5">
              <w:rPr>
                <w:rFonts w:ascii="Times New Roman" w:hAnsi="Times New Roman" w:cs="Times New Roman"/>
              </w:rPr>
              <w:t>line</w:t>
            </w:r>
            <w:r w:rsidRPr="009622E5">
              <w:rPr>
                <w:rFonts w:ascii="Times New Roman" w:hAnsi="Times New Roman" w:cs="Times New Roman"/>
              </w:rPr>
              <w:t xml:space="preserve"> 1 times line 2)</w:t>
            </w:r>
          </w:p>
        </w:tc>
        <w:tc>
          <w:tcPr>
            <w:tcW w:w="1336" w:type="dxa"/>
            <w:vAlign w:val="center"/>
          </w:tcPr>
          <w:p w:rsidR="00A172BD" w:rsidRPr="009622E5" w:rsidP="006B57FE" w14:paraId="52BACAFD" w14:textId="033F6848">
            <w:pPr>
              <w:tabs>
                <w:tab w:val="left" w:pos="-415"/>
                <w:tab w:val="left" w:pos="720"/>
                <w:tab w:val="left" w:pos="1440"/>
              </w:tabs>
              <w:jc w:val="center"/>
            </w:pPr>
            <w:r>
              <w:t>17,244</w:t>
            </w:r>
          </w:p>
        </w:tc>
        <w:tc>
          <w:tcPr>
            <w:tcW w:w="1403" w:type="dxa"/>
            <w:vAlign w:val="center"/>
          </w:tcPr>
          <w:p w:rsidR="00A172BD" w:rsidRPr="009622E5" w:rsidP="006B57FE" w14:paraId="630A278C" w14:textId="32904422">
            <w:pPr>
              <w:tabs>
                <w:tab w:val="left" w:pos="-415"/>
                <w:tab w:val="left" w:pos="720"/>
                <w:tab w:val="left" w:pos="1440"/>
              </w:tabs>
              <w:jc w:val="center"/>
            </w:pPr>
            <w:r>
              <w:t>5,</w:t>
            </w:r>
            <w:r w:rsidR="00AE0E95">
              <w:t>952</w:t>
            </w:r>
          </w:p>
        </w:tc>
        <w:tc>
          <w:tcPr>
            <w:tcW w:w="1306" w:type="dxa"/>
            <w:vAlign w:val="center"/>
          </w:tcPr>
          <w:p w:rsidR="00A172BD" w:rsidRPr="009622E5" w:rsidP="006B57FE" w14:paraId="179C0552" w14:textId="6392AC1C">
            <w:pPr>
              <w:pStyle w:val="Style0"/>
              <w:tabs>
                <w:tab w:val="left" w:pos="-415"/>
                <w:tab w:val="left" w:pos="720"/>
              </w:tabs>
              <w:jc w:val="center"/>
              <w:rPr>
                <w:rFonts w:ascii="Times New Roman" w:hAnsi="Times New Roman" w:cs="Times New Roman"/>
              </w:rPr>
            </w:pPr>
            <w:r>
              <w:rPr>
                <w:rFonts w:ascii="Times New Roman" w:hAnsi="Times New Roman" w:cs="Times New Roman"/>
              </w:rPr>
              <w:t>11,</w:t>
            </w:r>
            <w:r w:rsidR="00E70497">
              <w:rPr>
                <w:rFonts w:ascii="Times New Roman" w:hAnsi="Times New Roman" w:cs="Times New Roman"/>
              </w:rPr>
              <w:t>0</w:t>
            </w:r>
            <w:r w:rsidR="00AE0E95">
              <w:rPr>
                <w:rFonts w:ascii="Times New Roman" w:hAnsi="Times New Roman" w:cs="Times New Roman"/>
              </w:rPr>
              <w:t>92</w:t>
            </w:r>
          </w:p>
        </w:tc>
        <w:tc>
          <w:tcPr>
            <w:tcW w:w="1382" w:type="dxa"/>
            <w:vAlign w:val="center"/>
          </w:tcPr>
          <w:p w:rsidR="00A172BD" w:rsidRPr="009622E5" w:rsidP="006B57FE" w14:paraId="5784DE00" w14:textId="47675C01">
            <w:pPr>
              <w:tabs>
                <w:tab w:val="left" w:pos="-415"/>
                <w:tab w:val="left" w:pos="720"/>
                <w:tab w:val="left" w:pos="1440"/>
              </w:tabs>
              <w:jc w:val="center"/>
            </w:pPr>
            <w:r>
              <w:t>34,288</w:t>
            </w:r>
          </w:p>
        </w:tc>
      </w:tr>
      <w:tr w14:paraId="1C57EED7" w14:textId="77777777" w:rsidTr="008D0128">
        <w:tblPrEx>
          <w:tblW w:w="8826" w:type="dxa"/>
          <w:tblInd w:w="791" w:type="dxa"/>
          <w:tblLayout w:type="fixed"/>
          <w:tblCellMar>
            <w:left w:w="0" w:type="dxa"/>
            <w:right w:w="0" w:type="dxa"/>
          </w:tblCellMar>
          <w:tblLook w:val="0000"/>
        </w:tblPrEx>
        <w:trPr>
          <w:cantSplit/>
          <w:trHeight w:val="485"/>
        </w:trPr>
        <w:tc>
          <w:tcPr>
            <w:tcW w:w="3399" w:type="dxa"/>
            <w:vAlign w:val="center"/>
          </w:tcPr>
          <w:p w:rsidR="00A172BD" w:rsidRPr="009622E5" w:rsidP="006B57FE" w14:paraId="47E1914E"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Hours per response</w:t>
            </w:r>
          </w:p>
        </w:tc>
        <w:tc>
          <w:tcPr>
            <w:tcW w:w="1336" w:type="dxa"/>
            <w:vAlign w:val="center"/>
          </w:tcPr>
          <w:p w:rsidR="00A172BD" w:rsidRPr="009622E5" w:rsidP="006B57FE" w14:paraId="33902D83"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403" w:type="dxa"/>
            <w:vAlign w:val="center"/>
          </w:tcPr>
          <w:p w:rsidR="00A172BD" w:rsidRPr="009622E5" w:rsidP="006B57FE" w14:paraId="3D2EBBB4" w14:textId="77777777">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306" w:type="dxa"/>
            <w:vAlign w:val="center"/>
          </w:tcPr>
          <w:p w:rsidR="00A172BD" w:rsidRPr="009622E5" w:rsidP="006B57FE" w14:paraId="44E3BC4F" w14:textId="77777777">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1.2000</w:t>
            </w:r>
          </w:p>
        </w:tc>
        <w:tc>
          <w:tcPr>
            <w:tcW w:w="1382" w:type="dxa"/>
            <w:vAlign w:val="center"/>
          </w:tcPr>
          <w:p w:rsidR="00A172BD" w:rsidRPr="009622E5" w:rsidP="006B57FE" w14:paraId="6FBC0D52" w14:textId="3F8AB36C">
            <w:pPr>
              <w:tabs>
                <w:tab w:val="left" w:pos="-415"/>
                <w:tab w:val="left" w:pos="720"/>
                <w:tab w:val="left" w:pos="1440"/>
              </w:tabs>
              <w:jc w:val="center"/>
            </w:pPr>
            <w:r>
              <w:t>2.</w:t>
            </w:r>
            <w:r w:rsidR="0035117A">
              <w:t>41771</w:t>
            </w:r>
          </w:p>
        </w:tc>
      </w:tr>
      <w:tr w14:paraId="2B6CAF8A" w14:textId="77777777" w:rsidTr="00522DBF">
        <w:tblPrEx>
          <w:tblW w:w="8826" w:type="dxa"/>
          <w:tblInd w:w="791" w:type="dxa"/>
          <w:tblLayout w:type="fixed"/>
          <w:tblCellMar>
            <w:left w:w="0" w:type="dxa"/>
            <w:right w:w="0" w:type="dxa"/>
          </w:tblCellMar>
          <w:tblLook w:val="0000"/>
        </w:tblPrEx>
        <w:trPr>
          <w:cantSplit/>
          <w:trHeight w:val="422"/>
        </w:trPr>
        <w:tc>
          <w:tcPr>
            <w:tcW w:w="3399" w:type="dxa"/>
            <w:vAlign w:val="center"/>
          </w:tcPr>
          <w:p w:rsidR="00A172BD" w:rsidRPr="009622E5" w:rsidP="006B57FE" w14:paraId="74725EE2" w14:textId="77777777">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Total hours (line 3 times line 4)</w:t>
            </w:r>
          </w:p>
        </w:tc>
        <w:tc>
          <w:tcPr>
            <w:tcW w:w="1336" w:type="dxa"/>
            <w:vAlign w:val="center"/>
          </w:tcPr>
          <w:p w:rsidR="00A172BD" w:rsidRPr="009622E5" w:rsidP="006B57FE" w14:paraId="62AEE774" w14:textId="62B2581A">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51,732</w:t>
            </w:r>
          </w:p>
        </w:tc>
        <w:tc>
          <w:tcPr>
            <w:tcW w:w="1403" w:type="dxa"/>
            <w:vAlign w:val="center"/>
          </w:tcPr>
          <w:p w:rsidR="00A172BD" w:rsidRPr="009622E5" w:rsidP="006B57FE" w14:paraId="6AF247F2" w14:textId="7B79BAD7">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17,856</w:t>
            </w:r>
          </w:p>
        </w:tc>
        <w:tc>
          <w:tcPr>
            <w:tcW w:w="1306" w:type="dxa"/>
            <w:vAlign w:val="center"/>
          </w:tcPr>
          <w:p w:rsidR="00A172BD" w:rsidRPr="009622E5" w:rsidP="006B57FE" w14:paraId="6BBF03F3" w14:textId="47C3AA22">
            <w:pPr>
              <w:pStyle w:val="Style0"/>
              <w:tabs>
                <w:tab w:val="left" w:pos="-415"/>
                <w:tab w:val="left" w:pos="720"/>
              </w:tabs>
              <w:jc w:val="center"/>
              <w:rPr>
                <w:rFonts w:ascii="Times New Roman" w:hAnsi="Times New Roman" w:cs="Times New Roman"/>
              </w:rPr>
            </w:pPr>
            <w:r>
              <w:rPr>
                <w:rFonts w:ascii="Times New Roman" w:hAnsi="Times New Roman" w:cs="Times New Roman"/>
              </w:rPr>
              <w:t>13,310</w:t>
            </w:r>
          </w:p>
        </w:tc>
        <w:tc>
          <w:tcPr>
            <w:tcW w:w="1382" w:type="dxa"/>
            <w:vAlign w:val="center"/>
          </w:tcPr>
          <w:p w:rsidR="00A172BD" w:rsidRPr="009622E5" w:rsidP="006B57FE" w14:paraId="1A0776FE" w14:textId="1BE8501A">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82,898</w:t>
            </w:r>
          </w:p>
        </w:tc>
      </w:tr>
    </w:tbl>
    <w:p w:rsidR="00593C78" w14:paraId="0396FCA1" w14:textId="77777777"/>
    <w:p w:rsidR="00593C78" w:rsidP="003803B9" w14:paraId="3DC409A9" w14:textId="02BEDDD6">
      <w:pPr>
        <w:pStyle w:val="BodyTextIndent3"/>
      </w:pPr>
      <w:r>
        <w:t>The QFR long and short form estimates of collection burden are based on the average completion times reported during telephone conversations with respondents in the normal course of QFR business</w:t>
      </w:r>
      <w:r w:rsidR="00533C3A">
        <w:t>.</w:t>
      </w:r>
      <w:r>
        <w:t xml:space="preserve">  </w:t>
      </w:r>
    </w:p>
    <w:p w:rsidR="003803B9" w:rsidRPr="009622E5" w:rsidP="003803B9" w14:paraId="1484218C" w14:textId="77777777">
      <w:pPr>
        <w:pStyle w:val="BodyTextIndent3"/>
      </w:pPr>
    </w:p>
    <w:p w:rsidR="00593C78" w:rsidP="00470286" w14:paraId="24B36858" w14:textId="69865B57">
      <w:pPr>
        <w:pStyle w:val="Style0"/>
        <w:tabs>
          <w:tab w:val="left" w:pos="-296"/>
          <w:tab w:val="left" w:pos="-223"/>
          <w:tab w:val="left" w:pos="-148"/>
          <w:tab w:val="left" w:pos="-98"/>
          <w:tab w:val="left" w:pos="-1"/>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ind w:left="900"/>
        <w:rPr>
          <w:rFonts w:ascii="Times New Roman" w:hAnsi="Times New Roman" w:cs="Times New Roman"/>
        </w:rPr>
      </w:pPr>
      <w:r>
        <w:rPr>
          <w:rFonts w:ascii="Times New Roman" w:hAnsi="Times New Roman" w:cs="Times New Roman"/>
        </w:rPr>
        <w:t>The estimated cost for</w:t>
      </w:r>
      <w:r w:rsidRPr="009622E5">
        <w:rPr>
          <w:rFonts w:ascii="Times New Roman" w:hAnsi="Times New Roman" w:cs="Times New Roman"/>
        </w:rPr>
        <w:t xml:space="preserve"> all respondents to respond is $</w:t>
      </w:r>
      <w:r w:rsidR="0057152E">
        <w:rPr>
          <w:rFonts w:ascii="Times New Roman" w:hAnsi="Times New Roman" w:cs="Times New Roman"/>
        </w:rPr>
        <w:t>3,</w:t>
      </w:r>
      <w:r w:rsidR="00DF14A5">
        <w:rPr>
          <w:rFonts w:ascii="Times New Roman" w:hAnsi="Times New Roman" w:cs="Times New Roman"/>
        </w:rPr>
        <w:t>618,498</w:t>
      </w:r>
      <w:r w:rsidRPr="009622E5">
        <w:rPr>
          <w:rFonts w:ascii="Times New Roman" w:hAnsi="Times New Roman" w:cs="Times New Roman"/>
        </w:rPr>
        <w:t xml:space="preserve">.  This cost is calculated by multiplying the </w:t>
      </w:r>
      <w:r w:rsidR="0057152E">
        <w:rPr>
          <w:rFonts w:ascii="Times New Roman" w:hAnsi="Times New Roman" w:cs="Times New Roman"/>
        </w:rPr>
        <w:t>82,898</w:t>
      </w:r>
      <w:r w:rsidRPr="009622E5">
        <w:rPr>
          <w:rFonts w:ascii="Times New Roman" w:hAnsi="Times New Roman" w:cs="Times New Roman"/>
        </w:rPr>
        <w:t xml:space="preserve"> annual burden hours by </w:t>
      </w:r>
      <w:r w:rsidRPr="009622E5" w:rsidR="00470286">
        <w:rPr>
          <w:rFonts w:ascii="Times New Roman" w:hAnsi="Times New Roman" w:cs="Times New Roman"/>
        </w:rPr>
        <w:t xml:space="preserve">the </w:t>
      </w:r>
      <w:r w:rsidRPr="009622E5">
        <w:rPr>
          <w:rFonts w:ascii="Times New Roman" w:hAnsi="Times New Roman" w:cs="Times New Roman"/>
        </w:rPr>
        <w:t>per hour estimate of $</w:t>
      </w:r>
      <w:r w:rsidR="0057152E">
        <w:rPr>
          <w:rFonts w:ascii="Times New Roman" w:hAnsi="Times New Roman" w:cs="Times New Roman"/>
        </w:rPr>
        <w:t>4</w:t>
      </w:r>
      <w:r w:rsidR="00DF14A5">
        <w:rPr>
          <w:rFonts w:ascii="Times New Roman" w:hAnsi="Times New Roman" w:cs="Times New Roman"/>
        </w:rPr>
        <w:t>3.65</w:t>
      </w:r>
      <w:r w:rsidRPr="009622E5">
        <w:rPr>
          <w:rFonts w:ascii="Times New Roman" w:hAnsi="Times New Roman" w:cs="Times New Roman"/>
        </w:rPr>
        <w:t xml:space="preserve"> for a private industry entry-level accountant</w:t>
      </w:r>
      <w:r w:rsidRPr="009622E5" w:rsidR="00470286">
        <w:rPr>
          <w:rFonts w:ascii="Times New Roman" w:hAnsi="Times New Roman" w:cs="Times New Roman"/>
        </w:rPr>
        <w:t xml:space="preserve"> </w:t>
      </w:r>
      <w:r w:rsidRPr="00470286" w:rsidR="00470286">
        <w:rPr>
          <w:rFonts w:ascii="Times New Roman" w:hAnsi="Times New Roman" w:cs="Times New Roman"/>
        </w:rPr>
        <w:t>(Occupational Employment and Wages - Bureau of Labor Statistics May 20</w:t>
      </w:r>
      <w:r w:rsidR="00DF14A5">
        <w:rPr>
          <w:rFonts w:ascii="Times New Roman" w:hAnsi="Times New Roman" w:cs="Times New Roman"/>
        </w:rPr>
        <w:t>23</w:t>
      </w:r>
      <w:r w:rsidRPr="00470286" w:rsidR="00470286">
        <w:rPr>
          <w:rFonts w:ascii="Times New Roman" w:hAnsi="Times New Roman" w:cs="Times New Roman"/>
        </w:rPr>
        <w:t xml:space="preserve"> National Occupational Employment and Wage Estimates; $</w:t>
      </w:r>
      <w:r w:rsidRPr="0057152E" w:rsidR="0057152E">
        <w:rPr>
          <w:rFonts w:ascii="Times New Roman" w:hAnsi="Times New Roman" w:cs="Times New Roman"/>
        </w:rPr>
        <w:t>4</w:t>
      </w:r>
      <w:r w:rsidR="00DF14A5">
        <w:rPr>
          <w:rFonts w:ascii="Times New Roman" w:hAnsi="Times New Roman" w:cs="Times New Roman"/>
        </w:rPr>
        <w:t>3.65</w:t>
      </w:r>
      <w:r w:rsidRPr="0057152E" w:rsidR="0057152E">
        <w:rPr>
          <w:rFonts w:ascii="Times New Roman" w:hAnsi="Times New Roman" w:cs="Times New Roman"/>
        </w:rPr>
        <w:t xml:space="preserve"> </w:t>
      </w:r>
      <w:r w:rsidRPr="00470286" w:rsidR="00470286">
        <w:rPr>
          <w:rFonts w:ascii="Times New Roman" w:hAnsi="Times New Roman" w:cs="Times New Roman"/>
        </w:rPr>
        <w:t>represents the mean hourly wage of the full-time wage and salary earnings of accountants and auditors, SOC code 13-2011)</w:t>
      </w:r>
      <w:r w:rsidR="00DF14A5">
        <w:rPr>
          <w:rFonts w:ascii="Times New Roman" w:hAnsi="Times New Roman" w:cs="Times New Roman"/>
        </w:rPr>
        <w:t xml:space="preserve">. </w:t>
      </w:r>
      <w:r w:rsidRPr="00470286" w:rsidR="00470286">
        <w:rPr>
          <w:rFonts w:ascii="Times New Roman" w:hAnsi="Times New Roman" w:cs="Times New Roman"/>
        </w:rPr>
        <w:t xml:space="preserve"> </w:t>
      </w:r>
      <w:r w:rsidRPr="00C37DFD" w:rsidR="00C37DFD">
        <w:rPr>
          <w:rFonts w:ascii="Times New Roman" w:hAnsi="Times New Roman" w:cs="Times New Roman"/>
        </w:rPr>
        <w:t>https://www.bls.gov/oes/current/oes132011.htm</w:t>
      </w:r>
    </w:p>
    <w:p w:rsidR="004A7DA5" w:rsidP="00470286" w14:paraId="1BDF6AAF" w14:textId="77777777">
      <w:pPr>
        <w:pStyle w:val="Style0"/>
        <w:tabs>
          <w:tab w:val="left" w:pos="-296"/>
          <w:tab w:val="left" w:pos="-223"/>
          <w:tab w:val="left" w:pos="-148"/>
          <w:tab w:val="left" w:pos="-98"/>
          <w:tab w:val="left" w:pos="-1"/>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ind w:left="900"/>
        <w:rPr>
          <w:rFonts w:ascii="Times New Roman" w:hAnsi="Times New Roman" w:cs="Times New Roman"/>
        </w:rPr>
      </w:pPr>
    </w:p>
    <w:p w:rsidR="004A7DA5" w:rsidRPr="0079369E" w:rsidP="00470286" w14:paraId="2D1DA894" w14:textId="07013E6C">
      <w:pPr>
        <w:pStyle w:val="Style0"/>
        <w:tabs>
          <w:tab w:val="left" w:pos="-296"/>
          <w:tab w:val="left" w:pos="-223"/>
          <w:tab w:val="left" w:pos="-148"/>
          <w:tab w:val="left" w:pos="-98"/>
          <w:tab w:val="left" w:pos="-1"/>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ind w:left="900"/>
        <w:rPr>
          <w:rFonts w:ascii="Times New Roman" w:hAnsi="Times New Roman" w:cs="Times New Roman"/>
        </w:rPr>
      </w:pPr>
      <w:r>
        <w:rPr>
          <w:rFonts w:ascii="Times New Roman" w:hAnsi="Times New Roman" w:cs="Times New Roman"/>
        </w:rPr>
        <w:t xml:space="preserve">The numbers presented in the table are a slight refinement of those included in the January 26, </w:t>
      </w:r>
      <w:r>
        <w:rPr>
          <w:rFonts w:ascii="Times New Roman" w:hAnsi="Times New Roman" w:cs="Times New Roman"/>
        </w:rPr>
        <w:t>2024</w:t>
      </w:r>
      <w:r>
        <w:rPr>
          <w:rFonts w:ascii="Times New Roman" w:hAnsi="Times New Roman" w:cs="Times New Roman"/>
        </w:rPr>
        <w:t xml:space="preserve"> Federal Register notice. </w:t>
      </w:r>
    </w:p>
    <w:p w:rsidR="005E2C2D" w:rsidRPr="0079369E" w14:paraId="2C84F06B" w14:textId="6000F9C6">
      <w:pPr>
        <w:pStyle w:val="Style0"/>
        <w:tabs>
          <w:tab w:val="left" w:pos="0"/>
          <w:tab w:val="left" w:pos="223"/>
          <w:tab w:val="left" w:pos="297"/>
          <w:tab w:val="left" w:pos="372"/>
          <w:tab w:val="left" w:pos="422"/>
          <w:tab w:val="left" w:pos="519"/>
          <w:tab w:val="left" w:pos="595"/>
          <w:tab w:val="left" w:pos="669"/>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p>
    <w:p w:rsidR="00593C78" w14:paraId="0307FC03" w14:textId="77777777">
      <w:pPr>
        <w:tabs>
          <w:tab w:val="left" w:pos="1260"/>
        </w:tabs>
        <w:ind w:left="720"/>
      </w:pPr>
      <w:r>
        <w:rPr>
          <w:b/>
          <w:bCs/>
        </w:rPr>
        <w:t xml:space="preserve">13.    </w:t>
      </w:r>
      <w:r>
        <w:rPr>
          <w:b/>
          <w:bCs/>
          <w:u w:val="single"/>
        </w:rPr>
        <w:t>Estimate of Cost Burden</w:t>
      </w:r>
    </w:p>
    <w:p w:rsidR="00593C78" w14:paraId="645BA8F9"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593C78" w14:paraId="2B6E46E8" w14:textId="77777777">
      <w:pPr>
        <w:pStyle w:val="Style0"/>
        <w:tabs>
          <w:tab w:val="left" w:pos="0"/>
          <w:tab w:val="left" w:pos="720"/>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720"/>
        <w:rPr>
          <w:rFonts w:ascii="Times New Roman" w:hAnsi="Times New Roman" w:cs="Times New Roman"/>
        </w:rPr>
      </w:pPr>
      <w:r>
        <w:rPr>
          <w:rFonts w:ascii="Times New Roman" w:hAnsi="Times New Roman" w:cs="Times New Roman"/>
        </w:rPr>
        <w:t>We do not expect respondents to incur any costs other than their time to respond.  The information requested is of the type and scope normally carried in company records and no special hardware, accounting software or system is necessary to provide answers.  Therefore, respondents are not expected to incur any capital and start-up costs or system maintenance costs.  Furthermore, purchasing of outside accounting or information collection services, if performed by the respondent, is part of usual and customary business practices and not specifically required for this information collection.</w:t>
      </w:r>
    </w:p>
    <w:p w:rsidR="0090205B" w14:paraId="6A17132D"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593C78" w14:paraId="46465EC6"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b/>
          <w:bCs/>
        </w:rPr>
        <w:t xml:space="preserve">14.    </w:t>
      </w:r>
      <w:r>
        <w:rPr>
          <w:rFonts w:ascii="Times New Roman" w:hAnsi="Times New Roman" w:cs="Times New Roman"/>
          <w:b/>
          <w:bCs/>
          <w:u w:val="single"/>
        </w:rPr>
        <w:t>Cost to the Federal Government</w:t>
      </w:r>
    </w:p>
    <w:p w:rsidR="00C81D40" w14:paraId="14AEBB48"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rsidR="00593C78" w14:paraId="0E537B79" w14:textId="3AFC97D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sidRPr="009622E5">
        <w:rPr>
          <w:rFonts w:ascii="Times New Roman" w:hAnsi="Times New Roman" w:cs="Times New Roman"/>
        </w:rPr>
        <w:t xml:space="preserve">The total cost to the </w:t>
      </w:r>
      <w:r w:rsidRPr="009622E5" w:rsidR="00FD2559">
        <w:rPr>
          <w:rFonts w:ascii="Times New Roman" w:hAnsi="Times New Roman" w:cs="Times New Roman"/>
        </w:rPr>
        <w:t xml:space="preserve">Federal </w:t>
      </w:r>
      <w:r w:rsidRPr="009622E5">
        <w:rPr>
          <w:rFonts w:ascii="Times New Roman" w:hAnsi="Times New Roman" w:cs="Times New Roman"/>
        </w:rPr>
        <w:t xml:space="preserve">Government </w:t>
      </w:r>
      <w:r w:rsidRPr="009622E5" w:rsidR="00DB10D1">
        <w:rPr>
          <w:rFonts w:ascii="Times New Roman" w:hAnsi="Times New Roman" w:cs="Times New Roman"/>
        </w:rPr>
        <w:t xml:space="preserve">for </w:t>
      </w:r>
      <w:r w:rsidRPr="009622E5">
        <w:rPr>
          <w:rFonts w:ascii="Times New Roman" w:hAnsi="Times New Roman" w:cs="Times New Roman"/>
        </w:rPr>
        <w:t>th</w:t>
      </w:r>
      <w:r w:rsidRPr="009622E5" w:rsidR="00FD2559">
        <w:rPr>
          <w:rFonts w:ascii="Times New Roman" w:hAnsi="Times New Roman" w:cs="Times New Roman"/>
        </w:rPr>
        <w:t>e Quarterly Financial Report</w:t>
      </w:r>
      <w:r w:rsidRPr="009622E5">
        <w:rPr>
          <w:rFonts w:ascii="Times New Roman" w:hAnsi="Times New Roman" w:cs="Times New Roman"/>
        </w:rPr>
        <w:t xml:space="preserve"> survey in fiscal year </w:t>
      </w:r>
      <w:r w:rsidRPr="009622E5" w:rsidR="0057152E">
        <w:rPr>
          <w:rFonts w:ascii="Times New Roman" w:hAnsi="Times New Roman" w:cs="Times New Roman"/>
        </w:rPr>
        <w:t>20</w:t>
      </w:r>
      <w:r w:rsidR="0057152E">
        <w:rPr>
          <w:rFonts w:ascii="Times New Roman" w:hAnsi="Times New Roman" w:cs="Times New Roman"/>
        </w:rPr>
        <w:t>24</w:t>
      </w:r>
      <w:r w:rsidRPr="009622E5" w:rsidR="0057152E">
        <w:rPr>
          <w:rFonts w:ascii="Times New Roman" w:hAnsi="Times New Roman" w:cs="Times New Roman"/>
        </w:rPr>
        <w:t xml:space="preserve"> </w:t>
      </w:r>
      <w:r w:rsidRPr="009622E5">
        <w:rPr>
          <w:rFonts w:ascii="Times New Roman" w:hAnsi="Times New Roman" w:cs="Times New Roman"/>
        </w:rPr>
        <w:t xml:space="preserve">is estimated to </w:t>
      </w:r>
      <w:r w:rsidRPr="00E82D7A">
        <w:rPr>
          <w:rFonts w:ascii="Times New Roman" w:hAnsi="Times New Roman" w:cs="Times New Roman"/>
        </w:rPr>
        <w:t>be $</w:t>
      </w:r>
      <w:r w:rsidRPr="00E82D7A" w:rsidR="001C3468">
        <w:rPr>
          <w:rFonts w:ascii="Times New Roman" w:hAnsi="Times New Roman" w:cs="Times New Roman"/>
        </w:rPr>
        <w:t>5.0</w:t>
      </w:r>
      <w:r w:rsidRPr="00E82D7A">
        <w:rPr>
          <w:rFonts w:ascii="Times New Roman" w:hAnsi="Times New Roman" w:cs="Times New Roman"/>
        </w:rPr>
        <w:t xml:space="preserve"> million.  This cost is borne by the Census Bureau. </w:t>
      </w:r>
      <w:r w:rsidRPr="00E82D7A" w:rsidR="009414D0">
        <w:rPr>
          <w:rFonts w:ascii="Times New Roman" w:hAnsi="Times New Roman" w:cs="Times New Roman"/>
        </w:rPr>
        <w:t xml:space="preserve">We expect the cost to be similar in fiscal years </w:t>
      </w:r>
      <w:r w:rsidRPr="00E82D7A" w:rsidR="0057152E">
        <w:rPr>
          <w:rFonts w:ascii="Times New Roman" w:hAnsi="Times New Roman" w:cs="Times New Roman"/>
        </w:rPr>
        <w:t>202</w:t>
      </w:r>
      <w:r w:rsidR="0057152E">
        <w:rPr>
          <w:rFonts w:ascii="Times New Roman" w:hAnsi="Times New Roman" w:cs="Times New Roman"/>
        </w:rPr>
        <w:t>5</w:t>
      </w:r>
      <w:r w:rsidRPr="00E82D7A" w:rsidR="0057152E">
        <w:rPr>
          <w:rFonts w:ascii="Times New Roman" w:hAnsi="Times New Roman" w:cs="Times New Roman"/>
        </w:rPr>
        <w:t xml:space="preserve"> </w:t>
      </w:r>
      <w:r w:rsidRPr="00E82D7A" w:rsidR="009414D0">
        <w:rPr>
          <w:rFonts w:ascii="Times New Roman" w:hAnsi="Times New Roman" w:cs="Times New Roman"/>
        </w:rPr>
        <w:t xml:space="preserve">and </w:t>
      </w:r>
      <w:r w:rsidRPr="00E82D7A" w:rsidR="0057152E">
        <w:rPr>
          <w:rFonts w:ascii="Times New Roman" w:hAnsi="Times New Roman" w:cs="Times New Roman"/>
        </w:rPr>
        <w:t>202</w:t>
      </w:r>
      <w:r w:rsidR="0057152E">
        <w:rPr>
          <w:rFonts w:ascii="Times New Roman" w:hAnsi="Times New Roman" w:cs="Times New Roman"/>
        </w:rPr>
        <w:t>6</w:t>
      </w:r>
      <w:r w:rsidRPr="00E82D7A" w:rsidR="009414D0">
        <w:rPr>
          <w:rFonts w:ascii="Times New Roman" w:hAnsi="Times New Roman" w:cs="Times New Roman"/>
        </w:rPr>
        <w:t xml:space="preserve">. </w:t>
      </w:r>
      <w:r w:rsidRPr="00E82D7A" w:rsidR="00FD2559">
        <w:rPr>
          <w:rFonts w:ascii="Times New Roman" w:hAnsi="Times New Roman" w:cs="Times New Roman"/>
        </w:rPr>
        <w:t>This estimate includes the cost for such things as data collection, processing, review of tabulated data, publication, equipment, overhead, printing, support staff, etc.</w:t>
      </w:r>
      <w:r w:rsidRPr="00E82D7A" w:rsidR="00B13D86">
        <w:rPr>
          <w:rFonts w:ascii="Times New Roman" w:hAnsi="Times New Roman" w:cs="Times New Roman"/>
        </w:rPr>
        <w:t xml:space="preserve">  However, the total cost does not include IT cost because it is now charged at the Bureau level.</w:t>
      </w:r>
    </w:p>
    <w:p w:rsidR="00AE3715" w:rsidRPr="0055737A" w14:paraId="33B47AEB" w14:textId="77777777">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rPr>
      </w:pPr>
    </w:p>
    <w:p w:rsidR="00593C78" w14:paraId="2DDC586C" w14:textId="77777777">
      <w:pPr>
        <w:pStyle w:val="Style0"/>
        <w:numPr>
          <w:ilvl w:val="0"/>
          <w:numId w:val="14"/>
        </w:numPr>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rPr>
          <w:rFonts w:ascii="Times New Roman" w:hAnsi="Times New Roman" w:cs="Times New Roman"/>
          <w:b/>
          <w:bCs/>
          <w:u w:val="single"/>
        </w:rPr>
      </w:pPr>
      <w:r>
        <w:rPr>
          <w:rFonts w:ascii="Times New Roman" w:hAnsi="Times New Roman" w:cs="Times New Roman"/>
          <w:b/>
          <w:bCs/>
          <w:u w:val="single"/>
        </w:rPr>
        <w:t>Reason for Change in Burden</w:t>
      </w:r>
    </w:p>
    <w:p w:rsidR="00593C78" w14:paraId="7938F2E9" w14:textId="3185BC6F">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rsidR="008B4517" w14:paraId="764F61B0" w14:textId="7407A6B2">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Cs/>
        </w:rPr>
      </w:pPr>
      <w:r>
        <w:rPr>
          <w:rFonts w:ascii="Times New Roman" w:hAnsi="Times New Roman" w:cs="Times New Roman"/>
          <w:bCs/>
        </w:rPr>
        <w:t>W</w:t>
      </w:r>
      <w:r w:rsidRPr="00E82D7A">
        <w:rPr>
          <w:rFonts w:ascii="Times New Roman" w:hAnsi="Times New Roman" w:cs="Times New Roman"/>
          <w:bCs/>
        </w:rPr>
        <w:t xml:space="preserve">e </w:t>
      </w:r>
      <w:r w:rsidRPr="00E82D7A" w:rsidR="00DD18E0">
        <w:rPr>
          <w:rFonts w:ascii="Times New Roman" w:hAnsi="Times New Roman" w:cs="Times New Roman"/>
          <w:bCs/>
        </w:rPr>
        <w:t xml:space="preserve">are adjusting the burden </w:t>
      </w:r>
      <w:r w:rsidR="00C004B2">
        <w:rPr>
          <w:rFonts w:ascii="Times New Roman" w:hAnsi="Times New Roman" w:cs="Times New Roman"/>
          <w:bCs/>
        </w:rPr>
        <w:t>down</w:t>
      </w:r>
      <w:r w:rsidRPr="00E82D7A" w:rsidR="00C004B2">
        <w:rPr>
          <w:rFonts w:ascii="Times New Roman" w:hAnsi="Times New Roman" w:cs="Times New Roman"/>
          <w:bCs/>
        </w:rPr>
        <w:t xml:space="preserve">ward </w:t>
      </w:r>
      <w:r w:rsidRPr="00E82D7A" w:rsidR="00DD18E0">
        <w:rPr>
          <w:rFonts w:ascii="Times New Roman" w:hAnsi="Times New Roman" w:cs="Times New Roman"/>
          <w:bCs/>
        </w:rPr>
        <w:t xml:space="preserve">by </w:t>
      </w:r>
      <w:r w:rsidR="00C004B2">
        <w:rPr>
          <w:rFonts w:ascii="Times New Roman" w:hAnsi="Times New Roman" w:cs="Times New Roman"/>
          <w:bCs/>
        </w:rPr>
        <w:t>1,788</w:t>
      </w:r>
      <w:r w:rsidRPr="00E82D7A" w:rsidR="00DD18E0">
        <w:rPr>
          <w:rFonts w:ascii="Times New Roman" w:hAnsi="Times New Roman" w:cs="Times New Roman"/>
          <w:bCs/>
        </w:rPr>
        <w:t xml:space="preserve"> hours to bring the new burden to </w:t>
      </w:r>
      <w:r w:rsidR="00C004B2">
        <w:rPr>
          <w:rFonts w:ascii="Times New Roman" w:hAnsi="Times New Roman" w:cs="Times New Roman"/>
          <w:bCs/>
        </w:rPr>
        <w:t>82,898</w:t>
      </w:r>
      <w:r w:rsidRPr="00E82D7A" w:rsidR="00DD18E0">
        <w:rPr>
          <w:rFonts w:ascii="Times New Roman" w:hAnsi="Times New Roman" w:cs="Times New Roman"/>
          <w:bCs/>
        </w:rPr>
        <w:t xml:space="preserve"> hours annually.</w:t>
      </w:r>
      <w:r w:rsidRPr="00E82D7A" w:rsidR="00E51BA8">
        <w:rPr>
          <w:rFonts w:ascii="Times New Roman" w:hAnsi="Times New Roman" w:cs="Times New Roman"/>
          <w:bCs/>
        </w:rPr>
        <w:t xml:space="preserve"> </w:t>
      </w:r>
      <w:r w:rsidRPr="00E82D7A" w:rsidR="00FA1E49">
        <w:rPr>
          <w:rFonts w:ascii="Times New Roman" w:hAnsi="Times New Roman" w:cs="Times New Roman"/>
          <w:bCs/>
        </w:rPr>
        <w:t>The</w:t>
      </w:r>
      <w:r w:rsidRPr="00E82D7A" w:rsidR="002762EC">
        <w:rPr>
          <w:rFonts w:ascii="Times New Roman" w:hAnsi="Times New Roman" w:cs="Times New Roman"/>
          <w:bCs/>
        </w:rPr>
        <w:t xml:space="preserve"> following table details that change. </w:t>
      </w:r>
    </w:p>
    <w:p w:rsidR="00854C2A" w14:paraId="20086FC7" w14:textId="77777777">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rsidR="00593C78" w14:paraId="18CBC005"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r>
        <w:rPr>
          <w:rFonts w:ascii="Times New Roman" w:hAnsi="Times New Roman" w:cs="Times New Roman"/>
        </w:rPr>
        <w:t xml:space="preserve">Change in Burden-Summary </w:t>
      </w:r>
    </w:p>
    <w:p w:rsidR="003E0109" w14:paraId="5B923E88" w14:textId="77777777">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p>
    <w:tbl>
      <w:tblPr>
        <w:tblW w:w="8647" w:type="dxa"/>
        <w:tblInd w:w="829"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tblPr>
      <w:tblGrid>
        <w:gridCol w:w="3735"/>
        <w:gridCol w:w="3375"/>
        <w:gridCol w:w="1537"/>
      </w:tblGrid>
      <w:tr w14:paraId="2E718D47" w14:textId="77777777" w:rsidTr="006B218D">
        <w:tblPrEx>
          <w:tblW w:w="8647" w:type="dxa"/>
          <w:tblInd w:w="829"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tblPrEx>
        <w:trPr>
          <w:cantSplit/>
          <w:trHeight w:val="732"/>
        </w:trPr>
        <w:tc>
          <w:tcPr>
            <w:tcW w:w="3735" w:type="dxa"/>
            <w:vAlign w:val="center"/>
          </w:tcPr>
          <w:p w:rsidR="00593C78" w:rsidP="0015768C" w14:paraId="1475C286"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Form</w:t>
            </w:r>
            <w:r w:rsidR="0015768C">
              <w:rPr>
                <w:rFonts w:ascii="Times New Roman" w:hAnsi="Times New Roman" w:cs="Times New Roman"/>
              </w:rPr>
              <w:t xml:space="preserve"> </w:t>
            </w:r>
            <w:r>
              <w:rPr>
                <w:rFonts w:ascii="Times New Roman" w:hAnsi="Times New Roman" w:cs="Times New Roman"/>
              </w:rPr>
              <w:t>Type</w:t>
            </w:r>
          </w:p>
        </w:tc>
        <w:tc>
          <w:tcPr>
            <w:tcW w:w="3375" w:type="dxa"/>
            <w:vAlign w:val="center"/>
          </w:tcPr>
          <w:p w:rsidR="00593C78" w:rsidP="0015768C" w14:paraId="04B43D5D" w14:textId="77777777">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Pr>
                <w:rFonts w:ascii="Times New Roman" w:hAnsi="Times New Roman" w:cs="Times New Roman"/>
              </w:rPr>
              <w:t>Description of</w:t>
            </w:r>
            <w:r w:rsidR="0015768C">
              <w:rPr>
                <w:rFonts w:ascii="Times New Roman" w:hAnsi="Times New Roman" w:cs="Times New Roman"/>
              </w:rPr>
              <w:t xml:space="preserve"> </w:t>
            </w:r>
            <w:r>
              <w:rPr>
                <w:rFonts w:ascii="Times New Roman" w:hAnsi="Times New Roman" w:cs="Times New Roman"/>
              </w:rPr>
              <w:t>Change</w:t>
            </w:r>
          </w:p>
        </w:tc>
        <w:tc>
          <w:tcPr>
            <w:tcW w:w="1537" w:type="dxa"/>
            <w:vAlign w:val="center"/>
          </w:tcPr>
          <w:p w:rsidR="00593C78" w:rsidP="0015768C" w14:paraId="11A2D27C" w14:textId="77777777">
            <w:pPr>
              <w:pStyle w:val="Style0"/>
              <w:tabs>
                <w:tab w:val="left" w:pos="-415"/>
                <w:tab w:val="left" w:pos="720"/>
              </w:tabs>
              <w:jc w:val="center"/>
              <w:rPr>
                <w:rFonts w:ascii="Times New Roman" w:hAnsi="Times New Roman" w:cs="Times New Roman"/>
                <w:sz w:val="20"/>
                <w:szCs w:val="20"/>
              </w:rPr>
            </w:pPr>
            <w:r>
              <w:rPr>
                <w:rFonts w:ascii="Times New Roman" w:hAnsi="Times New Roman" w:cs="Times New Roman"/>
              </w:rPr>
              <w:t>Difference in Burden Hours</w:t>
            </w:r>
          </w:p>
        </w:tc>
      </w:tr>
      <w:tr w14:paraId="10C5F46B" w14:textId="77777777" w:rsidTr="006B218D">
        <w:tblPrEx>
          <w:tblW w:w="8647" w:type="dxa"/>
          <w:tblInd w:w="829" w:type="dxa"/>
          <w:tblLayout w:type="fixed"/>
          <w:tblCellMar>
            <w:left w:w="0" w:type="dxa"/>
            <w:right w:w="0" w:type="dxa"/>
          </w:tblCellMar>
          <w:tblLook w:val="0000"/>
        </w:tblPrEx>
        <w:trPr>
          <w:cantSplit/>
          <w:trHeight w:val="530"/>
        </w:trPr>
        <w:tc>
          <w:tcPr>
            <w:tcW w:w="3735" w:type="dxa"/>
            <w:vAlign w:val="center"/>
          </w:tcPr>
          <w:p w:rsidR="00593C78" w:rsidP="0015768C" w14:paraId="5545B967"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QFR-200 (MT) Long Form</w:t>
            </w:r>
          </w:p>
        </w:tc>
        <w:tc>
          <w:tcPr>
            <w:tcW w:w="3375" w:type="dxa"/>
            <w:vAlign w:val="center"/>
          </w:tcPr>
          <w:p w:rsidR="00593C78" w14:paraId="6EE691BC" w14:textId="2A1B66A0">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Pr>
                <w:rFonts w:ascii="Times New Roman" w:hAnsi="Times New Roman" w:cs="Times New Roman"/>
              </w:rPr>
              <w:t>de</w:t>
            </w:r>
            <w:r w:rsidRPr="009622E5">
              <w:rPr>
                <w:rFonts w:ascii="Times New Roman" w:hAnsi="Times New Roman" w:cs="Times New Roman"/>
              </w:rPr>
              <w:t>crease</w:t>
            </w:r>
            <w:r>
              <w:rPr>
                <w:rFonts w:ascii="Times New Roman" w:hAnsi="Times New Roman" w:cs="Times New Roman"/>
              </w:rPr>
              <w:t xml:space="preserve"> in active corporations</w:t>
            </w:r>
          </w:p>
        </w:tc>
        <w:tc>
          <w:tcPr>
            <w:tcW w:w="1537" w:type="dxa"/>
            <w:vAlign w:val="center"/>
          </w:tcPr>
          <w:p w:rsidR="00593C78" w:rsidRPr="00927E2C" w:rsidP="0015768C" w14:paraId="1E71DA07" w14:textId="57E3D22E">
            <w:pPr>
              <w:tabs>
                <w:tab w:val="left" w:pos="-415"/>
                <w:tab w:val="left" w:pos="720"/>
              </w:tabs>
              <w:jc w:val="center"/>
            </w:pPr>
            <w:r>
              <w:t>-</w:t>
            </w:r>
            <w:r w:rsidR="00C004B2">
              <w:t>2,532</w:t>
            </w:r>
          </w:p>
        </w:tc>
      </w:tr>
      <w:tr w14:paraId="13870CB8" w14:textId="77777777" w:rsidTr="006B218D">
        <w:tblPrEx>
          <w:tblW w:w="8647" w:type="dxa"/>
          <w:tblInd w:w="829" w:type="dxa"/>
          <w:tblLayout w:type="fixed"/>
          <w:tblCellMar>
            <w:left w:w="0" w:type="dxa"/>
            <w:right w:w="0" w:type="dxa"/>
          </w:tblCellMar>
          <w:tblLook w:val="0000"/>
        </w:tblPrEx>
        <w:trPr>
          <w:cantSplit/>
          <w:trHeight w:val="530"/>
        </w:trPr>
        <w:tc>
          <w:tcPr>
            <w:tcW w:w="3735" w:type="dxa"/>
            <w:vAlign w:val="center"/>
          </w:tcPr>
          <w:p w:rsidR="00593C78" w:rsidP="0015768C" w14:paraId="153E775A" w14:textId="77777777">
            <w:pPr>
              <w:pStyle w:val="Style0"/>
              <w:tabs>
                <w:tab w:val="left" w:pos="-415"/>
                <w:tab w:val="left" w:pos="720"/>
                <w:tab w:val="left" w:pos="1440"/>
                <w:tab w:val="left" w:pos="2160"/>
                <w:tab w:val="left" w:pos="2880"/>
              </w:tabs>
              <w:jc w:val="center"/>
              <w:rPr>
                <w:rFonts w:ascii="Times New Roman" w:hAnsi="Times New Roman" w:cs="Times New Roman"/>
              </w:rPr>
            </w:pPr>
            <w:r>
              <w:rPr>
                <w:rFonts w:ascii="Times New Roman" w:hAnsi="Times New Roman" w:cs="Times New Roman"/>
              </w:rPr>
              <w:t>QFR-300 (S) Long Form</w:t>
            </w:r>
          </w:p>
        </w:tc>
        <w:tc>
          <w:tcPr>
            <w:tcW w:w="3375" w:type="dxa"/>
            <w:vAlign w:val="center"/>
          </w:tcPr>
          <w:p w:rsidR="00593C78" w:rsidRPr="009622E5" w:rsidP="0015768C" w14:paraId="6EC7E42F" w14:textId="069C1680">
            <w:pPr>
              <w:tabs>
                <w:tab w:val="left" w:pos="-415"/>
                <w:tab w:val="left" w:pos="720"/>
                <w:tab w:val="left" w:pos="1440"/>
                <w:tab w:val="left" w:pos="2160"/>
                <w:tab w:val="left" w:pos="2880"/>
                <w:tab w:val="left" w:pos="3600"/>
              </w:tabs>
            </w:pPr>
            <w:r w:rsidRPr="009622E5">
              <w:t xml:space="preserve"> </w:t>
            </w:r>
            <w:r w:rsidRPr="009622E5" w:rsidR="0078215F">
              <w:t xml:space="preserve"> </w:t>
            </w:r>
            <w:r w:rsidRPr="009622E5">
              <w:t xml:space="preserve">  </w:t>
            </w:r>
            <w:r w:rsidRPr="009622E5" w:rsidR="0078215F">
              <w:t>increase in active corporations</w:t>
            </w:r>
          </w:p>
        </w:tc>
        <w:tc>
          <w:tcPr>
            <w:tcW w:w="1537" w:type="dxa"/>
            <w:vAlign w:val="center"/>
          </w:tcPr>
          <w:p w:rsidR="00593C78" w:rsidRPr="009622E5" w14:paraId="0589D397" w14:textId="7A686EB7">
            <w:pPr>
              <w:pStyle w:val="Style0"/>
              <w:tabs>
                <w:tab w:val="left" w:pos="-415"/>
                <w:tab w:val="left" w:pos="720"/>
              </w:tabs>
              <w:jc w:val="center"/>
              <w:rPr>
                <w:rFonts w:ascii="Times New Roman" w:hAnsi="Times New Roman" w:cs="Times New Roman"/>
              </w:rPr>
            </w:pPr>
            <w:r>
              <w:rPr>
                <w:rFonts w:ascii="Times New Roman" w:hAnsi="Times New Roman" w:cs="Times New Roman"/>
              </w:rPr>
              <w:t>+1,272</w:t>
            </w:r>
          </w:p>
        </w:tc>
      </w:tr>
      <w:tr w14:paraId="6F89DFB2" w14:textId="77777777" w:rsidTr="006B218D">
        <w:tblPrEx>
          <w:tblW w:w="8647" w:type="dxa"/>
          <w:tblInd w:w="829" w:type="dxa"/>
          <w:tblLayout w:type="fixed"/>
          <w:tblCellMar>
            <w:left w:w="0" w:type="dxa"/>
            <w:right w:w="0" w:type="dxa"/>
          </w:tblCellMar>
          <w:tblLook w:val="0000"/>
        </w:tblPrEx>
        <w:trPr>
          <w:cantSplit/>
          <w:trHeight w:val="530"/>
        </w:trPr>
        <w:tc>
          <w:tcPr>
            <w:tcW w:w="3735" w:type="dxa"/>
            <w:vAlign w:val="center"/>
          </w:tcPr>
          <w:p w:rsidR="00593C78" w:rsidP="0015768C" w14:paraId="3EFF9F8C" w14:textId="77777777">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QFR-201 (MG) Short Form</w:t>
            </w:r>
          </w:p>
        </w:tc>
        <w:tc>
          <w:tcPr>
            <w:tcW w:w="3375" w:type="dxa"/>
            <w:vAlign w:val="center"/>
          </w:tcPr>
          <w:p w:rsidR="00593C78" w:rsidRPr="009622E5" w:rsidP="0015768C" w14:paraId="6F989A3E" w14:textId="1CEA5581">
            <w:pPr>
              <w:tabs>
                <w:tab w:val="left" w:pos="-415"/>
                <w:tab w:val="left" w:pos="720"/>
                <w:tab w:val="left" w:pos="1440"/>
                <w:tab w:val="left" w:pos="2160"/>
                <w:tab w:val="left" w:pos="2880"/>
                <w:tab w:val="left" w:pos="3600"/>
              </w:tabs>
              <w:jc w:val="center"/>
            </w:pPr>
            <w:r>
              <w:t>de</w:t>
            </w:r>
            <w:r w:rsidRPr="009622E5">
              <w:t>crease in active corporations</w:t>
            </w:r>
          </w:p>
        </w:tc>
        <w:tc>
          <w:tcPr>
            <w:tcW w:w="1537" w:type="dxa"/>
            <w:vAlign w:val="center"/>
          </w:tcPr>
          <w:p w:rsidR="00593C78" w:rsidRPr="009622E5" w:rsidP="000A0EBC" w14:paraId="4C623B4D" w14:textId="3DD3BF30">
            <w:pPr>
              <w:pStyle w:val="Style0"/>
              <w:tabs>
                <w:tab w:val="left" w:pos="-415"/>
                <w:tab w:val="left" w:pos="720"/>
              </w:tabs>
              <w:rPr>
                <w:rFonts w:ascii="Times New Roman" w:hAnsi="Times New Roman" w:cs="Times New Roman"/>
                <w:szCs w:val="20"/>
              </w:rPr>
            </w:pPr>
            <w:r>
              <w:rPr>
                <w:rFonts w:ascii="Times New Roman" w:hAnsi="Times New Roman" w:cs="Times New Roman"/>
                <w:szCs w:val="20"/>
              </w:rPr>
              <w:t xml:space="preserve"> </w:t>
            </w:r>
            <w:r w:rsidR="00674788">
              <w:rPr>
                <w:rFonts w:ascii="Times New Roman" w:hAnsi="Times New Roman" w:cs="Times New Roman"/>
                <w:szCs w:val="20"/>
              </w:rPr>
              <w:t xml:space="preserve">    </w:t>
            </w:r>
            <w:r w:rsidR="006E4C09">
              <w:rPr>
                <w:rFonts w:ascii="Times New Roman" w:hAnsi="Times New Roman" w:cs="Times New Roman"/>
                <w:szCs w:val="20"/>
              </w:rPr>
              <w:t xml:space="preserve">      </w:t>
            </w:r>
            <w:r w:rsidR="00C004B2">
              <w:rPr>
                <w:rFonts w:ascii="Times New Roman" w:hAnsi="Times New Roman" w:cs="Times New Roman"/>
                <w:szCs w:val="20"/>
              </w:rPr>
              <w:t>-528</w:t>
            </w:r>
            <w:r>
              <w:rPr>
                <w:rFonts w:ascii="Times New Roman" w:hAnsi="Times New Roman" w:cs="Times New Roman"/>
                <w:szCs w:val="20"/>
              </w:rPr>
              <w:t xml:space="preserve"> </w:t>
            </w:r>
          </w:p>
        </w:tc>
      </w:tr>
      <w:tr w14:paraId="694C7C47" w14:textId="77777777" w:rsidTr="006B218D">
        <w:tblPrEx>
          <w:tblW w:w="8647" w:type="dxa"/>
          <w:tblInd w:w="829" w:type="dxa"/>
          <w:tblLayout w:type="fixed"/>
          <w:tblCellMar>
            <w:left w:w="0" w:type="dxa"/>
            <w:right w:w="0" w:type="dxa"/>
          </w:tblCellMar>
          <w:tblLook w:val="0000"/>
        </w:tblPrEx>
        <w:trPr>
          <w:cantSplit/>
          <w:trHeight w:val="485"/>
        </w:trPr>
        <w:tc>
          <w:tcPr>
            <w:tcW w:w="7110" w:type="dxa"/>
            <w:gridSpan w:val="2"/>
            <w:vAlign w:val="center"/>
          </w:tcPr>
          <w:p w:rsidR="0015768C" w:rsidRPr="009622E5" w:rsidP="0015768C" w14:paraId="1757B0FE" w14:textId="77777777">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sidRPr="009622E5">
              <w:rPr>
                <w:rFonts w:ascii="Times New Roman" w:hAnsi="Times New Roman" w:cs="Times New Roman"/>
              </w:rPr>
              <w:t>Net Difference</w:t>
            </w:r>
          </w:p>
        </w:tc>
        <w:tc>
          <w:tcPr>
            <w:tcW w:w="1537" w:type="dxa"/>
            <w:vAlign w:val="center"/>
          </w:tcPr>
          <w:p w:rsidR="0015768C" w:rsidRPr="009622E5" w14:paraId="1A2DC788" w14:textId="4948A25B">
            <w:pPr>
              <w:pStyle w:val="Style0"/>
              <w:tabs>
                <w:tab w:val="left" w:pos="-415"/>
                <w:tab w:val="left" w:pos="720"/>
              </w:tabs>
              <w:jc w:val="center"/>
              <w:rPr>
                <w:rFonts w:ascii="Times New Roman" w:hAnsi="Times New Roman" w:cs="Times New Roman"/>
                <w:sz w:val="20"/>
                <w:szCs w:val="20"/>
              </w:rPr>
            </w:pPr>
            <w:r>
              <w:rPr>
                <w:rFonts w:ascii="Times New Roman" w:hAnsi="Times New Roman" w:cs="Times New Roman"/>
              </w:rPr>
              <w:t xml:space="preserve"> </w:t>
            </w:r>
            <w:r w:rsidR="00D42F4D">
              <w:rPr>
                <w:rFonts w:ascii="Times New Roman" w:hAnsi="Times New Roman" w:cs="Times New Roman"/>
              </w:rPr>
              <w:t xml:space="preserve">    </w:t>
            </w:r>
            <w:r w:rsidR="006E4C09">
              <w:rPr>
                <w:rFonts w:ascii="Times New Roman" w:hAnsi="Times New Roman" w:cs="Times New Roman"/>
              </w:rPr>
              <w:t xml:space="preserve">   </w:t>
            </w:r>
            <w:r w:rsidR="00C004B2">
              <w:rPr>
                <w:rFonts w:ascii="Times New Roman" w:hAnsi="Times New Roman" w:cs="Times New Roman"/>
              </w:rPr>
              <w:t>-1,788</w:t>
            </w:r>
          </w:p>
        </w:tc>
      </w:tr>
    </w:tbl>
    <w:p w:rsidR="00A1476B" w14:paraId="3648A1C3"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14:paraId="1B7273E2" w14:textId="5BA3260F">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E82D7A">
        <w:rPr>
          <w:rFonts w:ascii="Times New Roman" w:hAnsi="Times New Roman" w:cs="Times New Roman"/>
        </w:rPr>
        <w:t xml:space="preserve">The burden estimate </w:t>
      </w:r>
      <w:r w:rsidRPr="00E82D7A" w:rsidR="0085279F">
        <w:rPr>
          <w:rFonts w:ascii="Times New Roman" w:hAnsi="Times New Roman" w:cs="Times New Roman"/>
        </w:rPr>
        <w:t xml:space="preserve">of </w:t>
      </w:r>
      <w:r w:rsidR="00C004B2">
        <w:rPr>
          <w:rFonts w:ascii="Times New Roman" w:hAnsi="Times New Roman" w:cs="Times New Roman"/>
        </w:rPr>
        <w:t>82,898</w:t>
      </w:r>
      <w:r w:rsidRPr="00E82D7A" w:rsidR="0085279F">
        <w:rPr>
          <w:rFonts w:ascii="Times New Roman" w:hAnsi="Times New Roman" w:cs="Times New Roman"/>
        </w:rPr>
        <w:t xml:space="preserve"> hours</w:t>
      </w:r>
      <w:r w:rsidRPr="00E82D7A">
        <w:rPr>
          <w:rFonts w:ascii="Times New Roman" w:hAnsi="Times New Roman" w:cs="Times New Roman"/>
        </w:rPr>
        <w:t xml:space="preserve"> is based on the number of active corporations as of </w:t>
      </w:r>
      <w:r w:rsidRPr="00E82D7A" w:rsidR="00097253">
        <w:rPr>
          <w:rFonts w:ascii="Times New Roman" w:hAnsi="Times New Roman" w:cs="Times New Roman"/>
        </w:rPr>
        <w:t>third</w:t>
      </w:r>
      <w:r w:rsidRPr="00E82D7A" w:rsidR="007F124E">
        <w:rPr>
          <w:rFonts w:ascii="Times New Roman" w:hAnsi="Times New Roman" w:cs="Times New Roman"/>
        </w:rPr>
        <w:t xml:space="preserve"> </w:t>
      </w:r>
      <w:r w:rsidRPr="00E82D7A">
        <w:rPr>
          <w:rFonts w:ascii="Times New Roman" w:hAnsi="Times New Roman" w:cs="Times New Roman"/>
        </w:rPr>
        <w:t xml:space="preserve">quarter </w:t>
      </w:r>
      <w:r w:rsidR="00C004B2">
        <w:rPr>
          <w:rFonts w:ascii="Times New Roman" w:hAnsi="Times New Roman" w:cs="Times New Roman"/>
        </w:rPr>
        <w:t>2023</w:t>
      </w:r>
      <w:r w:rsidRPr="00E82D7A" w:rsidR="00A1476B">
        <w:rPr>
          <w:rFonts w:ascii="Times New Roman" w:hAnsi="Times New Roman" w:cs="Times New Roman"/>
        </w:rPr>
        <w:t xml:space="preserve">.  </w:t>
      </w:r>
      <w:r w:rsidRPr="00E82D7A" w:rsidR="0085279F">
        <w:rPr>
          <w:rFonts w:ascii="Times New Roman" w:hAnsi="Times New Roman" w:cs="Times New Roman"/>
        </w:rPr>
        <w:t xml:space="preserve">The new estimate is </w:t>
      </w:r>
      <w:r w:rsidRPr="00E82D7A" w:rsidR="00910D3E">
        <w:rPr>
          <w:rFonts w:ascii="Times New Roman" w:hAnsi="Times New Roman" w:cs="Times New Roman"/>
        </w:rPr>
        <w:t xml:space="preserve">a </w:t>
      </w:r>
      <w:bookmarkStart w:id="0" w:name="_Hlk156838527"/>
      <w:r w:rsidR="00C004B2">
        <w:rPr>
          <w:rFonts w:ascii="Times New Roman" w:hAnsi="Times New Roman" w:cs="Times New Roman"/>
        </w:rPr>
        <w:t>decrease</w:t>
      </w:r>
      <w:bookmarkEnd w:id="0"/>
      <w:r w:rsidRPr="00E82D7A" w:rsidR="00C004B2">
        <w:rPr>
          <w:rFonts w:ascii="Times New Roman" w:hAnsi="Times New Roman" w:cs="Times New Roman"/>
        </w:rPr>
        <w:t xml:space="preserve"> </w:t>
      </w:r>
      <w:r w:rsidRPr="00E82D7A" w:rsidR="0085279F">
        <w:rPr>
          <w:rFonts w:ascii="Times New Roman" w:hAnsi="Times New Roman" w:cs="Times New Roman"/>
        </w:rPr>
        <w:t xml:space="preserve">of about </w:t>
      </w:r>
      <w:r w:rsidR="00C004B2">
        <w:rPr>
          <w:rFonts w:ascii="Times New Roman" w:hAnsi="Times New Roman" w:cs="Times New Roman"/>
        </w:rPr>
        <w:t>2</w:t>
      </w:r>
      <w:r w:rsidRPr="00E82D7A" w:rsidR="0085279F">
        <w:rPr>
          <w:rFonts w:ascii="Times New Roman" w:hAnsi="Times New Roman" w:cs="Times New Roman"/>
        </w:rPr>
        <w:t xml:space="preserve">% from the previous estimate of </w:t>
      </w:r>
      <w:r w:rsidR="00C004B2">
        <w:rPr>
          <w:rFonts w:ascii="Times New Roman" w:hAnsi="Times New Roman" w:cs="Times New Roman"/>
        </w:rPr>
        <w:t xml:space="preserve">84,686 </w:t>
      </w:r>
      <w:r w:rsidRPr="00E82D7A" w:rsidR="0085279F">
        <w:rPr>
          <w:rFonts w:ascii="Times New Roman" w:hAnsi="Times New Roman" w:cs="Times New Roman"/>
        </w:rPr>
        <w:t>hours.</w:t>
      </w:r>
      <w:r w:rsidRPr="00E82D7A">
        <w:rPr>
          <w:rFonts w:ascii="Times New Roman" w:hAnsi="Times New Roman" w:cs="Times New Roman"/>
        </w:rPr>
        <w:t xml:space="preserve">  The </w:t>
      </w:r>
      <w:r w:rsidR="00C004B2">
        <w:rPr>
          <w:rFonts w:ascii="Times New Roman" w:hAnsi="Times New Roman" w:cs="Times New Roman"/>
        </w:rPr>
        <w:t>decrease</w:t>
      </w:r>
      <w:r w:rsidRPr="00E82D7A" w:rsidR="00AB0FE0">
        <w:rPr>
          <w:rFonts w:ascii="Times New Roman" w:hAnsi="Times New Roman" w:cs="Times New Roman"/>
        </w:rPr>
        <w:t xml:space="preserve"> </w:t>
      </w:r>
      <w:r w:rsidRPr="00E82D7A">
        <w:rPr>
          <w:rFonts w:ascii="Times New Roman" w:hAnsi="Times New Roman" w:cs="Times New Roman"/>
        </w:rPr>
        <w:t>associated with the QFR</w:t>
      </w:r>
      <w:r w:rsidRPr="00E82D7A" w:rsidR="00C15C05">
        <w:rPr>
          <w:rFonts w:ascii="Times New Roman" w:hAnsi="Times New Roman" w:cs="Times New Roman"/>
        </w:rPr>
        <w:t xml:space="preserve"> long form</w:t>
      </w:r>
      <w:r w:rsidRPr="00E82D7A" w:rsidR="00FD5ADB">
        <w:rPr>
          <w:rFonts w:ascii="Times New Roman" w:hAnsi="Times New Roman" w:cs="Times New Roman"/>
        </w:rPr>
        <w:t xml:space="preserve">s </w:t>
      </w:r>
      <w:r w:rsidRPr="00E82D7A" w:rsidR="00AB0FE0">
        <w:rPr>
          <w:rFonts w:ascii="Times New Roman" w:hAnsi="Times New Roman" w:cs="Times New Roman"/>
        </w:rPr>
        <w:t xml:space="preserve">is due to </w:t>
      </w:r>
      <w:r w:rsidRPr="00C004B2" w:rsidR="00C004B2">
        <w:rPr>
          <w:rFonts w:ascii="Times New Roman" w:hAnsi="Times New Roman" w:cs="Times New Roman"/>
        </w:rPr>
        <w:t>decrease</w:t>
      </w:r>
      <w:r w:rsidR="00C004B2">
        <w:rPr>
          <w:rFonts w:ascii="Times New Roman" w:hAnsi="Times New Roman" w:cs="Times New Roman"/>
        </w:rPr>
        <w:t>d</w:t>
      </w:r>
      <w:r w:rsidRPr="00E82D7A" w:rsidR="0085279F">
        <w:rPr>
          <w:rFonts w:ascii="Times New Roman" w:hAnsi="Times New Roman" w:cs="Times New Roman"/>
        </w:rPr>
        <w:t xml:space="preserve"> </w:t>
      </w:r>
      <w:r w:rsidRPr="00E82D7A">
        <w:rPr>
          <w:rFonts w:ascii="Times New Roman" w:hAnsi="Times New Roman" w:cs="Times New Roman"/>
        </w:rPr>
        <w:t>current estimate of active corporations for the manufacturing, mining, trade</w:t>
      </w:r>
      <w:r w:rsidRPr="00E82D7A" w:rsidR="00091B78">
        <w:rPr>
          <w:rFonts w:ascii="Times New Roman" w:hAnsi="Times New Roman" w:cs="Times New Roman"/>
        </w:rPr>
        <w:t>, and selected service</w:t>
      </w:r>
      <w:r w:rsidRPr="00E82D7A">
        <w:rPr>
          <w:rFonts w:ascii="Times New Roman" w:hAnsi="Times New Roman" w:cs="Times New Roman"/>
        </w:rPr>
        <w:t xml:space="preserve"> companies.  </w:t>
      </w:r>
      <w:r w:rsidRPr="005C5BF7">
        <w:rPr>
          <w:rFonts w:ascii="Times New Roman" w:hAnsi="Times New Roman" w:cs="Times New Roman"/>
        </w:rPr>
        <w:t xml:space="preserve">The </w:t>
      </w:r>
      <w:r w:rsidRPr="005C5BF7" w:rsidR="00C004B2">
        <w:rPr>
          <w:rFonts w:ascii="Times New Roman" w:hAnsi="Times New Roman" w:cs="Times New Roman"/>
        </w:rPr>
        <w:t>decrease</w:t>
      </w:r>
      <w:r w:rsidRPr="005C5BF7">
        <w:rPr>
          <w:rFonts w:ascii="Times New Roman" w:hAnsi="Times New Roman" w:cs="Times New Roman"/>
        </w:rPr>
        <w:t xml:space="preserve"> associated with the QFR short form is due</w:t>
      </w:r>
      <w:r w:rsidR="005C5BF7">
        <w:rPr>
          <w:rFonts w:ascii="Times New Roman" w:hAnsi="Times New Roman" w:cs="Times New Roman"/>
        </w:rPr>
        <w:t xml:space="preserve"> to</w:t>
      </w:r>
      <w:r w:rsidRPr="005C5BF7">
        <w:rPr>
          <w:rFonts w:ascii="Times New Roman" w:hAnsi="Times New Roman" w:cs="Times New Roman"/>
        </w:rPr>
        <w:t xml:space="preserve"> </w:t>
      </w:r>
      <w:r w:rsidRPr="005C5BF7" w:rsidR="00C004B2">
        <w:rPr>
          <w:rFonts w:ascii="Times New Roman" w:hAnsi="Times New Roman" w:cs="Times New Roman"/>
        </w:rPr>
        <w:t>decreased</w:t>
      </w:r>
      <w:r w:rsidRPr="005C5BF7" w:rsidR="001F56AC">
        <w:rPr>
          <w:rFonts w:ascii="Times New Roman" w:hAnsi="Times New Roman" w:cs="Times New Roman"/>
        </w:rPr>
        <w:t xml:space="preserve"> current estimate of active manufacturing corporations</w:t>
      </w:r>
      <w:r w:rsidRPr="005C5BF7">
        <w:rPr>
          <w:rFonts w:ascii="Times New Roman" w:hAnsi="Times New Roman" w:cs="Times New Roman"/>
        </w:rPr>
        <w:t>.</w:t>
      </w:r>
    </w:p>
    <w:p w:rsidR="00522DBF" w:rsidRPr="0079369E" w14:paraId="3FA15D0E"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pPr>
    </w:p>
    <w:p w:rsidR="00593C78" w14:paraId="2C7BBEC6" w14:textId="77777777">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b/>
          <w:bCs/>
          <w:u w:val="single"/>
        </w:rPr>
        <w:t>Project Schedule</w:t>
      </w:r>
    </w:p>
    <w:p w:rsidR="00593C78" w14:paraId="22527FDB" w14:textId="77777777">
      <w:pPr>
        <w:tabs>
          <w:tab w:val="left" w:pos="0"/>
          <w:tab w:val="left" w:pos="222"/>
          <w:tab w:val="left" w:pos="446"/>
          <w:tab w:val="left" w:pos="818"/>
          <w:tab w:val="left" w:pos="1264"/>
          <w:tab w:val="left" w:pos="1936"/>
          <w:tab w:val="left" w:pos="2656"/>
          <w:tab w:val="left" w:pos="3376"/>
          <w:tab w:val="left" w:pos="4096"/>
          <w:tab w:val="left" w:pos="4816"/>
          <w:tab w:val="left" w:pos="5536"/>
          <w:tab w:val="left" w:pos="6256"/>
          <w:tab w:val="left" w:pos="6976"/>
          <w:tab w:val="left" w:pos="7696"/>
          <w:tab w:val="left" w:pos="8416"/>
          <w:tab w:val="left" w:pos="9136"/>
          <w:tab w:val="left" w:pos="9856"/>
          <w:tab w:val="left" w:pos="10576"/>
          <w:tab w:val="left" w:pos="10800"/>
        </w:tabs>
        <w:ind w:left="222"/>
        <w:sectPr w:rsidSect="00D40063">
          <w:type w:val="continuous"/>
          <w:pgSz w:w="12240" w:h="15840"/>
          <w:pgMar w:top="1080" w:right="1440" w:bottom="360" w:left="1440" w:header="1440" w:footer="1440" w:gutter="0"/>
          <w:cols w:space="720"/>
        </w:sectPr>
      </w:pPr>
    </w:p>
    <w:p w:rsidR="00593C78" w14:paraId="51FFCACD" w14:textId="77777777">
      <w:pPr>
        <w:pStyle w:val="Style0"/>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Times New Roman"/>
        </w:rPr>
      </w:pPr>
    </w:p>
    <w:p w:rsidR="00593C78" w14:paraId="5D13F6EF" w14:textId="1441914C">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9622E5">
        <w:rPr>
          <w:rFonts w:ascii="Times New Roman" w:hAnsi="Times New Roman" w:cs="Times New Roman"/>
        </w:rPr>
        <w:t>Financial information collection commences with mailing of the appropriate form during the last month of the reporting quarter.</w:t>
      </w:r>
      <w:r>
        <w:rPr>
          <w:rFonts w:ascii="Times New Roman" w:hAnsi="Times New Roman" w:cs="Times New Roman"/>
        </w:rPr>
        <w:t xml:space="preserve">  All acceptable forms received are processed for inclusion in the current quarter publication.</w:t>
      </w:r>
    </w:p>
    <w:p w:rsidR="00593C78" w14:paraId="61F50E35"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rPr>
      </w:pPr>
    </w:p>
    <w:p w:rsidR="00593C78" w:rsidRPr="0079369E" w14:paraId="112EE9DD" w14:textId="336525BC">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79369E">
        <w:rPr>
          <w:rFonts w:ascii="Times New Roman" w:hAnsi="Times New Roman" w:cs="Times New Roman"/>
        </w:rPr>
        <w:t xml:space="preserve">QFR data are released approximately </w:t>
      </w:r>
      <w:r w:rsidRPr="009622E5" w:rsidR="00A27029">
        <w:rPr>
          <w:rFonts w:ascii="Times New Roman" w:hAnsi="Times New Roman" w:cs="Times New Roman"/>
        </w:rPr>
        <w:t>65</w:t>
      </w:r>
      <w:r w:rsidRPr="0079369E">
        <w:rPr>
          <w:rFonts w:ascii="Times New Roman" w:hAnsi="Times New Roman" w:cs="Times New Roman"/>
        </w:rPr>
        <w:t xml:space="preserve"> days after the end of the first, second, and third cale</w:t>
      </w:r>
      <w:r w:rsidR="009622E5">
        <w:rPr>
          <w:rFonts w:ascii="Times New Roman" w:hAnsi="Times New Roman" w:cs="Times New Roman"/>
        </w:rPr>
        <w:t xml:space="preserve">ndar quarters and approximately </w:t>
      </w:r>
      <w:r w:rsidRPr="009622E5" w:rsidR="006302DF">
        <w:rPr>
          <w:rFonts w:ascii="Times New Roman" w:hAnsi="Times New Roman" w:cs="Times New Roman"/>
        </w:rPr>
        <w:t>80</w:t>
      </w:r>
      <w:r w:rsidRPr="0079369E">
        <w:rPr>
          <w:rFonts w:ascii="Times New Roman" w:hAnsi="Times New Roman" w:cs="Times New Roman"/>
        </w:rPr>
        <w:t xml:space="preserve"> days after the end of the fourth calendar quarter.  </w:t>
      </w:r>
    </w:p>
    <w:p w:rsidR="00593C78" w14:paraId="4FCE7842" w14:textId="77777777">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14:paraId="3EE865ED" w14:textId="77777777">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cs="Times New Roman"/>
        </w:rPr>
      </w:pPr>
      <w:r>
        <w:rPr>
          <w:rFonts w:ascii="Times New Roman" w:hAnsi="Times New Roman" w:cs="Times New Roman"/>
        </w:rPr>
        <w:t>For reporting purposes, retail trade corporations’ quarters have been staggered by one month.  The published data include information on the most recently closed quarter and the preceding four quarters for the</w:t>
      </w:r>
      <w:r>
        <w:rPr>
          <w:rFonts w:ascii="CG Times" w:hAnsi="CG Times" w:cs="Times New Roman"/>
        </w:rPr>
        <w:t xml:space="preserve"> manufacturing, mining,</w:t>
      </w:r>
      <w:r w:rsidR="007F124E">
        <w:rPr>
          <w:rFonts w:ascii="CG Times" w:hAnsi="CG Times" w:cs="Times New Roman"/>
        </w:rPr>
        <w:t xml:space="preserve"> </w:t>
      </w:r>
      <w:r>
        <w:rPr>
          <w:rFonts w:ascii="CG Times" w:hAnsi="CG Times" w:cs="Times New Roman"/>
        </w:rPr>
        <w:t>wholesale trade,</w:t>
      </w:r>
      <w:r w:rsidR="007F124E">
        <w:rPr>
          <w:rFonts w:ascii="CG Times" w:hAnsi="CG Times" w:cs="Times New Roman"/>
        </w:rPr>
        <w:t xml:space="preserve"> </w:t>
      </w:r>
      <w:r>
        <w:rPr>
          <w:rFonts w:ascii="CG Times" w:hAnsi="CG Times" w:cs="Times New Roman"/>
        </w:rPr>
        <w:t xml:space="preserve">and selected service sectors.  </w:t>
      </w:r>
    </w:p>
    <w:p w:rsidR="00D40063" w14:paraId="749B08CA"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p w:rsidR="00593C78" w14:paraId="7AAD2976" w14:textId="690BB179">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The following table indicates the four reporting quarters for the surveyed business sectors in terms of the month in which any given surveyed corporation's fiscal quarter ends:</w:t>
      </w:r>
    </w:p>
    <w:p w:rsidR="006E0160" w:rsidP="00EF2FB6" w14:paraId="601C8C46"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tbl>
      <w:tblPr>
        <w:tblW w:w="0" w:type="auto"/>
        <w:tblInd w:w="1157"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tblPr>
      <w:tblGrid>
        <w:gridCol w:w="1182"/>
        <w:gridCol w:w="3558"/>
        <w:gridCol w:w="3373"/>
      </w:tblGrid>
      <w:tr w14:paraId="6C6BF43F" w14:textId="77777777" w:rsidTr="00A835C9">
        <w:tblPrEx>
          <w:tblW w:w="0" w:type="auto"/>
          <w:tblInd w:w="1157"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tblPrEx>
        <w:trPr>
          <w:trHeight w:val="375"/>
        </w:trPr>
        <w:tc>
          <w:tcPr>
            <w:tcW w:w="8208" w:type="dxa"/>
            <w:gridSpan w:val="3"/>
            <w:shd w:val="clear" w:color="auto" w:fill="auto"/>
            <w:vAlign w:val="center"/>
          </w:tcPr>
          <w:p w:rsidR="00EF2FB6" w:rsidRPr="009D74FC" w:rsidP="009D74FC" w14:paraId="423E55BC" w14:textId="77777777">
            <w:pPr>
              <w:jc w:val="center"/>
              <w:rPr>
                <w:rFonts w:eastAsia="Calibri"/>
              </w:rPr>
            </w:pPr>
            <w:r w:rsidRPr="009D74FC">
              <w:rPr>
                <w:rFonts w:eastAsia="Calibri"/>
              </w:rPr>
              <w:t>Reporting Quarters for Surveyed Business Sectors *</w:t>
            </w:r>
          </w:p>
        </w:tc>
      </w:tr>
      <w:tr w14:paraId="4284BABD" w14:textId="77777777" w:rsidTr="00A835C9">
        <w:tblPrEx>
          <w:tblW w:w="0" w:type="auto"/>
          <w:tblInd w:w="1157" w:type="dxa"/>
          <w:tblLook w:val="04A0"/>
        </w:tblPrEx>
        <w:trPr>
          <w:trHeight w:val="989"/>
        </w:trPr>
        <w:tc>
          <w:tcPr>
            <w:tcW w:w="1188" w:type="dxa"/>
            <w:shd w:val="clear" w:color="auto" w:fill="auto"/>
            <w:vAlign w:val="center"/>
          </w:tcPr>
          <w:p w:rsidR="00EF2FB6" w:rsidRPr="009D74FC" w:rsidP="009D74FC" w14:paraId="048604C2" w14:textId="77777777">
            <w:pPr>
              <w:jc w:val="center"/>
              <w:rPr>
                <w:rFonts w:eastAsia="Calibri"/>
              </w:rPr>
            </w:pPr>
            <w:r w:rsidRPr="009D74FC">
              <w:rPr>
                <w:rFonts w:eastAsia="Calibri"/>
              </w:rPr>
              <w:t>QFR Quarter</w:t>
            </w:r>
          </w:p>
        </w:tc>
        <w:tc>
          <w:tcPr>
            <w:tcW w:w="3600" w:type="dxa"/>
            <w:shd w:val="clear" w:color="auto" w:fill="auto"/>
            <w:vAlign w:val="center"/>
          </w:tcPr>
          <w:p w:rsidR="00EF2FB6" w:rsidRPr="009D74FC" w:rsidP="009D74FC" w14:paraId="2471414C" w14:textId="77777777">
            <w:pPr>
              <w:jc w:val="center"/>
              <w:rPr>
                <w:rFonts w:eastAsia="Calibri"/>
              </w:rPr>
            </w:pPr>
            <w:r w:rsidRPr="009D74FC">
              <w:rPr>
                <w:rFonts w:eastAsia="Calibri"/>
              </w:rPr>
              <w:t>Manufacturing, Mining, Wholesale Trade, and Selected Services</w:t>
            </w:r>
          </w:p>
        </w:tc>
        <w:tc>
          <w:tcPr>
            <w:tcW w:w="3420" w:type="dxa"/>
            <w:shd w:val="clear" w:color="auto" w:fill="auto"/>
            <w:vAlign w:val="center"/>
          </w:tcPr>
          <w:p w:rsidR="00EF2FB6" w:rsidRPr="009D74FC" w:rsidP="009D74FC" w14:paraId="27E2CAA4" w14:textId="77777777">
            <w:pPr>
              <w:jc w:val="center"/>
              <w:rPr>
                <w:rFonts w:eastAsia="Calibri"/>
              </w:rPr>
            </w:pPr>
            <w:r w:rsidRPr="009D74FC">
              <w:rPr>
                <w:rFonts w:eastAsia="Calibri"/>
              </w:rPr>
              <w:t>Retail Trade</w:t>
            </w:r>
          </w:p>
        </w:tc>
      </w:tr>
      <w:tr w14:paraId="63B06014" w14:textId="77777777" w:rsidTr="00A835C9">
        <w:tblPrEx>
          <w:tblW w:w="0" w:type="auto"/>
          <w:tblInd w:w="1157" w:type="dxa"/>
          <w:tblLook w:val="04A0"/>
        </w:tblPrEx>
        <w:trPr>
          <w:trHeight w:val="350"/>
        </w:trPr>
        <w:tc>
          <w:tcPr>
            <w:tcW w:w="1188" w:type="dxa"/>
            <w:shd w:val="clear" w:color="auto" w:fill="auto"/>
            <w:vAlign w:val="center"/>
          </w:tcPr>
          <w:p w:rsidR="00EF2FB6" w:rsidRPr="009D74FC" w:rsidP="00FD5ADB" w14:paraId="78FCB13C" w14:textId="77777777">
            <w:pPr>
              <w:rPr>
                <w:rFonts w:eastAsia="Calibri"/>
              </w:rPr>
            </w:pPr>
            <w:r w:rsidRPr="009D74FC">
              <w:rPr>
                <w:rFonts w:eastAsia="Calibri"/>
              </w:rPr>
              <w:t>First</w:t>
            </w:r>
          </w:p>
        </w:tc>
        <w:tc>
          <w:tcPr>
            <w:tcW w:w="3600" w:type="dxa"/>
            <w:shd w:val="clear" w:color="auto" w:fill="auto"/>
            <w:vAlign w:val="center"/>
          </w:tcPr>
          <w:p w:rsidR="00EF2FB6" w:rsidRPr="009D74FC" w:rsidP="00FD5ADB" w14:paraId="11283D11" w14:textId="77777777">
            <w:pPr>
              <w:rPr>
                <w:rFonts w:eastAsia="Calibri"/>
              </w:rPr>
            </w:pPr>
            <w:r w:rsidRPr="009D74FC">
              <w:rPr>
                <w:rFonts w:eastAsia="Calibri"/>
              </w:rPr>
              <w:t>January, February, or March</w:t>
            </w:r>
          </w:p>
        </w:tc>
        <w:tc>
          <w:tcPr>
            <w:tcW w:w="3420" w:type="dxa"/>
            <w:shd w:val="clear" w:color="auto" w:fill="auto"/>
            <w:vAlign w:val="center"/>
          </w:tcPr>
          <w:p w:rsidR="00EF2FB6" w:rsidRPr="009D74FC" w:rsidP="00FD5ADB" w14:paraId="4FBB68CD" w14:textId="77777777">
            <w:pPr>
              <w:rPr>
                <w:rFonts w:eastAsia="Calibri"/>
              </w:rPr>
            </w:pPr>
            <w:r w:rsidRPr="009D74FC">
              <w:rPr>
                <w:rFonts w:eastAsia="Calibri"/>
              </w:rPr>
              <w:t>February, March, or April</w:t>
            </w:r>
          </w:p>
        </w:tc>
      </w:tr>
      <w:tr w14:paraId="68050FE2" w14:textId="77777777" w:rsidTr="00A835C9">
        <w:tblPrEx>
          <w:tblW w:w="0" w:type="auto"/>
          <w:tblInd w:w="1157" w:type="dxa"/>
          <w:tblLook w:val="04A0"/>
        </w:tblPrEx>
        <w:trPr>
          <w:trHeight w:val="341"/>
        </w:trPr>
        <w:tc>
          <w:tcPr>
            <w:tcW w:w="1188" w:type="dxa"/>
            <w:shd w:val="clear" w:color="auto" w:fill="auto"/>
            <w:vAlign w:val="center"/>
          </w:tcPr>
          <w:p w:rsidR="00EF2FB6" w:rsidRPr="009D74FC" w:rsidP="00FD5ADB" w14:paraId="0062D6C8" w14:textId="77777777">
            <w:pPr>
              <w:rPr>
                <w:rFonts w:eastAsia="Calibri"/>
              </w:rPr>
            </w:pPr>
            <w:r w:rsidRPr="009D74FC">
              <w:rPr>
                <w:rFonts w:eastAsia="Calibri"/>
              </w:rPr>
              <w:t>Second</w:t>
            </w:r>
          </w:p>
        </w:tc>
        <w:tc>
          <w:tcPr>
            <w:tcW w:w="3600" w:type="dxa"/>
            <w:shd w:val="clear" w:color="auto" w:fill="auto"/>
            <w:vAlign w:val="center"/>
          </w:tcPr>
          <w:p w:rsidR="00EF2FB6" w:rsidRPr="009D74FC" w:rsidP="00FD5ADB" w14:paraId="6AD65F44" w14:textId="77777777">
            <w:pPr>
              <w:rPr>
                <w:rFonts w:eastAsia="Calibri"/>
              </w:rPr>
            </w:pPr>
            <w:r w:rsidRPr="009D74FC">
              <w:rPr>
                <w:rFonts w:eastAsia="Calibri"/>
              </w:rPr>
              <w:t>April, May, or June</w:t>
            </w:r>
          </w:p>
        </w:tc>
        <w:tc>
          <w:tcPr>
            <w:tcW w:w="3420" w:type="dxa"/>
            <w:shd w:val="clear" w:color="auto" w:fill="auto"/>
            <w:vAlign w:val="center"/>
          </w:tcPr>
          <w:p w:rsidR="00EF2FB6" w:rsidRPr="009D74FC" w:rsidP="00FD5ADB" w14:paraId="3D119EC7" w14:textId="77777777">
            <w:pPr>
              <w:rPr>
                <w:rFonts w:eastAsia="Calibri"/>
              </w:rPr>
            </w:pPr>
            <w:r w:rsidRPr="009D74FC">
              <w:rPr>
                <w:rFonts w:eastAsia="Calibri"/>
              </w:rPr>
              <w:t>May, June, or July</w:t>
            </w:r>
          </w:p>
        </w:tc>
      </w:tr>
      <w:tr w14:paraId="552A8D63" w14:textId="77777777" w:rsidTr="00A835C9">
        <w:tblPrEx>
          <w:tblW w:w="0" w:type="auto"/>
          <w:tblInd w:w="1157" w:type="dxa"/>
          <w:tblLook w:val="04A0"/>
        </w:tblPrEx>
        <w:trPr>
          <w:trHeight w:val="359"/>
        </w:trPr>
        <w:tc>
          <w:tcPr>
            <w:tcW w:w="1188" w:type="dxa"/>
            <w:shd w:val="clear" w:color="auto" w:fill="auto"/>
            <w:vAlign w:val="center"/>
          </w:tcPr>
          <w:p w:rsidR="00EF2FB6" w:rsidRPr="009D74FC" w:rsidP="00FD5ADB" w14:paraId="253F37E8" w14:textId="77777777">
            <w:pPr>
              <w:rPr>
                <w:rFonts w:eastAsia="Calibri"/>
              </w:rPr>
            </w:pPr>
            <w:r w:rsidRPr="009D74FC">
              <w:rPr>
                <w:rFonts w:eastAsia="Calibri"/>
              </w:rPr>
              <w:t>Third</w:t>
            </w:r>
          </w:p>
        </w:tc>
        <w:tc>
          <w:tcPr>
            <w:tcW w:w="3600" w:type="dxa"/>
            <w:shd w:val="clear" w:color="auto" w:fill="auto"/>
            <w:vAlign w:val="center"/>
          </w:tcPr>
          <w:p w:rsidR="00EF2FB6" w:rsidRPr="009D74FC" w:rsidP="00FD5ADB" w14:paraId="05507ADA" w14:textId="77777777">
            <w:pPr>
              <w:rPr>
                <w:rFonts w:eastAsia="Calibri"/>
              </w:rPr>
            </w:pPr>
            <w:r w:rsidRPr="009D74FC">
              <w:rPr>
                <w:rFonts w:eastAsia="Calibri"/>
              </w:rPr>
              <w:t>July, August, or September</w:t>
            </w:r>
          </w:p>
        </w:tc>
        <w:tc>
          <w:tcPr>
            <w:tcW w:w="3420" w:type="dxa"/>
            <w:shd w:val="clear" w:color="auto" w:fill="auto"/>
            <w:vAlign w:val="center"/>
          </w:tcPr>
          <w:p w:rsidR="00EF2FB6" w:rsidRPr="009D74FC" w:rsidP="00FD5ADB" w14:paraId="7B85C02E" w14:textId="77777777">
            <w:pPr>
              <w:rPr>
                <w:rFonts w:eastAsia="Calibri"/>
              </w:rPr>
            </w:pPr>
            <w:r w:rsidRPr="009D74FC">
              <w:rPr>
                <w:rFonts w:eastAsia="Calibri"/>
              </w:rPr>
              <w:t>August, September, or October</w:t>
            </w:r>
          </w:p>
        </w:tc>
      </w:tr>
      <w:tr w14:paraId="34C33E13" w14:textId="77777777" w:rsidTr="00A835C9">
        <w:tblPrEx>
          <w:tblW w:w="0" w:type="auto"/>
          <w:tblInd w:w="1157" w:type="dxa"/>
          <w:tblLook w:val="04A0"/>
        </w:tblPrEx>
        <w:trPr>
          <w:trHeight w:val="341"/>
        </w:trPr>
        <w:tc>
          <w:tcPr>
            <w:tcW w:w="1188" w:type="dxa"/>
            <w:shd w:val="clear" w:color="auto" w:fill="auto"/>
            <w:vAlign w:val="center"/>
          </w:tcPr>
          <w:p w:rsidR="00EF2FB6" w:rsidRPr="009D74FC" w:rsidP="00FD5ADB" w14:paraId="5C7EDF5D" w14:textId="77777777">
            <w:pPr>
              <w:rPr>
                <w:rFonts w:eastAsia="Calibri"/>
              </w:rPr>
            </w:pPr>
            <w:r w:rsidRPr="009D74FC">
              <w:rPr>
                <w:rFonts w:eastAsia="Calibri"/>
              </w:rPr>
              <w:t>Fourth</w:t>
            </w:r>
          </w:p>
        </w:tc>
        <w:tc>
          <w:tcPr>
            <w:tcW w:w="3600" w:type="dxa"/>
            <w:shd w:val="clear" w:color="auto" w:fill="auto"/>
            <w:vAlign w:val="center"/>
          </w:tcPr>
          <w:p w:rsidR="00EF2FB6" w:rsidRPr="009D74FC" w:rsidP="00FD5ADB" w14:paraId="0A4BC8CE" w14:textId="77777777">
            <w:pPr>
              <w:rPr>
                <w:rFonts w:eastAsia="Calibri"/>
              </w:rPr>
            </w:pPr>
            <w:r w:rsidRPr="009D74FC">
              <w:rPr>
                <w:rFonts w:eastAsia="Calibri"/>
              </w:rPr>
              <w:t>October, November, or December</w:t>
            </w:r>
          </w:p>
        </w:tc>
        <w:tc>
          <w:tcPr>
            <w:tcW w:w="3420" w:type="dxa"/>
            <w:shd w:val="clear" w:color="auto" w:fill="auto"/>
            <w:vAlign w:val="center"/>
          </w:tcPr>
          <w:p w:rsidR="00EF2FB6" w:rsidRPr="009D74FC" w:rsidP="00FD5ADB" w14:paraId="18634E65" w14:textId="004CD03D">
            <w:pPr>
              <w:rPr>
                <w:rFonts w:eastAsia="Calibri"/>
              </w:rPr>
            </w:pPr>
            <w:r w:rsidRPr="009D74FC">
              <w:rPr>
                <w:rFonts w:eastAsia="Calibri"/>
              </w:rPr>
              <w:t xml:space="preserve">November, </w:t>
            </w:r>
            <w:r w:rsidRPr="009D74FC" w:rsidR="00340D7B">
              <w:rPr>
                <w:rFonts w:eastAsia="Calibri"/>
              </w:rPr>
              <w:t>December,</w:t>
            </w:r>
            <w:r w:rsidRPr="009D74FC">
              <w:rPr>
                <w:rFonts w:eastAsia="Calibri"/>
              </w:rPr>
              <w:t xml:space="preserve"> or January</w:t>
            </w:r>
          </w:p>
        </w:tc>
      </w:tr>
    </w:tbl>
    <w:p w:rsidR="00593C78" w:rsidP="00EF2FB6" w14:paraId="41314062" w14:textId="77777777">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ab/>
      </w:r>
    </w:p>
    <w:p w:rsidR="00593C78" w14:paraId="197FD582" w14:textId="77777777">
      <w:pPr>
        <w:pStyle w:val="Style0"/>
        <w:tabs>
          <w:tab w:val="left" w:pos="-1"/>
          <w:tab w:val="left" w:pos="1560"/>
          <w:tab w:val="left" w:pos="4314"/>
          <w:tab w:val="left" w:pos="4916"/>
          <w:tab w:val="left" w:pos="5636"/>
          <w:tab w:val="left" w:pos="6356"/>
          <w:tab w:val="left" w:pos="7076"/>
          <w:tab w:val="left" w:pos="7796"/>
          <w:tab w:val="left" w:pos="8516"/>
          <w:tab w:val="left" w:pos="9236"/>
          <w:tab w:val="left" w:pos="9900"/>
          <w:tab w:val="left" w:pos="10676"/>
          <w:tab w:val="left" w:pos="10798"/>
        </w:tabs>
        <w:ind w:left="1560"/>
        <w:rPr>
          <w:rFonts w:ascii="Times New Roman" w:hAnsi="Times New Roman" w:cs="Times New Roman"/>
        </w:rPr>
      </w:pPr>
      <w:r>
        <w:rPr>
          <w:rFonts w:ascii="Times New Roman" w:hAnsi="Times New Roman" w:cs="Times New Roman"/>
        </w:rPr>
        <w:t>*Coverage is for corporations whose quarter ends as shown.</w:t>
      </w:r>
    </w:p>
    <w:p w:rsidR="00593C78" w14:paraId="582E90E6" w14:textId="77777777">
      <w:pPr>
        <w:pStyle w:val="Style0"/>
        <w:tabs>
          <w:tab w:val="left" w:pos="0"/>
          <w:tab w:val="left" w:pos="1562"/>
          <w:tab w:val="left" w:pos="3123"/>
          <w:tab w:val="left" w:pos="5877"/>
          <w:tab w:val="left" w:pos="6480"/>
          <w:tab w:val="left" w:pos="7200"/>
          <w:tab w:val="left" w:pos="7920"/>
          <w:tab w:val="left" w:pos="8640"/>
          <w:tab w:val="left" w:pos="9360"/>
          <w:tab w:val="left" w:pos="10080"/>
          <w:tab w:val="left" w:pos="10800"/>
          <w:tab w:val="left" w:pos="11464"/>
        </w:tabs>
        <w:rPr>
          <w:rFonts w:ascii="Times New Roman" w:hAnsi="Times New Roman" w:cs="Times New Roman"/>
        </w:rPr>
      </w:pPr>
    </w:p>
    <w:p w:rsidR="00593C78" w14:paraId="0D79BBFF"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rPr>
        <w:t>Special preliminary tabulations for BEA are derived from all forms received and processed within the first 45 days after the close of each calendar quarter.</w:t>
      </w:r>
    </w:p>
    <w:p w:rsidR="00593C78" w14:paraId="122DE375"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rPr>
      </w:pPr>
    </w:p>
    <w:p w:rsidR="00593C78" w14:paraId="057BAD5D"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17.</w:t>
      </w:r>
      <w:r>
        <w:rPr>
          <w:rFonts w:ascii="Times New Roman" w:hAnsi="Times New Roman" w:cs="Times New Roman"/>
          <w:b/>
          <w:bCs/>
        </w:rPr>
        <w:tab/>
      </w:r>
      <w:r>
        <w:rPr>
          <w:rFonts w:ascii="Times New Roman" w:hAnsi="Times New Roman" w:cs="Times New Roman"/>
          <w:b/>
          <w:bCs/>
          <w:u w:val="single"/>
        </w:rPr>
        <w:t>Request to Not Display Expiration Date</w:t>
      </w:r>
    </w:p>
    <w:p w:rsidR="00593C78" w14:paraId="74B6828D" w14:textId="6C79898F">
      <w:r>
        <w:rPr>
          <w:lang w:val="en-CA"/>
        </w:rPr>
        <w:fldChar w:fldCharType="begin"/>
      </w:r>
      <w:r>
        <w:rPr>
          <w:lang w:val="en-CA"/>
        </w:rPr>
        <w:instrText xml:space="preserve"> SEQ CHAPTER \h \r 1</w:instrText>
      </w:r>
      <w:r>
        <w:rPr>
          <w:lang w:val="en-CA"/>
        </w:rPr>
        <w:fldChar w:fldCharType="separate"/>
      </w:r>
      <w:r>
        <w:rPr>
          <w:lang w:val="en-CA"/>
        </w:rPr>
        <w:fldChar w:fldCharType="end"/>
      </w:r>
    </w:p>
    <w:p w:rsidR="00593C78" w14:paraId="18BB5D27" w14:textId="77777777">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r>
        <w:rPr>
          <w:rFonts w:ascii="Times New Roman" w:hAnsi="Times New Roman" w:cs="Times New Roman"/>
        </w:rPr>
        <w:t>We display the expiration date on the collection form</w:t>
      </w:r>
      <w:r w:rsidR="007D7770">
        <w:rPr>
          <w:rFonts w:ascii="Times New Roman" w:hAnsi="Times New Roman" w:cs="Times New Roman"/>
        </w:rPr>
        <w:t xml:space="preserve"> and </w:t>
      </w:r>
      <w:r w:rsidR="0092107C">
        <w:rPr>
          <w:rFonts w:ascii="Times New Roman" w:hAnsi="Times New Roman" w:cs="Times New Roman"/>
        </w:rPr>
        <w:t>C</w:t>
      </w:r>
      <w:r w:rsidRPr="0092107C" w:rsidR="007D7770">
        <w:rPr>
          <w:rFonts w:ascii="Times New Roman" w:hAnsi="Times New Roman" w:cs="Times New Roman"/>
        </w:rPr>
        <w:t>enturion</w:t>
      </w:r>
      <w:r w:rsidRPr="0092107C">
        <w:rPr>
          <w:rFonts w:ascii="Times New Roman" w:hAnsi="Times New Roman" w:cs="Times New Roman"/>
        </w:rPr>
        <w:t>.</w:t>
      </w:r>
    </w:p>
    <w:p w:rsidR="00522DBF" w14:paraId="66F15371" w14:textId="77777777">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p>
    <w:p w:rsidR="00593C78" w14:paraId="531B11AE" w14:textId="77777777">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18.</w:t>
      </w:r>
      <w:r>
        <w:rPr>
          <w:rFonts w:ascii="Times New Roman" w:hAnsi="Times New Roman" w:cs="Times New Roman"/>
          <w:b/>
          <w:bCs/>
        </w:rPr>
        <w:tab/>
      </w:r>
      <w:r>
        <w:rPr>
          <w:rFonts w:ascii="Times New Roman" w:hAnsi="Times New Roman" w:cs="Times New Roman"/>
          <w:b/>
          <w:bCs/>
          <w:u w:val="single"/>
        </w:rPr>
        <w:t>Exception to the Certification</w:t>
      </w:r>
    </w:p>
    <w:p w:rsidR="00593C78" w14:paraId="5082352C" w14:textId="77777777">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72"/>
        <w:rPr>
          <w:rFonts w:ascii="CG Times" w:hAnsi="CG Times"/>
        </w:rPr>
      </w:pPr>
    </w:p>
    <w:p w:rsidR="00593C78" w14:paraId="2E3EC794"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rPr>
        <w:t>There are no exceptions.</w:t>
      </w:r>
    </w:p>
    <w:p w:rsidR="00593C78" w14:paraId="397B5680"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rsidR="00593C78" w14:paraId="4BB24F41"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b/>
          <w:bCs/>
        </w:rPr>
      </w:pPr>
      <w:r>
        <w:rPr>
          <w:rFonts w:ascii="Times New Roman" w:hAnsi="Times New Roman" w:cs="Times New Roman"/>
          <w:b/>
          <w:bCs/>
        </w:rPr>
        <w:t>19.</w:t>
      </w:r>
      <w:r>
        <w:rPr>
          <w:rFonts w:ascii="Times New Roman" w:hAnsi="Times New Roman" w:cs="Times New Roman"/>
          <w:b/>
          <w:bCs/>
        </w:rPr>
        <w:tab/>
      </w:r>
      <w:r>
        <w:rPr>
          <w:rFonts w:ascii="Times New Roman" w:hAnsi="Times New Roman" w:cs="Times New Roman"/>
          <w:b/>
          <w:bCs/>
          <w:u w:val="single"/>
        </w:rPr>
        <w:t>North American Industry Classification System (NAICS)</w:t>
      </w:r>
    </w:p>
    <w:p w:rsidR="00593C78" w14:paraId="129759E4" w14:textId="77777777">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2B6A02" w:rsidP="007310B7" w14:paraId="1EA32672" w14:textId="6C92A392">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rPr>
        <w:t xml:space="preserve">The QFR survey converted to the NAICS in </w:t>
      </w:r>
      <w:r w:rsidRPr="000F0AE2">
        <w:rPr>
          <w:rFonts w:ascii="Times New Roman" w:hAnsi="Times New Roman" w:cs="Times New Roman"/>
        </w:rPr>
        <w:t>April 200</w:t>
      </w:r>
      <w:r w:rsidR="000F0AE2">
        <w:rPr>
          <w:rFonts w:ascii="Times New Roman" w:hAnsi="Times New Roman" w:cs="Times New Roman"/>
        </w:rPr>
        <w:t>2</w:t>
      </w:r>
      <w:r>
        <w:rPr>
          <w:rFonts w:ascii="Times New Roman" w:hAnsi="Times New Roman" w:cs="Times New Roman"/>
        </w:rPr>
        <w:t xml:space="preserve"> with the publication of the </w:t>
      </w:r>
      <w:r w:rsidR="000F0AE2">
        <w:rPr>
          <w:rFonts w:ascii="Times New Roman" w:hAnsi="Times New Roman" w:cs="Times New Roman"/>
        </w:rPr>
        <w:t>fourth quarter 2001</w:t>
      </w:r>
      <w:r w:rsidRPr="0027157D">
        <w:rPr>
          <w:rFonts w:ascii="Times New Roman" w:hAnsi="Times New Roman" w:cs="Times New Roman"/>
          <w:color w:val="FF0000"/>
        </w:rPr>
        <w:t xml:space="preserve"> </w:t>
      </w:r>
      <w:r>
        <w:rPr>
          <w:rFonts w:ascii="Times New Roman" w:hAnsi="Times New Roman" w:cs="Times New Roman"/>
        </w:rPr>
        <w:t xml:space="preserve">data.  </w:t>
      </w:r>
    </w:p>
    <w:p w:rsidR="008E32CA" w:rsidP="007310B7" w14:paraId="509A0CC7"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p>
    <w:p w:rsidR="005E2C2D" w:rsidP="007310B7" w14:paraId="5A50D9A2"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p>
    <w:p w:rsidR="00593C78" w14:paraId="6ABA1169" w14:textId="77777777">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r>
        <w:t>The survey covers the following NAICS sectors:</w:t>
      </w:r>
    </w:p>
    <w:p w:rsidR="00593C78" w14:paraId="7F3AE91E" w14:textId="77777777">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p>
    <w:tbl>
      <w:tblPr>
        <w:tblW w:w="0" w:type="auto"/>
        <w:tblInd w:w="1706"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tblPr>
      <w:tblGrid>
        <w:gridCol w:w="2538"/>
        <w:gridCol w:w="3420"/>
      </w:tblGrid>
      <w:tr w14:paraId="4F1A419A" w14:textId="77777777" w:rsidTr="003D7613">
        <w:tblPrEx>
          <w:tblW w:w="0" w:type="auto"/>
          <w:tblInd w:w="1706"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tblPrEx>
        <w:trPr>
          <w:trHeight w:val="348"/>
        </w:trPr>
        <w:tc>
          <w:tcPr>
            <w:tcW w:w="2538" w:type="dxa"/>
            <w:shd w:val="clear" w:color="auto" w:fill="auto"/>
            <w:vAlign w:val="center"/>
          </w:tcPr>
          <w:p w:rsidR="00254EB3" w:rsidRPr="009D74FC" w:rsidP="009D74FC" w14:paraId="120E2D65" w14:textId="77777777">
            <w:pPr>
              <w:jc w:val="center"/>
              <w:rPr>
                <w:rFonts w:eastAsia="Calibri"/>
              </w:rPr>
            </w:pPr>
            <w:r w:rsidRPr="009D74FC">
              <w:rPr>
                <w:rFonts w:eastAsia="Calibri"/>
              </w:rPr>
              <w:t>Title</w:t>
            </w:r>
          </w:p>
        </w:tc>
        <w:tc>
          <w:tcPr>
            <w:tcW w:w="3420" w:type="dxa"/>
            <w:shd w:val="clear" w:color="auto" w:fill="auto"/>
            <w:vAlign w:val="center"/>
          </w:tcPr>
          <w:p w:rsidR="00254EB3" w:rsidRPr="009D74FC" w:rsidP="009D74FC" w14:paraId="44F03B28" w14:textId="77777777">
            <w:pPr>
              <w:jc w:val="center"/>
              <w:rPr>
                <w:rFonts w:eastAsia="Calibri"/>
              </w:rPr>
            </w:pPr>
            <w:r w:rsidRPr="009D74FC">
              <w:rPr>
                <w:rFonts w:eastAsia="Calibri"/>
              </w:rPr>
              <w:t>2-digit NAICS Sector</w:t>
            </w:r>
          </w:p>
        </w:tc>
      </w:tr>
      <w:tr w14:paraId="32CBB8D8" w14:textId="77777777" w:rsidTr="003D7613">
        <w:tblPrEx>
          <w:tblW w:w="0" w:type="auto"/>
          <w:tblInd w:w="1706" w:type="dxa"/>
          <w:tblLook w:val="04A0"/>
        </w:tblPrEx>
        <w:trPr>
          <w:trHeight w:val="359"/>
        </w:trPr>
        <w:tc>
          <w:tcPr>
            <w:tcW w:w="2538" w:type="dxa"/>
            <w:shd w:val="clear" w:color="auto" w:fill="auto"/>
            <w:vAlign w:val="center"/>
          </w:tcPr>
          <w:p w:rsidR="00254EB3" w:rsidRPr="009D74FC" w:rsidP="00FD5ADB" w14:paraId="3D538324" w14:textId="77777777">
            <w:pPr>
              <w:rPr>
                <w:rFonts w:eastAsia="Calibri"/>
              </w:rPr>
            </w:pPr>
            <w:r w:rsidRPr="009D74FC">
              <w:rPr>
                <w:rFonts w:eastAsia="Calibri"/>
              </w:rPr>
              <w:t>Mining</w:t>
            </w:r>
          </w:p>
        </w:tc>
        <w:tc>
          <w:tcPr>
            <w:tcW w:w="3420" w:type="dxa"/>
            <w:shd w:val="clear" w:color="auto" w:fill="auto"/>
            <w:vAlign w:val="center"/>
          </w:tcPr>
          <w:p w:rsidR="00254EB3" w:rsidRPr="009D74FC" w:rsidP="00FD5ADB" w14:paraId="47DADFE2" w14:textId="77777777">
            <w:pPr>
              <w:jc w:val="center"/>
              <w:rPr>
                <w:rFonts w:eastAsia="Calibri"/>
              </w:rPr>
            </w:pPr>
            <w:r w:rsidRPr="009D74FC">
              <w:rPr>
                <w:rFonts w:eastAsia="Calibri"/>
              </w:rPr>
              <w:t>21</w:t>
            </w:r>
          </w:p>
        </w:tc>
      </w:tr>
      <w:tr w14:paraId="027E64A2" w14:textId="77777777" w:rsidTr="003D7613">
        <w:tblPrEx>
          <w:tblW w:w="0" w:type="auto"/>
          <w:tblInd w:w="1706" w:type="dxa"/>
          <w:tblLook w:val="04A0"/>
        </w:tblPrEx>
        <w:trPr>
          <w:trHeight w:val="341"/>
        </w:trPr>
        <w:tc>
          <w:tcPr>
            <w:tcW w:w="2538" w:type="dxa"/>
            <w:shd w:val="clear" w:color="auto" w:fill="auto"/>
            <w:vAlign w:val="center"/>
          </w:tcPr>
          <w:p w:rsidR="00254EB3" w:rsidRPr="009D74FC" w:rsidP="00FD5ADB" w14:paraId="4C7F04D8" w14:textId="77777777">
            <w:pPr>
              <w:rPr>
                <w:rFonts w:eastAsia="Calibri"/>
              </w:rPr>
            </w:pPr>
            <w:r w:rsidRPr="009D74FC">
              <w:rPr>
                <w:rFonts w:eastAsia="Calibri"/>
              </w:rPr>
              <w:t>Manufacturing</w:t>
            </w:r>
          </w:p>
        </w:tc>
        <w:tc>
          <w:tcPr>
            <w:tcW w:w="3420" w:type="dxa"/>
            <w:shd w:val="clear" w:color="auto" w:fill="auto"/>
            <w:vAlign w:val="center"/>
          </w:tcPr>
          <w:p w:rsidR="00254EB3" w:rsidRPr="009D74FC" w:rsidP="00FD5ADB" w14:paraId="3FE9AC29" w14:textId="77777777">
            <w:pPr>
              <w:jc w:val="center"/>
              <w:rPr>
                <w:rFonts w:eastAsia="Calibri"/>
              </w:rPr>
            </w:pPr>
            <w:r w:rsidRPr="009D74FC">
              <w:rPr>
                <w:rFonts w:eastAsia="Calibri"/>
              </w:rPr>
              <w:t>31-33</w:t>
            </w:r>
          </w:p>
        </w:tc>
      </w:tr>
      <w:tr w14:paraId="5E8C2C75" w14:textId="77777777" w:rsidTr="003D7613">
        <w:tblPrEx>
          <w:tblW w:w="0" w:type="auto"/>
          <w:tblInd w:w="1706" w:type="dxa"/>
          <w:tblLook w:val="04A0"/>
        </w:tblPrEx>
        <w:trPr>
          <w:trHeight w:val="359"/>
        </w:trPr>
        <w:tc>
          <w:tcPr>
            <w:tcW w:w="2538" w:type="dxa"/>
            <w:shd w:val="clear" w:color="auto" w:fill="auto"/>
            <w:vAlign w:val="center"/>
          </w:tcPr>
          <w:p w:rsidR="00254EB3" w:rsidRPr="009D74FC" w:rsidP="00FD5ADB" w14:paraId="45E7561F" w14:textId="77777777">
            <w:pPr>
              <w:rPr>
                <w:rFonts w:eastAsia="Calibri"/>
              </w:rPr>
            </w:pPr>
            <w:r w:rsidRPr="009D74FC">
              <w:rPr>
                <w:rFonts w:eastAsia="Calibri"/>
              </w:rPr>
              <w:t>Wholesale trade</w:t>
            </w:r>
          </w:p>
        </w:tc>
        <w:tc>
          <w:tcPr>
            <w:tcW w:w="3420" w:type="dxa"/>
            <w:shd w:val="clear" w:color="auto" w:fill="auto"/>
            <w:vAlign w:val="center"/>
          </w:tcPr>
          <w:p w:rsidR="00254EB3" w:rsidRPr="009D74FC" w:rsidP="00FD5ADB" w14:paraId="56DFB0BD" w14:textId="77777777">
            <w:pPr>
              <w:jc w:val="center"/>
              <w:rPr>
                <w:rFonts w:eastAsia="Calibri"/>
              </w:rPr>
            </w:pPr>
            <w:r w:rsidRPr="009D74FC">
              <w:rPr>
                <w:rFonts w:eastAsia="Calibri"/>
              </w:rPr>
              <w:t>42</w:t>
            </w:r>
          </w:p>
        </w:tc>
      </w:tr>
      <w:tr w14:paraId="612C854A" w14:textId="77777777" w:rsidTr="003D7613">
        <w:tblPrEx>
          <w:tblW w:w="0" w:type="auto"/>
          <w:tblInd w:w="1706" w:type="dxa"/>
          <w:tblLook w:val="04A0"/>
        </w:tblPrEx>
        <w:trPr>
          <w:trHeight w:val="341"/>
        </w:trPr>
        <w:tc>
          <w:tcPr>
            <w:tcW w:w="2538" w:type="dxa"/>
            <w:shd w:val="clear" w:color="auto" w:fill="auto"/>
            <w:vAlign w:val="center"/>
          </w:tcPr>
          <w:p w:rsidR="00254EB3" w:rsidRPr="009D74FC" w:rsidP="00FD5ADB" w14:paraId="429270A0" w14:textId="77777777">
            <w:pPr>
              <w:rPr>
                <w:rFonts w:eastAsia="Calibri"/>
              </w:rPr>
            </w:pPr>
            <w:r w:rsidRPr="009D74FC">
              <w:rPr>
                <w:rFonts w:eastAsia="Calibri"/>
              </w:rPr>
              <w:t>Retail trade</w:t>
            </w:r>
          </w:p>
        </w:tc>
        <w:tc>
          <w:tcPr>
            <w:tcW w:w="3420" w:type="dxa"/>
            <w:shd w:val="clear" w:color="auto" w:fill="auto"/>
            <w:vAlign w:val="center"/>
          </w:tcPr>
          <w:p w:rsidR="00254EB3" w:rsidRPr="009D74FC" w:rsidP="00FD5ADB" w14:paraId="06F78817" w14:textId="77777777">
            <w:pPr>
              <w:jc w:val="center"/>
              <w:rPr>
                <w:rFonts w:eastAsia="Calibri"/>
              </w:rPr>
            </w:pPr>
            <w:r w:rsidRPr="009D74FC">
              <w:rPr>
                <w:rFonts w:eastAsia="Calibri"/>
              </w:rPr>
              <w:t>44-45</w:t>
            </w:r>
          </w:p>
        </w:tc>
      </w:tr>
      <w:tr w14:paraId="756DB1A4" w14:textId="77777777" w:rsidTr="003D7613">
        <w:tblPrEx>
          <w:tblW w:w="0" w:type="auto"/>
          <w:tblInd w:w="1706" w:type="dxa"/>
          <w:tblLook w:val="04A0"/>
        </w:tblPrEx>
        <w:trPr>
          <w:trHeight w:val="359"/>
        </w:trPr>
        <w:tc>
          <w:tcPr>
            <w:tcW w:w="2538" w:type="dxa"/>
            <w:shd w:val="clear" w:color="auto" w:fill="auto"/>
            <w:vAlign w:val="center"/>
          </w:tcPr>
          <w:p w:rsidR="00254EB3" w:rsidRPr="009D74FC" w:rsidP="00FD5ADB" w14:paraId="040244CC" w14:textId="77777777">
            <w:pPr>
              <w:rPr>
                <w:rFonts w:eastAsia="Calibri"/>
              </w:rPr>
            </w:pPr>
            <w:r w:rsidRPr="009D74FC">
              <w:rPr>
                <w:rFonts w:eastAsia="Calibri"/>
              </w:rPr>
              <w:t>Selected Services</w:t>
            </w:r>
          </w:p>
        </w:tc>
        <w:tc>
          <w:tcPr>
            <w:tcW w:w="3420" w:type="dxa"/>
            <w:shd w:val="clear" w:color="auto" w:fill="auto"/>
            <w:vAlign w:val="center"/>
          </w:tcPr>
          <w:p w:rsidR="00254EB3" w:rsidRPr="009D74FC" w:rsidP="00FD5ADB" w14:paraId="66160293" w14:textId="77777777">
            <w:pPr>
              <w:jc w:val="center"/>
              <w:rPr>
                <w:rFonts w:eastAsia="Calibri"/>
              </w:rPr>
            </w:pPr>
            <w:r w:rsidRPr="009D74FC">
              <w:rPr>
                <w:rFonts w:eastAsia="Calibri"/>
              </w:rPr>
              <w:t>51, 54 (except 541)</w:t>
            </w:r>
          </w:p>
        </w:tc>
      </w:tr>
    </w:tbl>
    <w:p w:rsidR="00593C78" w:rsidP="00AE3715" w14:paraId="0C44E488" w14:textId="77777777">
      <w:pPr>
        <w:pStyle w:val="Style0"/>
        <w:tabs>
          <w:tab w:val="left" w:pos="0"/>
          <w:tab w:val="left" w:pos="1860"/>
          <w:tab w:val="left" w:pos="2656"/>
          <w:tab w:val="left" w:pos="3180"/>
          <w:tab w:val="left" w:pos="3900"/>
          <w:tab w:val="left" w:pos="4620"/>
          <w:tab w:val="left" w:pos="5340"/>
          <w:tab w:val="left" w:pos="6060"/>
          <w:tab w:val="left" w:pos="6780"/>
          <w:tab w:val="left" w:pos="7500"/>
          <w:tab w:val="left" w:pos="8220"/>
          <w:tab w:val="left" w:pos="8940"/>
          <w:tab w:val="left" w:pos="9360"/>
          <w:tab w:val="left" w:pos="10080"/>
          <w:tab w:val="left" w:pos="10800"/>
        </w:tabs>
        <w:rPr>
          <w:rFonts w:ascii="Times New Roman" w:hAnsi="Times New Roman" w:cs="Times New Roman"/>
        </w:rPr>
      </w:pPr>
    </w:p>
    <w:sectPr w:rsidSect="00D40063">
      <w:type w:val="continuous"/>
      <w:pgSz w:w="12240" w:h="15840"/>
      <w:pgMar w:top="1080" w:right="1440" w:bottom="36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86" w14:paraId="49D842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0286" w14:paraId="088EEA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86" w14:paraId="258CE0EA" w14:textId="31BC4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540">
      <w:rPr>
        <w:rStyle w:val="PageNumber"/>
        <w:noProof/>
      </w:rPr>
      <w:t>11</w:t>
    </w:r>
    <w:r>
      <w:rPr>
        <w:rStyle w:val="PageNumber"/>
      </w:rPr>
      <w:fldChar w:fldCharType="end"/>
    </w:r>
  </w:p>
  <w:p w:rsidR="00470286" w14:paraId="289D3A5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6613D"/>
    <w:multiLevelType w:val="hybridMultilevel"/>
    <w:tmpl w:val="BE72A8A8"/>
    <w:lvl w:ilvl="0">
      <w:start w:val="1"/>
      <w:numFmt w:val="decimal"/>
      <w:lvlText w:val="(%1)"/>
      <w:lvlJc w:val="left"/>
      <w:pPr>
        <w:tabs>
          <w:tab w:val="num" w:pos="1605"/>
        </w:tabs>
        <w:ind w:left="1605" w:hanging="360"/>
      </w:pPr>
      <w:rPr>
        <w:rFonts w:hint="default"/>
      </w:rPr>
    </w:lvl>
    <w:lvl w:ilvl="1" w:tentative="1">
      <w:start w:val="1"/>
      <w:numFmt w:val="lowerLetter"/>
      <w:lvlText w:val="%2."/>
      <w:lvlJc w:val="left"/>
      <w:pPr>
        <w:tabs>
          <w:tab w:val="num" w:pos="2325"/>
        </w:tabs>
        <w:ind w:left="2325" w:hanging="360"/>
      </w:pPr>
    </w:lvl>
    <w:lvl w:ilvl="2" w:tentative="1">
      <w:start w:val="1"/>
      <w:numFmt w:val="lowerRoman"/>
      <w:lvlText w:val="%3."/>
      <w:lvlJc w:val="right"/>
      <w:pPr>
        <w:tabs>
          <w:tab w:val="num" w:pos="3045"/>
        </w:tabs>
        <w:ind w:left="3045" w:hanging="180"/>
      </w:pPr>
    </w:lvl>
    <w:lvl w:ilvl="3" w:tentative="1">
      <w:start w:val="1"/>
      <w:numFmt w:val="decimal"/>
      <w:lvlText w:val="%4."/>
      <w:lvlJc w:val="left"/>
      <w:pPr>
        <w:tabs>
          <w:tab w:val="num" w:pos="3765"/>
        </w:tabs>
        <w:ind w:left="3765" w:hanging="360"/>
      </w:pPr>
    </w:lvl>
    <w:lvl w:ilvl="4" w:tentative="1">
      <w:start w:val="1"/>
      <w:numFmt w:val="lowerLetter"/>
      <w:lvlText w:val="%5."/>
      <w:lvlJc w:val="left"/>
      <w:pPr>
        <w:tabs>
          <w:tab w:val="num" w:pos="4485"/>
        </w:tabs>
        <w:ind w:left="4485" w:hanging="360"/>
      </w:pPr>
    </w:lvl>
    <w:lvl w:ilvl="5" w:tentative="1">
      <w:start w:val="1"/>
      <w:numFmt w:val="lowerRoman"/>
      <w:lvlText w:val="%6."/>
      <w:lvlJc w:val="right"/>
      <w:pPr>
        <w:tabs>
          <w:tab w:val="num" w:pos="5205"/>
        </w:tabs>
        <w:ind w:left="5205" w:hanging="180"/>
      </w:pPr>
    </w:lvl>
    <w:lvl w:ilvl="6" w:tentative="1">
      <w:start w:val="1"/>
      <w:numFmt w:val="decimal"/>
      <w:lvlText w:val="%7."/>
      <w:lvlJc w:val="left"/>
      <w:pPr>
        <w:tabs>
          <w:tab w:val="num" w:pos="5925"/>
        </w:tabs>
        <w:ind w:left="5925" w:hanging="360"/>
      </w:pPr>
    </w:lvl>
    <w:lvl w:ilvl="7" w:tentative="1">
      <w:start w:val="1"/>
      <w:numFmt w:val="lowerLetter"/>
      <w:lvlText w:val="%8."/>
      <w:lvlJc w:val="left"/>
      <w:pPr>
        <w:tabs>
          <w:tab w:val="num" w:pos="6645"/>
        </w:tabs>
        <w:ind w:left="6645" w:hanging="360"/>
      </w:pPr>
    </w:lvl>
    <w:lvl w:ilvl="8" w:tentative="1">
      <w:start w:val="1"/>
      <w:numFmt w:val="lowerRoman"/>
      <w:lvlText w:val="%9."/>
      <w:lvlJc w:val="right"/>
      <w:pPr>
        <w:tabs>
          <w:tab w:val="num" w:pos="7365"/>
        </w:tabs>
        <w:ind w:left="7365" w:hanging="180"/>
      </w:pPr>
    </w:lvl>
  </w:abstractNum>
  <w:abstractNum w:abstractNumId="1">
    <w:nsid w:val="0E10398E"/>
    <w:multiLevelType w:val="hybridMultilevel"/>
    <w:tmpl w:val="25B2623C"/>
    <w:lvl w:ilvl="0">
      <w:start w:val="1"/>
      <w:numFmt w:val="upperLetter"/>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2B1988"/>
    <w:multiLevelType w:val="hybridMultilevel"/>
    <w:tmpl w:val="4CA6F5AC"/>
    <w:lvl w:ilvl="0">
      <w:start w:val="15"/>
      <w:numFmt w:val="decimal"/>
      <w:lvlText w:val="%1."/>
      <w:lvlJc w:val="left"/>
      <w:pPr>
        <w:tabs>
          <w:tab w:val="num" w:pos="1207"/>
        </w:tabs>
        <w:ind w:left="1207" w:hanging="540"/>
      </w:pPr>
      <w:rPr>
        <w:rFonts w:hint="default"/>
        <w:u w:val="none"/>
      </w:rPr>
    </w:lvl>
    <w:lvl w:ilvl="1" w:tentative="1">
      <w:start w:val="1"/>
      <w:numFmt w:val="lowerLetter"/>
      <w:lvlText w:val="%2."/>
      <w:lvlJc w:val="left"/>
      <w:pPr>
        <w:tabs>
          <w:tab w:val="num" w:pos="1747"/>
        </w:tabs>
        <w:ind w:left="1747" w:hanging="360"/>
      </w:pPr>
    </w:lvl>
    <w:lvl w:ilvl="2" w:tentative="1">
      <w:start w:val="1"/>
      <w:numFmt w:val="lowerRoman"/>
      <w:lvlText w:val="%3."/>
      <w:lvlJc w:val="right"/>
      <w:pPr>
        <w:tabs>
          <w:tab w:val="num" w:pos="2467"/>
        </w:tabs>
        <w:ind w:left="2467" w:hanging="180"/>
      </w:pPr>
    </w:lvl>
    <w:lvl w:ilvl="3" w:tentative="1">
      <w:start w:val="1"/>
      <w:numFmt w:val="decimal"/>
      <w:lvlText w:val="%4."/>
      <w:lvlJc w:val="left"/>
      <w:pPr>
        <w:tabs>
          <w:tab w:val="num" w:pos="3187"/>
        </w:tabs>
        <w:ind w:left="3187" w:hanging="360"/>
      </w:pPr>
    </w:lvl>
    <w:lvl w:ilvl="4" w:tentative="1">
      <w:start w:val="1"/>
      <w:numFmt w:val="lowerLetter"/>
      <w:lvlText w:val="%5."/>
      <w:lvlJc w:val="left"/>
      <w:pPr>
        <w:tabs>
          <w:tab w:val="num" w:pos="3907"/>
        </w:tabs>
        <w:ind w:left="3907" w:hanging="360"/>
      </w:pPr>
    </w:lvl>
    <w:lvl w:ilvl="5" w:tentative="1">
      <w:start w:val="1"/>
      <w:numFmt w:val="lowerRoman"/>
      <w:lvlText w:val="%6."/>
      <w:lvlJc w:val="right"/>
      <w:pPr>
        <w:tabs>
          <w:tab w:val="num" w:pos="4627"/>
        </w:tabs>
        <w:ind w:left="4627" w:hanging="180"/>
      </w:pPr>
    </w:lvl>
    <w:lvl w:ilvl="6" w:tentative="1">
      <w:start w:val="1"/>
      <w:numFmt w:val="decimal"/>
      <w:lvlText w:val="%7."/>
      <w:lvlJc w:val="left"/>
      <w:pPr>
        <w:tabs>
          <w:tab w:val="num" w:pos="5347"/>
        </w:tabs>
        <w:ind w:left="5347" w:hanging="360"/>
      </w:pPr>
    </w:lvl>
    <w:lvl w:ilvl="7" w:tentative="1">
      <w:start w:val="1"/>
      <w:numFmt w:val="lowerLetter"/>
      <w:lvlText w:val="%8."/>
      <w:lvlJc w:val="left"/>
      <w:pPr>
        <w:tabs>
          <w:tab w:val="num" w:pos="6067"/>
        </w:tabs>
        <w:ind w:left="6067" w:hanging="360"/>
      </w:pPr>
    </w:lvl>
    <w:lvl w:ilvl="8" w:tentative="1">
      <w:start w:val="1"/>
      <w:numFmt w:val="lowerRoman"/>
      <w:lvlText w:val="%9."/>
      <w:lvlJc w:val="right"/>
      <w:pPr>
        <w:tabs>
          <w:tab w:val="num" w:pos="6787"/>
        </w:tabs>
        <w:ind w:left="6787" w:hanging="180"/>
      </w:pPr>
    </w:lvl>
  </w:abstractNum>
  <w:abstractNum w:abstractNumId="3">
    <w:nsid w:val="1CC90815"/>
    <w:multiLevelType w:val="hybridMultilevel"/>
    <w:tmpl w:val="F87446C8"/>
    <w:lvl w:ilvl="0">
      <w:start w:val="5"/>
      <w:numFmt w:val="decimal"/>
      <w:lvlText w:val="(%1)"/>
      <w:lvlJc w:val="left"/>
      <w:pPr>
        <w:tabs>
          <w:tab w:val="num" w:pos="1612"/>
        </w:tabs>
        <w:ind w:left="1612" w:hanging="360"/>
      </w:pPr>
      <w:rPr>
        <w:rFonts w:hint="default"/>
      </w:rPr>
    </w:lvl>
    <w:lvl w:ilvl="1" w:tentative="1">
      <w:start w:val="1"/>
      <w:numFmt w:val="lowerLetter"/>
      <w:lvlText w:val="%2."/>
      <w:lvlJc w:val="left"/>
      <w:pPr>
        <w:tabs>
          <w:tab w:val="num" w:pos="2332"/>
        </w:tabs>
        <w:ind w:left="2332" w:hanging="360"/>
      </w:pPr>
    </w:lvl>
    <w:lvl w:ilvl="2" w:tentative="1">
      <w:start w:val="1"/>
      <w:numFmt w:val="lowerRoman"/>
      <w:lvlText w:val="%3."/>
      <w:lvlJc w:val="right"/>
      <w:pPr>
        <w:tabs>
          <w:tab w:val="num" w:pos="3052"/>
        </w:tabs>
        <w:ind w:left="3052" w:hanging="180"/>
      </w:pPr>
    </w:lvl>
    <w:lvl w:ilvl="3" w:tentative="1">
      <w:start w:val="1"/>
      <w:numFmt w:val="decimal"/>
      <w:lvlText w:val="%4."/>
      <w:lvlJc w:val="left"/>
      <w:pPr>
        <w:tabs>
          <w:tab w:val="num" w:pos="3772"/>
        </w:tabs>
        <w:ind w:left="3772" w:hanging="360"/>
      </w:pPr>
    </w:lvl>
    <w:lvl w:ilvl="4" w:tentative="1">
      <w:start w:val="1"/>
      <w:numFmt w:val="lowerLetter"/>
      <w:lvlText w:val="%5."/>
      <w:lvlJc w:val="left"/>
      <w:pPr>
        <w:tabs>
          <w:tab w:val="num" w:pos="4492"/>
        </w:tabs>
        <w:ind w:left="4492" w:hanging="360"/>
      </w:pPr>
    </w:lvl>
    <w:lvl w:ilvl="5" w:tentative="1">
      <w:start w:val="1"/>
      <w:numFmt w:val="lowerRoman"/>
      <w:lvlText w:val="%6."/>
      <w:lvlJc w:val="right"/>
      <w:pPr>
        <w:tabs>
          <w:tab w:val="num" w:pos="5212"/>
        </w:tabs>
        <w:ind w:left="5212" w:hanging="180"/>
      </w:pPr>
    </w:lvl>
    <w:lvl w:ilvl="6" w:tentative="1">
      <w:start w:val="1"/>
      <w:numFmt w:val="decimal"/>
      <w:lvlText w:val="%7."/>
      <w:lvlJc w:val="left"/>
      <w:pPr>
        <w:tabs>
          <w:tab w:val="num" w:pos="5932"/>
        </w:tabs>
        <w:ind w:left="5932" w:hanging="360"/>
      </w:pPr>
    </w:lvl>
    <w:lvl w:ilvl="7" w:tentative="1">
      <w:start w:val="1"/>
      <w:numFmt w:val="lowerLetter"/>
      <w:lvlText w:val="%8."/>
      <w:lvlJc w:val="left"/>
      <w:pPr>
        <w:tabs>
          <w:tab w:val="num" w:pos="6652"/>
        </w:tabs>
        <w:ind w:left="6652" w:hanging="360"/>
      </w:pPr>
    </w:lvl>
    <w:lvl w:ilvl="8" w:tentative="1">
      <w:start w:val="1"/>
      <w:numFmt w:val="lowerRoman"/>
      <w:lvlText w:val="%9."/>
      <w:lvlJc w:val="right"/>
      <w:pPr>
        <w:tabs>
          <w:tab w:val="num" w:pos="7372"/>
        </w:tabs>
        <w:ind w:left="7372" w:hanging="180"/>
      </w:pPr>
    </w:lvl>
  </w:abstractNum>
  <w:abstractNum w:abstractNumId="4">
    <w:nsid w:val="1E5B50C9"/>
    <w:multiLevelType w:val="hybridMultilevel"/>
    <w:tmpl w:val="CF126E64"/>
    <w:lvl w:ilvl="0">
      <w:start w:val="1"/>
      <w:numFmt w:val="decimal"/>
      <w:lvlText w:val="%1."/>
      <w:lvlJc w:val="left"/>
      <w:pPr>
        <w:tabs>
          <w:tab w:val="num" w:pos="1980"/>
        </w:tabs>
        <w:ind w:left="1980" w:hanging="360"/>
      </w:p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5">
    <w:nsid w:val="22B405AF"/>
    <w:multiLevelType w:val="hybridMultilevel"/>
    <w:tmpl w:val="B0400CA6"/>
    <w:lvl w:ilvl="0">
      <w:start w:val="2"/>
      <w:numFmt w:val="decimal"/>
      <w:lvlText w:val="%1."/>
      <w:lvlJc w:val="left"/>
      <w:pPr>
        <w:tabs>
          <w:tab w:val="num" w:pos="1245"/>
        </w:tabs>
        <w:ind w:left="1245" w:hanging="405"/>
      </w:pPr>
      <w:rPr>
        <w:rFonts w:hint="default"/>
        <w:u w:val="none"/>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6">
    <w:nsid w:val="26A95137"/>
    <w:multiLevelType w:val="hybridMultilevel"/>
    <w:tmpl w:val="F5EE37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7314CA"/>
    <w:multiLevelType w:val="hybridMultilevel"/>
    <w:tmpl w:val="2A0EAB0E"/>
    <w:lvl w:ilvl="0">
      <w:start w:val="8"/>
      <w:numFmt w:val="decimal"/>
      <w:lvlText w:val="%1."/>
      <w:lvlJc w:val="left"/>
      <w:pPr>
        <w:tabs>
          <w:tab w:val="num" w:pos="1245"/>
        </w:tabs>
        <w:ind w:left="1245" w:hanging="405"/>
      </w:pPr>
      <w:rPr>
        <w:rFonts w:hint="default"/>
        <w:u w:val="none"/>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8">
    <w:nsid w:val="333C3EDE"/>
    <w:multiLevelType w:val="hybridMultilevel"/>
    <w:tmpl w:val="29CA7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3E35B4"/>
    <w:multiLevelType w:val="hybridMultilevel"/>
    <w:tmpl w:val="0EF4FF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002A8D"/>
    <w:multiLevelType w:val="hybridMultilevel"/>
    <w:tmpl w:val="2CD44F38"/>
    <w:lvl w:ilvl="0">
      <w:start w:val="1"/>
      <w:numFmt w:val="bullet"/>
      <w:lvlText w:val=""/>
      <w:lvlJc w:val="left"/>
      <w:pPr>
        <w:tabs>
          <w:tab w:val="num" w:pos="1554"/>
        </w:tabs>
        <w:ind w:left="1554" w:hanging="360"/>
      </w:pPr>
      <w:rPr>
        <w:rFonts w:ascii="Symbol" w:hAnsi="Symbol" w:hint="default"/>
      </w:rPr>
    </w:lvl>
    <w:lvl w:ilvl="1" w:tentative="1">
      <w:start w:val="1"/>
      <w:numFmt w:val="bullet"/>
      <w:lvlText w:val="o"/>
      <w:lvlJc w:val="left"/>
      <w:pPr>
        <w:tabs>
          <w:tab w:val="num" w:pos="2274"/>
        </w:tabs>
        <w:ind w:left="2274" w:hanging="360"/>
      </w:pPr>
      <w:rPr>
        <w:rFonts w:ascii="Courier New" w:hAnsi="Courier New" w:hint="default"/>
      </w:rPr>
    </w:lvl>
    <w:lvl w:ilvl="2" w:tentative="1">
      <w:start w:val="1"/>
      <w:numFmt w:val="bullet"/>
      <w:lvlText w:val=""/>
      <w:lvlJc w:val="left"/>
      <w:pPr>
        <w:tabs>
          <w:tab w:val="num" w:pos="2994"/>
        </w:tabs>
        <w:ind w:left="2994" w:hanging="360"/>
      </w:pPr>
      <w:rPr>
        <w:rFonts w:ascii="Wingdings" w:hAnsi="Wingdings" w:hint="default"/>
      </w:rPr>
    </w:lvl>
    <w:lvl w:ilvl="3" w:tentative="1">
      <w:start w:val="1"/>
      <w:numFmt w:val="bullet"/>
      <w:lvlText w:val=""/>
      <w:lvlJc w:val="left"/>
      <w:pPr>
        <w:tabs>
          <w:tab w:val="num" w:pos="3714"/>
        </w:tabs>
        <w:ind w:left="3714" w:hanging="360"/>
      </w:pPr>
      <w:rPr>
        <w:rFonts w:ascii="Symbol" w:hAnsi="Symbol" w:hint="default"/>
      </w:rPr>
    </w:lvl>
    <w:lvl w:ilvl="4" w:tentative="1">
      <w:start w:val="1"/>
      <w:numFmt w:val="bullet"/>
      <w:lvlText w:val="o"/>
      <w:lvlJc w:val="left"/>
      <w:pPr>
        <w:tabs>
          <w:tab w:val="num" w:pos="4434"/>
        </w:tabs>
        <w:ind w:left="4434" w:hanging="360"/>
      </w:pPr>
      <w:rPr>
        <w:rFonts w:ascii="Courier New" w:hAnsi="Courier New" w:hint="default"/>
      </w:rPr>
    </w:lvl>
    <w:lvl w:ilvl="5" w:tentative="1">
      <w:start w:val="1"/>
      <w:numFmt w:val="bullet"/>
      <w:lvlText w:val=""/>
      <w:lvlJc w:val="left"/>
      <w:pPr>
        <w:tabs>
          <w:tab w:val="num" w:pos="5154"/>
        </w:tabs>
        <w:ind w:left="5154" w:hanging="360"/>
      </w:pPr>
      <w:rPr>
        <w:rFonts w:ascii="Wingdings" w:hAnsi="Wingdings" w:hint="default"/>
      </w:rPr>
    </w:lvl>
    <w:lvl w:ilvl="6" w:tentative="1">
      <w:start w:val="1"/>
      <w:numFmt w:val="bullet"/>
      <w:lvlText w:val=""/>
      <w:lvlJc w:val="left"/>
      <w:pPr>
        <w:tabs>
          <w:tab w:val="num" w:pos="5874"/>
        </w:tabs>
        <w:ind w:left="5874" w:hanging="360"/>
      </w:pPr>
      <w:rPr>
        <w:rFonts w:ascii="Symbol" w:hAnsi="Symbol" w:hint="default"/>
      </w:rPr>
    </w:lvl>
    <w:lvl w:ilvl="7" w:tentative="1">
      <w:start w:val="1"/>
      <w:numFmt w:val="bullet"/>
      <w:lvlText w:val="o"/>
      <w:lvlJc w:val="left"/>
      <w:pPr>
        <w:tabs>
          <w:tab w:val="num" w:pos="6594"/>
        </w:tabs>
        <w:ind w:left="6594" w:hanging="360"/>
      </w:pPr>
      <w:rPr>
        <w:rFonts w:ascii="Courier New" w:hAnsi="Courier New" w:hint="default"/>
      </w:rPr>
    </w:lvl>
    <w:lvl w:ilvl="8" w:tentative="1">
      <w:start w:val="1"/>
      <w:numFmt w:val="bullet"/>
      <w:lvlText w:val=""/>
      <w:lvlJc w:val="left"/>
      <w:pPr>
        <w:tabs>
          <w:tab w:val="num" w:pos="7314"/>
        </w:tabs>
        <w:ind w:left="7314" w:hanging="360"/>
      </w:pPr>
      <w:rPr>
        <w:rFonts w:ascii="Wingdings" w:hAnsi="Wingdings" w:hint="default"/>
      </w:rPr>
    </w:lvl>
  </w:abstractNum>
  <w:abstractNum w:abstractNumId="11">
    <w:nsid w:val="45B570C8"/>
    <w:multiLevelType w:val="hybridMultilevel"/>
    <w:tmpl w:val="03E25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CC17DF"/>
    <w:multiLevelType w:val="hybridMultilevel"/>
    <w:tmpl w:val="22F805D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9887C56"/>
    <w:multiLevelType w:val="hybridMultilevel"/>
    <w:tmpl w:val="1214D02A"/>
    <w:lvl w:ilvl="0">
      <w:start w:val="5"/>
      <w:numFmt w:val="decimal"/>
      <w:lvlText w:val="(%1)"/>
      <w:lvlJc w:val="left"/>
      <w:pPr>
        <w:tabs>
          <w:tab w:val="num" w:pos="1605"/>
        </w:tabs>
        <w:ind w:left="1605" w:hanging="360"/>
      </w:pPr>
      <w:rPr>
        <w:rFonts w:hint="default"/>
      </w:rPr>
    </w:lvl>
    <w:lvl w:ilvl="1" w:tentative="1">
      <w:start w:val="1"/>
      <w:numFmt w:val="lowerLetter"/>
      <w:lvlText w:val="%2."/>
      <w:lvlJc w:val="left"/>
      <w:pPr>
        <w:tabs>
          <w:tab w:val="num" w:pos="2325"/>
        </w:tabs>
        <w:ind w:left="2325" w:hanging="360"/>
      </w:pPr>
    </w:lvl>
    <w:lvl w:ilvl="2" w:tentative="1">
      <w:start w:val="1"/>
      <w:numFmt w:val="lowerRoman"/>
      <w:lvlText w:val="%3."/>
      <w:lvlJc w:val="right"/>
      <w:pPr>
        <w:tabs>
          <w:tab w:val="num" w:pos="3045"/>
        </w:tabs>
        <w:ind w:left="3045" w:hanging="180"/>
      </w:pPr>
    </w:lvl>
    <w:lvl w:ilvl="3" w:tentative="1">
      <w:start w:val="1"/>
      <w:numFmt w:val="decimal"/>
      <w:lvlText w:val="%4."/>
      <w:lvlJc w:val="left"/>
      <w:pPr>
        <w:tabs>
          <w:tab w:val="num" w:pos="3765"/>
        </w:tabs>
        <w:ind w:left="3765" w:hanging="360"/>
      </w:pPr>
    </w:lvl>
    <w:lvl w:ilvl="4" w:tentative="1">
      <w:start w:val="1"/>
      <w:numFmt w:val="lowerLetter"/>
      <w:lvlText w:val="%5."/>
      <w:lvlJc w:val="left"/>
      <w:pPr>
        <w:tabs>
          <w:tab w:val="num" w:pos="4485"/>
        </w:tabs>
        <w:ind w:left="4485" w:hanging="360"/>
      </w:pPr>
    </w:lvl>
    <w:lvl w:ilvl="5" w:tentative="1">
      <w:start w:val="1"/>
      <w:numFmt w:val="lowerRoman"/>
      <w:lvlText w:val="%6."/>
      <w:lvlJc w:val="right"/>
      <w:pPr>
        <w:tabs>
          <w:tab w:val="num" w:pos="5205"/>
        </w:tabs>
        <w:ind w:left="5205" w:hanging="180"/>
      </w:pPr>
    </w:lvl>
    <w:lvl w:ilvl="6" w:tentative="1">
      <w:start w:val="1"/>
      <w:numFmt w:val="decimal"/>
      <w:lvlText w:val="%7."/>
      <w:lvlJc w:val="left"/>
      <w:pPr>
        <w:tabs>
          <w:tab w:val="num" w:pos="5925"/>
        </w:tabs>
        <w:ind w:left="5925" w:hanging="360"/>
      </w:pPr>
    </w:lvl>
    <w:lvl w:ilvl="7" w:tentative="1">
      <w:start w:val="1"/>
      <w:numFmt w:val="lowerLetter"/>
      <w:lvlText w:val="%8."/>
      <w:lvlJc w:val="left"/>
      <w:pPr>
        <w:tabs>
          <w:tab w:val="num" w:pos="6645"/>
        </w:tabs>
        <w:ind w:left="6645" w:hanging="360"/>
      </w:pPr>
    </w:lvl>
    <w:lvl w:ilvl="8" w:tentative="1">
      <w:start w:val="1"/>
      <w:numFmt w:val="lowerRoman"/>
      <w:lvlText w:val="%9."/>
      <w:lvlJc w:val="right"/>
      <w:pPr>
        <w:tabs>
          <w:tab w:val="num" w:pos="7365"/>
        </w:tabs>
        <w:ind w:left="7365" w:hanging="180"/>
      </w:pPr>
    </w:lvl>
  </w:abstractNum>
  <w:abstractNum w:abstractNumId="14">
    <w:nsid w:val="65E26911"/>
    <w:multiLevelType w:val="hybridMultilevel"/>
    <w:tmpl w:val="EBF25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1501C1"/>
    <w:multiLevelType w:val="hybridMultilevel"/>
    <w:tmpl w:val="98543CAC"/>
    <w:lvl w:ilvl="0">
      <w:start w:val="12"/>
      <w:numFmt w:val="decimal"/>
      <w:lvlText w:val="%1."/>
      <w:lvlJc w:val="left"/>
      <w:pPr>
        <w:tabs>
          <w:tab w:val="num" w:pos="1248"/>
        </w:tabs>
        <w:ind w:left="1248" w:hanging="408"/>
      </w:pPr>
      <w:rPr>
        <w:rFonts w:hint="default"/>
        <w:u w:val="none"/>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6">
    <w:nsid w:val="6D300890"/>
    <w:multiLevelType w:val="hybridMultilevel"/>
    <w:tmpl w:val="522E4316"/>
    <w:lvl w:ilvl="0">
      <w:start w:val="1"/>
      <w:numFmt w:val="decimal"/>
      <w:lvlText w:val="%1."/>
      <w:lvlJc w:val="left"/>
      <w:pPr>
        <w:tabs>
          <w:tab w:val="num" w:pos="1648"/>
        </w:tabs>
        <w:ind w:left="1648" w:hanging="360"/>
      </w:pPr>
    </w:lvl>
    <w:lvl w:ilvl="1" w:tentative="1">
      <w:start w:val="1"/>
      <w:numFmt w:val="lowerLetter"/>
      <w:lvlText w:val="%2."/>
      <w:lvlJc w:val="left"/>
      <w:pPr>
        <w:tabs>
          <w:tab w:val="num" w:pos="2368"/>
        </w:tabs>
        <w:ind w:left="2368" w:hanging="360"/>
      </w:pPr>
    </w:lvl>
    <w:lvl w:ilvl="2" w:tentative="1">
      <w:start w:val="1"/>
      <w:numFmt w:val="lowerRoman"/>
      <w:lvlText w:val="%3."/>
      <w:lvlJc w:val="right"/>
      <w:pPr>
        <w:tabs>
          <w:tab w:val="num" w:pos="3088"/>
        </w:tabs>
        <w:ind w:left="3088" w:hanging="180"/>
      </w:pPr>
    </w:lvl>
    <w:lvl w:ilvl="3" w:tentative="1">
      <w:start w:val="1"/>
      <w:numFmt w:val="decimal"/>
      <w:lvlText w:val="%4."/>
      <w:lvlJc w:val="left"/>
      <w:pPr>
        <w:tabs>
          <w:tab w:val="num" w:pos="3808"/>
        </w:tabs>
        <w:ind w:left="3808" w:hanging="360"/>
      </w:pPr>
    </w:lvl>
    <w:lvl w:ilvl="4" w:tentative="1">
      <w:start w:val="1"/>
      <w:numFmt w:val="lowerLetter"/>
      <w:lvlText w:val="%5."/>
      <w:lvlJc w:val="left"/>
      <w:pPr>
        <w:tabs>
          <w:tab w:val="num" w:pos="4528"/>
        </w:tabs>
        <w:ind w:left="4528" w:hanging="360"/>
      </w:pPr>
    </w:lvl>
    <w:lvl w:ilvl="5" w:tentative="1">
      <w:start w:val="1"/>
      <w:numFmt w:val="lowerRoman"/>
      <w:lvlText w:val="%6."/>
      <w:lvlJc w:val="right"/>
      <w:pPr>
        <w:tabs>
          <w:tab w:val="num" w:pos="5248"/>
        </w:tabs>
        <w:ind w:left="5248" w:hanging="180"/>
      </w:pPr>
    </w:lvl>
    <w:lvl w:ilvl="6" w:tentative="1">
      <w:start w:val="1"/>
      <w:numFmt w:val="decimal"/>
      <w:lvlText w:val="%7."/>
      <w:lvlJc w:val="left"/>
      <w:pPr>
        <w:tabs>
          <w:tab w:val="num" w:pos="5968"/>
        </w:tabs>
        <w:ind w:left="5968" w:hanging="360"/>
      </w:pPr>
    </w:lvl>
    <w:lvl w:ilvl="7" w:tentative="1">
      <w:start w:val="1"/>
      <w:numFmt w:val="lowerLetter"/>
      <w:lvlText w:val="%8."/>
      <w:lvlJc w:val="left"/>
      <w:pPr>
        <w:tabs>
          <w:tab w:val="num" w:pos="6688"/>
        </w:tabs>
        <w:ind w:left="6688" w:hanging="360"/>
      </w:pPr>
    </w:lvl>
    <w:lvl w:ilvl="8" w:tentative="1">
      <w:start w:val="1"/>
      <w:numFmt w:val="lowerRoman"/>
      <w:lvlText w:val="%9."/>
      <w:lvlJc w:val="right"/>
      <w:pPr>
        <w:tabs>
          <w:tab w:val="num" w:pos="7408"/>
        </w:tabs>
        <w:ind w:left="7408" w:hanging="180"/>
      </w:pPr>
    </w:lvl>
  </w:abstractNum>
  <w:abstractNum w:abstractNumId="17">
    <w:nsid w:val="6EEB73D0"/>
    <w:multiLevelType w:val="hybridMultilevel"/>
    <w:tmpl w:val="ACEED056"/>
    <w:lvl w:ilvl="0">
      <w:start w:val="6"/>
      <w:numFmt w:val="decimal"/>
      <w:lvlText w:val="(%1)"/>
      <w:lvlJc w:val="left"/>
      <w:pPr>
        <w:tabs>
          <w:tab w:val="num" w:pos="1612"/>
        </w:tabs>
        <w:ind w:left="1612" w:hanging="360"/>
      </w:pPr>
      <w:rPr>
        <w:rFonts w:hint="default"/>
      </w:rPr>
    </w:lvl>
    <w:lvl w:ilvl="1" w:tentative="1">
      <w:start w:val="1"/>
      <w:numFmt w:val="lowerLetter"/>
      <w:lvlText w:val="%2."/>
      <w:lvlJc w:val="left"/>
      <w:pPr>
        <w:tabs>
          <w:tab w:val="num" w:pos="2332"/>
        </w:tabs>
        <w:ind w:left="2332" w:hanging="360"/>
      </w:pPr>
    </w:lvl>
    <w:lvl w:ilvl="2" w:tentative="1">
      <w:start w:val="1"/>
      <w:numFmt w:val="lowerRoman"/>
      <w:lvlText w:val="%3."/>
      <w:lvlJc w:val="right"/>
      <w:pPr>
        <w:tabs>
          <w:tab w:val="num" w:pos="3052"/>
        </w:tabs>
        <w:ind w:left="3052" w:hanging="180"/>
      </w:pPr>
    </w:lvl>
    <w:lvl w:ilvl="3" w:tentative="1">
      <w:start w:val="1"/>
      <w:numFmt w:val="decimal"/>
      <w:lvlText w:val="%4."/>
      <w:lvlJc w:val="left"/>
      <w:pPr>
        <w:tabs>
          <w:tab w:val="num" w:pos="3772"/>
        </w:tabs>
        <w:ind w:left="3772" w:hanging="360"/>
      </w:pPr>
    </w:lvl>
    <w:lvl w:ilvl="4" w:tentative="1">
      <w:start w:val="1"/>
      <w:numFmt w:val="lowerLetter"/>
      <w:lvlText w:val="%5."/>
      <w:lvlJc w:val="left"/>
      <w:pPr>
        <w:tabs>
          <w:tab w:val="num" w:pos="4492"/>
        </w:tabs>
        <w:ind w:left="4492" w:hanging="360"/>
      </w:pPr>
    </w:lvl>
    <w:lvl w:ilvl="5" w:tentative="1">
      <w:start w:val="1"/>
      <w:numFmt w:val="lowerRoman"/>
      <w:lvlText w:val="%6."/>
      <w:lvlJc w:val="right"/>
      <w:pPr>
        <w:tabs>
          <w:tab w:val="num" w:pos="5212"/>
        </w:tabs>
        <w:ind w:left="5212" w:hanging="180"/>
      </w:pPr>
    </w:lvl>
    <w:lvl w:ilvl="6" w:tentative="1">
      <w:start w:val="1"/>
      <w:numFmt w:val="decimal"/>
      <w:lvlText w:val="%7."/>
      <w:lvlJc w:val="left"/>
      <w:pPr>
        <w:tabs>
          <w:tab w:val="num" w:pos="5932"/>
        </w:tabs>
        <w:ind w:left="5932" w:hanging="360"/>
      </w:pPr>
    </w:lvl>
    <w:lvl w:ilvl="7" w:tentative="1">
      <w:start w:val="1"/>
      <w:numFmt w:val="lowerLetter"/>
      <w:lvlText w:val="%8."/>
      <w:lvlJc w:val="left"/>
      <w:pPr>
        <w:tabs>
          <w:tab w:val="num" w:pos="6652"/>
        </w:tabs>
        <w:ind w:left="6652" w:hanging="360"/>
      </w:pPr>
    </w:lvl>
    <w:lvl w:ilvl="8" w:tentative="1">
      <w:start w:val="1"/>
      <w:numFmt w:val="lowerRoman"/>
      <w:lvlText w:val="%9."/>
      <w:lvlJc w:val="right"/>
      <w:pPr>
        <w:tabs>
          <w:tab w:val="num" w:pos="7372"/>
        </w:tabs>
        <w:ind w:left="7372" w:hanging="180"/>
      </w:pPr>
    </w:lvl>
  </w:abstractNum>
  <w:abstractNum w:abstractNumId="18">
    <w:nsid w:val="6F7C499A"/>
    <w:multiLevelType w:val="hybridMultilevel"/>
    <w:tmpl w:val="B810E2F8"/>
    <w:lvl w:ilvl="0">
      <w:start w:val="1"/>
      <w:numFmt w:val="bullet"/>
      <w:lvlText w:val=""/>
      <w:lvlJc w:val="left"/>
      <w:pPr>
        <w:tabs>
          <w:tab w:val="num" w:pos="1965"/>
        </w:tabs>
        <w:ind w:left="1965" w:hanging="360"/>
      </w:pPr>
      <w:rPr>
        <w:rFonts w:ascii="Symbol" w:hAnsi="Symbol" w:hint="default"/>
      </w:rPr>
    </w:lvl>
    <w:lvl w:ilvl="1" w:tentative="1">
      <w:start w:val="1"/>
      <w:numFmt w:val="bullet"/>
      <w:lvlText w:val="o"/>
      <w:lvlJc w:val="left"/>
      <w:pPr>
        <w:tabs>
          <w:tab w:val="num" w:pos="2685"/>
        </w:tabs>
        <w:ind w:left="2685" w:hanging="360"/>
      </w:pPr>
      <w:rPr>
        <w:rFonts w:ascii="Courier New" w:hAnsi="Courier New" w:hint="default"/>
      </w:rPr>
    </w:lvl>
    <w:lvl w:ilvl="2" w:tentative="1">
      <w:start w:val="1"/>
      <w:numFmt w:val="bullet"/>
      <w:lvlText w:val=""/>
      <w:lvlJc w:val="left"/>
      <w:pPr>
        <w:tabs>
          <w:tab w:val="num" w:pos="3405"/>
        </w:tabs>
        <w:ind w:left="3405" w:hanging="360"/>
      </w:pPr>
      <w:rPr>
        <w:rFonts w:ascii="Wingdings" w:hAnsi="Wingdings" w:hint="default"/>
      </w:rPr>
    </w:lvl>
    <w:lvl w:ilvl="3" w:tentative="1">
      <w:start w:val="1"/>
      <w:numFmt w:val="bullet"/>
      <w:lvlText w:val=""/>
      <w:lvlJc w:val="left"/>
      <w:pPr>
        <w:tabs>
          <w:tab w:val="num" w:pos="4125"/>
        </w:tabs>
        <w:ind w:left="4125" w:hanging="360"/>
      </w:pPr>
      <w:rPr>
        <w:rFonts w:ascii="Symbol" w:hAnsi="Symbol" w:hint="default"/>
      </w:rPr>
    </w:lvl>
    <w:lvl w:ilvl="4" w:tentative="1">
      <w:start w:val="1"/>
      <w:numFmt w:val="bullet"/>
      <w:lvlText w:val="o"/>
      <w:lvlJc w:val="left"/>
      <w:pPr>
        <w:tabs>
          <w:tab w:val="num" w:pos="4845"/>
        </w:tabs>
        <w:ind w:left="4845" w:hanging="360"/>
      </w:pPr>
      <w:rPr>
        <w:rFonts w:ascii="Courier New" w:hAnsi="Courier New" w:hint="default"/>
      </w:rPr>
    </w:lvl>
    <w:lvl w:ilvl="5" w:tentative="1">
      <w:start w:val="1"/>
      <w:numFmt w:val="bullet"/>
      <w:lvlText w:val=""/>
      <w:lvlJc w:val="left"/>
      <w:pPr>
        <w:tabs>
          <w:tab w:val="num" w:pos="5565"/>
        </w:tabs>
        <w:ind w:left="5565" w:hanging="360"/>
      </w:pPr>
      <w:rPr>
        <w:rFonts w:ascii="Wingdings" w:hAnsi="Wingdings" w:hint="default"/>
      </w:rPr>
    </w:lvl>
    <w:lvl w:ilvl="6" w:tentative="1">
      <w:start w:val="1"/>
      <w:numFmt w:val="bullet"/>
      <w:lvlText w:val=""/>
      <w:lvlJc w:val="left"/>
      <w:pPr>
        <w:tabs>
          <w:tab w:val="num" w:pos="6285"/>
        </w:tabs>
        <w:ind w:left="6285" w:hanging="360"/>
      </w:pPr>
      <w:rPr>
        <w:rFonts w:ascii="Symbol" w:hAnsi="Symbol" w:hint="default"/>
      </w:rPr>
    </w:lvl>
    <w:lvl w:ilvl="7" w:tentative="1">
      <w:start w:val="1"/>
      <w:numFmt w:val="bullet"/>
      <w:lvlText w:val="o"/>
      <w:lvlJc w:val="left"/>
      <w:pPr>
        <w:tabs>
          <w:tab w:val="num" w:pos="7005"/>
        </w:tabs>
        <w:ind w:left="7005" w:hanging="360"/>
      </w:pPr>
      <w:rPr>
        <w:rFonts w:ascii="Courier New" w:hAnsi="Courier New" w:hint="default"/>
      </w:rPr>
    </w:lvl>
    <w:lvl w:ilvl="8" w:tentative="1">
      <w:start w:val="1"/>
      <w:numFmt w:val="bullet"/>
      <w:lvlText w:val=""/>
      <w:lvlJc w:val="left"/>
      <w:pPr>
        <w:tabs>
          <w:tab w:val="num" w:pos="7725"/>
        </w:tabs>
        <w:ind w:left="7725" w:hanging="360"/>
      </w:pPr>
      <w:rPr>
        <w:rFonts w:ascii="Wingdings" w:hAnsi="Wingdings" w:hint="default"/>
      </w:rPr>
    </w:lvl>
  </w:abstractNum>
  <w:num w:numId="1" w16cid:durableId="742217040">
    <w:abstractNumId w:val="15"/>
  </w:num>
  <w:num w:numId="2" w16cid:durableId="809128065">
    <w:abstractNumId w:val="1"/>
  </w:num>
  <w:num w:numId="3" w16cid:durableId="1698581114">
    <w:abstractNumId w:val="12"/>
  </w:num>
  <w:num w:numId="4" w16cid:durableId="1701785736">
    <w:abstractNumId w:val="17"/>
  </w:num>
  <w:num w:numId="5" w16cid:durableId="1969776005">
    <w:abstractNumId w:val="3"/>
  </w:num>
  <w:num w:numId="6" w16cid:durableId="792406808">
    <w:abstractNumId w:val="0"/>
  </w:num>
  <w:num w:numId="7" w16cid:durableId="419107861">
    <w:abstractNumId w:val="13"/>
  </w:num>
  <w:num w:numId="8" w16cid:durableId="1773470780">
    <w:abstractNumId w:val="6"/>
  </w:num>
  <w:num w:numId="9" w16cid:durableId="249046741">
    <w:abstractNumId w:val="14"/>
  </w:num>
  <w:num w:numId="10" w16cid:durableId="1663117385">
    <w:abstractNumId w:val="9"/>
  </w:num>
  <w:num w:numId="11" w16cid:durableId="1665618953">
    <w:abstractNumId w:val="16"/>
  </w:num>
  <w:num w:numId="12" w16cid:durableId="301810245">
    <w:abstractNumId w:val="5"/>
  </w:num>
  <w:num w:numId="13" w16cid:durableId="2111121696">
    <w:abstractNumId w:val="7"/>
  </w:num>
  <w:num w:numId="14" w16cid:durableId="1045183505">
    <w:abstractNumId w:val="2"/>
  </w:num>
  <w:num w:numId="15" w16cid:durableId="1615363166">
    <w:abstractNumId w:val="8"/>
  </w:num>
  <w:num w:numId="16" w16cid:durableId="1625186746">
    <w:abstractNumId w:val="18"/>
  </w:num>
  <w:num w:numId="17" w16cid:durableId="1793745698">
    <w:abstractNumId w:val="4"/>
  </w:num>
  <w:num w:numId="18" w16cid:durableId="575672284">
    <w:abstractNumId w:val="10"/>
  </w:num>
  <w:num w:numId="19" w16cid:durableId="774059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E7"/>
    <w:rsid w:val="000034DA"/>
    <w:rsid w:val="0000496C"/>
    <w:rsid w:val="00010A46"/>
    <w:rsid w:val="000118CB"/>
    <w:rsid w:val="00023FEF"/>
    <w:rsid w:val="000331AB"/>
    <w:rsid w:val="000604B2"/>
    <w:rsid w:val="000606CF"/>
    <w:rsid w:val="00067EE3"/>
    <w:rsid w:val="00074315"/>
    <w:rsid w:val="00083541"/>
    <w:rsid w:val="00091B78"/>
    <w:rsid w:val="00093164"/>
    <w:rsid w:val="00097253"/>
    <w:rsid w:val="000A0EBC"/>
    <w:rsid w:val="000B09B7"/>
    <w:rsid w:val="000C1AB9"/>
    <w:rsid w:val="000C47BD"/>
    <w:rsid w:val="000C4EF4"/>
    <w:rsid w:val="000E2C8E"/>
    <w:rsid w:val="000F0AE2"/>
    <w:rsid w:val="001008D8"/>
    <w:rsid w:val="00104523"/>
    <w:rsid w:val="001061DC"/>
    <w:rsid w:val="0015768C"/>
    <w:rsid w:val="001577FC"/>
    <w:rsid w:val="00174C5F"/>
    <w:rsid w:val="00175FA2"/>
    <w:rsid w:val="00184875"/>
    <w:rsid w:val="001A1D88"/>
    <w:rsid w:val="001A3EB3"/>
    <w:rsid w:val="001A6BA7"/>
    <w:rsid w:val="001B0972"/>
    <w:rsid w:val="001B4BA2"/>
    <w:rsid w:val="001C194C"/>
    <w:rsid w:val="001C3468"/>
    <w:rsid w:val="001D26E3"/>
    <w:rsid w:val="001E056F"/>
    <w:rsid w:val="001E135A"/>
    <w:rsid w:val="001E38F7"/>
    <w:rsid w:val="001E6E2F"/>
    <w:rsid w:val="001F10BB"/>
    <w:rsid w:val="001F1492"/>
    <w:rsid w:val="001F56AC"/>
    <w:rsid w:val="00216C8B"/>
    <w:rsid w:val="0022491E"/>
    <w:rsid w:val="00236327"/>
    <w:rsid w:val="0024570A"/>
    <w:rsid w:val="00251D48"/>
    <w:rsid w:val="00254EB3"/>
    <w:rsid w:val="00255204"/>
    <w:rsid w:val="00265EAD"/>
    <w:rsid w:val="00267612"/>
    <w:rsid w:val="002704C2"/>
    <w:rsid w:val="0027157D"/>
    <w:rsid w:val="002762EC"/>
    <w:rsid w:val="00276C3D"/>
    <w:rsid w:val="00283530"/>
    <w:rsid w:val="002837B3"/>
    <w:rsid w:val="002A28EF"/>
    <w:rsid w:val="002A3706"/>
    <w:rsid w:val="002B6A02"/>
    <w:rsid w:val="002C108B"/>
    <w:rsid w:val="002D1FE6"/>
    <w:rsid w:val="002D3374"/>
    <w:rsid w:val="002E5575"/>
    <w:rsid w:val="002F5A20"/>
    <w:rsid w:val="0030620E"/>
    <w:rsid w:val="0032609F"/>
    <w:rsid w:val="003260C9"/>
    <w:rsid w:val="00340D7B"/>
    <w:rsid w:val="00341AC6"/>
    <w:rsid w:val="0035117A"/>
    <w:rsid w:val="00361FA0"/>
    <w:rsid w:val="003803B9"/>
    <w:rsid w:val="00390409"/>
    <w:rsid w:val="00392413"/>
    <w:rsid w:val="00395095"/>
    <w:rsid w:val="003A4887"/>
    <w:rsid w:val="003B08EB"/>
    <w:rsid w:val="003C06EE"/>
    <w:rsid w:val="003C4CDD"/>
    <w:rsid w:val="003D7613"/>
    <w:rsid w:val="003E0109"/>
    <w:rsid w:val="003E7498"/>
    <w:rsid w:val="003F2FCC"/>
    <w:rsid w:val="003F4464"/>
    <w:rsid w:val="004038AF"/>
    <w:rsid w:val="00403ED2"/>
    <w:rsid w:val="00415BF0"/>
    <w:rsid w:val="00430FDD"/>
    <w:rsid w:val="00443541"/>
    <w:rsid w:val="0046187A"/>
    <w:rsid w:val="00461CA6"/>
    <w:rsid w:val="004700DA"/>
    <w:rsid w:val="00470286"/>
    <w:rsid w:val="00481296"/>
    <w:rsid w:val="00482CD2"/>
    <w:rsid w:val="0048626D"/>
    <w:rsid w:val="00490D08"/>
    <w:rsid w:val="004931E0"/>
    <w:rsid w:val="004A7DA5"/>
    <w:rsid w:val="004B7A88"/>
    <w:rsid w:val="004C65ED"/>
    <w:rsid w:val="004C722F"/>
    <w:rsid w:val="004C7C8C"/>
    <w:rsid w:val="004D13C9"/>
    <w:rsid w:val="0050157C"/>
    <w:rsid w:val="00522DBF"/>
    <w:rsid w:val="00533C3A"/>
    <w:rsid w:val="005401C4"/>
    <w:rsid w:val="005547EB"/>
    <w:rsid w:val="0055737A"/>
    <w:rsid w:val="005603AC"/>
    <w:rsid w:val="0057152E"/>
    <w:rsid w:val="00574078"/>
    <w:rsid w:val="00593C78"/>
    <w:rsid w:val="0059524C"/>
    <w:rsid w:val="005A45E8"/>
    <w:rsid w:val="005A6F49"/>
    <w:rsid w:val="005C0DDD"/>
    <w:rsid w:val="005C5BF7"/>
    <w:rsid w:val="005E039B"/>
    <w:rsid w:val="005E2C2D"/>
    <w:rsid w:val="005F20A1"/>
    <w:rsid w:val="006051BD"/>
    <w:rsid w:val="006112AA"/>
    <w:rsid w:val="0062245E"/>
    <w:rsid w:val="00623E68"/>
    <w:rsid w:val="00627AE7"/>
    <w:rsid w:val="006302DF"/>
    <w:rsid w:val="006359EC"/>
    <w:rsid w:val="00643F2B"/>
    <w:rsid w:val="0064619C"/>
    <w:rsid w:val="00653B82"/>
    <w:rsid w:val="00671F38"/>
    <w:rsid w:val="00674788"/>
    <w:rsid w:val="006771AD"/>
    <w:rsid w:val="00694200"/>
    <w:rsid w:val="006B218D"/>
    <w:rsid w:val="006B5242"/>
    <w:rsid w:val="006B57FE"/>
    <w:rsid w:val="006D0DC7"/>
    <w:rsid w:val="006E0160"/>
    <w:rsid w:val="006E4AE7"/>
    <w:rsid w:val="006E4C09"/>
    <w:rsid w:val="006E6939"/>
    <w:rsid w:val="006E7BF7"/>
    <w:rsid w:val="007125DE"/>
    <w:rsid w:val="007310B7"/>
    <w:rsid w:val="00732822"/>
    <w:rsid w:val="00744734"/>
    <w:rsid w:val="00744EDC"/>
    <w:rsid w:val="007578DB"/>
    <w:rsid w:val="0078215F"/>
    <w:rsid w:val="0079369E"/>
    <w:rsid w:val="007A38B9"/>
    <w:rsid w:val="007A5D18"/>
    <w:rsid w:val="007C0F4A"/>
    <w:rsid w:val="007C6263"/>
    <w:rsid w:val="007D7770"/>
    <w:rsid w:val="007F124E"/>
    <w:rsid w:val="007F51FD"/>
    <w:rsid w:val="00802CFE"/>
    <w:rsid w:val="00813A14"/>
    <w:rsid w:val="00845333"/>
    <w:rsid w:val="0084601E"/>
    <w:rsid w:val="008468B2"/>
    <w:rsid w:val="0085279F"/>
    <w:rsid w:val="00854C2A"/>
    <w:rsid w:val="008668EE"/>
    <w:rsid w:val="00867A7B"/>
    <w:rsid w:val="008905C2"/>
    <w:rsid w:val="008978E7"/>
    <w:rsid w:val="00897C03"/>
    <w:rsid w:val="008A1D20"/>
    <w:rsid w:val="008A5770"/>
    <w:rsid w:val="008B3E7B"/>
    <w:rsid w:val="008B4517"/>
    <w:rsid w:val="008B735C"/>
    <w:rsid w:val="008B74C0"/>
    <w:rsid w:val="008D0128"/>
    <w:rsid w:val="008D53F9"/>
    <w:rsid w:val="008D7A68"/>
    <w:rsid w:val="008E243C"/>
    <w:rsid w:val="008E32CA"/>
    <w:rsid w:val="008F4041"/>
    <w:rsid w:val="0090205B"/>
    <w:rsid w:val="00904B66"/>
    <w:rsid w:val="0090536E"/>
    <w:rsid w:val="00910D3E"/>
    <w:rsid w:val="009128F6"/>
    <w:rsid w:val="0092107C"/>
    <w:rsid w:val="00927E2C"/>
    <w:rsid w:val="00936FCD"/>
    <w:rsid w:val="009414D0"/>
    <w:rsid w:val="00942173"/>
    <w:rsid w:val="009622E5"/>
    <w:rsid w:val="009640E9"/>
    <w:rsid w:val="00964221"/>
    <w:rsid w:val="009817A2"/>
    <w:rsid w:val="009B5B80"/>
    <w:rsid w:val="009C076D"/>
    <w:rsid w:val="009D072D"/>
    <w:rsid w:val="009D74FC"/>
    <w:rsid w:val="009F0136"/>
    <w:rsid w:val="009F5147"/>
    <w:rsid w:val="00A00F9F"/>
    <w:rsid w:val="00A11D68"/>
    <w:rsid w:val="00A1476B"/>
    <w:rsid w:val="00A172BD"/>
    <w:rsid w:val="00A20C84"/>
    <w:rsid w:val="00A24540"/>
    <w:rsid w:val="00A26A6A"/>
    <w:rsid w:val="00A27029"/>
    <w:rsid w:val="00A27D01"/>
    <w:rsid w:val="00A4718E"/>
    <w:rsid w:val="00A51E8E"/>
    <w:rsid w:val="00A5566B"/>
    <w:rsid w:val="00A566B1"/>
    <w:rsid w:val="00A7096F"/>
    <w:rsid w:val="00A71F41"/>
    <w:rsid w:val="00A727FC"/>
    <w:rsid w:val="00A835C9"/>
    <w:rsid w:val="00A85BCF"/>
    <w:rsid w:val="00AA22C9"/>
    <w:rsid w:val="00AB0FE0"/>
    <w:rsid w:val="00AB37A2"/>
    <w:rsid w:val="00AE0E95"/>
    <w:rsid w:val="00AE0F1D"/>
    <w:rsid w:val="00AE3715"/>
    <w:rsid w:val="00AE608A"/>
    <w:rsid w:val="00B0084B"/>
    <w:rsid w:val="00B011D6"/>
    <w:rsid w:val="00B13104"/>
    <w:rsid w:val="00B13D86"/>
    <w:rsid w:val="00B262A6"/>
    <w:rsid w:val="00B27AD7"/>
    <w:rsid w:val="00B31860"/>
    <w:rsid w:val="00B37BCC"/>
    <w:rsid w:val="00B45F95"/>
    <w:rsid w:val="00B463E4"/>
    <w:rsid w:val="00B51253"/>
    <w:rsid w:val="00B63D30"/>
    <w:rsid w:val="00B67C75"/>
    <w:rsid w:val="00B74D53"/>
    <w:rsid w:val="00B75EB0"/>
    <w:rsid w:val="00B80588"/>
    <w:rsid w:val="00B91973"/>
    <w:rsid w:val="00B958D1"/>
    <w:rsid w:val="00BB779D"/>
    <w:rsid w:val="00BC1B47"/>
    <w:rsid w:val="00BD1B73"/>
    <w:rsid w:val="00BD1BAA"/>
    <w:rsid w:val="00BD1EFF"/>
    <w:rsid w:val="00BD7D3B"/>
    <w:rsid w:val="00C004B2"/>
    <w:rsid w:val="00C1234E"/>
    <w:rsid w:val="00C13EFA"/>
    <w:rsid w:val="00C15C05"/>
    <w:rsid w:val="00C3121D"/>
    <w:rsid w:val="00C31687"/>
    <w:rsid w:val="00C37DFD"/>
    <w:rsid w:val="00C41DBE"/>
    <w:rsid w:val="00C526B3"/>
    <w:rsid w:val="00C5568C"/>
    <w:rsid w:val="00C6170A"/>
    <w:rsid w:val="00C64EE5"/>
    <w:rsid w:val="00C81D40"/>
    <w:rsid w:val="00C83B6D"/>
    <w:rsid w:val="00C91764"/>
    <w:rsid w:val="00C932A6"/>
    <w:rsid w:val="00CA1CF3"/>
    <w:rsid w:val="00CD1001"/>
    <w:rsid w:val="00CD5F28"/>
    <w:rsid w:val="00D013A7"/>
    <w:rsid w:val="00D03DDE"/>
    <w:rsid w:val="00D20188"/>
    <w:rsid w:val="00D40063"/>
    <w:rsid w:val="00D42F4D"/>
    <w:rsid w:val="00D43FBD"/>
    <w:rsid w:val="00D56A1C"/>
    <w:rsid w:val="00D619D3"/>
    <w:rsid w:val="00D63797"/>
    <w:rsid w:val="00D63E94"/>
    <w:rsid w:val="00D64266"/>
    <w:rsid w:val="00D74E40"/>
    <w:rsid w:val="00D76716"/>
    <w:rsid w:val="00D91706"/>
    <w:rsid w:val="00D93FA5"/>
    <w:rsid w:val="00DB10D1"/>
    <w:rsid w:val="00DD18E0"/>
    <w:rsid w:val="00DE3847"/>
    <w:rsid w:val="00DF14A5"/>
    <w:rsid w:val="00E113BC"/>
    <w:rsid w:val="00E4414E"/>
    <w:rsid w:val="00E500D5"/>
    <w:rsid w:val="00E505C2"/>
    <w:rsid w:val="00E51BA8"/>
    <w:rsid w:val="00E61A0F"/>
    <w:rsid w:val="00E6271B"/>
    <w:rsid w:val="00E70497"/>
    <w:rsid w:val="00E82D7A"/>
    <w:rsid w:val="00E9366F"/>
    <w:rsid w:val="00EB18C0"/>
    <w:rsid w:val="00EB3AC0"/>
    <w:rsid w:val="00EE09BA"/>
    <w:rsid w:val="00EE5467"/>
    <w:rsid w:val="00EF1FA6"/>
    <w:rsid w:val="00EF2FB6"/>
    <w:rsid w:val="00EF67AB"/>
    <w:rsid w:val="00F059DB"/>
    <w:rsid w:val="00F160F7"/>
    <w:rsid w:val="00F60E64"/>
    <w:rsid w:val="00FA1E49"/>
    <w:rsid w:val="00FC1A1C"/>
    <w:rsid w:val="00FC4838"/>
    <w:rsid w:val="00FC6945"/>
    <w:rsid w:val="00FD24AC"/>
    <w:rsid w:val="00FD2559"/>
    <w:rsid w:val="00FD5ADB"/>
    <w:rsid w:val="00FE512D"/>
    <w:rsid w:val="00FF0C39"/>
  </w:rsids>
  <w:docVars>
    <w:docVar w:name="dgnword-docGUID" w:val="{2CFEED51-3858-466B-BFC8-4437EED1CC59}"/>
    <w:docVar w:name="dgnword-eventsink" w:val="1551044227136"/>
    <w:docVar w:name="_AMO_ReportControlsVisible"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42A3AD"/>
  <w15:chartTrackingRefBased/>
  <w15:docId w15:val="{F0AACF05-8657-41F1-A19F-E1C047D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Style0">
    <w:name w:val="Style0"/>
    <w:pPr>
      <w:autoSpaceDE w:val="0"/>
      <w:autoSpaceDN w:val="0"/>
      <w:adjustRightInd w:val="0"/>
    </w:pPr>
    <w:rPr>
      <w:rFonts w:ascii="Arial" w:hAnsi="Arial" w:cs="Arial"/>
      <w:sz w:val="24"/>
      <w:szCs w:val="24"/>
    </w:rPr>
  </w:style>
  <w:style w:type="character" w:styleId="Hyperlink">
    <w:name w:val="Hyperlink"/>
    <w:semiHidden/>
    <w:rPr>
      <w:color w:val="0000FF"/>
      <w:u w:val="single"/>
    </w:rPr>
  </w:style>
  <w:style w:type="paragraph" w:styleId="BlockText">
    <w:name w:val="Block Text"/>
    <w:basedOn w:val="Normal"/>
    <w:semiHidden/>
    <w:pPr>
      <w:spacing w:before="100" w:beforeAutospacing="1" w:after="100" w:afterAutospacing="1"/>
      <w:ind w:left="720" w:righ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autoSpaceDE w:val="0"/>
      <w:autoSpaceDN w:val="0"/>
      <w:adjustRightInd w:val="0"/>
      <w:spacing w:line="480" w:lineRule="auto"/>
      <w:ind w:firstLine="720"/>
    </w:pPr>
  </w:style>
  <w:style w:type="paragraph" w:styleId="BodyTextIndent">
    <w:name w:val="Body Text Indent"/>
    <w:basedOn w:val="Normal"/>
    <w:semiHidden/>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style>
  <w:style w:type="paragraph" w:styleId="BodyTextIndent3">
    <w:name w:val="Body Text Indent 3"/>
    <w:basedOn w:val="Normal"/>
    <w:semiHidden/>
    <w:pPr>
      <w:ind w:left="900"/>
    </w:pPr>
  </w:style>
  <w:style w:type="table" w:styleId="TableGrid">
    <w:name w:val="Table Grid"/>
    <w:basedOn w:val="TableNormal"/>
    <w:uiPriority w:val="59"/>
    <w:rsid w:val="00EF2F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945"/>
    <w:rPr>
      <w:color w:val="800080"/>
      <w:u w:val="single"/>
    </w:rPr>
  </w:style>
  <w:style w:type="character" w:styleId="UnresolvedMention">
    <w:name w:val="Unresolved Mention"/>
    <w:basedOn w:val="DefaultParagraphFont"/>
    <w:uiPriority w:val="99"/>
    <w:semiHidden/>
    <w:unhideWhenUsed/>
    <w:rsid w:val="00AA22C9"/>
    <w:rPr>
      <w:color w:val="605E5C"/>
      <w:shd w:val="clear" w:color="auto" w:fill="E1DFDD"/>
    </w:rPr>
  </w:style>
  <w:style w:type="paragraph" w:styleId="Revision">
    <w:name w:val="Revision"/>
    <w:hidden/>
    <w:uiPriority w:val="99"/>
    <w:semiHidden/>
    <w:rsid w:val="000931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mailto:dennis.fixler@bea.gov" TargetMode="External" /><Relationship Id="rId8" Type="http://schemas.openxmlformats.org/officeDocument/2006/relationships/hyperlink" Target="mailto:john.j.stevens@frb.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3D9D-6505-47CE-8C53-6DF5108DEF2D}">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Questions Regarding the Quarterly Financial Report (QFR) Program’s</vt:lpstr>
    </vt:vector>
  </TitlesOfParts>
  <Company>US Census Bureau</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Regarding the Quarterly Financial Report (QFR) Program’s</dc:title>
  <dc:creator>Economic Directorate</dc:creator>
  <cp:lastModifiedBy>Thomas J Smith (CENSUS/ADEP FED)</cp:lastModifiedBy>
  <cp:revision>2</cp:revision>
  <cp:lastPrinted>2018-05-08T15:57:00Z</cp:lastPrinted>
  <dcterms:created xsi:type="dcterms:W3CDTF">2024-05-22T11:38:00Z</dcterms:created>
  <dcterms:modified xsi:type="dcterms:W3CDTF">2024-05-22T11:38:00Z</dcterms:modified>
</cp:coreProperties>
</file>