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730" w:rsidRPr="00244C7A" w:rsidP="005747E3">
      <w:pPr>
        <w:pStyle w:val="Heading1"/>
        <w:spacing w:before="0"/>
        <w:ind w:left="0"/>
        <w:jc w:val="center"/>
      </w:pPr>
      <w:r w:rsidRPr="00244C7A">
        <w:t>SUPPORTING STATEMENT</w:t>
      </w:r>
    </w:p>
    <w:p w:rsidR="00BD2730" w:rsidRPr="00244C7A" w:rsidP="005747E3">
      <w:pPr>
        <w:ind w:firstLine="14"/>
        <w:jc w:val="center"/>
        <w:rPr>
          <w:b/>
        </w:rPr>
      </w:pPr>
      <w:r w:rsidRPr="00244C7A">
        <w:rPr>
          <w:b/>
        </w:rPr>
        <w:t>U.S. Department of Commerce</w:t>
      </w:r>
    </w:p>
    <w:p w:rsidR="00BD2730" w:rsidRPr="00244C7A" w:rsidP="005747E3">
      <w:pPr>
        <w:ind w:firstLine="14"/>
        <w:jc w:val="center"/>
        <w:rPr>
          <w:b/>
        </w:rPr>
      </w:pPr>
      <w:r w:rsidRPr="00244C7A">
        <w:rPr>
          <w:b/>
        </w:rPr>
        <w:t>National Oceanic &amp; Atmospheric Administration</w:t>
      </w:r>
    </w:p>
    <w:p w:rsidR="007F6A3A" w:rsidRPr="007F6A3A" w:rsidP="005747E3">
      <w:pPr>
        <w:ind w:hanging="6"/>
        <w:jc w:val="center"/>
        <w:rPr>
          <w:b/>
        </w:rPr>
      </w:pPr>
      <w:r w:rsidRPr="005A12F9">
        <w:rPr>
          <w:b/>
        </w:rPr>
        <w:t>Greater Atlantic Gear Identification</w:t>
      </w:r>
      <w:r w:rsidRPr="007F6A3A">
        <w:rPr>
          <w:b/>
        </w:rPr>
        <w:t xml:space="preserve"> </w:t>
      </w:r>
      <w:r w:rsidR="005747E3">
        <w:rPr>
          <w:b/>
        </w:rPr>
        <w:t>Requirements</w:t>
      </w:r>
    </w:p>
    <w:p w:rsidR="00BD2730" w:rsidRPr="00244C7A" w:rsidP="005747E3">
      <w:pPr>
        <w:ind w:hanging="6"/>
        <w:jc w:val="center"/>
        <w:rPr>
          <w:b/>
        </w:rPr>
      </w:pPr>
      <w:r w:rsidRPr="00244C7A">
        <w:rPr>
          <w:b/>
        </w:rPr>
        <w:t>OMB Control No. 0648-0351</w:t>
      </w:r>
    </w:p>
    <w:p w:rsidR="00573D97" w:rsidRPr="00244C7A" w:rsidP="00244C7A">
      <w:pPr>
        <w:spacing w:before="80" w:after="240"/>
        <w:ind w:hanging="6"/>
        <w:jc w:val="center"/>
        <w:rPr>
          <w:b/>
        </w:rPr>
      </w:pPr>
    </w:p>
    <w:p w:rsidR="00BD2730" w:rsidRPr="00244C7A" w:rsidP="00244C7A">
      <w:pPr>
        <w:spacing w:before="80" w:after="240"/>
        <w:rPr>
          <w:b/>
        </w:rPr>
      </w:pPr>
      <w:r w:rsidRPr="00244C7A">
        <w:rPr>
          <w:b/>
          <w:color w:val="000000"/>
        </w:rPr>
        <w:t xml:space="preserve">SUPPORTING STATEMENT </w:t>
      </w:r>
      <w:r w:rsidRPr="00244C7A">
        <w:rPr>
          <w:b/>
          <w:color w:val="000000"/>
        </w:rPr>
        <w:t>PART</w:t>
      </w:r>
      <w:r w:rsidRPr="00244C7A">
        <w:rPr>
          <w:b/>
          <w:color w:val="000000"/>
        </w:rPr>
        <w:t xml:space="preserve"> A</w:t>
      </w:r>
      <w:r w:rsidRPr="00244C7A" w:rsidR="00A62EDA">
        <w:rPr>
          <w:b/>
          <w:color w:val="1F497D"/>
        </w:rPr>
        <w:t xml:space="preserve"> </w:t>
      </w:r>
    </w:p>
    <w:p w:rsidR="00BD2730" w:rsidRPr="00244C7A" w:rsidP="00244C7A">
      <w:pPr>
        <w:pStyle w:val="Heading1"/>
        <w:spacing w:after="240"/>
        <w:ind w:left="0"/>
      </w:pPr>
      <w:r w:rsidRPr="00244C7A">
        <w:t>Abstract</w:t>
      </w:r>
    </w:p>
    <w:p w:rsidR="001B2434" w:rsidRPr="00244C7A" w:rsidP="00244C7A">
      <w:pPr>
        <w:spacing w:before="80" w:after="240"/>
        <w:rPr>
          <w:bCs/>
        </w:rPr>
      </w:pPr>
      <w:r w:rsidRPr="00244C7A">
        <w:t>The National Oceanic and Atmospheric Administration’s (NOAA’s) National Marine Fisheries Service (NMFS) requests the approval by the Office of Management and Budget (OMB) of an extension of the existing collection of information under OMB Control Number 06</w:t>
      </w:r>
      <w:r w:rsidRPr="00244C7A">
        <w:t xml:space="preserve">48-0351 for Greater Atlantic Region Gear Identification. </w:t>
      </w:r>
      <w:r w:rsidRPr="00244C7A" w:rsidR="005E5860">
        <w:rPr>
          <w:bCs/>
        </w:rPr>
        <w:t>Regulations at 50 CFR 648.84(a</w:t>
      </w:r>
      <w:r w:rsidRPr="00244C7A" w:rsidR="005E5860">
        <w:rPr>
          <w:bCs/>
        </w:rPr>
        <w:t>),(</w:t>
      </w:r>
      <w:r w:rsidRPr="00244C7A" w:rsidR="005E5860">
        <w:rPr>
          <w:bCs/>
        </w:rPr>
        <w:t xml:space="preserve">b), and (d), 648.125(b)(3), 648.144(b)(1), 648.264(a)(5), and 697.21(a) and (b) require Federal </w:t>
      </w:r>
      <w:r w:rsidRPr="00244C7A" w:rsidR="00A4674B">
        <w:rPr>
          <w:bCs/>
        </w:rPr>
        <w:t xml:space="preserve">fishery </w:t>
      </w:r>
      <w:r w:rsidRPr="00244C7A" w:rsidR="005E5860">
        <w:rPr>
          <w:bCs/>
        </w:rPr>
        <w:t xml:space="preserve">permit holders using certain types of fishing gear to mark the gear with information necessary to identify the vessel and gear (e.g., hull identification number, Federal fishing </w:t>
      </w:r>
      <w:r w:rsidR="007F6A3A">
        <w:rPr>
          <w:bCs/>
        </w:rPr>
        <w:t xml:space="preserve">vessel </w:t>
      </w:r>
      <w:r w:rsidRPr="00244C7A" w:rsidR="005E5860">
        <w:rPr>
          <w:bCs/>
        </w:rPr>
        <w:t xml:space="preserve">permit number). The regulations also specify gear marking requirements for visibility (e.g., buoys, radar reflectors). These regulations are critical </w:t>
      </w:r>
      <w:r w:rsidRPr="00244C7A" w:rsidR="00821992">
        <w:rPr>
          <w:bCs/>
        </w:rPr>
        <w:t>for</w:t>
      </w:r>
      <w:r w:rsidRPr="00244C7A" w:rsidR="005E5860">
        <w:rPr>
          <w:bCs/>
        </w:rPr>
        <w:t xml:space="preserve"> successful fisheries management. State and Federal </w:t>
      </w:r>
      <w:r w:rsidRPr="00244C7A" w:rsidR="00D409D9">
        <w:rPr>
          <w:bCs/>
        </w:rPr>
        <w:t>enforcement personnel rely on gear markings to identify owners of gea</w:t>
      </w:r>
      <w:r w:rsidRPr="00244C7A" w:rsidR="00821992">
        <w:rPr>
          <w:bCs/>
        </w:rPr>
        <w:t xml:space="preserve">r in </w:t>
      </w:r>
      <w:r w:rsidR="007F6A3A">
        <w:rPr>
          <w:bCs/>
        </w:rPr>
        <w:t xml:space="preserve">an </w:t>
      </w:r>
      <w:r w:rsidRPr="00244C7A" w:rsidR="00D409D9">
        <w:rPr>
          <w:bCs/>
        </w:rPr>
        <w:t>unapproved configuration or used in restricted areas or times. Gear</w:t>
      </w:r>
      <w:r w:rsidRPr="00244C7A" w:rsidR="00CA3357">
        <w:rPr>
          <w:bCs/>
        </w:rPr>
        <w:t xml:space="preserve"> markings also help determine ownership of gear</w:t>
      </w:r>
      <w:r w:rsidRPr="00244C7A" w:rsidR="00D409D9">
        <w:rPr>
          <w:bCs/>
        </w:rPr>
        <w:t xml:space="preserve"> that is lost, damaged, or involved in gear conflict </w:t>
      </w:r>
      <w:r w:rsidRPr="00244C7A">
        <w:rPr>
          <w:bCs/>
        </w:rPr>
        <w:t>and increase gear visibility</w:t>
      </w:r>
      <w:r w:rsidRPr="00244C7A" w:rsidR="005E5860">
        <w:rPr>
          <w:bCs/>
        </w:rPr>
        <w:t xml:space="preserve"> to aid in navigation and safety at sea. </w:t>
      </w:r>
    </w:p>
    <w:p w:rsidR="005E5860" w:rsidRPr="00244C7A" w:rsidP="00244C7A">
      <w:pPr>
        <w:spacing w:before="80" w:after="240"/>
        <w:rPr>
          <w:bCs/>
        </w:rPr>
      </w:pPr>
      <w:r w:rsidRPr="00244C7A">
        <w:rPr>
          <w:bCs/>
        </w:rPr>
        <w:t xml:space="preserve">Overall, there was a reduction in </w:t>
      </w:r>
      <w:r w:rsidRPr="00244C7A" w:rsidR="00CA3357">
        <w:rPr>
          <w:bCs/>
        </w:rPr>
        <w:t>the costs and burden hours associated with this collection</w:t>
      </w:r>
      <w:r w:rsidRPr="00244C7A">
        <w:rPr>
          <w:bCs/>
        </w:rPr>
        <w:t xml:space="preserve"> due to </w:t>
      </w:r>
      <w:r w:rsidRPr="00244C7A" w:rsidR="00CA3357">
        <w:rPr>
          <w:bCs/>
        </w:rPr>
        <w:t>the general trend</w:t>
      </w:r>
      <w:r w:rsidRPr="00244C7A">
        <w:rPr>
          <w:bCs/>
        </w:rPr>
        <w:t xml:space="preserve"> of indus</w:t>
      </w:r>
      <w:r w:rsidRPr="00244C7A">
        <w:rPr>
          <w:bCs/>
        </w:rPr>
        <w:t>try dow</w:t>
      </w:r>
      <w:r w:rsidRPr="00244C7A" w:rsidR="00244C7A">
        <w:rPr>
          <w:bCs/>
        </w:rPr>
        <w:t>nsizing</w:t>
      </w:r>
      <w:r w:rsidRPr="00D81D19" w:rsidR="00D81D19">
        <w:t xml:space="preserve"> </w:t>
      </w:r>
      <w:r w:rsidR="00D81D19">
        <w:t>and</w:t>
      </w:r>
      <w:r w:rsidRPr="00BE2686" w:rsidR="00D81D19">
        <w:t xml:space="preserve"> an updated analysis </w:t>
      </w:r>
      <w:r w:rsidR="00D81D19">
        <w:t>based on the number of relevant permit holders that reported landings with the specified gear, rather than all permit holders within the fisheries.</w:t>
      </w:r>
      <w:r w:rsidRPr="00BE2686" w:rsidR="00D81D19">
        <w:t xml:space="preserve"> </w:t>
      </w:r>
      <w:r w:rsidRPr="00244C7A">
        <w:rPr>
          <w:bCs/>
        </w:rPr>
        <w:t>There were no changes to the regulations or gear marking requirements</w:t>
      </w:r>
      <w:r w:rsidRPr="00244C7A">
        <w:rPr>
          <w:bCs/>
        </w:rPr>
        <w:t xml:space="preserve"> since the last collection renewal, so all changes in the burden are a result of changes in the number of participating entities</w:t>
      </w:r>
      <w:r w:rsidR="00D81D19">
        <w:rPr>
          <w:bCs/>
        </w:rPr>
        <w:t xml:space="preserve"> and the approach to analysis</w:t>
      </w:r>
      <w:r w:rsidRPr="00244C7A">
        <w:rPr>
          <w:bCs/>
        </w:rPr>
        <w:t>.</w:t>
      </w:r>
    </w:p>
    <w:p w:rsidR="00BD2730" w:rsidRPr="00244C7A" w:rsidP="00244C7A">
      <w:pPr>
        <w:pStyle w:val="Heading1"/>
        <w:spacing w:after="240"/>
        <w:ind w:left="0"/>
      </w:pPr>
      <w:r w:rsidRPr="00244C7A">
        <w:t>Justification</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Explain the circumstances that make the collection of information necessary. Identi</w:t>
      </w:r>
      <w:r w:rsidRPr="00244C7A">
        <w:rPr>
          <w:b/>
          <w:color w:val="000000"/>
        </w:rPr>
        <w:t>fy any legal or administrative requirements that necessitate the collection. Attach a copy of the appropriate section of each statute and regulation mandating or authorizing the collection of information.</w:t>
      </w:r>
    </w:p>
    <w:p w:rsidR="00A4674B" w:rsidRPr="00244C7A" w:rsidP="00244C7A">
      <w:pPr>
        <w:pBdr>
          <w:top w:val="nil"/>
          <w:left w:val="nil"/>
          <w:bottom w:val="nil"/>
          <w:right w:val="nil"/>
          <w:between w:val="nil"/>
        </w:pBdr>
        <w:spacing w:before="80" w:after="240"/>
      </w:pPr>
      <w:r w:rsidRPr="00244C7A">
        <w:t xml:space="preserve">In the Greater Atlantic Region, gear marking is required of permit holders in the American lobster trap fishery, </w:t>
      </w:r>
      <w:r w:rsidRPr="00244C7A" w:rsidR="00244C7A">
        <w:t>the black sea bass trap/pot fishery</w:t>
      </w:r>
      <w:r w:rsidR="00244C7A">
        <w:t>, the</w:t>
      </w:r>
      <w:r w:rsidRPr="00244C7A" w:rsidR="00244C7A">
        <w:t xml:space="preserve"> </w:t>
      </w:r>
      <w:r w:rsidRPr="00244C7A">
        <w:t>scup trap/pot fishery, the</w:t>
      </w:r>
      <w:r w:rsidR="00244C7A">
        <w:t xml:space="preserve"> deep-sea red crab fishery, </w:t>
      </w:r>
      <w:r w:rsidRPr="00244C7A">
        <w:t xml:space="preserve">and </w:t>
      </w:r>
      <w:r w:rsidR="000419E8">
        <w:t xml:space="preserve">the bottom </w:t>
      </w:r>
      <w:r w:rsidRPr="00244C7A" w:rsidR="00244C7A">
        <w:t>longline and gillnet fisheries</w:t>
      </w:r>
      <w:r w:rsidRPr="00244C7A">
        <w:t>. R</w:t>
      </w:r>
      <w:r w:rsidRPr="00244C7A">
        <w:t xml:space="preserve">egulations at </w:t>
      </w:r>
      <w:r w:rsidRPr="00244C7A">
        <w:rPr>
          <w:bCs/>
        </w:rPr>
        <w:t>50 CFR 648.84(a</w:t>
      </w:r>
      <w:r w:rsidRPr="00244C7A">
        <w:rPr>
          <w:bCs/>
        </w:rPr>
        <w:t>),(</w:t>
      </w:r>
      <w:r w:rsidRPr="00244C7A">
        <w:rPr>
          <w:bCs/>
        </w:rPr>
        <w:t xml:space="preserve">b), and (d), 648.125(b)(3), 648.144(b)(1), 648.264(a)(5), and 697.21(a) and (b) </w:t>
      </w:r>
      <w:r w:rsidRPr="00244C7A">
        <w:t>require Federal permit holders using certain types of fishing gear to mark the gear with information necessary to identify the vessel and gear (</w:t>
      </w:r>
      <w:r w:rsidRPr="00244C7A">
        <w:t xml:space="preserve">e.g., hull identification number, Federal fishing </w:t>
      </w:r>
      <w:r w:rsidR="007F6A3A">
        <w:t xml:space="preserve">vessel </w:t>
      </w:r>
      <w:r w:rsidRPr="00244C7A">
        <w:t xml:space="preserve">permit number). The regulations also specify gear marking requirements for visibility (e.g., buoys, radar reflectors).  </w:t>
      </w:r>
    </w:p>
    <w:p w:rsidR="00B46762" w:rsidRPr="00244C7A" w:rsidP="00244C7A">
      <w:pPr>
        <w:pBdr>
          <w:top w:val="nil"/>
          <w:left w:val="nil"/>
          <w:bottom w:val="nil"/>
          <w:right w:val="nil"/>
          <w:between w:val="nil"/>
        </w:pBdr>
        <w:spacing w:before="80" w:after="240"/>
        <w:rPr>
          <w:bCs/>
        </w:rPr>
      </w:pPr>
      <w:r w:rsidRPr="00244C7A">
        <w:rPr>
          <w:bCs/>
        </w:rPr>
        <w:t xml:space="preserve">These regulations are critical for successful fisheries management and </w:t>
      </w:r>
      <w:r w:rsidRPr="00244C7A">
        <w:t>the enf</w:t>
      </w:r>
      <w:r w:rsidRPr="00244C7A">
        <w:t>orcement of regulations under the authority of the Magnuson-Stevens Fishery Conservation and Management Act and Atlantic Coastal Fisheries Cooperative Management Act.</w:t>
      </w:r>
      <w:r w:rsidRPr="00244C7A">
        <w:rPr>
          <w:bCs/>
        </w:rPr>
        <w:t xml:space="preserve"> State and Federal enforcement personnel rely on gear markings to identify owners of gear </w:t>
      </w:r>
      <w:r w:rsidRPr="00244C7A">
        <w:rPr>
          <w:bCs/>
        </w:rPr>
        <w:t xml:space="preserve">set in </w:t>
      </w:r>
      <w:r w:rsidR="007F6A3A">
        <w:rPr>
          <w:bCs/>
        </w:rPr>
        <w:t xml:space="preserve">an </w:t>
      </w:r>
      <w:r w:rsidRPr="00244C7A">
        <w:rPr>
          <w:bCs/>
        </w:rPr>
        <w:t xml:space="preserve">unapproved configuration or </w:t>
      </w:r>
      <w:r w:rsidR="007F6A3A">
        <w:rPr>
          <w:bCs/>
        </w:rPr>
        <w:t xml:space="preserve">at </w:t>
      </w:r>
      <w:r w:rsidRPr="00244C7A">
        <w:rPr>
          <w:bCs/>
        </w:rPr>
        <w:t xml:space="preserve">times and </w:t>
      </w:r>
      <w:r w:rsidR="007F6A3A">
        <w:rPr>
          <w:bCs/>
        </w:rPr>
        <w:t xml:space="preserve">in </w:t>
      </w:r>
      <w:r w:rsidRPr="00244C7A">
        <w:rPr>
          <w:bCs/>
        </w:rPr>
        <w:t xml:space="preserve">areas in which their use is restricted. </w:t>
      </w:r>
    </w:p>
    <w:p w:rsidR="00A4674B" w:rsidRPr="00244C7A" w:rsidP="00244C7A">
      <w:pPr>
        <w:pBdr>
          <w:top w:val="nil"/>
          <w:left w:val="nil"/>
          <w:bottom w:val="nil"/>
          <w:right w:val="nil"/>
          <w:between w:val="nil"/>
        </w:pBdr>
        <w:spacing w:before="80" w:after="240"/>
        <w:rPr>
          <w:bCs/>
        </w:rPr>
      </w:pPr>
      <w:r w:rsidRPr="00244C7A">
        <w:t xml:space="preserve">Gear can be lost or damaged as the result of </w:t>
      </w:r>
      <w:r w:rsidRPr="00244C7A" w:rsidR="001B2434">
        <w:t xml:space="preserve">weather and </w:t>
      </w:r>
      <w:r w:rsidRPr="00244C7A">
        <w:t>interactions</w:t>
      </w:r>
      <w:r w:rsidRPr="00244C7A" w:rsidR="001B2434">
        <w:t xml:space="preserve"> with wildlife, other vessels, and other fishing gear. </w:t>
      </w:r>
      <w:r w:rsidRPr="00244C7A">
        <w:rPr>
          <w:bCs/>
        </w:rPr>
        <w:t>Gear markings help determine ownershi</w:t>
      </w:r>
      <w:r w:rsidRPr="00244C7A">
        <w:rPr>
          <w:bCs/>
        </w:rPr>
        <w:t xml:space="preserve">p </w:t>
      </w:r>
      <w:r w:rsidRPr="00244C7A" w:rsidR="001B2434">
        <w:t xml:space="preserve">of lost or damaged gear and identify the parties involved in gear conflicts, including for civil proceedings. </w:t>
      </w:r>
      <w:r w:rsidRPr="00244C7A">
        <w:rPr>
          <w:bCs/>
        </w:rPr>
        <w:t xml:space="preserve">Proper marking also </w:t>
      </w:r>
      <w:r w:rsidRPr="00244C7A" w:rsidR="00A62EDA">
        <w:rPr>
          <w:bCs/>
        </w:rPr>
        <w:t xml:space="preserve">increases </w:t>
      </w:r>
      <w:r w:rsidRPr="00244C7A">
        <w:rPr>
          <w:bCs/>
        </w:rPr>
        <w:t xml:space="preserve">gear </w:t>
      </w:r>
      <w:r w:rsidRPr="00244C7A" w:rsidR="00A62EDA">
        <w:rPr>
          <w:bCs/>
        </w:rPr>
        <w:t xml:space="preserve">visibility </w:t>
      </w:r>
      <w:r w:rsidRPr="00244C7A">
        <w:rPr>
          <w:bCs/>
        </w:rPr>
        <w:t>to aid in navigation and increase safety at sea.</w:t>
      </w:r>
    </w:p>
    <w:p w:rsidR="00A4674B" w:rsidRPr="00244C7A" w:rsidP="00244C7A">
      <w:pPr>
        <w:pBdr>
          <w:top w:val="nil"/>
          <w:left w:val="nil"/>
          <w:bottom w:val="nil"/>
          <w:right w:val="nil"/>
          <w:between w:val="nil"/>
        </w:pBdr>
        <w:spacing w:before="80" w:after="240"/>
      </w:pPr>
      <w:r w:rsidRPr="00244C7A">
        <w:t xml:space="preserve">Additional gear markings required for </w:t>
      </w:r>
      <w:r w:rsidRPr="00244C7A">
        <w:t>effort-control in lobster trap and gillnet fisheries (§§ 648.80, 648.92(b)(8)(B)(ii), and 697.21(a)(2)) are approved and accounted for under OMB Control Number 0648-0202.</w:t>
      </w:r>
    </w:p>
    <w:p w:rsidR="00BD2730" w:rsidRPr="00244C7A" w:rsidP="00244C7A">
      <w:pPr>
        <w:pStyle w:val="Heading1"/>
        <w:numPr>
          <w:ilvl w:val="0"/>
          <w:numId w:val="3"/>
        </w:numPr>
        <w:tabs>
          <w:tab w:val="left" w:pos="360"/>
        </w:tabs>
        <w:spacing w:after="240"/>
        <w:ind w:left="0" w:firstLine="0"/>
      </w:pPr>
      <w:r w:rsidRPr="00244C7A">
        <w:t>Indicate how, by whom, and for what purpose the information is to be used. Except for</w:t>
      </w:r>
      <w:r w:rsidRPr="00244C7A">
        <w:t xml:space="preserve"> a new collection, indicate the actual use the agency has made of the information received from the current collection.</w:t>
      </w:r>
    </w:p>
    <w:p w:rsidR="009F5391" w:rsidRPr="00244C7A" w:rsidP="00244C7A">
      <w:pPr>
        <w:spacing w:before="80" w:after="240"/>
        <w:rPr>
          <w:bCs/>
        </w:rPr>
      </w:pPr>
      <w:r w:rsidRPr="00244C7A">
        <w:rPr>
          <w:bCs/>
        </w:rPr>
        <w:t xml:space="preserve">No information is </w:t>
      </w:r>
      <w:r w:rsidRPr="00244C7A">
        <w:t xml:space="preserve">submitted directly to NMFS or the public </w:t>
      </w:r>
      <w:r w:rsidRPr="00244C7A" w:rsidR="00051C3D">
        <w:rPr>
          <w:bCs/>
        </w:rPr>
        <w:t>because</w:t>
      </w:r>
      <w:r w:rsidRPr="00244C7A">
        <w:rPr>
          <w:bCs/>
        </w:rPr>
        <w:t xml:space="preserve"> of this collection.  Gear identification information must be affixed </w:t>
      </w:r>
      <w:r w:rsidRPr="00244C7A">
        <w:rPr>
          <w:bCs/>
        </w:rPr>
        <w:t>to the gear, as specified in the regulations.  This identification allows law enforcement personnel, including U.S. Coast Guard, NMFS Office of Law Enforcement, and state enforcement agency marine patrols, to ascertain ownership of gear that is out of comp</w:t>
      </w:r>
      <w:r w:rsidRPr="00244C7A">
        <w:rPr>
          <w:bCs/>
        </w:rPr>
        <w:t>liance with the Federal fishing regulations. Gear markings are also used to identify the owner of</w:t>
      </w:r>
      <w:r w:rsidRPr="00244C7A">
        <w:t xml:space="preserve"> lost or abandoned gear, gear involved in interactions with protected species, and gear involved in conflicts with other fishing gear.</w:t>
      </w:r>
      <w:r w:rsidRPr="00244C7A">
        <w:rPr>
          <w:bCs/>
        </w:rPr>
        <w:t xml:space="preserve"> The fishing industry ult</w:t>
      </w:r>
      <w:r w:rsidRPr="00244C7A">
        <w:rPr>
          <w:bCs/>
        </w:rPr>
        <w:t xml:space="preserve">imately benefits from this requirement, as unauthorized and illegal fishing is deterred, which reduces the need for more restrictive regulations.  </w:t>
      </w:r>
    </w:p>
    <w:p w:rsidR="00A62EDA" w:rsidRPr="00244C7A" w:rsidP="00244C7A">
      <w:pPr>
        <w:spacing w:before="80" w:after="240"/>
        <w:rPr>
          <w:bCs/>
        </w:rPr>
      </w:pPr>
      <w:r w:rsidRPr="00244C7A">
        <w:rPr>
          <w:bCs/>
        </w:rPr>
        <w:t>Gear must be marked at all times, but owners likely need to re</w:t>
      </w:r>
      <w:r w:rsidR="000419E8">
        <w:rPr>
          <w:bCs/>
        </w:rPr>
        <w:t>-</w:t>
      </w:r>
      <w:r w:rsidRPr="00244C7A">
        <w:rPr>
          <w:bCs/>
        </w:rPr>
        <w:t xml:space="preserve">mark gear annually due to wear and tear. All </w:t>
      </w:r>
      <w:r w:rsidRPr="00244C7A">
        <w:rPr>
          <w:bCs/>
        </w:rPr>
        <w:t xml:space="preserve">characters used in vessel identification (e.g., Federal </w:t>
      </w:r>
      <w:r w:rsidR="007F6A3A">
        <w:rPr>
          <w:bCs/>
        </w:rPr>
        <w:t xml:space="preserve">vessel </w:t>
      </w:r>
      <w:r w:rsidRPr="00244C7A">
        <w:rPr>
          <w:bCs/>
        </w:rPr>
        <w:t>permit number, the vessel’s official number) are considered public information.</w:t>
      </w:r>
      <w:r w:rsidRPr="00244C7A" w:rsidR="005032F3">
        <w:rPr>
          <w:bCs/>
        </w:rPr>
        <w:t xml:space="preserve"> This is an ongoing collection, and no changes have been made to the requirements.</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Describe whether, and to what e</w:t>
      </w:r>
      <w:r w:rsidRPr="00244C7A">
        <w:rPr>
          <w:b/>
          <w:color w:val="000000"/>
        </w:rPr>
        <w:t>xtent, the collection of information involves the use of automated, electronic, mechanical, or other technological collection techniques or other forms of information technology, e.g. permitting electronic submission of responses, and the basis for the dec</w:t>
      </w:r>
      <w:r w:rsidRPr="00244C7A">
        <w:rPr>
          <w:b/>
          <w:color w:val="000000"/>
        </w:rPr>
        <w:t>ision for adopting this means of collection. Also, describe any consideration of using information technology to reduce burden.</w:t>
      </w:r>
    </w:p>
    <w:p w:rsidR="00E7373A" w:rsidRPr="00244C7A" w:rsidP="00244C7A">
      <w:pPr>
        <w:spacing w:before="80" w:after="240"/>
      </w:pPr>
      <w:r w:rsidRPr="00244C7A">
        <w:t>The gear marking requirements allow for the visual identification of fishing gear.  Although technologies are available to elect</w:t>
      </w:r>
      <w:r w:rsidRPr="00244C7A">
        <w:t>ronically identify fishing gear, this technology is severely limited and visual identification of fishing gear through marking requirements is necessary.  The visual collection of gear identification markings by the public and law enforcement personnel may</w:t>
      </w:r>
      <w:r w:rsidRPr="00244C7A">
        <w:t xml:space="preserve"> involve binoculars, plain sight, or other sight enhancement technologies.</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Describe efforts to identify duplication. Show specifically why any similar information already available cannot be used or modified for use for the purposes described in Question 2</w:t>
      </w:r>
    </w:p>
    <w:p w:rsidR="00E7373A" w:rsidRPr="00244C7A" w:rsidP="00244C7A">
      <w:pPr>
        <w:tabs>
          <w:tab w:val="left" w:pos="360"/>
        </w:tabs>
        <w:spacing w:before="80" w:after="240"/>
      </w:pPr>
      <w:r w:rsidRPr="00244C7A">
        <w:t xml:space="preserve">There is no duplication of this requirement with other collections by NMFS.  However, the United States Coast Guard (USCG) and state regulatory agencies may require the same means and methods of gear identification.  These requirements are complementary </w:t>
      </w:r>
      <w:r w:rsidRPr="00244C7A">
        <w:t>and do not create any additional or duplicative requirements on the respondents.</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If the collection of information impacts small businesses or other small entities, describe any methods used to minimize burden.</w:t>
      </w:r>
    </w:p>
    <w:p w:rsidR="00E7373A" w:rsidRPr="00244C7A" w:rsidP="00244C7A">
      <w:pPr>
        <w:tabs>
          <w:tab w:val="left" w:pos="360"/>
        </w:tabs>
        <w:spacing w:before="80" w:after="240"/>
      </w:pPr>
      <w:r w:rsidRPr="00244C7A">
        <w:t xml:space="preserve">Nearly all commercial fishing vessels subject </w:t>
      </w:r>
      <w:r w:rsidRPr="00244C7A">
        <w:t xml:space="preserve">to this information collection are categorized as small businesses.  However, it is not anticipated that the information collection will have any significant </w:t>
      </w:r>
      <w:r w:rsidRPr="00244C7A">
        <w:t>impact on the operations of these small businesses.</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Describe the consequence to Federal program</w:t>
      </w:r>
      <w:r w:rsidR="000A613C">
        <w:rPr>
          <w:b/>
          <w:color w:val="000000"/>
        </w:rPr>
        <w:t>s</w:t>
      </w:r>
      <w:r w:rsidRPr="00244C7A">
        <w:rPr>
          <w:b/>
          <w:color w:val="000000"/>
        </w:rPr>
        <w:t xml:space="preserve"> o</w:t>
      </w:r>
      <w:r w:rsidRPr="00244C7A">
        <w:rPr>
          <w:b/>
          <w:color w:val="000000"/>
        </w:rPr>
        <w:t>r policy activities if the collection is not conducted or is conducted less frequently, as well as any technical or legal obstacles to reducing burden.</w:t>
      </w:r>
    </w:p>
    <w:p w:rsidR="00E7373A" w:rsidRPr="00244C7A" w:rsidP="00244C7A">
      <w:pPr>
        <w:tabs>
          <w:tab w:val="left" w:pos="360"/>
        </w:tabs>
        <w:spacing w:before="80" w:after="240"/>
      </w:pPr>
      <w:r w:rsidRPr="00244C7A">
        <w:t xml:space="preserve">If commercial fishing gear </w:t>
      </w:r>
      <w:r w:rsidRPr="00244C7A" w:rsidR="00051C3D">
        <w:t>were</w:t>
      </w:r>
      <w:r w:rsidRPr="00244C7A">
        <w:t xml:space="preserve"> not identifiable by NMFS, the U.S. Coast Guard, or other cooperating enf</w:t>
      </w:r>
      <w:r w:rsidRPr="00244C7A">
        <w:t>orcement agencies, the ability to enforce fishery regulations would be significantly impaired.  The requirements of this collection are only repeated when the markings become illegible or when lost or damaged gear is replaced.</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Explain any special circumsta</w:t>
      </w:r>
      <w:r w:rsidRPr="00244C7A">
        <w:rPr>
          <w:b/>
          <w:color w:val="000000"/>
        </w:rPr>
        <w:t>nces that would cause an information collection to be conducted in a manner inconsistent with OMB guidelines.</w:t>
      </w:r>
    </w:p>
    <w:p w:rsidR="00886E73" w:rsidRPr="00244C7A" w:rsidP="00244C7A">
      <w:pPr>
        <w:spacing w:before="80" w:after="240"/>
      </w:pPr>
      <w:r w:rsidRPr="00244C7A">
        <w:t>No special circumstances require the collection to be conducted in a manner inconsistent with the OMB guidelines:</w:t>
      </w:r>
    </w:p>
    <w:p w:rsidR="00AA6596"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respondents to report information to the a</w:t>
      </w:r>
      <w:r w:rsidRPr="00244C7A">
        <w:t>gency more often than quarterly:</w:t>
      </w:r>
    </w:p>
    <w:p w:rsidR="00886E73" w:rsidRPr="00244C7A" w:rsidP="00FA0E67">
      <w:pPr>
        <w:numPr>
          <w:ilvl w:val="1"/>
          <w:numId w:val="7"/>
        </w:numPr>
        <w:pBdr>
          <w:top w:val="nil"/>
          <w:left w:val="nil"/>
          <w:bottom w:val="nil"/>
          <w:right w:val="nil"/>
          <w:between w:val="nil"/>
        </w:pBdr>
        <w:tabs>
          <w:tab w:val="left" w:pos="1890"/>
        </w:tabs>
        <w:spacing w:line="276" w:lineRule="auto"/>
      </w:pPr>
      <w:r w:rsidRPr="00244C7A">
        <w:t xml:space="preserve">Respondents are not required to submit any information to the agency </w:t>
      </w:r>
      <w:r w:rsidR="00051C3D">
        <w:t>because</w:t>
      </w:r>
      <w:r w:rsidRPr="00244C7A">
        <w:t xml:space="preserve"> of this collection.</w:t>
      </w:r>
    </w:p>
    <w:p w:rsidR="00AA6596"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respondents to prepare a written response to a collection of information in fewer t</w:t>
      </w:r>
      <w:r w:rsidRPr="00244C7A">
        <w:t xml:space="preserve">han 30 days </w:t>
      </w:r>
      <w:r w:rsidRPr="00244C7A">
        <w:t>after receipt of it:</w:t>
      </w:r>
    </w:p>
    <w:p w:rsidR="00886E73" w:rsidRPr="00244C7A" w:rsidP="00FA0E67">
      <w:pPr>
        <w:numPr>
          <w:ilvl w:val="1"/>
          <w:numId w:val="7"/>
        </w:numPr>
        <w:pBdr>
          <w:top w:val="nil"/>
          <w:left w:val="nil"/>
          <w:bottom w:val="nil"/>
          <w:right w:val="nil"/>
          <w:between w:val="nil"/>
        </w:pBdr>
        <w:tabs>
          <w:tab w:val="left" w:pos="1890"/>
        </w:tabs>
        <w:spacing w:line="276" w:lineRule="auto"/>
      </w:pPr>
      <w:r w:rsidRPr="00244C7A">
        <w:t>Respondents are not required to prepare a written response for this collection.</w:t>
      </w:r>
    </w:p>
    <w:p w:rsidR="00886E73"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respondents to submit more than an original</w:t>
      </w:r>
      <w:r w:rsidRPr="00244C7A">
        <w:t xml:space="preserve"> and two copies of any document:</w:t>
      </w:r>
    </w:p>
    <w:p w:rsidR="00886E73" w:rsidRPr="00244C7A" w:rsidP="00FA0E67">
      <w:pPr>
        <w:pStyle w:val="ListParagraph"/>
        <w:numPr>
          <w:ilvl w:val="1"/>
          <w:numId w:val="7"/>
        </w:numPr>
        <w:tabs>
          <w:tab w:val="left" w:pos="1890"/>
        </w:tabs>
        <w:spacing w:before="0" w:line="276" w:lineRule="auto"/>
      </w:pPr>
      <w:r w:rsidRPr="00244C7A">
        <w:t>Respondents are not required to submit a response to the agency for t</w:t>
      </w:r>
      <w:r w:rsidRPr="00244C7A">
        <w:t>his collection.</w:t>
      </w:r>
    </w:p>
    <w:p w:rsidR="00BD2730"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respondents to retain records, other than health, medical, government contract, grant-in- aid, or tax re</w:t>
      </w:r>
      <w:r w:rsidRPr="00244C7A">
        <w:t>cords for more than three years:</w:t>
      </w:r>
    </w:p>
    <w:p w:rsidR="00886E73" w:rsidRPr="00244C7A" w:rsidP="00FA0E67">
      <w:pPr>
        <w:pStyle w:val="ListParagraph"/>
        <w:numPr>
          <w:ilvl w:val="1"/>
          <w:numId w:val="7"/>
        </w:numPr>
        <w:tabs>
          <w:tab w:val="left" w:pos="1890"/>
        </w:tabs>
        <w:spacing w:before="0" w:line="276" w:lineRule="auto"/>
      </w:pPr>
      <w:r w:rsidRPr="00244C7A">
        <w:t>There is no record keeping requirement for this collection of information.</w:t>
      </w:r>
    </w:p>
    <w:p w:rsidR="00BD2730" w:rsidRPr="00244C7A" w:rsidP="00FA0E67">
      <w:pPr>
        <w:numPr>
          <w:ilvl w:val="0"/>
          <w:numId w:val="7"/>
        </w:numPr>
        <w:pBdr>
          <w:top w:val="nil"/>
          <w:left w:val="nil"/>
          <w:bottom w:val="nil"/>
          <w:right w:val="nil"/>
          <w:between w:val="nil"/>
        </w:pBdr>
        <w:tabs>
          <w:tab w:val="left" w:pos="1890"/>
        </w:tabs>
        <w:spacing w:line="276" w:lineRule="auto"/>
        <w:ind w:left="720"/>
      </w:pPr>
      <w:r w:rsidRPr="00244C7A">
        <w:t>I</w:t>
      </w:r>
      <w:r w:rsidRPr="00244C7A" w:rsidR="005E5860">
        <w:t>n connection with a statistical survey, that is not designed to produce valid and reliable results that can be gener</w:t>
      </w:r>
      <w:r w:rsidRPr="00244C7A">
        <w:t>alized to the universe of study:</w:t>
      </w:r>
    </w:p>
    <w:p w:rsidR="00886E73" w:rsidRPr="00244C7A" w:rsidP="00FA0E67">
      <w:pPr>
        <w:numPr>
          <w:ilvl w:val="1"/>
          <w:numId w:val="7"/>
        </w:numPr>
        <w:pBdr>
          <w:top w:val="nil"/>
          <w:left w:val="nil"/>
          <w:bottom w:val="nil"/>
          <w:right w:val="nil"/>
          <w:between w:val="nil"/>
        </w:pBdr>
        <w:tabs>
          <w:tab w:val="left" w:pos="1890"/>
        </w:tabs>
        <w:spacing w:line="276" w:lineRule="auto"/>
      </w:pPr>
      <w:r w:rsidRPr="00244C7A">
        <w:t>There are no statistical surveys related to this collection of information.</w:t>
      </w:r>
    </w:p>
    <w:p w:rsidR="00BD2730"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the use of a statistical data classification that has not be</w:t>
      </w:r>
      <w:r w:rsidRPr="00244C7A">
        <w:t>en reviewed and approved by OMB:</w:t>
      </w:r>
    </w:p>
    <w:p w:rsidR="00886E73" w:rsidRPr="00244C7A" w:rsidP="00FA0E67">
      <w:pPr>
        <w:numPr>
          <w:ilvl w:val="1"/>
          <w:numId w:val="7"/>
        </w:numPr>
        <w:pBdr>
          <w:top w:val="nil"/>
          <w:left w:val="nil"/>
          <w:bottom w:val="nil"/>
          <w:right w:val="nil"/>
          <w:between w:val="nil"/>
        </w:pBdr>
        <w:tabs>
          <w:tab w:val="left" w:pos="1890"/>
        </w:tabs>
        <w:spacing w:line="276" w:lineRule="auto"/>
      </w:pPr>
      <w:r w:rsidRPr="00244C7A">
        <w:t>There is no statistical data collection related to this collection of information.</w:t>
      </w:r>
    </w:p>
    <w:p w:rsidR="00BD2730" w:rsidRPr="00244C7A" w:rsidP="00FA0E67">
      <w:pPr>
        <w:numPr>
          <w:ilvl w:val="0"/>
          <w:numId w:val="7"/>
        </w:numPr>
        <w:pBdr>
          <w:top w:val="nil"/>
          <w:left w:val="nil"/>
          <w:bottom w:val="nil"/>
          <w:right w:val="nil"/>
          <w:between w:val="nil"/>
        </w:pBdr>
        <w:tabs>
          <w:tab w:val="left" w:pos="1890"/>
        </w:tabs>
        <w:spacing w:line="276" w:lineRule="auto"/>
        <w:ind w:left="720"/>
      </w:pPr>
      <w:r w:rsidRPr="00244C7A">
        <w:t>T</w:t>
      </w:r>
      <w:r w:rsidRPr="00244C7A" w:rsidR="005E5860">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Pr="00244C7A">
        <w:t xml:space="preserve"> compatible confidential use:</w:t>
      </w:r>
    </w:p>
    <w:p w:rsidR="00E45AD3" w:rsidRPr="00244C7A" w:rsidP="00FA0E67">
      <w:pPr>
        <w:pStyle w:val="ListParagraph"/>
        <w:numPr>
          <w:ilvl w:val="1"/>
          <w:numId w:val="7"/>
        </w:numPr>
        <w:tabs>
          <w:tab w:val="left" w:pos="1890"/>
        </w:tabs>
        <w:spacing w:before="0" w:line="276" w:lineRule="auto"/>
      </w:pPr>
      <w:r w:rsidRPr="00244C7A">
        <w:t>The information included in gear markings is not considered</w:t>
      </w:r>
      <w:r w:rsidRPr="00244C7A">
        <w:t xml:space="preserve"> confidential data. There is no pledge of confidentiality associated with this collection.</w:t>
      </w:r>
    </w:p>
    <w:p w:rsidR="00BD2730" w:rsidRPr="00244C7A" w:rsidP="00FA0E67">
      <w:pPr>
        <w:numPr>
          <w:ilvl w:val="0"/>
          <w:numId w:val="7"/>
        </w:numPr>
        <w:pBdr>
          <w:top w:val="nil"/>
          <w:left w:val="nil"/>
          <w:bottom w:val="nil"/>
          <w:right w:val="nil"/>
          <w:between w:val="nil"/>
        </w:pBdr>
        <w:tabs>
          <w:tab w:val="left" w:pos="1890"/>
        </w:tabs>
        <w:spacing w:line="276" w:lineRule="auto"/>
        <w:ind w:left="720"/>
      </w:pPr>
      <w:r w:rsidRPr="00244C7A">
        <w:t>R</w:t>
      </w:r>
      <w:r w:rsidRPr="00244C7A" w:rsidR="005E5860">
        <w:t>equiring respondents to submit proprietary trade secret</w:t>
      </w:r>
      <w:r w:rsidR="000A613C">
        <w:t>s</w:t>
      </w:r>
      <w:r w:rsidRPr="00244C7A" w:rsidR="005E5860">
        <w:t>, or other confidential information unless the agency can demonstrate that it has instituted procedures to protect the information's confidentiality</w:t>
      </w:r>
      <w:r w:rsidRPr="00244C7A">
        <w:t xml:space="preserve"> to the extent permitted by law:</w:t>
      </w:r>
    </w:p>
    <w:p w:rsidR="00E45AD3" w:rsidP="00FA0E67">
      <w:pPr>
        <w:pStyle w:val="ListParagraph"/>
        <w:numPr>
          <w:ilvl w:val="1"/>
          <w:numId w:val="7"/>
        </w:numPr>
        <w:tabs>
          <w:tab w:val="left" w:pos="1890"/>
        </w:tabs>
        <w:spacing w:before="0" w:after="240" w:line="276" w:lineRule="auto"/>
      </w:pPr>
      <w:r w:rsidRPr="00244C7A">
        <w:t xml:space="preserve">This collection does not require respondents to submit </w:t>
      </w:r>
      <w:r w:rsidRPr="00244C7A" w:rsidR="00AA6596">
        <w:t>confidential information or trade secrets</w:t>
      </w:r>
      <w:r w:rsidRPr="00244C7A">
        <w:t>.</w:t>
      </w:r>
    </w:p>
    <w:p w:rsidR="00B316B6" w:rsidRPr="00244C7A" w:rsidP="00B316B6">
      <w:pPr>
        <w:tabs>
          <w:tab w:val="left" w:pos="1890"/>
        </w:tabs>
        <w:spacing w:after="240" w:line="276" w:lineRule="auto"/>
        <w:ind w:left="760"/>
      </w:pP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If applicable, provide a copy and identify the date and page number of publications</w:t>
      </w:r>
      <w:r w:rsidRPr="00244C7A">
        <w:rPr>
          <w:b/>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w:t>
      </w:r>
      <w:r w:rsidRPr="00244C7A">
        <w:rPr>
          <w:b/>
          <w:color w:val="000000"/>
        </w:rPr>
        <w:t>ncy in response to these comments. Specifically address comments received on cost and hour burden.</w:t>
      </w:r>
    </w:p>
    <w:p w:rsidR="00BD2730" w:rsidRPr="00244C7A" w:rsidP="00244C7A">
      <w:pPr>
        <w:spacing w:before="80" w:after="240"/>
      </w:pPr>
      <w:r w:rsidRPr="00244C7A">
        <w:t xml:space="preserve">A </w:t>
      </w:r>
      <w:r w:rsidRPr="00244C7A">
        <w:rPr>
          <w:i/>
        </w:rPr>
        <w:t>Federal Register</w:t>
      </w:r>
      <w:r w:rsidRPr="00244C7A">
        <w:t xml:space="preserve"> notice was published on </w:t>
      </w:r>
      <w:r w:rsidRPr="001F7E24">
        <w:t xml:space="preserve">April 2, 2024, (89 FR 22676) soliciting public comments.  The comment period closed on June 3, 2024.  No comments </w:t>
      </w:r>
      <w:r w:rsidRPr="001F7E24">
        <w:t>were received.</w:t>
      </w:r>
      <w:r w:rsidRPr="00B316B6" w:rsidR="00B316B6">
        <w:t xml:space="preserve"> 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Explain any decision to provide any payment or gift to respondents, other than remuneration of contractors or grantees.</w:t>
      </w:r>
    </w:p>
    <w:p w:rsidR="00BD2730" w:rsidRPr="00244C7A" w:rsidP="00244C7A">
      <w:pPr>
        <w:pBdr>
          <w:top w:val="nil"/>
          <w:left w:val="nil"/>
          <w:bottom w:val="nil"/>
          <w:right w:val="nil"/>
          <w:between w:val="nil"/>
        </w:pBdr>
        <w:spacing w:before="80" w:after="240"/>
        <w:rPr>
          <w:color w:val="2F5496"/>
        </w:rPr>
      </w:pPr>
      <w:r w:rsidRPr="00244C7A">
        <w:t xml:space="preserve">No payments or gifts are provided to </w:t>
      </w:r>
      <w:r w:rsidRPr="00244C7A">
        <w:t>respondents as a part of this collection</w:t>
      </w:r>
      <w:r w:rsidRPr="00244C7A">
        <w:rPr>
          <w:color w:val="2F5496"/>
        </w:rPr>
        <w:t xml:space="preserve">. </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 xml:space="preserve">Describe any assurance of confidentiality provided to respondents and the basis for the assurance in statute, regulation, or agency policy. If the collection requires a systems of records notice (SORN) or privacy </w:t>
      </w:r>
      <w:r w:rsidRPr="00244C7A">
        <w:rPr>
          <w:b/>
          <w:color w:val="000000"/>
        </w:rPr>
        <w:t>impact assessment (PIA), those should be cited and described here.</w:t>
      </w:r>
    </w:p>
    <w:p w:rsidR="00573D97" w:rsidRPr="00244C7A" w:rsidP="00244C7A">
      <w:pPr>
        <w:spacing w:before="80" w:after="240"/>
      </w:pPr>
      <w:r w:rsidRPr="00244C7A">
        <w:t xml:space="preserve">The information included in gear markings (i.e., </w:t>
      </w:r>
      <w:r w:rsidR="000A613C">
        <w:t xml:space="preserve">vessel </w:t>
      </w:r>
      <w:r w:rsidRPr="00244C7A">
        <w:t>permit number, hull number) is not considered confidential information, and no confidentiality is provided.</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Provide additional justif</w:t>
      </w:r>
      <w:r w:rsidRPr="00244C7A">
        <w:rPr>
          <w:b/>
          <w:color w:val="000000"/>
        </w:rPr>
        <w:t>ication for any questions of a sensitive nature, such as sexual behavior or attitudes, religious beliefs, and other matters that are commonly considered private. This justification should include the reasons why the agency considers the questions necessary</w:t>
      </w:r>
      <w:r w:rsidRPr="00244C7A">
        <w:rPr>
          <w:b/>
          <w:color w:val="000000"/>
        </w:rPr>
        <w:t>, the specific uses to be made of the information, the explanation to be given to persons from whom the information is requested, and any steps to be taken to obtain their consent.</w:t>
      </w:r>
    </w:p>
    <w:p w:rsidR="00573D97" w:rsidRPr="00244C7A" w:rsidP="00244C7A">
      <w:pPr>
        <w:tabs>
          <w:tab w:val="left" w:pos="360"/>
        </w:tabs>
        <w:spacing w:before="80" w:after="240"/>
        <w:sectPr w:rsidSect="00BD7237">
          <w:footerReference w:type="default" r:id="rId5"/>
          <w:pgSz w:w="12240" w:h="15840"/>
          <w:pgMar w:top="640" w:right="1080" w:bottom="1200" w:left="1080" w:header="0" w:footer="1014" w:gutter="0"/>
          <w:cols w:space="720"/>
        </w:sectPr>
      </w:pPr>
      <w:r w:rsidRPr="00244C7A">
        <w:t>No sensitive questions are asked as part of this collection.</w:t>
      </w:r>
    </w:p>
    <w:p w:rsidR="00BD2730" w:rsidP="000072C7">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Provide estimates of the hour burden of the collection of information.</w:t>
      </w:r>
    </w:p>
    <w:p w:rsidR="00341CCA" w:rsidRPr="00331383" w:rsidP="00341CCA">
      <w:r w:rsidRPr="00331383">
        <w:t xml:space="preserve">The method for marking fishing gear varies according to the type of gear.  Gear may be marked with paint and a paintbrush, a permanent ink applicator, or a stencil.  The markings are often made upon a small floating apparatus (e.g., buoy) that is attached </w:t>
      </w:r>
      <w:r w:rsidRPr="00331383">
        <w:t xml:space="preserve">to the gear.  The number of </w:t>
      </w:r>
      <w:r w:rsidRPr="00331383">
        <w:t>“gear”</w:t>
      </w:r>
      <w:r w:rsidRPr="00331383">
        <w:t xml:space="preserve"> in the case of longline, pot, and trap fisheries is not the actual number of hooks, pots, or traps; but rather the number of vertical end lines associated with each string of respective gear, as that is the unit that is m</w:t>
      </w:r>
      <w:r w:rsidRPr="00331383">
        <w:t xml:space="preserve">arked.  The average number of lobster traps per entity is roughly 1,250 and the average number of traps per trawl (string) is 10.  </w:t>
      </w:r>
      <w:r w:rsidRPr="00331383">
        <w:t>Taking into account</w:t>
      </w:r>
      <w:r w:rsidRPr="00331383">
        <w:t xml:space="preserve"> that each trawl has two vertical end lines, this gives a total of approximately 250 vertical end lines pe</w:t>
      </w:r>
      <w:r w:rsidRPr="00331383">
        <w:t xml:space="preserve">r entity to be marked: </w:t>
      </w:r>
      <w:r w:rsidRPr="00341CCA">
        <w:rPr>
          <w:b/>
        </w:rPr>
        <w:t>1,250/10 x 2 = 250</w:t>
      </w:r>
      <w:r w:rsidRPr="00331383">
        <w:t xml:space="preserve">.  For both the black sea bass and scup fisheries, the average number of pots per entity is approximately 300, with five pots per trawl (string).  </w:t>
      </w:r>
      <w:r w:rsidRPr="00331383">
        <w:t>This totals</w:t>
      </w:r>
      <w:r w:rsidRPr="00331383">
        <w:t xml:space="preserve"> to about 120 end lines per entity: </w:t>
      </w:r>
      <w:r w:rsidRPr="00341CCA">
        <w:rPr>
          <w:b/>
        </w:rPr>
        <w:t>300/5 x 2 = 120</w:t>
      </w:r>
      <w:r>
        <w:t>.  Lon</w:t>
      </w:r>
      <w:r>
        <w:t>gline vessels (t</w:t>
      </w:r>
      <w:r w:rsidRPr="00331383">
        <w:t xml:space="preserve">ilefish, multispecies, etc.) typically fish six tub trawls (strings), resulting in 12 end lines per entity: </w:t>
      </w:r>
      <w:r w:rsidRPr="00341CCA">
        <w:rPr>
          <w:b/>
        </w:rPr>
        <w:t>6 x 2 = 12</w:t>
      </w:r>
      <w:r w:rsidRPr="00331383">
        <w:t xml:space="preserve">.  The average time estimated to mark gear is 1 minute per piece of gear.  </w:t>
      </w:r>
      <w:r>
        <w:t>Wages are based on the mean hourly wage for far</w:t>
      </w:r>
      <w:r>
        <w:t>ming, fishing and forestry, according to the Bureau of Labor Statistics. Table 1 shows the break</w:t>
      </w:r>
      <w:r w:rsidRPr="00331383">
        <w:t xml:space="preserve">down of gear items subject to this collection by gear type and fishery.  </w:t>
      </w:r>
      <w:r w:rsidRPr="00341CCA">
        <w:rPr>
          <w:b/>
        </w:rPr>
        <w:t xml:space="preserve">The total estimated burden for this collection is </w:t>
      </w:r>
      <w:r>
        <w:rPr>
          <w:b/>
        </w:rPr>
        <w:t>9,</w:t>
      </w:r>
      <w:r w:rsidR="00D01617">
        <w:rPr>
          <w:b/>
        </w:rPr>
        <w:t>571</w:t>
      </w:r>
      <w:r w:rsidRPr="00341CCA">
        <w:rPr>
          <w:b/>
        </w:rPr>
        <w:t xml:space="preserve"> hours, annually.</w:t>
      </w:r>
    </w:p>
    <w:p w:rsidR="00A40C77" w:rsidP="00341CCA">
      <w:pPr>
        <w:rPr>
          <w:b/>
        </w:rPr>
        <w:sectPr w:rsidSect="00426DF1">
          <w:footerReference w:type="default" r:id="rId6"/>
          <w:pgSz w:w="12240" w:h="15840"/>
          <w:pgMar w:top="640" w:right="1080" w:bottom="1200" w:left="1080" w:header="0" w:footer="714" w:gutter="0"/>
          <w:pgNumType w:start="1"/>
          <w:cols w:space="720"/>
          <w:docGrid w:linePitch="326"/>
        </w:sectPr>
      </w:pPr>
    </w:p>
    <w:p w:rsidR="00341CCA" w:rsidRPr="00331383" w:rsidP="00341CCA">
      <w:pPr>
        <w:rPr>
          <w:b/>
        </w:rPr>
      </w:pPr>
    </w:p>
    <w:p w:rsidR="00341CCA" w:rsidRPr="00341CCA" w:rsidP="00FA0F02">
      <w:pPr>
        <w:jc w:val="center"/>
        <w:rPr>
          <w:b/>
        </w:rPr>
      </w:pPr>
      <w:r w:rsidRPr="00331383">
        <w:rPr>
          <w:b/>
        </w:rPr>
        <w:t xml:space="preserve">Table 1. Greater Atlantic Region Gear Identification Burden Table </w:t>
      </w:r>
      <w:r w:rsidRPr="00331383" w:rsidR="00051C3D">
        <w:rPr>
          <w:b/>
        </w:rPr>
        <w:t>by</w:t>
      </w:r>
      <w:r w:rsidRPr="00331383">
        <w:rPr>
          <w:b/>
        </w:rPr>
        <w:t xml:space="preserve"> Gear Type and Fishery</w:t>
      </w:r>
    </w:p>
    <w:tbl>
      <w:tblPr>
        <w:tblStyle w:val="a0"/>
        <w:tblW w:w="14554" w:type="dxa"/>
        <w:tblInd w:w="-568" w:type="dxa"/>
        <w:tblLayout w:type="fixed"/>
        <w:tblLook w:val="0400"/>
      </w:tblPr>
      <w:tblGrid>
        <w:gridCol w:w="2178"/>
        <w:gridCol w:w="1417"/>
        <w:gridCol w:w="1683"/>
        <w:gridCol w:w="1590"/>
        <w:gridCol w:w="1683"/>
        <w:gridCol w:w="1309"/>
        <w:gridCol w:w="1590"/>
        <w:gridCol w:w="1590"/>
        <w:gridCol w:w="1496"/>
        <w:gridCol w:w="18"/>
      </w:tblGrid>
      <w:tr w:rsidTr="00224430">
        <w:tblPrEx>
          <w:tblW w:w="14554" w:type="dxa"/>
          <w:tblInd w:w="-568" w:type="dxa"/>
          <w:tblLayout w:type="fixed"/>
          <w:tblLook w:val="0400"/>
        </w:tblPrEx>
        <w:trPr>
          <w:cantSplit/>
          <w:trHeight w:val="1814"/>
        </w:trPr>
        <w:tc>
          <w:tcPr>
            <w:tcW w:w="2178"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Information Collection</w:t>
            </w:r>
          </w:p>
        </w:tc>
        <w:tc>
          <w:tcPr>
            <w:tcW w:w="1417"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Type of Respondent (e.g., Occupational Title)</w:t>
            </w:r>
          </w:p>
        </w:tc>
        <w:tc>
          <w:tcPr>
            <w:tcW w:w="1683"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of Respondents/year</w:t>
            </w:r>
            <w:r w:rsidRPr="00244C7A">
              <w:rPr>
                <w:rFonts w:eastAsia="Calibri"/>
                <w:b/>
                <w:color w:val="000000"/>
              </w:rPr>
              <w:br/>
              <w:t>(a)</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Annual # of Responses / Respondent</w:t>
            </w:r>
            <w:r w:rsidRPr="00244C7A">
              <w:rPr>
                <w:rFonts w:eastAsia="Calibri"/>
                <w:b/>
                <w:color w:val="000000"/>
              </w:rPr>
              <w:br/>
              <w:t>(b)</w:t>
            </w:r>
          </w:p>
        </w:tc>
        <w:tc>
          <w:tcPr>
            <w:tcW w:w="1683"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xml:space="preserve"> Total # of Annual Responses</w:t>
            </w:r>
            <w:r w:rsidRPr="00244C7A">
              <w:rPr>
                <w:rFonts w:eastAsia="Calibri"/>
                <w:b/>
                <w:color w:val="000000"/>
              </w:rPr>
              <w:br/>
              <w:t>(c) = (a) x (b)</w:t>
            </w:r>
          </w:p>
        </w:tc>
        <w:tc>
          <w:tcPr>
            <w:tcW w:w="1309"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xml:space="preserve">Burden </w:t>
            </w:r>
            <w:r w:rsidRPr="00244C7A">
              <w:rPr>
                <w:rFonts w:eastAsia="Calibri"/>
                <w:b/>
                <w:color w:val="000000"/>
              </w:rPr>
              <w:t>Hrs</w:t>
            </w:r>
            <w:r w:rsidRPr="00244C7A">
              <w:rPr>
                <w:rFonts w:eastAsia="Calibri"/>
                <w:b/>
                <w:color w:val="000000"/>
              </w:rPr>
              <w:t xml:space="preserve"> / Response</w:t>
            </w:r>
            <w:r w:rsidRPr="00244C7A">
              <w:rPr>
                <w:rFonts w:eastAsia="Calibri"/>
                <w:b/>
                <w:color w:val="000000"/>
              </w:rPr>
              <w:br/>
              <w:t>(d)</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xml:space="preserve">Total Annual Burden </w:t>
            </w:r>
            <w:r w:rsidRPr="00244C7A">
              <w:rPr>
                <w:rFonts w:eastAsia="Calibri"/>
                <w:b/>
                <w:color w:val="000000"/>
              </w:rPr>
              <w:t>Hrs</w:t>
            </w:r>
            <w:r w:rsidRPr="00244C7A">
              <w:rPr>
                <w:rFonts w:eastAsia="Calibri"/>
                <w:b/>
                <w:color w:val="000000"/>
              </w:rPr>
              <w:br/>
              <w:t>(</w:t>
            </w:r>
            <w:r w:rsidRPr="00244C7A">
              <w:rPr>
                <w:rFonts w:eastAsia="Calibri"/>
                <w:b/>
                <w:color w:val="000000"/>
              </w:rPr>
              <w:t>e)  =</w:t>
            </w:r>
            <w:r w:rsidRPr="00244C7A">
              <w:rPr>
                <w:rFonts w:eastAsia="Calibri"/>
                <w:b/>
                <w:color w:val="000000"/>
              </w:rPr>
              <w:t xml:space="preserve"> (c) x (d)</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xml:space="preserve">Hourly Wage </w:t>
            </w:r>
            <w:r w:rsidRPr="00244C7A">
              <w:rPr>
                <w:rFonts w:eastAsia="Calibri"/>
                <w:b/>
                <w:color w:val="000000"/>
              </w:rPr>
              <w:t>Rate  (</w:t>
            </w:r>
            <w:r w:rsidRPr="00244C7A">
              <w:rPr>
                <w:rFonts w:eastAsia="Calibri"/>
                <w:b/>
                <w:color w:val="000000"/>
              </w:rPr>
              <w:t>for Type of Respondent)</w:t>
            </w:r>
            <w:r w:rsidRPr="00244C7A">
              <w:rPr>
                <w:rFonts w:eastAsia="Calibri"/>
                <w:b/>
                <w:color w:val="000000"/>
              </w:rPr>
              <w:br/>
              <w:t>(f)</w:t>
            </w:r>
          </w:p>
        </w:tc>
        <w:tc>
          <w:tcPr>
            <w:tcW w:w="1514" w:type="dxa"/>
            <w:gridSpan w:val="2"/>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Total Annual Wage Burden Costs</w:t>
            </w:r>
            <w:r w:rsidRPr="00244C7A">
              <w:rPr>
                <w:rFonts w:eastAsia="Calibri"/>
                <w:b/>
                <w:color w:val="000000"/>
              </w:rPr>
              <w:br/>
              <w:t>(g) = (e) x (f)</w:t>
            </w:r>
          </w:p>
        </w:tc>
      </w:tr>
      <w:tr w:rsidTr="00224430">
        <w:tblPrEx>
          <w:tblW w:w="14554" w:type="dxa"/>
          <w:tblInd w:w="-568" w:type="dxa"/>
          <w:tblLayout w:type="fixed"/>
          <w:tblLook w:val="0400"/>
        </w:tblPrEx>
        <w:trPr>
          <w:gridAfter w:val="1"/>
          <w:wAfter w:w="18" w:type="dxa"/>
          <w:cantSplit/>
          <w:trHeight w:val="815"/>
        </w:trPr>
        <w:tc>
          <w:tcPr>
            <w:tcW w:w="2178" w:type="dxa"/>
            <w:tcBorders>
              <w:top w:val="nil"/>
              <w:left w:val="single" w:sz="8" w:space="0" w:color="000000"/>
              <w:bottom w:val="single" w:sz="4" w:space="0" w:color="000000"/>
              <w:right w:val="single" w:sz="4" w:space="0" w:color="000000"/>
            </w:tcBorders>
            <w:shd w:val="clear" w:color="auto" w:fill="auto"/>
            <w:vAlign w:val="bottom"/>
          </w:tcPr>
          <w:p w:rsidR="00BD2730" w:rsidRPr="00244C7A" w:rsidP="00A40C77">
            <w:pPr>
              <w:widowControl/>
              <w:spacing w:before="80"/>
              <w:rPr>
                <w:color w:val="000000"/>
              </w:rPr>
            </w:pPr>
            <w:r w:rsidRPr="00244C7A">
              <w:rPr>
                <w:color w:val="000000"/>
              </w:rPr>
              <w:t>Greater Atlantic Region Gear Identification</w:t>
            </w:r>
            <w:r w:rsidR="00B316B6">
              <w:rPr>
                <w:color w:val="000000"/>
              </w:rPr>
              <w:t xml:space="preserve"> (Lobster)</w:t>
            </w:r>
          </w:p>
        </w:tc>
        <w:tc>
          <w:tcPr>
            <w:tcW w:w="1417" w:type="dxa"/>
            <w:tcBorders>
              <w:top w:val="nil"/>
              <w:left w:val="nil"/>
              <w:bottom w:val="single" w:sz="4" w:space="0" w:color="000000"/>
              <w:right w:val="single" w:sz="4" w:space="0" w:color="000000"/>
            </w:tcBorders>
            <w:shd w:val="clear" w:color="auto" w:fill="auto"/>
            <w:vAlign w:val="bottom"/>
          </w:tcPr>
          <w:p w:rsidR="00BD2730" w:rsidRPr="00244C7A" w:rsidP="00A40C77">
            <w:pPr>
              <w:spacing w:before="80"/>
              <w:jc w:val="center"/>
              <w:rPr>
                <w:color w:val="000000"/>
              </w:rPr>
            </w:pPr>
            <w:r w:rsidRPr="00244C7A">
              <w:rPr>
                <w:color w:val="000000"/>
              </w:rPr>
              <w:t>45-0000 Lobster</w:t>
            </w:r>
          </w:p>
        </w:tc>
        <w:tc>
          <w:tcPr>
            <w:tcW w:w="1683" w:type="dxa"/>
            <w:tcBorders>
              <w:top w:val="nil"/>
              <w:left w:val="nil"/>
              <w:bottom w:val="single" w:sz="4" w:space="0" w:color="000000"/>
              <w:right w:val="single" w:sz="4" w:space="0" w:color="000000"/>
            </w:tcBorders>
            <w:shd w:val="clear" w:color="auto" w:fill="auto"/>
            <w:vAlign w:val="bottom"/>
          </w:tcPr>
          <w:p w:rsidR="00BD2730" w:rsidRPr="00244C7A" w:rsidP="00A40C77">
            <w:pPr>
              <w:spacing w:before="80"/>
              <w:jc w:val="right"/>
              <w:rPr>
                <w:color w:val="000000"/>
              </w:rPr>
            </w:pPr>
            <w:r w:rsidRPr="00244C7A">
              <w:rPr>
                <w:color w:val="000000"/>
              </w:rPr>
              <w:t>2,010</w:t>
            </w:r>
            <w:r w:rsidRPr="00244C7A" w:rsidR="005E5860">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BD2730" w:rsidRPr="006E2142" w:rsidP="00A40C77">
            <w:pPr>
              <w:spacing w:before="80"/>
              <w:jc w:val="right"/>
              <w:rPr>
                <w:color w:val="000000"/>
              </w:rPr>
            </w:pPr>
            <w:r w:rsidRPr="00244C7A">
              <w:rPr>
                <w:color w:val="000000"/>
              </w:rPr>
              <w:t>250</w:t>
            </w:r>
            <w:r w:rsidRPr="00244C7A" w:rsidR="005E5860">
              <w:rPr>
                <w:rFonts w:eastAsia="Calibri"/>
                <w:color w:val="000000"/>
              </w:rPr>
              <w:t> </w:t>
            </w:r>
          </w:p>
        </w:tc>
        <w:tc>
          <w:tcPr>
            <w:tcW w:w="1683" w:type="dxa"/>
            <w:tcBorders>
              <w:top w:val="nil"/>
              <w:left w:val="nil"/>
              <w:bottom w:val="single" w:sz="4" w:space="0" w:color="000000"/>
              <w:right w:val="single" w:sz="4" w:space="0" w:color="000000"/>
            </w:tcBorders>
            <w:shd w:val="clear" w:color="auto" w:fill="auto"/>
            <w:vAlign w:val="bottom"/>
          </w:tcPr>
          <w:p w:rsidR="00BD2730" w:rsidRPr="006E2142" w:rsidP="00A40C77">
            <w:pPr>
              <w:spacing w:before="80"/>
              <w:jc w:val="right"/>
              <w:rPr>
                <w:color w:val="000000"/>
              </w:rPr>
            </w:pPr>
            <w:r>
              <w:rPr>
                <w:color w:val="000000"/>
              </w:rPr>
              <w:t>502,500</w:t>
            </w:r>
            <w:r w:rsidRPr="00244C7A" w:rsidR="005E5860">
              <w:rPr>
                <w:rFonts w:eastAsia="Calibri"/>
                <w:color w:val="000000"/>
              </w:rPr>
              <w:t> </w:t>
            </w:r>
          </w:p>
        </w:tc>
        <w:tc>
          <w:tcPr>
            <w:tcW w:w="1309" w:type="dxa"/>
            <w:tcBorders>
              <w:top w:val="nil"/>
              <w:left w:val="nil"/>
              <w:bottom w:val="single" w:sz="4" w:space="0" w:color="000000"/>
              <w:right w:val="single" w:sz="4" w:space="0" w:color="000000"/>
            </w:tcBorders>
            <w:shd w:val="clear" w:color="auto" w:fill="auto"/>
            <w:vAlign w:val="bottom"/>
          </w:tcPr>
          <w:p w:rsidR="00BD2730" w:rsidRPr="006E2142" w:rsidP="00A40C77">
            <w:pPr>
              <w:spacing w:before="80"/>
              <w:jc w:val="right"/>
              <w:rPr>
                <w:color w:val="000000"/>
              </w:rPr>
            </w:pPr>
            <w:r w:rsidRPr="00244C7A">
              <w:rPr>
                <w:color w:val="000000"/>
              </w:rPr>
              <w:t>0.017</w:t>
            </w:r>
            <w:r w:rsidRPr="00244C7A" w:rsidR="005E5860">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BD2730" w:rsidRPr="006E2142" w:rsidP="00A40C77">
            <w:pPr>
              <w:spacing w:before="80"/>
              <w:jc w:val="right"/>
              <w:rPr>
                <w:color w:val="000000"/>
              </w:rPr>
            </w:pPr>
            <w:r>
              <w:rPr>
                <w:color w:val="000000"/>
              </w:rPr>
              <w:t>8,543</w:t>
            </w:r>
            <w:r w:rsidRPr="00244C7A" w:rsidR="005E5860">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BD2730" w:rsidRPr="00244C7A" w:rsidP="00A40C77">
            <w:pPr>
              <w:widowControl/>
              <w:spacing w:before="80"/>
              <w:jc w:val="right"/>
              <w:rPr>
                <w:rFonts w:eastAsia="Calibri"/>
                <w:color w:val="000000"/>
              </w:rPr>
            </w:pPr>
            <w:r w:rsidRPr="00244C7A">
              <w:rPr>
                <w:rFonts w:eastAsia="Calibri"/>
                <w:color w:val="000000"/>
              </w:rPr>
              <w:t>19.22</w:t>
            </w:r>
            <w:r w:rsidRPr="00244C7A" w:rsidR="005E5860">
              <w:rPr>
                <w:rFonts w:eastAsia="Calibri"/>
                <w:color w:val="000000"/>
              </w:rPr>
              <w:t> </w:t>
            </w:r>
          </w:p>
        </w:tc>
        <w:tc>
          <w:tcPr>
            <w:tcW w:w="1496" w:type="dxa"/>
            <w:tcBorders>
              <w:top w:val="nil"/>
              <w:left w:val="nil"/>
              <w:bottom w:val="single" w:sz="4" w:space="0" w:color="000000"/>
              <w:right w:val="single" w:sz="8" w:space="0" w:color="000000"/>
            </w:tcBorders>
            <w:shd w:val="clear" w:color="auto" w:fill="auto"/>
            <w:vAlign w:val="bottom"/>
          </w:tcPr>
          <w:p w:rsidR="00BD2730" w:rsidRPr="006E2142" w:rsidP="00A40C77">
            <w:pPr>
              <w:spacing w:before="80"/>
              <w:jc w:val="right"/>
              <w:rPr>
                <w:color w:val="000000"/>
              </w:rPr>
            </w:pPr>
            <w:r>
              <w:rPr>
                <w:color w:val="000000"/>
              </w:rPr>
              <w:t xml:space="preserve">  164,166.4</w:t>
            </w:r>
            <w:r w:rsidR="001D4B69">
              <w:rPr>
                <w:color w:val="000000"/>
              </w:rPr>
              <w:t>3</w:t>
            </w:r>
          </w:p>
        </w:tc>
      </w:tr>
      <w:tr w:rsidTr="00224430">
        <w:tblPrEx>
          <w:tblW w:w="14554" w:type="dxa"/>
          <w:tblInd w:w="-568" w:type="dxa"/>
          <w:tblLayout w:type="fixed"/>
          <w:tblLook w:val="0400"/>
        </w:tblPrEx>
        <w:trPr>
          <w:gridAfter w:val="1"/>
          <w:wAfter w:w="18" w:type="dxa"/>
          <w:cantSplit/>
          <w:trHeight w:val="896"/>
        </w:trPr>
        <w:tc>
          <w:tcPr>
            <w:tcW w:w="2178" w:type="dxa"/>
            <w:tcBorders>
              <w:top w:val="nil"/>
              <w:left w:val="single" w:sz="8" w:space="0" w:color="000000"/>
              <w:bottom w:val="single" w:sz="4" w:space="0" w:color="000000"/>
              <w:right w:val="single" w:sz="4" w:space="0" w:color="000000"/>
            </w:tcBorders>
            <w:shd w:val="clear" w:color="auto" w:fill="auto"/>
            <w:vAlign w:val="bottom"/>
          </w:tcPr>
          <w:p w:rsidR="00580A07" w:rsidRPr="00244C7A" w:rsidP="00A40C77">
            <w:pPr>
              <w:spacing w:before="80"/>
              <w:rPr>
                <w:color w:val="000000"/>
              </w:rPr>
            </w:pPr>
            <w:r w:rsidRPr="00244C7A">
              <w:rPr>
                <w:color w:val="000000"/>
              </w:rPr>
              <w:t xml:space="preserve">Greater Atlantic Region Gear Identification </w:t>
            </w:r>
            <w:r w:rsidR="00224430">
              <w:rPr>
                <w:color w:val="000000"/>
              </w:rPr>
              <w:t>(BSB)</w:t>
            </w:r>
          </w:p>
        </w:tc>
        <w:tc>
          <w:tcPr>
            <w:tcW w:w="1417" w:type="dxa"/>
            <w:tcBorders>
              <w:top w:val="nil"/>
              <w:left w:val="nil"/>
              <w:bottom w:val="single" w:sz="4" w:space="0" w:color="000000"/>
              <w:right w:val="single" w:sz="4" w:space="0" w:color="000000"/>
            </w:tcBorders>
            <w:shd w:val="clear" w:color="auto" w:fill="auto"/>
            <w:vAlign w:val="bottom"/>
          </w:tcPr>
          <w:p w:rsidR="00580A07" w:rsidRPr="00244C7A" w:rsidP="00A40C77">
            <w:pPr>
              <w:spacing w:before="80"/>
              <w:jc w:val="center"/>
              <w:rPr>
                <w:color w:val="000000"/>
              </w:rPr>
            </w:pPr>
            <w:r w:rsidRPr="00244C7A">
              <w:rPr>
                <w:color w:val="000000"/>
              </w:rPr>
              <w:t>45-0000 Black Sea Bass</w:t>
            </w:r>
          </w:p>
        </w:tc>
        <w:tc>
          <w:tcPr>
            <w:tcW w:w="1683" w:type="dxa"/>
            <w:tcBorders>
              <w:top w:val="nil"/>
              <w:left w:val="nil"/>
              <w:bottom w:val="single" w:sz="4" w:space="0" w:color="000000"/>
              <w:right w:val="single" w:sz="4" w:space="0" w:color="000000"/>
            </w:tcBorders>
            <w:shd w:val="clear" w:color="auto" w:fill="auto"/>
            <w:vAlign w:val="bottom"/>
          </w:tcPr>
          <w:p w:rsidR="00580A07" w:rsidRPr="00244C7A" w:rsidP="00A40C77">
            <w:pPr>
              <w:spacing w:before="80"/>
              <w:jc w:val="right"/>
              <w:rPr>
                <w:color w:val="000000"/>
              </w:rPr>
            </w:pPr>
            <w:r w:rsidRPr="00244C7A">
              <w:rPr>
                <w:color w:val="000000"/>
              </w:rPr>
              <w:t>63</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color w:val="000000"/>
              </w:rPr>
              <w:t>120</w:t>
            </w:r>
          </w:p>
        </w:tc>
        <w:tc>
          <w:tcPr>
            <w:tcW w:w="1683" w:type="dxa"/>
            <w:tcBorders>
              <w:top w:val="nil"/>
              <w:left w:val="nil"/>
              <w:bottom w:val="single" w:sz="4" w:space="0" w:color="000000"/>
              <w:right w:val="single" w:sz="4" w:space="0" w:color="000000"/>
            </w:tcBorders>
            <w:shd w:val="clear" w:color="auto" w:fill="auto"/>
            <w:vAlign w:val="bottom"/>
          </w:tcPr>
          <w:p w:rsidR="00580A07" w:rsidRPr="006E2142" w:rsidP="00817201">
            <w:pPr>
              <w:spacing w:before="80"/>
              <w:jc w:val="right"/>
              <w:rPr>
                <w:color w:val="000000"/>
              </w:rPr>
            </w:pPr>
            <w:r>
              <w:rPr>
                <w:color w:val="000000"/>
              </w:rPr>
              <w:t>7</w:t>
            </w:r>
            <w:r w:rsidR="00B82918">
              <w:rPr>
                <w:color w:val="000000"/>
              </w:rPr>
              <w:t>,5</w:t>
            </w:r>
            <w:r w:rsidR="00817201">
              <w:rPr>
                <w:color w:val="000000"/>
              </w:rPr>
              <w:t>60</w:t>
            </w:r>
            <w:r w:rsidRPr="00244C7A">
              <w:rPr>
                <w:rFonts w:eastAsia="Calibri"/>
                <w:color w:val="000000"/>
              </w:rPr>
              <w:t> </w:t>
            </w:r>
          </w:p>
        </w:tc>
        <w:tc>
          <w:tcPr>
            <w:tcW w:w="1309"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sidRPr="00244C7A">
              <w:rPr>
                <w:color w:val="000000"/>
              </w:rPr>
              <w:t>0.017</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129</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19.22 </w:t>
            </w:r>
          </w:p>
        </w:tc>
        <w:tc>
          <w:tcPr>
            <w:tcW w:w="1496" w:type="dxa"/>
            <w:tcBorders>
              <w:top w:val="nil"/>
              <w:left w:val="nil"/>
              <w:bottom w:val="single" w:sz="4" w:space="0" w:color="000000"/>
              <w:right w:val="single" w:sz="8" w:space="0" w:color="000000"/>
            </w:tcBorders>
            <w:shd w:val="clear" w:color="auto" w:fill="auto"/>
            <w:vAlign w:val="bottom"/>
          </w:tcPr>
          <w:p w:rsidR="00580A07" w:rsidRPr="006E2142" w:rsidP="00A40C77">
            <w:pPr>
              <w:spacing w:before="80"/>
              <w:jc w:val="right"/>
              <w:rPr>
                <w:color w:val="000000"/>
              </w:rPr>
            </w:pPr>
            <w:r>
              <w:rPr>
                <w:color w:val="000000"/>
              </w:rPr>
              <w:t xml:space="preserve">      2,450.55</w:t>
            </w:r>
            <w:r w:rsidRPr="00244C7A">
              <w:rPr>
                <w:rFonts w:eastAsia="Calibri"/>
                <w:color w:val="000000"/>
              </w:rPr>
              <w:t> </w:t>
            </w:r>
          </w:p>
        </w:tc>
      </w:tr>
      <w:tr w:rsidTr="00224430">
        <w:tblPrEx>
          <w:tblW w:w="14554" w:type="dxa"/>
          <w:tblInd w:w="-568" w:type="dxa"/>
          <w:tblLayout w:type="fixed"/>
          <w:tblLook w:val="0400"/>
        </w:tblPrEx>
        <w:trPr>
          <w:gridAfter w:val="1"/>
          <w:wAfter w:w="18" w:type="dxa"/>
          <w:cantSplit/>
          <w:trHeight w:val="1053"/>
        </w:trPr>
        <w:tc>
          <w:tcPr>
            <w:tcW w:w="2178" w:type="dxa"/>
            <w:tcBorders>
              <w:top w:val="nil"/>
              <w:left w:val="single" w:sz="8" w:space="0" w:color="000000"/>
              <w:bottom w:val="single" w:sz="4" w:space="0" w:color="000000"/>
              <w:right w:val="single" w:sz="4" w:space="0" w:color="000000"/>
            </w:tcBorders>
            <w:shd w:val="clear" w:color="auto" w:fill="auto"/>
            <w:vAlign w:val="bottom"/>
          </w:tcPr>
          <w:p w:rsidR="00580A07" w:rsidRPr="00244C7A" w:rsidP="00A40C77">
            <w:pPr>
              <w:spacing w:before="80"/>
              <w:rPr>
                <w:color w:val="000000"/>
              </w:rPr>
            </w:pPr>
            <w:r w:rsidRPr="00244C7A">
              <w:rPr>
                <w:color w:val="000000"/>
              </w:rPr>
              <w:t xml:space="preserve">Greater Atlantic Region Gear Identification </w:t>
            </w:r>
            <w:r w:rsidR="00224430">
              <w:rPr>
                <w:color w:val="000000"/>
              </w:rPr>
              <w:t>(Scup)</w:t>
            </w:r>
          </w:p>
        </w:tc>
        <w:tc>
          <w:tcPr>
            <w:tcW w:w="1417"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center"/>
              <w:rPr>
                <w:rFonts w:eastAsia="Calibri"/>
                <w:color w:val="000000"/>
              </w:rPr>
            </w:pPr>
            <w:r w:rsidRPr="00244C7A">
              <w:rPr>
                <w:rFonts w:eastAsia="Calibri"/>
                <w:color w:val="000000"/>
              </w:rPr>
              <w:t> 45-0000 Scup</w:t>
            </w:r>
          </w:p>
        </w:tc>
        <w:tc>
          <w:tcPr>
            <w:tcW w:w="1683" w:type="dxa"/>
            <w:tcBorders>
              <w:top w:val="nil"/>
              <w:left w:val="nil"/>
              <w:bottom w:val="single" w:sz="4" w:space="0" w:color="000000"/>
              <w:right w:val="single" w:sz="4" w:space="0" w:color="000000"/>
            </w:tcBorders>
            <w:shd w:val="clear" w:color="auto" w:fill="auto"/>
            <w:vAlign w:val="bottom"/>
          </w:tcPr>
          <w:p w:rsidR="00580A07" w:rsidRPr="00244C7A" w:rsidP="00A40C77">
            <w:pPr>
              <w:spacing w:before="80"/>
              <w:jc w:val="right"/>
              <w:rPr>
                <w:color w:val="000000"/>
              </w:rPr>
            </w:pPr>
            <w:r w:rsidRPr="00244C7A">
              <w:rPr>
                <w:color w:val="000000"/>
              </w:rPr>
              <w:t>28</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120 </w:t>
            </w:r>
          </w:p>
        </w:tc>
        <w:tc>
          <w:tcPr>
            <w:tcW w:w="1683" w:type="dxa"/>
            <w:tcBorders>
              <w:top w:val="nil"/>
              <w:left w:val="nil"/>
              <w:bottom w:val="single" w:sz="4" w:space="0" w:color="000000"/>
              <w:right w:val="single" w:sz="4" w:space="0" w:color="000000"/>
            </w:tcBorders>
            <w:shd w:val="clear" w:color="auto" w:fill="auto"/>
            <w:vAlign w:val="bottom"/>
          </w:tcPr>
          <w:p w:rsidR="00580A07" w:rsidRPr="006E2142" w:rsidP="00817201">
            <w:pPr>
              <w:spacing w:before="80"/>
              <w:jc w:val="right"/>
              <w:rPr>
                <w:color w:val="000000"/>
              </w:rPr>
            </w:pPr>
            <w:r>
              <w:rPr>
                <w:color w:val="000000"/>
              </w:rPr>
              <w:t>3,3</w:t>
            </w:r>
            <w:r w:rsidR="00817201">
              <w:rPr>
                <w:color w:val="000000"/>
              </w:rPr>
              <w:t>60</w:t>
            </w:r>
          </w:p>
        </w:tc>
        <w:tc>
          <w:tcPr>
            <w:tcW w:w="1309"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sidRPr="00244C7A">
              <w:rPr>
                <w:color w:val="000000"/>
              </w:rPr>
              <w:t>0.017</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57</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19.22 </w:t>
            </w:r>
          </w:p>
        </w:tc>
        <w:tc>
          <w:tcPr>
            <w:tcW w:w="1496" w:type="dxa"/>
            <w:tcBorders>
              <w:top w:val="nil"/>
              <w:left w:val="nil"/>
              <w:bottom w:val="single" w:sz="4" w:space="0" w:color="000000"/>
              <w:right w:val="single" w:sz="8" w:space="0" w:color="000000"/>
            </w:tcBorders>
            <w:shd w:val="clear" w:color="auto" w:fill="auto"/>
            <w:vAlign w:val="bottom"/>
          </w:tcPr>
          <w:p w:rsidR="00580A07" w:rsidRPr="006E2142" w:rsidP="00A40C77">
            <w:pPr>
              <w:spacing w:before="80"/>
              <w:jc w:val="right"/>
              <w:rPr>
                <w:color w:val="000000"/>
              </w:rPr>
            </w:pPr>
            <w:r>
              <w:rPr>
                <w:color w:val="000000"/>
              </w:rPr>
              <w:t xml:space="preserve">     1,078.24</w:t>
            </w:r>
            <w:r w:rsidRPr="00244C7A">
              <w:rPr>
                <w:rFonts w:eastAsia="Calibri"/>
                <w:color w:val="000000"/>
              </w:rPr>
              <w:t> </w:t>
            </w:r>
          </w:p>
        </w:tc>
      </w:tr>
      <w:tr w:rsidTr="00224430">
        <w:tblPrEx>
          <w:tblW w:w="14554" w:type="dxa"/>
          <w:tblInd w:w="-568" w:type="dxa"/>
          <w:tblLayout w:type="fixed"/>
          <w:tblLook w:val="0400"/>
        </w:tblPrEx>
        <w:trPr>
          <w:gridAfter w:val="1"/>
          <w:wAfter w:w="18" w:type="dxa"/>
          <w:cantSplit/>
          <w:trHeight w:val="1065"/>
        </w:trPr>
        <w:tc>
          <w:tcPr>
            <w:tcW w:w="2178" w:type="dxa"/>
            <w:tcBorders>
              <w:top w:val="nil"/>
              <w:left w:val="single" w:sz="8" w:space="0" w:color="000000"/>
              <w:bottom w:val="single" w:sz="4" w:space="0" w:color="000000"/>
              <w:right w:val="single" w:sz="4" w:space="0" w:color="000000"/>
            </w:tcBorders>
            <w:shd w:val="clear" w:color="auto" w:fill="auto"/>
            <w:vAlign w:val="bottom"/>
          </w:tcPr>
          <w:p w:rsidR="00580A07" w:rsidRPr="00244C7A" w:rsidP="00A40C77">
            <w:pPr>
              <w:spacing w:before="80"/>
              <w:rPr>
                <w:color w:val="000000"/>
              </w:rPr>
            </w:pPr>
            <w:r w:rsidRPr="00244C7A">
              <w:rPr>
                <w:color w:val="000000"/>
              </w:rPr>
              <w:t xml:space="preserve">Greater Atlantic Region Gear Identification </w:t>
            </w:r>
            <w:r w:rsidR="00224430">
              <w:rPr>
                <w:color w:val="000000"/>
              </w:rPr>
              <w:t>(DSRC)</w:t>
            </w:r>
          </w:p>
        </w:tc>
        <w:tc>
          <w:tcPr>
            <w:tcW w:w="1417"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center"/>
              <w:rPr>
                <w:rFonts w:eastAsia="Calibri"/>
                <w:color w:val="000000"/>
              </w:rPr>
            </w:pPr>
            <w:r w:rsidRPr="00244C7A">
              <w:rPr>
                <w:rFonts w:eastAsia="Calibri"/>
                <w:color w:val="000000"/>
              </w:rPr>
              <w:t> 45-0000 Deep Sea Red Crab**</w:t>
            </w:r>
          </w:p>
        </w:tc>
        <w:tc>
          <w:tcPr>
            <w:tcW w:w="1683" w:type="dxa"/>
            <w:tcBorders>
              <w:top w:val="nil"/>
              <w:left w:val="nil"/>
              <w:bottom w:val="single" w:sz="4" w:space="0" w:color="000000"/>
              <w:right w:val="single" w:sz="4" w:space="0" w:color="000000"/>
            </w:tcBorders>
            <w:shd w:val="clear" w:color="auto" w:fill="auto"/>
            <w:vAlign w:val="bottom"/>
          </w:tcPr>
          <w:p w:rsidR="00580A07" w:rsidRPr="00244C7A" w:rsidP="00A40C77">
            <w:pPr>
              <w:spacing w:before="80"/>
              <w:jc w:val="right"/>
              <w:rPr>
                <w:color w:val="000000"/>
              </w:rPr>
            </w:pPr>
            <w:r w:rsidRPr="00244C7A">
              <w:rPr>
                <w:color w:val="000000"/>
              </w:rPr>
              <w:t>5</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60 </w:t>
            </w:r>
          </w:p>
        </w:tc>
        <w:tc>
          <w:tcPr>
            <w:tcW w:w="1683"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300</w:t>
            </w:r>
            <w:r w:rsidRPr="00244C7A">
              <w:rPr>
                <w:rFonts w:eastAsia="Calibri"/>
                <w:color w:val="000000"/>
              </w:rPr>
              <w:t> </w:t>
            </w:r>
          </w:p>
        </w:tc>
        <w:tc>
          <w:tcPr>
            <w:tcW w:w="1309"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sidRPr="00244C7A">
              <w:rPr>
                <w:color w:val="000000"/>
              </w:rPr>
              <w:t>0.017</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5</w:t>
            </w:r>
            <w:r w:rsidRPr="00244C7A">
              <w:rPr>
                <w:rFonts w:eastAsia="Calibri"/>
                <w:color w:val="000000"/>
              </w:rPr>
              <w:t> </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19.22 </w:t>
            </w:r>
          </w:p>
        </w:tc>
        <w:tc>
          <w:tcPr>
            <w:tcW w:w="1496" w:type="dxa"/>
            <w:tcBorders>
              <w:top w:val="nil"/>
              <w:left w:val="nil"/>
              <w:bottom w:val="single" w:sz="4" w:space="0" w:color="000000"/>
              <w:right w:val="single" w:sz="8" w:space="0" w:color="000000"/>
            </w:tcBorders>
            <w:shd w:val="clear" w:color="auto" w:fill="auto"/>
            <w:vAlign w:val="bottom"/>
          </w:tcPr>
          <w:p w:rsidR="00580A07" w:rsidRPr="006E2142" w:rsidP="00A40C77">
            <w:pPr>
              <w:spacing w:before="80"/>
              <w:jc w:val="right"/>
              <w:rPr>
                <w:color w:val="000000"/>
              </w:rPr>
            </w:pPr>
            <w:r>
              <w:rPr>
                <w:color w:val="000000"/>
              </w:rPr>
              <w:t xml:space="preserve">            98.02</w:t>
            </w:r>
            <w:r w:rsidRPr="00244C7A">
              <w:rPr>
                <w:rFonts w:eastAsia="Calibri"/>
                <w:color w:val="000000"/>
              </w:rPr>
              <w:t> </w:t>
            </w:r>
          </w:p>
        </w:tc>
      </w:tr>
      <w:tr w:rsidTr="00224430">
        <w:tblPrEx>
          <w:tblW w:w="14554" w:type="dxa"/>
          <w:tblInd w:w="-568" w:type="dxa"/>
          <w:tblLayout w:type="fixed"/>
          <w:tblLook w:val="0400"/>
        </w:tblPrEx>
        <w:trPr>
          <w:gridAfter w:val="1"/>
          <w:wAfter w:w="18" w:type="dxa"/>
          <w:cantSplit/>
          <w:trHeight w:val="1053"/>
        </w:trPr>
        <w:tc>
          <w:tcPr>
            <w:tcW w:w="2178" w:type="dxa"/>
            <w:tcBorders>
              <w:top w:val="nil"/>
              <w:left w:val="single" w:sz="8" w:space="0" w:color="000000"/>
              <w:bottom w:val="single" w:sz="4" w:space="0" w:color="000000"/>
              <w:right w:val="single" w:sz="4" w:space="0" w:color="000000"/>
            </w:tcBorders>
            <w:shd w:val="clear" w:color="auto" w:fill="auto"/>
            <w:vAlign w:val="bottom"/>
          </w:tcPr>
          <w:p w:rsidR="00580A07" w:rsidRPr="00244C7A" w:rsidP="00A40C77">
            <w:pPr>
              <w:spacing w:before="80"/>
              <w:rPr>
                <w:color w:val="000000"/>
              </w:rPr>
            </w:pPr>
            <w:r w:rsidRPr="00244C7A">
              <w:rPr>
                <w:color w:val="000000"/>
              </w:rPr>
              <w:t xml:space="preserve">Greater Atlantic Region Gear Identification </w:t>
            </w:r>
            <w:r w:rsidR="00224430">
              <w:rPr>
                <w:color w:val="000000"/>
              </w:rPr>
              <w:t>(Gillnet)</w:t>
            </w:r>
          </w:p>
        </w:tc>
        <w:tc>
          <w:tcPr>
            <w:tcW w:w="1417"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center"/>
              <w:rPr>
                <w:rFonts w:eastAsia="Calibri"/>
                <w:color w:val="000000"/>
              </w:rPr>
            </w:pPr>
            <w:r w:rsidRPr="00244C7A">
              <w:rPr>
                <w:rFonts w:eastAsia="Calibri"/>
                <w:color w:val="000000"/>
              </w:rPr>
              <w:t xml:space="preserve"> 45-0000 </w:t>
            </w:r>
            <w:r w:rsidRPr="00244C7A">
              <w:rPr>
                <w:rFonts w:eastAsia="Calibri"/>
                <w:color w:val="000000"/>
              </w:rPr>
              <w:t>Gillnet-All Fisheries</w:t>
            </w:r>
          </w:p>
        </w:tc>
        <w:tc>
          <w:tcPr>
            <w:tcW w:w="1683" w:type="dxa"/>
            <w:tcBorders>
              <w:top w:val="nil"/>
              <w:left w:val="nil"/>
              <w:bottom w:val="single" w:sz="4" w:space="0" w:color="000000"/>
              <w:right w:val="single" w:sz="4" w:space="0" w:color="000000"/>
            </w:tcBorders>
            <w:shd w:val="clear" w:color="auto" w:fill="auto"/>
            <w:vAlign w:val="bottom"/>
          </w:tcPr>
          <w:p w:rsidR="00580A07" w:rsidRPr="00244C7A" w:rsidP="00B82918">
            <w:pPr>
              <w:spacing w:before="80"/>
              <w:jc w:val="right"/>
              <w:rPr>
                <w:color w:val="000000"/>
              </w:rPr>
            </w:pPr>
            <w:r w:rsidRPr="00244C7A">
              <w:rPr>
                <w:color w:val="000000"/>
              </w:rPr>
              <w:t xml:space="preserve">     </w:t>
            </w:r>
            <w:r w:rsidR="00B82918">
              <w:rPr>
                <w:color w:val="000000"/>
              </w:rPr>
              <w:t>152</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320 </w:t>
            </w:r>
          </w:p>
        </w:tc>
        <w:tc>
          <w:tcPr>
            <w:tcW w:w="1683" w:type="dxa"/>
            <w:tcBorders>
              <w:top w:val="nil"/>
              <w:left w:val="nil"/>
              <w:bottom w:val="single" w:sz="4" w:space="0" w:color="000000"/>
              <w:right w:val="single" w:sz="4" w:space="0" w:color="000000"/>
            </w:tcBorders>
            <w:shd w:val="clear" w:color="auto" w:fill="auto"/>
            <w:vAlign w:val="bottom"/>
          </w:tcPr>
          <w:p w:rsidR="00580A07" w:rsidRPr="006E2142" w:rsidP="007B4998">
            <w:pPr>
              <w:spacing w:before="80"/>
              <w:jc w:val="right"/>
              <w:rPr>
                <w:color w:val="000000"/>
              </w:rPr>
            </w:pPr>
            <w:r>
              <w:rPr>
                <w:color w:val="000000"/>
              </w:rPr>
              <w:t>48,</w:t>
            </w:r>
            <w:r w:rsidR="007B4998">
              <w:rPr>
                <w:color w:val="000000"/>
              </w:rPr>
              <w:t>640</w:t>
            </w:r>
          </w:p>
        </w:tc>
        <w:tc>
          <w:tcPr>
            <w:tcW w:w="1309"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sidRPr="00244C7A">
              <w:rPr>
                <w:color w:val="000000"/>
              </w:rPr>
              <w:t>0.017</w:t>
            </w:r>
          </w:p>
        </w:tc>
        <w:tc>
          <w:tcPr>
            <w:tcW w:w="1590" w:type="dxa"/>
            <w:tcBorders>
              <w:top w:val="nil"/>
              <w:left w:val="nil"/>
              <w:bottom w:val="single" w:sz="4"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827</w:t>
            </w:r>
          </w:p>
        </w:tc>
        <w:tc>
          <w:tcPr>
            <w:tcW w:w="1590" w:type="dxa"/>
            <w:tcBorders>
              <w:top w:val="nil"/>
              <w:left w:val="nil"/>
              <w:bottom w:val="single" w:sz="4"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19.22 </w:t>
            </w:r>
          </w:p>
        </w:tc>
        <w:tc>
          <w:tcPr>
            <w:tcW w:w="1496" w:type="dxa"/>
            <w:tcBorders>
              <w:top w:val="nil"/>
              <w:left w:val="nil"/>
              <w:bottom w:val="single" w:sz="4" w:space="0" w:color="000000"/>
              <w:right w:val="single" w:sz="8" w:space="0" w:color="000000"/>
            </w:tcBorders>
            <w:shd w:val="clear" w:color="auto" w:fill="auto"/>
            <w:vAlign w:val="bottom"/>
          </w:tcPr>
          <w:p w:rsidR="00580A07" w:rsidRPr="006E2142" w:rsidP="00A40C77">
            <w:pPr>
              <w:spacing w:before="80"/>
              <w:jc w:val="right"/>
              <w:rPr>
                <w:color w:val="000000"/>
              </w:rPr>
            </w:pPr>
            <w:r>
              <w:rPr>
                <w:color w:val="000000"/>
              </w:rPr>
              <w:t xml:space="preserve">    15,866.49</w:t>
            </w:r>
            <w:r w:rsidRPr="00244C7A">
              <w:rPr>
                <w:rFonts w:eastAsia="Calibri"/>
                <w:color w:val="000000"/>
              </w:rPr>
              <w:t> </w:t>
            </w:r>
          </w:p>
        </w:tc>
      </w:tr>
      <w:tr w:rsidTr="00224430">
        <w:tblPrEx>
          <w:tblW w:w="14554" w:type="dxa"/>
          <w:tblInd w:w="-568" w:type="dxa"/>
          <w:tblLayout w:type="fixed"/>
          <w:tblLook w:val="0400"/>
        </w:tblPrEx>
        <w:trPr>
          <w:gridAfter w:val="1"/>
          <w:wAfter w:w="18" w:type="dxa"/>
          <w:cantSplit/>
          <w:trHeight w:val="1065"/>
        </w:trPr>
        <w:tc>
          <w:tcPr>
            <w:tcW w:w="2178" w:type="dxa"/>
            <w:tcBorders>
              <w:top w:val="nil"/>
              <w:left w:val="single" w:sz="8" w:space="0" w:color="000000"/>
              <w:bottom w:val="single" w:sz="8" w:space="0" w:color="000000"/>
              <w:right w:val="single" w:sz="4" w:space="0" w:color="000000"/>
            </w:tcBorders>
            <w:shd w:val="clear" w:color="auto" w:fill="auto"/>
            <w:vAlign w:val="bottom"/>
          </w:tcPr>
          <w:p w:rsidR="00580A07" w:rsidRPr="00244C7A" w:rsidP="00A40C77">
            <w:pPr>
              <w:spacing w:before="80"/>
              <w:rPr>
                <w:color w:val="000000"/>
              </w:rPr>
            </w:pPr>
            <w:r w:rsidRPr="00244C7A">
              <w:rPr>
                <w:color w:val="000000"/>
              </w:rPr>
              <w:t xml:space="preserve">Greater Atlantic Region Gear </w:t>
            </w:r>
            <w:r w:rsidRPr="00244C7A">
              <w:rPr>
                <w:color w:val="000000"/>
              </w:rPr>
              <w:t xml:space="preserve">Identification </w:t>
            </w:r>
            <w:r w:rsidRPr="00244C7A">
              <w:rPr>
                <w:rFonts w:eastAsia="Calibri"/>
                <w:color w:val="000000"/>
              </w:rPr>
              <w:t> </w:t>
            </w:r>
            <w:r w:rsidR="00224430">
              <w:rPr>
                <w:rFonts w:eastAsia="Calibri"/>
                <w:color w:val="000000"/>
              </w:rPr>
              <w:t>(</w:t>
            </w:r>
            <w:r w:rsidR="00224430">
              <w:rPr>
                <w:rFonts w:eastAsia="Calibri"/>
                <w:color w:val="000000"/>
              </w:rPr>
              <w:t>LL)</w:t>
            </w:r>
          </w:p>
        </w:tc>
        <w:tc>
          <w:tcPr>
            <w:tcW w:w="1417" w:type="dxa"/>
            <w:tcBorders>
              <w:top w:val="nil"/>
              <w:left w:val="nil"/>
              <w:bottom w:val="single" w:sz="8" w:space="0" w:color="000000"/>
              <w:right w:val="single" w:sz="4" w:space="0" w:color="000000"/>
            </w:tcBorders>
            <w:shd w:val="clear" w:color="auto" w:fill="auto"/>
            <w:vAlign w:val="bottom"/>
          </w:tcPr>
          <w:p w:rsidR="00580A07" w:rsidRPr="00244C7A" w:rsidP="00A40C77">
            <w:pPr>
              <w:widowControl/>
              <w:spacing w:before="80"/>
              <w:jc w:val="center"/>
              <w:rPr>
                <w:rFonts w:eastAsia="Calibri"/>
                <w:color w:val="000000"/>
              </w:rPr>
            </w:pPr>
            <w:r w:rsidRPr="00244C7A">
              <w:rPr>
                <w:rFonts w:eastAsia="Calibri"/>
                <w:color w:val="000000"/>
              </w:rPr>
              <w:t> 45-0000 Longline-All Fisheries</w:t>
            </w:r>
          </w:p>
        </w:tc>
        <w:tc>
          <w:tcPr>
            <w:tcW w:w="1683" w:type="dxa"/>
            <w:tcBorders>
              <w:top w:val="nil"/>
              <w:left w:val="nil"/>
              <w:bottom w:val="single" w:sz="8" w:space="0" w:color="000000"/>
              <w:right w:val="single" w:sz="4" w:space="0" w:color="000000"/>
            </w:tcBorders>
            <w:shd w:val="clear" w:color="auto" w:fill="auto"/>
            <w:vAlign w:val="bottom"/>
          </w:tcPr>
          <w:p w:rsidR="00580A07" w:rsidRPr="00244C7A" w:rsidP="00A40C77">
            <w:pPr>
              <w:spacing w:before="80"/>
              <w:jc w:val="right"/>
              <w:rPr>
                <w:color w:val="000000"/>
              </w:rPr>
            </w:pPr>
            <w:r w:rsidRPr="00244C7A">
              <w:rPr>
                <w:color w:val="000000"/>
              </w:rPr>
              <w:t xml:space="preserve">                49</w:t>
            </w:r>
          </w:p>
        </w:tc>
        <w:tc>
          <w:tcPr>
            <w:tcW w:w="1590" w:type="dxa"/>
            <w:tcBorders>
              <w:top w:val="nil"/>
              <w:left w:val="nil"/>
              <w:bottom w:val="single" w:sz="8"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12 </w:t>
            </w:r>
          </w:p>
        </w:tc>
        <w:tc>
          <w:tcPr>
            <w:tcW w:w="1683" w:type="dxa"/>
            <w:tcBorders>
              <w:top w:val="nil"/>
              <w:left w:val="nil"/>
              <w:bottom w:val="single" w:sz="8"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588</w:t>
            </w:r>
            <w:r w:rsidRPr="00244C7A">
              <w:rPr>
                <w:rFonts w:eastAsia="Calibri"/>
                <w:color w:val="000000"/>
              </w:rPr>
              <w:t> </w:t>
            </w:r>
          </w:p>
        </w:tc>
        <w:tc>
          <w:tcPr>
            <w:tcW w:w="1309" w:type="dxa"/>
            <w:tcBorders>
              <w:top w:val="nil"/>
              <w:left w:val="nil"/>
              <w:bottom w:val="single" w:sz="8" w:space="0" w:color="000000"/>
              <w:right w:val="single" w:sz="4" w:space="0" w:color="000000"/>
            </w:tcBorders>
            <w:shd w:val="clear" w:color="auto" w:fill="auto"/>
            <w:vAlign w:val="bottom"/>
          </w:tcPr>
          <w:p w:rsidR="00580A07" w:rsidRPr="006E2142" w:rsidP="00A40C77">
            <w:pPr>
              <w:spacing w:before="80"/>
              <w:jc w:val="right"/>
              <w:rPr>
                <w:color w:val="000000"/>
              </w:rPr>
            </w:pPr>
            <w:r w:rsidRPr="00244C7A">
              <w:rPr>
                <w:color w:val="000000"/>
              </w:rPr>
              <w:t>0.017</w:t>
            </w:r>
            <w:r w:rsidRPr="00244C7A">
              <w:rPr>
                <w:rFonts w:eastAsia="Calibri"/>
                <w:color w:val="000000"/>
              </w:rPr>
              <w:t> </w:t>
            </w:r>
          </w:p>
        </w:tc>
        <w:tc>
          <w:tcPr>
            <w:tcW w:w="1590" w:type="dxa"/>
            <w:tcBorders>
              <w:top w:val="nil"/>
              <w:left w:val="nil"/>
              <w:bottom w:val="single" w:sz="8" w:space="0" w:color="000000"/>
              <w:right w:val="single" w:sz="4" w:space="0" w:color="000000"/>
            </w:tcBorders>
            <w:shd w:val="clear" w:color="auto" w:fill="auto"/>
            <w:vAlign w:val="bottom"/>
          </w:tcPr>
          <w:p w:rsidR="00580A07" w:rsidRPr="006E2142" w:rsidP="00A40C77">
            <w:pPr>
              <w:spacing w:before="80"/>
              <w:jc w:val="right"/>
              <w:rPr>
                <w:color w:val="000000"/>
              </w:rPr>
            </w:pPr>
            <w:r>
              <w:rPr>
                <w:color w:val="000000"/>
              </w:rPr>
              <w:t>10</w:t>
            </w:r>
            <w:r w:rsidRPr="00244C7A">
              <w:rPr>
                <w:rFonts w:eastAsia="Calibri"/>
                <w:color w:val="000000"/>
              </w:rPr>
              <w:t> </w:t>
            </w:r>
          </w:p>
        </w:tc>
        <w:tc>
          <w:tcPr>
            <w:tcW w:w="1590" w:type="dxa"/>
            <w:tcBorders>
              <w:top w:val="nil"/>
              <w:left w:val="nil"/>
              <w:bottom w:val="single" w:sz="8" w:space="0" w:color="000000"/>
              <w:right w:val="single" w:sz="4" w:space="0" w:color="000000"/>
            </w:tcBorders>
            <w:shd w:val="clear" w:color="auto" w:fill="auto"/>
            <w:vAlign w:val="bottom"/>
          </w:tcPr>
          <w:p w:rsidR="00580A07" w:rsidRPr="00244C7A" w:rsidP="00A40C77">
            <w:pPr>
              <w:widowControl/>
              <w:spacing w:before="80"/>
              <w:jc w:val="right"/>
              <w:rPr>
                <w:rFonts w:eastAsia="Calibri"/>
                <w:color w:val="000000"/>
              </w:rPr>
            </w:pPr>
            <w:r w:rsidRPr="00244C7A">
              <w:rPr>
                <w:rFonts w:eastAsia="Calibri"/>
                <w:color w:val="000000"/>
              </w:rPr>
              <w:t>19.22 </w:t>
            </w:r>
          </w:p>
        </w:tc>
        <w:tc>
          <w:tcPr>
            <w:tcW w:w="1496" w:type="dxa"/>
            <w:tcBorders>
              <w:top w:val="nil"/>
              <w:left w:val="nil"/>
              <w:bottom w:val="single" w:sz="8" w:space="0" w:color="000000"/>
              <w:right w:val="single" w:sz="8" w:space="0" w:color="000000"/>
            </w:tcBorders>
            <w:shd w:val="clear" w:color="auto" w:fill="auto"/>
            <w:vAlign w:val="bottom"/>
          </w:tcPr>
          <w:p w:rsidR="00580A07" w:rsidRPr="006E2142" w:rsidP="00A40C77">
            <w:pPr>
              <w:spacing w:before="80"/>
              <w:jc w:val="right"/>
              <w:rPr>
                <w:color w:val="000000"/>
              </w:rPr>
            </w:pPr>
            <w:r>
              <w:rPr>
                <w:color w:val="000000"/>
              </w:rPr>
              <w:t xml:space="preserve">    192.12</w:t>
            </w:r>
            <w:r w:rsidRPr="00244C7A">
              <w:rPr>
                <w:rFonts w:eastAsia="Calibri"/>
                <w:color w:val="000000"/>
              </w:rPr>
              <w:t> </w:t>
            </w:r>
          </w:p>
        </w:tc>
      </w:tr>
      <w:tr w:rsidTr="009F5393">
        <w:tblPrEx>
          <w:tblW w:w="14554" w:type="dxa"/>
          <w:tblInd w:w="-568" w:type="dxa"/>
          <w:tblLayout w:type="fixed"/>
          <w:tblLook w:val="0400"/>
        </w:tblPrEx>
        <w:trPr>
          <w:gridAfter w:val="1"/>
          <w:wAfter w:w="18" w:type="dxa"/>
          <w:cantSplit/>
          <w:trHeight w:val="329"/>
        </w:trPr>
        <w:tc>
          <w:tcPr>
            <w:tcW w:w="2178" w:type="dxa"/>
            <w:tcBorders>
              <w:top w:val="nil"/>
              <w:left w:val="single" w:sz="8" w:space="0" w:color="000000"/>
              <w:bottom w:val="single" w:sz="8" w:space="0" w:color="000000"/>
              <w:right w:val="single" w:sz="8" w:space="0" w:color="000000"/>
            </w:tcBorders>
            <w:shd w:val="clear" w:color="auto" w:fill="DDEBF7"/>
            <w:vAlign w:val="bottom"/>
          </w:tcPr>
          <w:p w:rsidR="00D01617" w:rsidRPr="00244C7A" w:rsidP="00D01617">
            <w:pPr>
              <w:widowControl/>
              <w:spacing w:before="80"/>
              <w:rPr>
                <w:rFonts w:eastAsia="Calibri"/>
                <w:b/>
                <w:color w:val="000000"/>
              </w:rPr>
            </w:pPr>
            <w:r w:rsidRPr="00244C7A">
              <w:rPr>
                <w:rFonts w:eastAsia="Calibri"/>
                <w:b/>
                <w:color w:val="000000"/>
              </w:rPr>
              <w:t>Totals</w:t>
            </w:r>
          </w:p>
        </w:tc>
        <w:tc>
          <w:tcPr>
            <w:tcW w:w="1417" w:type="dxa"/>
            <w:tcBorders>
              <w:top w:val="nil"/>
              <w:left w:val="nil"/>
              <w:bottom w:val="single" w:sz="8" w:space="0" w:color="000000"/>
              <w:right w:val="single" w:sz="8" w:space="0" w:color="000000"/>
            </w:tcBorders>
            <w:shd w:val="clear" w:color="auto" w:fill="000000"/>
            <w:vAlign w:val="bottom"/>
          </w:tcPr>
          <w:p w:rsidR="00D01617" w:rsidRPr="00244C7A" w:rsidP="00D01617">
            <w:pPr>
              <w:widowControl/>
              <w:spacing w:before="80"/>
              <w:rPr>
                <w:rFonts w:eastAsia="Calibri"/>
                <w:b/>
                <w:color w:val="000000"/>
              </w:rPr>
            </w:pPr>
            <w:r w:rsidRPr="00244C7A">
              <w:rPr>
                <w:rFonts w:eastAsia="Calibri"/>
                <w:b/>
                <w:color w:val="000000"/>
              </w:rPr>
              <w:t> </w:t>
            </w:r>
          </w:p>
        </w:tc>
        <w:tc>
          <w:tcPr>
            <w:tcW w:w="1683" w:type="dxa"/>
            <w:tcBorders>
              <w:top w:val="nil"/>
              <w:left w:val="nil"/>
              <w:bottom w:val="single" w:sz="8" w:space="0" w:color="000000"/>
              <w:right w:val="single" w:sz="8" w:space="0" w:color="000000"/>
            </w:tcBorders>
            <w:shd w:val="clear" w:color="auto" w:fill="DBE5F1" w:themeFill="accent1" w:themeFillTint="33"/>
            <w:vAlign w:val="bottom"/>
          </w:tcPr>
          <w:p w:rsidR="00D01617" w:rsidRPr="006E2142" w:rsidP="00D01617">
            <w:pPr>
              <w:spacing w:before="80"/>
              <w:jc w:val="right"/>
              <w:rPr>
                <w:color w:val="000000"/>
              </w:rPr>
            </w:pPr>
            <w:r>
              <w:rPr>
                <w:color w:val="000000"/>
              </w:rPr>
              <w:t>2,307</w:t>
            </w:r>
            <w:r w:rsidRPr="00244C7A">
              <w:rPr>
                <w:color w:val="000000"/>
              </w:rPr>
              <w:t xml:space="preserve"> </w:t>
            </w:r>
          </w:p>
        </w:tc>
        <w:tc>
          <w:tcPr>
            <w:tcW w:w="1590" w:type="dxa"/>
            <w:tcBorders>
              <w:top w:val="nil"/>
              <w:left w:val="nil"/>
              <w:bottom w:val="single" w:sz="8" w:space="0" w:color="000000"/>
              <w:right w:val="single" w:sz="8" w:space="0" w:color="000000"/>
            </w:tcBorders>
            <w:shd w:val="clear" w:color="auto" w:fill="000000"/>
            <w:vAlign w:val="bottom"/>
          </w:tcPr>
          <w:p w:rsidR="00D01617" w:rsidRPr="00244C7A" w:rsidP="00D01617">
            <w:pPr>
              <w:widowControl/>
              <w:spacing w:before="80"/>
              <w:jc w:val="right"/>
              <w:rPr>
                <w:rFonts w:eastAsia="Calibri"/>
                <w:b/>
                <w:color w:val="000000"/>
              </w:rPr>
            </w:pPr>
            <w:r w:rsidRPr="00244C7A">
              <w:rPr>
                <w:rFonts w:eastAsia="Calibri"/>
                <w:b/>
                <w:color w:val="000000"/>
              </w:rPr>
              <w:t> </w:t>
            </w:r>
          </w:p>
        </w:tc>
        <w:tc>
          <w:tcPr>
            <w:tcW w:w="1683" w:type="dxa"/>
            <w:tcBorders>
              <w:top w:val="nil"/>
              <w:left w:val="nil"/>
              <w:bottom w:val="single" w:sz="8" w:space="0" w:color="000000"/>
              <w:right w:val="single" w:sz="8" w:space="0" w:color="000000"/>
            </w:tcBorders>
            <w:shd w:val="clear" w:color="auto" w:fill="DDEBF7"/>
            <w:vAlign w:val="bottom"/>
          </w:tcPr>
          <w:p w:rsidR="00D01617" w:rsidRPr="006E2142" w:rsidP="00D01617">
            <w:pPr>
              <w:spacing w:before="80"/>
              <w:jc w:val="right"/>
              <w:rPr>
                <w:color w:val="000000"/>
              </w:rPr>
            </w:pPr>
            <w:r w:rsidRPr="00244C7A">
              <w:rPr>
                <w:color w:val="000000"/>
              </w:rPr>
              <w:t>562,</w:t>
            </w:r>
            <w:r>
              <w:rPr>
                <w:color w:val="000000"/>
              </w:rPr>
              <w:t>948</w:t>
            </w:r>
            <w:r w:rsidRPr="00244C7A">
              <w:rPr>
                <w:color w:val="000000"/>
              </w:rPr>
              <w:t xml:space="preserve"> </w:t>
            </w:r>
          </w:p>
        </w:tc>
        <w:tc>
          <w:tcPr>
            <w:tcW w:w="1309" w:type="dxa"/>
            <w:tcBorders>
              <w:top w:val="nil"/>
              <w:left w:val="nil"/>
              <w:bottom w:val="single" w:sz="8" w:space="0" w:color="000000"/>
              <w:right w:val="single" w:sz="8" w:space="0" w:color="000000"/>
            </w:tcBorders>
            <w:shd w:val="clear" w:color="auto" w:fill="000000"/>
            <w:vAlign w:val="bottom"/>
          </w:tcPr>
          <w:p w:rsidR="00D01617" w:rsidRPr="00244C7A" w:rsidP="00D01617">
            <w:pPr>
              <w:widowControl/>
              <w:spacing w:before="80"/>
              <w:jc w:val="right"/>
              <w:rPr>
                <w:rFonts w:eastAsia="Calibri"/>
                <w:b/>
                <w:color w:val="000000"/>
              </w:rPr>
            </w:pPr>
            <w:r w:rsidRPr="00244C7A">
              <w:rPr>
                <w:rFonts w:eastAsia="Calibri"/>
                <w:b/>
                <w:color w:val="000000"/>
              </w:rPr>
              <w:t> </w:t>
            </w:r>
          </w:p>
        </w:tc>
        <w:tc>
          <w:tcPr>
            <w:tcW w:w="1590" w:type="dxa"/>
            <w:tcBorders>
              <w:top w:val="nil"/>
              <w:left w:val="nil"/>
              <w:bottom w:val="single" w:sz="8" w:space="0" w:color="000000"/>
              <w:right w:val="single" w:sz="8" w:space="0" w:color="000000"/>
            </w:tcBorders>
            <w:shd w:val="clear" w:color="auto" w:fill="DDEBF7"/>
            <w:vAlign w:val="bottom"/>
          </w:tcPr>
          <w:p w:rsidR="00D01617" w:rsidRPr="006E2142" w:rsidP="00D01617">
            <w:pPr>
              <w:spacing w:before="80"/>
              <w:jc w:val="right"/>
              <w:rPr>
                <w:color w:val="000000"/>
              </w:rPr>
            </w:pPr>
            <w:r w:rsidRPr="00244C7A">
              <w:rPr>
                <w:color w:val="000000"/>
              </w:rPr>
              <w:t xml:space="preserve"> 9,</w:t>
            </w:r>
            <w:r>
              <w:rPr>
                <w:color w:val="000000"/>
              </w:rPr>
              <w:t>571</w:t>
            </w:r>
            <w:r w:rsidRPr="00244C7A">
              <w:rPr>
                <w:color w:val="000000"/>
              </w:rPr>
              <w:t xml:space="preserve"> </w:t>
            </w:r>
          </w:p>
        </w:tc>
        <w:tc>
          <w:tcPr>
            <w:tcW w:w="1590" w:type="dxa"/>
            <w:tcBorders>
              <w:top w:val="nil"/>
              <w:left w:val="nil"/>
              <w:bottom w:val="single" w:sz="8" w:space="0" w:color="000000"/>
              <w:right w:val="single" w:sz="8" w:space="0" w:color="000000"/>
            </w:tcBorders>
            <w:shd w:val="clear" w:color="auto" w:fill="000000"/>
            <w:vAlign w:val="bottom"/>
          </w:tcPr>
          <w:p w:rsidR="00D01617" w:rsidRPr="00244C7A" w:rsidP="00D01617">
            <w:pPr>
              <w:widowControl/>
              <w:spacing w:before="80"/>
              <w:jc w:val="right"/>
              <w:rPr>
                <w:rFonts w:eastAsia="Calibri"/>
                <w:b/>
                <w:color w:val="000000"/>
              </w:rPr>
            </w:pPr>
            <w:r w:rsidRPr="00244C7A">
              <w:rPr>
                <w:rFonts w:eastAsia="Calibri"/>
                <w:b/>
                <w:color w:val="000000"/>
              </w:rPr>
              <w:t> </w:t>
            </w:r>
          </w:p>
        </w:tc>
        <w:tc>
          <w:tcPr>
            <w:tcW w:w="1496" w:type="dxa"/>
            <w:tcBorders>
              <w:top w:val="nil"/>
              <w:left w:val="nil"/>
              <w:bottom w:val="single" w:sz="8" w:space="0" w:color="000000"/>
              <w:right w:val="single" w:sz="8" w:space="0" w:color="000000"/>
            </w:tcBorders>
            <w:shd w:val="clear" w:color="auto" w:fill="DDEBF7"/>
            <w:vAlign w:val="bottom"/>
          </w:tcPr>
          <w:p w:rsidR="00D01617" w:rsidRPr="006E2142" w:rsidP="00D01617">
            <w:pPr>
              <w:spacing w:before="80"/>
              <w:jc w:val="right"/>
              <w:rPr>
                <w:color w:val="000000"/>
              </w:rPr>
            </w:pPr>
            <w:r>
              <w:rPr>
                <w:color w:val="000000"/>
              </w:rPr>
              <w:t xml:space="preserve">  183,851.85</w:t>
            </w:r>
          </w:p>
        </w:tc>
      </w:tr>
    </w:tbl>
    <w:p w:rsidR="00A40C77" w:rsidP="00244C7A">
      <w:pPr>
        <w:spacing w:before="80" w:after="240"/>
        <w:rPr>
          <w:b/>
          <w:color w:val="FF0000"/>
        </w:rPr>
        <w:sectPr w:rsidSect="00A40C77">
          <w:pgSz w:w="15840" w:h="12240" w:orient="landscape"/>
          <w:pgMar w:top="1080" w:right="640" w:bottom="1080" w:left="1200" w:header="0" w:footer="714" w:gutter="0"/>
          <w:pgNumType w:start="1"/>
          <w:cols w:space="720"/>
          <w:docGrid w:linePitch="326"/>
        </w:sectPr>
      </w:pPr>
    </w:p>
    <w:p w:rsidR="00BD2730" w:rsidRPr="001E0080" w:rsidP="00244C7A">
      <w:pPr>
        <w:spacing w:before="80" w:after="240"/>
        <w:rPr>
          <w:sz w:val="20"/>
          <w:szCs w:val="20"/>
        </w:rPr>
      </w:pPr>
      <w:r w:rsidRPr="001E0080">
        <w:rPr>
          <w:sz w:val="20"/>
          <w:szCs w:val="20"/>
        </w:rPr>
        <w:t xml:space="preserve">*Due to rounding in ROCIS, burden hours vary from1-2 hours. </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 xml:space="preserve">Provide an estimate for the total annual cost burden to respondents or record keepers resulting from the collection of information. (Do not include </w:t>
      </w:r>
      <w:r w:rsidRPr="00244C7A">
        <w:rPr>
          <w:b/>
          <w:color w:val="000000"/>
        </w:rPr>
        <w:t>the cost of any hour burden already reflected on the burden worksheet).</w:t>
      </w:r>
    </w:p>
    <w:p w:rsidR="00A40C77" w:rsidP="00A40C77">
      <w:pPr>
        <w:pStyle w:val="BodyText"/>
        <w:spacing w:before="1" w:after="240"/>
        <w:ind w:left="0"/>
      </w:pPr>
      <w:r w:rsidRPr="00BE2686">
        <w:t>The cost to respondents is minimal.  Materials needed are paint and paintbrush, permanent ink a</w:t>
      </w:r>
      <w:r w:rsidR="00FA0F02">
        <w:t>pplicator, or a stencil.  Estimated a</w:t>
      </w:r>
      <w:r w:rsidRPr="00BE2686">
        <w:t>nn</w:t>
      </w:r>
      <w:r w:rsidR="00FA0F02">
        <w:t>ual costs are $2</w:t>
      </w:r>
      <w:r w:rsidRPr="00BE2686">
        <w:t xml:space="preserve">0 to purchase the paint, ink, </w:t>
      </w:r>
      <w:r w:rsidR="00FA0F02">
        <w:t xml:space="preserve">paintbrush, and/or </w:t>
      </w:r>
      <w:r w:rsidRPr="00BE2686">
        <w:t xml:space="preserve">stencil.  Total estimated cost per vessel varies according to the type and amount of gear used.  Given normal weathering of the fishing gear, gear </w:t>
      </w:r>
      <w:r w:rsidR="00FA0F02">
        <w:t>needs to be re</w:t>
      </w:r>
      <w:r w:rsidR="000A613C">
        <w:t>-</w:t>
      </w:r>
      <w:r w:rsidR="00FA0F02">
        <w:t>marked</w:t>
      </w:r>
      <w:r w:rsidRPr="00BE2686">
        <w:t xml:space="preserve"> </w:t>
      </w:r>
      <w:r w:rsidR="00FA0F02">
        <w:t>approximately once per year</w:t>
      </w:r>
      <w:r w:rsidRPr="00BE2686">
        <w:t>.  This</w:t>
      </w:r>
      <w:r>
        <w:t xml:space="preserve"> action affects </w:t>
      </w:r>
      <w:r w:rsidR="00FA0F02">
        <w:rPr>
          <w:b/>
        </w:rPr>
        <w:t>2,306</w:t>
      </w:r>
      <w:r w:rsidRPr="00BE2686">
        <w:t xml:space="preserve"> entities, thus t</w:t>
      </w:r>
      <w:r w:rsidRPr="00BE2686">
        <w:t>he annual cost burden to respondents i</w:t>
      </w:r>
      <w:r>
        <w:t xml:space="preserve">s estimated at </w:t>
      </w:r>
      <w:r w:rsidR="00FA0F02">
        <w:rPr>
          <w:b/>
        </w:rPr>
        <w:t>$46,110</w:t>
      </w:r>
      <w:r w:rsidRPr="00BE2686">
        <w:rPr>
          <w:b/>
        </w:rPr>
        <w:t>.00 (</w:t>
      </w:r>
      <w:r w:rsidR="00FA0F02">
        <w:rPr>
          <w:b/>
        </w:rPr>
        <w:t>2,306 x $2</w:t>
      </w:r>
      <w:r w:rsidRPr="00BE2686">
        <w:rPr>
          <w:b/>
        </w:rPr>
        <w:t>0)</w:t>
      </w:r>
      <w:r w:rsidRPr="00BE2686">
        <w:t>.  A breakdown of these costs by fishery an</w:t>
      </w:r>
      <w:r>
        <w:t>d gear type is shown in Table 2.</w:t>
      </w:r>
      <w:r w:rsidR="00FA0F02">
        <w:t xml:space="preserve"> There are no</w:t>
      </w:r>
      <w:r w:rsidRPr="00FA0F02" w:rsidR="00FA0F02">
        <w:t xml:space="preserve"> capital costs or operating and maintenance costs a</w:t>
      </w:r>
      <w:r w:rsidR="00FA0F02">
        <w:t xml:space="preserve">ssociated with this information </w:t>
      </w:r>
      <w:r w:rsidRPr="00FA0F02" w:rsidR="00FA0F02">
        <w:t>collection.</w:t>
      </w:r>
    </w:p>
    <w:p w:rsidR="00BD2730" w:rsidRPr="00A40C77" w:rsidP="00FA0F02">
      <w:pPr>
        <w:jc w:val="center"/>
        <w:rPr>
          <w:b/>
        </w:rPr>
      </w:pPr>
      <w:r>
        <w:rPr>
          <w:b/>
        </w:rPr>
        <w:t>Table 2</w:t>
      </w:r>
      <w:r w:rsidRPr="00331383">
        <w:rPr>
          <w:b/>
        </w:rPr>
        <w:t xml:space="preserve">. Greater Atlantic Region Gear Identification </w:t>
      </w:r>
      <w:r>
        <w:rPr>
          <w:b/>
        </w:rPr>
        <w:t>Cost Burden</w:t>
      </w:r>
      <w:r w:rsidRPr="00331383">
        <w:rPr>
          <w:b/>
        </w:rPr>
        <w:t xml:space="preserve"> </w:t>
      </w:r>
      <w:r w:rsidRPr="00331383" w:rsidR="00051C3D">
        <w:rPr>
          <w:b/>
        </w:rPr>
        <w:t>by</w:t>
      </w:r>
      <w:r w:rsidRPr="00331383">
        <w:rPr>
          <w:b/>
        </w:rPr>
        <w:t xml:space="preserve"> Gear Type and Fishery</w:t>
      </w:r>
    </w:p>
    <w:tbl>
      <w:tblPr>
        <w:tblStyle w:val="a1"/>
        <w:tblW w:w="10275" w:type="dxa"/>
        <w:tblInd w:w="-140" w:type="dxa"/>
        <w:tblLayout w:type="fixed"/>
        <w:tblLook w:val="0400"/>
      </w:tblPr>
      <w:tblGrid>
        <w:gridCol w:w="2560"/>
        <w:gridCol w:w="1620"/>
        <w:gridCol w:w="1440"/>
        <w:gridCol w:w="1620"/>
        <w:gridCol w:w="1505"/>
        <w:gridCol w:w="1530"/>
      </w:tblGrid>
      <w:tr w:rsidTr="00A40C77">
        <w:tblPrEx>
          <w:tblW w:w="10275" w:type="dxa"/>
          <w:tblInd w:w="-140" w:type="dxa"/>
          <w:tblLayout w:type="fixed"/>
          <w:tblLook w:val="0400"/>
        </w:tblPrEx>
        <w:trPr>
          <w:trHeight w:val="915"/>
        </w:trPr>
        <w:tc>
          <w:tcPr>
            <w:tcW w:w="2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Information Collection</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of Respondents/year</w:t>
            </w:r>
            <w:r w:rsidRPr="00244C7A">
              <w:rPr>
                <w:rFonts w:eastAsia="Calibri"/>
                <w:b/>
                <w:color w:val="000000"/>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Annual # of Responses / Respondent</w:t>
            </w:r>
            <w:r w:rsidRPr="00244C7A">
              <w:rPr>
                <w:rFonts w:eastAsia="Calibri"/>
                <w:b/>
                <w:color w:val="000000"/>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 xml:space="preserve"> Total # of Annual Responses</w:t>
            </w:r>
            <w:r w:rsidRPr="00244C7A">
              <w:rPr>
                <w:rFonts w:eastAsia="Calibri"/>
                <w:b/>
                <w:color w:val="000000"/>
              </w:rPr>
              <w:br/>
              <w:t>(c) = (a) x (b)</w:t>
            </w:r>
          </w:p>
        </w:tc>
        <w:tc>
          <w:tcPr>
            <w:tcW w:w="1505"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Cost Burden / Respond</w:t>
            </w:r>
            <w:r w:rsidRPr="00244C7A">
              <w:rPr>
                <w:rFonts w:eastAsia="Calibri"/>
                <w:b/>
                <w:color w:val="000000"/>
              </w:rPr>
              <w:t>ent</w:t>
            </w:r>
            <w:r w:rsidRPr="00244C7A">
              <w:rPr>
                <w:rFonts w:eastAsia="Calibri"/>
                <w:b/>
                <w:color w:val="000000"/>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BD2730" w:rsidRPr="00244C7A" w:rsidP="00A40C77">
            <w:pPr>
              <w:widowControl/>
              <w:spacing w:before="80"/>
              <w:jc w:val="center"/>
              <w:rPr>
                <w:rFonts w:eastAsia="Calibri"/>
                <w:b/>
                <w:color w:val="000000"/>
              </w:rPr>
            </w:pPr>
            <w:r w:rsidRPr="00244C7A">
              <w:rPr>
                <w:rFonts w:eastAsia="Calibri"/>
                <w:b/>
                <w:color w:val="000000"/>
              </w:rPr>
              <w:t>Total Annual Cost Burden</w:t>
            </w:r>
            <w:r w:rsidRPr="00244C7A">
              <w:rPr>
                <w:rFonts w:eastAsia="Calibri"/>
                <w:b/>
                <w:color w:val="000000"/>
              </w:rPr>
              <w:br/>
              <w:t>(</w:t>
            </w:r>
            <w:r w:rsidRPr="00244C7A">
              <w:rPr>
                <w:rFonts w:eastAsia="Calibri"/>
                <w:b/>
                <w:color w:val="000000"/>
              </w:rPr>
              <w:t>i</w:t>
            </w:r>
            <w:r w:rsidRPr="00244C7A">
              <w:rPr>
                <w:rFonts w:eastAsia="Calibri"/>
                <w:b/>
                <w:color w:val="000000"/>
              </w:rPr>
              <w:t>) = (c) x (h)</w:t>
            </w:r>
          </w:p>
        </w:tc>
      </w:tr>
      <w:tr w:rsidTr="00A40C77">
        <w:tblPrEx>
          <w:tblW w:w="10275" w:type="dxa"/>
          <w:tblInd w:w="-140" w:type="dxa"/>
          <w:tblLayout w:type="fixed"/>
          <w:tblLook w:val="0400"/>
        </w:tblPrEx>
        <w:trPr>
          <w:trHeight w:val="300"/>
        </w:trPr>
        <w:tc>
          <w:tcPr>
            <w:tcW w:w="2560" w:type="dxa"/>
            <w:tcBorders>
              <w:top w:val="nil"/>
              <w:left w:val="single" w:sz="4" w:space="0" w:color="000000"/>
              <w:bottom w:val="single" w:sz="4" w:space="0" w:color="000000"/>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 xml:space="preserve">Greater Atlantic Region Gear Identification-Lobster </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Pr>
                <w:color w:val="000000"/>
              </w:rPr>
              <w:t>2,010</w:t>
            </w:r>
          </w:p>
        </w:tc>
        <w:tc>
          <w:tcPr>
            <w:tcW w:w="144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250</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spacing w:before="80"/>
              <w:jc w:val="right"/>
              <w:rPr>
                <w:color w:val="000000"/>
              </w:rPr>
            </w:pPr>
            <w:r>
              <w:rPr>
                <w:color w:val="000000"/>
              </w:rPr>
              <w:t>502,500</w:t>
            </w:r>
            <w:r w:rsidRPr="00244C7A">
              <w:rPr>
                <w:rFonts w:eastAsia="Calibri"/>
                <w:color w:val="000000"/>
              </w:rPr>
              <w:t> </w:t>
            </w:r>
          </w:p>
        </w:tc>
        <w:tc>
          <w:tcPr>
            <w:tcW w:w="1505"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nil"/>
              <w:left w:val="nil"/>
              <w:bottom w:val="single" w:sz="4" w:space="0" w:color="000000"/>
              <w:right w:val="single" w:sz="8" w:space="0" w:color="000000"/>
            </w:tcBorders>
            <w:shd w:val="clear" w:color="auto" w:fill="FFFFFF"/>
            <w:vAlign w:val="center"/>
          </w:tcPr>
          <w:p w:rsidR="0033697D" w:rsidRPr="00244C7A" w:rsidP="00A40C77">
            <w:pPr>
              <w:spacing w:before="80"/>
              <w:jc w:val="right"/>
              <w:rPr>
                <w:color w:val="000000"/>
              </w:rPr>
            </w:pPr>
            <w:r>
              <w:rPr>
                <w:color w:val="000000"/>
              </w:rPr>
              <w:t>40,195.00</w:t>
            </w:r>
          </w:p>
        </w:tc>
      </w:tr>
      <w:tr w:rsidTr="00A40C77">
        <w:tblPrEx>
          <w:tblW w:w="10275" w:type="dxa"/>
          <w:tblInd w:w="-140" w:type="dxa"/>
          <w:tblLayout w:type="fixed"/>
          <w:tblLook w:val="0400"/>
        </w:tblPrEx>
        <w:trPr>
          <w:trHeight w:val="300"/>
        </w:trPr>
        <w:tc>
          <w:tcPr>
            <w:tcW w:w="2560" w:type="dxa"/>
            <w:tcBorders>
              <w:top w:val="nil"/>
              <w:left w:val="single" w:sz="4" w:space="0" w:color="000000"/>
              <w:bottom w:val="single" w:sz="4" w:space="0" w:color="000000"/>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Greater Atlantic Region Gear Identification -Black Sea Bass</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Pr>
                <w:color w:val="000000"/>
              </w:rPr>
              <w:t>63</w:t>
            </w:r>
          </w:p>
        </w:tc>
        <w:tc>
          <w:tcPr>
            <w:tcW w:w="144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120</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spacing w:before="80"/>
              <w:jc w:val="right"/>
              <w:rPr>
                <w:color w:val="000000"/>
              </w:rPr>
            </w:pPr>
            <w:r>
              <w:rPr>
                <w:color w:val="000000"/>
              </w:rPr>
              <w:t>7,560</w:t>
            </w:r>
            <w:r w:rsidRPr="00244C7A">
              <w:rPr>
                <w:rFonts w:eastAsia="Calibri"/>
                <w:color w:val="000000"/>
              </w:rPr>
              <w:t> </w:t>
            </w:r>
          </w:p>
        </w:tc>
        <w:tc>
          <w:tcPr>
            <w:tcW w:w="1505"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nil"/>
              <w:left w:val="nil"/>
              <w:bottom w:val="single" w:sz="4" w:space="0" w:color="000000"/>
              <w:right w:val="single" w:sz="8" w:space="0" w:color="000000"/>
            </w:tcBorders>
            <w:shd w:val="clear" w:color="auto" w:fill="FFFFFF"/>
            <w:vAlign w:val="center"/>
          </w:tcPr>
          <w:p w:rsidR="0033697D" w:rsidRPr="00244C7A" w:rsidP="00A40C77">
            <w:pPr>
              <w:spacing w:before="80"/>
              <w:jc w:val="right"/>
              <w:rPr>
                <w:color w:val="000000"/>
              </w:rPr>
            </w:pPr>
            <w:r>
              <w:rPr>
                <w:color w:val="000000"/>
              </w:rPr>
              <w:t>1,250.00</w:t>
            </w:r>
          </w:p>
        </w:tc>
      </w:tr>
      <w:tr w:rsidTr="00A40C77">
        <w:tblPrEx>
          <w:tblW w:w="10275" w:type="dxa"/>
          <w:tblInd w:w="-140" w:type="dxa"/>
          <w:tblLayout w:type="fixed"/>
          <w:tblLook w:val="0400"/>
        </w:tblPrEx>
        <w:trPr>
          <w:trHeight w:val="300"/>
        </w:trPr>
        <w:tc>
          <w:tcPr>
            <w:tcW w:w="2560" w:type="dxa"/>
            <w:tcBorders>
              <w:top w:val="nil"/>
              <w:left w:val="single" w:sz="4" w:space="0" w:color="000000"/>
              <w:bottom w:val="single" w:sz="4" w:space="0" w:color="000000"/>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 xml:space="preserve">Greater Atlantic Region </w:t>
            </w:r>
            <w:r w:rsidRPr="00244C7A">
              <w:rPr>
                <w:color w:val="000000"/>
              </w:rPr>
              <w:t>Gear Identification -Scup</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Pr>
                <w:color w:val="000000"/>
              </w:rPr>
              <w:t>28</w:t>
            </w:r>
          </w:p>
        </w:tc>
        <w:tc>
          <w:tcPr>
            <w:tcW w:w="1440"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120</w:t>
            </w:r>
          </w:p>
        </w:tc>
        <w:tc>
          <w:tcPr>
            <w:tcW w:w="1620" w:type="dxa"/>
            <w:tcBorders>
              <w:top w:val="nil"/>
              <w:left w:val="nil"/>
              <w:bottom w:val="single" w:sz="4" w:space="0" w:color="000000"/>
              <w:right w:val="single" w:sz="4" w:space="0" w:color="000000"/>
            </w:tcBorders>
            <w:shd w:val="clear" w:color="auto" w:fill="FFFFFF"/>
            <w:vAlign w:val="center"/>
          </w:tcPr>
          <w:p w:rsidR="0033697D" w:rsidRPr="00244C7A" w:rsidP="00A40C77">
            <w:pPr>
              <w:spacing w:before="80"/>
              <w:jc w:val="right"/>
              <w:rPr>
                <w:color w:val="000000"/>
              </w:rPr>
            </w:pPr>
            <w:r>
              <w:rPr>
                <w:color w:val="000000"/>
              </w:rPr>
              <w:t xml:space="preserve">        </w:t>
            </w:r>
            <w:r w:rsidR="00BA063E">
              <w:rPr>
                <w:color w:val="000000"/>
              </w:rPr>
              <w:t>3,360</w:t>
            </w:r>
          </w:p>
        </w:tc>
        <w:tc>
          <w:tcPr>
            <w:tcW w:w="1505" w:type="dxa"/>
            <w:tcBorders>
              <w:top w:val="nil"/>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nil"/>
              <w:left w:val="nil"/>
              <w:bottom w:val="single" w:sz="4" w:space="0" w:color="000000"/>
              <w:right w:val="single" w:sz="8" w:space="0" w:color="000000"/>
            </w:tcBorders>
            <w:shd w:val="clear" w:color="auto" w:fill="FFFFFF"/>
            <w:vAlign w:val="center"/>
          </w:tcPr>
          <w:p w:rsidR="0033697D" w:rsidRPr="00244C7A" w:rsidP="00A40C77">
            <w:pPr>
              <w:spacing w:before="80"/>
              <w:jc w:val="right"/>
              <w:rPr>
                <w:color w:val="000000"/>
              </w:rPr>
            </w:pPr>
            <w:r>
              <w:rPr>
                <w:color w:val="000000"/>
              </w:rPr>
              <w:t>550.00</w:t>
            </w:r>
          </w:p>
        </w:tc>
      </w:tr>
      <w:tr w:rsidTr="00A40C77">
        <w:tblPrEx>
          <w:tblW w:w="10275" w:type="dxa"/>
          <w:tblInd w:w="-140" w:type="dxa"/>
          <w:tblLayout w:type="fixed"/>
          <w:tblLook w:val="0400"/>
        </w:tblPrEx>
        <w:trPr>
          <w:trHeight w:val="300"/>
        </w:trPr>
        <w:tc>
          <w:tcPr>
            <w:tcW w:w="2560" w:type="dxa"/>
            <w:tcBorders>
              <w:top w:val="nil"/>
              <w:left w:val="single" w:sz="4" w:space="0" w:color="000000"/>
              <w:bottom w:val="nil"/>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Greater Atlantic Region Gear Identification -Deep Sea Red Crab</w:t>
            </w:r>
          </w:p>
        </w:tc>
        <w:tc>
          <w:tcPr>
            <w:tcW w:w="1620" w:type="dxa"/>
            <w:tcBorders>
              <w:top w:val="nil"/>
              <w:left w:val="nil"/>
              <w:bottom w:val="nil"/>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5</w:t>
            </w:r>
          </w:p>
        </w:tc>
        <w:tc>
          <w:tcPr>
            <w:tcW w:w="1440" w:type="dxa"/>
            <w:tcBorders>
              <w:top w:val="nil"/>
              <w:left w:val="nil"/>
              <w:bottom w:val="nil"/>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60</w:t>
            </w:r>
          </w:p>
        </w:tc>
        <w:tc>
          <w:tcPr>
            <w:tcW w:w="1620" w:type="dxa"/>
            <w:tcBorders>
              <w:top w:val="nil"/>
              <w:left w:val="nil"/>
              <w:bottom w:val="nil"/>
              <w:right w:val="single" w:sz="4" w:space="0" w:color="000000"/>
            </w:tcBorders>
            <w:shd w:val="clear" w:color="auto" w:fill="FFFFFF"/>
            <w:vAlign w:val="center"/>
          </w:tcPr>
          <w:p w:rsidR="0033697D" w:rsidRPr="00244C7A" w:rsidP="00A40C77">
            <w:pPr>
              <w:spacing w:before="80"/>
              <w:jc w:val="right"/>
              <w:rPr>
                <w:color w:val="000000"/>
              </w:rPr>
            </w:pPr>
            <w:r>
              <w:rPr>
                <w:color w:val="000000"/>
              </w:rPr>
              <w:t xml:space="preserve">            300</w:t>
            </w:r>
          </w:p>
        </w:tc>
        <w:tc>
          <w:tcPr>
            <w:tcW w:w="1505" w:type="dxa"/>
            <w:tcBorders>
              <w:top w:val="nil"/>
              <w:left w:val="nil"/>
              <w:bottom w:val="nil"/>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nil"/>
              <w:left w:val="nil"/>
              <w:bottom w:val="nil"/>
              <w:right w:val="single" w:sz="8" w:space="0" w:color="000000"/>
            </w:tcBorders>
            <w:shd w:val="clear" w:color="auto" w:fill="FFFFFF"/>
            <w:vAlign w:val="center"/>
          </w:tcPr>
          <w:p w:rsidR="0033697D" w:rsidRPr="00244C7A" w:rsidP="00A40C77">
            <w:pPr>
              <w:spacing w:before="80"/>
              <w:jc w:val="right"/>
              <w:rPr>
                <w:color w:val="000000"/>
              </w:rPr>
            </w:pPr>
            <w:r>
              <w:rPr>
                <w:color w:val="000000"/>
              </w:rPr>
              <w:t>100.00</w:t>
            </w:r>
          </w:p>
        </w:tc>
      </w:tr>
      <w:tr w:rsidTr="00A40C77">
        <w:tblPrEx>
          <w:tblW w:w="10275" w:type="dxa"/>
          <w:tblInd w:w="-140" w:type="dxa"/>
          <w:tblLayout w:type="fixed"/>
          <w:tblLook w:val="0400"/>
        </w:tblPrEx>
        <w:trPr>
          <w:trHeight w:val="315"/>
        </w:trPr>
        <w:tc>
          <w:tcPr>
            <w:tcW w:w="2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Greater Atlantic Region Gear Identification -Gillnet</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Pr>
                <w:color w:val="000000"/>
              </w:rPr>
              <w:t>152</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320</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spacing w:before="80"/>
              <w:jc w:val="right"/>
              <w:rPr>
                <w:color w:val="000000"/>
              </w:rPr>
            </w:pPr>
            <w:r>
              <w:rPr>
                <w:color w:val="000000"/>
              </w:rPr>
              <w:t>48,640</w:t>
            </w:r>
          </w:p>
        </w:tc>
        <w:tc>
          <w:tcPr>
            <w:tcW w:w="1505"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single" w:sz="4" w:space="0" w:color="000000"/>
              <w:left w:val="nil"/>
              <w:bottom w:val="single" w:sz="4" w:space="0" w:color="000000"/>
              <w:right w:val="single" w:sz="8" w:space="0" w:color="000000"/>
            </w:tcBorders>
            <w:shd w:val="clear" w:color="auto" w:fill="FFFFFF"/>
            <w:vAlign w:val="center"/>
          </w:tcPr>
          <w:p w:rsidR="0033697D" w:rsidRPr="00244C7A" w:rsidP="00A40C77">
            <w:pPr>
              <w:spacing w:before="80"/>
              <w:jc w:val="right"/>
              <w:rPr>
                <w:color w:val="000000"/>
              </w:rPr>
            </w:pPr>
            <w:r>
              <w:rPr>
                <w:color w:val="000000"/>
              </w:rPr>
              <w:t>3,035.00</w:t>
            </w:r>
          </w:p>
        </w:tc>
      </w:tr>
      <w:tr w:rsidTr="00A40C77">
        <w:tblPrEx>
          <w:tblW w:w="10275" w:type="dxa"/>
          <w:tblInd w:w="-140" w:type="dxa"/>
          <w:tblLayout w:type="fixed"/>
          <w:tblLook w:val="0400"/>
        </w:tblPrEx>
        <w:trPr>
          <w:trHeight w:val="315"/>
        </w:trPr>
        <w:tc>
          <w:tcPr>
            <w:tcW w:w="2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97D" w:rsidRPr="00244C7A" w:rsidP="00A40C77">
            <w:pPr>
              <w:widowControl/>
              <w:spacing w:before="80"/>
              <w:rPr>
                <w:color w:val="000000"/>
              </w:rPr>
            </w:pPr>
            <w:r w:rsidRPr="00244C7A">
              <w:rPr>
                <w:color w:val="000000"/>
              </w:rPr>
              <w:t xml:space="preserve">Greater </w:t>
            </w:r>
            <w:r w:rsidRPr="00244C7A">
              <w:rPr>
                <w:color w:val="000000"/>
              </w:rPr>
              <w:t>Atlantic Region Gear Identification -Longline</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Pr>
                <w:color w:val="000000"/>
              </w:rPr>
              <w:t>49</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12</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spacing w:before="80"/>
              <w:jc w:val="right"/>
              <w:rPr>
                <w:color w:val="000000"/>
              </w:rPr>
            </w:pPr>
            <w:r>
              <w:rPr>
                <w:color w:val="000000"/>
              </w:rPr>
              <w:t xml:space="preserve">          </w:t>
            </w:r>
            <w:r w:rsidR="001D4B69">
              <w:rPr>
                <w:color w:val="000000"/>
              </w:rPr>
              <w:t>588</w:t>
            </w:r>
          </w:p>
        </w:tc>
        <w:tc>
          <w:tcPr>
            <w:tcW w:w="1505" w:type="dxa"/>
            <w:tcBorders>
              <w:top w:val="single" w:sz="4" w:space="0" w:color="000000"/>
              <w:left w:val="nil"/>
              <w:bottom w:val="single" w:sz="4" w:space="0" w:color="000000"/>
              <w:right w:val="single" w:sz="4" w:space="0" w:color="000000"/>
            </w:tcBorders>
            <w:shd w:val="clear" w:color="auto" w:fill="FFFFFF"/>
            <w:vAlign w:val="center"/>
          </w:tcPr>
          <w:p w:rsidR="0033697D" w:rsidRPr="00244C7A" w:rsidP="00A40C77">
            <w:pPr>
              <w:widowControl/>
              <w:spacing w:before="80"/>
              <w:jc w:val="right"/>
              <w:rPr>
                <w:color w:val="000000"/>
              </w:rPr>
            </w:pPr>
            <w:r w:rsidRPr="00244C7A">
              <w:rPr>
                <w:color w:val="000000"/>
              </w:rPr>
              <w:t>20.00</w:t>
            </w:r>
          </w:p>
        </w:tc>
        <w:tc>
          <w:tcPr>
            <w:tcW w:w="1530" w:type="dxa"/>
            <w:tcBorders>
              <w:top w:val="single" w:sz="4" w:space="0" w:color="000000"/>
              <w:left w:val="nil"/>
              <w:bottom w:val="single" w:sz="4" w:space="0" w:color="000000"/>
              <w:right w:val="single" w:sz="8" w:space="0" w:color="000000"/>
            </w:tcBorders>
            <w:shd w:val="clear" w:color="auto" w:fill="FFFFFF"/>
            <w:vAlign w:val="center"/>
          </w:tcPr>
          <w:p w:rsidR="0033697D" w:rsidRPr="00244C7A" w:rsidP="00A40C77">
            <w:pPr>
              <w:spacing w:before="80"/>
              <w:jc w:val="right"/>
              <w:rPr>
                <w:color w:val="000000"/>
              </w:rPr>
            </w:pPr>
            <w:r>
              <w:rPr>
                <w:color w:val="000000"/>
              </w:rPr>
              <w:t>980.00</w:t>
            </w:r>
          </w:p>
        </w:tc>
      </w:tr>
      <w:tr w:rsidTr="00BA063E">
        <w:tblPrEx>
          <w:tblW w:w="10275" w:type="dxa"/>
          <w:tblInd w:w="-140" w:type="dxa"/>
          <w:tblLayout w:type="fixed"/>
          <w:tblLook w:val="0400"/>
        </w:tblPrEx>
        <w:trPr>
          <w:trHeight w:val="315"/>
        </w:trPr>
        <w:tc>
          <w:tcPr>
            <w:tcW w:w="256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33697D" w:rsidRPr="00244C7A" w:rsidP="00A40C77">
            <w:pPr>
              <w:widowControl/>
              <w:spacing w:before="80"/>
              <w:jc w:val="right"/>
              <w:rPr>
                <w:rFonts w:eastAsia="Calibri"/>
                <w:b/>
                <w:color w:val="000000"/>
              </w:rPr>
            </w:pPr>
            <w:r w:rsidRPr="00244C7A">
              <w:rPr>
                <w:rFonts w:eastAsia="Calibri"/>
                <w:b/>
                <w:color w:val="000000"/>
              </w:rPr>
              <w:t>TOTALS</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33697D" w:rsidRPr="00A40C77" w:rsidP="00A40C77">
            <w:pPr>
              <w:spacing w:before="80"/>
              <w:jc w:val="right"/>
              <w:rPr>
                <w:color w:val="000000"/>
              </w:rPr>
            </w:pPr>
            <w:r w:rsidRPr="00244C7A">
              <w:rPr>
                <w:color w:val="000000"/>
              </w:rPr>
              <w:t xml:space="preserve">              </w:t>
            </w:r>
            <w:r w:rsidR="00D01617">
              <w:rPr>
                <w:color w:val="000000"/>
              </w:rPr>
              <w:t>2,307</w:t>
            </w:r>
          </w:p>
        </w:tc>
        <w:tc>
          <w:tcPr>
            <w:tcW w:w="1440" w:type="dxa"/>
            <w:tcBorders>
              <w:top w:val="single" w:sz="8" w:space="0" w:color="000000"/>
              <w:left w:val="nil"/>
              <w:bottom w:val="single" w:sz="8" w:space="0" w:color="000000"/>
              <w:right w:val="single" w:sz="4" w:space="0" w:color="000000"/>
            </w:tcBorders>
            <w:shd w:val="clear" w:color="auto" w:fill="000000" w:themeFill="text1"/>
            <w:vAlign w:val="center"/>
          </w:tcPr>
          <w:p w:rsidR="0033697D" w:rsidRPr="00244C7A" w:rsidP="00A40C77">
            <w:pPr>
              <w:widowControl/>
              <w:spacing w:before="80"/>
              <w:jc w:val="right"/>
              <w:rPr>
                <w:rFonts w:eastAsia="Calibri"/>
                <w:b/>
                <w:color w:val="000000"/>
              </w:rPr>
            </w:pPr>
            <w:r w:rsidRPr="00244C7A">
              <w:rPr>
                <w:rFonts w:eastAsia="Calibri"/>
                <w:b/>
                <w:color w:val="000000"/>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33697D" w:rsidRPr="00A40C77" w:rsidP="00BA063E">
            <w:pPr>
              <w:spacing w:before="80"/>
              <w:jc w:val="right"/>
              <w:rPr>
                <w:color w:val="000000"/>
              </w:rPr>
            </w:pPr>
            <w:r w:rsidRPr="00244C7A">
              <w:rPr>
                <w:color w:val="000000"/>
              </w:rPr>
              <w:t xml:space="preserve">          562,</w:t>
            </w:r>
            <w:r w:rsidR="00BA063E">
              <w:rPr>
                <w:color w:val="000000"/>
              </w:rPr>
              <w:t>948</w:t>
            </w:r>
            <w:r w:rsidRPr="00244C7A">
              <w:rPr>
                <w:color w:val="000000"/>
              </w:rPr>
              <w:t xml:space="preserve"> </w:t>
            </w:r>
            <w:r w:rsidRPr="00244C7A">
              <w:rPr>
                <w:rFonts w:eastAsia="Calibri"/>
                <w:b/>
                <w:color w:val="000000"/>
              </w:rPr>
              <w:t xml:space="preserve">   </w:t>
            </w:r>
          </w:p>
        </w:tc>
        <w:tc>
          <w:tcPr>
            <w:tcW w:w="1505" w:type="dxa"/>
            <w:tcBorders>
              <w:top w:val="single" w:sz="8" w:space="0" w:color="000000"/>
              <w:left w:val="nil"/>
              <w:bottom w:val="single" w:sz="8" w:space="0" w:color="000000"/>
              <w:right w:val="single" w:sz="4" w:space="0" w:color="000000"/>
            </w:tcBorders>
            <w:shd w:val="clear" w:color="auto" w:fill="000000" w:themeFill="text1"/>
            <w:vAlign w:val="center"/>
          </w:tcPr>
          <w:p w:rsidR="0033697D" w:rsidRPr="00244C7A" w:rsidP="00A40C77">
            <w:pPr>
              <w:widowControl/>
              <w:spacing w:before="80"/>
              <w:jc w:val="right"/>
              <w:rPr>
                <w:rFonts w:eastAsia="Calibri"/>
                <w:b/>
                <w:color w:val="000000"/>
              </w:rPr>
            </w:pPr>
            <w:r w:rsidRPr="00244C7A">
              <w:rPr>
                <w:rFonts w:eastAsia="Calibri"/>
                <w:b/>
                <w:color w:val="000000"/>
              </w:rPr>
              <w:t> </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33697D" w:rsidRPr="00244C7A" w:rsidP="00A40C77">
            <w:pPr>
              <w:spacing w:before="80"/>
              <w:jc w:val="right"/>
              <w:rPr>
                <w:color w:val="000000"/>
              </w:rPr>
            </w:pPr>
            <w:r w:rsidRPr="00244C7A">
              <w:rPr>
                <w:color w:val="000000"/>
              </w:rPr>
              <w:t xml:space="preserve">46,110.00 </w:t>
            </w:r>
            <w:r w:rsidRPr="00244C7A">
              <w:rPr>
                <w:rFonts w:eastAsia="Calibri"/>
                <w:b/>
                <w:color w:val="000000"/>
              </w:rPr>
              <w:t xml:space="preserve">  </w:t>
            </w:r>
          </w:p>
        </w:tc>
      </w:tr>
    </w:tbl>
    <w:p w:rsidR="001E0080" w:rsidRPr="001E0080" w:rsidP="001E0080">
      <w:pPr>
        <w:spacing w:before="80" w:after="240"/>
        <w:rPr>
          <w:sz w:val="20"/>
          <w:szCs w:val="20"/>
        </w:rPr>
      </w:pPr>
      <w:r w:rsidRPr="001E0080">
        <w:rPr>
          <w:sz w:val="20"/>
          <w:szCs w:val="20"/>
        </w:rPr>
        <w:t>*Due to rounding in ROCIS, burden cost</w:t>
      </w:r>
      <w:r w:rsidR="008B0B4A">
        <w:rPr>
          <w:sz w:val="20"/>
          <w:szCs w:val="20"/>
        </w:rPr>
        <w:t>s</w:t>
      </w:r>
      <w:r w:rsidRPr="001E0080">
        <w:rPr>
          <w:sz w:val="20"/>
          <w:szCs w:val="20"/>
        </w:rPr>
        <w:t xml:space="preserve"> vary from 1-</w:t>
      </w:r>
      <w:r w:rsidR="00A904DF">
        <w:rPr>
          <w:sz w:val="20"/>
          <w:szCs w:val="20"/>
        </w:rPr>
        <w:t>2</w:t>
      </w:r>
      <w:r w:rsidRPr="001E0080">
        <w:rPr>
          <w:sz w:val="20"/>
          <w:szCs w:val="20"/>
        </w:rPr>
        <w:t xml:space="preserve"> dollars. </w:t>
      </w:r>
    </w:p>
    <w:p w:rsidR="00BD2730" w:rsidRPr="00FA0F02" w:rsidP="00FA0F02">
      <w:pPr>
        <w:spacing w:before="80" w:after="240"/>
        <w:rPr>
          <w:b/>
        </w:rPr>
      </w:pP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 xml:space="preserve">Provide estimates of annualized cost to the </w:t>
      </w:r>
      <w:r w:rsidRPr="00244C7A">
        <w:rPr>
          <w:b/>
          <w:color w:val="000000"/>
        </w:rPr>
        <w:t>Federal government. Also, provide a description of the method used to estimate cost, which should include quantification of hours, operational expenses (such as equipment, overhead, printing, and support staff), and any other expense that would not have be</w:t>
      </w:r>
      <w:r w:rsidRPr="00244C7A">
        <w:rPr>
          <w:b/>
          <w:color w:val="000000"/>
        </w:rPr>
        <w:t>en incurred without this collection of information.</w:t>
      </w:r>
    </w:p>
    <w:p w:rsidR="00BD2730" w:rsidRPr="00A40C77" w:rsidP="00A40C77">
      <w:pPr>
        <w:pStyle w:val="BodyText"/>
        <w:spacing w:before="80" w:after="240"/>
        <w:ind w:left="0"/>
      </w:pPr>
      <w:r w:rsidRPr="00244C7A">
        <w:t xml:space="preserve">There are no costs to the federal government associated with the requirement to identify gear because no information is collected </w:t>
      </w:r>
      <w:r w:rsidRPr="00244C7A" w:rsidR="00051C3D">
        <w:t>because</w:t>
      </w:r>
      <w:r w:rsidRPr="00244C7A">
        <w:t xml:space="preserve"> of this requirement.</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Explain the reasons for any program changes o</w:t>
      </w:r>
      <w:r w:rsidRPr="00244C7A">
        <w:rPr>
          <w:b/>
          <w:color w:val="000000"/>
        </w:rPr>
        <w:t>r adjustments reported in ROCIS.</w:t>
      </w:r>
    </w:p>
    <w:p w:rsidR="00A40C77" w:rsidP="00A40C77">
      <w:pPr>
        <w:tabs>
          <w:tab w:val="left" w:pos="360"/>
        </w:tabs>
        <w:spacing w:before="80" w:after="240"/>
      </w:pPr>
      <w:r w:rsidRPr="00BE2686">
        <w:t>Changes reflect the most current information regarding the number of relevant vessels and gear estim</w:t>
      </w:r>
      <w:r w:rsidR="004E69C1">
        <w:t xml:space="preserve">ated for the next three years.  </w:t>
      </w:r>
      <w:r w:rsidRPr="00BE2686" w:rsidR="00FA0E67">
        <w:t xml:space="preserve">The total burden hours </w:t>
      </w:r>
      <w:r w:rsidR="00051C3D">
        <w:t>decreased</w:t>
      </w:r>
      <w:r w:rsidRPr="00BE2686" w:rsidR="00FA0E67">
        <w:t xml:space="preserve"> </w:t>
      </w:r>
      <w:r w:rsidRPr="00BE2686" w:rsidR="00051C3D">
        <w:t>because</w:t>
      </w:r>
      <w:r w:rsidRPr="00BE2686" w:rsidR="00FA0E67">
        <w:t xml:space="preserve"> of an updated </w:t>
      </w:r>
      <w:r w:rsidRPr="00BE2686" w:rsidR="00051C3D">
        <w:t>analysis that</w:t>
      </w:r>
      <w:r w:rsidRPr="00BE2686" w:rsidR="00FA0E67">
        <w:t xml:space="preserve"> included the average number of entities in each</w:t>
      </w:r>
      <w:r w:rsidR="00FA0E67">
        <w:t xml:space="preserve"> gear marking category from 2019-2022</w:t>
      </w:r>
      <w:r w:rsidRPr="00BE2686" w:rsidR="00FA0E67">
        <w:t>.  Overall, there was a reduction in the number of participants across all fishery groups (</w:t>
      </w:r>
      <w:r w:rsidRPr="00BE2686" w:rsidR="00051C3D">
        <w:t>by both fishery and gear</w:t>
      </w:r>
      <w:r w:rsidRPr="00BE2686" w:rsidR="00FA0E67">
        <w:t xml:space="preserve"> type) except for the </w:t>
      </w:r>
      <w:r w:rsidRPr="00BE2686" w:rsidR="00051C3D">
        <w:t>deep-sea</w:t>
      </w:r>
      <w:r w:rsidRPr="00BE2686" w:rsidR="00FA0E67">
        <w:t xml:space="preserve"> red crab fishery, which remained the same.  </w:t>
      </w:r>
      <w:r w:rsidR="004E69C1">
        <w:t xml:space="preserve">The Greater Atlantic Region no longer requires permit holders to submit gear information as part of their permit application. While previous estimates were based on the number of permit holders for a specific gear and fishery, the current estimates are based on the number of </w:t>
      </w:r>
      <w:r w:rsidR="008C13A7">
        <w:t xml:space="preserve">relevant </w:t>
      </w:r>
      <w:r w:rsidR="004E69C1">
        <w:t>permit holders</w:t>
      </w:r>
      <w:r w:rsidR="00FA0E67">
        <w:t xml:space="preserve"> that reported landings with the specified gear.  These updated estima</w:t>
      </w:r>
      <w:r w:rsidR="008C13A7">
        <w:t>tes are more accurate because they</w:t>
      </w:r>
      <w:r w:rsidR="00FA0E67">
        <w:t xml:space="preserve"> exclude permit holders who are not actively participating in the fishery and would not need to re-mark their gear.  </w:t>
      </w:r>
      <w:r w:rsidR="008C13A7">
        <w:t xml:space="preserve">This change likely accounts for the majority of the decrease in respondents, particularly in the gillnet and longline fisheries.  </w:t>
      </w:r>
      <w:r w:rsidR="00FA0E67">
        <w:t>In addition, there is a general trend of declining participation in fisheries in general due to things like</w:t>
      </w:r>
      <w:r w:rsidRPr="00BE2686">
        <w:t xml:space="preserve"> </w:t>
      </w:r>
      <w:r w:rsidR="00FA0E67">
        <w:t>a</w:t>
      </w:r>
      <w:r w:rsidRPr="00BE2686">
        <w:t xml:space="preserve"> general </w:t>
      </w:r>
      <w:r w:rsidRPr="00BE2686">
        <w:t xml:space="preserve">trend of </w:t>
      </w:r>
      <w:r w:rsidR="00FA0E67">
        <w:t>consolidation</w:t>
      </w:r>
      <w:r w:rsidRPr="00BE2686">
        <w:t>, reductions in fishing quotas, industry downsizing, resource availability, and the</w:t>
      </w:r>
      <w:r w:rsidR="00B82918">
        <w:t xml:space="preserve"> state of the economy. </w:t>
      </w:r>
      <w:r w:rsidRPr="00BE2686">
        <w:t>There were no changes to the regulations or gear marking requirements since the last collection renewal, so changes in the burde</w:t>
      </w:r>
      <w:r w:rsidRPr="00BE2686">
        <w:t>n</w:t>
      </w:r>
      <w:r w:rsidR="00B82918">
        <w:t xml:space="preserve"> hours</w:t>
      </w:r>
      <w:r w:rsidRPr="00BE2686">
        <w:t xml:space="preserve"> are a result of changes in the number of participating ent</w:t>
      </w:r>
      <w:r w:rsidR="00B82918">
        <w:t xml:space="preserve">ities. The annual cost decreased slightly due to a decrease in the number of respondents but an increase in the cost of supplies. </w:t>
      </w:r>
      <w:r w:rsidRPr="00BE2686">
        <w:t xml:space="preserve">A description of all changes to the annual burden estimates </w:t>
      </w:r>
      <w:r w:rsidR="00B82918">
        <w:t xml:space="preserve">(Table 3) and cost estimates (Table 4) </w:t>
      </w:r>
      <w:r w:rsidRPr="00BE2686">
        <w:t>associated with this collection of</w:t>
      </w:r>
      <w:r w:rsidR="00B82918">
        <w:t xml:space="preserve"> information are shown below</w:t>
      </w:r>
      <w:r w:rsidRPr="00BE2686">
        <w:t>.</w:t>
      </w:r>
    </w:p>
    <w:p w:rsidR="00460924" w:rsidP="00A40C77">
      <w:pPr>
        <w:tabs>
          <w:tab w:val="left" w:pos="360"/>
        </w:tabs>
        <w:spacing w:before="80" w:after="240"/>
      </w:pPr>
      <w:r>
        <w:t>Also, Scup gear requirements were broken out from the Black Sea Bass and Scup Gear Identification Requirements IC in order to provide more granularity into each fishery.  This is not a change to the collection.</w:t>
      </w:r>
      <w:bookmarkStart w:id="0" w:name="_GoBack"/>
      <w:bookmarkEnd w:id="0"/>
    </w:p>
    <w:p w:rsidR="00BD2730" w:rsidP="00FA0F02">
      <w:pPr>
        <w:jc w:val="center"/>
        <w:rPr>
          <w:b/>
        </w:rPr>
      </w:pPr>
      <w:r>
        <w:rPr>
          <w:b/>
        </w:rPr>
        <w:t>Table 3. Reasons for Changes to Annual Burden Hours</w:t>
      </w:r>
    </w:p>
    <w:p w:rsidR="00E04F76" w:rsidRPr="00A40C77" w:rsidP="00FA0F02">
      <w:pPr>
        <w:jc w:val="center"/>
        <w:rPr>
          <w:b/>
        </w:rPr>
      </w:pPr>
    </w:p>
    <w:tbl>
      <w:tblPr>
        <w:tblStyle w:val="a3"/>
        <w:tblW w:w="11365" w:type="dxa"/>
        <w:tblInd w:w="-575" w:type="dxa"/>
        <w:tblLayout w:type="fixed"/>
        <w:tblLook w:val="0400"/>
      </w:tblPr>
      <w:tblGrid>
        <w:gridCol w:w="2185"/>
        <w:gridCol w:w="1260"/>
        <w:gridCol w:w="1260"/>
        <w:gridCol w:w="1440"/>
        <w:gridCol w:w="1260"/>
        <w:gridCol w:w="1260"/>
        <w:gridCol w:w="1260"/>
        <w:gridCol w:w="1440"/>
      </w:tblGrid>
      <w:tr w:rsidTr="00B82918">
        <w:tblPrEx>
          <w:tblW w:w="11365" w:type="dxa"/>
          <w:tblInd w:w="-575" w:type="dxa"/>
          <w:tblLayout w:type="fixed"/>
          <w:tblLook w:val="0400"/>
        </w:tblPrEx>
        <w:trPr>
          <w:trHeight w:val="306"/>
        </w:trPr>
        <w:tc>
          <w:tcPr>
            <w:tcW w:w="218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widowControl/>
              <w:jc w:val="center"/>
              <w:rPr>
                <w:rFonts w:eastAsia="Calibri"/>
                <w:b/>
                <w:color w:val="000000"/>
              </w:rPr>
            </w:pPr>
            <w:r w:rsidRPr="00244C7A">
              <w:rPr>
                <w:rFonts w:eastAsia="Calibri"/>
                <w:b/>
                <w:color w:val="000000"/>
              </w:rPr>
              <w:t>Information Collection</w:t>
            </w:r>
          </w:p>
        </w:tc>
        <w:tc>
          <w:tcPr>
            <w:tcW w:w="2520" w:type="dxa"/>
            <w:gridSpan w:val="2"/>
            <w:tcBorders>
              <w:top w:val="single" w:sz="8" w:space="0" w:color="000000"/>
              <w:left w:val="nil"/>
              <w:bottom w:val="single" w:sz="8" w:space="0" w:color="000000"/>
              <w:right w:val="single" w:sz="8" w:space="0" w:color="000000"/>
            </w:tcBorders>
            <w:shd w:val="clear" w:color="auto" w:fill="5B9BD5"/>
            <w:vAlign w:val="center"/>
          </w:tcPr>
          <w:p w:rsidR="00BD2730" w:rsidRPr="00244C7A" w:rsidP="00FA0F02">
            <w:pPr>
              <w:widowControl/>
              <w:jc w:val="center"/>
              <w:rPr>
                <w:rFonts w:eastAsia="Calibri"/>
                <w:b/>
                <w:color w:val="000000"/>
              </w:rPr>
            </w:pPr>
            <w:r w:rsidRPr="00244C7A">
              <w:rPr>
                <w:rFonts w:eastAsia="Calibri"/>
                <w:b/>
                <w:color w:val="000000"/>
              </w:rPr>
              <w:t>Respondents</w:t>
            </w:r>
          </w:p>
        </w:tc>
        <w:tc>
          <w:tcPr>
            <w:tcW w:w="2700" w:type="dxa"/>
            <w:gridSpan w:val="2"/>
            <w:tcBorders>
              <w:top w:val="single" w:sz="8" w:space="0" w:color="000000"/>
              <w:left w:val="nil"/>
              <w:bottom w:val="single" w:sz="8" w:space="0" w:color="000000"/>
              <w:right w:val="single" w:sz="8" w:space="0" w:color="000000"/>
            </w:tcBorders>
            <w:shd w:val="clear" w:color="auto" w:fill="5B9BD5"/>
            <w:vAlign w:val="center"/>
          </w:tcPr>
          <w:p w:rsidR="00BD2730" w:rsidRPr="00244C7A" w:rsidP="00FA0F02">
            <w:pPr>
              <w:widowControl/>
              <w:jc w:val="center"/>
              <w:rPr>
                <w:rFonts w:eastAsia="Calibri"/>
                <w:b/>
                <w:color w:val="000000"/>
              </w:rPr>
            </w:pPr>
            <w:r w:rsidRPr="00244C7A">
              <w:rPr>
                <w:rFonts w:eastAsia="Calibri"/>
                <w:b/>
                <w:color w:val="000000"/>
              </w:rPr>
              <w:t>Responses</w:t>
            </w:r>
          </w:p>
        </w:tc>
        <w:tc>
          <w:tcPr>
            <w:tcW w:w="2520" w:type="dxa"/>
            <w:gridSpan w:val="2"/>
            <w:tcBorders>
              <w:top w:val="single" w:sz="8" w:space="0" w:color="000000"/>
              <w:left w:val="nil"/>
              <w:bottom w:val="single" w:sz="8" w:space="0" w:color="000000"/>
              <w:right w:val="single" w:sz="8" w:space="0" w:color="000000"/>
            </w:tcBorders>
            <w:shd w:val="clear" w:color="auto" w:fill="5B9BD5"/>
            <w:vAlign w:val="center"/>
          </w:tcPr>
          <w:p w:rsidR="00BD2730" w:rsidRPr="00244C7A" w:rsidP="00FA0F02">
            <w:pPr>
              <w:widowControl/>
              <w:jc w:val="center"/>
              <w:rPr>
                <w:rFonts w:eastAsia="Calibri"/>
                <w:b/>
                <w:color w:val="000000"/>
              </w:rPr>
            </w:pPr>
            <w:r w:rsidRPr="00244C7A">
              <w:rPr>
                <w:rFonts w:eastAsia="Calibri"/>
                <w:b/>
                <w:color w:val="000000"/>
              </w:rPr>
              <w:t>Burden Hours</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widowControl/>
              <w:jc w:val="center"/>
              <w:rPr>
                <w:rFonts w:eastAsia="Calibri"/>
                <w:b/>
                <w:color w:val="000000"/>
              </w:rPr>
            </w:pPr>
            <w:r w:rsidRPr="00244C7A">
              <w:rPr>
                <w:rFonts w:eastAsia="Calibri"/>
                <w:b/>
                <w:color w:val="000000"/>
              </w:rPr>
              <w:t>Reason for change or adjustment</w:t>
            </w:r>
          </w:p>
        </w:tc>
      </w:tr>
      <w:tr w:rsidTr="00B82918">
        <w:tblPrEx>
          <w:tblW w:w="11365" w:type="dxa"/>
          <w:tblInd w:w="-575" w:type="dxa"/>
          <w:tblLayout w:type="fixed"/>
          <w:tblLook w:val="0400"/>
        </w:tblPrEx>
        <w:trPr>
          <w:trHeight w:val="671"/>
        </w:trPr>
        <w:tc>
          <w:tcPr>
            <w:tcW w:w="218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pBdr>
                <w:top w:val="nil"/>
                <w:left w:val="nil"/>
                <w:bottom w:val="nil"/>
                <w:right w:val="nil"/>
                <w:between w:val="nil"/>
              </w:pBdr>
              <w:rPr>
                <w:rFonts w:eastAsia="Calibri"/>
                <w:b/>
                <w:color w:val="000000"/>
              </w:rPr>
            </w:pPr>
          </w:p>
        </w:tc>
        <w:tc>
          <w:tcPr>
            <w:tcW w:w="1260" w:type="dxa"/>
            <w:tcBorders>
              <w:top w:val="nil"/>
              <w:left w:val="nil"/>
              <w:bottom w:val="single" w:sz="8" w:space="0" w:color="000000"/>
              <w:right w:val="dashed"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 xml:space="preserve">Current </w:t>
            </w:r>
            <w:r w:rsidRPr="00244C7A">
              <w:rPr>
                <w:rFonts w:eastAsia="Calibri"/>
                <w:color w:val="000000"/>
              </w:rPr>
              <w:t>Renewal / Revision</w:t>
            </w:r>
          </w:p>
        </w:tc>
        <w:tc>
          <w:tcPr>
            <w:tcW w:w="1260" w:type="dxa"/>
            <w:tcBorders>
              <w:top w:val="nil"/>
              <w:left w:val="nil"/>
              <w:bottom w:val="single" w:sz="8" w:space="0" w:color="000000"/>
              <w:right w:val="single"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Previous Renewal / Revision</w:t>
            </w:r>
          </w:p>
        </w:tc>
        <w:tc>
          <w:tcPr>
            <w:tcW w:w="1440" w:type="dxa"/>
            <w:tcBorders>
              <w:top w:val="nil"/>
              <w:left w:val="nil"/>
              <w:bottom w:val="single" w:sz="8" w:space="0" w:color="000000"/>
              <w:right w:val="dashed"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Current Renewal / Revision</w:t>
            </w:r>
          </w:p>
        </w:tc>
        <w:tc>
          <w:tcPr>
            <w:tcW w:w="1260" w:type="dxa"/>
            <w:tcBorders>
              <w:top w:val="nil"/>
              <w:left w:val="nil"/>
              <w:bottom w:val="single" w:sz="8" w:space="0" w:color="000000"/>
              <w:right w:val="single"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Previous Renewal / Revision</w:t>
            </w:r>
          </w:p>
        </w:tc>
        <w:tc>
          <w:tcPr>
            <w:tcW w:w="1260" w:type="dxa"/>
            <w:tcBorders>
              <w:top w:val="nil"/>
              <w:left w:val="nil"/>
              <w:bottom w:val="single" w:sz="8" w:space="0" w:color="000000"/>
              <w:right w:val="dashed"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Current Renewal / Revision</w:t>
            </w:r>
          </w:p>
        </w:tc>
        <w:tc>
          <w:tcPr>
            <w:tcW w:w="1260" w:type="dxa"/>
            <w:tcBorders>
              <w:top w:val="nil"/>
              <w:left w:val="nil"/>
              <w:bottom w:val="single" w:sz="8" w:space="0" w:color="000000"/>
              <w:right w:val="single" w:sz="8" w:space="0" w:color="000000"/>
            </w:tcBorders>
            <w:shd w:val="clear" w:color="auto" w:fill="FBE4D5"/>
            <w:vAlign w:val="center"/>
          </w:tcPr>
          <w:p w:rsidR="00BD2730" w:rsidRPr="00244C7A" w:rsidP="00FA0F02">
            <w:pPr>
              <w:widowControl/>
              <w:jc w:val="center"/>
              <w:rPr>
                <w:rFonts w:eastAsia="Calibri"/>
                <w:color w:val="000000"/>
              </w:rPr>
            </w:pPr>
            <w:r w:rsidRPr="00244C7A">
              <w:rPr>
                <w:rFonts w:eastAsia="Calibri"/>
                <w:color w:val="000000"/>
              </w:rPr>
              <w:t>Previous Renewal / Revision</w:t>
            </w:r>
          </w:p>
        </w:tc>
        <w:tc>
          <w:tcPr>
            <w:tcW w:w="14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pBdr>
                <w:top w:val="nil"/>
                <w:left w:val="nil"/>
                <w:bottom w:val="nil"/>
                <w:right w:val="nil"/>
                <w:between w:val="nil"/>
              </w:pBdr>
              <w:rPr>
                <w:rFonts w:eastAsia="Calibri"/>
                <w:color w:val="000000"/>
              </w:rPr>
            </w:pP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 xml:space="preserve">Greater Atlantic Region Gear Identification-Lobster </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B82918">
            <w:pPr>
              <w:jc w:val="right"/>
              <w:rPr>
                <w:color w:val="000000"/>
              </w:rPr>
            </w:pPr>
            <w:r w:rsidRPr="00244C7A">
              <w:rPr>
                <w:color w:val="000000"/>
              </w:rPr>
              <w:t xml:space="preserve">          </w:t>
            </w:r>
          </w:p>
          <w:p w:rsidR="00580A07" w:rsidRPr="00FA0F02" w:rsidP="00B82918">
            <w:pPr>
              <w:jc w:val="right"/>
              <w:rPr>
                <w:color w:val="000000"/>
              </w:rPr>
            </w:pPr>
            <w:r>
              <w:rPr>
                <w:color w:val="000000"/>
              </w:rPr>
              <w:t xml:space="preserve">              </w:t>
            </w:r>
            <w:r w:rsidR="00FA0F02">
              <w:rPr>
                <w:color w:val="000000"/>
              </w:rPr>
              <w:t>2,010</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rFonts w:eastAsia="Calibri"/>
                <w:color w:val="000000"/>
              </w:rPr>
            </w:pPr>
            <w:r w:rsidRPr="00244C7A">
              <w:rPr>
                <w:color w:val="000000"/>
              </w:rPr>
              <w:t>2,130</w:t>
            </w:r>
          </w:p>
        </w:tc>
        <w:tc>
          <w:tcPr>
            <w:tcW w:w="1440" w:type="dxa"/>
            <w:tcBorders>
              <w:top w:val="nil"/>
              <w:left w:val="nil"/>
              <w:bottom w:val="dotted" w:sz="4" w:space="0" w:color="000000"/>
              <w:right w:val="dashed" w:sz="8" w:space="0" w:color="000000"/>
            </w:tcBorders>
            <w:shd w:val="clear" w:color="auto" w:fill="auto"/>
            <w:vAlign w:val="bottom"/>
          </w:tcPr>
          <w:p w:rsidR="00580A07" w:rsidRPr="00FA0F02" w:rsidP="005409CF">
            <w:pPr>
              <w:jc w:val="right"/>
              <w:rPr>
                <w:color w:val="000000"/>
              </w:rPr>
            </w:pPr>
            <w:r>
              <w:rPr>
                <w:color w:val="000000"/>
              </w:rPr>
              <w:t xml:space="preserve">  </w:t>
            </w:r>
            <w:r w:rsidR="001D4B69">
              <w:rPr>
                <w:color w:val="000000"/>
              </w:rPr>
              <w:t>502,</w:t>
            </w:r>
            <w:r w:rsidR="005409CF">
              <w:rPr>
                <w:color w:val="000000"/>
              </w:rPr>
              <w:t>500</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rFonts w:eastAsia="Calibri"/>
                <w:color w:val="000000"/>
              </w:rPr>
            </w:pPr>
            <w:r w:rsidRPr="00244C7A">
              <w:rPr>
                <w:color w:val="000000"/>
              </w:rPr>
              <w:t>532,500 </w:t>
            </w:r>
          </w:p>
        </w:tc>
        <w:tc>
          <w:tcPr>
            <w:tcW w:w="1260" w:type="dxa"/>
            <w:tcBorders>
              <w:top w:val="nil"/>
              <w:left w:val="nil"/>
              <w:bottom w:val="dotted" w:sz="4" w:space="0" w:color="000000"/>
              <w:right w:val="dashed" w:sz="8" w:space="0" w:color="000000"/>
            </w:tcBorders>
            <w:shd w:val="clear" w:color="auto" w:fill="auto"/>
            <w:vAlign w:val="bottom"/>
          </w:tcPr>
          <w:p w:rsidR="00580A07" w:rsidRPr="00B82918" w:rsidP="00B82918">
            <w:pPr>
              <w:jc w:val="right"/>
              <w:rPr>
                <w:color w:val="000000"/>
              </w:rPr>
            </w:pPr>
            <w:r>
              <w:rPr>
                <w:color w:val="000000"/>
              </w:rPr>
              <w:t xml:space="preserve">       </w:t>
            </w:r>
            <w:r w:rsidR="005409CF">
              <w:rPr>
                <w:color w:val="000000"/>
              </w:rPr>
              <w:t>8,543</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8,875</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sidRPr="00244C7A">
              <w:rPr>
                <w:color w:val="000000"/>
              </w:rPr>
              <w:t>Adjustment</w:t>
            </w: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Greater Atlantic Region Gear Identification -Black Sea Bass</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B82918">
            <w:pPr>
              <w:jc w:val="right"/>
              <w:rPr>
                <w:color w:val="000000"/>
              </w:rPr>
            </w:pPr>
            <w:r>
              <w:rPr>
                <w:color w:val="000000"/>
              </w:rPr>
              <w:t xml:space="preserve">                   </w:t>
            </w:r>
            <w:r w:rsidR="00B82918">
              <w:rPr>
                <w:color w:val="000000"/>
              </w:rPr>
              <w:t>63</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223</w:t>
            </w:r>
          </w:p>
        </w:tc>
        <w:tc>
          <w:tcPr>
            <w:tcW w:w="1440" w:type="dxa"/>
            <w:tcBorders>
              <w:top w:val="nil"/>
              <w:left w:val="nil"/>
              <w:bottom w:val="dotted" w:sz="4" w:space="0" w:color="000000"/>
              <w:right w:val="dashed" w:sz="8" w:space="0" w:color="000000"/>
            </w:tcBorders>
            <w:shd w:val="clear" w:color="auto" w:fill="auto"/>
            <w:vAlign w:val="bottom"/>
          </w:tcPr>
          <w:p w:rsidR="00580A07" w:rsidRPr="00B82918" w:rsidP="005409CF">
            <w:pPr>
              <w:jc w:val="right"/>
              <w:rPr>
                <w:color w:val="000000"/>
              </w:rPr>
            </w:pPr>
            <w:r>
              <w:rPr>
                <w:color w:val="000000"/>
              </w:rPr>
              <w:t xml:space="preserve">      </w:t>
            </w:r>
            <w:r w:rsidR="001D4B69">
              <w:rPr>
                <w:color w:val="000000"/>
              </w:rPr>
              <w:t>7,5</w:t>
            </w:r>
            <w:r w:rsidR="005409CF">
              <w:rPr>
                <w:color w:val="000000"/>
              </w:rPr>
              <w:t>60</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26,760</w:t>
            </w:r>
          </w:p>
        </w:tc>
        <w:tc>
          <w:tcPr>
            <w:tcW w:w="1260" w:type="dxa"/>
            <w:tcBorders>
              <w:top w:val="nil"/>
              <w:left w:val="nil"/>
              <w:bottom w:val="dotted" w:sz="4" w:space="0" w:color="000000"/>
              <w:right w:val="dashed" w:sz="8" w:space="0" w:color="000000"/>
            </w:tcBorders>
            <w:shd w:val="clear" w:color="auto" w:fill="auto"/>
            <w:vAlign w:val="bottom"/>
          </w:tcPr>
          <w:p w:rsidR="00580A07" w:rsidRPr="00B82918" w:rsidP="005409CF">
            <w:pPr>
              <w:jc w:val="right"/>
              <w:rPr>
                <w:color w:val="000000"/>
              </w:rPr>
            </w:pPr>
            <w:r>
              <w:rPr>
                <w:color w:val="000000"/>
              </w:rPr>
              <w:t xml:space="preserve">         </w:t>
            </w:r>
            <w:r w:rsidR="005409CF">
              <w:rPr>
                <w:color w:val="000000"/>
              </w:rPr>
              <w:t>129</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446</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sidRPr="00244C7A">
              <w:rPr>
                <w:color w:val="000000"/>
              </w:rPr>
              <w:t>Adjustment</w:t>
            </w: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Greater Atlantic Region Gear Identification -Scup</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B82918">
            <w:pPr>
              <w:jc w:val="right"/>
              <w:rPr>
                <w:color w:val="000000"/>
              </w:rPr>
            </w:pPr>
            <w:r>
              <w:rPr>
                <w:color w:val="000000"/>
              </w:rPr>
              <w:t xml:space="preserve">                   </w:t>
            </w:r>
            <w:r w:rsidR="00B82918">
              <w:rPr>
                <w:color w:val="000000"/>
              </w:rPr>
              <w:t>28</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114</w:t>
            </w:r>
          </w:p>
        </w:tc>
        <w:tc>
          <w:tcPr>
            <w:tcW w:w="1440" w:type="dxa"/>
            <w:tcBorders>
              <w:top w:val="nil"/>
              <w:left w:val="nil"/>
              <w:bottom w:val="dotted" w:sz="4" w:space="0" w:color="000000"/>
              <w:right w:val="dashed" w:sz="8" w:space="0" w:color="000000"/>
            </w:tcBorders>
            <w:shd w:val="clear" w:color="auto" w:fill="auto"/>
            <w:vAlign w:val="bottom"/>
          </w:tcPr>
          <w:p w:rsidR="00580A07" w:rsidRPr="00B82918" w:rsidP="009537A9">
            <w:pPr>
              <w:jc w:val="right"/>
              <w:rPr>
                <w:color w:val="000000"/>
              </w:rPr>
            </w:pPr>
            <w:r>
              <w:rPr>
                <w:color w:val="000000"/>
              </w:rPr>
              <w:t xml:space="preserve">      </w:t>
            </w:r>
            <w:r w:rsidR="001D4B69">
              <w:rPr>
                <w:color w:val="000000"/>
              </w:rPr>
              <w:t>3,3</w:t>
            </w:r>
            <w:r w:rsidR="009537A9">
              <w:rPr>
                <w:color w:val="000000"/>
              </w:rPr>
              <w:t>60</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13,680</w:t>
            </w:r>
          </w:p>
        </w:tc>
        <w:tc>
          <w:tcPr>
            <w:tcW w:w="1260" w:type="dxa"/>
            <w:tcBorders>
              <w:top w:val="nil"/>
              <w:left w:val="nil"/>
              <w:bottom w:val="dotted" w:sz="4" w:space="0" w:color="000000"/>
              <w:right w:val="dashed" w:sz="8" w:space="0" w:color="000000"/>
            </w:tcBorders>
            <w:shd w:val="clear" w:color="auto" w:fill="auto"/>
            <w:vAlign w:val="bottom"/>
          </w:tcPr>
          <w:p w:rsidR="00580A07" w:rsidRPr="00B82918" w:rsidP="00B82918">
            <w:pPr>
              <w:jc w:val="right"/>
              <w:rPr>
                <w:color w:val="000000"/>
              </w:rPr>
            </w:pPr>
            <w:r>
              <w:rPr>
                <w:color w:val="000000"/>
              </w:rPr>
              <w:t>57</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228</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sidRPr="00244C7A">
              <w:rPr>
                <w:color w:val="000000"/>
              </w:rPr>
              <w:t>Adjustment</w:t>
            </w: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Greater Atlantic Region Gear Identification -Deep Sea Red Crab</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B82918">
            <w:pPr>
              <w:jc w:val="right"/>
              <w:rPr>
                <w:color w:val="000000"/>
              </w:rPr>
            </w:pPr>
            <w:r>
              <w:rPr>
                <w:color w:val="000000"/>
              </w:rPr>
              <w:t xml:space="preserve">                      5</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5</w:t>
            </w:r>
          </w:p>
        </w:tc>
        <w:tc>
          <w:tcPr>
            <w:tcW w:w="1440" w:type="dxa"/>
            <w:tcBorders>
              <w:top w:val="nil"/>
              <w:left w:val="nil"/>
              <w:bottom w:val="dotted" w:sz="4" w:space="0" w:color="000000"/>
              <w:right w:val="dashed" w:sz="8" w:space="0" w:color="000000"/>
            </w:tcBorders>
            <w:shd w:val="clear" w:color="auto" w:fill="auto"/>
            <w:vAlign w:val="bottom"/>
          </w:tcPr>
          <w:p w:rsidR="00580A07" w:rsidRPr="007C79F4" w:rsidP="00B82918">
            <w:pPr>
              <w:jc w:val="right"/>
              <w:rPr>
                <w:color w:val="000000"/>
              </w:rPr>
            </w:pPr>
            <w:r>
              <w:rPr>
                <w:color w:val="000000"/>
              </w:rPr>
              <w:t xml:space="preserve">           </w:t>
            </w:r>
            <w:r w:rsidR="001D4B69">
              <w:rPr>
                <w:color w:val="000000"/>
              </w:rPr>
              <w:t>300</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300</w:t>
            </w:r>
          </w:p>
        </w:tc>
        <w:tc>
          <w:tcPr>
            <w:tcW w:w="1260" w:type="dxa"/>
            <w:tcBorders>
              <w:top w:val="nil"/>
              <w:left w:val="nil"/>
              <w:bottom w:val="dotted" w:sz="4" w:space="0" w:color="000000"/>
              <w:right w:val="dashed" w:sz="8" w:space="0" w:color="000000"/>
            </w:tcBorders>
            <w:shd w:val="clear" w:color="auto" w:fill="auto"/>
            <w:vAlign w:val="bottom"/>
          </w:tcPr>
          <w:p w:rsidR="00580A07" w:rsidRPr="007C79F4" w:rsidP="00B82918">
            <w:pPr>
              <w:jc w:val="right"/>
              <w:rPr>
                <w:color w:val="000000"/>
              </w:rPr>
            </w:pPr>
            <w:r>
              <w:rPr>
                <w:color w:val="000000"/>
              </w:rPr>
              <w:t xml:space="preserve">              </w:t>
            </w:r>
            <w:r w:rsidR="001D4B69">
              <w:rPr>
                <w:color w:val="000000"/>
              </w:rPr>
              <w:t>5</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5</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Pr>
                <w:color w:val="000000"/>
              </w:rPr>
              <w:t>No Change</w:t>
            </w: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Greater Atlantic Region Gear Identification -Gillnet</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B82918">
            <w:pPr>
              <w:jc w:val="right"/>
              <w:rPr>
                <w:color w:val="000000"/>
              </w:rPr>
            </w:pPr>
            <w:r>
              <w:rPr>
                <w:color w:val="000000"/>
              </w:rPr>
              <w:t xml:space="preserve">                   </w:t>
            </w:r>
            <w:r w:rsidR="001D4B69">
              <w:rPr>
                <w:color w:val="000000"/>
              </w:rPr>
              <w:t>152</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1,338</w:t>
            </w:r>
          </w:p>
        </w:tc>
        <w:tc>
          <w:tcPr>
            <w:tcW w:w="1440" w:type="dxa"/>
            <w:tcBorders>
              <w:top w:val="nil"/>
              <w:left w:val="nil"/>
              <w:bottom w:val="dotted" w:sz="4" w:space="0" w:color="000000"/>
              <w:right w:val="dashed" w:sz="8" w:space="0" w:color="000000"/>
            </w:tcBorders>
            <w:shd w:val="clear" w:color="auto" w:fill="auto"/>
            <w:vAlign w:val="bottom"/>
          </w:tcPr>
          <w:p w:rsidR="00580A07" w:rsidRPr="007C79F4" w:rsidP="00E04F76">
            <w:pPr>
              <w:jc w:val="right"/>
              <w:rPr>
                <w:color w:val="000000"/>
              </w:rPr>
            </w:pPr>
            <w:r>
              <w:rPr>
                <w:color w:val="000000"/>
              </w:rPr>
              <w:t xml:space="preserve">          </w:t>
            </w:r>
            <w:r w:rsidR="00E04F76">
              <w:rPr>
                <w:color w:val="000000"/>
              </w:rPr>
              <w:t>48,640</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428,160</w:t>
            </w:r>
          </w:p>
        </w:tc>
        <w:tc>
          <w:tcPr>
            <w:tcW w:w="1260" w:type="dxa"/>
            <w:tcBorders>
              <w:top w:val="nil"/>
              <w:left w:val="nil"/>
              <w:bottom w:val="dotted" w:sz="4" w:space="0" w:color="000000"/>
              <w:right w:val="dashed" w:sz="8" w:space="0" w:color="000000"/>
            </w:tcBorders>
            <w:shd w:val="clear" w:color="auto" w:fill="auto"/>
            <w:vAlign w:val="bottom"/>
          </w:tcPr>
          <w:p w:rsidR="00580A07" w:rsidRPr="007C79F4" w:rsidP="00E04F76">
            <w:pPr>
              <w:jc w:val="right"/>
              <w:rPr>
                <w:color w:val="000000"/>
              </w:rPr>
            </w:pPr>
            <w:r>
              <w:rPr>
                <w:color w:val="000000"/>
              </w:rPr>
              <w:t xml:space="preserve">            </w:t>
            </w:r>
            <w:r w:rsidR="00E04F76">
              <w:rPr>
                <w:color w:val="000000"/>
              </w:rPr>
              <w:t>827</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Pr>
                <w:color w:val="000000"/>
              </w:rPr>
              <w:t>7,136</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sidRPr="00244C7A">
              <w:rPr>
                <w:color w:val="000000"/>
              </w:rPr>
              <w:t>Adjustment</w:t>
            </w:r>
          </w:p>
        </w:tc>
      </w:tr>
      <w:tr w:rsidTr="00B82918">
        <w:tblPrEx>
          <w:tblW w:w="11365" w:type="dxa"/>
          <w:tblInd w:w="-575" w:type="dxa"/>
          <w:tblLayout w:type="fixed"/>
          <w:tblLook w:val="0400"/>
        </w:tblPrEx>
        <w:trPr>
          <w:trHeight w:val="306"/>
        </w:trPr>
        <w:tc>
          <w:tcPr>
            <w:tcW w:w="2185" w:type="dxa"/>
            <w:tcBorders>
              <w:top w:val="nil"/>
              <w:left w:val="single" w:sz="8" w:space="0" w:color="000000"/>
              <w:bottom w:val="single" w:sz="8" w:space="0" w:color="000000"/>
              <w:right w:val="single" w:sz="8" w:space="0" w:color="000000"/>
            </w:tcBorders>
            <w:shd w:val="clear" w:color="auto" w:fill="auto"/>
            <w:vAlign w:val="bottom"/>
          </w:tcPr>
          <w:p w:rsidR="00580A07" w:rsidRPr="00244C7A" w:rsidP="00FA0F02">
            <w:pPr>
              <w:widowControl/>
              <w:rPr>
                <w:color w:val="000000"/>
              </w:rPr>
            </w:pPr>
            <w:r w:rsidRPr="00244C7A">
              <w:rPr>
                <w:color w:val="000000"/>
              </w:rPr>
              <w:t>Greater Atlantic Region Gear Identification -Longline</w:t>
            </w:r>
          </w:p>
        </w:tc>
        <w:tc>
          <w:tcPr>
            <w:tcW w:w="1260" w:type="dxa"/>
            <w:tcBorders>
              <w:top w:val="nil"/>
              <w:left w:val="nil"/>
              <w:bottom w:val="dotted" w:sz="4" w:space="0" w:color="000000"/>
              <w:right w:val="dashed" w:sz="8" w:space="0" w:color="000000"/>
            </w:tcBorders>
            <w:shd w:val="clear" w:color="auto" w:fill="auto"/>
            <w:vAlign w:val="bottom"/>
          </w:tcPr>
          <w:p w:rsidR="00580A07" w:rsidRPr="00244C7A" w:rsidP="001D4B69">
            <w:pPr>
              <w:jc w:val="right"/>
              <w:rPr>
                <w:color w:val="000000"/>
              </w:rPr>
            </w:pPr>
            <w:r>
              <w:rPr>
                <w:color w:val="000000"/>
              </w:rPr>
              <w:t xml:space="preserve">                 </w:t>
            </w:r>
            <w:r w:rsidR="001D4B69">
              <w:rPr>
                <w:color w:val="000000"/>
              </w:rPr>
              <w:t>49</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979</w:t>
            </w:r>
          </w:p>
        </w:tc>
        <w:tc>
          <w:tcPr>
            <w:tcW w:w="1440" w:type="dxa"/>
            <w:tcBorders>
              <w:top w:val="nil"/>
              <w:left w:val="nil"/>
              <w:bottom w:val="dotted" w:sz="4" w:space="0" w:color="000000"/>
              <w:right w:val="dashed" w:sz="8" w:space="0" w:color="000000"/>
            </w:tcBorders>
            <w:shd w:val="clear" w:color="auto" w:fill="auto"/>
            <w:vAlign w:val="bottom"/>
          </w:tcPr>
          <w:p w:rsidR="00580A07" w:rsidRPr="007C79F4" w:rsidP="00B82918">
            <w:pPr>
              <w:jc w:val="right"/>
              <w:rPr>
                <w:color w:val="000000"/>
              </w:rPr>
            </w:pPr>
            <w:r>
              <w:rPr>
                <w:color w:val="000000"/>
              </w:rPr>
              <w:t>588</w:t>
            </w:r>
          </w:p>
        </w:tc>
        <w:tc>
          <w:tcPr>
            <w:tcW w:w="126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jc w:val="right"/>
              <w:rPr>
                <w:color w:val="000000"/>
              </w:rPr>
            </w:pPr>
            <w:r w:rsidRPr="00244C7A">
              <w:rPr>
                <w:color w:val="000000"/>
              </w:rPr>
              <w:t>11,748</w:t>
            </w:r>
          </w:p>
        </w:tc>
        <w:tc>
          <w:tcPr>
            <w:tcW w:w="1260" w:type="dxa"/>
            <w:tcBorders>
              <w:top w:val="nil"/>
              <w:left w:val="nil"/>
              <w:bottom w:val="dotted" w:sz="4" w:space="0" w:color="000000"/>
              <w:right w:val="dashed" w:sz="8" w:space="0" w:color="000000"/>
            </w:tcBorders>
            <w:shd w:val="clear" w:color="auto" w:fill="auto"/>
            <w:vAlign w:val="bottom"/>
          </w:tcPr>
          <w:p w:rsidR="00580A07" w:rsidRPr="007C79F4" w:rsidP="001D4B69">
            <w:pPr>
              <w:jc w:val="right"/>
              <w:rPr>
                <w:color w:val="000000"/>
              </w:rPr>
            </w:pPr>
            <w:r>
              <w:rPr>
                <w:color w:val="000000"/>
              </w:rPr>
              <w:t xml:space="preserve">          </w:t>
            </w:r>
            <w:r w:rsidR="001D4B69">
              <w:rPr>
                <w:color w:val="000000"/>
              </w:rPr>
              <w:t>10</w:t>
            </w:r>
          </w:p>
        </w:tc>
        <w:tc>
          <w:tcPr>
            <w:tcW w:w="1260" w:type="dxa"/>
            <w:tcBorders>
              <w:top w:val="nil"/>
              <w:left w:val="nil"/>
              <w:bottom w:val="dotted" w:sz="4" w:space="0" w:color="000000"/>
              <w:right w:val="single" w:sz="8" w:space="0" w:color="000000"/>
            </w:tcBorders>
            <w:shd w:val="clear" w:color="auto" w:fill="auto"/>
            <w:vAlign w:val="bottom"/>
          </w:tcPr>
          <w:p w:rsidR="002150AF" w:rsidRPr="00244C7A" w:rsidP="002150AF">
            <w:pPr>
              <w:widowControl/>
              <w:jc w:val="right"/>
              <w:rPr>
                <w:color w:val="000000"/>
              </w:rPr>
            </w:pPr>
            <w:r>
              <w:rPr>
                <w:color w:val="000000"/>
              </w:rPr>
              <w:t>196</w:t>
            </w:r>
          </w:p>
        </w:tc>
        <w:tc>
          <w:tcPr>
            <w:tcW w:w="1440" w:type="dxa"/>
            <w:tcBorders>
              <w:top w:val="nil"/>
              <w:left w:val="nil"/>
              <w:bottom w:val="dotted" w:sz="4" w:space="0" w:color="000000"/>
              <w:right w:val="single" w:sz="8" w:space="0" w:color="000000"/>
            </w:tcBorders>
            <w:shd w:val="clear" w:color="auto" w:fill="auto"/>
            <w:vAlign w:val="bottom"/>
          </w:tcPr>
          <w:p w:rsidR="00580A07" w:rsidRPr="00244C7A" w:rsidP="00B82918">
            <w:pPr>
              <w:widowControl/>
              <w:rPr>
                <w:rFonts w:eastAsia="Calibri"/>
                <w:color w:val="000000"/>
              </w:rPr>
            </w:pPr>
            <w:r w:rsidRPr="00244C7A">
              <w:rPr>
                <w:color w:val="000000"/>
              </w:rPr>
              <w:t>Adjustment</w:t>
            </w:r>
          </w:p>
        </w:tc>
      </w:tr>
      <w:tr w:rsidTr="00B82918">
        <w:tblPrEx>
          <w:tblW w:w="11365" w:type="dxa"/>
          <w:tblInd w:w="-575" w:type="dxa"/>
          <w:tblLayout w:type="fixed"/>
          <w:tblLook w:val="0400"/>
        </w:tblPrEx>
        <w:trPr>
          <w:trHeight w:val="452"/>
        </w:trPr>
        <w:tc>
          <w:tcPr>
            <w:tcW w:w="2185" w:type="dxa"/>
            <w:tcBorders>
              <w:top w:val="nil"/>
              <w:left w:val="single" w:sz="8" w:space="0" w:color="000000"/>
              <w:bottom w:val="nil"/>
              <w:right w:val="single" w:sz="8" w:space="0" w:color="000000"/>
            </w:tcBorders>
            <w:shd w:val="clear" w:color="auto" w:fill="BDD6EE"/>
            <w:vAlign w:val="center"/>
          </w:tcPr>
          <w:p w:rsidR="00580A07" w:rsidRPr="00244C7A" w:rsidP="00FA0F02">
            <w:pPr>
              <w:widowControl/>
              <w:jc w:val="center"/>
              <w:rPr>
                <w:rFonts w:eastAsia="Calibri"/>
                <w:b/>
                <w:color w:val="000000"/>
              </w:rPr>
            </w:pPr>
            <w:r w:rsidRPr="00244C7A">
              <w:rPr>
                <w:rFonts w:eastAsia="Calibri"/>
                <w:b/>
                <w:color w:val="000000"/>
              </w:rPr>
              <w:t>Total for Collection</w:t>
            </w:r>
          </w:p>
        </w:tc>
        <w:tc>
          <w:tcPr>
            <w:tcW w:w="1260" w:type="dxa"/>
            <w:tcBorders>
              <w:top w:val="nil"/>
              <w:left w:val="nil"/>
              <w:bottom w:val="nil"/>
              <w:right w:val="dashed" w:sz="8" w:space="0" w:color="000000"/>
            </w:tcBorders>
            <w:shd w:val="clear" w:color="auto" w:fill="BDD6EE"/>
            <w:vAlign w:val="bottom"/>
          </w:tcPr>
          <w:p w:rsidR="00580A07" w:rsidRPr="00244C7A" w:rsidP="00B82918">
            <w:pPr>
              <w:widowControl/>
              <w:jc w:val="right"/>
              <w:rPr>
                <w:rFonts w:eastAsia="Calibri"/>
                <w:b/>
                <w:color w:val="000000"/>
              </w:rPr>
            </w:pPr>
            <w:r>
              <w:rPr>
                <w:color w:val="000000"/>
              </w:rPr>
              <w:t>2,307</w:t>
            </w:r>
            <w:r w:rsidRPr="00244C7A">
              <w:rPr>
                <w:rFonts w:eastAsia="Calibri"/>
                <w:b/>
                <w:color w:val="000000"/>
              </w:rPr>
              <w:t> </w:t>
            </w:r>
          </w:p>
        </w:tc>
        <w:tc>
          <w:tcPr>
            <w:tcW w:w="1260" w:type="dxa"/>
            <w:tcBorders>
              <w:top w:val="nil"/>
              <w:left w:val="nil"/>
              <w:bottom w:val="nil"/>
              <w:right w:val="single" w:sz="8" w:space="0" w:color="000000"/>
            </w:tcBorders>
            <w:shd w:val="clear" w:color="auto" w:fill="BDD6EE"/>
            <w:vAlign w:val="bottom"/>
          </w:tcPr>
          <w:p w:rsidR="00580A07" w:rsidRPr="00244C7A" w:rsidP="00B82918">
            <w:pPr>
              <w:widowControl/>
              <w:jc w:val="right"/>
              <w:rPr>
                <w:rFonts w:eastAsia="Calibri"/>
                <w:b/>
                <w:color w:val="000000"/>
              </w:rPr>
            </w:pPr>
            <w:r w:rsidRPr="00244C7A">
              <w:rPr>
                <w:color w:val="000000"/>
              </w:rPr>
              <w:t>4,789</w:t>
            </w:r>
            <w:r w:rsidRPr="00244C7A">
              <w:rPr>
                <w:rFonts w:eastAsia="Calibri"/>
                <w:color w:val="000000"/>
              </w:rPr>
              <w:t> </w:t>
            </w:r>
            <w:r w:rsidRPr="00244C7A">
              <w:rPr>
                <w:rFonts w:eastAsia="Calibri"/>
                <w:b/>
                <w:color w:val="000000"/>
              </w:rPr>
              <w:t> </w:t>
            </w:r>
          </w:p>
        </w:tc>
        <w:tc>
          <w:tcPr>
            <w:tcW w:w="1440" w:type="dxa"/>
            <w:tcBorders>
              <w:top w:val="nil"/>
              <w:left w:val="nil"/>
              <w:bottom w:val="nil"/>
              <w:right w:val="dashed" w:sz="8" w:space="0" w:color="000000"/>
            </w:tcBorders>
            <w:shd w:val="clear" w:color="auto" w:fill="BDD6EE"/>
            <w:vAlign w:val="bottom"/>
          </w:tcPr>
          <w:p w:rsidR="00580A07" w:rsidRPr="007C79F4" w:rsidP="00D01617">
            <w:pPr>
              <w:jc w:val="right"/>
              <w:rPr>
                <w:color w:val="000000"/>
              </w:rPr>
            </w:pPr>
            <w:r>
              <w:rPr>
                <w:color w:val="000000"/>
              </w:rPr>
              <w:t xml:space="preserve">         562,</w:t>
            </w:r>
            <w:r w:rsidR="00D01617">
              <w:rPr>
                <w:color w:val="000000"/>
              </w:rPr>
              <w:t>948</w:t>
            </w:r>
          </w:p>
        </w:tc>
        <w:tc>
          <w:tcPr>
            <w:tcW w:w="1260" w:type="dxa"/>
            <w:tcBorders>
              <w:top w:val="nil"/>
              <w:left w:val="nil"/>
              <w:bottom w:val="nil"/>
              <w:right w:val="single" w:sz="8" w:space="0" w:color="000000"/>
            </w:tcBorders>
            <w:shd w:val="clear" w:color="auto" w:fill="BDD6EE"/>
            <w:vAlign w:val="bottom"/>
          </w:tcPr>
          <w:p w:rsidR="00580A07" w:rsidRPr="00244C7A" w:rsidP="00B82918">
            <w:pPr>
              <w:widowControl/>
              <w:jc w:val="right"/>
              <w:rPr>
                <w:rFonts w:eastAsia="Calibri"/>
                <w:b/>
                <w:color w:val="000000"/>
              </w:rPr>
            </w:pPr>
            <w:r w:rsidRPr="00244C7A">
              <w:rPr>
                <w:color w:val="000000"/>
              </w:rPr>
              <w:t>1,013,148</w:t>
            </w:r>
          </w:p>
        </w:tc>
        <w:tc>
          <w:tcPr>
            <w:tcW w:w="1260" w:type="dxa"/>
            <w:tcBorders>
              <w:top w:val="nil"/>
              <w:left w:val="nil"/>
              <w:bottom w:val="nil"/>
              <w:right w:val="dashed" w:sz="8" w:space="0" w:color="000000"/>
            </w:tcBorders>
            <w:shd w:val="clear" w:color="auto" w:fill="BDD6EE"/>
            <w:vAlign w:val="bottom"/>
          </w:tcPr>
          <w:p w:rsidR="00580A07" w:rsidRPr="007C79F4" w:rsidP="00D01617">
            <w:pPr>
              <w:jc w:val="right"/>
              <w:rPr>
                <w:color w:val="000000"/>
              </w:rPr>
            </w:pPr>
            <w:r>
              <w:rPr>
                <w:color w:val="000000"/>
              </w:rPr>
              <w:t xml:space="preserve">            </w:t>
            </w:r>
            <w:r w:rsidR="004E69C1">
              <w:rPr>
                <w:color w:val="000000"/>
              </w:rPr>
              <w:t>9,</w:t>
            </w:r>
            <w:r w:rsidR="00D01617">
              <w:rPr>
                <w:color w:val="000000"/>
              </w:rPr>
              <w:t>571</w:t>
            </w:r>
          </w:p>
        </w:tc>
        <w:tc>
          <w:tcPr>
            <w:tcW w:w="1260" w:type="dxa"/>
            <w:tcBorders>
              <w:top w:val="nil"/>
              <w:left w:val="nil"/>
              <w:bottom w:val="nil"/>
              <w:right w:val="single" w:sz="8" w:space="0" w:color="000000"/>
            </w:tcBorders>
            <w:shd w:val="clear" w:color="auto" w:fill="BDD6EE"/>
            <w:vAlign w:val="bottom"/>
          </w:tcPr>
          <w:p w:rsidR="00580A07" w:rsidRPr="00244C7A" w:rsidP="00B82918">
            <w:pPr>
              <w:widowControl/>
              <w:jc w:val="right"/>
              <w:rPr>
                <w:rFonts w:eastAsia="Calibri"/>
                <w:b/>
                <w:color w:val="000000"/>
              </w:rPr>
            </w:pPr>
            <w:r w:rsidRPr="00244C7A">
              <w:rPr>
                <w:color w:val="000000"/>
              </w:rPr>
              <w:t>16,886</w:t>
            </w:r>
          </w:p>
        </w:tc>
        <w:tc>
          <w:tcPr>
            <w:tcW w:w="1440" w:type="dxa"/>
            <w:tcBorders>
              <w:top w:val="nil"/>
              <w:left w:val="nil"/>
              <w:bottom w:val="nil"/>
              <w:right w:val="single" w:sz="8" w:space="0" w:color="000000"/>
            </w:tcBorders>
            <w:shd w:val="clear" w:color="auto" w:fill="000000"/>
            <w:vAlign w:val="center"/>
          </w:tcPr>
          <w:p w:rsidR="00580A07" w:rsidRPr="00244C7A" w:rsidP="00FA0F02">
            <w:pPr>
              <w:widowControl/>
              <w:jc w:val="center"/>
              <w:rPr>
                <w:rFonts w:eastAsia="Calibri"/>
                <w:b/>
                <w:color w:val="000000"/>
              </w:rPr>
            </w:pPr>
            <w:r w:rsidRPr="00244C7A">
              <w:rPr>
                <w:rFonts w:eastAsia="Calibri"/>
                <w:b/>
                <w:color w:val="000000"/>
              </w:rPr>
              <w:t> </w:t>
            </w:r>
          </w:p>
        </w:tc>
      </w:tr>
      <w:tr w:rsidTr="00B82918">
        <w:tblPrEx>
          <w:tblW w:w="11365" w:type="dxa"/>
          <w:tblInd w:w="-575" w:type="dxa"/>
          <w:tblLayout w:type="fixed"/>
          <w:tblLook w:val="0400"/>
        </w:tblPrEx>
        <w:trPr>
          <w:trHeight w:val="306"/>
        </w:trPr>
        <w:tc>
          <w:tcPr>
            <w:tcW w:w="2185" w:type="dxa"/>
            <w:tcBorders>
              <w:top w:val="single" w:sz="8" w:space="0" w:color="000000"/>
              <w:left w:val="single" w:sz="8" w:space="0" w:color="000000"/>
              <w:bottom w:val="single" w:sz="8" w:space="0" w:color="000000"/>
              <w:right w:val="nil"/>
            </w:tcBorders>
            <w:shd w:val="clear" w:color="auto" w:fill="FCE4D6"/>
            <w:vAlign w:val="bottom"/>
          </w:tcPr>
          <w:p w:rsidR="00580A07" w:rsidRPr="00244C7A" w:rsidP="00FA0F02">
            <w:pPr>
              <w:widowControl/>
              <w:jc w:val="center"/>
              <w:rPr>
                <w:rFonts w:eastAsia="Calibri"/>
                <w:b/>
                <w:color w:val="000000"/>
              </w:rPr>
            </w:pPr>
            <w:r w:rsidRPr="00244C7A">
              <w:rPr>
                <w:rFonts w:eastAsia="Calibri"/>
                <w:b/>
                <w:color w:val="000000"/>
              </w:rPr>
              <w:t>Difference</w:t>
            </w: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580A07" w:rsidRPr="00244C7A" w:rsidP="003777FE">
            <w:pPr>
              <w:widowControl/>
              <w:jc w:val="center"/>
              <w:rPr>
                <w:rFonts w:eastAsia="Calibri"/>
                <w:color w:val="000000"/>
              </w:rPr>
            </w:pPr>
            <w:r>
              <w:rPr>
                <w:rFonts w:eastAsia="Calibri"/>
                <w:color w:val="000000"/>
              </w:rPr>
              <w:t>-</w:t>
            </w:r>
            <w:r w:rsidR="004E69C1">
              <w:rPr>
                <w:rFonts w:eastAsia="Calibri"/>
                <w:color w:val="000000"/>
              </w:rPr>
              <w:t>2,482</w:t>
            </w:r>
          </w:p>
        </w:tc>
        <w:tc>
          <w:tcPr>
            <w:tcW w:w="2700" w:type="dxa"/>
            <w:gridSpan w:val="2"/>
            <w:tcBorders>
              <w:top w:val="single" w:sz="8" w:space="0" w:color="000000"/>
              <w:left w:val="nil"/>
              <w:bottom w:val="single" w:sz="8" w:space="0" w:color="000000"/>
              <w:right w:val="single" w:sz="8" w:space="0" w:color="000000"/>
            </w:tcBorders>
            <w:shd w:val="clear" w:color="auto" w:fill="FCE4D6"/>
            <w:vAlign w:val="bottom"/>
          </w:tcPr>
          <w:p w:rsidR="00580A07" w:rsidRPr="00244C7A" w:rsidP="003777FE">
            <w:pPr>
              <w:widowControl/>
              <w:jc w:val="center"/>
              <w:rPr>
                <w:rFonts w:eastAsia="Calibri"/>
                <w:color w:val="000000"/>
              </w:rPr>
            </w:pPr>
            <w:r>
              <w:rPr>
                <w:rFonts w:eastAsia="Calibri"/>
                <w:color w:val="000000"/>
              </w:rPr>
              <w:t>-</w:t>
            </w:r>
            <w:r w:rsidRPr="00244C7A">
              <w:rPr>
                <w:rFonts w:eastAsia="Calibri"/>
                <w:color w:val="000000"/>
              </w:rPr>
              <w:t>450</w:t>
            </w:r>
            <w:r w:rsidR="004E69C1">
              <w:rPr>
                <w:rFonts w:eastAsia="Calibri"/>
                <w:color w:val="000000"/>
              </w:rPr>
              <w:t>,</w:t>
            </w:r>
            <w:r w:rsidR="003777FE">
              <w:rPr>
                <w:rFonts w:eastAsia="Calibri"/>
                <w:color w:val="000000"/>
              </w:rPr>
              <w:t>200</w:t>
            </w:r>
          </w:p>
        </w:tc>
        <w:tc>
          <w:tcPr>
            <w:tcW w:w="2520" w:type="dxa"/>
            <w:gridSpan w:val="2"/>
            <w:tcBorders>
              <w:top w:val="single" w:sz="8" w:space="0" w:color="000000"/>
              <w:left w:val="nil"/>
              <w:bottom w:val="single" w:sz="8" w:space="0" w:color="000000"/>
              <w:right w:val="single" w:sz="4" w:space="0" w:color="000000"/>
            </w:tcBorders>
            <w:shd w:val="clear" w:color="auto" w:fill="FCE4D6"/>
            <w:vAlign w:val="bottom"/>
          </w:tcPr>
          <w:p w:rsidR="00580A07" w:rsidRPr="00244C7A" w:rsidP="003777FE">
            <w:pPr>
              <w:widowControl/>
              <w:jc w:val="center"/>
              <w:rPr>
                <w:rFonts w:eastAsia="Calibri"/>
                <w:color w:val="000000"/>
              </w:rPr>
            </w:pPr>
            <w:r>
              <w:rPr>
                <w:rFonts w:eastAsia="Calibri"/>
                <w:color w:val="000000"/>
              </w:rPr>
              <w:t>-</w:t>
            </w:r>
            <w:r w:rsidR="003777FE">
              <w:rPr>
                <w:rFonts w:eastAsia="Calibri"/>
                <w:color w:val="000000"/>
              </w:rPr>
              <w:t>7,315</w:t>
            </w:r>
          </w:p>
        </w:tc>
        <w:tc>
          <w:tcPr>
            <w:tcW w:w="1440" w:type="dxa"/>
            <w:tcBorders>
              <w:top w:val="single" w:sz="8" w:space="0" w:color="000000"/>
              <w:left w:val="nil"/>
              <w:bottom w:val="single" w:sz="8" w:space="0" w:color="000000"/>
              <w:right w:val="single" w:sz="8" w:space="0" w:color="000000"/>
            </w:tcBorders>
            <w:shd w:val="clear" w:color="auto" w:fill="000000"/>
            <w:vAlign w:val="bottom"/>
          </w:tcPr>
          <w:p w:rsidR="00580A07" w:rsidRPr="00244C7A" w:rsidP="00FA0F02">
            <w:pPr>
              <w:widowControl/>
              <w:rPr>
                <w:rFonts w:eastAsia="Calibri"/>
                <w:color w:val="000000"/>
              </w:rPr>
            </w:pPr>
            <w:r w:rsidRPr="00244C7A">
              <w:rPr>
                <w:rFonts w:eastAsia="Calibri"/>
                <w:color w:val="000000"/>
              </w:rPr>
              <w:t> </w:t>
            </w:r>
          </w:p>
        </w:tc>
      </w:tr>
    </w:tbl>
    <w:p w:rsidR="00BD2730" w:rsidRPr="00244C7A" w:rsidP="00244C7A">
      <w:pPr>
        <w:pBdr>
          <w:top w:val="nil"/>
          <w:left w:val="nil"/>
          <w:bottom w:val="nil"/>
          <w:right w:val="nil"/>
          <w:between w:val="nil"/>
        </w:pBdr>
        <w:spacing w:before="80" w:after="240"/>
        <w:rPr>
          <w:b/>
          <w:color w:val="000000"/>
        </w:rPr>
      </w:pPr>
    </w:p>
    <w:p w:rsidR="00BD2730" w:rsidRPr="00FA0F02" w:rsidP="00B82918">
      <w:pPr>
        <w:jc w:val="center"/>
        <w:rPr>
          <w:b/>
        </w:rPr>
      </w:pPr>
      <w:r>
        <w:rPr>
          <w:b/>
        </w:rPr>
        <w:t>Table 4</w:t>
      </w:r>
      <w:r w:rsidRPr="00331383">
        <w:rPr>
          <w:b/>
        </w:rPr>
        <w:t xml:space="preserve">. </w:t>
      </w:r>
      <w:r>
        <w:rPr>
          <w:b/>
        </w:rPr>
        <w:t>Reasons for Changes to Annual Costs</w:t>
      </w:r>
    </w:p>
    <w:tbl>
      <w:tblPr>
        <w:tblStyle w:val="a4"/>
        <w:tblW w:w="10608" w:type="dxa"/>
        <w:tblInd w:w="-140" w:type="dxa"/>
        <w:tblLayout w:type="fixed"/>
        <w:tblLook w:val="0400"/>
      </w:tblPr>
      <w:tblGrid>
        <w:gridCol w:w="2650"/>
        <w:gridCol w:w="1350"/>
        <w:gridCol w:w="1260"/>
        <w:gridCol w:w="1350"/>
        <w:gridCol w:w="1350"/>
        <w:gridCol w:w="2648"/>
      </w:tblGrid>
      <w:tr w:rsidTr="00FA0F02">
        <w:tblPrEx>
          <w:tblW w:w="10608" w:type="dxa"/>
          <w:tblInd w:w="-140" w:type="dxa"/>
          <w:tblLayout w:type="fixed"/>
          <w:tblLook w:val="0400"/>
        </w:tblPrEx>
        <w:trPr>
          <w:trHeight w:val="410"/>
        </w:trPr>
        <w:tc>
          <w:tcPr>
            <w:tcW w:w="26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widowControl/>
              <w:spacing w:before="80"/>
              <w:jc w:val="center"/>
              <w:rPr>
                <w:rFonts w:eastAsia="Calibri"/>
                <w:b/>
                <w:color w:val="000000"/>
              </w:rPr>
            </w:pPr>
            <w:r w:rsidRPr="00244C7A">
              <w:rPr>
                <w:rFonts w:eastAsia="Calibri"/>
                <w:b/>
                <w:color w:val="000000"/>
              </w:rPr>
              <w:t>Information Collection</w:t>
            </w:r>
          </w:p>
        </w:tc>
        <w:tc>
          <w:tcPr>
            <w:tcW w:w="2610" w:type="dxa"/>
            <w:gridSpan w:val="2"/>
            <w:tcBorders>
              <w:top w:val="single" w:sz="8" w:space="0" w:color="000000"/>
              <w:left w:val="nil"/>
              <w:bottom w:val="single" w:sz="8" w:space="0" w:color="000000"/>
              <w:right w:val="single" w:sz="8" w:space="0" w:color="000000"/>
            </w:tcBorders>
            <w:shd w:val="clear" w:color="auto" w:fill="5B9BD5"/>
            <w:vAlign w:val="center"/>
          </w:tcPr>
          <w:p w:rsidR="00BD2730" w:rsidRPr="00244C7A" w:rsidP="00FA0F02">
            <w:pPr>
              <w:widowControl/>
              <w:spacing w:before="80"/>
              <w:jc w:val="center"/>
              <w:rPr>
                <w:rFonts w:eastAsia="Calibri"/>
                <w:b/>
                <w:color w:val="000000"/>
              </w:rPr>
            </w:pPr>
            <w:r w:rsidRPr="00244C7A">
              <w:rPr>
                <w:rFonts w:eastAsia="Calibri"/>
                <w:b/>
                <w:color w:val="000000"/>
              </w:rPr>
              <w:t>Labor Costs</w:t>
            </w:r>
          </w:p>
        </w:tc>
        <w:tc>
          <w:tcPr>
            <w:tcW w:w="2700" w:type="dxa"/>
            <w:gridSpan w:val="2"/>
            <w:tcBorders>
              <w:top w:val="single" w:sz="8" w:space="0" w:color="000000"/>
              <w:left w:val="nil"/>
              <w:bottom w:val="single" w:sz="8" w:space="0" w:color="000000"/>
              <w:right w:val="single" w:sz="8" w:space="0" w:color="000000"/>
            </w:tcBorders>
            <w:shd w:val="clear" w:color="auto" w:fill="5B9BD5"/>
            <w:vAlign w:val="center"/>
          </w:tcPr>
          <w:p w:rsidR="00BD2730" w:rsidRPr="00244C7A" w:rsidP="00FA0F02">
            <w:pPr>
              <w:widowControl/>
              <w:spacing w:before="80"/>
              <w:jc w:val="center"/>
              <w:rPr>
                <w:rFonts w:eastAsia="Calibri"/>
                <w:b/>
                <w:color w:val="000000"/>
              </w:rPr>
            </w:pPr>
            <w:r w:rsidRPr="00244C7A">
              <w:rPr>
                <w:rFonts w:eastAsia="Calibri"/>
                <w:b/>
                <w:color w:val="000000"/>
              </w:rPr>
              <w:t>Miscellaneous Costs</w:t>
            </w:r>
          </w:p>
        </w:tc>
        <w:tc>
          <w:tcPr>
            <w:tcW w:w="264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widowControl/>
              <w:spacing w:before="80"/>
              <w:jc w:val="center"/>
              <w:rPr>
                <w:rFonts w:eastAsia="Calibri"/>
                <w:b/>
                <w:color w:val="000000"/>
              </w:rPr>
            </w:pPr>
            <w:r w:rsidRPr="00244C7A">
              <w:rPr>
                <w:rFonts w:eastAsia="Calibri"/>
                <w:b/>
                <w:color w:val="000000"/>
              </w:rPr>
              <w:t>Reason for change or adjustment</w:t>
            </w:r>
          </w:p>
        </w:tc>
      </w:tr>
      <w:tr w:rsidTr="00FA0F02">
        <w:tblPrEx>
          <w:tblW w:w="10608" w:type="dxa"/>
          <w:tblInd w:w="-140" w:type="dxa"/>
          <w:tblLayout w:type="fixed"/>
          <w:tblLook w:val="0400"/>
        </w:tblPrEx>
        <w:trPr>
          <w:trHeight w:val="899"/>
        </w:trPr>
        <w:tc>
          <w:tcPr>
            <w:tcW w:w="26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pBdr>
                <w:top w:val="nil"/>
                <w:left w:val="nil"/>
                <w:bottom w:val="nil"/>
                <w:right w:val="nil"/>
                <w:between w:val="nil"/>
              </w:pBdr>
              <w:spacing w:before="80"/>
              <w:rPr>
                <w:rFonts w:eastAsia="Calibri"/>
                <w:b/>
                <w:color w:val="000000"/>
              </w:rPr>
            </w:pPr>
          </w:p>
        </w:tc>
        <w:tc>
          <w:tcPr>
            <w:tcW w:w="1350" w:type="dxa"/>
            <w:tcBorders>
              <w:top w:val="nil"/>
              <w:left w:val="nil"/>
              <w:bottom w:val="single" w:sz="8" w:space="0" w:color="000000"/>
              <w:right w:val="dashed" w:sz="8" w:space="0" w:color="000000"/>
            </w:tcBorders>
            <w:shd w:val="clear" w:color="auto" w:fill="FBE4D5"/>
            <w:vAlign w:val="center"/>
          </w:tcPr>
          <w:p w:rsidR="00BD2730" w:rsidRPr="00244C7A" w:rsidP="00FA0F02">
            <w:pPr>
              <w:widowControl/>
              <w:spacing w:before="80"/>
              <w:jc w:val="center"/>
              <w:rPr>
                <w:rFonts w:eastAsia="Calibri"/>
                <w:color w:val="000000"/>
              </w:rPr>
            </w:pPr>
            <w:r w:rsidRPr="00244C7A">
              <w:rPr>
                <w:rFonts w:eastAsia="Calibri"/>
                <w:color w:val="000000"/>
              </w:rPr>
              <w:t>Current</w:t>
            </w:r>
          </w:p>
        </w:tc>
        <w:tc>
          <w:tcPr>
            <w:tcW w:w="1260" w:type="dxa"/>
            <w:tcBorders>
              <w:top w:val="nil"/>
              <w:left w:val="nil"/>
              <w:bottom w:val="single" w:sz="8" w:space="0" w:color="000000"/>
              <w:right w:val="single" w:sz="8" w:space="0" w:color="000000"/>
            </w:tcBorders>
            <w:shd w:val="clear" w:color="auto" w:fill="FBE4D5"/>
            <w:vAlign w:val="center"/>
          </w:tcPr>
          <w:p w:rsidR="00BD2730" w:rsidRPr="00244C7A" w:rsidP="00FA0F02">
            <w:pPr>
              <w:widowControl/>
              <w:spacing w:before="80"/>
              <w:jc w:val="center"/>
              <w:rPr>
                <w:rFonts w:eastAsia="Calibri"/>
                <w:color w:val="000000"/>
              </w:rPr>
            </w:pPr>
            <w:r w:rsidRPr="00244C7A">
              <w:rPr>
                <w:rFonts w:eastAsia="Calibri"/>
                <w:color w:val="000000"/>
              </w:rPr>
              <w:t>Previous</w:t>
            </w:r>
          </w:p>
        </w:tc>
        <w:tc>
          <w:tcPr>
            <w:tcW w:w="1350" w:type="dxa"/>
            <w:tcBorders>
              <w:top w:val="nil"/>
              <w:left w:val="nil"/>
              <w:bottom w:val="single" w:sz="8" w:space="0" w:color="000000"/>
              <w:right w:val="dashed" w:sz="8" w:space="0" w:color="000000"/>
            </w:tcBorders>
            <w:shd w:val="clear" w:color="auto" w:fill="FBE4D5"/>
            <w:vAlign w:val="center"/>
          </w:tcPr>
          <w:p w:rsidR="00BD2730" w:rsidRPr="00244C7A" w:rsidP="00FA0F02">
            <w:pPr>
              <w:widowControl/>
              <w:spacing w:before="80"/>
              <w:jc w:val="center"/>
              <w:rPr>
                <w:rFonts w:eastAsia="Calibri"/>
                <w:color w:val="000000"/>
              </w:rPr>
            </w:pPr>
            <w:r w:rsidRPr="00244C7A">
              <w:rPr>
                <w:rFonts w:eastAsia="Calibri"/>
                <w:color w:val="000000"/>
              </w:rPr>
              <w:t>Current</w:t>
            </w:r>
          </w:p>
        </w:tc>
        <w:tc>
          <w:tcPr>
            <w:tcW w:w="1350" w:type="dxa"/>
            <w:tcBorders>
              <w:top w:val="nil"/>
              <w:left w:val="nil"/>
              <w:bottom w:val="single" w:sz="8" w:space="0" w:color="000000"/>
              <w:right w:val="single" w:sz="8" w:space="0" w:color="000000"/>
            </w:tcBorders>
            <w:shd w:val="clear" w:color="auto" w:fill="FBE4D5"/>
            <w:vAlign w:val="center"/>
          </w:tcPr>
          <w:p w:rsidR="00BD2730" w:rsidRPr="00244C7A" w:rsidP="00FA0F02">
            <w:pPr>
              <w:widowControl/>
              <w:spacing w:before="80"/>
              <w:jc w:val="center"/>
              <w:rPr>
                <w:rFonts w:eastAsia="Calibri"/>
                <w:color w:val="000000"/>
              </w:rPr>
            </w:pPr>
            <w:r w:rsidRPr="00244C7A">
              <w:rPr>
                <w:rFonts w:eastAsia="Calibri"/>
                <w:color w:val="000000"/>
              </w:rPr>
              <w:t>Previous</w:t>
            </w:r>
          </w:p>
        </w:tc>
        <w:tc>
          <w:tcPr>
            <w:tcW w:w="264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2730" w:rsidRPr="00244C7A" w:rsidP="00FA0F02">
            <w:pPr>
              <w:pBdr>
                <w:top w:val="nil"/>
                <w:left w:val="nil"/>
                <w:bottom w:val="nil"/>
                <w:right w:val="nil"/>
                <w:between w:val="nil"/>
              </w:pBdr>
              <w:spacing w:before="80"/>
              <w:rPr>
                <w:rFonts w:eastAsia="Calibri"/>
                <w:color w:val="000000"/>
              </w:rPr>
            </w:pP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 xml:space="preserve">Greater Atlantic Region Gear Identification-Lobster </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164,166.43</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133,125</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40,195.00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21,300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rFonts w:eastAsia="Calibri"/>
                <w:color w:val="000000"/>
              </w:rPr>
              <w:t> </w:t>
            </w:r>
            <w:r w:rsidRPr="00244C7A">
              <w:rPr>
                <w:color w:val="000000"/>
              </w:rPr>
              <w:t>Adjustment</w:t>
            </w: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Greater Atlantic Region Gear Identification -Black Sea Bass</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2,450.55</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6,690</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1,250.00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2,230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rFonts w:eastAsia="Calibri"/>
                <w:color w:val="000000"/>
              </w:rPr>
              <w:t> </w:t>
            </w:r>
            <w:r w:rsidRPr="00244C7A">
              <w:rPr>
                <w:color w:val="000000"/>
              </w:rPr>
              <w:t>Adjustment</w:t>
            </w: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 xml:space="preserve">Greater Atlantic Region Gear </w:t>
            </w:r>
            <w:r w:rsidRPr="00244C7A">
              <w:rPr>
                <w:color w:val="000000"/>
              </w:rPr>
              <w:t>Identification -Scup</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1,078.24</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3,420</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550.00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1,140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rFonts w:eastAsia="Calibri"/>
                <w:color w:val="000000"/>
              </w:rPr>
              <w:t> </w:t>
            </w:r>
            <w:r w:rsidRPr="00244C7A">
              <w:rPr>
                <w:color w:val="000000"/>
              </w:rPr>
              <w:t>Adjustment</w:t>
            </w: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Greater Atlantic Region Gear Identification -Deep Sea Red Crab</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98.02</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75</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100.00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50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rFonts w:eastAsia="Calibri"/>
                <w:color w:val="000000"/>
              </w:rPr>
              <w:t> </w:t>
            </w:r>
            <w:r w:rsidRPr="00244C7A">
              <w:rPr>
                <w:color w:val="000000"/>
              </w:rPr>
              <w:t>Adjustment</w:t>
            </w: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Greater Atlantic Region Gear Identification -Gillnet</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15,866.49</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107,040</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3,035.00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13,380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color w:val="000000"/>
              </w:rPr>
              <w:t>Adjustment</w:t>
            </w:r>
          </w:p>
        </w:tc>
      </w:tr>
      <w:tr w:rsidTr="00B82918">
        <w:tblPrEx>
          <w:tblW w:w="10608" w:type="dxa"/>
          <w:tblInd w:w="-140" w:type="dxa"/>
          <w:tblLayout w:type="fixed"/>
          <w:tblLook w:val="0400"/>
        </w:tblPrEx>
        <w:trPr>
          <w:trHeight w:val="410"/>
        </w:trPr>
        <w:tc>
          <w:tcPr>
            <w:tcW w:w="2650" w:type="dxa"/>
            <w:tcBorders>
              <w:top w:val="nil"/>
              <w:left w:val="single" w:sz="8" w:space="0" w:color="000000"/>
              <w:bottom w:val="single" w:sz="8" w:space="0" w:color="000000"/>
              <w:right w:val="single" w:sz="8" w:space="0" w:color="000000"/>
            </w:tcBorders>
            <w:shd w:val="clear" w:color="auto" w:fill="auto"/>
            <w:vAlign w:val="bottom"/>
          </w:tcPr>
          <w:p w:rsidR="001D4B69" w:rsidRPr="00244C7A" w:rsidP="001D4B69">
            <w:pPr>
              <w:widowControl/>
              <w:spacing w:before="80"/>
              <w:rPr>
                <w:color w:val="000000"/>
              </w:rPr>
            </w:pPr>
            <w:r w:rsidRPr="00244C7A">
              <w:rPr>
                <w:color w:val="000000"/>
              </w:rPr>
              <w:t>Greater Atlantic Region Gear Identification -Longline</w:t>
            </w:r>
          </w:p>
        </w:tc>
        <w:tc>
          <w:tcPr>
            <w:tcW w:w="1350" w:type="dxa"/>
            <w:tcBorders>
              <w:top w:val="nil"/>
              <w:left w:val="nil"/>
              <w:bottom w:val="dotted" w:sz="4" w:space="0" w:color="000000"/>
              <w:right w:val="dashed" w:sz="8" w:space="0" w:color="000000"/>
            </w:tcBorders>
            <w:shd w:val="clear" w:color="auto" w:fill="auto"/>
            <w:vAlign w:val="bottom"/>
          </w:tcPr>
          <w:p w:rsidR="001D4B69" w:rsidRPr="006E2142" w:rsidP="001D4B69">
            <w:pPr>
              <w:spacing w:before="80"/>
              <w:jc w:val="right"/>
              <w:rPr>
                <w:color w:val="000000"/>
              </w:rPr>
            </w:pPr>
            <w:r>
              <w:rPr>
                <w:color w:val="000000"/>
              </w:rPr>
              <w:t xml:space="preserve">    192.12</w:t>
            </w:r>
            <w:r w:rsidRPr="00244C7A">
              <w:rPr>
                <w:rFonts w:eastAsia="Calibri"/>
                <w:color w:val="000000"/>
              </w:rPr>
              <w:t> </w:t>
            </w:r>
          </w:p>
        </w:tc>
        <w:tc>
          <w:tcPr>
            <w:tcW w:w="126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rFonts w:eastAsia="Calibri"/>
                <w:color w:val="000000"/>
              </w:rPr>
            </w:pPr>
            <w:r w:rsidRPr="00244C7A">
              <w:rPr>
                <w:rFonts w:eastAsia="Calibri"/>
                <w:color w:val="000000"/>
              </w:rPr>
              <w:t>1,940</w:t>
            </w:r>
          </w:p>
        </w:tc>
        <w:tc>
          <w:tcPr>
            <w:tcW w:w="1350" w:type="dxa"/>
            <w:tcBorders>
              <w:top w:val="nil"/>
              <w:left w:val="nil"/>
              <w:bottom w:val="dotted" w:sz="4" w:space="0" w:color="000000"/>
              <w:right w:val="dashed" w:sz="8" w:space="0" w:color="000000"/>
            </w:tcBorders>
            <w:shd w:val="clear" w:color="auto" w:fill="auto"/>
            <w:vAlign w:val="bottom"/>
          </w:tcPr>
          <w:p w:rsidR="001D4B69" w:rsidRPr="00244C7A" w:rsidP="001D4B69">
            <w:pPr>
              <w:spacing w:before="80"/>
              <w:jc w:val="right"/>
              <w:rPr>
                <w:color w:val="000000"/>
              </w:rPr>
            </w:pPr>
            <w:r>
              <w:rPr>
                <w:color w:val="000000"/>
              </w:rPr>
              <w:t>980.00</w:t>
            </w:r>
          </w:p>
        </w:tc>
        <w:tc>
          <w:tcPr>
            <w:tcW w:w="1350"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jc w:val="right"/>
              <w:rPr>
                <w:color w:val="000000"/>
              </w:rPr>
            </w:pPr>
            <w:r w:rsidRPr="00244C7A">
              <w:rPr>
                <w:color w:val="000000"/>
              </w:rPr>
              <w:t>9,790</w:t>
            </w:r>
          </w:p>
        </w:tc>
        <w:tc>
          <w:tcPr>
            <w:tcW w:w="2648" w:type="dxa"/>
            <w:tcBorders>
              <w:top w:val="nil"/>
              <w:left w:val="nil"/>
              <w:bottom w:val="dotted" w:sz="4" w:space="0" w:color="000000"/>
              <w:right w:val="single" w:sz="8" w:space="0" w:color="000000"/>
            </w:tcBorders>
            <w:shd w:val="clear" w:color="auto" w:fill="auto"/>
            <w:vAlign w:val="bottom"/>
          </w:tcPr>
          <w:p w:rsidR="001D4B69" w:rsidRPr="00244C7A" w:rsidP="001D4B69">
            <w:pPr>
              <w:widowControl/>
              <w:spacing w:before="80"/>
              <w:rPr>
                <w:rFonts w:eastAsia="Calibri"/>
                <w:color w:val="000000"/>
              </w:rPr>
            </w:pPr>
            <w:r w:rsidRPr="00244C7A">
              <w:rPr>
                <w:color w:val="000000"/>
              </w:rPr>
              <w:t>Adjustment</w:t>
            </w:r>
          </w:p>
        </w:tc>
      </w:tr>
      <w:tr w:rsidTr="00FA0F02">
        <w:tblPrEx>
          <w:tblW w:w="10608" w:type="dxa"/>
          <w:tblInd w:w="-140" w:type="dxa"/>
          <w:tblLayout w:type="fixed"/>
          <w:tblLook w:val="0400"/>
        </w:tblPrEx>
        <w:trPr>
          <w:trHeight w:val="605"/>
        </w:trPr>
        <w:tc>
          <w:tcPr>
            <w:tcW w:w="2650" w:type="dxa"/>
            <w:tcBorders>
              <w:top w:val="nil"/>
              <w:left w:val="single" w:sz="8" w:space="0" w:color="000000"/>
              <w:bottom w:val="nil"/>
              <w:right w:val="single" w:sz="8" w:space="0" w:color="000000"/>
            </w:tcBorders>
            <w:shd w:val="clear" w:color="auto" w:fill="BDD6EE"/>
            <w:vAlign w:val="center"/>
          </w:tcPr>
          <w:p w:rsidR="00A16F35" w:rsidRPr="00244C7A" w:rsidP="00FA0F02">
            <w:pPr>
              <w:widowControl/>
              <w:spacing w:before="80"/>
              <w:jc w:val="center"/>
              <w:rPr>
                <w:rFonts w:eastAsia="Calibri"/>
                <w:b/>
                <w:color w:val="000000"/>
              </w:rPr>
            </w:pPr>
            <w:r w:rsidRPr="00244C7A">
              <w:rPr>
                <w:rFonts w:eastAsia="Calibri"/>
                <w:b/>
                <w:color w:val="000000"/>
              </w:rPr>
              <w:t>Total for Collection</w:t>
            </w:r>
          </w:p>
        </w:tc>
        <w:tc>
          <w:tcPr>
            <w:tcW w:w="1350" w:type="dxa"/>
            <w:tcBorders>
              <w:top w:val="nil"/>
              <w:left w:val="nil"/>
              <w:bottom w:val="nil"/>
              <w:right w:val="dashed" w:sz="8" w:space="0" w:color="000000"/>
            </w:tcBorders>
            <w:shd w:val="clear" w:color="auto" w:fill="BDD6EE"/>
            <w:vAlign w:val="bottom"/>
          </w:tcPr>
          <w:p w:rsidR="00A16F35" w:rsidRPr="00373F23" w:rsidP="008C13A7">
            <w:pPr>
              <w:jc w:val="right"/>
              <w:rPr>
                <w:color w:val="000000"/>
              </w:rPr>
            </w:pPr>
            <w:r>
              <w:rPr>
                <w:color w:val="000000"/>
              </w:rPr>
              <w:t>183,851.85</w:t>
            </w:r>
          </w:p>
        </w:tc>
        <w:tc>
          <w:tcPr>
            <w:tcW w:w="1260" w:type="dxa"/>
            <w:tcBorders>
              <w:top w:val="nil"/>
              <w:left w:val="nil"/>
              <w:bottom w:val="nil"/>
              <w:right w:val="single" w:sz="8" w:space="0" w:color="000000"/>
            </w:tcBorders>
            <w:shd w:val="clear" w:color="auto" w:fill="BDD6EE"/>
            <w:vAlign w:val="bottom"/>
          </w:tcPr>
          <w:p w:rsidR="00A16F35" w:rsidRPr="00D01617" w:rsidP="00FA0F02">
            <w:pPr>
              <w:widowControl/>
              <w:spacing w:before="80"/>
              <w:jc w:val="right"/>
              <w:rPr>
                <w:rFonts w:eastAsia="Calibri"/>
                <w:color w:val="000000"/>
              </w:rPr>
            </w:pPr>
            <w:r w:rsidRPr="00D01617">
              <w:rPr>
                <w:bCs/>
                <w:color w:val="000000"/>
              </w:rPr>
              <w:t>253,290</w:t>
            </w:r>
          </w:p>
        </w:tc>
        <w:tc>
          <w:tcPr>
            <w:tcW w:w="1350" w:type="dxa"/>
            <w:tcBorders>
              <w:top w:val="nil"/>
              <w:left w:val="nil"/>
              <w:bottom w:val="nil"/>
              <w:right w:val="dashed" w:sz="8" w:space="0" w:color="000000"/>
            </w:tcBorders>
            <w:shd w:val="clear" w:color="auto" w:fill="BDD6EE"/>
            <w:vAlign w:val="bottom"/>
          </w:tcPr>
          <w:p w:rsidR="00A16F35" w:rsidRPr="00D01617" w:rsidP="00FA0F02">
            <w:pPr>
              <w:spacing w:before="80"/>
              <w:jc w:val="right"/>
              <w:rPr>
                <w:color w:val="000000"/>
              </w:rPr>
            </w:pPr>
            <w:r w:rsidRPr="00D01617">
              <w:rPr>
                <w:color w:val="000000"/>
              </w:rPr>
              <w:t>46,110.00</w:t>
            </w:r>
            <w:r w:rsidRPr="00D01617">
              <w:rPr>
                <w:rFonts w:eastAsia="Calibri"/>
                <w:color w:val="000000"/>
              </w:rPr>
              <w:t xml:space="preserve"> </w:t>
            </w:r>
          </w:p>
        </w:tc>
        <w:tc>
          <w:tcPr>
            <w:tcW w:w="1350" w:type="dxa"/>
            <w:tcBorders>
              <w:top w:val="nil"/>
              <w:left w:val="nil"/>
              <w:bottom w:val="nil"/>
              <w:right w:val="single" w:sz="8" w:space="0" w:color="000000"/>
            </w:tcBorders>
            <w:shd w:val="clear" w:color="auto" w:fill="BDD6EE"/>
            <w:vAlign w:val="bottom"/>
          </w:tcPr>
          <w:p w:rsidR="00A16F35" w:rsidRPr="00D01617" w:rsidP="00FA0F02">
            <w:pPr>
              <w:widowControl/>
              <w:spacing w:before="80"/>
              <w:jc w:val="right"/>
              <w:rPr>
                <w:color w:val="000000"/>
              </w:rPr>
            </w:pPr>
            <w:r w:rsidRPr="00D01617">
              <w:rPr>
                <w:bCs/>
                <w:color w:val="000000"/>
              </w:rPr>
              <w:t xml:space="preserve"> 47,890</w:t>
            </w:r>
          </w:p>
        </w:tc>
        <w:tc>
          <w:tcPr>
            <w:tcW w:w="2648" w:type="dxa"/>
            <w:tcBorders>
              <w:top w:val="nil"/>
              <w:left w:val="nil"/>
              <w:bottom w:val="nil"/>
              <w:right w:val="single" w:sz="8" w:space="0" w:color="000000"/>
            </w:tcBorders>
            <w:shd w:val="clear" w:color="auto" w:fill="000000"/>
            <w:vAlign w:val="center"/>
          </w:tcPr>
          <w:p w:rsidR="00A16F35" w:rsidRPr="00244C7A" w:rsidP="00FA0F02">
            <w:pPr>
              <w:widowControl/>
              <w:spacing w:before="80"/>
              <w:jc w:val="center"/>
              <w:rPr>
                <w:rFonts w:eastAsia="Calibri"/>
                <w:b/>
                <w:color w:val="000000"/>
              </w:rPr>
            </w:pPr>
            <w:r w:rsidRPr="00244C7A">
              <w:rPr>
                <w:rFonts w:eastAsia="Calibri"/>
                <w:b/>
                <w:color w:val="000000"/>
              </w:rPr>
              <w:t> </w:t>
            </w:r>
          </w:p>
        </w:tc>
      </w:tr>
      <w:tr w:rsidTr="00FA0F02">
        <w:tblPrEx>
          <w:tblW w:w="10608" w:type="dxa"/>
          <w:tblInd w:w="-140" w:type="dxa"/>
          <w:tblLayout w:type="fixed"/>
          <w:tblLook w:val="0400"/>
        </w:tblPrEx>
        <w:trPr>
          <w:trHeight w:val="410"/>
        </w:trPr>
        <w:tc>
          <w:tcPr>
            <w:tcW w:w="2650" w:type="dxa"/>
            <w:tcBorders>
              <w:top w:val="single" w:sz="8" w:space="0" w:color="000000"/>
              <w:left w:val="single" w:sz="8" w:space="0" w:color="000000"/>
              <w:bottom w:val="single" w:sz="8" w:space="0" w:color="000000"/>
              <w:right w:val="nil"/>
            </w:tcBorders>
            <w:shd w:val="clear" w:color="auto" w:fill="FCE4D6"/>
            <w:vAlign w:val="bottom"/>
          </w:tcPr>
          <w:p w:rsidR="00A16F35" w:rsidRPr="00244C7A" w:rsidP="00FA0F02">
            <w:pPr>
              <w:widowControl/>
              <w:spacing w:before="80"/>
              <w:jc w:val="center"/>
              <w:rPr>
                <w:rFonts w:eastAsia="Calibri"/>
                <w:b/>
                <w:color w:val="000000"/>
              </w:rPr>
            </w:pPr>
            <w:r w:rsidRPr="00244C7A">
              <w:rPr>
                <w:rFonts w:eastAsia="Calibri"/>
                <w:b/>
                <w:color w:val="000000"/>
              </w:rPr>
              <w:t>Difference</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A16F35" w:rsidRPr="00373F23" w:rsidP="002062AD">
            <w:pPr>
              <w:jc w:val="center"/>
              <w:rPr>
                <w:color w:val="000000"/>
              </w:rPr>
            </w:pPr>
            <w:r>
              <w:rPr>
                <w:color w:val="000000"/>
              </w:rPr>
              <w:t>-</w:t>
            </w:r>
            <w:r w:rsidR="008C13A7">
              <w:rPr>
                <w:color w:val="000000"/>
              </w:rPr>
              <w:t>69,438.15</w:t>
            </w:r>
          </w:p>
        </w:tc>
        <w:tc>
          <w:tcPr>
            <w:tcW w:w="2700" w:type="dxa"/>
            <w:gridSpan w:val="2"/>
            <w:tcBorders>
              <w:top w:val="single" w:sz="8" w:space="0" w:color="000000"/>
              <w:left w:val="nil"/>
              <w:bottom w:val="single" w:sz="8" w:space="0" w:color="000000"/>
              <w:right w:val="single" w:sz="4" w:space="0" w:color="000000"/>
            </w:tcBorders>
            <w:shd w:val="clear" w:color="auto" w:fill="FCE4D6"/>
            <w:vAlign w:val="bottom"/>
          </w:tcPr>
          <w:p w:rsidR="00A16F35" w:rsidRPr="00244C7A" w:rsidP="002062AD">
            <w:pPr>
              <w:widowControl/>
              <w:spacing w:before="80"/>
              <w:jc w:val="center"/>
              <w:rPr>
                <w:rFonts w:eastAsia="Calibri"/>
                <w:color w:val="000000"/>
              </w:rPr>
            </w:pPr>
            <w:r>
              <w:rPr>
                <w:rFonts w:eastAsia="Calibri"/>
                <w:color w:val="000000"/>
              </w:rPr>
              <w:t>-</w:t>
            </w:r>
            <w:r w:rsidRPr="00244C7A">
              <w:rPr>
                <w:rFonts w:eastAsia="Calibri"/>
                <w:color w:val="000000"/>
              </w:rPr>
              <w:t>1,780</w:t>
            </w:r>
            <w:r w:rsidR="00373F23">
              <w:rPr>
                <w:rFonts w:eastAsia="Calibri"/>
                <w:color w:val="000000"/>
              </w:rPr>
              <w:t>.00</w:t>
            </w:r>
          </w:p>
        </w:tc>
        <w:tc>
          <w:tcPr>
            <w:tcW w:w="2648" w:type="dxa"/>
            <w:tcBorders>
              <w:top w:val="single" w:sz="8" w:space="0" w:color="000000"/>
              <w:left w:val="nil"/>
              <w:bottom w:val="single" w:sz="8" w:space="0" w:color="000000"/>
              <w:right w:val="single" w:sz="8" w:space="0" w:color="000000"/>
            </w:tcBorders>
            <w:shd w:val="clear" w:color="auto" w:fill="000000"/>
            <w:vAlign w:val="bottom"/>
          </w:tcPr>
          <w:p w:rsidR="00A16F35" w:rsidRPr="00244C7A" w:rsidP="00FA0F02">
            <w:pPr>
              <w:widowControl/>
              <w:spacing w:before="80"/>
              <w:rPr>
                <w:rFonts w:eastAsia="Calibri"/>
                <w:color w:val="000000"/>
              </w:rPr>
            </w:pPr>
            <w:r w:rsidRPr="00244C7A">
              <w:rPr>
                <w:rFonts w:eastAsia="Calibri"/>
                <w:color w:val="000000"/>
              </w:rPr>
              <w:t> </w:t>
            </w:r>
          </w:p>
        </w:tc>
      </w:tr>
    </w:tbl>
    <w:p w:rsidR="00BD2730" w:rsidP="0051009A">
      <w:pPr>
        <w:spacing w:before="80" w:after="240"/>
        <w:rPr>
          <w:sz w:val="20"/>
          <w:szCs w:val="20"/>
        </w:rPr>
      </w:pPr>
      <w:r w:rsidRPr="001E0080">
        <w:rPr>
          <w:sz w:val="20"/>
          <w:szCs w:val="20"/>
        </w:rPr>
        <w:t xml:space="preserve">*Due to rounding in ROCIS, burden </w:t>
      </w:r>
      <w:r w:rsidRPr="001E0080">
        <w:rPr>
          <w:sz w:val="20"/>
          <w:szCs w:val="20"/>
        </w:rPr>
        <w:t>cost</w:t>
      </w:r>
      <w:r>
        <w:rPr>
          <w:sz w:val="20"/>
          <w:szCs w:val="20"/>
        </w:rPr>
        <w:t>s</w:t>
      </w:r>
      <w:r w:rsidRPr="001E0080">
        <w:rPr>
          <w:sz w:val="20"/>
          <w:szCs w:val="20"/>
        </w:rPr>
        <w:t xml:space="preserve"> vary from 1-</w:t>
      </w:r>
      <w:r>
        <w:rPr>
          <w:sz w:val="20"/>
          <w:szCs w:val="20"/>
        </w:rPr>
        <w:t>2</w:t>
      </w:r>
      <w:r w:rsidRPr="001E0080">
        <w:rPr>
          <w:sz w:val="20"/>
          <w:szCs w:val="20"/>
        </w:rPr>
        <w:t xml:space="preserve"> dollars. </w:t>
      </w:r>
    </w:p>
    <w:p w:rsidR="0051009A" w:rsidRPr="0051009A" w:rsidP="0051009A">
      <w:pPr>
        <w:spacing w:before="80" w:after="240"/>
        <w:rPr>
          <w:sz w:val="20"/>
          <w:szCs w:val="20"/>
        </w:rPr>
      </w:pP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 xml:space="preserve">For collections of information whose results will be published, outline plans for tabulation and publication. Address any complex analytical techniques that will be used. Provide the time schedule for the entire project, </w:t>
      </w:r>
      <w:r w:rsidRPr="00244C7A">
        <w:rPr>
          <w:b/>
          <w:color w:val="000000"/>
        </w:rPr>
        <w:t xml:space="preserve">including beginning and ending dates of the collection of </w:t>
      </w:r>
      <w:r w:rsidRPr="00244C7A">
        <w:rPr>
          <w:b/>
          <w:color w:val="000000"/>
        </w:rPr>
        <w:t>information, completion of report, publication dates, and other actions.</w:t>
      </w:r>
    </w:p>
    <w:p w:rsidR="00573D97" w:rsidRPr="00244C7A" w:rsidP="00244C7A">
      <w:pPr>
        <w:tabs>
          <w:tab w:val="left" w:pos="360"/>
        </w:tabs>
        <w:spacing w:before="80" w:after="240"/>
      </w:pPr>
      <w:r w:rsidRPr="00244C7A">
        <w:t>No results will be published.</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If seeking approval to not display the expiration date for OMB approval of the information coll</w:t>
      </w:r>
      <w:r w:rsidRPr="00244C7A">
        <w:rPr>
          <w:b/>
          <w:color w:val="000000"/>
        </w:rPr>
        <w:t>ection, explain the reasons that display would be inappropriate.</w:t>
      </w:r>
    </w:p>
    <w:p w:rsidR="00BD2730" w:rsidRPr="00244C7A" w:rsidP="00244C7A">
      <w:pPr>
        <w:spacing w:before="80" w:after="240"/>
      </w:pPr>
      <w:r w:rsidRPr="00244C7A">
        <w:t>No forms are used in this information collection, so display of expiration date does not apply.</w:t>
      </w:r>
    </w:p>
    <w:p w:rsidR="00BD2730" w:rsidRPr="00244C7A" w:rsidP="00244C7A">
      <w:pPr>
        <w:numPr>
          <w:ilvl w:val="0"/>
          <w:numId w:val="3"/>
        </w:numPr>
        <w:pBdr>
          <w:top w:val="nil"/>
          <w:left w:val="nil"/>
          <w:bottom w:val="nil"/>
          <w:right w:val="nil"/>
          <w:between w:val="nil"/>
        </w:pBdr>
        <w:tabs>
          <w:tab w:val="left" w:pos="360"/>
        </w:tabs>
        <w:spacing w:before="80" w:after="240"/>
        <w:ind w:left="0" w:firstLine="0"/>
        <w:rPr>
          <w:b/>
          <w:color w:val="000000"/>
        </w:rPr>
      </w:pPr>
      <w:r w:rsidRPr="00244C7A">
        <w:rPr>
          <w:b/>
          <w:color w:val="000000"/>
        </w:rPr>
        <w:t>Explain each exception to the certification statement identified in “Certification for Paperwor</w:t>
      </w:r>
      <w:r w:rsidRPr="00244C7A">
        <w:rPr>
          <w:b/>
          <w:color w:val="000000"/>
        </w:rPr>
        <w:t>k Reduction Act Submissions."</w:t>
      </w:r>
    </w:p>
    <w:p w:rsidR="00BD2730" w:rsidRPr="00244C7A" w:rsidP="00244C7A">
      <w:pPr>
        <w:spacing w:before="80" w:after="240"/>
        <w:jc w:val="both"/>
      </w:pPr>
      <w:r w:rsidRPr="00244C7A">
        <w:t xml:space="preserve">The agency certifies compliance with </w:t>
      </w:r>
      <w:hyperlink r:id="rId7">
        <w:r w:rsidRPr="00244C7A">
          <w:rPr>
            <w:color w:val="0563C1"/>
            <w:u w:val="single"/>
          </w:rPr>
          <w:t>5 CFR 1320.9</w:t>
        </w:r>
      </w:hyperlink>
      <w:hyperlink r:id="rId7">
        <w:r w:rsidRPr="00244C7A">
          <w:rPr>
            <w:color w:val="0563C1"/>
          </w:rPr>
          <w:t xml:space="preserve"> </w:t>
        </w:r>
      </w:hyperlink>
      <w:r w:rsidRPr="00244C7A">
        <w:t xml:space="preserve">and the related provisions of </w:t>
      </w:r>
      <w:hyperlink r:id="rId8">
        <w:r w:rsidRPr="00244C7A">
          <w:rPr>
            <w:color w:val="0563C1"/>
            <w:u w:val="single"/>
          </w:rPr>
          <w:t>5 CFR</w:t>
        </w:r>
      </w:hyperlink>
      <w:r w:rsidRPr="00244C7A">
        <w:rPr>
          <w:color w:val="0563C1"/>
        </w:rPr>
        <w:t xml:space="preserve"> </w:t>
      </w:r>
      <w:hyperlink r:id="rId8">
        <w:r w:rsidRPr="00244C7A">
          <w:rPr>
            <w:color w:val="0563C1"/>
            <w:u w:val="single"/>
          </w:rPr>
          <w:t>1320.8(b)(3)</w:t>
        </w:r>
      </w:hyperlink>
      <w:r w:rsidRPr="00244C7A">
        <w:t>.</w:t>
      </w:r>
    </w:p>
    <w:sectPr w:rsidSect="00426DF1">
      <w:pgSz w:w="12240" w:h="15840"/>
      <w:pgMar w:top="640" w:right="1080" w:bottom="1200" w:left="1080" w:header="0" w:footer="714"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D97">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860">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F25BF"/>
    <w:multiLevelType w:val="multilevel"/>
    <w:tmpl w:val="9DAC375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7E03B10"/>
    <w:multiLevelType w:val="multilevel"/>
    <w:tmpl w:val="1ACC877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7CE005A"/>
    <w:multiLevelType w:val="multilevel"/>
    <w:tmpl w:val="338AC14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nsid w:val="1A124CD0"/>
    <w:multiLevelType w:val="multilevel"/>
    <w:tmpl w:val="10701F7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FC6288F"/>
    <w:multiLevelType w:val="multilevel"/>
    <w:tmpl w:val="3BA48AB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68A142B3"/>
    <w:multiLevelType w:val="multilevel"/>
    <w:tmpl w:val="28FCA7B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68A30879"/>
    <w:multiLevelType w:val="multilevel"/>
    <w:tmpl w:val="89D65FB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6C653F84"/>
    <w:multiLevelType w:val="multilevel"/>
    <w:tmpl w:val="E8246E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6FB37067"/>
    <w:multiLevelType w:val="multilevel"/>
    <w:tmpl w:val="DBB40AB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9">
    <w:nsid w:val="741342B9"/>
    <w:multiLevelType w:val="multilevel"/>
    <w:tmpl w:val="F710B90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nsid w:val="764C219A"/>
    <w:multiLevelType w:val="multilevel"/>
    <w:tmpl w:val="84ECE8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6"/>
  </w:num>
  <w:num w:numId="2">
    <w:abstractNumId w:val="2"/>
  </w:num>
  <w:num w:numId="3">
    <w:abstractNumId w:val="0"/>
  </w:num>
  <w:num w:numId="4">
    <w:abstractNumId w:val="10"/>
  </w:num>
  <w:num w:numId="5">
    <w:abstractNumId w:val="5"/>
  </w:num>
  <w:num w:numId="6">
    <w:abstractNumId w:val="7"/>
  </w:num>
  <w:num w:numId="7">
    <w:abstractNumId w:val="1"/>
  </w:num>
  <w:num w:numId="8">
    <w:abstractNumId w:val="4"/>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30"/>
    <w:rsid w:val="000072C7"/>
    <w:rsid w:val="000419E8"/>
    <w:rsid w:val="00051C3D"/>
    <w:rsid w:val="000A613C"/>
    <w:rsid w:val="001B2434"/>
    <w:rsid w:val="001D4B69"/>
    <w:rsid w:val="001E0080"/>
    <w:rsid w:val="001F7E24"/>
    <w:rsid w:val="002062AD"/>
    <w:rsid w:val="002150AF"/>
    <w:rsid w:val="00224430"/>
    <w:rsid w:val="00244C7A"/>
    <w:rsid w:val="00331383"/>
    <w:rsid w:val="0033697D"/>
    <w:rsid w:val="00341CCA"/>
    <w:rsid w:val="00373F23"/>
    <w:rsid w:val="003777FE"/>
    <w:rsid w:val="00426DF1"/>
    <w:rsid w:val="00460924"/>
    <w:rsid w:val="004C1805"/>
    <w:rsid w:val="004E69C1"/>
    <w:rsid w:val="005032F3"/>
    <w:rsid w:val="0051009A"/>
    <w:rsid w:val="005409CF"/>
    <w:rsid w:val="00573D97"/>
    <w:rsid w:val="005747E3"/>
    <w:rsid w:val="00580A07"/>
    <w:rsid w:val="005A12F9"/>
    <w:rsid w:val="005E5860"/>
    <w:rsid w:val="00686C0C"/>
    <w:rsid w:val="006E2142"/>
    <w:rsid w:val="007323A6"/>
    <w:rsid w:val="007A35F9"/>
    <w:rsid w:val="007B4998"/>
    <w:rsid w:val="007C79F4"/>
    <w:rsid w:val="007F6A3A"/>
    <w:rsid w:val="00815729"/>
    <w:rsid w:val="00817201"/>
    <w:rsid w:val="00821992"/>
    <w:rsid w:val="00886E73"/>
    <w:rsid w:val="008B0B4A"/>
    <w:rsid w:val="008C13A7"/>
    <w:rsid w:val="009537A9"/>
    <w:rsid w:val="009F5391"/>
    <w:rsid w:val="009F5393"/>
    <w:rsid w:val="00A16F35"/>
    <w:rsid w:val="00A40C77"/>
    <w:rsid w:val="00A4674B"/>
    <w:rsid w:val="00A62EDA"/>
    <w:rsid w:val="00A904DF"/>
    <w:rsid w:val="00AA6596"/>
    <w:rsid w:val="00AC37E1"/>
    <w:rsid w:val="00B316B6"/>
    <w:rsid w:val="00B46762"/>
    <w:rsid w:val="00B82918"/>
    <w:rsid w:val="00BA063E"/>
    <w:rsid w:val="00BD2730"/>
    <w:rsid w:val="00BE2686"/>
    <w:rsid w:val="00C62192"/>
    <w:rsid w:val="00C907DD"/>
    <w:rsid w:val="00CA3357"/>
    <w:rsid w:val="00D01617"/>
    <w:rsid w:val="00D409D9"/>
    <w:rsid w:val="00D81D19"/>
    <w:rsid w:val="00E04F76"/>
    <w:rsid w:val="00E45AD3"/>
    <w:rsid w:val="00E7373A"/>
    <w:rsid w:val="00F506DD"/>
    <w:rsid w:val="00FA0E67"/>
    <w:rsid w:val="00FA0F02"/>
    <w:rsid w:val="00FD5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33D83"/>
  <w15:docId w15:val="{B58304A1-E949-4B41-8F4E-394B1A3A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2024-06-07T15:27:00Z</dcterms:created>
  <dcterms:modified xsi:type="dcterms:W3CDTF">2024-06-07T15:27:00Z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