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4C0C" w:rsidP="00954C0C" w14:paraId="418B4223" w14:textId="77777777">
      <w:pPr>
        <w:pStyle w:val="Heading1"/>
        <w:spacing w:before="80" w:after="0"/>
        <w:jc w:val="center"/>
      </w:pPr>
      <w:r>
        <w:rPr>
          <w:color w:val="000000"/>
          <w:sz w:val="24"/>
          <w:szCs w:val="24"/>
        </w:rPr>
        <w:t>SUPPORTING STATEMENT</w:t>
      </w:r>
    </w:p>
    <w:p w:rsidR="00954C0C" w:rsidP="00954C0C" w14:paraId="167520A5" w14:textId="77777777">
      <w:pPr>
        <w:pStyle w:val="NormalWeb"/>
        <w:spacing w:before="22" w:beforeAutospacing="0" w:after="0" w:afterAutospacing="0"/>
        <w:ind w:firstLine="14"/>
        <w:jc w:val="center"/>
      </w:pPr>
      <w:r>
        <w:rPr>
          <w:b/>
          <w:bCs/>
          <w:color w:val="000000"/>
        </w:rPr>
        <w:t>U.S. Department of Commerce</w:t>
      </w:r>
    </w:p>
    <w:p w:rsidR="00954C0C" w:rsidP="00954C0C" w14:paraId="26720AF2" w14:textId="77777777">
      <w:pPr>
        <w:pStyle w:val="NormalWeb"/>
        <w:spacing w:before="22" w:beforeAutospacing="0" w:after="0" w:afterAutospacing="0"/>
        <w:ind w:firstLine="14"/>
        <w:jc w:val="center"/>
      </w:pPr>
      <w:r>
        <w:rPr>
          <w:b/>
          <w:bCs/>
          <w:color w:val="000000"/>
        </w:rPr>
        <w:t>National Oceanic &amp; Atmospheric Administration</w:t>
      </w:r>
    </w:p>
    <w:p w:rsidR="00BD0500" w:rsidRPr="00BD0500" w:rsidP="000560A4" w14:paraId="789837C1" w14:textId="16579E48">
      <w:pPr>
        <w:pStyle w:val="NormalWeb"/>
        <w:tabs>
          <w:tab w:val="left" w:pos="1830"/>
          <w:tab w:val="center" w:pos="5034"/>
        </w:tabs>
        <w:spacing w:before="0" w:beforeAutospacing="0" w:after="0" w:afterAutospacing="0"/>
        <w:ind w:left="-6" w:hanging="6"/>
        <w:jc w:val="center"/>
        <w:rPr>
          <w:rFonts w:cs="Times New Roman"/>
          <w:b/>
          <w:color w:val="000000"/>
          <w:szCs w:val="20"/>
          <w:shd w:val="clear" w:color="auto" w:fill="FFFFFF"/>
        </w:rPr>
      </w:pPr>
      <w:r>
        <w:rPr>
          <w:rFonts w:cs="Times New Roman"/>
          <w:b/>
          <w:color w:val="000000"/>
          <w:szCs w:val="20"/>
          <w:shd w:val="clear" w:color="auto" w:fill="FFFFFF"/>
        </w:rPr>
        <w:t xml:space="preserve">Generic Clearance for </w:t>
      </w:r>
      <w:r w:rsidRPr="00BD0500">
        <w:rPr>
          <w:rFonts w:cs="Times New Roman"/>
          <w:b/>
          <w:color w:val="000000"/>
          <w:szCs w:val="20"/>
          <w:shd w:val="clear" w:color="auto" w:fill="FFFFFF"/>
        </w:rPr>
        <w:t>Marine Recreational Information Program: Design &amp; Field Test Studies</w:t>
      </w:r>
    </w:p>
    <w:p w:rsidR="00954C0C" w:rsidP="000560A4" w14:paraId="1C0A6E7F" w14:textId="093CB27E">
      <w:pPr>
        <w:pStyle w:val="NormalWeb"/>
        <w:tabs>
          <w:tab w:val="left" w:pos="1830"/>
          <w:tab w:val="center" w:pos="5034"/>
        </w:tabs>
        <w:spacing w:before="0" w:beforeAutospacing="0" w:after="0" w:afterAutospacing="0"/>
        <w:ind w:left="-6" w:hanging="6"/>
        <w:jc w:val="center"/>
      </w:pPr>
      <w:r>
        <w:rPr>
          <w:b/>
          <w:bCs/>
          <w:color w:val="000000"/>
        </w:rPr>
        <w:t>OMB Control No. 0648-XXXX</w:t>
      </w:r>
    </w:p>
    <w:p w:rsidR="0019010A" w:rsidP="00954C0C" w14:paraId="00000025" w14:textId="7FE9ADBC">
      <w:pPr>
        <w:tabs>
          <w:tab w:val="center" w:pos="4680"/>
        </w:tabs>
        <w:rPr>
          <w:rFonts w:ascii="Times New Roman" w:eastAsia="Times New Roman" w:hAnsi="Times New Roman" w:cs="Times New Roman"/>
          <w:b/>
        </w:rPr>
      </w:pPr>
      <w:r>
        <w:tab/>
      </w:r>
      <w:bookmarkStart w:id="0" w:name="_heading=h.gjdgxs" w:colFirst="0" w:colLast="0"/>
      <w:bookmarkEnd w:id="0"/>
    </w:p>
    <w:p w:rsidR="00954C0C" w:rsidP="00954C0C" w14:paraId="4B8306C3" w14:textId="1CC30028">
      <w:pPr>
        <w:tabs>
          <w:tab w:val="center" w:pos="4680"/>
        </w:tabs>
        <w:rPr>
          <w:rFonts w:ascii="Times New Roman" w:eastAsia="Times New Roman" w:hAnsi="Times New Roman" w:cs="Times New Roman"/>
          <w:b/>
        </w:rPr>
      </w:pPr>
      <w:r>
        <w:rPr>
          <w:rFonts w:ascii="Times New Roman" w:eastAsia="Times New Roman" w:hAnsi="Times New Roman" w:cs="Times New Roman"/>
          <w:b/>
        </w:rPr>
        <w:t>Abstract</w:t>
      </w:r>
    </w:p>
    <w:p w:rsidR="0019010A" w14:paraId="00000026" w14:textId="59F041E3">
      <w:pPr>
        <w:tabs>
          <w:tab w:val="left" w:pos="-1440"/>
          <w:tab w:val="left" w:pos="-720"/>
        </w:tabs>
        <w:spacing w:before="240"/>
        <w:rPr>
          <w:rFonts w:ascii="Times New Roman" w:eastAsia="Times New Roman" w:hAnsi="Times New Roman" w:cs="Times New Roman"/>
        </w:rPr>
      </w:pPr>
      <w:r>
        <w:rPr>
          <w:rFonts w:ascii="Times New Roman" w:eastAsia="Times New Roman" w:hAnsi="Times New Roman" w:cs="Times New Roman"/>
        </w:rPr>
        <w:t xml:space="preserve">This is a request for a </w:t>
      </w:r>
      <w:r w:rsidR="00BD0500">
        <w:rPr>
          <w:rFonts w:ascii="Times New Roman" w:eastAsia="Times New Roman" w:hAnsi="Times New Roman" w:cs="Times New Roman"/>
        </w:rPr>
        <w:t>new collection of a</w:t>
      </w:r>
      <w:r>
        <w:rPr>
          <w:rFonts w:ascii="Times New Roman" w:eastAsia="Times New Roman" w:hAnsi="Times New Roman" w:cs="Times New Roman"/>
        </w:rPr>
        <w:t xml:space="preserve"> generic clearance for the Marine Recreational Information Program (MRIP) that will allow it to carefully develop, test and evaluate survey instruments and data collection methodologies.  The primary objective of MRIP is to monitor marine re</w:t>
      </w:r>
      <w:r>
        <w:rPr>
          <w:rFonts w:ascii="Times New Roman" w:eastAsia="Times New Roman" w:hAnsi="Times New Roman" w:cs="Times New Roman"/>
        </w:rPr>
        <w:t xml:space="preserve">creational fishing activity and produce statistics required to manage marine resources. Current MRIP surveys include the Fishing Effort Survey (0648-0652), the Access-Point Angler Intercept Survey (0648-0659), the For-Hire Survey (0648-0709) and the Large </w:t>
      </w:r>
      <w:r>
        <w:rPr>
          <w:rFonts w:ascii="Times New Roman" w:eastAsia="Times New Roman" w:hAnsi="Times New Roman" w:cs="Times New Roman"/>
        </w:rPr>
        <w:t>Pelagics Survey (0648-0380). This request is part of an on-going initiative to improve MRIP surveys as mandated by the Magnuson-Stevens Fishery Conservation and Management Act (16 U.S.C. 1852) and the Modernizing Recreational Fisheries Management Act of 20</w:t>
      </w:r>
      <w:r>
        <w:rPr>
          <w:rFonts w:ascii="Times New Roman" w:eastAsia="Times New Roman" w:hAnsi="Times New Roman" w:cs="Times New Roman"/>
        </w:rPr>
        <w:t>18 (16 U.S.C. 1881) and recommended by the National Academies of Science, Engineering and Medicine.</w:t>
      </w:r>
    </w:p>
    <w:p w:rsidR="0019010A" w14:paraId="00000027" w14:textId="77777777">
      <w:pPr>
        <w:tabs>
          <w:tab w:val="left" w:pos="-1440"/>
          <w:tab w:val="left" w:pos="-720"/>
        </w:tabs>
        <w:spacing w:before="240"/>
        <w:rPr>
          <w:rFonts w:ascii="Times New Roman" w:eastAsia="Times New Roman" w:hAnsi="Times New Roman" w:cs="Times New Roman"/>
        </w:rPr>
      </w:pPr>
      <w:r>
        <w:rPr>
          <w:rFonts w:ascii="Times New Roman" w:eastAsia="Times New Roman" w:hAnsi="Times New Roman" w:cs="Times New Roman"/>
        </w:rPr>
        <w:t>The generic clearance will be an important planning tool for MRIP. Conducting these activities in a timely manner will allow MRIP to more effectively addres</w:t>
      </w:r>
      <w:r>
        <w:rPr>
          <w:rFonts w:ascii="Times New Roman" w:eastAsia="Times New Roman" w:hAnsi="Times New Roman" w:cs="Times New Roman"/>
        </w:rPr>
        <w:t>s emerging needs for data, including more timely estimates and/or estimates at finer levels of resolution; evaluate the effects of non-sampling errors on the accuracy of survey estimates; and incorporate new technologies into ongoing data collection design</w:t>
      </w:r>
      <w:r>
        <w:rPr>
          <w:rFonts w:ascii="Times New Roman" w:eastAsia="Times New Roman" w:hAnsi="Times New Roman" w:cs="Times New Roman"/>
        </w:rPr>
        <w:t xml:space="preserve">s.  The procedures expected to be used include but are not limited to exploratory surveys and interviews, focus groups, cognitive laboratory activities, and pilot studies that explore sampling methods, questionnaire design, incentives, and data collection </w:t>
      </w:r>
      <w:r>
        <w:rPr>
          <w:rFonts w:ascii="Times New Roman" w:eastAsia="Times New Roman" w:hAnsi="Times New Roman" w:cs="Times New Roman"/>
        </w:rPr>
        <w:t xml:space="preserve">mode. Conducting these activities in a timely manner would allow MRIP to improve both the quality and turnaround time of its policy relevant evaluations.   </w:t>
      </w:r>
    </w:p>
    <w:p w:rsidR="0019010A" w14:paraId="00000036" w14:textId="77777777">
      <w:pPr>
        <w:tabs>
          <w:tab w:val="left" w:pos="-1440"/>
          <w:tab w:val="left" w:pos="-720"/>
        </w:tabs>
        <w:rPr>
          <w:rFonts w:ascii="Times New Roman" w:eastAsia="Times New Roman" w:hAnsi="Times New Roman" w:cs="Times New Roman"/>
        </w:rPr>
      </w:pPr>
    </w:p>
    <w:p w:rsidR="0019010A" w:rsidP="009602B7" w14:paraId="00000038" w14:textId="197B4E71">
      <w:pPr>
        <w:pBdr>
          <w:top w:val="nil"/>
          <w:left w:val="nil"/>
          <w:bottom w:val="nil"/>
          <w:right w:val="nil"/>
          <w:between w:val="nil"/>
        </w:pBdr>
        <w:tabs>
          <w:tab w:val="left" w:pos="360"/>
        </w:tabs>
        <w:ind w:left="360" w:hanging="360"/>
        <w:rPr>
          <w:rFonts w:ascii="Century" w:eastAsia="Century" w:hAnsi="Century" w:cs="Century"/>
          <w:color w:val="000000"/>
        </w:rPr>
      </w:pPr>
      <w:r w:rsidRPr="00350DA6">
        <w:rPr>
          <w:rFonts w:ascii="Times New Roman" w:eastAsia="Times New Roman" w:hAnsi="Times New Roman" w:cs="Times New Roman"/>
          <w:b/>
          <w:color w:val="000000"/>
        </w:rPr>
        <w:t xml:space="preserve">1. </w:t>
      </w:r>
      <w:r w:rsidR="00350DA6">
        <w:rPr>
          <w:rFonts w:ascii="Times New Roman" w:eastAsia="Times New Roman" w:hAnsi="Times New Roman" w:cs="Times New Roman"/>
          <w:b/>
          <w:color w:val="000000"/>
        </w:rPr>
        <w:tab/>
      </w:r>
      <w:r w:rsidRPr="00350DA6" w:rsidR="00350DA6">
        <w:rPr>
          <w:rFonts w:ascii="Times New Roman" w:hAnsi="Times New Roman" w:cs="Times New Roman"/>
          <w:b/>
          <w:bCs/>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9010A" w14:paraId="00000039" w14:textId="77777777">
      <w:pPr>
        <w:tabs>
          <w:tab w:val="left" w:pos="-1440"/>
          <w:tab w:val="left" w:pos="-720"/>
        </w:tabs>
        <w:rPr>
          <w:rFonts w:ascii="Times New Roman" w:eastAsia="Times New Roman" w:hAnsi="Times New Roman" w:cs="Times New Roman"/>
        </w:rPr>
      </w:pPr>
    </w:p>
    <w:p w:rsidR="00403B85" w14:paraId="4E62F2C4" w14:textId="47E1F809">
      <w:pPr>
        <w:tabs>
          <w:tab w:val="left" w:pos="-1440"/>
          <w:tab w:val="left" w:pos="-720"/>
        </w:tabs>
        <w:rPr>
          <w:rFonts w:ascii="Times New Roman" w:eastAsia="Times New Roman" w:hAnsi="Times New Roman" w:cs="Times New Roman"/>
        </w:rPr>
      </w:pPr>
      <w:sdt>
        <w:sdtPr>
          <w:tag w:val="goog_rdk_0"/>
          <w:id w:val="299966779"/>
          <w:richText/>
        </w:sdtPr>
        <w:sdtContent/>
      </w:sdt>
      <w:r w:rsidR="009C00B5">
        <w:rPr>
          <w:rFonts w:ascii="Times New Roman" w:eastAsia="Times New Roman" w:hAnsi="Times New Roman" w:cs="Times New Roman"/>
        </w:rPr>
        <w:t xml:space="preserve">Collection of recreational fisheries catch and effort data is necessary to fulfill statutory requirements of Sections 303 and 401 of the Magnuson-Stevens Fishery Conservation and Management Act (16 U.S.C. 1852 et. seq.) and to comply with Executive Order 12962 on Recreational Fisheries. Section 303 (a) of the Magnuson-Stevens Act specifies data and analyses to be included in Fishery Management Plans (FMPs), as well as pertinent data that shall be submitted to the Secretary of Commerce under the plan.  Section 401 requires the Secretary to improve the Marine Recreational Information Program to better meet the needs of science and management.  </w:t>
      </w:r>
      <w:r w:rsidR="000560A4">
        <w:rPr>
          <w:rFonts w:ascii="Times New Roman" w:eastAsia="Times New Roman" w:hAnsi="Times New Roman" w:cs="Times New Roman"/>
        </w:rPr>
        <w:t>The Modernizing Recreational Fisheries Management Act (2018) (Public Law No. 115-405) requires the Department of Commerce to establish partnerships with states to improve recreational fisheries data collections.  Consequently, MRIP has established a partnership among government agencies, independent scientists, recreational fishing groups and conservation organizations to ensure scientifically rigorous collection of appropriate information that meets science, policy and stakeholder needs.</w:t>
      </w:r>
    </w:p>
    <w:p w:rsidR="0019010A" w14:paraId="0000003A" w14:textId="0AFE0719">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 xml:space="preserve">  </w:t>
      </w:r>
    </w:p>
    <w:p w:rsidR="0019010A" w14:paraId="0000003B" w14:textId="77777777">
      <w:pPr>
        <w:tabs>
          <w:tab w:val="left" w:pos="-1440"/>
          <w:tab w:val="left" w:pos="-720"/>
        </w:tabs>
        <w:rPr>
          <w:rFonts w:ascii="Times New Roman" w:eastAsia="Times New Roman" w:hAnsi="Times New Roman" w:cs="Times New Roman"/>
        </w:rPr>
      </w:pPr>
    </w:p>
    <w:p w:rsidR="0019010A" w14:paraId="0000003C"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MRIP is requesting a generic clearance in order to respond quickly to emerging issues and data collection needs. The survey industry</w:t>
      </w:r>
      <w:r>
        <w:rPr>
          <w:rFonts w:ascii="Times New Roman" w:eastAsia="Times New Roman" w:hAnsi="Times New Roman" w:cs="Times New Roman"/>
        </w:rPr>
        <w:t xml:space="preserve"> continues to evolve, and MRIP needs to continuously evaluate its surveys in light of these changes. Specifically, response rates decrease over time, technology continues to change (e.g., the Web quickly became a data collection option), and data needs con</w:t>
      </w:r>
      <w:r>
        <w:rPr>
          <w:rFonts w:ascii="Times New Roman" w:eastAsia="Times New Roman" w:hAnsi="Times New Roman" w:cs="Times New Roman"/>
        </w:rPr>
        <w:t xml:space="preserve">tinue to change. In addition, our understanding of how to improve surveys continues to evolve (e.g., the application of cognitive psychology to survey methodology has increased our understanding of surveys). The generic clearance structure will allow MRIP </w:t>
      </w:r>
      <w:r>
        <w:rPr>
          <w:rFonts w:ascii="Times New Roman" w:eastAsia="Times New Roman" w:hAnsi="Times New Roman" w:cs="Times New Roman"/>
        </w:rPr>
        <w:t>to meet these information needs in a timely manner using a means that minimizes respondent and administrative burden. Thus, MRIP requests an ongoing OMB clearance structure to continue to improve the overall quality of its statistical surveys, lessen the b</w:t>
      </w:r>
      <w:r>
        <w:rPr>
          <w:rFonts w:ascii="Times New Roman" w:eastAsia="Times New Roman" w:hAnsi="Times New Roman" w:cs="Times New Roman"/>
        </w:rPr>
        <w:t>urden on survey respondents, shorten the time period between testing and implementing improved methods, and decrease the burden on both OMB and program office staff.</w:t>
      </w:r>
    </w:p>
    <w:p w:rsidR="0019010A" w14:paraId="0000003D" w14:textId="77777777">
      <w:pPr>
        <w:tabs>
          <w:tab w:val="left" w:pos="-1440"/>
          <w:tab w:val="left" w:pos="-720"/>
        </w:tabs>
        <w:rPr>
          <w:rFonts w:ascii="Times New Roman" w:eastAsia="Times New Roman" w:hAnsi="Times New Roman" w:cs="Times New Roman"/>
        </w:rPr>
      </w:pPr>
    </w:p>
    <w:p w:rsidR="0019010A" w:rsidRPr="00350DA6" w:rsidP="00350DA6" w14:paraId="0000003E" w14:textId="69DD7BE7">
      <w:pPr>
        <w:tabs>
          <w:tab w:val="left" w:pos="-1440"/>
          <w:tab w:val="left" w:pos="-720"/>
          <w:tab w:val="left" w:pos="360"/>
        </w:tabs>
        <w:ind w:left="360" w:hanging="360"/>
        <w:rPr>
          <w:rFonts w:ascii="Times New Roman" w:eastAsia="Times New Roman" w:hAnsi="Times New Roman" w:cs="Times New Roman"/>
          <w:b/>
        </w:rPr>
      </w:pPr>
      <w:r w:rsidRPr="00350DA6">
        <w:rPr>
          <w:rFonts w:ascii="Times New Roman" w:eastAsia="Times New Roman" w:hAnsi="Times New Roman" w:cs="Times New Roman"/>
          <w:b/>
        </w:rPr>
        <w:t xml:space="preserve">2. </w:t>
      </w:r>
      <w:r w:rsidR="00350DA6">
        <w:rPr>
          <w:rFonts w:ascii="Times New Roman" w:eastAsia="Times New Roman" w:hAnsi="Times New Roman" w:cs="Times New Roman"/>
          <w:b/>
        </w:rPr>
        <w:tab/>
      </w:r>
      <w:r w:rsidRPr="00350DA6" w:rsidR="00350DA6">
        <w:rPr>
          <w:rFonts w:ascii="Times New Roman" w:hAnsi="Times New Roman" w:cs="Times New Roman"/>
          <w:b/>
          <w:bCs/>
          <w:color w:val="000000"/>
        </w:rPr>
        <w:t>Indicate how, by whom, and for what purpose the information is to be used. Except for a new collection, indicate the actual use the agency has made of the information received from the current collection.</w:t>
      </w:r>
    </w:p>
    <w:p w:rsidR="0019010A" w14:paraId="0000003F" w14:textId="1FB4BE73">
      <w:pPr>
        <w:tabs>
          <w:tab w:val="left" w:pos="-1440"/>
          <w:tab w:val="left" w:pos="-720"/>
        </w:tabs>
        <w:rPr>
          <w:rFonts w:ascii="Times New Roman" w:eastAsia="Times New Roman" w:hAnsi="Times New Roman" w:cs="Times New Roman"/>
          <w:b/>
        </w:rPr>
      </w:pPr>
    </w:p>
    <w:p w:rsidR="006B0F39" w:rsidP="006B0F39" w14:paraId="026AF911" w14:textId="00FBB951">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Other federal agencies have found similar clearances (e.g., National Center for Education Statistics OMB #1850-0803, National Agricultu</w:t>
      </w:r>
      <w:r>
        <w:rPr>
          <w:rFonts w:ascii="Times New Roman" w:eastAsia="Times New Roman" w:hAnsi="Times New Roman" w:cs="Times New Roman"/>
        </w:rPr>
        <w:t>ral Statistics Service OMB #0535-0248, National Center for Education Evaluation OMB #1850-0952, and Health Resources and Services Administration #0915-0379) to be helpful vehicles for evaluating data collection plans and procedures, questionnaires, samplin</w:t>
      </w:r>
      <w:r>
        <w:rPr>
          <w:rFonts w:ascii="Times New Roman" w:eastAsia="Times New Roman" w:hAnsi="Times New Roman" w:cs="Times New Roman"/>
        </w:rPr>
        <w:t xml:space="preserve">g and data collection designs, and assessments. Generic clearances have allowed these agencies to take advantage of a variety of methods to identify questionnaire, assessment, and procedural problems in advance, suggest solutions, and measure the relative </w:t>
      </w:r>
      <w:r>
        <w:rPr>
          <w:rFonts w:ascii="Times New Roman" w:eastAsia="Times New Roman" w:hAnsi="Times New Roman" w:cs="Times New Roman"/>
        </w:rPr>
        <w:t xml:space="preserve">effectiveness of alternatives. Through the use of these techniques, questionnaires have been simplified for respondents, respondent burden has been reduced, and the quality of the questionnaires and subsequent data and estimates has been improved. </w:t>
      </w:r>
    </w:p>
    <w:p w:rsidR="006B0F39" w:rsidP="006B0F39" w14:paraId="5CE1B94C" w14:textId="77777777">
      <w:pPr>
        <w:tabs>
          <w:tab w:val="left" w:pos="-1440"/>
          <w:tab w:val="left" w:pos="-720"/>
        </w:tabs>
        <w:rPr>
          <w:rFonts w:ascii="Times New Roman" w:eastAsia="Times New Roman" w:hAnsi="Times New Roman" w:cs="Times New Roman"/>
        </w:rPr>
      </w:pPr>
    </w:p>
    <w:p w:rsidR="006B0F39" w:rsidP="006B0F39" w14:paraId="5A8E7453"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MRIP e</w:t>
      </w:r>
      <w:r>
        <w:rPr>
          <w:rFonts w:ascii="Times New Roman" w:eastAsia="Times New Roman" w:hAnsi="Times New Roman" w:cs="Times New Roman"/>
        </w:rPr>
        <w:t>nvisions using a number of survey improvement techniques, as appropriate to the individual project under investigation. These include field tests and split-ballot experiments, focus groups, cognitive interviews, and respondent debriefings and follow-up int</w:t>
      </w:r>
      <w:r>
        <w:rPr>
          <w:rFonts w:ascii="Times New Roman" w:eastAsia="Times New Roman" w:hAnsi="Times New Roman" w:cs="Times New Roman"/>
        </w:rPr>
        <w:t>erviews.</w:t>
      </w:r>
    </w:p>
    <w:p w:rsidR="006B0F39" w:rsidP="006B0F39" w14:paraId="26116B39" w14:textId="77777777">
      <w:pPr>
        <w:tabs>
          <w:tab w:val="left" w:pos="-1440"/>
          <w:tab w:val="left" w:pos="-720"/>
        </w:tabs>
        <w:rPr>
          <w:rFonts w:ascii="Times New Roman" w:eastAsia="Times New Roman" w:hAnsi="Times New Roman" w:cs="Times New Roman"/>
        </w:rPr>
      </w:pPr>
    </w:p>
    <w:p w:rsidR="006B0F39" w:rsidP="006B0F39" w14:paraId="054B1FBC"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u w:val="single"/>
        </w:rPr>
        <w:t>Field test</w:t>
      </w:r>
      <w:r>
        <w:rPr>
          <w:rFonts w:ascii="Times New Roman" w:eastAsia="Times New Roman" w:hAnsi="Times New Roman" w:cs="Times New Roman"/>
        </w:rPr>
        <w:t>. For the purposes of this clearance, we are defining field tests as data collection efforts conducted among either purposive or statistically representative samples, for which the main objective is gathering critical information needed</w:t>
      </w:r>
      <w:r>
        <w:rPr>
          <w:rFonts w:ascii="Times New Roman" w:eastAsia="Times New Roman" w:hAnsi="Times New Roman" w:cs="Times New Roman"/>
        </w:rPr>
        <w:t xml:space="preserve"> to inform the design of an ongoing or proposed survey.  This may include split-ballot experiments testing various survey design features. Field test or pilot collections are an essential component of this clearance package because they serve as the vehicl</w:t>
      </w:r>
      <w:r>
        <w:rPr>
          <w:rFonts w:ascii="Times New Roman" w:eastAsia="Times New Roman" w:hAnsi="Times New Roman" w:cs="Times New Roman"/>
        </w:rPr>
        <w:t xml:space="preserve">e for ensuring that federal investments in fisheries statistics, including large-scale data collections, are feasible and appropriate and yield reliable and valid information.  Under this clearance a variety of instruments may be used or tested as part of </w:t>
      </w:r>
      <w:r>
        <w:rPr>
          <w:rFonts w:ascii="Times New Roman" w:eastAsia="Times New Roman" w:hAnsi="Times New Roman" w:cs="Times New Roman"/>
        </w:rPr>
        <w:t>a pilot, and the exact nature of the surveys and the samples would vary depending on the specific goals of the study. The needs of the particular sample will vary based on the type of field test, including the respondent, content of the instruments, or dat</w:t>
      </w:r>
      <w:r>
        <w:rPr>
          <w:rFonts w:ascii="Times New Roman" w:eastAsia="Times New Roman" w:hAnsi="Times New Roman" w:cs="Times New Roman"/>
        </w:rPr>
        <w:t>a collection methods.</w:t>
      </w:r>
    </w:p>
    <w:p w:rsidR="006B0F39" w:rsidP="006B0F39" w14:paraId="2E0D215A" w14:textId="77777777">
      <w:pPr>
        <w:tabs>
          <w:tab w:val="left" w:pos="-1440"/>
          <w:tab w:val="left" w:pos="-720"/>
        </w:tabs>
        <w:rPr>
          <w:rFonts w:ascii="Times New Roman" w:eastAsia="Times New Roman" w:hAnsi="Times New Roman" w:cs="Times New Roman"/>
        </w:rPr>
      </w:pPr>
    </w:p>
    <w:p w:rsidR="006B0F39" w:rsidP="006B0F39" w14:paraId="48C53A0F"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u w:val="single"/>
        </w:rPr>
        <w:t>Follow-up interviews (or re-interviews)</w:t>
      </w:r>
      <w:r>
        <w:rPr>
          <w:rFonts w:ascii="Times New Roman" w:eastAsia="Times New Roman" w:hAnsi="Times New Roman" w:cs="Times New Roman"/>
        </w:rPr>
        <w:t>. This involves re-interviewing or re-assessing a sub-sample of respondents after the completion of a survey or assessment. Responses given in the re-interview are compared with the respondents’</w:t>
      </w:r>
      <w:r>
        <w:rPr>
          <w:rFonts w:ascii="Times New Roman" w:eastAsia="Times New Roman" w:hAnsi="Times New Roman" w:cs="Times New Roman"/>
        </w:rPr>
        <w:t xml:space="preserve"> initial responses for consistency. Similarly, respondents may be re-interviewed to confirm responses and/or describe the rationale for a particular response.  Utilizing </w:t>
      </w:r>
      <w:r>
        <w:rPr>
          <w:rFonts w:ascii="Times New Roman" w:eastAsia="Times New Roman" w:hAnsi="Times New Roman" w:cs="Times New Roman"/>
        </w:rPr>
        <w:t>repeated measures designs provides data for studies of test–re-test reliability and ot</w:t>
      </w:r>
      <w:r>
        <w:rPr>
          <w:rFonts w:ascii="Times New Roman" w:eastAsia="Times New Roman" w:hAnsi="Times New Roman" w:cs="Times New Roman"/>
        </w:rPr>
        <w:t xml:space="preserve">her measures of the quality of data collected. In turn, this information aids in the development of more reliable measures. </w:t>
      </w:r>
    </w:p>
    <w:p w:rsidR="006B0F39" w:rsidP="006B0F39" w14:paraId="51512C69" w14:textId="77777777">
      <w:pPr>
        <w:tabs>
          <w:tab w:val="left" w:pos="-1440"/>
          <w:tab w:val="left" w:pos="-720"/>
        </w:tabs>
        <w:rPr>
          <w:rFonts w:ascii="Times New Roman" w:eastAsia="Times New Roman" w:hAnsi="Times New Roman" w:cs="Times New Roman"/>
        </w:rPr>
      </w:pPr>
    </w:p>
    <w:p w:rsidR="006B0F39" w:rsidP="006B0F39" w14:paraId="3221A59E"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u w:val="single"/>
        </w:rPr>
        <w:t>Cognitive interviews</w:t>
      </w:r>
      <w:r>
        <w:rPr>
          <w:rFonts w:ascii="Times New Roman" w:eastAsia="Times New Roman" w:hAnsi="Times New Roman" w:cs="Times New Roman"/>
        </w:rPr>
        <w:t>. This method involves intensive, one-on-one interviews in which the respondent is typically asked to "think a</w:t>
      </w:r>
      <w:r>
        <w:rPr>
          <w:rFonts w:ascii="Times New Roman" w:eastAsia="Times New Roman" w:hAnsi="Times New Roman" w:cs="Times New Roman"/>
        </w:rPr>
        <w:t>loud" as he or she answers survey questions. A number of different techniques may be involved, including asking respondents to paraphrase questions, probing questions asked to determine how respondents came up with their answers, and so on. The objective i</w:t>
      </w:r>
      <w:r>
        <w:rPr>
          <w:rFonts w:ascii="Times New Roman" w:eastAsia="Times New Roman" w:hAnsi="Times New Roman" w:cs="Times New Roman"/>
        </w:rPr>
        <w:t>s to identify problems of ambiguity or misunderstanding, or other difficulties respondents have answering questions. This is frequently the first stage in revising a questionnaire.</w:t>
      </w:r>
    </w:p>
    <w:p w:rsidR="006B0F39" w:rsidP="006B0F39" w14:paraId="4FDB6056" w14:textId="77777777">
      <w:pPr>
        <w:tabs>
          <w:tab w:val="left" w:pos="-1440"/>
          <w:tab w:val="left" w:pos="-720"/>
        </w:tabs>
        <w:rPr>
          <w:rFonts w:ascii="Times New Roman" w:eastAsia="Times New Roman" w:hAnsi="Times New Roman" w:cs="Times New Roman"/>
        </w:rPr>
      </w:pPr>
    </w:p>
    <w:p w:rsidR="006B0F39" w:rsidP="006B0F39" w14:paraId="2E0B9717"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u w:val="single"/>
        </w:rPr>
        <w:t>Focus groups</w:t>
      </w:r>
      <w:r>
        <w:rPr>
          <w:rFonts w:ascii="Times New Roman" w:eastAsia="Times New Roman" w:hAnsi="Times New Roman" w:cs="Times New Roman"/>
        </w:rPr>
        <w:t xml:space="preserve">. This method involves group sessions guided by a moderator, </w:t>
      </w:r>
      <w:r>
        <w:rPr>
          <w:rFonts w:ascii="Times New Roman" w:eastAsia="Times New Roman" w:hAnsi="Times New Roman" w:cs="Times New Roman"/>
        </w:rPr>
        <w:t>who follows a topical outline containing questions or topics focused on a particular issue, rather than adhering to a standardized questionnaire. Focus groups are useful for exploring issues that are nuanced and conditional on factors not easily anticipate</w:t>
      </w:r>
      <w:r>
        <w:rPr>
          <w:rFonts w:ascii="Times New Roman" w:eastAsia="Times New Roman" w:hAnsi="Times New Roman" w:cs="Times New Roman"/>
        </w:rPr>
        <w:t>d.</w:t>
      </w:r>
    </w:p>
    <w:p w:rsidR="006B0F39" w:rsidP="006B0F39" w14:paraId="0DB00AA6" w14:textId="77777777">
      <w:pPr>
        <w:tabs>
          <w:tab w:val="left" w:pos="-1440"/>
          <w:tab w:val="left" w:pos="-720"/>
        </w:tabs>
        <w:ind w:firstLine="480"/>
        <w:rPr>
          <w:rFonts w:ascii="Times New Roman" w:eastAsia="Times New Roman" w:hAnsi="Times New Roman" w:cs="Times New Roman"/>
        </w:rPr>
      </w:pPr>
    </w:p>
    <w:p w:rsidR="006B0F39" w:rsidP="006B0F39" w14:paraId="35954C1C"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This request for generic clearance provides a description of the scope of possible activities that might be covered and the procedures for keeping OMB informed about them.  Following approval, and prior to implementation of any testing activity, MRIP w</w:t>
      </w:r>
      <w:r>
        <w:rPr>
          <w:rFonts w:ascii="Times New Roman" w:eastAsia="Times New Roman" w:hAnsi="Times New Roman" w:cs="Times New Roman"/>
        </w:rPr>
        <w:t>ill provide OMB with a copy of the questionnaire (if one is used), and all other survey materials, as well as a memo describing the project, including the research question or goal of each survey improvement project, the method proposed to answer the quest</w:t>
      </w:r>
      <w:r>
        <w:rPr>
          <w:rFonts w:ascii="Times New Roman" w:eastAsia="Times New Roman" w:hAnsi="Times New Roman" w:cs="Times New Roman"/>
        </w:rPr>
        <w:t xml:space="preserve">ion or address the proposed goal, the recruitment of participants and/or selection of the sample, collection of information, and proposed analysis.  </w:t>
      </w:r>
    </w:p>
    <w:p w:rsidR="006B0F39" w14:paraId="73FB153F" w14:textId="77777777">
      <w:pPr>
        <w:tabs>
          <w:tab w:val="left" w:pos="-1440"/>
          <w:tab w:val="left" w:pos="-720"/>
        </w:tabs>
        <w:rPr>
          <w:rFonts w:ascii="Times New Roman" w:eastAsia="Times New Roman" w:hAnsi="Times New Roman" w:cs="Times New Roman"/>
          <w:b/>
        </w:rPr>
      </w:pPr>
    </w:p>
    <w:p w:rsidR="0019010A" w14:paraId="00000040" w14:textId="54016D23">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Information quality is an integral part of MRIP, and data collections adhere to survey and data quality s</w:t>
      </w:r>
      <w:r>
        <w:rPr>
          <w:rFonts w:ascii="Times New Roman" w:eastAsia="Times New Roman" w:hAnsi="Times New Roman" w:cs="Times New Roman"/>
        </w:rPr>
        <w:t>tandards (</w:t>
      </w:r>
      <w:hyperlink r:id="rId5" w:history="1">
        <w:r w:rsidRPr="00954C0C">
          <w:rPr>
            <w:rStyle w:val="Hyperlink"/>
            <w:rFonts w:ascii="Times New Roman" w:eastAsia="Times New Roman" w:hAnsi="Times New Roman" w:cs="Times New Roman"/>
          </w:rPr>
          <w:t>https://www.fisheries.noaa.gov/recreational-fishing-data/recreational-fishing-survey-and-data-standards</w:t>
        </w:r>
      </w:hyperlink>
      <w:r>
        <w:rPr>
          <w:rFonts w:ascii="Times New Roman" w:eastAsia="Times New Roman" w:hAnsi="Times New Roman" w:cs="Times New Roman"/>
        </w:rPr>
        <w:t>). The information obta</w:t>
      </w:r>
      <w:r>
        <w:rPr>
          <w:rFonts w:ascii="Times New Roman" w:eastAsia="Times New Roman" w:hAnsi="Times New Roman" w:cs="Times New Roman"/>
        </w:rPr>
        <w:t>ined from these efforts will be used to develop new MRIP surveys and improve current ones. Specifically, the information will be used to reduce respondent burden, improve the quality and/or utility of survey data, increase data collection efficiency and re</w:t>
      </w:r>
      <w:r>
        <w:rPr>
          <w:rFonts w:ascii="Times New Roman" w:eastAsia="Times New Roman" w:hAnsi="Times New Roman" w:cs="Times New Roman"/>
        </w:rPr>
        <w:t xml:space="preserve">duce survey costs. </w:t>
      </w:r>
    </w:p>
    <w:p w:rsidR="0019010A" w14:paraId="00000041" w14:textId="77777777">
      <w:pPr>
        <w:tabs>
          <w:tab w:val="left" w:pos="-1440"/>
          <w:tab w:val="left" w:pos="-720"/>
        </w:tabs>
        <w:rPr>
          <w:rFonts w:ascii="Times New Roman" w:eastAsia="Times New Roman" w:hAnsi="Times New Roman" w:cs="Times New Roman"/>
        </w:rPr>
      </w:pPr>
    </w:p>
    <w:p w:rsidR="0019010A" w14:paraId="00000042"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None of the data collected under this clearance will be published for its own sake.  Study results will be included in agency research reports, and results may also</w:t>
      </w:r>
      <w:r>
        <w:rPr>
          <w:rFonts w:ascii="Times New Roman" w:eastAsia="Times New Roman" w:hAnsi="Times New Roman" w:cs="Times New Roman"/>
        </w:rPr>
        <w:t xml:space="preserve"> be prepared for presentations related to evaluation or survey methodology at professional meetings or in professional journals.</w:t>
      </w:r>
    </w:p>
    <w:p w:rsidR="0019010A" w14:paraId="00000043" w14:textId="77777777">
      <w:pPr>
        <w:tabs>
          <w:tab w:val="left" w:pos="-1440"/>
          <w:tab w:val="left" w:pos="-720"/>
        </w:tabs>
        <w:rPr>
          <w:rFonts w:ascii="Times New Roman" w:eastAsia="Times New Roman" w:hAnsi="Times New Roman" w:cs="Times New Roman"/>
        </w:rPr>
      </w:pPr>
    </w:p>
    <w:p w:rsidR="0019010A" w:rsidRPr="00350DA6" w:rsidP="00350DA6" w14:paraId="00000044" w14:textId="57343562">
      <w:pPr>
        <w:tabs>
          <w:tab w:val="left" w:pos="-1440"/>
          <w:tab w:val="left" w:pos="-720"/>
          <w:tab w:val="left" w:pos="360"/>
        </w:tabs>
        <w:ind w:left="360" w:hanging="360"/>
        <w:rPr>
          <w:rFonts w:ascii="Times New Roman" w:eastAsia="Times New Roman" w:hAnsi="Times New Roman" w:cs="Times New Roman"/>
          <w:b/>
        </w:rPr>
      </w:pPr>
      <w:r w:rsidRPr="00350DA6">
        <w:rPr>
          <w:rFonts w:ascii="Times New Roman" w:eastAsia="Times New Roman" w:hAnsi="Times New Roman" w:cs="Times New Roman"/>
          <w:b/>
        </w:rPr>
        <w:t xml:space="preserve">3. </w:t>
      </w:r>
      <w:r w:rsidR="00350DA6">
        <w:rPr>
          <w:rFonts w:ascii="Times New Roman" w:eastAsia="Times New Roman" w:hAnsi="Times New Roman" w:cs="Times New Roman"/>
          <w:b/>
        </w:rPr>
        <w:tab/>
      </w:r>
      <w:r w:rsidRPr="00350DA6" w:rsidR="00350DA6">
        <w:rPr>
          <w:rFonts w:ascii="Times New Roman" w:hAnsi="Times New Roman" w:cs="Times New Roman"/>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9010A" w14:paraId="00000045" w14:textId="77777777">
      <w:pPr>
        <w:tabs>
          <w:tab w:val="left" w:pos="-1440"/>
          <w:tab w:val="left" w:pos="-720"/>
        </w:tabs>
        <w:rPr>
          <w:rFonts w:ascii="Times New Roman" w:eastAsia="Times New Roman" w:hAnsi="Times New Roman" w:cs="Times New Roman"/>
        </w:rPr>
      </w:pPr>
    </w:p>
    <w:p w:rsidR="0019010A" w14:paraId="00000046" w14:textId="3A5FEF8C">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MRIP will employ information technology, including virtual interviews, to reduce the burden on respondents who agree to participate in its survey improvement projects. In addition, this clearance will provide MRIP with</w:t>
      </w:r>
      <w:r>
        <w:rPr>
          <w:rFonts w:ascii="Times New Roman" w:eastAsia="Times New Roman" w:hAnsi="Times New Roman" w:cs="Times New Roman"/>
        </w:rPr>
        <w:t xml:space="preserve"> opportunities to design and test innovative technologies, such as web surveys, that would reduce burden and increase the timeliness and accuracy of survey data.</w:t>
      </w:r>
    </w:p>
    <w:p w:rsidR="00095594" w14:paraId="0D759AF7" w14:textId="77777777">
      <w:pPr>
        <w:tabs>
          <w:tab w:val="left" w:pos="-1440"/>
          <w:tab w:val="left" w:pos="-720"/>
        </w:tabs>
        <w:rPr>
          <w:rFonts w:ascii="Times New Roman" w:eastAsia="Times New Roman" w:hAnsi="Times New Roman" w:cs="Times New Roman"/>
        </w:rPr>
      </w:pPr>
    </w:p>
    <w:p w:rsidR="0019010A" w14:paraId="00000047" w14:textId="77777777">
      <w:pPr>
        <w:tabs>
          <w:tab w:val="left" w:pos="-1440"/>
          <w:tab w:val="left" w:pos="-720"/>
        </w:tabs>
        <w:rPr>
          <w:rFonts w:ascii="Times New Roman" w:eastAsia="Times New Roman" w:hAnsi="Times New Roman" w:cs="Times New Roman"/>
        </w:rPr>
      </w:pPr>
    </w:p>
    <w:p w:rsidR="0019010A" w:rsidRPr="00350DA6" w:rsidP="00350DA6" w14:paraId="00000048" w14:textId="3332D4C0">
      <w:pPr>
        <w:tabs>
          <w:tab w:val="left" w:pos="-1440"/>
          <w:tab w:val="left" w:pos="-720"/>
          <w:tab w:val="left" w:pos="360"/>
        </w:tabs>
        <w:ind w:left="360" w:hanging="360"/>
        <w:rPr>
          <w:rFonts w:ascii="Times New Roman" w:eastAsia="Times New Roman" w:hAnsi="Times New Roman" w:cs="Times New Roman"/>
          <w:b/>
        </w:rPr>
      </w:pPr>
      <w:r w:rsidRPr="00350DA6">
        <w:rPr>
          <w:rFonts w:ascii="Times New Roman" w:eastAsia="Times New Roman" w:hAnsi="Times New Roman" w:cs="Times New Roman"/>
          <w:b/>
        </w:rPr>
        <w:t xml:space="preserve">4. </w:t>
      </w:r>
      <w:r w:rsidR="00350DA6">
        <w:rPr>
          <w:rFonts w:ascii="Times New Roman" w:eastAsia="Times New Roman" w:hAnsi="Times New Roman" w:cs="Times New Roman"/>
          <w:b/>
        </w:rPr>
        <w:tab/>
      </w:r>
      <w:r w:rsidRPr="00350DA6" w:rsidR="00350DA6">
        <w:rPr>
          <w:rFonts w:ascii="Times New Roman" w:hAnsi="Times New Roman" w:cs="Times New Roman"/>
          <w:b/>
          <w:bCs/>
          <w:color w:val="000000"/>
        </w:rPr>
        <w:t>Describe efforts to identify duplication. Show specifically why any similar information already available cannot be used or modified for use for the purposes described in Question 2</w:t>
      </w:r>
    </w:p>
    <w:p w:rsidR="0019010A" w14:paraId="00000049" w14:textId="77777777">
      <w:pPr>
        <w:tabs>
          <w:tab w:val="left" w:pos="-1440"/>
          <w:tab w:val="left" w:pos="-720"/>
        </w:tabs>
        <w:rPr>
          <w:rFonts w:ascii="Times New Roman" w:eastAsia="Times New Roman" w:hAnsi="Times New Roman" w:cs="Times New Roman"/>
        </w:rPr>
      </w:pPr>
    </w:p>
    <w:p w:rsidR="0019010A" w14:paraId="0000004A"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Information collection and analysis under this clearance will not duplicate any other feasibility and design work being conducted by MRIP or other federal and no</w:t>
      </w:r>
      <w:r>
        <w:rPr>
          <w:rFonts w:ascii="Times New Roman" w:eastAsia="Times New Roman" w:hAnsi="Times New Roman" w:cs="Times New Roman"/>
        </w:rPr>
        <w:t>n-federal agencies that may collaborate in this work. Additionally, to the extent possible, MRIP will make use of existing information, including reviewing results of previous evaluations of instruments, methods, and interventions to build upon past effort</w:t>
      </w:r>
      <w:r>
        <w:rPr>
          <w:rFonts w:ascii="Times New Roman" w:eastAsia="Times New Roman" w:hAnsi="Times New Roman" w:cs="Times New Roman"/>
        </w:rPr>
        <w:t>s.</w:t>
      </w:r>
    </w:p>
    <w:p w:rsidR="0019010A" w14:paraId="0000004B" w14:textId="77777777">
      <w:pPr>
        <w:tabs>
          <w:tab w:val="left" w:pos="-1440"/>
          <w:tab w:val="left" w:pos="-720"/>
        </w:tabs>
        <w:rPr>
          <w:rFonts w:ascii="Times New Roman" w:eastAsia="Times New Roman" w:hAnsi="Times New Roman" w:cs="Times New Roman"/>
        </w:rPr>
      </w:pPr>
    </w:p>
    <w:p w:rsidR="0019010A" w:rsidP="00350DA6" w14:paraId="0000004C" w14:textId="3CFA7EDD">
      <w:pPr>
        <w:tabs>
          <w:tab w:val="left" w:pos="-1440"/>
          <w:tab w:val="left" w:pos="-720"/>
          <w:tab w:val="left" w:pos="360"/>
        </w:tabs>
        <w:ind w:left="360" w:hanging="360"/>
        <w:rPr>
          <w:rFonts w:ascii="Times New Roman" w:eastAsia="Times New Roman" w:hAnsi="Times New Roman" w:cs="Times New Roman"/>
          <w:b/>
        </w:rPr>
      </w:pPr>
      <w:r>
        <w:rPr>
          <w:rFonts w:ascii="Times New Roman" w:eastAsia="Times New Roman" w:hAnsi="Times New Roman" w:cs="Times New Roman"/>
          <w:b/>
        </w:rPr>
        <w:t xml:space="preserve">5. </w:t>
      </w:r>
      <w:r w:rsidR="00350DA6">
        <w:rPr>
          <w:rFonts w:ascii="Times New Roman" w:eastAsia="Times New Roman" w:hAnsi="Times New Roman" w:cs="Times New Roman"/>
          <w:b/>
        </w:rPr>
        <w:tab/>
      </w:r>
      <w:r>
        <w:rPr>
          <w:rFonts w:ascii="Times New Roman" w:eastAsia="Times New Roman" w:hAnsi="Times New Roman" w:cs="Times New Roman"/>
          <w:b/>
        </w:rPr>
        <w:t>If the collection of information involves small businesses or other small entities, describe the methods used to minimize burden.</w:t>
      </w:r>
    </w:p>
    <w:p w:rsidR="0019010A" w14:paraId="0000004D" w14:textId="77777777">
      <w:pPr>
        <w:tabs>
          <w:tab w:val="left" w:pos="-1440"/>
          <w:tab w:val="left" w:pos="-720"/>
        </w:tabs>
        <w:rPr>
          <w:rFonts w:ascii="Times New Roman" w:eastAsia="Times New Roman" w:hAnsi="Times New Roman" w:cs="Times New Roman"/>
          <w:sz w:val="20"/>
          <w:szCs w:val="20"/>
        </w:rPr>
      </w:pPr>
    </w:p>
    <w:p w:rsidR="0019010A" w14:paraId="0000004F" w14:textId="691283B1">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Generally, research efforts will focus on household or individual respondents.  However, some research may focus on for-hire fishing operations, which are generally small businesses.  This research will be designed as relatively small-scale data collection</w:t>
      </w:r>
      <w:r>
        <w:rPr>
          <w:rFonts w:ascii="Times New Roman" w:eastAsia="Times New Roman" w:hAnsi="Times New Roman" w:cs="Times New Roman"/>
        </w:rPr>
        <w:t xml:space="preserve"> efforts so as to minimize the amount of burden required to improve questionnaires and procedures, test new ideas, and refine or improve upon positive or unclear results from other tests. The results of the research conducted under this clearance are expec</w:t>
      </w:r>
      <w:r>
        <w:rPr>
          <w:rFonts w:ascii="Times New Roman" w:eastAsia="Times New Roman" w:hAnsi="Times New Roman" w:cs="Times New Roman"/>
        </w:rPr>
        <w:t>ted to improve the methods and instruments utilized in full scale studies and thereby improve information quality while minimizing burden to respondents.</w:t>
      </w:r>
    </w:p>
    <w:p w:rsidR="0019010A" w14:paraId="00000050" w14:textId="77777777">
      <w:pPr>
        <w:tabs>
          <w:tab w:val="left" w:pos="-1440"/>
          <w:tab w:val="left" w:pos="-720"/>
        </w:tabs>
        <w:ind w:firstLine="480"/>
        <w:rPr>
          <w:rFonts w:ascii="Times New Roman" w:eastAsia="Times New Roman" w:hAnsi="Times New Roman" w:cs="Times New Roman"/>
          <w:sz w:val="20"/>
          <w:szCs w:val="20"/>
        </w:rPr>
      </w:pPr>
    </w:p>
    <w:p w:rsidR="0019010A" w:rsidRPr="00350DA6" w:rsidP="00350DA6" w14:paraId="00000051" w14:textId="2EF6AC4D">
      <w:pPr>
        <w:tabs>
          <w:tab w:val="left" w:pos="-1440"/>
          <w:tab w:val="left" w:pos="-720"/>
          <w:tab w:val="left" w:pos="360"/>
        </w:tabs>
        <w:ind w:left="360" w:hanging="360"/>
        <w:rPr>
          <w:rFonts w:ascii="Times New Roman" w:eastAsia="Times New Roman" w:hAnsi="Times New Roman" w:cs="Times New Roman"/>
          <w:b/>
        </w:rPr>
      </w:pPr>
      <w:r w:rsidRPr="00350DA6">
        <w:rPr>
          <w:rFonts w:ascii="Times New Roman" w:eastAsia="Times New Roman" w:hAnsi="Times New Roman" w:cs="Times New Roman"/>
          <w:b/>
        </w:rPr>
        <w:t xml:space="preserve">6. </w:t>
      </w:r>
      <w:r w:rsidR="00350DA6">
        <w:rPr>
          <w:rFonts w:ascii="Times New Roman" w:eastAsia="Times New Roman" w:hAnsi="Times New Roman" w:cs="Times New Roman"/>
          <w:b/>
        </w:rPr>
        <w:tab/>
      </w:r>
      <w:r w:rsidRPr="00350DA6" w:rsidR="00350DA6">
        <w:rPr>
          <w:rFonts w:ascii="Times New Roman" w:hAnsi="Times New Roman" w:cs="Times New Roman"/>
          <w:b/>
          <w:bCs/>
          <w:color w:val="000000"/>
        </w:rPr>
        <w:t>Describe the consequence to Federal program or policy activities if the collection is not conducted or is conducted less frequently, as well as any technical or legal obstacles to reducing burden.</w:t>
      </w:r>
    </w:p>
    <w:p w:rsidR="0019010A" w:rsidRPr="00350DA6" w14:paraId="00000052" w14:textId="77777777">
      <w:pPr>
        <w:tabs>
          <w:tab w:val="left" w:pos="-1440"/>
          <w:tab w:val="left" w:pos="-720"/>
        </w:tabs>
        <w:rPr>
          <w:rFonts w:ascii="Times New Roman" w:eastAsia="Times New Roman" w:hAnsi="Times New Roman" w:cs="Times New Roman"/>
          <w:sz w:val="20"/>
          <w:szCs w:val="20"/>
        </w:rPr>
      </w:pPr>
    </w:p>
    <w:p w:rsidR="0019010A" w14:paraId="00000053"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Without the exploratory and methodological tests proposed as part of this collection, the quality of ongoing surveys would suffer, as we would be unable to</w:t>
      </w:r>
      <w:r>
        <w:rPr>
          <w:rFonts w:ascii="Times New Roman" w:eastAsia="Times New Roman" w:hAnsi="Times New Roman" w:cs="Times New Roman"/>
        </w:rPr>
        <w:t xml:space="preserve"> effectively evaluate potential sources of survey error and test alternative designs.  Our ability to test and incorporate new data collection technologies would be limited, and we would be unable to execute studies in a timely manner to meet policy goals,</w:t>
      </w:r>
      <w:r>
        <w:rPr>
          <w:rFonts w:ascii="Times New Roman" w:eastAsia="Times New Roman" w:hAnsi="Times New Roman" w:cs="Times New Roman"/>
        </w:rPr>
        <w:t xml:space="preserve"> evolving needs for survey data and Congressional mandates to improve MRIP.  Including the necessary testing and evaluation in separate, individual information collection requests, or as revisions to existing information collections would delay implementat</w:t>
      </w:r>
      <w:r>
        <w:rPr>
          <w:rFonts w:ascii="Times New Roman" w:eastAsia="Times New Roman" w:hAnsi="Times New Roman" w:cs="Times New Roman"/>
        </w:rPr>
        <w:t xml:space="preserve">ion of survey enhancements and result in unreasonable burden for both OMB and program office staff.  </w:t>
      </w:r>
    </w:p>
    <w:p w:rsidR="0019010A" w14:paraId="00000054" w14:textId="77777777">
      <w:pPr>
        <w:tabs>
          <w:tab w:val="left" w:pos="-1440"/>
          <w:tab w:val="left" w:pos="-720"/>
        </w:tabs>
        <w:rPr>
          <w:rFonts w:ascii="Times New Roman" w:eastAsia="Times New Roman" w:hAnsi="Times New Roman" w:cs="Times New Roman"/>
          <w:sz w:val="20"/>
          <w:szCs w:val="20"/>
        </w:rPr>
      </w:pPr>
    </w:p>
    <w:p w:rsidR="0019010A" w:rsidP="00350DA6" w14:paraId="00000055" w14:textId="1C7787A7">
      <w:pPr>
        <w:tabs>
          <w:tab w:val="left" w:pos="-1440"/>
          <w:tab w:val="left" w:pos="-720"/>
          <w:tab w:val="left" w:pos="360"/>
        </w:tabs>
        <w:ind w:left="360" w:hanging="360"/>
        <w:rPr>
          <w:rFonts w:ascii="Times New Roman" w:eastAsia="Times New Roman" w:hAnsi="Times New Roman" w:cs="Times New Roman"/>
          <w:b/>
        </w:rPr>
      </w:pPr>
      <w:r>
        <w:rPr>
          <w:rFonts w:ascii="Times New Roman" w:eastAsia="Times New Roman" w:hAnsi="Times New Roman" w:cs="Times New Roman"/>
          <w:b/>
        </w:rPr>
        <w:t xml:space="preserve">7. </w:t>
      </w:r>
      <w:r w:rsidR="00350DA6">
        <w:rPr>
          <w:rFonts w:ascii="Times New Roman" w:eastAsia="Times New Roman" w:hAnsi="Times New Roman" w:cs="Times New Roman"/>
          <w:b/>
        </w:rPr>
        <w:tab/>
      </w:r>
      <w:r>
        <w:rPr>
          <w:rFonts w:ascii="Times New Roman" w:eastAsia="Times New Roman" w:hAnsi="Times New Roman" w:cs="Times New Roman"/>
          <w:b/>
        </w:rPr>
        <w:t>Explain any special circumstances that require the collection to be conducted in a manner inconsistent with OMB guidelines.</w:t>
      </w:r>
    </w:p>
    <w:p w:rsidR="0019010A" w14:paraId="00000056" w14:textId="77777777">
      <w:pPr>
        <w:tabs>
          <w:tab w:val="left" w:pos="-1440"/>
          <w:tab w:val="left" w:pos="-720"/>
        </w:tabs>
        <w:rPr>
          <w:rFonts w:ascii="Times New Roman" w:eastAsia="Times New Roman" w:hAnsi="Times New Roman" w:cs="Times New Roman"/>
        </w:rPr>
      </w:pPr>
    </w:p>
    <w:p w:rsidR="0019010A" w14:paraId="00000057"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There are no special cir</w:t>
      </w:r>
      <w:r>
        <w:rPr>
          <w:rFonts w:ascii="Times New Roman" w:eastAsia="Times New Roman" w:hAnsi="Times New Roman" w:cs="Times New Roman"/>
        </w:rPr>
        <w:t>cumstances.</w:t>
      </w:r>
    </w:p>
    <w:p w:rsidR="0019010A" w14:paraId="00000058" w14:textId="77777777">
      <w:pPr>
        <w:tabs>
          <w:tab w:val="left" w:pos="-1440"/>
          <w:tab w:val="left" w:pos="-720"/>
        </w:tabs>
        <w:rPr>
          <w:rFonts w:ascii="Times New Roman" w:eastAsia="Times New Roman" w:hAnsi="Times New Roman" w:cs="Times New Roman"/>
          <w:sz w:val="20"/>
          <w:szCs w:val="20"/>
        </w:rPr>
      </w:pPr>
    </w:p>
    <w:p w:rsidR="00350DA6" w:rsidP="00350DA6" w14:paraId="5CD5F546" w14:textId="77737060">
      <w:pPr>
        <w:pStyle w:val="NormalWeb"/>
        <w:numPr>
          <w:ilvl w:val="0"/>
          <w:numId w:val="1"/>
        </w:numPr>
        <w:tabs>
          <w:tab w:val="clear" w:pos="720"/>
        </w:tabs>
        <w:spacing w:before="80" w:beforeAutospacing="0" w:after="0" w:afterAutospacing="0"/>
        <w:ind w:left="360"/>
        <w:textAlignment w:val="baseline"/>
        <w:rPr>
          <w:b/>
          <w:bCs/>
          <w:color w:val="000000"/>
        </w:rPr>
      </w:pPr>
      <w:r>
        <w:rPr>
          <w:b/>
          <w:bCs/>
          <w:color w:val="000000"/>
        </w:rPr>
        <w:t xml:space="preserve">If applicable, provide a copy and identify the date and page number of publications in the Federal Register of the agency's notice, required by 5 CFR 1320.8 (d), soliciting comments on the information collection prior to submission to OMB. </w:t>
      </w:r>
      <w:r>
        <w:rPr>
          <w:b/>
          <w:bCs/>
          <w:color w:val="000000"/>
        </w:rPr>
        <w:t>Summarize public comments received in response to that notice and describe actions taken by the agency in response to these comments. Specifically address comments received on cost and hour burden.</w:t>
      </w:r>
    </w:p>
    <w:p w:rsidR="0019010A" w:rsidP="00350DA6" w14:paraId="00000059" w14:textId="735153A7">
      <w:pPr>
        <w:tabs>
          <w:tab w:val="left" w:pos="-1440"/>
          <w:tab w:val="left" w:pos="-720"/>
          <w:tab w:val="left" w:pos="360"/>
        </w:tabs>
        <w:ind w:left="360" w:hanging="360"/>
        <w:rPr>
          <w:rFonts w:ascii="Times New Roman" w:eastAsia="Times New Roman" w:hAnsi="Times New Roman" w:cs="Times New Roman"/>
          <w:b/>
        </w:rPr>
      </w:pPr>
      <w:r>
        <w:rPr>
          <w:rFonts w:ascii="Times New Roman" w:eastAsia="Times New Roman" w:hAnsi="Times New Roman" w:cs="Times New Roman"/>
          <w:b/>
        </w:rPr>
        <w:tab/>
      </w:r>
      <w:r w:rsidR="009C00B5">
        <w:rPr>
          <w:rFonts w:ascii="Times New Roman" w:eastAsia="Times New Roman" w:hAnsi="Times New Roman" w:cs="Times New Roman"/>
          <w:b/>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9010A" w14:paraId="0000005A" w14:textId="77777777">
      <w:pPr>
        <w:tabs>
          <w:tab w:val="left" w:pos="-1440"/>
          <w:tab w:val="left" w:pos="-720"/>
        </w:tabs>
        <w:rPr>
          <w:rFonts w:ascii="Times New Roman" w:eastAsia="Times New Roman" w:hAnsi="Times New Roman" w:cs="Times New Roman"/>
          <w:sz w:val="20"/>
          <w:szCs w:val="20"/>
        </w:rPr>
      </w:pPr>
    </w:p>
    <w:p w:rsidR="00894070" w14:paraId="40372278" w14:textId="4C9A9267">
      <w:pPr>
        <w:tabs>
          <w:tab w:val="left" w:pos="-1440"/>
          <w:tab w:val="left" w:pos="-720"/>
        </w:tabs>
        <w:rPr>
          <w:rFonts w:ascii="Times New Roman" w:eastAsia="Times New Roman" w:hAnsi="Times New Roman" w:cs="Times New Roman"/>
        </w:rPr>
      </w:pPr>
      <w:r>
        <w:rPr>
          <w:rFonts w:ascii="Times New Roman" w:hAnsi="Times New Roman"/>
        </w:rPr>
        <w:t xml:space="preserve">A 60-day Federal Register notice for this request published on April 10, 2024 (89 FR 25250). There were no public comments received. </w:t>
      </w:r>
    </w:p>
    <w:p w:rsidR="00894070" w14:paraId="0783394B" w14:textId="5AADD2BC">
      <w:pPr>
        <w:tabs>
          <w:tab w:val="left" w:pos="-1440"/>
          <w:tab w:val="left" w:pos="-720"/>
        </w:tabs>
        <w:rPr>
          <w:rFonts w:ascii="Times New Roman" w:eastAsia="Times New Roman" w:hAnsi="Times New Roman" w:cs="Times New Roman"/>
        </w:rPr>
      </w:pPr>
    </w:p>
    <w:p w:rsidR="000560A4" w:rsidP="00403B85" w14:paraId="5F2329B8"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The Modernizing Recreational Fisheries Management Act (2018) (Public Law No. 115-405) requires the Department of Commerce</w:t>
      </w:r>
      <w:r>
        <w:rPr>
          <w:rFonts w:ascii="Times New Roman" w:eastAsia="Times New Roman" w:hAnsi="Times New Roman" w:cs="Times New Roman"/>
        </w:rPr>
        <w:t xml:space="preserve"> to establish partnerships with states to improve recreational fisheries data collections.  Consequently, MRIP has established a partnership among government agencies, independent scientists, recreational fishing groups and conservation organizations to en</w:t>
      </w:r>
      <w:r>
        <w:rPr>
          <w:rFonts w:ascii="Times New Roman" w:eastAsia="Times New Roman" w:hAnsi="Times New Roman" w:cs="Times New Roman"/>
        </w:rPr>
        <w:t xml:space="preserve">sure scientifically rigorous collection of appropriate information that meets science, policy and stakeholder needs.  MRIP staff members maintain regular communication with customers, through workshops, workgroup meetings and one-on-one consultations. </w:t>
      </w:r>
    </w:p>
    <w:p w:rsidR="000560A4" w:rsidP="00403B85" w14:paraId="63047340" w14:textId="77777777">
      <w:pPr>
        <w:tabs>
          <w:tab w:val="left" w:pos="-1440"/>
          <w:tab w:val="left" w:pos="-720"/>
        </w:tabs>
        <w:rPr>
          <w:rFonts w:ascii="Times New Roman" w:eastAsia="Times New Roman" w:hAnsi="Times New Roman" w:cs="Times New Roman"/>
        </w:rPr>
      </w:pPr>
    </w:p>
    <w:p w:rsidR="000560A4" w:rsidP="00403B85" w14:paraId="22797D6B" w14:textId="4C96469F">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Th</w:t>
      </w:r>
      <w:r>
        <w:rPr>
          <w:rFonts w:ascii="Times New Roman" w:eastAsia="Times New Roman" w:hAnsi="Times New Roman" w:cs="Times New Roman"/>
        </w:rPr>
        <w:t>e MRIP Executive Steering Committee (ESC), which includes senior managers from NOAA Fisheries, the Executive Directors of the Interstate Marine Fisheries Commissions, and a representative from the Marine Fisheries Advisory Committee, provides general overs</w:t>
      </w:r>
      <w:r>
        <w:rPr>
          <w:rFonts w:ascii="Times New Roman" w:eastAsia="Times New Roman" w:hAnsi="Times New Roman" w:cs="Times New Roman"/>
        </w:rPr>
        <w:t>ight of MRIP and ensures that the program satisfies Federal, state and stakeholder needs for recreational fishing statistics.  The ESC meets annually to review program activities, strategically allocate funds to address data needs and approve research prio</w:t>
      </w:r>
      <w:r>
        <w:rPr>
          <w:rFonts w:ascii="Times New Roman" w:eastAsia="Times New Roman" w:hAnsi="Times New Roman" w:cs="Times New Roman"/>
        </w:rPr>
        <w:t>rities.  MRIP Regional Implementation Teams (RITs), representing NOAA Fisheries regional offices and science centers, state natural resource agencies and interstate marine fisheries commissions, develop Regional Implementation Plans and convene annually to</w:t>
      </w:r>
      <w:r>
        <w:rPr>
          <w:rFonts w:ascii="Times New Roman" w:eastAsia="Times New Roman" w:hAnsi="Times New Roman" w:cs="Times New Roman"/>
        </w:rPr>
        <w:t xml:space="preserve"> identify specific needs for recreational fisheries statistics, including needs for survey coverage, resolution, precision and timeliness of survey estimates.  Regional priorities, as determined by the RITs are documented on the MRIP website. This generic </w:t>
      </w:r>
      <w:r>
        <w:rPr>
          <w:rFonts w:ascii="Times New Roman" w:eastAsia="Times New Roman" w:hAnsi="Times New Roman" w:cs="Times New Roman"/>
        </w:rPr>
        <w:t xml:space="preserve">clearance will facilitate testing of research needs and priorities identified by partner organizations.  </w:t>
      </w:r>
    </w:p>
    <w:p w:rsidR="000560A4" w:rsidP="00403B85" w14:paraId="41071782" w14:textId="77777777">
      <w:pPr>
        <w:tabs>
          <w:tab w:val="left" w:pos="-1440"/>
          <w:tab w:val="left" w:pos="-720"/>
        </w:tabs>
        <w:rPr>
          <w:rFonts w:ascii="Times New Roman" w:eastAsia="Times New Roman" w:hAnsi="Times New Roman" w:cs="Times New Roman"/>
        </w:rPr>
      </w:pPr>
    </w:p>
    <w:p w:rsidR="0019010A" w14:paraId="0000005D" w14:textId="3A21B7C2">
      <w:pPr>
        <w:tabs>
          <w:tab w:val="left" w:pos="-1440"/>
          <w:tab w:val="left" w:pos="-720"/>
        </w:tabs>
        <w:rPr>
          <w:rFonts w:ascii="Times New Roman" w:eastAsia="Times New Roman" w:hAnsi="Times New Roman" w:cs="Times New Roman"/>
        </w:rPr>
      </w:pPr>
      <w:r w:rsidRPr="003E5C15">
        <w:rPr>
          <w:rFonts w:ascii="Times New Roman" w:hAnsi="Times New Roman"/>
        </w:rPr>
        <w:t>These consultations will include discussions concerning potential response problems, clarity of questions and instructions, and other aspects of resp</w:t>
      </w:r>
      <w:r w:rsidRPr="003E5C15">
        <w:rPr>
          <w:rFonts w:ascii="Times New Roman" w:hAnsi="Times New Roman"/>
        </w:rPr>
        <w:t>ondent burden.</w:t>
      </w:r>
      <w:r>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403B85" w14:paraId="60467B88" w14:textId="536FC967">
      <w:pPr>
        <w:tabs>
          <w:tab w:val="left" w:pos="-1440"/>
          <w:tab w:val="left" w:pos="-720"/>
        </w:tabs>
        <w:rPr>
          <w:rFonts w:ascii="Times New Roman" w:eastAsia="Times New Roman" w:hAnsi="Times New Roman" w:cs="Times New Roman"/>
        </w:rPr>
      </w:pPr>
    </w:p>
    <w:p w:rsidR="00A83B48" w14:paraId="028E596D" w14:textId="2A095861">
      <w:pPr>
        <w:tabs>
          <w:tab w:val="left" w:pos="-1440"/>
          <w:tab w:val="left" w:pos="-720"/>
        </w:tabs>
        <w:rPr>
          <w:rFonts w:ascii="Times New Roman" w:eastAsia="Times New Roman" w:hAnsi="Times New Roman" w:cs="Times New Roman"/>
        </w:rPr>
      </w:pPr>
    </w:p>
    <w:p w:rsidR="00A83B48" w14:paraId="43905A68" w14:textId="77777777">
      <w:pPr>
        <w:tabs>
          <w:tab w:val="left" w:pos="-1440"/>
          <w:tab w:val="left" w:pos="-720"/>
        </w:tabs>
        <w:rPr>
          <w:rFonts w:ascii="Times New Roman" w:eastAsia="Times New Roman" w:hAnsi="Times New Roman" w:cs="Times New Roman"/>
        </w:rPr>
      </w:pPr>
    </w:p>
    <w:p w:rsidR="0019010A" w:rsidP="00350DA6" w14:paraId="0000005E" w14:textId="040C6D77">
      <w:pPr>
        <w:tabs>
          <w:tab w:val="left" w:pos="-1440"/>
          <w:tab w:val="left" w:pos="-720"/>
        </w:tabs>
        <w:ind w:left="360" w:hanging="360"/>
        <w:rPr>
          <w:rFonts w:ascii="Times New Roman" w:eastAsia="Times New Roman" w:hAnsi="Times New Roman" w:cs="Times New Roman"/>
          <w:b/>
        </w:rPr>
      </w:pPr>
      <w:r>
        <w:rPr>
          <w:rFonts w:ascii="Times New Roman" w:eastAsia="Times New Roman" w:hAnsi="Times New Roman" w:cs="Times New Roman"/>
          <w:b/>
        </w:rPr>
        <w:t xml:space="preserve">9. </w:t>
      </w:r>
      <w:r w:rsidR="00350DA6">
        <w:rPr>
          <w:rFonts w:ascii="Times New Roman" w:eastAsia="Times New Roman" w:hAnsi="Times New Roman" w:cs="Times New Roman"/>
          <w:b/>
        </w:rPr>
        <w:tab/>
      </w:r>
      <w:r>
        <w:rPr>
          <w:rFonts w:ascii="Times New Roman" w:eastAsia="Times New Roman" w:hAnsi="Times New Roman" w:cs="Times New Roman"/>
          <w:b/>
        </w:rPr>
        <w:t>Explain any de</w:t>
      </w:r>
      <w:r>
        <w:rPr>
          <w:rFonts w:ascii="Times New Roman" w:eastAsia="Times New Roman" w:hAnsi="Times New Roman" w:cs="Times New Roman"/>
          <w:b/>
        </w:rPr>
        <w:t>cisions to provide payments or gifts to respondents, other than remuneration of contractors or grantees.</w:t>
      </w:r>
    </w:p>
    <w:p w:rsidR="0019010A" w14:paraId="0000005F" w14:textId="77777777">
      <w:pPr>
        <w:tabs>
          <w:tab w:val="left" w:pos="-1440"/>
          <w:tab w:val="left" w:pos="-720"/>
        </w:tabs>
        <w:rPr>
          <w:rFonts w:ascii="Times New Roman" w:eastAsia="Times New Roman" w:hAnsi="Times New Roman" w:cs="Times New Roman"/>
        </w:rPr>
      </w:pPr>
    </w:p>
    <w:p w:rsidR="0019010A" w14:paraId="00000060" w14:textId="30E58D9A">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 xml:space="preserve">Respondents for activities </w:t>
      </w:r>
      <w:r w:rsidR="0066101D">
        <w:rPr>
          <w:rFonts w:ascii="Times New Roman" w:eastAsia="Times New Roman" w:hAnsi="Times New Roman" w:cs="Times New Roman"/>
        </w:rPr>
        <w:t>such as cognitive interviews and focus groups</w:t>
      </w:r>
      <w:r>
        <w:rPr>
          <w:rFonts w:ascii="Times New Roman" w:eastAsia="Times New Roman" w:hAnsi="Times New Roman" w:cs="Times New Roman"/>
        </w:rPr>
        <w:t xml:space="preserve"> under this clearance may receive compensation for participation. This practic</w:t>
      </w:r>
      <w:r>
        <w:rPr>
          <w:rFonts w:ascii="Times New Roman" w:eastAsia="Times New Roman" w:hAnsi="Times New Roman" w:cs="Times New Roman"/>
        </w:rPr>
        <w:t>e has proven necessary and effective in recruiting subjects to participate in such research and is also employed by the other federal cognitive laboratories. Research on incentives that may be conducted under this clearance may also involve nonmonetary inc</w:t>
      </w:r>
      <w:r>
        <w:rPr>
          <w:rFonts w:ascii="Times New Roman" w:eastAsia="Times New Roman" w:hAnsi="Times New Roman" w:cs="Times New Roman"/>
        </w:rPr>
        <w:t>entives. The Office of Management and Budget (OMB) has noted that effectiveness of such incentives is a worthwhile research topic. If incentives need to be proposed for any research activity under this clearance, justification will be provided. MRIP will t</w:t>
      </w:r>
      <w:r>
        <w:rPr>
          <w:rFonts w:ascii="Times New Roman" w:eastAsia="Times New Roman" w:hAnsi="Times New Roman" w:cs="Times New Roman"/>
        </w:rPr>
        <w:t>ypically propose incentives at the level approved by OMB for cognitive laboratories and focus groups. If a higher incentive amount is proposed for approval, a meaningful justification will be provided.</w:t>
      </w:r>
    </w:p>
    <w:p w:rsidR="0019010A" w14:paraId="00000061" w14:textId="7C0B37F2">
      <w:pPr>
        <w:tabs>
          <w:tab w:val="left" w:pos="-1440"/>
          <w:tab w:val="left" w:pos="-720"/>
        </w:tabs>
        <w:rPr>
          <w:rFonts w:ascii="Times New Roman" w:eastAsia="Times New Roman" w:hAnsi="Times New Roman" w:cs="Times New Roman"/>
          <w:sz w:val="20"/>
          <w:szCs w:val="20"/>
        </w:rPr>
      </w:pPr>
    </w:p>
    <w:p w:rsidR="00A83B48" w14:paraId="556E2C02" w14:textId="7E9B348B">
      <w:pPr>
        <w:tabs>
          <w:tab w:val="left" w:pos="-1440"/>
          <w:tab w:val="left" w:pos="-720"/>
        </w:tabs>
        <w:rPr>
          <w:rFonts w:ascii="Times New Roman" w:eastAsia="Times New Roman" w:hAnsi="Times New Roman" w:cs="Times New Roman"/>
          <w:sz w:val="20"/>
          <w:szCs w:val="20"/>
        </w:rPr>
      </w:pPr>
    </w:p>
    <w:p w:rsidR="00A83B48" w14:paraId="233BC750" w14:textId="475A03A1">
      <w:pPr>
        <w:tabs>
          <w:tab w:val="left" w:pos="-1440"/>
          <w:tab w:val="left" w:pos="-720"/>
        </w:tabs>
        <w:rPr>
          <w:rFonts w:ascii="Times New Roman" w:eastAsia="Times New Roman" w:hAnsi="Times New Roman" w:cs="Times New Roman"/>
          <w:sz w:val="20"/>
          <w:szCs w:val="20"/>
        </w:rPr>
      </w:pPr>
    </w:p>
    <w:p w:rsidR="00A83B48" w14:paraId="634A20D6" w14:textId="2DDA9A6B">
      <w:pPr>
        <w:tabs>
          <w:tab w:val="left" w:pos="-1440"/>
          <w:tab w:val="left" w:pos="-720"/>
        </w:tabs>
        <w:rPr>
          <w:rFonts w:ascii="Times New Roman" w:eastAsia="Times New Roman" w:hAnsi="Times New Roman" w:cs="Times New Roman"/>
          <w:sz w:val="20"/>
          <w:szCs w:val="20"/>
        </w:rPr>
      </w:pPr>
    </w:p>
    <w:p w:rsidR="00A83B48" w14:paraId="3662CB32" w14:textId="071A0C38">
      <w:pPr>
        <w:tabs>
          <w:tab w:val="left" w:pos="-1440"/>
          <w:tab w:val="left" w:pos="-720"/>
        </w:tabs>
        <w:rPr>
          <w:rFonts w:ascii="Times New Roman" w:eastAsia="Times New Roman" w:hAnsi="Times New Roman" w:cs="Times New Roman"/>
          <w:sz w:val="20"/>
          <w:szCs w:val="20"/>
        </w:rPr>
      </w:pPr>
    </w:p>
    <w:p w:rsidR="00A83B48" w14:paraId="0D5365A9" w14:textId="77777777">
      <w:pPr>
        <w:tabs>
          <w:tab w:val="left" w:pos="-1440"/>
          <w:tab w:val="left" w:pos="-720"/>
        </w:tabs>
        <w:rPr>
          <w:rFonts w:ascii="Times New Roman" w:eastAsia="Times New Roman" w:hAnsi="Times New Roman" w:cs="Times New Roman"/>
          <w:sz w:val="20"/>
          <w:szCs w:val="20"/>
        </w:rPr>
      </w:pPr>
    </w:p>
    <w:p w:rsidR="0019010A" w:rsidRPr="00350DA6" w:rsidP="009B35DC" w14:paraId="00000062" w14:textId="74DC8727">
      <w:pPr>
        <w:tabs>
          <w:tab w:val="left" w:pos="-1440"/>
          <w:tab w:val="left" w:pos="-720"/>
          <w:tab w:val="left" w:pos="360"/>
        </w:tabs>
        <w:ind w:left="360" w:hanging="360"/>
        <w:rPr>
          <w:rFonts w:ascii="Times New Roman" w:eastAsia="Times New Roman" w:hAnsi="Times New Roman" w:cs="Times New Roman"/>
          <w:b/>
        </w:rPr>
      </w:pPr>
      <w:r w:rsidRPr="00350DA6">
        <w:rPr>
          <w:rFonts w:ascii="Times New Roman" w:eastAsia="Times New Roman" w:hAnsi="Times New Roman" w:cs="Times New Roman"/>
          <w:b/>
        </w:rPr>
        <w:t>10.</w:t>
      </w:r>
      <w:r w:rsidR="009B35DC">
        <w:rPr>
          <w:rFonts w:ascii="Times New Roman" w:eastAsia="Times New Roman" w:hAnsi="Times New Roman" w:cs="Times New Roman"/>
          <w:b/>
        </w:rPr>
        <w:tab/>
      </w:r>
      <w:r w:rsidRPr="00350DA6" w:rsidR="00350DA6">
        <w:rPr>
          <w:rFonts w:ascii="Times New Roman" w:hAnsi="Times New Roman" w:cs="Times New Roman"/>
          <w:b/>
          <w:bCs/>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9010A" w14:paraId="00000063" w14:textId="77777777">
      <w:pPr>
        <w:tabs>
          <w:tab w:val="left" w:pos="-1440"/>
          <w:tab w:val="left" w:pos="-720"/>
        </w:tabs>
        <w:rPr>
          <w:rFonts w:ascii="Times New Roman" w:eastAsia="Times New Roman" w:hAnsi="Times New Roman" w:cs="Times New Roman"/>
        </w:rPr>
      </w:pPr>
    </w:p>
    <w:p w:rsidR="0019010A" w14:paraId="00000064"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All respondents who participate in research under this clearance will be informed that their participation is voluntary and that all of the information they provide may be used only for statistical purposes and may not be disclosed</w:t>
      </w:r>
      <w:r>
        <w:rPr>
          <w:rFonts w:ascii="Times New Roman" w:eastAsia="Times New Roman" w:hAnsi="Times New Roman" w:cs="Times New Roman"/>
        </w:rPr>
        <w:t>, or used, in identifiable form for any other purpose except as required by law. All participants in cognitive research will be required to sign written notification concerning the voluntary and confidential nature of their participation. No participant di</w:t>
      </w:r>
      <w:r>
        <w:rPr>
          <w:rFonts w:ascii="Times New Roman" w:eastAsia="Times New Roman" w:hAnsi="Times New Roman" w:cs="Times New Roman"/>
        </w:rPr>
        <w:t>rect identifiers will be maintained as part of research under this generic clearance.</w:t>
      </w:r>
    </w:p>
    <w:p w:rsidR="0019010A" w14:paraId="00000065" w14:textId="77777777">
      <w:pPr>
        <w:rPr>
          <w:rFonts w:ascii="Times New Roman" w:eastAsia="Times New Roman" w:hAnsi="Times New Roman" w:cs="Times New Roman"/>
        </w:rPr>
      </w:pPr>
    </w:p>
    <w:p w:rsidR="00350DA6" w:rsidRPr="00350DA6" w:rsidP="00350DA6" w14:paraId="513F84F7" w14:textId="300E4316">
      <w:pPr>
        <w:pStyle w:val="NormalWeb"/>
        <w:numPr>
          <w:ilvl w:val="0"/>
          <w:numId w:val="3"/>
        </w:numPr>
        <w:tabs>
          <w:tab w:val="clear" w:pos="720"/>
        </w:tabs>
        <w:spacing w:before="80" w:beforeAutospacing="0" w:after="0" w:afterAutospacing="0"/>
        <w:ind w:left="360"/>
        <w:textAlignment w:val="baseline"/>
        <w:rPr>
          <w:rFonts w:eastAsia="Times New Roman" w:cs="Times New Roman"/>
          <w:b/>
          <w:bCs/>
          <w:color w:val="000000"/>
        </w:rPr>
      </w:pPr>
      <w:r w:rsidRPr="00350DA6">
        <w:rPr>
          <w:rFonts w:eastAsia="Times New Roman" w:cs="Times New Roman"/>
          <w:b/>
          <w:bCs/>
          <w:color w:val="000000"/>
        </w:rPr>
        <w:t>Provide additional justification for any questions of a sensitive nature, such as sexual behavior or attitudes, religious beliefs, and other matters that are commonly co</w:t>
      </w:r>
      <w:r w:rsidRPr="00350DA6">
        <w:rPr>
          <w:rFonts w:eastAsia="Times New Roman" w:cs="Times New Roman"/>
          <w:b/>
          <w:bCs/>
          <w:color w:val="000000"/>
        </w:rPr>
        <w:t xml:space="preserve">nsidered private. This justification should include the reasons why the agency considers the questions necessary, the specific uses to be made of the information, the explanation to be given to persons from whom the information is requested, and any steps </w:t>
      </w:r>
      <w:r w:rsidRPr="00350DA6">
        <w:rPr>
          <w:rFonts w:eastAsia="Times New Roman" w:cs="Times New Roman"/>
          <w:b/>
          <w:bCs/>
          <w:color w:val="000000"/>
        </w:rPr>
        <w:t>to be taken to obtain their consent.</w:t>
      </w:r>
    </w:p>
    <w:p w:rsidR="0019010A" w14:paraId="00000066" w14:textId="49C2CD01">
      <w:pPr>
        <w:tabs>
          <w:tab w:val="left" w:pos="-1440"/>
          <w:tab w:val="left" w:pos="-720"/>
        </w:tabs>
        <w:rPr>
          <w:rFonts w:ascii="Times New Roman" w:eastAsia="Times New Roman" w:hAnsi="Times New Roman" w:cs="Times New Roman"/>
          <w:b/>
        </w:rPr>
      </w:pPr>
    </w:p>
    <w:p w:rsidR="0019010A" w14:paraId="00000068"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No sensitive questions will be asked.</w:t>
      </w:r>
    </w:p>
    <w:p w:rsidR="0019010A" w14:paraId="00000069" w14:textId="77777777">
      <w:pPr>
        <w:tabs>
          <w:tab w:val="left" w:pos="-1440"/>
          <w:tab w:val="left" w:pos="-720"/>
        </w:tabs>
        <w:rPr>
          <w:rFonts w:ascii="Times New Roman" w:eastAsia="Times New Roman" w:hAnsi="Times New Roman" w:cs="Times New Roman"/>
        </w:rPr>
      </w:pPr>
    </w:p>
    <w:p w:rsidR="0019010A" w:rsidP="009B35DC" w14:paraId="0000006A" w14:textId="04E05BC4">
      <w:pPr>
        <w:tabs>
          <w:tab w:val="left" w:pos="-1440"/>
          <w:tab w:val="left" w:pos="-720"/>
          <w:tab w:val="left" w:pos="360"/>
        </w:tabs>
        <w:rPr>
          <w:rFonts w:ascii="Times New Roman" w:eastAsia="Times New Roman" w:hAnsi="Times New Roman" w:cs="Times New Roman"/>
          <w:b/>
        </w:rPr>
      </w:pPr>
      <w:r>
        <w:rPr>
          <w:rFonts w:ascii="Times New Roman" w:eastAsia="Times New Roman" w:hAnsi="Times New Roman" w:cs="Times New Roman"/>
          <w:b/>
        </w:rPr>
        <w:t>12.</w:t>
      </w:r>
      <w:r w:rsidR="009B35DC">
        <w:rPr>
          <w:rFonts w:ascii="Times New Roman" w:eastAsia="Times New Roman" w:hAnsi="Times New Roman" w:cs="Times New Roman"/>
          <w:b/>
        </w:rPr>
        <w:tab/>
      </w:r>
      <w:r>
        <w:rPr>
          <w:rFonts w:ascii="Times New Roman" w:eastAsia="Times New Roman" w:hAnsi="Times New Roman" w:cs="Times New Roman"/>
          <w:b/>
        </w:rPr>
        <w:t xml:space="preserve">Provide an estimate in hours of the burden of the collection of information.  </w:t>
      </w:r>
    </w:p>
    <w:p w:rsidR="0019010A" w14:paraId="0000006C" w14:textId="77777777">
      <w:pPr>
        <w:tabs>
          <w:tab w:val="left" w:pos="-1440"/>
          <w:tab w:val="left" w:pos="-720"/>
        </w:tabs>
        <w:rPr>
          <w:rFonts w:ascii="Times New Roman" w:eastAsia="Times New Roman" w:hAnsi="Times New Roman" w:cs="Times New Roman"/>
        </w:rPr>
      </w:pPr>
    </w:p>
    <w:p w:rsidR="00DF4A29" w:rsidP="00DF4A29" w14:paraId="2766E7D4" w14:textId="6C8BA5BC">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The estimated annual response burden per survey activity and the total estimated annual respons</w:t>
      </w:r>
      <w:r>
        <w:rPr>
          <w:rFonts w:ascii="Times New Roman" w:eastAsia="Times New Roman" w:hAnsi="Times New Roman" w:cs="Times New Roman"/>
        </w:rPr>
        <w:t>e burden are shown in Table 1.  We estimate that the number of individual respondents involved in research activities will be at most 46,000 per year.  This estimate is based upon previous pilot studies that have been completed within the past several year</w:t>
      </w:r>
      <w:r>
        <w:rPr>
          <w:rFonts w:ascii="Times New Roman" w:eastAsia="Times New Roman" w:hAnsi="Times New Roman" w:cs="Times New Roman"/>
        </w:rPr>
        <w:t>s.  The estimated annualized burden is 4,375 hours. The hourly rate of $31.29 is based upon the average for all civilian workers from the December 2023 National  Compensation Survey (</w:t>
      </w:r>
      <w:hyperlink r:id="rId6" w:history="1">
        <w:r w:rsidRPr="00FC578E">
          <w:rPr>
            <w:rStyle w:val="Hyperlink"/>
            <w:rFonts w:ascii="Times New Roman" w:eastAsia="Times New Roman" w:hAnsi="Times New Roman" w:cs="Times New Roman"/>
          </w:rPr>
          <w:t>https://www</w:t>
        </w:r>
        <w:r w:rsidRPr="00FC578E">
          <w:rPr>
            <w:rStyle w:val="Hyperlink"/>
            <w:rFonts w:ascii="Times New Roman" w:eastAsia="Times New Roman" w:hAnsi="Times New Roman" w:cs="Times New Roman"/>
          </w:rPr>
          <w:t>.bls.gov/news.release/ecec.t02.htm</w:t>
        </w:r>
      </w:hyperlink>
      <w:r>
        <w:rPr>
          <w:rFonts w:ascii="Times New Roman" w:eastAsia="Times New Roman" w:hAnsi="Times New Roman" w:cs="Times New Roman"/>
        </w:rPr>
        <w:t>).  There are no other costs to respondents, and there are no recordkeeping requirements.  The estimated annual cost to respondents is $136,894.</w:t>
      </w:r>
    </w:p>
    <w:p w:rsidR="00550288" w14:paraId="643F5F7D" w14:textId="532AAE20">
      <w:pPr>
        <w:tabs>
          <w:tab w:val="left" w:pos="-1440"/>
          <w:tab w:val="left" w:pos="-720"/>
        </w:tabs>
        <w:rPr>
          <w:rFonts w:ascii="Times New Roman" w:eastAsia="Times New Roman" w:hAnsi="Times New Roman" w:cs="Times New Roman"/>
        </w:rPr>
        <w:sectPr>
          <w:footerReference w:type="first" r:id="rId7"/>
          <w:pgSz w:w="12240" w:h="15840"/>
          <w:pgMar w:top="1440" w:right="1080" w:bottom="1440" w:left="1080" w:header="432" w:footer="288" w:gutter="0"/>
          <w:pgNumType w:start="1"/>
          <w:cols w:space="720"/>
          <w:titlePg/>
        </w:sectPr>
      </w:pPr>
    </w:p>
    <w:p w:rsidR="0019010A" w14:paraId="0000006E" w14:textId="77777777">
      <w:pPr>
        <w:tabs>
          <w:tab w:val="left" w:pos="-1440"/>
          <w:tab w:val="left" w:pos="-720"/>
        </w:tabs>
        <w:rPr>
          <w:rFonts w:ascii="Times New Roman" w:eastAsia="Times New Roman" w:hAnsi="Times New Roman" w:cs="Times New Roman"/>
        </w:rPr>
      </w:pPr>
    </w:p>
    <w:p w:rsidR="0019010A" w14:paraId="0000006F" w14:textId="4462005A">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Table 1. Estimated annual response burden</w:t>
      </w:r>
    </w:p>
    <w:p w:rsidR="00DF4A29" w14:paraId="7EB45BA0" w14:textId="682C0EA5">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p>
    <w:tbl>
      <w:tblPr>
        <w:tblW w:w="13670" w:type="dxa"/>
        <w:tblLayout w:type="fixed"/>
        <w:tblCellMar>
          <w:top w:w="15" w:type="dxa"/>
          <w:left w:w="15" w:type="dxa"/>
          <w:bottom w:w="15" w:type="dxa"/>
          <w:right w:w="15" w:type="dxa"/>
        </w:tblCellMar>
        <w:tblLook w:val="04A0"/>
      </w:tblPr>
      <w:tblGrid>
        <w:gridCol w:w="3230"/>
        <w:gridCol w:w="1350"/>
        <w:gridCol w:w="1350"/>
        <w:gridCol w:w="1260"/>
        <w:gridCol w:w="900"/>
        <w:gridCol w:w="1080"/>
        <w:gridCol w:w="1350"/>
        <w:gridCol w:w="3150"/>
      </w:tblGrid>
      <w:tr w14:paraId="52A26C54" w14:textId="77777777" w:rsidTr="00DF4A29">
        <w:tblPrEx>
          <w:tblW w:w="13670" w:type="dxa"/>
          <w:tblLayout w:type="fixed"/>
          <w:tblCellMar>
            <w:top w:w="15" w:type="dxa"/>
            <w:left w:w="15" w:type="dxa"/>
            <w:bottom w:w="15" w:type="dxa"/>
            <w:right w:w="15" w:type="dxa"/>
          </w:tblCellMar>
          <w:tblLook w:val="04A0"/>
        </w:tblPrEx>
        <w:trPr>
          <w:trHeight w:val="1365"/>
        </w:trPr>
        <w:tc>
          <w:tcPr>
            <w:tcW w:w="323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DF4A29" w:rsidRPr="00DF4A29" w:rsidP="00DF4A29" w14:paraId="1CB7834C" w14:textId="77777777">
            <w:pPr>
              <w:widowControl/>
              <w:autoSpaceDE/>
              <w:autoSpaceDN/>
              <w:adjustRightInd/>
              <w:jc w:val="center"/>
              <w:rPr>
                <w:rFonts w:ascii="Times New Roman" w:eastAsia="Times New Roman" w:hAnsi="Times New Roman" w:cs="Times New Roman"/>
              </w:rPr>
            </w:pPr>
            <w:r w:rsidRPr="00DF4A29">
              <w:rPr>
                <w:rFonts w:ascii="Calibri" w:eastAsia="Times New Roman" w:hAnsi="Calibri" w:cs="Calibri"/>
                <w:b/>
                <w:bCs/>
                <w:color w:val="000000"/>
                <w:sz w:val="16"/>
                <w:szCs w:val="16"/>
              </w:rPr>
              <w:t>Information Collection</w:t>
            </w:r>
          </w:p>
        </w:tc>
        <w:tc>
          <w:tcPr>
            <w:tcW w:w="135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DF4A29" w:rsidRPr="00DF4A29" w:rsidP="00DF4A29" w14:paraId="4ECD2836" w14:textId="77777777">
            <w:pPr>
              <w:widowControl/>
              <w:autoSpaceDE/>
              <w:autoSpaceDN/>
              <w:adjustRightInd/>
              <w:jc w:val="center"/>
              <w:rPr>
                <w:rFonts w:ascii="Times New Roman" w:eastAsia="Times New Roman" w:hAnsi="Times New Roman" w:cs="Times New Roman"/>
              </w:rPr>
            </w:pPr>
            <w:r w:rsidRPr="00DF4A29">
              <w:rPr>
                <w:rFonts w:ascii="Calibri" w:eastAsia="Times New Roman" w:hAnsi="Calibri" w:cs="Calibri"/>
                <w:b/>
                <w:bCs/>
                <w:color w:val="000000"/>
                <w:sz w:val="16"/>
                <w:szCs w:val="16"/>
              </w:rPr>
              <w:t># of Respondents/year</w:t>
            </w:r>
            <w:r w:rsidRPr="00DF4A29">
              <w:rPr>
                <w:rFonts w:ascii="Calibri" w:eastAsia="Times New Roman" w:hAnsi="Calibri" w:cs="Calibri"/>
                <w:b/>
                <w:bCs/>
                <w:color w:val="000000"/>
                <w:sz w:val="16"/>
                <w:szCs w:val="16"/>
              </w:rPr>
              <w:br/>
              <w:t>(a)</w:t>
            </w:r>
          </w:p>
        </w:tc>
        <w:tc>
          <w:tcPr>
            <w:tcW w:w="135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DF4A29" w:rsidRPr="00DF4A29" w:rsidP="00DF4A29" w14:paraId="2F8C7569" w14:textId="77777777">
            <w:pPr>
              <w:widowControl/>
              <w:autoSpaceDE/>
              <w:autoSpaceDN/>
              <w:adjustRightInd/>
              <w:jc w:val="center"/>
              <w:rPr>
                <w:rFonts w:ascii="Times New Roman" w:eastAsia="Times New Roman" w:hAnsi="Times New Roman" w:cs="Times New Roman"/>
              </w:rPr>
            </w:pPr>
            <w:r w:rsidRPr="00DF4A29">
              <w:rPr>
                <w:rFonts w:ascii="Calibri" w:eastAsia="Times New Roman" w:hAnsi="Calibri" w:cs="Calibri"/>
                <w:b/>
                <w:bCs/>
                <w:color w:val="000000"/>
                <w:sz w:val="16"/>
                <w:szCs w:val="16"/>
              </w:rPr>
              <w:t>Annual # of Responses / Respondent</w:t>
            </w:r>
            <w:r w:rsidRPr="00DF4A29">
              <w:rPr>
                <w:rFonts w:ascii="Calibri" w:eastAsia="Times New Roman" w:hAnsi="Calibri" w:cs="Calibri"/>
                <w:b/>
                <w:bCs/>
                <w:color w:val="000000"/>
                <w:sz w:val="16"/>
                <w:szCs w:val="16"/>
              </w:rPr>
              <w:br/>
              <w:t>(b)</w:t>
            </w:r>
          </w:p>
        </w:tc>
        <w:tc>
          <w:tcPr>
            <w:tcW w:w="126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DF4A29" w:rsidRPr="00DF4A29" w:rsidP="00DF4A29" w14:paraId="3A811629" w14:textId="77777777">
            <w:pPr>
              <w:widowControl/>
              <w:autoSpaceDE/>
              <w:autoSpaceDN/>
              <w:adjustRightInd/>
              <w:jc w:val="center"/>
              <w:rPr>
                <w:rFonts w:ascii="Times New Roman" w:eastAsia="Times New Roman" w:hAnsi="Times New Roman" w:cs="Times New Roman"/>
              </w:rPr>
            </w:pPr>
            <w:r w:rsidRPr="00DF4A29">
              <w:rPr>
                <w:rFonts w:ascii="Calibri" w:eastAsia="Times New Roman" w:hAnsi="Calibri" w:cs="Calibri"/>
                <w:b/>
                <w:bCs/>
                <w:color w:val="000000"/>
                <w:sz w:val="16"/>
                <w:szCs w:val="16"/>
              </w:rPr>
              <w:t xml:space="preserve"> Total # of Annual Responses</w:t>
            </w:r>
            <w:r w:rsidRPr="00DF4A29">
              <w:rPr>
                <w:rFonts w:ascii="Calibri" w:eastAsia="Times New Roman" w:hAnsi="Calibri" w:cs="Calibri"/>
                <w:b/>
                <w:bCs/>
                <w:color w:val="000000"/>
                <w:sz w:val="16"/>
                <w:szCs w:val="16"/>
              </w:rPr>
              <w:br/>
              <w:t>(c) = (a) x (b)</w:t>
            </w:r>
          </w:p>
        </w:tc>
        <w:tc>
          <w:tcPr>
            <w:tcW w:w="90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DF4A29" w:rsidRPr="00DF4A29" w:rsidP="00DF4A29" w14:paraId="053BF4A5" w14:textId="77777777">
            <w:pPr>
              <w:widowControl/>
              <w:autoSpaceDE/>
              <w:autoSpaceDN/>
              <w:adjustRightInd/>
              <w:jc w:val="center"/>
              <w:rPr>
                <w:rFonts w:ascii="Times New Roman" w:eastAsia="Times New Roman" w:hAnsi="Times New Roman" w:cs="Times New Roman"/>
              </w:rPr>
            </w:pPr>
            <w:r w:rsidRPr="00DF4A29">
              <w:rPr>
                <w:rFonts w:ascii="Calibri" w:eastAsia="Times New Roman" w:hAnsi="Calibri" w:cs="Calibri"/>
                <w:b/>
                <w:bCs/>
                <w:color w:val="000000"/>
                <w:sz w:val="16"/>
                <w:szCs w:val="16"/>
              </w:rPr>
              <w:t>Burden Hrs / Response</w:t>
            </w:r>
            <w:r w:rsidRPr="00DF4A29">
              <w:rPr>
                <w:rFonts w:ascii="Calibri" w:eastAsia="Times New Roman" w:hAnsi="Calibri" w:cs="Calibri"/>
                <w:b/>
                <w:bCs/>
                <w:color w:val="000000"/>
                <w:sz w:val="16"/>
                <w:szCs w:val="16"/>
              </w:rPr>
              <w:br/>
              <w:t>(d)</w:t>
            </w:r>
          </w:p>
        </w:tc>
        <w:tc>
          <w:tcPr>
            <w:tcW w:w="108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DF4A29" w:rsidRPr="00DF4A29" w:rsidP="00DF4A29" w14:paraId="682517EF" w14:textId="77777777">
            <w:pPr>
              <w:widowControl/>
              <w:autoSpaceDE/>
              <w:autoSpaceDN/>
              <w:adjustRightInd/>
              <w:jc w:val="center"/>
              <w:rPr>
                <w:rFonts w:ascii="Times New Roman" w:eastAsia="Times New Roman" w:hAnsi="Times New Roman" w:cs="Times New Roman"/>
              </w:rPr>
            </w:pPr>
            <w:r w:rsidRPr="00DF4A29">
              <w:rPr>
                <w:rFonts w:ascii="Calibri" w:eastAsia="Times New Roman" w:hAnsi="Calibri" w:cs="Calibri"/>
                <w:b/>
                <w:bCs/>
                <w:color w:val="000000"/>
                <w:sz w:val="16"/>
                <w:szCs w:val="16"/>
              </w:rPr>
              <w:t>Total Annual Burden Hrs</w:t>
            </w:r>
            <w:r w:rsidRPr="00DF4A29">
              <w:rPr>
                <w:rFonts w:ascii="Calibri" w:eastAsia="Times New Roman" w:hAnsi="Calibri" w:cs="Calibri"/>
                <w:b/>
                <w:bCs/>
                <w:color w:val="000000"/>
                <w:sz w:val="16"/>
                <w:szCs w:val="16"/>
              </w:rPr>
              <w:br/>
              <w:t>(e)  = (c)</w:t>
            </w:r>
            <w:r w:rsidRPr="00DF4A29">
              <w:rPr>
                <w:rFonts w:ascii="Calibri" w:eastAsia="Times New Roman" w:hAnsi="Calibri" w:cs="Calibri"/>
                <w:b/>
                <w:bCs/>
                <w:color w:val="000000"/>
                <w:sz w:val="16"/>
                <w:szCs w:val="16"/>
              </w:rPr>
              <w:t xml:space="preserve"> x (d)</w:t>
            </w:r>
          </w:p>
        </w:tc>
        <w:tc>
          <w:tcPr>
            <w:tcW w:w="135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DF4A29" w:rsidRPr="00DF4A29" w:rsidP="00DF4A29" w14:paraId="72141C4A" w14:textId="77777777">
            <w:pPr>
              <w:widowControl/>
              <w:autoSpaceDE/>
              <w:autoSpaceDN/>
              <w:adjustRightInd/>
              <w:jc w:val="center"/>
              <w:rPr>
                <w:rFonts w:ascii="Times New Roman" w:eastAsia="Times New Roman" w:hAnsi="Times New Roman" w:cs="Times New Roman"/>
              </w:rPr>
            </w:pPr>
            <w:r w:rsidRPr="00DF4A29">
              <w:rPr>
                <w:rFonts w:ascii="Calibri" w:eastAsia="Times New Roman" w:hAnsi="Calibri" w:cs="Calibri"/>
                <w:b/>
                <w:bCs/>
                <w:color w:val="000000"/>
                <w:sz w:val="16"/>
                <w:szCs w:val="16"/>
              </w:rPr>
              <w:t>Hourly Wage Rate  (for Type of Respondent)</w:t>
            </w:r>
            <w:r w:rsidRPr="00DF4A29">
              <w:rPr>
                <w:rFonts w:ascii="Calibri" w:eastAsia="Times New Roman" w:hAnsi="Calibri" w:cs="Calibri"/>
                <w:b/>
                <w:bCs/>
                <w:color w:val="000000"/>
                <w:sz w:val="16"/>
                <w:szCs w:val="16"/>
              </w:rPr>
              <w:br/>
              <w:t>(f)</w:t>
            </w:r>
          </w:p>
        </w:tc>
        <w:tc>
          <w:tcPr>
            <w:tcW w:w="315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DF4A29" w:rsidRPr="00DF4A29" w:rsidP="007A32B3" w14:paraId="088E3560" w14:textId="34E4025E">
            <w:pPr>
              <w:widowControl/>
              <w:autoSpaceDE/>
              <w:autoSpaceDN/>
              <w:adjustRightInd/>
              <w:ind w:right="61"/>
              <w:jc w:val="center"/>
              <w:rPr>
                <w:rFonts w:ascii="Times New Roman" w:eastAsia="Times New Roman" w:hAnsi="Times New Roman" w:cs="Times New Roman"/>
              </w:rPr>
            </w:pPr>
            <w:r>
              <w:rPr>
                <w:rFonts w:ascii="Calibri" w:eastAsia="Times New Roman" w:hAnsi="Calibri" w:cs="Calibri"/>
                <w:b/>
                <w:bCs/>
                <w:color w:val="000000"/>
                <w:sz w:val="16"/>
                <w:szCs w:val="16"/>
              </w:rPr>
              <w:t xml:space="preserve">Total </w:t>
            </w:r>
            <w:r w:rsidRPr="00DF4A29">
              <w:rPr>
                <w:rFonts w:ascii="Calibri" w:eastAsia="Times New Roman" w:hAnsi="Calibri" w:cs="Calibri"/>
                <w:b/>
                <w:bCs/>
                <w:color w:val="000000"/>
                <w:sz w:val="16"/>
                <w:szCs w:val="16"/>
              </w:rPr>
              <w:t>Annual Wage Burden Costs</w:t>
            </w:r>
            <w:r w:rsidRPr="00DF4A29">
              <w:rPr>
                <w:rFonts w:ascii="Calibri" w:eastAsia="Times New Roman" w:hAnsi="Calibri" w:cs="Calibri"/>
                <w:b/>
                <w:bCs/>
                <w:color w:val="000000"/>
                <w:sz w:val="16"/>
                <w:szCs w:val="16"/>
              </w:rPr>
              <w:br/>
              <w:t>(g) = (e) x (f)</w:t>
            </w:r>
          </w:p>
        </w:tc>
      </w:tr>
      <w:tr w14:paraId="710936AC" w14:textId="77777777" w:rsidTr="00DF4A29">
        <w:tblPrEx>
          <w:tblW w:w="13670" w:type="dxa"/>
          <w:tblLayout w:type="fixed"/>
          <w:tblCellMar>
            <w:top w:w="15" w:type="dxa"/>
            <w:left w:w="15" w:type="dxa"/>
            <w:bottom w:w="15" w:type="dxa"/>
            <w:right w:w="15" w:type="dxa"/>
          </w:tblCellMar>
          <w:tblLook w:val="04A0"/>
        </w:tblPrEx>
        <w:trPr>
          <w:trHeight w:val="300"/>
        </w:trPr>
        <w:tc>
          <w:tcPr>
            <w:tcW w:w="3230"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3C22C528" w14:textId="34429464">
            <w:pPr>
              <w:widowControl/>
              <w:autoSpaceDE/>
              <w:autoSpaceDN/>
              <w:adjustRightInd/>
              <w:jc w:val="center"/>
              <w:rPr>
                <w:rFonts w:ascii="Times New Roman" w:eastAsia="Times New Roman" w:hAnsi="Times New Roman" w:cs="Times New Roman"/>
              </w:rPr>
            </w:pPr>
            <w:r>
              <w:rPr>
                <w:rFonts w:ascii="Calibri" w:eastAsia="Calibri" w:hAnsi="Calibri" w:cs="Calibri"/>
                <w:color w:val="000000"/>
                <w:sz w:val="22"/>
                <w:szCs w:val="22"/>
              </w:rPr>
              <w:t>Mail, web, telephone, face-to-face surveys</w:t>
            </w:r>
          </w:p>
        </w:tc>
        <w:tc>
          <w:tcPr>
            <w:tcW w:w="135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1A3CF923" w14:textId="32B78733">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45,000</w:t>
            </w:r>
            <w:r w:rsidRPr="00550288">
              <w:rPr>
                <w:rFonts w:ascii="Calibri" w:eastAsia="Times New Roman" w:hAnsi="Calibri" w:cs="Calibri"/>
                <w:color w:val="000000"/>
                <w:sz w:val="18"/>
                <w:szCs w:val="16"/>
              </w:rPr>
              <w:t> </w:t>
            </w:r>
          </w:p>
        </w:tc>
        <w:tc>
          <w:tcPr>
            <w:tcW w:w="135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302E647F" w14:textId="01E2DC6B">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1</w:t>
            </w:r>
            <w:r w:rsidRPr="00550288">
              <w:rPr>
                <w:rFonts w:ascii="Calibri" w:eastAsia="Times New Roman" w:hAnsi="Calibri" w:cs="Calibri"/>
                <w:color w:val="000000"/>
                <w:sz w:val="18"/>
                <w:szCs w:val="16"/>
              </w:rPr>
              <w:t> </w:t>
            </w:r>
          </w:p>
        </w:tc>
        <w:tc>
          <w:tcPr>
            <w:tcW w:w="126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7ED21920" w14:textId="513A0FD2">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45,000</w:t>
            </w:r>
            <w:r w:rsidRPr="00550288">
              <w:rPr>
                <w:rFonts w:ascii="Calibri" w:eastAsia="Times New Roman" w:hAnsi="Calibri" w:cs="Calibri"/>
                <w:color w:val="000000"/>
                <w:sz w:val="18"/>
                <w:szCs w:val="16"/>
              </w:rPr>
              <w:t> </w:t>
            </w:r>
          </w:p>
        </w:tc>
        <w:tc>
          <w:tcPr>
            <w:tcW w:w="90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5D1ADB48" w14:textId="631753A0">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5 mins</w:t>
            </w:r>
            <w:r w:rsidRPr="00550288">
              <w:rPr>
                <w:rFonts w:ascii="Calibri" w:eastAsia="Times New Roman" w:hAnsi="Calibri" w:cs="Calibri"/>
                <w:color w:val="000000"/>
                <w:sz w:val="18"/>
                <w:szCs w:val="16"/>
              </w:rPr>
              <w:t> </w:t>
            </w:r>
          </w:p>
        </w:tc>
        <w:tc>
          <w:tcPr>
            <w:tcW w:w="108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6A5B4055" w14:textId="1A98F565">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3750</w:t>
            </w:r>
            <w:r w:rsidRPr="00DF4A29">
              <w:rPr>
                <w:rFonts w:ascii="Calibri" w:eastAsia="Times New Roman" w:hAnsi="Calibri" w:cs="Calibri"/>
                <w:color w:val="000000"/>
                <w:sz w:val="18"/>
                <w:szCs w:val="16"/>
              </w:rPr>
              <w:t> </w:t>
            </w:r>
          </w:p>
        </w:tc>
        <w:tc>
          <w:tcPr>
            <w:tcW w:w="135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F4A29" w:rsidRPr="00DF4A29" w:rsidP="00DF4A29" w14:paraId="49BFDB4A" w14:textId="4BFD524D">
            <w:pPr>
              <w:widowControl/>
              <w:autoSpaceDE/>
              <w:autoSpaceDN/>
              <w:adjustRightInd/>
              <w:jc w:val="right"/>
              <w:rPr>
                <w:rFonts w:eastAsia="Times New Roman" w:asciiTheme="minorHAnsi" w:hAnsiTheme="minorHAnsi" w:cstheme="minorHAnsi"/>
                <w:sz w:val="20"/>
              </w:rPr>
            </w:pPr>
            <w:r w:rsidRPr="00861280">
              <w:rPr>
                <w:rFonts w:eastAsia="Times New Roman" w:asciiTheme="minorHAnsi" w:hAnsiTheme="minorHAnsi" w:cstheme="minorHAnsi"/>
                <w:sz w:val="20"/>
              </w:rPr>
              <w:t xml:space="preserve">$31.29 </w:t>
            </w:r>
          </w:p>
        </w:tc>
        <w:tc>
          <w:tcPr>
            <w:tcW w:w="3150"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DF4A29" w:rsidRPr="00DF4A29" w:rsidP="00DF4A29" w14:paraId="604C7AA0" w14:textId="3CB0A14B">
            <w:pPr>
              <w:widowControl/>
              <w:autoSpaceDE/>
              <w:autoSpaceDN/>
              <w:adjustRightInd/>
              <w:jc w:val="right"/>
              <w:rPr>
                <w:rFonts w:ascii="Times New Roman" w:eastAsia="Times New Roman" w:hAnsi="Times New Roman" w:cs="Times New Roman"/>
                <w:sz w:val="20"/>
              </w:rPr>
            </w:pPr>
            <w:r w:rsidRPr="00861280">
              <w:rPr>
                <w:rFonts w:ascii="Calibri" w:eastAsia="Times New Roman" w:hAnsi="Calibri" w:cs="Calibri"/>
                <w:color w:val="000000"/>
                <w:sz w:val="20"/>
                <w:szCs w:val="16"/>
              </w:rPr>
              <w:t>$117,337.50</w:t>
            </w:r>
            <w:r w:rsidRPr="00DF4A29">
              <w:rPr>
                <w:rFonts w:ascii="Calibri" w:eastAsia="Times New Roman" w:hAnsi="Calibri" w:cs="Calibri"/>
                <w:color w:val="000000"/>
                <w:sz w:val="20"/>
                <w:szCs w:val="16"/>
              </w:rPr>
              <w:t> </w:t>
            </w:r>
          </w:p>
        </w:tc>
      </w:tr>
      <w:tr w14:paraId="78D96D1B" w14:textId="77777777" w:rsidTr="00DF4A29">
        <w:tblPrEx>
          <w:tblW w:w="13670" w:type="dxa"/>
          <w:tblLayout w:type="fixed"/>
          <w:tblCellMar>
            <w:top w:w="15" w:type="dxa"/>
            <w:left w:w="15" w:type="dxa"/>
            <w:bottom w:w="15" w:type="dxa"/>
            <w:right w:w="15" w:type="dxa"/>
          </w:tblCellMar>
          <w:tblLook w:val="04A0"/>
        </w:tblPrEx>
        <w:trPr>
          <w:trHeight w:val="300"/>
        </w:trPr>
        <w:tc>
          <w:tcPr>
            <w:tcW w:w="323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09834991" w14:textId="7D2EAC79">
            <w:pPr>
              <w:widowControl/>
              <w:autoSpaceDE/>
              <w:autoSpaceDN/>
              <w:adjustRightInd/>
              <w:jc w:val="center"/>
              <w:rPr>
                <w:rFonts w:ascii="Times New Roman" w:eastAsia="Times New Roman" w:hAnsi="Times New Roman" w:cs="Times New Roman"/>
              </w:rPr>
            </w:pPr>
            <w:r>
              <w:rPr>
                <w:rFonts w:ascii="Calibri" w:eastAsia="Calibri" w:hAnsi="Calibri" w:cs="Calibri"/>
                <w:color w:val="000000"/>
                <w:sz w:val="22"/>
                <w:szCs w:val="22"/>
              </w:rPr>
              <w:t>Cognitive Interviews</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6F15AE82" w14:textId="6E2FC7CE">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250</w:t>
            </w:r>
            <w:r w:rsidRPr="00550288">
              <w:rPr>
                <w:rFonts w:ascii="Calibri" w:eastAsia="Times New Roman" w:hAnsi="Calibri" w:cs="Calibri"/>
                <w:color w:val="000000"/>
                <w:sz w:val="18"/>
                <w:szCs w:val="16"/>
              </w:rPr>
              <w:t> </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2DD4B387" w14:textId="3D13EF93">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1</w:t>
            </w:r>
            <w:r w:rsidRPr="00550288">
              <w:rPr>
                <w:rFonts w:ascii="Calibri" w:eastAsia="Times New Roman" w:hAnsi="Calibri" w:cs="Calibri"/>
                <w:color w:val="000000"/>
                <w:sz w:val="18"/>
                <w:szCs w:val="16"/>
              </w:rPr>
              <w:t> </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53F81716" w14:textId="1EE2FB7C">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250</w:t>
            </w:r>
            <w:r w:rsidRPr="00550288">
              <w:rPr>
                <w:rFonts w:ascii="Calibri" w:eastAsia="Times New Roman" w:hAnsi="Calibri" w:cs="Calibri"/>
                <w:color w:val="000000"/>
                <w:sz w:val="18"/>
                <w:szCs w:val="16"/>
              </w:rPr>
              <w:t>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6F9A870C" w14:textId="7B449488">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1 hr</w:t>
            </w:r>
            <w:r w:rsidRPr="00550288">
              <w:rPr>
                <w:rFonts w:ascii="Calibri" w:eastAsia="Times New Roman" w:hAnsi="Calibri" w:cs="Calibri"/>
                <w:color w:val="000000"/>
                <w:sz w:val="18"/>
                <w:szCs w:val="16"/>
              </w:rPr>
              <w:t> </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DF4A29" w:rsidRPr="00DF4A29" w:rsidP="00DF4A29" w14:paraId="163BD252" w14:textId="4E03A0B5">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250</w:t>
            </w:r>
            <w:r w:rsidRPr="00DF4A29">
              <w:rPr>
                <w:rFonts w:ascii="Calibri" w:eastAsia="Times New Roman" w:hAnsi="Calibri" w:cs="Calibri"/>
                <w:color w:val="000000"/>
                <w:sz w:val="18"/>
                <w:szCs w:val="16"/>
              </w:rPr>
              <w:t> </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F4A29" w:rsidRPr="00DF4A29" w:rsidP="00DF4A29" w14:paraId="10004A1E" w14:textId="6FF28D2E">
            <w:pPr>
              <w:widowControl/>
              <w:autoSpaceDE/>
              <w:autoSpaceDN/>
              <w:adjustRightInd/>
              <w:jc w:val="right"/>
              <w:rPr>
                <w:rFonts w:eastAsia="Times New Roman" w:asciiTheme="minorHAnsi" w:hAnsiTheme="minorHAnsi" w:cstheme="minorHAnsi"/>
                <w:sz w:val="20"/>
              </w:rPr>
            </w:pPr>
            <w:r w:rsidRPr="00861280">
              <w:rPr>
                <w:rFonts w:eastAsia="Times New Roman" w:asciiTheme="minorHAnsi" w:hAnsiTheme="minorHAnsi" w:cstheme="minorHAnsi"/>
                <w:sz w:val="20"/>
              </w:rPr>
              <w:t xml:space="preserve">$31.29 </w:t>
            </w:r>
          </w:p>
        </w:tc>
        <w:tc>
          <w:tcPr>
            <w:tcW w:w="3150"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DF4A29" w:rsidRPr="00DF4A29" w:rsidP="00DF4A29" w14:paraId="76280875" w14:textId="09D9D7F5">
            <w:pPr>
              <w:widowControl/>
              <w:autoSpaceDE/>
              <w:autoSpaceDN/>
              <w:adjustRightInd/>
              <w:jc w:val="right"/>
              <w:rPr>
                <w:rFonts w:ascii="Times New Roman" w:eastAsia="Times New Roman" w:hAnsi="Times New Roman" w:cs="Times New Roman"/>
                <w:sz w:val="20"/>
              </w:rPr>
            </w:pPr>
            <w:r w:rsidRPr="00861280">
              <w:rPr>
                <w:rFonts w:ascii="Calibri" w:eastAsia="Times New Roman" w:hAnsi="Calibri" w:cs="Calibri"/>
                <w:color w:val="000000"/>
                <w:sz w:val="20"/>
                <w:szCs w:val="16"/>
              </w:rPr>
              <w:t>$7,822.50</w:t>
            </w:r>
            <w:r w:rsidRPr="00DF4A29">
              <w:rPr>
                <w:rFonts w:ascii="Calibri" w:eastAsia="Times New Roman" w:hAnsi="Calibri" w:cs="Calibri"/>
                <w:color w:val="000000"/>
                <w:sz w:val="20"/>
                <w:szCs w:val="16"/>
              </w:rPr>
              <w:t> </w:t>
            </w:r>
          </w:p>
        </w:tc>
      </w:tr>
      <w:tr w14:paraId="082AA642" w14:textId="77777777" w:rsidTr="00DF4A29">
        <w:tblPrEx>
          <w:tblW w:w="13670" w:type="dxa"/>
          <w:tblLayout w:type="fixed"/>
          <w:tblCellMar>
            <w:top w:w="15" w:type="dxa"/>
            <w:left w:w="15" w:type="dxa"/>
            <w:bottom w:w="15" w:type="dxa"/>
            <w:right w:w="15" w:type="dxa"/>
          </w:tblCellMar>
          <w:tblLook w:val="04A0"/>
        </w:tblPrEx>
        <w:trPr>
          <w:trHeight w:val="300"/>
        </w:trPr>
        <w:tc>
          <w:tcPr>
            <w:tcW w:w="323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483BA7B5" w14:textId="74D093B3">
            <w:pPr>
              <w:widowControl/>
              <w:autoSpaceDE/>
              <w:autoSpaceDN/>
              <w:adjustRightInd/>
              <w:jc w:val="center"/>
              <w:rPr>
                <w:rFonts w:ascii="Times New Roman" w:eastAsia="Times New Roman" w:hAnsi="Times New Roman" w:cs="Times New Roman"/>
              </w:rPr>
            </w:pPr>
            <w:r>
              <w:rPr>
                <w:rFonts w:ascii="Calibri" w:eastAsia="Calibri" w:hAnsi="Calibri" w:cs="Calibri"/>
                <w:color w:val="000000"/>
                <w:sz w:val="22"/>
                <w:szCs w:val="22"/>
              </w:rPr>
              <w:t>Focus Groups</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43A3172A" w14:textId="589491B7">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250</w:t>
            </w:r>
            <w:r w:rsidRPr="00550288">
              <w:rPr>
                <w:rFonts w:ascii="Calibri" w:eastAsia="Times New Roman" w:hAnsi="Calibri" w:cs="Calibri"/>
                <w:color w:val="000000"/>
                <w:sz w:val="18"/>
                <w:szCs w:val="16"/>
              </w:rPr>
              <w:t> </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62BC7DD9" w14:textId="60ED9EA3">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1</w:t>
            </w:r>
            <w:r w:rsidRPr="00550288">
              <w:rPr>
                <w:rFonts w:ascii="Calibri" w:eastAsia="Times New Roman" w:hAnsi="Calibri" w:cs="Calibri"/>
                <w:color w:val="000000"/>
                <w:sz w:val="18"/>
                <w:szCs w:val="16"/>
              </w:rPr>
              <w:t> </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7434D4A1" w14:textId="6BB0D45E">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250</w:t>
            </w:r>
            <w:r w:rsidRPr="00550288">
              <w:rPr>
                <w:rFonts w:ascii="Calibri" w:eastAsia="Times New Roman" w:hAnsi="Calibri" w:cs="Calibri"/>
                <w:color w:val="000000"/>
                <w:sz w:val="18"/>
                <w:szCs w:val="16"/>
              </w:rPr>
              <w:t>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29CE2CC9" w14:textId="0D79A1C1">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1 hr</w:t>
            </w:r>
            <w:r w:rsidRPr="00550288">
              <w:rPr>
                <w:rFonts w:ascii="Calibri" w:eastAsia="Times New Roman" w:hAnsi="Calibri" w:cs="Calibri"/>
                <w:color w:val="000000"/>
                <w:sz w:val="18"/>
                <w:szCs w:val="16"/>
              </w:rPr>
              <w:t> </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6598DE14" w14:textId="536CE452">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250</w:t>
            </w:r>
            <w:r w:rsidRPr="00DF4A29">
              <w:rPr>
                <w:rFonts w:ascii="Calibri" w:eastAsia="Times New Roman" w:hAnsi="Calibri" w:cs="Calibri"/>
                <w:color w:val="000000"/>
                <w:sz w:val="18"/>
                <w:szCs w:val="16"/>
              </w:rPr>
              <w:t> </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1280" w:rsidRPr="00DF4A29" w:rsidP="00861280" w14:paraId="348C94E9" w14:textId="0CBD8EEF">
            <w:pPr>
              <w:widowControl/>
              <w:autoSpaceDE/>
              <w:autoSpaceDN/>
              <w:adjustRightInd/>
              <w:jc w:val="right"/>
              <w:rPr>
                <w:rFonts w:eastAsia="Times New Roman" w:asciiTheme="minorHAnsi" w:hAnsiTheme="minorHAnsi" w:cstheme="minorHAnsi"/>
                <w:sz w:val="20"/>
              </w:rPr>
            </w:pPr>
            <w:r w:rsidRPr="00861280">
              <w:rPr>
                <w:rFonts w:eastAsia="Times New Roman" w:asciiTheme="minorHAnsi" w:hAnsiTheme="minorHAnsi" w:cstheme="minorHAnsi"/>
                <w:sz w:val="20"/>
              </w:rPr>
              <w:t xml:space="preserve">$31.29 </w:t>
            </w:r>
          </w:p>
        </w:tc>
        <w:tc>
          <w:tcPr>
            <w:tcW w:w="3150"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861280" w:rsidRPr="00DF4A29" w:rsidP="00861280" w14:paraId="10397ADA" w14:textId="3CD56795">
            <w:pPr>
              <w:widowControl/>
              <w:autoSpaceDE/>
              <w:autoSpaceDN/>
              <w:adjustRightInd/>
              <w:jc w:val="right"/>
              <w:rPr>
                <w:rFonts w:ascii="Times New Roman" w:eastAsia="Times New Roman" w:hAnsi="Times New Roman" w:cs="Times New Roman"/>
                <w:sz w:val="20"/>
              </w:rPr>
            </w:pPr>
            <w:r w:rsidRPr="00861280">
              <w:rPr>
                <w:rFonts w:ascii="Calibri" w:eastAsia="Times New Roman" w:hAnsi="Calibri" w:cs="Calibri"/>
                <w:color w:val="000000"/>
                <w:sz w:val="20"/>
                <w:szCs w:val="16"/>
              </w:rPr>
              <w:t>$7,822.50</w:t>
            </w:r>
            <w:r w:rsidRPr="00DF4A29">
              <w:rPr>
                <w:rFonts w:ascii="Calibri" w:eastAsia="Times New Roman" w:hAnsi="Calibri" w:cs="Calibri"/>
                <w:color w:val="000000"/>
                <w:sz w:val="20"/>
                <w:szCs w:val="16"/>
              </w:rPr>
              <w:t> </w:t>
            </w:r>
          </w:p>
        </w:tc>
      </w:tr>
      <w:tr w14:paraId="4D17B187" w14:textId="77777777" w:rsidTr="00DF4A29">
        <w:tblPrEx>
          <w:tblW w:w="13670" w:type="dxa"/>
          <w:tblLayout w:type="fixed"/>
          <w:tblCellMar>
            <w:top w:w="15" w:type="dxa"/>
            <w:left w:w="15" w:type="dxa"/>
            <w:bottom w:w="15" w:type="dxa"/>
            <w:right w:w="15" w:type="dxa"/>
          </w:tblCellMar>
          <w:tblLook w:val="04A0"/>
        </w:tblPrEx>
        <w:trPr>
          <w:trHeight w:val="300"/>
        </w:trPr>
        <w:tc>
          <w:tcPr>
            <w:tcW w:w="323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6738FA21" w14:textId="7DB16CB3">
            <w:pPr>
              <w:widowControl/>
              <w:autoSpaceDE/>
              <w:autoSpaceDN/>
              <w:adjustRightInd/>
              <w:jc w:val="center"/>
              <w:rPr>
                <w:rFonts w:ascii="Times New Roman" w:eastAsia="Times New Roman" w:hAnsi="Times New Roman" w:cs="Times New Roman"/>
              </w:rPr>
            </w:pPr>
            <w:r>
              <w:rPr>
                <w:rFonts w:ascii="Calibri" w:eastAsia="Calibri" w:hAnsi="Calibri" w:cs="Calibri"/>
                <w:color w:val="000000"/>
                <w:sz w:val="22"/>
                <w:szCs w:val="22"/>
              </w:rPr>
              <w:t>Re-interviews/Panel desig</w:t>
            </w:r>
            <w:r>
              <w:rPr>
                <w:rFonts w:ascii="Calibri" w:eastAsia="Calibri" w:hAnsi="Calibri" w:cs="Calibri"/>
                <w:sz w:val="22"/>
                <w:szCs w:val="22"/>
              </w:rPr>
              <w:t>ns</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3C5D82C7" w14:textId="224263AF">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500</w:t>
            </w:r>
            <w:r w:rsidRPr="00550288">
              <w:rPr>
                <w:rFonts w:ascii="Calibri" w:eastAsia="Times New Roman" w:hAnsi="Calibri" w:cs="Calibri"/>
                <w:color w:val="000000"/>
                <w:sz w:val="18"/>
                <w:szCs w:val="16"/>
              </w:rPr>
              <w:t> </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6A6ECED4" w14:textId="07E4DDE3">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1</w:t>
            </w:r>
            <w:r w:rsidRPr="00550288">
              <w:rPr>
                <w:rFonts w:ascii="Calibri" w:eastAsia="Times New Roman" w:hAnsi="Calibri" w:cs="Calibri"/>
                <w:color w:val="000000"/>
                <w:sz w:val="18"/>
                <w:szCs w:val="16"/>
              </w:rPr>
              <w:t> </w:t>
            </w:r>
          </w:p>
        </w:tc>
        <w:tc>
          <w:tcPr>
            <w:tcW w:w="1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3801803F" w14:textId="76FD116B">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500</w:t>
            </w:r>
            <w:r w:rsidRPr="00550288">
              <w:rPr>
                <w:rFonts w:ascii="Calibri" w:eastAsia="Times New Roman" w:hAnsi="Calibri" w:cs="Calibri"/>
                <w:color w:val="000000"/>
                <w:sz w:val="18"/>
                <w:szCs w:val="16"/>
              </w:rPr>
              <w:t>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2CA1B393" w14:textId="342314CF">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15 mins</w:t>
            </w:r>
            <w:r w:rsidRPr="00550288">
              <w:rPr>
                <w:rFonts w:ascii="Calibri" w:eastAsia="Times New Roman" w:hAnsi="Calibri" w:cs="Calibri"/>
                <w:color w:val="000000"/>
                <w:sz w:val="18"/>
                <w:szCs w:val="16"/>
              </w:rPr>
              <w:t> </w:t>
            </w:r>
          </w:p>
        </w:tc>
        <w:tc>
          <w:tcPr>
            <w:tcW w:w="10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61280" w:rsidRPr="00DF4A29" w:rsidP="00861280" w14:paraId="5272DB34" w14:textId="7F114300">
            <w:pPr>
              <w:widowControl/>
              <w:autoSpaceDE/>
              <w:autoSpaceDN/>
              <w:adjustRightInd/>
              <w:jc w:val="right"/>
              <w:rPr>
                <w:rFonts w:ascii="Times New Roman" w:eastAsia="Times New Roman" w:hAnsi="Times New Roman" w:cs="Times New Roman"/>
                <w:sz w:val="18"/>
              </w:rPr>
            </w:pPr>
            <w:r w:rsidRPr="00861280">
              <w:rPr>
                <w:rFonts w:ascii="Calibri" w:eastAsia="Times New Roman" w:hAnsi="Calibri" w:cs="Calibri"/>
                <w:color w:val="000000"/>
                <w:sz w:val="18"/>
                <w:szCs w:val="16"/>
              </w:rPr>
              <w:t>125</w:t>
            </w:r>
            <w:r w:rsidRPr="00DF4A29">
              <w:rPr>
                <w:rFonts w:ascii="Calibri" w:eastAsia="Times New Roman" w:hAnsi="Calibri" w:cs="Calibri"/>
                <w:color w:val="000000"/>
                <w:sz w:val="18"/>
                <w:szCs w:val="16"/>
              </w:rPr>
              <w:t> </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1280" w:rsidRPr="00DF4A29" w:rsidP="00861280" w14:paraId="1B503AB3" w14:textId="1636D3E9">
            <w:pPr>
              <w:widowControl/>
              <w:autoSpaceDE/>
              <w:autoSpaceDN/>
              <w:adjustRightInd/>
              <w:jc w:val="right"/>
              <w:rPr>
                <w:rFonts w:eastAsia="Times New Roman" w:asciiTheme="minorHAnsi" w:hAnsiTheme="minorHAnsi" w:cstheme="minorHAnsi"/>
                <w:sz w:val="20"/>
              </w:rPr>
            </w:pPr>
            <w:r w:rsidRPr="00861280">
              <w:rPr>
                <w:rFonts w:eastAsia="Times New Roman" w:asciiTheme="minorHAnsi" w:hAnsiTheme="minorHAnsi" w:cstheme="minorHAnsi"/>
                <w:sz w:val="20"/>
              </w:rPr>
              <w:t xml:space="preserve">$31.29 </w:t>
            </w:r>
          </w:p>
        </w:tc>
        <w:tc>
          <w:tcPr>
            <w:tcW w:w="3150"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861280" w:rsidRPr="00DF4A29" w:rsidP="00861280" w14:paraId="6FE8B293" w14:textId="035F7832">
            <w:pPr>
              <w:widowControl/>
              <w:autoSpaceDE/>
              <w:autoSpaceDN/>
              <w:adjustRightInd/>
              <w:jc w:val="right"/>
              <w:rPr>
                <w:rFonts w:ascii="Times New Roman" w:eastAsia="Times New Roman" w:hAnsi="Times New Roman" w:cs="Times New Roman"/>
                <w:sz w:val="20"/>
              </w:rPr>
            </w:pPr>
            <w:r w:rsidRPr="00861280">
              <w:rPr>
                <w:rFonts w:ascii="Calibri" w:eastAsia="Times New Roman" w:hAnsi="Calibri" w:cs="Calibri"/>
                <w:color w:val="000000"/>
                <w:sz w:val="20"/>
                <w:szCs w:val="16"/>
              </w:rPr>
              <w:t>$3,911.25</w:t>
            </w:r>
            <w:r w:rsidRPr="00DF4A29">
              <w:rPr>
                <w:rFonts w:ascii="Calibri" w:eastAsia="Times New Roman" w:hAnsi="Calibri" w:cs="Calibri"/>
                <w:color w:val="000000"/>
                <w:sz w:val="20"/>
                <w:szCs w:val="16"/>
              </w:rPr>
              <w:t> </w:t>
            </w:r>
          </w:p>
        </w:tc>
      </w:tr>
      <w:tr w14:paraId="74C4BD56" w14:textId="77777777" w:rsidTr="0046166D">
        <w:tblPrEx>
          <w:tblW w:w="13670" w:type="dxa"/>
          <w:tblLayout w:type="fixed"/>
          <w:tblCellMar>
            <w:top w:w="15" w:type="dxa"/>
            <w:left w:w="15" w:type="dxa"/>
            <w:bottom w:w="15" w:type="dxa"/>
            <w:right w:w="15" w:type="dxa"/>
          </w:tblCellMar>
          <w:tblLook w:val="04A0"/>
        </w:tblPrEx>
        <w:trPr>
          <w:trHeight w:val="615"/>
        </w:trPr>
        <w:tc>
          <w:tcPr>
            <w:tcW w:w="3230"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861280" w:rsidRPr="00DF4A29" w:rsidP="00861280" w14:paraId="5DA2AD8D" w14:textId="77777777">
            <w:pPr>
              <w:widowControl/>
              <w:autoSpaceDE/>
              <w:autoSpaceDN/>
              <w:adjustRightInd/>
              <w:rPr>
                <w:rFonts w:ascii="Times New Roman" w:eastAsia="Times New Roman" w:hAnsi="Times New Roman" w:cs="Times New Roman"/>
              </w:rPr>
            </w:pPr>
            <w:r w:rsidRPr="00DF4A29">
              <w:rPr>
                <w:rFonts w:ascii="Calibri" w:eastAsia="Times New Roman" w:hAnsi="Calibri" w:cs="Calibri"/>
                <w:b/>
                <w:bCs/>
                <w:color w:val="000000"/>
              </w:rPr>
              <w:t>Totals</w:t>
            </w:r>
          </w:p>
        </w:tc>
        <w:tc>
          <w:tcPr>
            <w:tcW w:w="135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15" w:type="dxa"/>
              <w:bottom w:w="0" w:type="dxa"/>
              <w:right w:w="115" w:type="dxa"/>
            </w:tcMar>
            <w:vAlign w:val="bottom"/>
            <w:hideMark/>
          </w:tcPr>
          <w:p w:rsidR="00861280" w:rsidRPr="00DF4A29" w:rsidP="00861280" w14:paraId="35F37AC4" w14:textId="1DB8ED8A">
            <w:pPr>
              <w:widowControl/>
              <w:autoSpaceDE/>
              <w:autoSpaceDN/>
              <w:adjustRightInd/>
              <w:jc w:val="right"/>
              <w:rPr>
                <w:rFonts w:ascii="Times New Roman" w:eastAsia="Times New Roman" w:hAnsi="Times New Roman" w:cs="Times New Roman"/>
              </w:rPr>
            </w:pPr>
            <w:r>
              <w:rPr>
                <w:rFonts w:ascii="Calibri" w:eastAsia="Times New Roman" w:hAnsi="Calibri" w:cs="Calibri"/>
                <w:b/>
                <w:bCs/>
                <w:color w:val="000000"/>
              </w:rPr>
              <w:t>46,000</w:t>
            </w:r>
          </w:p>
        </w:tc>
        <w:tc>
          <w:tcPr>
            <w:tcW w:w="1350"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861280" w:rsidRPr="00DF4A29" w:rsidP="00861280" w14:paraId="58B983C6" w14:textId="5A7D809A">
            <w:pPr>
              <w:widowControl/>
              <w:autoSpaceDE/>
              <w:autoSpaceDN/>
              <w:adjustRightInd/>
              <w:jc w:val="right"/>
              <w:rPr>
                <w:rFonts w:ascii="Times New Roman" w:eastAsia="Times New Roman" w:hAnsi="Times New Roman" w:cs="Times New Roman"/>
              </w:rPr>
            </w:pPr>
          </w:p>
        </w:tc>
        <w:tc>
          <w:tcPr>
            <w:tcW w:w="1260"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861280" w:rsidRPr="00DF4A29" w:rsidP="00861280" w14:paraId="60012336" w14:textId="1BBB7A00">
            <w:pPr>
              <w:widowControl/>
              <w:autoSpaceDE/>
              <w:autoSpaceDN/>
              <w:adjustRightInd/>
              <w:jc w:val="right"/>
              <w:rPr>
                <w:rFonts w:ascii="Times New Roman" w:eastAsia="Times New Roman" w:hAnsi="Times New Roman" w:cs="Times New Roman"/>
              </w:rPr>
            </w:pPr>
            <w:r>
              <w:rPr>
                <w:rFonts w:ascii="Calibri" w:eastAsia="Times New Roman" w:hAnsi="Calibri" w:cs="Calibri"/>
                <w:b/>
                <w:bCs/>
                <w:color w:val="000000"/>
              </w:rPr>
              <w:t>46,000</w:t>
            </w:r>
          </w:p>
        </w:tc>
        <w:tc>
          <w:tcPr>
            <w:tcW w:w="900"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861280" w:rsidRPr="00DF4A29" w:rsidP="00861280" w14:paraId="26B0B81E" w14:textId="0244149E">
            <w:pPr>
              <w:widowControl/>
              <w:autoSpaceDE/>
              <w:autoSpaceDN/>
              <w:adjustRightInd/>
              <w:jc w:val="right"/>
              <w:rPr>
                <w:rFonts w:ascii="Times New Roman" w:eastAsia="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861280" w:rsidRPr="00DF4A29" w:rsidP="00861280" w14:paraId="64942725" w14:textId="08D790DF">
            <w:pPr>
              <w:widowControl/>
              <w:autoSpaceDE/>
              <w:autoSpaceDN/>
              <w:adjustRightInd/>
              <w:jc w:val="right"/>
              <w:rPr>
                <w:rFonts w:ascii="Times New Roman" w:eastAsia="Times New Roman" w:hAnsi="Times New Roman" w:cs="Times New Roman"/>
              </w:rPr>
            </w:pPr>
            <w:r>
              <w:rPr>
                <w:rFonts w:ascii="Calibri" w:eastAsia="Times New Roman" w:hAnsi="Calibri" w:cs="Calibri"/>
                <w:b/>
                <w:bCs/>
                <w:color w:val="000000"/>
              </w:rPr>
              <w:t>4,375</w:t>
            </w:r>
          </w:p>
        </w:tc>
        <w:tc>
          <w:tcPr>
            <w:tcW w:w="1350"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861280" w:rsidRPr="00DF4A29" w:rsidP="00861280" w14:paraId="22AEA4E3" w14:textId="77777777">
            <w:pPr>
              <w:widowControl/>
              <w:autoSpaceDE/>
              <w:autoSpaceDN/>
              <w:adjustRightInd/>
              <w:jc w:val="right"/>
              <w:rPr>
                <w:rFonts w:ascii="Times New Roman" w:eastAsia="Times New Roman" w:hAnsi="Times New Roman" w:cs="Times New Roman"/>
              </w:rPr>
            </w:pPr>
            <w:r w:rsidRPr="00DF4A29">
              <w:rPr>
                <w:rFonts w:ascii="Calibri" w:eastAsia="Times New Roman" w:hAnsi="Calibri" w:cs="Calibri"/>
                <w:b/>
                <w:bCs/>
                <w:color w:val="000000"/>
              </w:rPr>
              <w:t> </w:t>
            </w:r>
          </w:p>
        </w:tc>
        <w:tc>
          <w:tcPr>
            <w:tcW w:w="3150"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861280" w:rsidRPr="00DF4A29" w:rsidP="00861280" w14:paraId="20F86844" w14:textId="5D120DCB">
            <w:pPr>
              <w:widowControl/>
              <w:autoSpaceDE/>
              <w:autoSpaceDN/>
              <w:adjustRightInd/>
              <w:jc w:val="right"/>
              <w:rPr>
                <w:rFonts w:ascii="Times New Roman" w:eastAsia="Times New Roman" w:hAnsi="Times New Roman" w:cs="Times New Roman"/>
              </w:rPr>
            </w:pPr>
            <w:r w:rsidRPr="00DF4A29">
              <w:rPr>
                <w:rFonts w:ascii="Calibri" w:eastAsia="Times New Roman" w:hAnsi="Calibri" w:cs="Calibri"/>
                <w:b/>
                <w:bCs/>
                <w:color w:val="000000"/>
              </w:rPr>
              <w:t> </w:t>
            </w:r>
            <w:r>
              <w:rPr>
                <w:rFonts w:ascii="Calibri" w:eastAsia="Times New Roman" w:hAnsi="Calibri" w:cs="Calibri"/>
                <w:b/>
                <w:bCs/>
                <w:color w:val="000000"/>
              </w:rPr>
              <w:t>$136,894</w:t>
            </w:r>
          </w:p>
        </w:tc>
      </w:tr>
    </w:tbl>
    <w:p w:rsidR="00DF4A29" w14:paraId="7D3AC427" w14:textId="528401CE">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p>
    <w:p w:rsidR="007A32B3" w14:paraId="40F49690"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sectPr w:rsidSect="00550288">
          <w:pgSz w:w="15840" w:h="12240" w:orient="landscape" w:code="1"/>
          <w:pgMar w:top="1080" w:right="1440" w:bottom="1080" w:left="1440" w:header="432" w:footer="288" w:gutter="0"/>
          <w:pgNumType w:start="1"/>
          <w:cols w:space="720"/>
          <w:titlePg/>
        </w:sectPr>
      </w:pPr>
    </w:p>
    <w:p w:rsidR="0019010A" w14:paraId="0000008F" w14:textId="77777777">
      <w:pPr>
        <w:tabs>
          <w:tab w:val="center" w:pos="4860"/>
          <w:tab w:val="center" w:pos="7560"/>
          <w:tab w:val="right" w:pos="9270"/>
        </w:tabs>
        <w:ind w:left="720"/>
        <w:rPr>
          <w:rFonts w:ascii="Times New Roman" w:eastAsia="Times New Roman" w:hAnsi="Times New Roman" w:cs="Times New Roman"/>
          <w:sz w:val="2"/>
          <w:szCs w:val="2"/>
        </w:rPr>
      </w:pPr>
      <w:bookmarkStart w:id="1" w:name="_GoBack"/>
      <w:bookmarkEnd w:id="1"/>
    </w:p>
    <w:p w:rsidR="0019010A" w14:paraId="00000090"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0"/>
          <w:szCs w:val="20"/>
        </w:rPr>
      </w:pPr>
    </w:p>
    <w:p w:rsidR="0019010A" w:rsidP="009B35DC" w14:paraId="00000091" w14:textId="5455AC37">
      <w:pPr>
        <w:tabs>
          <w:tab w:val="left" w:pos="-1440"/>
          <w:tab w:val="left" w:pos="-720"/>
          <w:tab w:val="left" w:pos="360"/>
        </w:tabs>
        <w:ind w:left="360" w:hanging="360"/>
        <w:rPr>
          <w:rFonts w:ascii="Times New Roman" w:eastAsia="Times New Roman" w:hAnsi="Times New Roman" w:cs="Times New Roman"/>
          <w:b/>
        </w:rPr>
      </w:pPr>
      <w:r>
        <w:rPr>
          <w:rFonts w:ascii="Times New Roman" w:eastAsia="Times New Roman" w:hAnsi="Times New Roman" w:cs="Times New Roman"/>
          <w:b/>
        </w:rPr>
        <w:t>13.</w:t>
      </w:r>
      <w:r w:rsidR="009B35DC">
        <w:rPr>
          <w:rFonts w:ascii="Times New Roman" w:eastAsia="Times New Roman" w:hAnsi="Times New Roman" w:cs="Times New Roman"/>
          <w:b/>
        </w:rPr>
        <w:tab/>
      </w:r>
      <w:r>
        <w:rPr>
          <w:rFonts w:ascii="Times New Roman" w:eastAsia="Times New Roman" w:hAnsi="Times New Roman" w:cs="Times New Roman"/>
          <w:b/>
        </w:rPr>
        <w:t xml:space="preserve">Provide an estimate of the total annual cost burden to the </w:t>
      </w:r>
      <w:r>
        <w:rPr>
          <w:rFonts w:ascii="Times New Roman" w:eastAsia="Times New Roman" w:hAnsi="Times New Roman" w:cs="Times New Roman"/>
          <w:b/>
        </w:rPr>
        <w:t>respondents or record-keepers resulting from the collection (excluding the value of the burden hours in Question 12 above).</w:t>
      </w:r>
    </w:p>
    <w:p w:rsidR="0019010A" w14:paraId="00000092" w14:textId="77777777">
      <w:pPr>
        <w:tabs>
          <w:tab w:val="left" w:pos="-1440"/>
          <w:tab w:val="left" w:pos="-720"/>
        </w:tabs>
        <w:rPr>
          <w:rFonts w:ascii="Times New Roman" w:eastAsia="Times New Roman" w:hAnsi="Times New Roman" w:cs="Times New Roman"/>
          <w:sz w:val="20"/>
          <w:szCs w:val="20"/>
        </w:rPr>
      </w:pPr>
    </w:p>
    <w:p w:rsidR="0019010A" w14:paraId="00000093"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There is typically no cost to respondents for participating in the research being conducted</w:t>
      </w:r>
      <w:r>
        <w:rPr>
          <w:rFonts w:ascii="Times New Roman" w:eastAsia="Times New Roman" w:hAnsi="Times New Roman" w:cs="Times New Roman"/>
        </w:rPr>
        <w:t xml:space="preserve"> under this clearance, except for their time to complete the requested activity.</w:t>
      </w:r>
    </w:p>
    <w:p w:rsidR="0019010A" w14:paraId="00000094" w14:textId="77777777">
      <w:pPr>
        <w:tabs>
          <w:tab w:val="left" w:pos="-1440"/>
          <w:tab w:val="left" w:pos="-720"/>
        </w:tabs>
        <w:rPr>
          <w:rFonts w:ascii="Times New Roman" w:eastAsia="Times New Roman" w:hAnsi="Times New Roman" w:cs="Times New Roman"/>
          <w:sz w:val="20"/>
          <w:szCs w:val="20"/>
        </w:rPr>
      </w:pPr>
    </w:p>
    <w:p w:rsidR="009B35DC" w:rsidRPr="009B35DC" w:rsidP="009B35DC" w14:paraId="2CC94FAC" w14:textId="00650D42">
      <w:pPr>
        <w:pStyle w:val="NormalWeb"/>
        <w:numPr>
          <w:ilvl w:val="0"/>
          <w:numId w:val="5"/>
        </w:numPr>
        <w:tabs>
          <w:tab w:val="left" w:pos="360"/>
          <w:tab w:val="clear" w:pos="720"/>
        </w:tabs>
        <w:spacing w:before="80" w:beforeAutospacing="0" w:after="0" w:afterAutospacing="0"/>
        <w:ind w:left="360"/>
        <w:textAlignment w:val="baseline"/>
        <w:rPr>
          <w:rFonts w:eastAsia="Times New Roman" w:cs="Times New Roman"/>
          <w:b/>
          <w:bCs/>
          <w:color w:val="000000"/>
        </w:rPr>
      </w:pPr>
      <w:r w:rsidRPr="009B35DC">
        <w:rPr>
          <w:rFonts w:eastAsia="Times New Roman" w:cs="Times New Roman"/>
          <w:b/>
          <w:bCs/>
          <w:color w:val="000000"/>
        </w:rPr>
        <w:t>Provide estimates of annualized cost to the Federal government. Also, provide a description of the method used to estimate cost, which should include quantification of hours,</w:t>
      </w:r>
      <w:r w:rsidRPr="009B35DC">
        <w:rPr>
          <w:rFonts w:eastAsia="Times New Roman" w:cs="Times New Roman"/>
          <w:b/>
          <w:bCs/>
          <w:color w:val="000000"/>
        </w:rPr>
        <w:t xml:space="preserve"> operational expenses (such as equipment, overhead, printing, and support staff), and any other expense that would not have been incurred without this collection of information.</w:t>
      </w:r>
    </w:p>
    <w:p w:rsidR="0019010A" w:rsidP="009B35DC" w14:paraId="00000095" w14:textId="2FCED4E0">
      <w:pPr>
        <w:tabs>
          <w:tab w:val="left" w:pos="-1440"/>
          <w:tab w:val="left" w:pos="-720"/>
          <w:tab w:val="left" w:pos="360"/>
        </w:tabs>
        <w:rPr>
          <w:rFonts w:ascii="Times New Roman" w:eastAsia="Times New Roman" w:hAnsi="Times New Roman" w:cs="Times New Roman"/>
          <w:sz w:val="20"/>
          <w:szCs w:val="20"/>
        </w:rPr>
      </w:pPr>
    </w:p>
    <w:p w:rsidR="0019010A" w14:paraId="00000096" w14:textId="77777777">
      <w:pPr>
        <w:tabs>
          <w:tab w:val="left" w:pos="-1440"/>
          <w:tab w:val="left" w:pos="-720"/>
        </w:tabs>
        <w:rPr>
          <w:rFonts w:ascii="Times New Roman" w:eastAsia="Times New Roman" w:hAnsi="Times New Roman" w:cs="Times New Roman"/>
        </w:rPr>
      </w:pPr>
    </w:p>
    <w:p w:rsidR="0019010A" w14:paraId="00000097" w14:textId="7E4F3970">
      <w:pPr>
        <w:tabs>
          <w:tab w:val="left" w:pos="-1440"/>
          <w:tab w:val="left" w:pos="-720"/>
        </w:tabs>
        <w:rPr>
          <w:rFonts w:ascii="Times New Roman" w:eastAsia="Times New Roman" w:hAnsi="Times New Roman" w:cs="Times New Roman"/>
        </w:rPr>
      </w:pPr>
      <w:r w:rsidRPr="003E5C15">
        <w:rPr>
          <w:rFonts w:ascii="Times New Roman" w:hAnsi="Times New Roman"/>
        </w:rPr>
        <w:t xml:space="preserve">There is no way to anticipate the actual number of participants, </w:t>
      </w:r>
      <w:r>
        <w:rPr>
          <w:rFonts w:ascii="Times New Roman" w:hAnsi="Times New Roman"/>
        </w:rPr>
        <w:t>duration</w:t>
      </w:r>
      <w:r w:rsidRPr="003E5C15">
        <w:rPr>
          <w:rFonts w:ascii="Times New Roman" w:hAnsi="Times New Roman"/>
        </w:rPr>
        <w:t>, a</w:t>
      </w:r>
      <w:r w:rsidRPr="003E5C15">
        <w:rPr>
          <w:rFonts w:ascii="Times New Roman" w:hAnsi="Times New Roman"/>
        </w:rPr>
        <w:t>nd/or mode of data collection to be conducted under this clearance.</w:t>
      </w:r>
      <w:r>
        <w:rPr>
          <w:rFonts w:ascii="Times New Roman" w:hAnsi="Times New Roman"/>
        </w:rPr>
        <w:t xml:space="preserve"> </w:t>
      </w:r>
      <w:r w:rsidRPr="003E5C15">
        <w:rPr>
          <w:rFonts w:ascii="Times New Roman" w:hAnsi="Times New Roman"/>
        </w:rPr>
        <w:t>Thus, it is impossible to estimate in advance the cost to the Federal Government.</w:t>
      </w:r>
      <w:r>
        <w:rPr>
          <w:rFonts w:ascii="Times New Roman" w:hAnsi="Times New Roman"/>
        </w:rPr>
        <w:t xml:space="preserve"> </w:t>
      </w:r>
      <w:r w:rsidRPr="003E5C15">
        <w:rPr>
          <w:rFonts w:ascii="Times New Roman" w:hAnsi="Times New Roman"/>
        </w:rPr>
        <w:t>Costs will be covered by divisions conducting the research from their data collection budgets.</w:t>
      </w:r>
      <w:r>
        <w:rPr>
          <w:rFonts w:ascii="Times New Roman" w:hAnsi="Times New Roman"/>
        </w:rPr>
        <w:t xml:space="preserve"> </w:t>
      </w:r>
      <w:r w:rsidRPr="003E5C15">
        <w:rPr>
          <w:rFonts w:ascii="Times New Roman" w:hAnsi="Times New Roman"/>
        </w:rPr>
        <w:t>We will inc</w:t>
      </w:r>
      <w:r w:rsidRPr="003E5C15">
        <w:rPr>
          <w:rFonts w:ascii="Times New Roman" w:hAnsi="Times New Roman"/>
        </w:rPr>
        <w:t>lude information about costs in the individual submissions.</w:t>
      </w:r>
      <w:r>
        <w:rPr>
          <w:rFonts w:ascii="Times New Roman" w:hAnsi="Times New Roman"/>
        </w:rPr>
        <w:t xml:space="preserve">  </w:t>
      </w:r>
      <w:r w:rsidR="009C00B5">
        <w:rPr>
          <w:rFonts w:ascii="Times New Roman" w:eastAsia="Times New Roman" w:hAnsi="Times New Roman" w:cs="Times New Roman"/>
        </w:rPr>
        <w:t>The annual costs to the Federal Government associated with each specific test will be determined as the individual tests are planned.</w:t>
      </w:r>
    </w:p>
    <w:p w:rsidR="0019010A" w14:paraId="00000098" w14:textId="77777777">
      <w:pPr>
        <w:tabs>
          <w:tab w:val="left" w:pos="-1440"/>
          <w:tab w:val="left" w:pos="-720"/>
        </w:tabs>
        <w:rPr>
          <w:rFonts w:ascii="Times New Roman" w:eastAsia="Times New Roman" w:hAnsi="Times New Roman" w:cs="Times New Roman"/>
          <w:sz w:val="20"/>
          <w:szCs w:val="20"/>
        </w:rPr>
      </w:pPr>
    </w:p>
    <w:p w:rsidR="00A83B48" w:rsidP="009B35DC" w14:paraId="48DA0E8E" w14:textId="77777777">
      <w:pPr>
        <w:tabs>
          <w:tab w:val="left" w:pos="-1440"/>
          <w:tab w:val="left" w:pos="-720"/>
          <w:tab w:val="left" w:pos="360"/>
        </w:tabs>
        <w:rPr>
          <w:rFonts w:ascii="Times New Roman" w:eastAsia="Times New Roman" w:hAnsi="Times New Roman" w:cs="Times New Roman"/>
          <w:b/>
        </w:rPr>
      </w:pPr>
    </w:p>
    <w:p w:rsidR="00A83B48" w:rsidP="009B35DC" w14:paraId="275ED482" w14:textId="77777777">
      <w:pPr>
        <w:tabs>
          <w:tab w:val="left" w:pos="-1440"/>
          <w:tab w:val="left" w:pos="-720"/>
          <w:tab w:val="left" w:pos="360"/>
        </w:tabs>
        <w:rPr>
          <w:rFonts w:ascii="Times New Roman" w:eastAsia="Times New Roman" w:hAnsi="Times New Roman" w:cs="Times New Roman"/>
          <w:b/>
        </w:rPr>
      </w:pPr>
    </w:p>
    <w:p w:rsidR="0019010A" w:rsidRPr="009B35DC" w:rsidP="009B35DC" w14:paraId="00000099" w14:textId="706D2CDC">
      <w:pPr>
        <w:tabs>
          <w:tab w:val="left" w:pos="-1440"/>
          <w:tab w:val="left" w:pos="-720"/>
          <w:tab w:val="left" w:pos="360"/>
        </w:tabs>
        <w:rPr>
          <w:rFonts w:ascii="Times New Roman" w:eastAsia="Times New Roman" w:hAnsi="Times New Roman" w:cs="Times New Roman"/>
          <w:b/>
        </w:rPr>
      </w:pPr>
      <w:r w:rsidRPr="009B35DC">
        <w:rPr>
          <w:rFonts w:ascii="Times New Roman" w:eastAsia="Times New Roman" w:hAnsi="Times New Roman" w:cs="Times New Roman"/>
          <w:b/>
        </w:rPr>
        <w:t>15.</w:t>
      </w:r>
      <w:r w:rsidRPr="009B35DC" w:rsidR="009B35DC">
        <w:rPr>
          <w:rFonts w:ascii="Times New Roman" w:eastAsia="Times New Roman" w:hAnsi="Times New Roman" w:cs="Times New Roman"/>
          <w:b/>
        </w:rPr>
        <w:tab/>
      </w:r>
      <w:r w:rsidRPr="009B35DC" w:rsidR="009B35DC">
        <w:rPr>
          <w:rFonts w:ascii="Times New Roman" w:hAnsi="Times New Roman" w:cs="Times New Roman"/>
          <w:b/>
          <w:bCs/>
          <w:color w:val="000000"/>
        </w:rPr>
        <w:t>Explain the reasons for any program changes or adjustments reported in ROCIS</w:t>
      </w:r>
    </w:p>
    <w:p w:rsidR="0019010A" w14:paraId="0000009A" w14:textId="77777777">
      <w:pPr>
        <w:tabs>
          <w:tab w:val="left" w:pos="-1440"/>
          <w:tab w:val="left" w:pos="-720"/>
        </w:tabs>
        <w:rPr>
          <w:rFonts w:ascii="Times New Roman" w:eastAsia="Times New Roman" w:hAnsi="Times New Roman" w:cs="Times New Roman"/>
        </w:rPr>
      </w:pPr>
    </w:p>
    <w:p w:rsidR="0019010A" w14:paraId="0000009B" w14:textId="77777777">
      <w:pPr>
        <w:tabs>
          <w:tab w:val="left" w:pos="-1440"/>
          <w:tab w:val="left" w:pos="-720"/>
        </w:tabs>
        <w:rPr>
          <w:rFonts w:ascii="Times New Roman" w:eastAsia="Times New Roman" w:hAnsi="Times New Roman" w:cs="Times New Roman"/>
        </w:rPr>
      </w:pPr>
      <w:r>
        <w:rPr>
          <w:rFonts w:ascii="Times New Roman" w:eastAsia="Times New Roman" w:hAnsi="Times New Roman" w:cs="Times New Roman"/>
        </w:rPr>
        <w:t xml:space="preserve">This is a new collection.  </w:t>
      </w:r>
    </w:p>
    <w:p w:rsidR="0019010A" w14:paraId="0000009C" w14:textId="77777777">
      <w:pPr>
        <w:tabs>
          <w:tab w:val="left" w:pos="-1440"/>
          <w:tab w:val="left" w:pos="-720"/>
        </w:tabs>
        <w:rPr>
          <w:rFonts w:ascii="Times New Roman" w:eastAsia="Times New Roman" w:hAnsi="Times New Roman" w:cs="Times New Roman"/>
          <w:sz w:val="20"/>
          <w:szCs w:val="20"/>
        </w:rPr>
      </w:pPr>
    </w:p>
    <w:p w:rsidR="0019010A" w:rsidRPr="0054087E" w:rsidP="0054087E" w14:paraId="0000009D" w14:textId="1BC24430">
      <w:pPr>
        <w:tabs>
          <w:tab w:val="left" w:pos="-1440"/>
          <w:tab w:val="left" w:pos="-720"/>
          <w:tab w:val="left" w:pos="360"/>
        </w:tabs>
        <w:ind w:left="360" w:hanging="360"/>
        <w:rPr>
          <w:rFonts w:ascii="Times New Roman" w:eastAsia="Times New Roman" w:hAnsi="Times New Roman" w:cs="Times New Roman"/>
          <w:sz w:val="20"/>
          <w:szCs w:val="20"/>
        </w:rPr>
      </w:pPr>
      <w:r w:rsidRPr="0054087E">
        <w:rPr>
          <w:rFonts w:ascii="Times New Roman" w:eastAsia="Times New Roman" w:hAnsi="Times New Roman" w:cs="Times New Roman"/>
          <w:b/>
        </w:rPr>
        <w:t>16.</w:t>
      </w:r>
      <w:r w:rsidRPr="0054087E" w:rsidR="009B35DC">
        <w:rPr>
          <w:rFonts w:ascii="Times New Roman" w:eastAsia="Times New Roman" w:hAnsi="Times New Roman" w:cs="Times New Roman"/>
          <w:b/>
        </w:rPr>
        <w:tab/>
      </w:r>
      <w:r w:rsidRPr="0054087E" w:rsidR="0054087E">
        <w:rPr>
          <w:rFonts w:ascii="Times New Roman" w:hAnsi="Times New Roman" w:cs="Times New Roman"/>
          <w:b/>
          <w:bCs/>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9010A" w14:paraId="0000009E" w14:textId="77777777">
      <w:pPr>
        <w:tabs>
          <w:tab w:val="left" w:pos="-1440"/>
          <w:tab w:val="left" w:pos="-720"/>
        </w:tabs>
        <w:rPr>
          <w:rFonts w:ascii="Times New Roman" w:eastAsia="Times New Roman" w:hAnsi="Times New Roman" w:cs="Times New Roman"/>
          <w:sz w:val="20"/>
          <w:szCs w:val="20"/>
        </w:rPr>
      </w:pPr>
    </w:p>
    <w:p w:rsidR="0019010A" w14:paraId="0000009F" w14:textId="0EA30E1F">
      <w:pPr>
        <w:pBdr>
          <w:top w:val="nil"/>
          <w:left w:val="nil"/>
          <w:bottom w:val="nil"/>
          <w:right w:val="nil"/>
          <w:between w:val="nil"/>
        </w:pBdr>
        <w:ind w:right="130"/>
        <w:rPr>
          <w:rFonts w:ascii="Times New Roman" w:eastAsia="Times New Roman" w:hAnsi="Times New Roman" w:cs="Times New Roman"/>
          <w:color w:val="000000"/>
        </w:rPr>
      </w:pPr>
      <w:r>
        <w:rPr>
          <w:rFonts w:ascii="Times New Roman" w:eastAsia="Times New Roman" w:hAnsi="Times New Roman" w:cs="Times New Roman"/>
          <w:color w:val="000000"/>
        </w:rPr>
        <w:t>Data from these studies may support research and analyses to be presented</w:t>
      </w:r>
      <w:r>
        <w:rPr>
          <w:rFonts w:ascii="Times New Roman" w:eastAsia="Times New Roman" w:hAnsi="Times New Roman" w:cs="Times New Roman"/>
          <w:color w:val="000000"/>
        </w:rPr>
        <w:t xml:space="preserve"> at appropriate professional meetings (e.g.</w:t>
      </w:r>
      <w:r w:rsidR="0084407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American Fisheries Society, Joint Statistical Meetings) and may be submitted for publication in appropriate statistical or fisheries peer-reviewed journals.  Agency reports will be made available on the program </w:t>
      </w:r>
      <w:r>
        <w:rPr>
          <w:rFonts w:ascii="Times New Roman" w:eastAsia="Times New Roman" w:hAnsi="Times New Roman" w:cs="Times New Roman"/>
          <w:color w:val="000000"/>
        </w:rPr>
        <w:t xml:space="preserve">website.  </w:t>
      </w:r>
    </w:p>
    <w:p w:rsidR="0019010A" w14:paraId="000000A0" w14:textId="77777777">
      <w:pPr>
        <w:tabs>
          <w:tab w:val="left" w:pos="-1440"/>
          <w:tab w:val="left" w:pos="-720"/>
        </w:tabs>
        <w:rPr>
          <w:rFonts w:ascii="Times New Roman" w:eastAsia="Times New Roman" w:hAnsi="Times New Roman" w:cs="Times New Roman"/>
          <w:sz w:val="20"/>
          <w:szCs w:val="20"/>
        </w:rPr>
      </w:pPr>
    </w:p>
    <w:p w:rsidR="0019010A" w:rsidP="0054087E" w14:paraId="000000A1" w14:textId="3BF4EEB7">
      <w:pPr>
        <w:tabs>
          <w:tab w:val="left" w:pos="-1440"/>
          <w:tab w:val="left" w:pos="-720"/>
          <w:tab w:val="left" w:pos="360"/>
        </w:tabs>
        <w:ind w:left="360" w:hanging="360"/>
        <w:rPr>
          <w:rFonts w:ascii="Times New Roman" w:eastAsia="Times New Roman" w:hAnsi="Times New Roman" w:cs="Times New Roman"/>
          <w:b/>
        </w:rPr>
      </w:pPr>
      <w:r>
        <w:rPr>
          <w:rFonts w:ascii="Times New Roman" w:eastAsia="Times New Roman" w:hAnsi="Times New Roman" w:cs="Times New Roman"/>
          <w:b/>
        </w:rPr>
        <w:t>17.</w:t>
      </w:r>
      <w:r w:rsidR="0054087E">
        <w:rPr>
          <w:rFonts w:ascii="Times New Roman" w:eastAsia="Times New Roman" w:hAnsi="Times New Roman" w:cs="Times New Roman"/>
          <w:b/>
        </w:rPr>
        <w:tab/>
      </w:r>
      <w:r>
        <w:rPr>
          <w:rFonts w:ascii="Times New Roman" w:eastAsia="Times New Roman" w:hAnsi="Times New Roman" w:cs="Times New Roman"/>
          <w:b/>
        </w:rPr>
        <w:t xml:space="preserve">If seeking approval to not display the expiration date for OMB approval of the information collection, explain the reasons why display would be inappropriate. </w:t>
      </w:r>
    </w:p>
    <w:p w:rsidR="00844078" w:rsidRPr="00844078" w:rsidP="00844078" w14:paraId="0076988D" w14:textId="3E639DA1">
      <w:pPr>
        <w:widowControl/>
        <w:autoSpaceDE/>
        <w:autoSpaceDN/>
        <w:adjustRightInd/>
        <w:spacing w:before="161"/>
        <w:rPr>
          <w:rFonts w:ascii="Times New Roman" w:eastAsia="Times New Roman" w:hAnsi="Times New Roman" w:cs="Times New Roman"/>
        </w:rPr>
      </w:pPr>
      <w:r w:rsidRPr="00844078">
        <w:rPr>
          <w:rFonts w:ascii="Times New Roman" w:eastAsia="Times New Roman" w:hAnsi="Times New Roman" w:cs="Times New Roman"/>
          <w:iCs/>
        </w:rPr>
        <w:t>The agency plans to display the expiration date for OMB approval of the informat</w:t>
      </w:r>
      <w:r w:rsidRPr="00844078">
        <w:rPr>
          <w:rFonts w:ascii="Times New Roman" w:eastAsia="Times New Roman" w:hAnsi="Times New Roman" w:cs="Times New Roman"/>
          <w:iCs/>
        </w:rPr>
        <w:t>ion collection on all instruments.</w:t>
      </w:r>
    </w:p>
    <w:p w:rsidR="0019010A" w14:paraId="000000A4" w14:textId="77777777">
      <w:pPr>
        <w:tabs>
          <w:tab w:val="left" w:pos="-1440"/>
          <w:tab w:val="left" w:pos="-720"/>
        </w:tabs>
        <w:rPr>
          <w:rFonts w:ascii="Times New Roman" w:eastAsia="Times New Roman" w:hAnsi="Times New Roman" w:cs="Times New Roman"/>
          <w:b/>
        </w:rPr>
      </w:pPr>
    </w:p>
    <w:p w:rsidR="0019010A" w:rsidP="0054087E" w14:paraId="000000A5" w14:textId="6DB5D55A">
      <w:pPr>
        <w:tabs>
          <w:tab w:val="left" w:pos="-1440"/>
          <w:tab w:val="left" w:pos="-720"/>
          <w:tab w:val="left" w:pos="360"/>
        </w:tabs>
        <w:rPr>
          <w:rFonts w:ascii="Times New Roman" w:eastAsia="Times New Roman" w:hAnsi="Times New Roman" w:cs="Times New Roman"/>
          <w:b/>
        </w:rPr>
      </w:pPr>
      <w:r>
        <w:rPr>
          <w:rFonts w:ascii="Times New Roman" w:eastAsia="Times New Roman" w:hAnsi="Times New Roman" w:cs="Times New Roman"/>
          <w:b/>
        </w:rPr>
        <w:t>18.</w:t>
      </w:r>
      <w:r w:rsidR="0054087E">
        <w:rPr>
          <w:rFonts w:ascii="Times New Roman" w:eastAsia="Times New Roman" w:hAnsi="Times New Roman" w:cs="Times New Roman"/>
          <w:b/>
        </w:rPr>
        <w:tab/>
      </w:r>
      <w:r>
        <w:rPr>
          <w:rFonts w:ascii="Times New Roman" w:eastAsia="Times New Roman" w:hAnsi="Times New Roman" w:cs="Times New Roman"/>
          <w:b/>
        </w:rPr>
        <w:t xml:space="preserve">Explain each exception to the certification statement. </w:t>
      </w:r>
    </w:p>
    <w:p w:rsidR="0019010A" w14:paraId="000000A6" w14:textId="77777777">
      <w:pPr>
        <w:tabs>
          <w:tab w:val="left" w:pos="-1440"/>
          <w:tab w:val="left" w:pos="-720"/>
        </w:tabs>
        <w:rPr>
          <w:rFonts w:ascii="Times New Roman" w:eastAsia="Times New Roman" w:hAnsi="Times New Roman" w:cs="Times New Roman"/>
          <w:b/>
        </w:rPr>
      </w:pPr>
    </w:p>
    <w:p w:rsidR="0019010A" w:rsidRPr="00844078" w:rsidP="00954C0C" w14:paraId="000000A8" w14:textId="43369C5F">
      <w:pPr>
        <w:tabs>
          <w:tab w:val="left" w:pos="-1440"/>
          <w:tab w:val="left" w:pos="-720"/>
        </w:tabs>
        <w:jc w:val="both"/>
        <w:rPr>
          <w:rFonts w:ascii="Times New Roman" w:eastAsia="Times New Roman" w:hAnsi="Times New Roman" w:cs="Times New Roman"/>
        </w:rPr>
      </w:pPr>
      <w:r w:rsidRPr="00844078">
        <w:rPr>
          <w:rFonts w:ascii="Times New Roman" w:hAnsi="Times New Roman" w:cs="Times New Roman"/>
          <w:color w:val="000000"/>
        </w:rPr>
        <w:t xml:space="preserve">The agency certifies compliance with </w:t>
      </w:r>
      <w:hyperlink r:id="rId8" w:history="1">
        <w:r w:rsidRPr="00844078">
          <w:rPr>
            <w:rStyle w:val="Hyperlink"/>
            <w:rFonts w:ascii="Times New Roman" w:hAnsi="Times New Roman" w:cs="Times New Roman"/>
            <w:color w:val="0563C1"/>
          </w:rPr>
          <w:t xml:space="preserve">5 CFR 1320.9 </w:t>
        </w:r>
      </w:hyperlink>
      <w:r w:rsidRPr="00844078">
        <w:rPr>
          <w:rFonts w:ascii="Times New Roman" w:hAnsi="Times New Roman" w:cs="Times New Roman"/>
          <w:color w:val="000000"/>
        </w:rPr>
        <w:t xml:space="preserve">and the related provisions of </w:t>
      </w:r>
      <w:hyperlink r:id="rId9" w:history="1">
        <w:r w:rsidRPr="00844078">
          <w:rPr>
            <w:rStyle w:val="Hyperlink"/>
            <w:rFonts w:ascii="Times New Roman" w:hAnsi="Times New Roman" w:cs="Times New Roman"/>
            <w:color w:val="0563C1"/>
          </w:rPr>
          <w:t>5 CFR</w:t>
        </w:r>
      </w:hyperlink>
      <w:r w:rsidRPr="00844078">
        <w:rPr>
          <w:rFonts w:ascii="Times New Roman" w:hAnsi="Times New Roman" w:cs="Times New Roman"/>
          <w:color w:val="0563C1"/>
        </w:rPr>
        <w:t xml:space="preserve"> </w:t>
      </w:r>
      <w:hyperlink r:id="rId9" w:history="1">
        <w:r w:rsidRPr="00844078">
          <w:rPr>
            <w:rStyle w:val="Hyperlink"/>
            <w:rFonts w:ascii="Times New Roman" w:hAnsi="Times New Roman" w:cs="Times New Roman"/>
            <w:color w:val="0563C1"/>
          </w:rPr>
          <w:t>1320.8(b)(</w:t>
        </w:r>
        <w:r w:rsidRPr="00844078">
          <w:rPr>
            <w:rStyle w:val="Hyperlink"/>
            <w:rFonts w:ascii="Times New Roman" w:hAnsi="Times New Roman" w:cs="Times New Roman"/>
            <w:color w:val="0563C1"/>
          </w:rPr>
          <w:t>3)</w:t>
        </w:r>
      </w:hyperlink>
      <w:r w:rsidRPr="00844078" w:rsidR="009C00B5">
        <w:rPr>
          <w:rFonts w:ascii="Times New Roman" w:eastAsia="Times New Roman" w:hAnsi="Times New Roman" w:cs="Times New Roman"/>
          <w:b/>
        </w:rPr>
        <w:t> </w:t>
      </w:r>
    </w:p>
    <w:sectPr w:rsidSect="007A32B3">
      <w:pgSz w:w="12240" w:h="15840" w:code="1"/>
      <w:pgMar w:top="1440" w:right="1080" w:bottom="1440" w:left="1080" w:header="432" w:footer="288"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roid Sans Mono">
    <w:altName w:val="Segoe UI"/>
    <w:charset w:val="00"/>
    <w:family w:val="auto"/>
    <w:pitch w:val="default"/>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010A" w14:paraId="000000AA" w14:textId="77777777">
    <w:pPr>
      <w:widowControl/>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2"/>
        <w:szCs w:val="2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F17E71"/>
    <w:multiLevelType w:val="multilevel"/>
    <w:tmpl w:val="46688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8B6ECB"/>
    <w:multiLevelType w:val="multilevel"/>
    <w:tmpl w:val="466882B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381B1D15"/>
    <w:multiLevelType w:val="multilevel"/>
    <w:tmpl w:val="2252EA8A"/>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4AD8781A"/>
    <w:multiLevelType w:val="multilevel"/>
    <w:tmpl w:val="2252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764B45"/>
    <w:multiLevelType w:val="multilevel"/>
    <w:tmpl w:val="5300A620"/>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10A"/>
    <w:rsid w:val="000338BA"/>
    <w:rsid w:val="000560A4"/>
    <w:rsid w:val="00095594"/>
    <w:rsid w:val="00152469"/>
    <w:rsid w:val="0019010A"/>
    <w:rsid w:val="00194D92"/>
    <w:rsid w:val="002B02BE"/>
    <w:rsid w:val="00332BCE"/>
    <w:rsid w:val="00342FB5"/>
    <w:rsid w:val="00350DA6"/>
    <w:rsid w:val="003E5C15"/>
    <w:rsid w:val="00400B71"/>
    <w:rsid w:val="00403B85"/>
    <w:rsid w:val="00436D4E"/>
    <w:rsid w:val="0046166D"/>
    <w:rsid w:val="0054087E"/>
    <w:rsid w:val="00550288"/>
    <w:rsid w:val="0066101D"/>
    <w:rsid w:val="00680C16"/>
    <w:rsid w:val="006B0F39"/>
    <w:rsid w:val="006F07E4"/>
    <w:rsid w:val="00750160"/>
    <w:rsid w:val="0077201B"/>
    <w:rsid w:val="00793955"/>
    <w:rsid w:val="00797A72"/>
    <w:rsid w:val="007A32B3"/>
    <w:rsid w:val="00821C7D"/>
    <w:rsid w:val="00844078"/>
    <w:rsid w:val="00861280"/>
    <w:rsid w:val="00887B31"/>
    <w:rsid w:val="00894070"/>
    <w:rsid w:val="009100CD"/>
    <w:rsid w:val="00926AB5"/>
    <w:rsid w:val="00930C26"/>
    <w:rsid w:val="00954C0C"/>
    <w:rsid w:val="009602B7"/>
    <w:rsid w:val="009B35DC"/>
    <w:rsid w:val="009C00B5"/>
    <w:rsid w:val="009C2B29"/>
    <w:rsid w:val="00A10445"/>
    <w:rsid w:val="00A83B48"/>
    <w:rsid w:val="00B0528A"/>
    <w:rsid w:val="00BD0500"/>
    <w:rsid w:val="00D434F9"/>
    <w:rsid w:val="00DF4A29"/>
    <w:rsid w:val="00E15EF2"/>
    <w:rsid w:val="00F07EBF"/>
    <w:rsid w:val="00FB4E68"/>
    <w:rsid w:val="00FC57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C70C66"/>
  <w15:docId w15:val="{DCCD110F-3DFD-4870-B2FD-47E9E5C9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roid Sans Mono" w:eastAsia="Droid Sans Mono" w:hAnsi="Droid Sans Mono" w:cs="Droid Sans Mono"/>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C87"/>
    <w:pPr>
      <w:autoSpaceDE w:val="0"/>
      <w:autoSpaceDN w:val="0"/>
      <w:adjustRightInd w:val="0"/>
    </w:pPr>
    <w:rPr>
      <w:rFonts w:ascii="Lucida Console" w:hAnsi="Lucida Console"/>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uiPriority w:val="99"/>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Pr>
      <w:color w:val="0000FF"/>
      <w:u w:val="single"/>
    </w:rPr>
  </w:style>
  <w:style w:type="paragraph" w:customStyle="1" w:styleId="Default">
    <w:name w:val="Default"/>
    <w:pPr>
      <w:autoSpaceDE w:val="0"/>
      <w:autoSpaceDN w:val="0"/>
      <w:adjustRightInd w:val="0"/>
    </w:pPr>
    <w:rPr>
      <w:rFonts w:ascii="New Century Schlbk" w:hAnsi="New Century Schlbk" w:cs="New Century Schlbk"/>
      <w:color w:val="000000"/>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100" w:afterLines="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E328FD"/>
    <w:pPr>
      <w:ind w:left="720"/>
      <w:contextualSpacing/>
    </w:pPr>
  </w:style>
  <w:style w:type="table" w:styleId="TableGrid">
    <w:name w:val="Table Grid"/>
    <w:basedOn w:val="TableNormal"/>
    <w:uiPriority w:val="59"/>
    <w:rsid w:val="00E3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1EA9"/>
    <w:rPr>
      <w:color w:val="605E5C"/>
      <w:shd w:val="clear" w:color="auto" w:fill="E1DFDD"/>
    </w:rPr>
  </w:style>
  <w:style w:type="paragraph" w:styleId="Revision">
    <w:name w:val="Revision"/>
    <w:hidden/>
    <w:uiPriority w:val="99"/>
    <w:semiHidden/>
    <w:rsid w:val="0018402D"/>
    <w:rPr>
      <w:rFonts w:ascii="Lucida Console" w:hAnsi="Lucida Console"/>
    </w:rPr>
  </w:style>
  <w:style w:type="character" w:styleId="FollowedHyperlink">
    <w:name w:val="FollowedHyperlink"/>
    <w:basedOn w:val="DefaultParagraphFont"/>
    <w:semiHidden/>
    <w:unhideWhenUsed/>
    <w:rsid w:val="00FA033E"/>
    <w:rPr>
      <w:color w:val="800080" w:themeColor="followedHyperlink"/>
      <w:u w:val="single"/>
    </w:rPr>
  </w:style>
  <w:style w:type="paragraph" w:customStyle="1" w:styleId="CM23">
    <w:name w:val="CM23"/>
    <w:basedOn w:val="Default"/>
    <w:next w:val="Default"/>
    <w:uiPriority w:val="99"/>
    <w:rsid w:val="000F092E"/>
    <w:pPr>
      <w:spacing w:after="275"/>
    </w:pPr>
    <w:rPr>
      <w:rFonts w:ascii="Times New Roman" w:hAnsi="Times New Roman" w:cs="Times New Roman"/>
      <w:color w:val="aut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FC5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recreational-fishing-data/recreational-fishing-survey-and-data-standards" TargetMode="External" /><Relationship Id="rId6" Type="http://schemas.openxmlformats.org/officeDocument/2006/relationships/hyperlink" Target="https://www.bls.gov/news.release/ecec.t02.htm" TargetMode="External" /><Relationship Id="rId7" Type="http://schemas.openxmlformats.org/officeDocument/2006/relationships/footer" Target="footer1.xm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rvSLcgE7LYUD7uHLaE6PwS56Q==">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3442</Words>
  <Characters>19622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Edith.McArthur</dc:creator>
  <cp:lastModifiedBy>Adrienne.Thomas</cp:lastModifiedBy>
  <cp:revision>3</cp:revision>
  <dcterms:created xsi:type="dcterms:W3CDTF">2024-06-21T16:33:00Z</dcterms:created>
  <dcterms:modified xsi:type="dcterms:W3CDTF">2024-06-21T16:40:00Z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