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11284">
      <w:pPr>
        <w:pStyle w:val="Heading1"/>
        <w:ind w:left="0"/>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SUPPORTING STATEMENT</w:t>
      </w:r>
    </w:p>
    <w:p w:rsidR="00E11284">
      <w:pPr>
        <w:spacing w:before="22" w:line="259" w:lineRule="auto"/>
        <w:ind w:firstLine="14"/>
        <w:jc w:val="center"/>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b/>
          <w:sz w:val="24"/>
          <w:szCs w:val="24"/>
        </w:rPr>
        <w:t>U.S. Department of Commerce</w:t>
      </w:r>
    </w:p>
    <w:p w:rsidR="00E11284">
      <w:pPr>
        <w:spacing w:before="22" w:line="259" w:lineRule="auto"/>
        <w:ind w:firstLine="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Oceanic &amp; Atmospheric Administration</w:t>
      </w:r>
    </w:p>
    <w:p w:rsidR="0080342C" w:rsidRPr="0080342C">
      <w:pPr>
        <w:spacing w:line="259" w:lineRule="auto"/>
        <w:ind w:hanging="6"/>
        <w:jc w:val="center"/>
        <w:rPr>
          <w:rFonts w:ascii="Times New Roman" w:hAnsi="Times New Roman" w:cs="Times New Roman"/>
          <w:b/>
          <w:color w:val="000000"/>
          <w:sz w:val="24"/>
          <w:szCs w:val="20"/>
          <w:shd w:val="clear" w:color="auto" w:fill="FFFFFF"/>
        </w:rPr>
      </w:pPr>
      <w:r w:rsidRPr="0080342C">
        <w:rPr>
          <w:rFonts w:ascii="Times New Roman" w:hAnsi="Times New Roman" w:cs="Times New Roman"/>
          <w:b/>
          <w:color w:val="000000"/>
          <w:sz w:val="24"/>
          <w:szCs w:val="20"/>
          <w:shd w:val="clear" w:color="auto" w:fill="FFFFFF"/>
        </w:rPr>
        <w:t>Survey to Collect Economic Data from Recreational Anglers along the Atlantic Coast</w:t>
      </w:r>
    </w:p>
    <w:p w:rsidR="00E11284">
      <w:pPr>
        <w:spacing w:line="259" w:lineRule="auto"/>
        <w:ind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OMB Control No. 0648-0783</w:t>
      </w:r>
    </w:p>
    <w:p w:rsidR="00E11284">
      <w:pPr>
        <w:pBdr>
          <w:top w:val="nil"/>
          <w:left w:val="nil"/>
          <w:bottom w:val="nil"/>
          <w:right w:val="nil"/>
          <w:between w:val="nil"/>
        </w:pBdr>
        <w:spacing w:before="1"/>
        <w:jc w:val="center"/>
        <w:rPr>
          <w:rFonts w:ascii="Times New Roman" w:eastAsia="Times New Roman" w:hAnsi="Times New Roman" w:cs="Times New Roman"/>
          <w:b/>
          <w:color w:val="000000"/>
          <w:sz w:val="24"/>
          <w:szCs w:val="24"/>
        </w:rPr>
      </w:pPr>
    </w:p>
    <w:p w:rsidR="00E11284">
      <w:pPr>
        <w:pStyle w:val="Heading1"/>
        <w:spacing w:before="199"/>
        <w:ind w:left="0"/>
        <w:rPr>
          <w:rFonts w:ascii="Times New Roman" w:eastAsia="Times New Roman" w:hAnsi="Times New Roman" w:cs="Times New Roman"/>
        </w:rPr>
      </w:pPr>
      <w:r>
        <w:rPr>
          <w:rFonts w:ascii="Times New Roman" w:eastAsia="Times New Roman" w:hAnsi="Times New Roman" w:cs="Times New Roman"/>
        </w:rPr>
        <w:t>Abstract</w:t>
      </w:r>
    </w:p>
    <w:p w:rsidR="00E11284">
      <w:pPr>
        <w:rPr>
          <w:rFonts w:ascii="Times New Roman" w:eastAsia="Times New Roman" w:hAnsi="Times New Roman" w:cs="Times New Roman"/>
          <w:sz w:val="24"/>
          <w:szCs w:val="24"/>
        </w:rPr>
      </w:pPr>
    </w:p>
    <w:p w:rsidR="00820A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request is for a revision </w:t>
      </w:r>
      <w:r w:rsidR="00B275B3">
        <w:rPr>
          <w:rFonts w:ascii="Times New Roman" w:eastAsia="Times New Roman" w:hAnsi="Times New Roman" w:cs="Times New Roman"/>
          <w:sz w:val="24"/>
          <w:szCs w:val="24"/>
        </w:rPr>
        <w:t xml:space="preserve">and extension </w:t>
      </w:r>
      <w:r>
        <w:rPr>
          <w:rFonts w:ascii="Times New Roman" w:eastAsia="Times New Roman" w:hAnsi="Times New Roman" w:cs="Times New Roman"/>
          <w:sz w:val="24"/>
          <w:szCs w:val="24"/>
        </w:rPr>
        <w:t xml:space="preserve">to a currently approved information collection. </w:t>
      </w:r>
      <w:r w:rsidRPr="00987167">
        <w:rPr>
          <w:rFonts w:ascii="Times New Roman" w:hAnsi="Times New Roman" w:cs="Times New Roman"/>
          <w:sz w:val="24"/>
          <w:szCs w:val="24"/>
        </w:rPr>
        <w:t xml:space="preserve">The </w:t>
      </w:r>
      <w:r>
        <w:rPr>
          <w:rFonts w:ascii="Times New Roman" w:hAnsi="Times New Roman" w:cs="Times New Roman"/>
          <w:sz w:val="24"/>
          <w:szCs w:val="24"/>
        </w:rPr>
        <w:t>first</w:t>
      </w:r>
      <w:r w:rsidRPr="00987167">
        <w:rPr>
          <w:rFonts w:ascii="Times New Roman" w:hAnsi="Times New Roman" w:cs="Times New Roman"/>
          <w:sz w:val="24"/>
          <w:szCs w:val="24"/>
        </w:rPr>
        <w:t xml:space="preserve"> data collection effort in 2019 under OMB Control Number 0648–0783 was to assess how changes in saltwater recreational fishing regulations affect angler effort, angler welfare, fishing mortality, and future stock levels. That data collection effort focused</w:t>
      </w:r>
      <w:r w:rsidRPr="00987167">
        <w:rPr>
          <w:rFonts w:ascii="Times New Roman" w:hAnsi="Times New Roman" w:cs="Times New Roman"/>
          <w:sz w:val="24"/>
          <w:szCs w:val="24"/>
        </w:rPr>
        <w:t xml:space="preserve"> on anglers who fished for Atlantic cod and haddock off the Atlantic coast from Maine to Massachusetts (North Atlantic Recreational Fishing Survey I). In 2020, the collection was revised to remove the cod and haddock survey and add a survey focused on angl</w:t>
      </w:r>
      <w:r w:rsidRPr="00987167">
        <w:rPr>
          <w:rFonts w:ascii="Times New Roman" w:hAnsi="Times New Roman" w:cs="Times New Roman"/>
          <w:sz w:val="24"/>
          <w:szCs w:val="24"/>
        </w:rPr>
        <w:t>ers who fish for summer flounder</w:t>
      </w:r>
      <w:r w:rsidR="008A4117">
        <w:rPr>
          <w:rFonts w:ascii="Times New Roman" w:hAnsi="Times New Roman" w:cs="Times New Roman"/>
          <w:sz w:val="24"/>
          <w:szCs w:val="24"/>
        </w:rPr>
        <w:t>,</w:t>
      </w:r>
      <w:r w:rsidRPr="00987167">
        <w:rPr>
          <w:rFonts w:ascii="Times New Roman" w:hAnsi="Times New Roman" w:cs="Times New Roman"/>
          <w:sz w:val="24"/>
          <w:szCs w:val="24"/>
        </w:rPr>
        <w:t xml:space="preserve"> black sea bass</w:t>
      </w:r>
      <w:r w:rsidR="008A4117">
        <w:rPr>
          <w:rFonts w:ascii="Times New Roman" w:hAnsi="Times New Roman" w:cs="Times New Roman"/>
          <w:sz w:val="24"/>
          <w:szCs w:val="24"/>
        </w:rPr>
        <w:t>, and scup</w:t>
      </w:r>
      <w:r w:rsidRPr="00987167">
        <w:rPr>
          <w:rFonts w:ascii="Times New Roman" w:hAnsi="Times New Roman" w:cs="Times New Roman"/>
          <w:sz w:val="24"/>
          <w:szCs w:val="24"/>
        </w:rPr>
        <w:t xml:space="preserve"> along the Atlantic coast from Massachusetts to North Carolina (North Atlantic Recreational Fishing Survey II). </w:t>
      </w:r>
      <w:r>
        <w:rPr>
          <w:rFonts w:ascii="Times New Roman" w:hAnsi="Times New Roman" w:cs="Times New Roman"/>
          <w:sz w:val="24"/>
          <w:szCs w:val="24"/>
        </w:rPr>
        <w:t>In 2022, the collection was revised again to re-add the original cod and haddock surve</w:t>
      </w:r>
      <w:r>
        <w:rPr>
          <w:rFonts w:ascii="Times New Roman" w:hAnsi="Times New Roman" w:cs="Times New Roman"/>
          <w:sz w:val="24"/>
          <w:szCs w:val="24"/>
        </w:rPr>
        <w:t>y back to this control</w:t>
      </w:r>
      <w:r>
        <w:rPr>
          <w:rFonts w:ascii="Times New Roman" w:eastAsia="Times New Roman" w:hAnsi="Times New Roman" w:cs="Times New Roman"/>
          <w:sz w:val="24"/>
          <w:szCs w:val="24"/>
        </w:rPr>
        <w:t xml:space="preserve"> number (North Atlantic Recreational Fishing Survey III). This revision will </w:t>
      </w:r>
      <w:r w:rsidR="00F71EF8">
        <w:rPr>
          <w:rFonts w:ascii="Times New Roman" w:eastAsia="Times New Roman" w:hAnsi="Times New Roman" w:cs="Times New Roman"/>
          <w:sz w:val="24"/>
          <w:szCs w:val="24"/>
        </w:rPr>
        <w:t>re-add the survey focused on summer flounder</w:t>
      </w:r>
      <w:r w:rsidR="008A4117">
        <w:rPr>
          <w:rFonts w:ascii="Times New Roman" w:eastAsia="Times New Roman" w:hAnsi="Times New Roman" w:cs="Times New Roman"/>
          <w:sz w:val="24"/>
          <w:szCs w:val="24"/>
        </w:rPr>
        <w:t>,</w:t>
      </w:r>
      <w:r w:rsidR="00F71EF8">
        <w:rPr>
          <w:rFonts w:ascii="Times New Roman" w:eastAsia="Times New Roman" w:hAnsi="Times New Roman" w:cs="Times New Roman"/>
          <w:sz w:val="24"/>
          <w:szCs w:val="24"/>
        </w:rPr>
        <w:t xml:space="preserve"> black sea bass</w:t>
      </w:r>
      <w:r w:rsidR="008A4117">
        <w:rPr>
          <w:rFonts w:ascii="Times New Roman" w:eastAsia="Times New Roman" w:hAnsi="Times New Roman" w:cs="Times New Roman"/>
          <w:sz w:val="24"/>
          <w:szCs w:val="24"/>
        </w:rPr>
        <w:t>, and scup</w:t>
      </w:r>
      <w:r w:rsidR="00F71EF8">
        <w:rPr>
          <w:rFonts w:ascii="Times New Roman" w:eastAsia="Times New Roman" w:hAnsi="Times New Roman" w:cs="Times New Roman"/>
          <w:sz w:val="24"/>
          <w:szCs w:val="24"/>
        </w:rPr>
        <w:t xml:space="preserve"> (North Atlantic Recreational Fishing Survey IV)</w:t>
      </w:r>
      <w:r w:rsidR="00B275B3">
        <w:rPr>
          <w:rFonts w:ascii="Times New Roman" w:eastAsia="Times New Roman" w:hAnsi="Times New Roman" w:cs="Times New Roman"/>
          <w:sz w:val="24"/>
          <w:szCs w:val="24"/>
        </w:rPr>
        <w:t xml:space="preserve"> that was inadvertently removed in the last revision</w:t>
      </w:r>
      <w:r w:rsidR="00F71E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20A47">
      <w:pPr>
        <w:rPr>
          <w:rFonts w:ascii="Times New Roman" w:eastAsia="Times New Roman" w:hAnsi="Times New Roman" w:cs="Times New Roman"/>
          <w:sz w:val="24"/>
          <w:szCs w:val="24"/>
        </w:rPr>
      </w:pPr>
    </w:p>
    <w:p w:rsidR="00F71EF8" w:rsidRPr="00B5181F" w:rsidP="00F71EF8">
      <w:pPr>
        <w:contextualSpacing/>
        <w:rPr>
          <w:rFonts w:ascii="Times New Roman" w:hAnsi="Times New Roman" w:cs="Times New Roman"/>
          <w:sz w:val="24"/>
          <w:szCs w:val="24"/>
        </w:rPr>
      </w:pPr>
      <w:r w:rsidRPr="00B5181F">
        <w:rPr>
          <w:rFonts w:ascii="Times New Roman" w:hAnsi="Times New Roman" w:cs="Times New Roman"/>
          <w:sz w:val="24"/>
          <w:szCs w:val="24"/>
        </w:rPr>
        <w:t>The objective of th</w:t>
      </w:r>
      <w:r w:rsidR="00B275B3">
        <w:rPr>
          <w:rFonts w:ascii="Times New Roman" w:hAnsi="Times New Roman" w:cs="Times New Roman"/>
          <w:sz w:val="24"/>
          <w:szCs w:val="24"/>
        </w:rPr>
        <w:t>ese</w:t>
      </w:r>
      <w:r w:rsidRPr="00B5181F">
        <w:rPr>
          <w:rFonts w:ascii="Times New Roman" w:hAnsi="Times New Roman" w:cs="Times New Roman"/>
          <w:sz w:val="24"/>
          <w:szCs w:val="24"/>
        </w:rPr>
        <w:t xml:space="preserve"> survey</w:t>
      </w:r>
      <w:r w:rsidR="00B275B3">
        <w:rPr>
          <w:rFonts w:ascii="Times New Roman" w:hAnsi="Times New Roman" w:cs="Times New Roman"/>
          <w:sz w:val="24"/>
          <w:szCs w:val="24"/>
        </w:rPr>
        <w:t>s</w:t>
      </w:r>
      <w:r w:rsidRPr="00B5181F">
        <w:rPr>
          <w:rFonts w:ascii="Times New Roman" w:hAnsi="Times New Roman" w:cs="Times New Roman"/>
          <w:sz w:val="24"/>
          <w:szCs w:val="24"/>
        </w:rPr>
        <w:t xml:space="preserve"> will </w:t>
      </w:r>
      <w:r>
        <w:rPr>
          <w:rFonts w:ascii="Times New Roman" w:hAnsi="Times New Roman" w:cs="Times New Roman"/>
          <w:sz w:val="24"/>
          <w:szCs w:val="24"/>
        </w:rPr>
        <w:t xml:space="preserve">remain </w:t>
      </w:r>
      <w:r w:rsidR="00463A7E">
        <w:rPr>
          <w:rFonts w:ascii="Times New Roman" w:hAnsi="Times New Roman" w:cs="Times New Roman"/>
          <w:sz w:val="24"/>
          <w:szCs w:val="24"/>
        </w:rPr>
        <w:t xml:space="preserve">exactly </w:t>
      </w:r>
      <w:r>
        <w:rPr>
          <w:rFonts w:ascii="Times New Roman" w:hAnsi="Times New Roman" w:cs="Times New Roman"/>
          <w:sz w:val="24"/>
          <w:szCs w:val="24"/>
        </w:rPr>
        <w:t xml:space="preserve">the same as the previous surveys conducted under this control number. That is, </w:t>
      </w:r>
      <w:r w:rsidRPr="00B5181F">
        <w:rPr>
          <w:rFonts w:ascii="Times New Roman" w:hAnsi="Times New Roman" w:cs="Times New Roman"/>
          <w:sz w:val="24"/>
          <w:szCs w:val="24"/>
        </w:rPr>
        <w:t xml:space="preserve">to </w:t>
      </w:r>
      <w:r w:rsidR="00463A7E">
        <w:rPr>
          <w:rFonts w:ascii="Times New Roman" w:hAnsi="Times New Roman" w:cs="Times New Roman"/>
          <w:sz w:val="24"/>
          <w:szCs w:val="24"/>
        </w:rPr>
        <w:t xml:space="preserve">statistically assess how anglers respond to changes in management options and fishing regulations (e.g., bag limits, size limits, dates of open seasons, etc.). </w:t>
      </w:r>
      <w:r w:rsidRPr="00B5181F">
        <w:rPr>
          <w:rFonts w:ascii="Times New Roman" w:hAnsi="Times New Roman" w:cs="Times New Roman"/>
          <w:sz w:val="24"/>
          <w:szCs w:val="24"/>
        </w:rPr>
        <w:t xml:space="preserve">The survey data will provide the information fisheries managers need to conduct updated </w:t>
      </w:r>
      <w:r w:rsidR="00BA478B">
        <w:rPr>
          <w:rFonts w:ascii="Times New Roman" w:hAnsi="Times New Roman" w:cs="Times New Roman"/>
          <w:sz w:val="24"/>
          <w:szCs w:val="24"/>
        </w:rPr>
        <w:t>a</w:t>
      </w:r>
      <w:r w:rsidRPr="00B5181F">
        <w:rPr>
          <w:rFonts w:ascii="Times New Roman" w:hAnsi="Times New Roman" w:cs="Times New Roman"/>
          <w:sz w:val="24"/>
          <w:szCs w:val="24"/>
        </w:rPr>
        <w:t xml:space="preserve">nalysis of the socio-economic effects to recreational anglers and to coastal communities of proposed changes in fishing regulations. The recreational fishing community and regional fisheries management councils </w:t>
      </w:r>
      <w:r w:rsidR="00BA478B">
        <w:rPr>
          <w:rFonts w:ascii="Times New Roman" w:hAnsi="Times New Roman" w:cs="Times New Roman"/>
          <w:sz w:val="24"/>
          <w:szCs w:val="24"/>
        </w:rPr>
        <w:t xml:space="preserve">now rely on </w:t>
      </w:r>
      <w:r w:rsidRPr="00B5181F">
        <w:rPr>
          <w:rFonts w:ascii="Times New Roman" w:hAnsi="Times New Roman" w:cs="Times New Roman"/>
          <w:sz w:val="24"/>
          <w:szCs w:val="24"/>
        </w:rPr>
        <w:t>species-specific socio-economic s</w:t>
      </w:r>
      <w:r w:rsidRPr="00B5181F">
        <w:rPr>
          <w:rFonts w:ascii="Times New Roman" w:hAnsi="Times New Roman" w:cs="Times New Roman"/>
          <w:sz w:val="24"/>
          <w:szCs w:val="24"/>
        </w:rPr>
        <w:t xml:space="preserve">tudies of recreational fishing </w:t>
      </w:r>
      <w:r w:rsidR="00D0040C">
        <w:rPr>
          <w:rFonts w:ascii="Times New Roman" w:hAnsi="Times New Roman" w:cs="Times New Roman"/>
          <w:sz w:val="24"/>
          <w:szCs w:val="24"/>
        </w:rPr>
        <w:t xml:space="preserve">for </w:t>
      </w:r>
      <w:r w:rsidRPr="00B5181F">
        <w:rPr>
          <w:rFonts w:ascii="Times New Roman" w:hAnsi="Times New Roman" w:cs="Times New Roman"/>
          <w:sz w:val="24"/>
          <w:szCs w:val="24"/>
        </w:rPr>
        <w:t>analys</w:t>
      </w:r>
      <w:r w:rsidR="00D0040C">
        <w:rPr>
          <w:rFonts w:ascii="Times New Roman" w:hAnsi="Times New Roman" w:cs="Times New Roman"/>
          <w:sz w:val="24"/>
          <w:szCs w:val="24"/>
        </w:rPr>
        <w:t>e</w:t>
      </w:r>
      <w:r w:rsidRPr="00B5181F">
        <w:rPr>
          <w:rFonts w:ascii="Times New Roman" w:hAnsi="Times New Roman" w:cs="Times New Roman"/>
          <w:sz w:val="24"/>
          <w:szCs w:val="24"/>
        </w:rPr>
        <w:t>s of fisheries policies. Th</w:t>
      </w:r>
      <w:r w:rsidR="00B275B3">
        <w:rPr>
          <w:rFonts w:ascii="Times New Roman" w:hAnsi="Times New Roman" w:cs="Times New Roman"/>
          <w:sz w:val="24"/>
          <w:szCs w:val="24"/>
        </w:rPr>
        <w:t>ese</w:t>
      </w:r>
      <w:r w:rsidRPr="00B5181F">
        <w:rPr>
          <w:rFonts w:ascii="Times New Roman" w:hAnsi="Times New Roman" w:cs="Times New Roman"/>
          <w:sz w:val="24"/>
          <w:szCs w:val="24"/>
        </w:rPr>
        <w:t xml:space="preserve"> survey</w:t>
      </w:r>
      <w:r w:rsidR="00B275B3">
        <w:rPr>
          <w:rFonts w:ascii="Times New Roman" w:hAnsi="Times New Roman" w:cs="Times New Roman"/>
          <w:sz w:val="24"/>
          <w:szCs w:val="24"/>
        </w:rPr>
        <w:t>s will address the stated need for more species-specific studies.</w:t>
      </w:r>
      <w:r w:rsidRPr="00B5181F">
        <w:rPr>
          <w:rFonts w:ascii="Times New Roman" w:hAnsi="Times New Roman" w:cs="Times New Roman"/>
          <w:sz w:val="24"/>
          <w:szCs w:val="24"/>
        </w:rPr>
        <w:t xml:space="preserve"> </w:t>
      </w:r>
    </w:p>
    <w:p w:rsidR="00F71EF8">
      <w:pPr>
        <w:rPr>
          <w:rFonts w:ascii="Times New Roman" w:eastAsia="Times New Roman" w:hAnsi="Times New Roman" w:cs="Times New Roman"/>
          <w:sz w:val="24"/>
          <w:szCs w:val="24"/>
        </w:rPr>
      </w:pPr>
    </w:p>
    <w:p w:rsidR="00E11284">
      <w:pPr>
        <w:pStyle w:val="Heading1"/>
        <w:spacing w:before="124"/>
        <w:ind w:left="0"/>
        <w:rPr>
          <w:rFonts w:ascii="Times New Roman" w:eastAsia="Times New Roman" w:hAnsi="Times New Roman" w:cs="Times New Roman"/>
        </w:rPr>
      </w:pPr>
    </w:p>
    <w:p w:rsidR="00E11284">
      <w:pPr>
        <w:pStyle w:val="Heading1"/>
        <w:spacing w:before="124"/>
        <w:ind w:left="0"/>
        <w:rPr>
          <w:rFonts w:ascii="Times New Roman" w:eastAsia="Times New Roman" w:hAnsi="Times New Roman" w:cs="Times New Roman"/>
        </w:rPr>
      </w:pPr>
      <w:r>
        <w:rPr>
          <w:rFonts w:ascii="Times New Roman" w:eastAsia="Times New Roman" w:hAnsi="Times New Roman" w:cs="Times New Roman"/>
        </w:rPr>
        <w:t>Justification</w:t>
      </w:r>
    </w:p>
    <w:p w:rsidR="00E11284" w:rsidRPr="00392859" w:rsidP="00392859">
      <w:pPr>
        <w:pStyle w:val="ListParagraph"/>
        <w:numPr>
          <w:ilvl w:val="0"/>
          <w:numId w:val="8"/>
        </w:numPr>
        <w:ind w:left="360"/>
        <w:rPr>
          <w:rFonts w:ascii="Times New Roman" w:hAnsi="Times New Roman" w:cs="Times New Roman"/>
          <w:b/>
          <w:sz w:val="24"/>
          <w:szCs w:val="24"/>
        </w:rPr>
      </w:pPr>
      <w:r w:rsidRPr="00392859">
        <w:rPr>
          <w:rFonts w:ascii="Times New Roman" w:hAnsi="Times New Roman" w:cs="Times New Roman"/>
          <w:b/>
          <w:sz w:val="24"/>
          <w:szCs w:val="24"/>
        </w:rPr>
        <w:t>Explain the circumstances that make the collection of information necessary. Identify any lega</w:t>
      </w:r>
      <w:r w:rsidRPr="00392859">
        <w:rPr>
          <w:rFonts w:ascii="Times New Roman" w:hAnsi="Times New Roman" w:cs="Times New Roman"/>
          <w:b/>
          <w:sz w:val="24"/>
          <w:szCs w:val="24"/>
        </w:rPr>
        <w:t>l or administrative requirements that necessitate the collection. Attach a copy of the appropriate section of each statute and regulation mandating or authorizing the collection of information.</w:t>
      </w:r>
    </w:p>
    <w:p w:rsidR="00E11284">
      <w:pPr>
        <w:jc w:val="both"/>
        <w:rPr>
          <w:rFonts w:ascii="Times New Roman" w:eastAsia="Times New Roman" w:hAnsi="Times New Roman" w:cs="Times New Roman"/>
          <w:color w:val="000000"/>
          <w:sz w:val="24"/>
          <w:szCs w:val="24"/>
        </w:rPr>
      </w:pPr>
    </w:p>
    <w:p w:rsidR="00E11284" w:rsidP="00417B13">
      <w:pPr>
        <w:pBdr>
          <w:top w:val="nil"/>
          <w:left w:val="nil"/>
          <w:bottom w:val="nil"/>
          <w:right w:val="nil"/>
          <w:between w:val="nil"/>
        </w:pBdr>
        <w:rPr>
          <w:rFonts w:ascii="Times New Roman" w:eastAsia="Times New Roman" w:hAnsi="Times New Roman" w:cs="Times New Roman"/>
          <w:color w:val="4F81BD"/>
          <w:sz w:val="24"/>
          <w:szCs w:val="24"/>
        </w:rPr>
      </w:pPr>
      <w:r>
        <w:rPr>
          <w:rFonts w:ascii="Times New Roman" w:eastAsia="Times New Roman" w:hAnsi="Times New Roman" w:cs="Times New Roman"/>
          <w:color w:val="000000"/>
          <w:sz w:val="24"/>
          <w:szCs w:val="24"/>
        </w:rPr>
        <w:t xml:space="preserve">The Northeast Fisheries Science Center (NEFSC) is sponsoring </w:t>
      </w:r>
      <w:r>
        <w:rPr>
          <w:rFonts w:ascii="Times New Roman" w:eastAsia="Times New Roman" w:hAnsi="Times New Roman" w:cs="Times New Roman"/>
          <w:color w:val="000000"/>
          <w:sz w:val="24"/>
          <w:szCs w:val="24"/>
        </w:rPr>
        <w:t>this project to elicit preferences for anglers targeting summer flounder</w:t>
      </w:r>
      <w:r w:rsidR="008A4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black sea bass</w:t>
      </w:r>
      <w:r w:rsidR="008A4117">
        <w:rPr>
          <w:rFonts w:ascii="Times New Roman" w:eastAsia="Times New Roman" w:hAnsi="Times New Roman" w:cs="Times New Roman"/>
          <w:color w:val="000000"/>
          <w:sz w:val="24"/>
          <w:szCs w:val="24"/>
        </w:rPr>
        <w:t>, and scup</w:t>
      </w:r>
      <w:r>
        <w:rPr>
          <w:rFonts w:ascii="Times New Roman" w:eastAsia="Times New Roman" w:hAnsi="Times New Roman" w:cs="Times New Roman"/>
          <w:color w:val="000000"/>
          <w:sz w:val="24"/>
          <w:szCs w:val="24"/>
        </w:rPr>
        <w:t xml:space="preserve">. Understanding angler preferences is a critical step in determining how fishing regulations affect angler effort, angler welfare, fishing mortality, and future stock </w:t>
      </w:r>
      <w:r>
        <w:rPr>
          <w:rFonts w:ascii="Times New Roman" w:eastAsia="Times New Roman" w:hAnsi="Times New Roman" w:cs="Times New Roman"/>
          <w:color w:val="000000"/>
          <w:sz w:val="24"/>
          <w:szCs w:val="24"/>
        </w:rPr>
        <w:t xml:space="preserve">levels. The statistical model </w:t>
      </w:r>
      <w:r w:rsidR="00D0040C">
        <w:rPr>
          <w:rFonts w:ascii="Times New Roman" w:eastAsia="Times New Roman" w:hAnsi="Times New Roman" w:cs="Times New Roman"/>
          <w:color w:val="000000"/>
          <w:sz w:val="24"/>
          <w:szCs w:val="24"/>
        </w:rPr>
        <w:t xml:space="preserve">being used </w:t>
      </w:r>
      <w:r>
        <w:rPr>
          <w:rFonts w:ascii="Times New Roman" w:eastAsia="Times New Roman" w:hAnsi="Times New Roman" w:cs="Times New Roman"/>
          <w:color w:val="000000"/>
          <w:sz w:val="24"/>
          <w:szCs w:val="24"/>
        </w:rPr>
        <w:t>to meet this research objective requires fishing</w:t>
      </w:r>
      <w:r>
        <w:rPr>
          <w:rFonts w:ascii="Times New Roman" w:eastAsia="Times New Roman" w:hAnsi="Times New Roman" w:cs="Times New Roman"/>
          <w:color w:val="000000"/>
          <w:sz w:val="24"/>
          <w:szCs w:val="24"/>
        </w:rPr>
        <w:t>-related and socioeconomic data on users of these fisheries. To collect this information, the NEFSC seeks to implement an updated North Atlantic Recreational Fishing Survey (herein called NARFS I</w:t>
      </w:r>
      <w:r w:rsidR="00693010">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a questionnaire directed toward recreational anglers who </w:t>
      </w:r>
      <w:r>
        <w:rPr>
          <w:rFonts w:ascii="Times New Roman" w:eastAsia="Times New Roman" w:hAnsi="Times New Roman" w:cs="Times New Roman"/>
          <w:color w:val="000000"/>
          <w:sz w:val="24"/>
          <w:szCs w:val="24"/>
        </w:rPr>
        <w:t xml:space="preserve">fish for summer flounder and black sea bass </w:t>
      </w:r>
      <w:r w:rsidR="00693010">
        <w:rPr>
          <w:rFonts w:ascii="Times New Roman" w:eastAsia="Times New Roman" w:hAnsi="Times New Roman" w:cs="Times New Roman"/>
          <w:color w:val="000000"/>
          <w:sz w:val="24"/>
          <w:szCs w:val="24"/>
        </w:rPr>
        <w:t>from Massachusetts to North Carolina</w:t>
      </w:r>
      <w:r>
        <w:rPr>
          <w:rFonts w:ascii="Times New Roman" w:eastAsia="Times New Roman" w:hAnsi="Times New Roman" w:cs="Times New Roman"/>
          <w:color w:val="000000"/>
          <w:sz w:val="24"/>
          <w:szCs w:val="24"/>
        </w:rPr>
        <w:t xml:space="preserve">.  </w:t>
      </w:r>
    </w:p>
    <w:p w:rsidR="00E11284">
      <w:pPr>
        <w:tabs>
          <w:tab w:val="left" w:pos="720"/>
        </w:tabs>
        <w:jc w:val="both"/>
        <w:rPr>
          <w:rFonts w:ascii="Times New Roman" w:eastAsia="Times New Roman" w:hAnsi="Times New Roman" w:cs="Times New Roman"/>
          <w:color w:val="000000"/>
          <w:sz w:val="24"/>
          <w:szCs w:val="24"/>
        </w:rPr>
      </w:pPr>
    </w:p>
    <w:p w:rsidR="00417B13" w:rsidP="00C53A9C">
      <w:pPr>
        <w:tabs>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Results of NARFS IV will be directly incorporated into a bioeconomic simulation model </w:t>
      </w:r>
      <w:r w:rsidR="00CD1F78">
        <w:rPr>
          <w:rFonts w:ascii="Times New Roman" w:eastAsia="Times New Roman" w:hAnsi="Times New Roman" w:cs="Times New Roman"/>
          <w:color w:val="000000"/>
          <w:sz w:val="24"/>
          <w:szCs w:val="24"/>
        </w:rPr>
        <w:t xml:space="preserve">developed by the NEFSC and </w:t>
      </w:r>
      <w:r>
        <w:rPr>
          <w:rFonts w:ascii="Times New Roman" w:eastAsia="Times New Roman" w:hAnsi="Times New Roman" w:cs="Times New Roman"/>
          <w:color w:val="000000"/>
          <w:sz w:val="24"/>
          <w:szCs w:val="24"/>
        </w:rPr>
        <w:t>that NOAA Fisheries, the Mid-Atlantic Fisheries Management</w:t>
      </w:r>
      <w:r>
        <w:rPr>
          <w:rFonts w:ascii="Times New Roman" w:eastAsia="Times New Roman" w:hAnsi="Times New Roman" w:cs="Times New Roman"/>
          <w:color w:val="000000"/>
          <w:sz w:val="24"/>
          <w:szCs w:val="24"/>
        </w:rPr>
        <w:t xml:space="preserve"> Council (MAFMC), and the Atlantic States Marine Fisheries Commission began using in 2022 to select management options that have the highest probability of achieving annual allowable catch limits (ACLs), while simultaneously maximizing angler benefits. </w:t>
      </w:r>
      <w:r w:rsidRPr="006E2F6C" w:rsidR="00CD1F78">
        <w:rPr>
          <w:rFonts w:ascii="Times New Roman" w:hAnsi="Times New Roman" w:cs="Times New Roman"/>
          <w:sz w:val="24"/>
          <w:szCs w:val="24"/>
        </w:rPr>
        <w:t>As the results of th</w:t>
      </w:r>
      <w:r w:rsidR="00CD1F78">
        <w:rPr>
          <w:rFonts w:ascii="Times New Roman" w:hAnsi="Times New Roman" w:cs="Times New Roman"/>
          <w:sz w:val="24"/>
          <w:szCs w:val="24"/>
        </w:rPr>
        <w:t>is</w:t>
      </w:r>
      <w:r w:rsidRPr="006E2F6C" w:rsidR="00CD1F78">
        <w:rPr>
          <w:rFonts w:ascii="Times New Roman" w:hAnsi="Times New Roman" w:cs="Times New Roman"/>
          <w:sz w:val="24"/>
          <w:szCs w:val="24"/>
        </w:rPr>
        <w:t xml:space="preserve"> data collection effort</w:t>
      </w:r>
      <w:r w:rsidR="00CD1F78">
        <w:rPr>
          <w:rFonts w:ascii="Times New Roman" w:hAnsi="Times New Roman" w:cs="Times New Roman"/>
          <w:sz w:val="24"/>
          <w:szCs w:val="24"/>
        </w:rPr>
        <w:t xml:space="preserve"> will</w:t>
      </w:r>
      <w:r w:rsidRPr="006E2F6C" w:rsidR="00CD1F78">
        <w:rPr>
          <w:rFonts w:ascii="Times New Roman" w:hAnsi="Times New Roman" w:cs="Times New Roman"/>
          <w:sz w:val="24"/>
          <w:szCs w:val="24"/>
        </w:rPr>
        <w:t xml:space="preserve"> have direct policy implications, it is important to periodically update the</w:t>
      </w:r>
      <w:r w:rsidR="0070230F">
        <w:rPr>
          <w:rFonts w:ascii="Times New Roman" w:hAnsi="Times New Roman" w:cs="Times New Roman"/>
          <w:sz w:val="24"/>
          <w:szCs w:val="24"/>
        </w:rPr>
        <w:t xml:space="preserve"> underlying model information </w:t>
      </w:r>
      <w:r w:rsidRPr="006E2F6C" w:rsidR="0070230F">
        <w:rPr>
          <w:rFonts w:ascii="Times New Roman" w:hAnsi="Times New Roman" w:cs="Times New Roman"/>
          <w:sz w:val="24"/>
          <w:szCs w:val="24"/>
        </w:rPr>
        <w:t xml:space="preserve">because angler preferences, or the population itself, </w:t>
      </w:r>
      <w:r w:rsidR="0070230F">
        <w:rPr>
          <w:rFonts w:ascii="Times New Roman" w:hAnsi="Times New Roman" w:cs="Times New Roman"/>
          <w:sz w:val="24"/>
          <w:szCs w:val="24"/>
        </w:rPr>
        <w:t>can</w:t>
      </w:r>
      <w:r w:rsidRPr="006E2F6C" w:rsidR="0070230F">
        <w:rPr>
          <w:rFonts w:ascii="Times New Roman" w:hAnsi="Times New Roman" w:cs="Times New Roman"/>
          <w:sz w:val="24"/>
          <w:szCs w:val="24"/>
        </w:rPr>
        <w:t xml:space="preserve"> change over time</w:t>
      </w:r>
      <w:r w:rsidR="0070230F">
        <w:rPr>
          <w:rFonts w:ascii="Times New Roman" w:hAnsi="Times New Roman" w:cs="Times New Roman"/>
          <w:sz w:val="24"/>
          <w:szCs w:val="24"/>
        </w:rPr>
        <w:t>.</w:t>
      </w:r>
      <w:r w:rsidR="00CD1F78">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The data collected in NARF</w:t>
      </w:r>
      <w:r w:rsidR="00CD1F78">
        <w:rPr>
          <w:rFonts w:ascii="Times New Roman" w:eastAsia="Times New Roman" w:hAnsi="Times New Roman" w:cs="Times New Roman"/>
          <w:color w:val="000000"/>
          <w:sz w:val="24"/>
          <w:szCs w:val="24"/>
        </w:rPr>
        <w:t xml:space="preserve">S IV will be used to update </w:t>
      </w:r>
      <w:r>
        <w:rPr>
          <w:rFonts w:ascii="Times New Roman" w:eastAsia="Times New Roman" w:hAnsi="Times New Roman" w:cs="Times New Roman"/>
          <w:color w:val="000000"/>
          <w:sz w:val="24"/>
          <w:szCs w:val="24"/>
        </w:rPr>
        <w:t>the bioeconomic model</w:t>
      </w:r>
      <w:r w:rsidR="00DE159F">
        <w:rPr>
          <w:rFonts w:ascii="Times New Roman" w:eastAsia="Times New Roman" w:hAnsi="Times New Roman" w:cs="Times New Roman"/>
          <w:color w:val="000000"/>
          <w:sz w:val="24"/>
          <w:szCs w:val="24"/>
        </w:rPr>
        <w:t xml:space="preserve"> </w:t>
      </w:r>
      <w:r w:rsidR="00CD1F78">
        <w:rPr>
          <w:rFonts w:ascii="Times New Roman" w:eastAsia="Times New Roman" w:hAnsi="Times New Roman" w:cs="Times New Roman"/>
          <w:color w:val="000000"/>
          <w:sz w:val="24"/>
          <w:szCs w:val="24"/>
        </w:rPr>
        <w:t xml:space="preserve">so that the models’ parameters reflect current fishery conditions and angler preferences. </w:t>
      </w:r>
    </w:p>
    <w:p w:rsidR="00417B13" w:rsidP="00C53A9C">
      <w:pPr>
        <w:tabs>
          <w:tab w:val="left" w:pos="720"/>
        </w:tabs>
        <w:rPr>
          <w:rFonts w:ascii="Times New Roman" w:eastAsia="Times New Roman" w:hAnsi="Times New Roman" w:cs="Times New Roman"/>
          <w:color w:val="000000"/>
          <w:sz w:val="24"/>
          <w:szCs w:val="24"/>
        </w:rPr>
      </w:pPr>
    </w:p>
    <w:p w:rsidR="0070230F" w:rsidP="0070230F">
      <w:pPr>
        <w:tabs>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upon our findings from the first summer flounder</w:t>
      </w:r>
      <w:r w:rsidR="008A4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black sea bass</w:t>
      </w:r>
      <w:r w:rsidR="008A4117">
        <w:rPr>
          <w:rFonts w:ascii="Times New Roman" w:eastAsia="Times New Roman" w:hAnsi="Times New Roman" w:cs="Times New Roman"/>
          <w:color w:val="000000"/>
          <w:sz w:val="24"/>
          <w:szCs w:val="24"/>
        </w:rPr>
        <w:t>, and scup</w:t>
      </w:r>
      <w:r>
        <w:rPr>
          <w:rFonts w:ascii="Times New Roman" w:eastAsia="Times New Roman" w:hAnsi="Times New Roman" w:cs="Times New Roman"/>
          <w:color w:val="000000"/>
          <w:sz w:val="24"/>
          <w:szCs w:val="24"/>
        </w:rPr>
        <w:t xml:space="preserve"> survey (NARFS II), anglers’ ut</w:t>
      </w:r>
      <w:r>
        <w:rPr>
          <w:rFonts w:ascii="Times New Roman" w:eastAsia="Times New Roman" w:hAnsi="Times New Roman" w:cs="Times New Roman"/>
          <w:color w:val="000000"/>
          <w:sz w:val="24"/>
          <w:szCs w:val="24"/>
        </w:rPr>
        <w:t xml:space="preserve">ility will be specified according to </w:t>
      </w:r>
      <w:r>
        <w:rPr>
          <w:rFonts w:ascii="Times New Roman" w:eastAsia="Times New Roman" w:hAnsi="Times New Roman" w:cs="Times New Roman"/>
          <w:i/>
          <w:color w:val="000000"/>
          <w:sz w:val="24"/>
          <w:szCs w:val="24"/>
        </w:rPr>
        <w:t>α</w:t>
      </w:r>
      <w:r>
        <w:rPr>
          <w:rFonts w:ascii="Times New Roman" w:eastAsia="Times New Roman" w:hAnsi="Times New Roman" w:cs="Times New Roman"/>
          <w:color w:val="000000"/>
          <w:sz w:val="24"/>
          <w:szCs w:val="24"/>
        </w:rPr>
        <w:t>-Maxmin Expected Utility (Gilboa et al. 1989, Ghirardato et al. 2004). This specification nests a von Neumann Morgenstern utility with constant absolute risk aversion (CARA) within the framework of ambiguity and allows</w:t>
      </w:r>
      <w:r>
        <w:rPr>
          <w:rFonts w:ascii="Times New Roman" w:eastAsia="Times New Roman" w:hAnsi="Times New Roman" w:cs="Times New Roman"/>
          <w:color w:val="000000"/>
          <w:sz w:val="24"/>
          <w:szCs w:val="24"/>
        </w:rPr>
        <w:t xml:space="preserve"> for joint estimation of both risk and ambiguity preferences by anglers. Specifically, an agent with </w:t>
      </w:r>
      <w:r>
        <w:rPr>
          <w:rFonts w:ascii="Times New Roman" w:eastAsia="Times New Roman" w:hAnsi="Times New Roman" w:cs="Times New Roman"/>
          <w:i/>
          <w:color w:val="000000"/>
          <w:sz w:val="24"/>
          <w:szCs w:val="24"/>
        </w:rPr>
        <w:t>α</w:t>
      </w:r>
      <w:r>
        <w:rPr>
          <w:rFonts w:ascii="Times New Roman" w:eastAsia="Times New Roman" w:hAnsi="Times New Roman" w:cs="Times New Roman"/>
          <w:color w:val="000000"/>
          <w:sz w:val="24"/>
          <w:szCs w:val="24"/>
        </w:rPr>
        <w:t xml:space="preserve">-Maxmin preferences evaluates a choice by considering the weighted average of the worst expected payoff and the best expected payoff with </w:t>
      </w:r>
      <w:r>
        <w:rPr>
          <w:rFonts w:ascii="Times New Roman" w:eastAsia="Times New Roman" w:hAnsi="Times New Roman" w:cs="Times New Roman"/>
          <w:i/>
          <w:color w:val="000000"/>
          <w:sz w:val="24"/>
          <w:szCs w:val="24"/>
        </w:rPr>
        <w:t>α</w:t>
      </w:r>
      <w:r>
        <w:rPr>
          <w:rFonts w:ascii="Times New Roman" w:eastAsia="Times New Roman" w:hAnsi="Times New Roman" w:cs="Times New Roman"/>
          <w:color w:val="000000"/>
          <w:sz w:val="24"/>
          <w:szCs w:val="24"/>
        </w:rPr>
        <w:t xml:space="preserve"> and 1-</w:t>
      </w:r>
      <w:r>
        <w:rPr>
          <w:rFonts w:ascii="Times New Roman" w:eastAsia="Times New Roman" w:hAnsi="Times New Roman" w:cs="Times New Roman"/>
          <w:i/>
          <w:color w:val="000000"/>
          <w:sz w:val="24"/>
          <w:szCs w:val="24"/>
        </w:rPr>
        <w:t>α</w:t>
      </w:r>
      <w:r>
        <w:rPr>
          <w:rFonts w:ascii="Times New Roman" w:eastAsia="Times New Roman" w:hAnsi="Times New Roman" w:cs="Times New Roman"/>
          <w:color w:val="000000"/>
          <w:sz w:val="24"/>
          <w:szCs w:val="24"/>
        </w:rPr>
        <w:t xml:space="preserve"> being </w:t>
      </w:r>
      <w:r>
        <w:rPr>
          <w:rFonts w:ascii="Times New Roman" w:eastAsia="Times New Roman" w:hAnsi="Times New Roman" w:cs="Times New Roman"/>
          <w:color w:val="000000"/>
          <w:sz w:val="24"/>
          <w:szCs w:val="24"/>
        </w:rPr>
        <w:t xml:space="preserve">the two respective weights. The parameter </w:t>
      </w:r>
      <w:r>
        <w:rPr>
          <w:rFonts w:ascii="Times New Roman" w:eastAsia="Times New Roman" w:hAnsi="Times New Roman" w:cs="Times New Roman"/>
          <w:i/>
          <w:color w:val="000000"/>
          <w:sz w:val="24"/>
          <w:szCs w:val="24"/>
        </w:rPr>
        <w:t>α</w:t>
      </w:r>
      <w:r>
        <w:rPr>
          <w:rFonts w:ascii="Times New Roman" w:eastAsia="Times New Roman" w:hAnsi="Times New Roman" w:cs="Times New Roman"/>
          <w:color w:val="000000"/>
          <w:sz w:val="24"/>
          <w:szCs w:val="24"/>
        </w:rPr>
        <w:t xml:space="preserve"> reflects the agent’s attitude towards ambiguity. This is not a technicality, but rather a potentially important issue because, (i) as anglers in the focus groups conducted for the previous surveys stressed, in fi</w:t>
      </w:r>
      <w:r>
        <w:rPr>
          <w:rFonts w:ascii="Times New Roman" w:eastAsia="Times New Roman" w:hAnsi="Times New Roman" w:cs="Times New Roman"/>
          <w:color w:val="000000"/>
          <w:sz w:val="24"/>
          <w:szCs w:val="24"/>
        </w:rPr>
        <w:t xml:space="preserve">shing you never know in advance how many fish you will bring home; luck plays a significant role; and (ii) because many anglers seem to focus primarily on the probability of achieving the extreme outcomes –bringing home zero fish versus filling the cooler </w:t>
      </w:r>
      <w:r>
        <w:rPr>
          <w:rFonts w:ascii="Times New Roman" w:eastAsia="Times New Roman" w:hAnsi="Times New Roman" w:cs="Times New Roman"/>
          <w:color w:val="000000"/>
          <w:sz w:val="24"/>
          <w:szCs w:val="24"/>
        </w:rPr>
        <w:t xml:space="preserve">up to the bag limit– when deciding whether to go fishing.  Thus, policy instruments such as size and bag limits likely impact anglers’ welfare and participation not only through their effect on the expected catch and keep, but more generally through their </w:t>
      </w:r>
      <w:r>
        <w:rPr>
          <w:rFonts w:ascii="Times New Roman" w:eastAsia="Times New Roman" w:hAnsi="Times New Roman" w:cs="Times New Roman"/>
          <w:color w:val="000000"/>
          <w:sz w:val="24"/>
          <w:szCs w:val="24"/>
        </w:rPr>
        <w:t xml:space="preserve">effect on the probability of achieving different catch outcomes. These effects can only be quantified using data explicitly designed to elicit attitudes towards risk and ambiguity. </w:t>
      </w:r>
    </w:p>
    <w:p w:rsidR="00E11284" w:rsidP="00C53A9C">
      <w:pPr>
        <w:tabs>
          <w:tab w:val="left" w:pos="720"/>
        </w:tabs>
        <w:rPr>
          <w:rFonts w:ascii="Times New Roman" w:eastAsia="Times New Roman" w:hAnsi="Times New Roman" w:cs="Times New Roman"/>
          <w:color w:val="4F81BD"/>
          <w:sz w:val="24"/>
          <w:szCs w:val="24"/>
        </w:rPr>
      </w:pPr>
    </w:p>
    <w:p w:rsidR="00E11284" w:rsidP="00C53A9C">
      <w:pPr>
        <w:tabs>
          <w:tab w:val="left" w:pos="7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broadly, </w:t>
      </w:r>
      <w:r w:rsidR="0070230F">
        <w:rPr>
          <w:rFonts w:ascii="Times New Roman" w:eastAsia="Times New Roman" w:hAnsi="Times New Roman" w:cs="Times New Roman"/>
          <w:color w:val="000000"/>
          <w:sz w:val="24"/>
          <w:szCs w:val="24"/>
        </w:rPr>
        <w:t>this survey</w:t>
      </w:r>
      <w:r>
        <w:rPr>
          <w:rFonts w:ascii="Times New Roman" w:eastAsia="Times New Roman" w:hAnsi="Times New Roman" w:cs="Times New Roman"/>
          <w:color w:val="000000"/>
          <w:sz w:val="24"/>
          <w:szCs w:val="24"/>
        </w:rPr>
        <w:t xml:space="preserve"> builds upon the methodological lessons we learned from </w:t>
      </w:r>
      <w:r w:rsidR="0070230F">
        <w:rPr>
          <w:rFonts w:ascii="Times New Roman" w:eastAsia="Times New Roman" w:hAnsi="Times New Roman" w:cs="Times New Roman"/>
          <w:color w:val="000000"/>
          <w:sz w:val="24"/>
          <w:szCs w:val="24"/>
        </w:rPr>
        <w:t>our previous survey efforts</w:t>
      </w:r>
      <w:r>
        <w:rPr>
          <w:rFonts w:ascii="Times New Roman" w:eastAsia="Times New Roman" w:hAnsi="Times New Roman" w:cs="Times New Roman"/>
          <w:color w:val="000000"/>
          <w:sz w:val="24"/>
          <w:szCs w:val="24"/>
        </w:rPr>
        <w:t xml:space="preserve">. Specifically, how to properly convey risk and uncertainty regarding catch distributions in the questionnaire design. During the focus groups </w:t>
      </w:r>
      <w:r w:rsidR="0070230F">
        <w:rPr>
          <w:rFonts w:ascii="Times New Roman" w:eastAsia="Times New Roman" w:hAnsi="Times New Roman" w:cs="Times New Roman"/>
          <w:color w:val="000000"/>
          <w:sz w:val="24"/>
          <w:szCs w:val="24"/>
        </w:rPr>
        <w:t xml:space="preserve">conducted for NARFS II under this control number, </w:t>
      </w:r>
      <w:r>
        <w:rPr>
          <w:rFonts w:ascii="Times New Roman" w:eastAsia="Times New Roman" w:hAnsi="Times New Roman" w:cs="Times New Roman"/>
          <w:color w:val="000000"/>
          <w:sz w:val="24"/>
          <w:szCs w:val="24"/>
        </w:rPr>
        <w:t>we presented participants with several versions of the questions involving pie charts, that is, uncertain keep. The specification of these questions was informed by Holt and Laury (2002) multiple price lists, as well as recent efforts t</w:t>
      </w:r>
      <w:r>
        <w:rPr>
          <w:rFonts w:ascii="Times New Roman" w:eastAsia="Times New Roman" w:hAnsi="Times New Roman" w:cs="Times New Roman"/>
          <w:color w:val="000000"/>
          <w:sz w:val="24"/>
          <w:szCs w:val="24"/>
        </w:rPr>
        <w:t xml:space="preserve">o convey risky outcomes (e.g. Huber at al. 2010, Harrison 2014, Dimmock et al. 2015). </w:t>
      </w:r>
      <w:r w:rsidR="0070230F">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ocus groups participants </w:t>
      </w:r>
      <w:r>
        <w:rPr>
          <w:rFonts w:ascii="Times New Roman" w:eastAsia="Times New Roman" w:hAnsi="Times New Roman" w:cs="Times New Roman"/>
          <w:color w:val="000000"/>
          <w:sz w:val="24"/>
          <w:szCs w:val="24"/>
        </w:rPr>
        <w:t>found these questions to more realistically reflect the recreational fishing experience, in which variability of the catch is such a salient fea</w:t>
      </w:r>
      <w:r>
        <w:rPr>
          <w:rFonts w:ascii="Times New Roman" w:eastAsia="Times New Roman" w:hAnsi="Times New Roman" w:cs="Times New Roman"/>
          <w:color w:val="000000"/>
          <w:sz w:val="24"/>
          <w:szCs w:val="24"/>
        </w:rPr>
        <w:t>ture, than the design employed in the first NARFS in which catch outcomes were predetermined and deterministic. In fact, some of the focus groups participants suggested that this feature is what makes recreational fishing appealing to them in the first pla</w:t>
      </w:r>
      <w:r>
        <w:rPr>
          <w:rFonts w:ascii="Times New Roman" w:eastAsia="Times New Roman" w:hAnsi="Times New Roman" w:cs="Times New Roman"/>
          <w:color w:val="000000"/>
          <w:sz w:val="24"/>
          <w:szCs w:val="24"/>
        </w:rPr>
        <w:t>ce. We think this small addition will improve the quality of the preference data collected and the overall survey response rate.</w:t>
      </w:r>
    </w:p>
    <w:p w:rsidR="00E11284" w:rsidP="00C53A9C">
      <w:pPr>
        <w:rPr>
          <w:rFonts w:ascii="Times New Roman" w:eastAsia="Times New Roman" w:hAnsi="Times New Roman" w:cs="Times New Roman"/>
          <w:color w:val="4F81BD"/>
          <w:sz w:val="24"/>
          <w:szCs w:val="24"/>
        </w:rPr>
      </w:pPr>
    </w:p>
    <w:p w:rsidR="0070230F" w:rsidRPr="008333E6" w:rsidP="0070230F">
      <w:pPr>
        <w:contextualSpacing/>
        <w:rPr>
          <w:rFonts w:ascii="Times New Roman" w:hAnsi="Times New Roman" w:cs="Times New Roman"/>
          <w:sz w:val="24"/>
          <w:szCs w:val="24"/>
        </w:rPr>
      </w:pPr>
      <w:r w:rsidRPr="008333E6">
        <w:rPr>
          <w:rFonts w:ascii="Times New Roman" w:hAnsi="Times New Roman" w:cs="Times New Roman"/>
          <w:sz w:val="24"/>
          <w:szCs w:val="24"/>
        </w:rPr>
        <w:t>Overall, the data and models reliant on such data will inform management decisions of the NEFMC, operating under the authority</w:t>
      </w:r>
      <w:r w:rsidRPr="008333E6">
        <w:rPr>
          <w:rFonts w:ascii="Times New Roman" w:hAnsi="Times New Roman" w:cs="Times New Roman"/>
          <w:sz w:val="24"/>
          <w:szCs w:val="24"/>
        </w:rPr>
        <w:t xml:space="preserve"> of the </w:t>
      </w:r>
      <w:hyperlink r:id="rId6" w:history="1">
        <w:r w:rsidRPr="008333E6">
          <w:rPr>
            <w:rStyle w:val="Hyperlink"/>
            <w:rFonts w:ascii="Times New Roman" w:hAnsi="Times New Roman" w:cs="Times New Roman"/>
            <w:sz w:val="24"/>
            <w:szCs w:val="24"/>
          </w:rPr>
          <w:t xml:space="preserve">Magnuson-Stevens Fishery Conservation and Management Act </w:t>
        </w:r>
      </w:hyperlink>
      <w:r w:rsidRPr="008333E6">
        <w:rPr>
          <w:rFonts w:ascii="Times New Roman" w:hAnsi="Times New Roman" w:cs="Times New Roman"/>
          <w:sz w:val="24"/>
          <w:szCs w:val="24"/>
        </w:rPr>
        <w:t>(16 US.C. 1801 et seq.).</w:t>
      </w:r>
    </w:p>
    <w:p w:rsidR="00E11284" w:rsidP="00C53A9C">
      <w:pPr>
        <w:pBdr>
          <w:top w:val="nil"/>
          <w:left w:val="nil"/>
          <w:bottom w:val="nil"/>
          <w:right w:val="nil"/>
          <w:between w:val="nil"/>
        </w:pBdr>
        <w:spacing w:before="159" w:line="259" w:lineRule="auto"/>
        <w:rPr>
          <w:rFonts w:ascii="Times New Roman" w:eastAsia="Times New Roman" w:hAnsi="Times New Roman" w:cs="Times New Roman"/>
          <w:b/>
          <w:color w:val="000000"/>
          <w:sz w:val="24"/>
          <w:szCs w:val="24"/>
        </w:rPr>
      </w:pPr>
    </w:p>
    <w:p w:rsidR="00E11284" w:rsidP="00D92AB9">
      <w:pPr>
        <w:pStyle w:val="Heading1"/>
        <w:numPr>
          <w:ilvl w:val="0"/>
          <w:numId w:val="1"/>
        </w:numPr>
        <w:tabs>
          <w:tab w:val="left" w:pos="360"/>
        </w:tabs>
        <w:spacing w:before="197"/>
        <w:ind w:left="360"/>
      </w:pPr>
      <w:r>
        <w:rPr>
          <w:rFonts w:ascii="Times New Roman" w:eastAsia="Times New Roman" w:hAnsi="Times New Roman" w:cs="Times New Roman"/>
        </w:rPr>
        <w:t>Indicate how, by whom, and for what purpose the information is to be used. Except for a new collection, indicate the actual use the agency has made of the information received from the current collection.</w:t>
      </w:r>
    </w:p>
    <w:p w:rsidR="00E11284">
      <w:pPr>
        <w:pStyle w:val="Heading1"/>
        <w:spacing w:before="161"/>
        <w:ind w:left="0"/>
        <w:rPr>
          <w:rFonts w:ascii="Times New Roman" w:eastAsia="Times New Roman" w:hAnsi="Times New Roman" w:cs="Times New Roman"/>
        </w:rPr>
      </w:pPr>
    </w:p>
    <w:p w:rsidR="00627663">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data collected from NARFS IV will be used</w:t>
      </w:r>
      <w:r>
        <w:rPr>
          <w:rFonts w:ascii="Times New Roman" w:eastAsia="Times New Roman" w:hAnsi="Times New Roman" w:cs="Times New Roman"/>
          <w:color w:val="000000"/>
          <w:sz w:val="24"/>
          <w:szCs w:val="24"/>
        </w:rPr>
        <w:t xml:space="preserve"> to estimate a model of angler behavior, the economic component of the bioeconomic simulation model described in our response to question A1. This simulation model is </w:t>
      </w:r>
      <w:r w:rsidR="00D0040C">
        <w:rPr>
          <w:rFonts w:ascii="Times New Roman" w:eastAsia="Times New Roman" w:hAnsi="Times New Roman" w:cs="Times New Roman"/>
          <w:color w:val="000000"/>
          <w:sz w:val="24"/>
          <w:szCs w:val="24"/>
        </w:rPr>
        <w:t xml:space="preserve">now </w:t>
      </w:r>
      <w:r>
        <w:rPr>
          <w:rFonts w:ascii="Times New Roman" w:eastAsia="Times New Roman" w:hAnsi="Times New Roman" w:cs="Times New Roman"/>
          <w:color w:val="000000"/>
          <w:sz w:val="24"/>
          <w:szCs w:val="24"/>
        </w:rPr>
        <w:t>employed annually by NEFSC scientists to predict the types of management policies tha</w:t>
      </w:r>
      <w:r>
        <w:rPr>
          <w:rFonts w:ascii="Times New Roman" w:eastAsia="Times New Roman" w:hAnsi="Times New Roman" w:cs="Times New Roman"/>
          <w:color w:val="000000"/>
          <w:sz w:val="24"/>
          <w:szCs w:val="24"/>
        </w:rPr>
        <w:t xml:space="preserve">t will be expected to achieve conservation objectives, while </w:t>
      </w:r>
      <w:r>
        <w:rPr>
          <w:rFonts w:ascii="Times New Roman" w:eastAsia="Times New Roman" w:hAnsi="Times New Roman" w:cs="Times New Roman"/>
          <w:color w:val="000000"/>
          <w:sz w:val="24"/>
          <w:szCs w:val="24"/>
          <w:u w:val="single"/>
        </w:rPr>
        <w:t>simultaneously maximizing the well-being of anglers</w:t>
      </w:r>
      <w:r>
        <w:rPr>
          <w:rFonts w:ascii="Times New Roman" w:eastAsia="Times New Roman" w:hAnsi="Times New Roman" w:cs="Times New Roman"/>
          <w:color w:val="000000"/>
          <w:sz w:val="24"/>
          <w:szCs w:val="24"/>
        </w:rPr>
        <w:t>. The MAFMC and the ASMFC</w:t>
      </w:r>
      <w:r w:rsidR="00D0040C">
        <w:rPr>
          <w:rFonts w:ascii="Times New Roman" w:eastAsia="Times New Roman" w:hAnsi="Times New Roman" w:cs="Times New Roman"/>
          <w:color w:val="000000"/>
          <w:sz w:val="24"/>
          <w:szCs w:val="24"/>
        </w:rPr>
        <w:t>, in turn,</w:t>
      </w:r>
      <w:r>
        <w:rPr>
          <w:rFonts w:ascii="Times New Roman" w:eastAsia="Times New Roman" w:hAnsi="Times New Roman" w:cs="Times New Roman"/>
          <w:color w:val="000000"/>
          <w:sz w:val="24"/>
          <w:szCs w:val="24"/>
        </w:rPr>
        <w:t xml:space="preserve"> then select one of the modeled outcomes as the preferred alternative and forward this recommendation to the </w:t>
      </w:r>
      <w:r>
        <w:rPr>
          <w:rFonts w:ascii="Times New Roman" w:eastAsia="Times New Roman" w:hAnsi="Times New Roman" w:cs="Times New Roman"/>
          <w:color w:val="000000"/>
          <w:sz w:val="24"/>
          <w:szCs w:val="24"/>
        </w:rPr>
        <w:t xml:space="preserve">NOAA Fisheries Regional Administrator for approval and implementation during the next fishing year. Use of the modeling approach by the MAFMC and the ASMFC </w:t>
      </w:r>
      <w:r>
        <w:rPr>
          <w:rFonts w:ascii="Times New Roman" w:eastAsia="Times New Roman" w:hAnsi="Times New Roman" w:cs="Times New Roman"/>
          <w:sz w:val="24"/>
          <w:szCs w:val="24"/>
        </w:rPr>
        <w:t>increases the likelihood that black sea bass and summer flounder management policies will meet inten</w:t>
      </w:r>
      <w:r>
        <w:rPr>
          <w:rFonts w:ascii="Times New Roman" w:eastAsia="Times New Roman" w:hAnsi="Times New Roman" w:cs="Times New Roman"/>
          <w:sz w:val="24"/>
          <w:szCs w:val="24"/>
        </w:rPr>
        <w:t>ded conservation objectives because anglers’ preferences and well-being are explicitly considered.</w:t>
      </w:r>
    </w:p>
    <w:p w:rsidR="00627663">
      <w:pPr>
        <w:widowControl/>
        <w:rPr>
          <w:rFonts w:ascii="Times New Roman" w:eastAsia="Times New Roman" w:hAnsi="Times New Roman" w:cs="Times New Roman"/>
          <w:color w:val="000000"/>
          <w:sz w:val="24"/>
          <w:szCs w:val="24"/>
        </w:rPr>
      </w:pPr>
    </w:p>
    <w:p w:rsidR="00E1128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section of the survey instrument is described in more detail below.</w:t>
      </w:r>
    </w:p>
    <w:p w:rsidR="00E11284">
      <w:pPr>
        <w:rPr>
          <w:rFonts w:ascii="Times New Roman" w:eastAsia="Times New Roman" w:hAnsi="Times New Roman" w:cs="Times New Roman"/>
          <w:color w:val="4F81BD"/>
          <w:sz w:val="24"/>
          <w:szCs w:val="24"/>
        </w:rPr>
      </w:pPr>
    </w:p>
    <w:p w:rsidR="008A4117" w:rsidP="008A4117">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Section A: Your Recreational Fishing Experiences</w:t>
      </w:r>
    </w:p>
    <w:p w:rsidR="008A4117" w:rsidP="008A4117">
      <w:pPr>
        <w:rPr>
          <w:color w:val="000000"/>
        </w:rPr>
      </w:pPr>
      <w:r>
        <w:rPr>
          <w:rFonts w:ascii="Times New Roman" w:eastAsia="Times New Roman" w:hAnsi="Times New Roman" w:cs="Times New Roman"/>
          <w:color w:val="000000"/>
          <w:sz w:val="24"/>
          <w:szCs w:val="24"/>
        </w:rPr>
        <w:t>The first question in this sectio</w:t>
      </w:r>
      <w:r>
        <w:rPr>
          <w:rFonts w:ascii="Times New Roman" w:eastAsia="Times New Roman" w:hAnsi="Times New Roman" w:cs="Times New Roman"/>
          <w:color w:val="000000"/>
          <w:sz w:val="24"/>
          <w:szCs w:val="24"/>
        </w:rPr>
        <w:t>n of the survey will be used to screen out respondents without summer flounder, black sea bass, and scup fishery experience, which we define as those who have not gone recreational fishing for summer flounder, black sea bass, and/or scup in the last five y</w:t>
      </w:r>
      <w:r>
        <w:rPr>
          <w:rFonts w:ascii="Times New Roman" w:eastAsia="Times New Roman" w:hAnsi="Times New Roman" w:cs="Times New Roman"/>
          <w:color w:val="000000"/>
          <w:sz w:val="24"/>
          <w:szCs w:val="24"/>
        </w:rPr>
        <w:t xml:space="preserve">ears. </w:t>
      </w:r>
      <w:r>
        <w:rPr>
          <w:rFonts w:ascii="Times New Roman" w:eastAsia="Times New Roman" w:hAnsi="Times New Roman" w:cs="Times New Roman"/>
          <w:sz w:val="24"/>
          <w:szCs w:val="24"/>
        </w:rPr>
        <w:t>Anglers that haven’t fished for these species within the past five years will only respond to the first question then be directed to skip to the last section of the survey (Section D) to answer demographic questions. By asking all license holders (el</w:t>
      </w:r>
      <w:r>
        <w:rPr>
          <w:rFonts w:ascii="Times New Roman" w:eastAsia="Times New Roman" w:hAnsi="Times New Roman" w:cs="Times New Roman"/>
          <w:sz w:val="24"/>
          <w:szCs w:val="24"/>
        </w:rPr>
        <w:t xml:space="preserve">igible and ineligible) to complete the survey we will be able to assess </w:t>
      </w:r>
      <w:r>
        <w:rPr>
          <w:rFonts w:ascii="Times New Roman" w:eastAsia="Times New Roman" w:hAnsi="Times New Roman" w:cs="Times New Roman"/>
          <w:color w:val="000000"/>
          <w:sz w:val="24"/>
          <w:szCs w:val="24"/>
        </w:rPr>
        <w:t>relative sample representativeness by comparing the characteristics of our sample (e.g., avidity and demographics) to the characteristics of the population of recreational anglers at l</w:t>
      </w:r>
      <w:r>
        <w:rPr>
          <w:rFonts w:ascii="Times New Roman" w:eastAsia="Times New Roman" w:hAnsi="Times New Roman" w:cs="Times New Roman"/>
          <w:color w:val="000000"/>
          <w:sz w:val="24"/>
          <w:szCs w:val="24"/>
        </w:rPr>
        <w:t>arge, which can be found in NOAA-sponsored nationwide angler expenditure reports. As the characteristics of summer flounder and black sea bass anglers may differ from the population of anglers as a whole, we need information from both types of anglers to a</w:t>
      </w:r>
      <w:r>
        <w:rPr>
          <w:rFonts w:ascii="Times New Roman" w:eastAsia="Times New Roman" w:hAnsi="Times New Roman" w:cs="Times New Roman"/>
          <w:color w:val="000000"/>
          <w:sz w:val="24"/>
          <w:szCs w:val="24"/>
        </w:rPr>
        <w:t>ssess sample representativeness.</w:t>
      </w:r>
      <w:r>
        <w:rPr>
          <w:color w:val="000000"/>
        </w:rPr>
        <w:t xml:space="preserve"> </w:t>
      </w:r>
    </w:p>
    <w:p w:rsidR="008A4117" w:rsidP="008A4117">
      <w:pPr>
        <w:rPr>
          <w:color w:val="000000"/>
        </w:rPr>
      </w:pPr>
    </w:p>
    <w:p w:rsidR="008A4117" w:rsidP="008A411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remaining four questions in this section are intended only for respondents who have gone recreational fishing for either of the three species in the past five years. These questions provide information on avidity, fis</w:t>
      </w:r>
      <w:r>
        <w:rPr>
          <w:rFonts w:ascii="Times New Roman" w:eastAsia="Times New Roman" w:hAnsi="Times New Roman" w:cs="Times New Roman"/>
          <w:color w:val="000000"/>
          <w:sz w:val="24"/>
          <w:szCs w:val="24"/>
        </w:rPr>
        <w:t xml:space="preserve">hing mode, and boat ownership.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color w:val="000000"/>
          <w:sz w:val="24"/>
          <w:szCs w:val="24"/>
        </w:rPr>
        <w:t>answers to these questions will be used to model the opt-out option (i.e. specified using a choice specific constant and anglers’ characteristics).</w:t>
      </w:r>
    </w:p>
    <w:p w:rsidR="008A4117" w:rsidP="008A4117">
      <w:pPr>
        <w:rPr>
          <w:rFonts w:ascii="Times New Roman" w:eastAsia="Times New Roman" w:hAnsi="Times New Roman" w:cs="Times New Roman"/>
          <w:color w:val="4F81BD"/>
          <w:sz w:val="24"/>
          <w:szCs w:val="24"/>
        </w:rPr>
      </w:pPr>
    </w:p>
    <w:p w:rsidR="008A4117" w:rsidP="008A4117">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Section B: Your Saltwater Fishing Trips</w:t>
      </w:r>
    </w:p>
    <w:p w:rsidR="00E11284" w:rsidP="008A411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next section of the survey contains a set of Choice Experiment (CE) questions. These questions are designed to elicit the tradeoffs anglers make between two fishing trips that vary in the number of legal and sub-legal summer flounder, black sea bass, a</w:t>
      </w:r>
      <w:r>
        <w:rPr>
          <w:rFonts w:ascii="Times New Roman" w:eastAsia="Times New Roman" w:hAnsi="Times New Roman" w:cs="Times New Roman"/>
          <w:sz w:val="24"/>
          <w:szCs w:val="24"/>
        </w:rPr>
        <w:t>nd scup caught, regulations, total number of fish that could be kept and must be released, trip cost, trip length, and not going saltwater fishing. After presenting respondents with these fishing and non-fishing options, the questions ask respondents to se</w:t>
      </w:r>
      <w:r>
        <w:rPr>
          <w:rFonts w:ascii="Times New Roman" w:eastAsia="Times New Roman" w:hAnsi="Times New Roman" w:cs="Times New Roman"/>
          <w:sz w:val="24"/>
          <w:szCs w:val="24"/>
        </w:rPr>
        <w:t xml:space="preserve">lect the option they would take if given the opportunity. Responses to these questions are the key source of data required to estimate the economic model of angler behavior.  </w:t>
      </w:r>
      <w:r>
        <w:rPr>
          <w:rFonts w:ascii="Times New Roman" w:eastAsia="Times New Roman" w:hAnsi="Times New Roman" w:cs="Times New Roman"/>
          <w:color w:val="000000"/>
          <w:sz w:val="24"/>
          <w:szCs w:val="24"/>
        </w:rPr>
        <w:t>Table 1. summarizes the attributes and levels to include in the CE questions.</w:t>
      </w:r>
    </w:p>
    <w:p w:rsidR="00E11284" w:rsidP="00C53A9C">
      <w:pPr>
        <w:rPr>
          <w:rFonts w:ascii="Times New Roman" w:eastAsia="Times New Roman" w:hAnsi="Times New Roman" w:cs="Times New Roman"/>
          <w:color w:val="000000"/>
          <w:sz w:val="24"/>
          <w:szCs w:val="24"/>
        </w:rPr>
      </w:pPr>
    </w:p>
    <w:p w:rsidR="00E11284">
      <w:pPr>
        <w:jc w:val="both"/>
        <w:rPr>
          <w:rFonts w:ascii="Times New Roman" w:eastAsia="Times New Roman" w:hAnsi="Times New Roman" w:cs="Times New Roman"/>
          <w:color w:val="000000"/>
          <w:sz w:val="24"/>
          <w:szCs w:val="24"/>
        </w:rPr>
      </w:pPr>
    </w:p>
    <w:p w:rsidR="00E11284" w:rsidRPr="008A426B">
      <w:pPr>
        <w:jc w:val="both"/>
        <w:rPr>
          <w:rFonts w:ascii="Times New Roman" w:eastAsia="Times New Roman" w:hAnsi="Times New Roman" w:cs="Times New Roman"/>
          <w:sz w:val="24"/>
          <w:szCs w:val="24"/>
        </w:rPr>
      </w:pPr>
      <w:r w:rsidRPr="008A426B">
        <w:rPr>
          <w:rFonts w:ascii="Times New Roman" w:eastAsia="Times New Roman" w:hAnsi="Times New Roman" w:cs="Times New Roman"/>
          <w:sz w:val="24"/>
          <w:szCs w:val="24"/>
        </w:rPr>
        <w:t>T</w:t>
      </w:r>
      <w:r w:rsidRPr="008A426B">
        <w:rPr>
          <w:rFonts w:ascii="Times New Roman" w:eastAsia="Times New Roman" w:hAnsi="Times New Roman" w:cs="Times New Roman"/>
          <w:sz w:val="24"/>
          <w:szCs w:val="24"/>
        </w:rPr>
        <w:t>able 1.</w:t>
      </w:r>
      <w:r w:rsidRPr="008A426B" w:rsidR="00EA6CA4">
        <w:rPr>
          <w:rFonts w:ascii="Times New Roman" w:eastAsia="Times New Roman" w:hAnsi="Times New Roman" w:cs="Times New Roman"/>
          <w:sz w:val="24"/>
          <w:szCs w:val="24"/>
        </w:rPr>
        <w:t xml:space="preserve"> NARFS IV</w:t>
      </w:r>
      <w:r w:rsidRPr="008A426B">
        <w:rPr>
          <w:rFonts w:ascii="Times New Roman" w:eastAsia="Times New Roman" w:hAnsi="Times New Roman" w:cs="Times New Roman"/>
          <w:sz w:val="24"/>
          <w:szCs w:val="24"/>
        </w:rPr>
        <w:t xml:space="preserve"> Survey Attributes and Levels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45"/>
        <w:gridCol w:w="4405"/>
      </w:tblGrid>
      <w:tr w:rsidTr="00164F9F">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4945" w:type="dxa"/>
          </w:tcPr>
          <w:p w:rsidR="008A4117" w:rsidP="00164F9F">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Attribute</w:t>
            </w:r>
          </w:p>
        </w:tc>
        <w:tc>
          <w:tcPr>
            <w:tcW w:w="4405" w:type="dxa"/>
          </w:tcPr>
          <w:p w:rsidR="008A4117" w:rsidP="00164F9F">
            <w:pPr>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Level range</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of legal-sized summer flounder 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1-7</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of undersized summer flounder 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0-15</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of legal-sized black sea bass 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1-8</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Number of undersized black sea bass </w:t>
            </w:r>
            <w:r>
              <w:rPr>
                <w:rFonts w:ascii="Times New Roman" w:eastAsia="Times New Roman" w:hAnsi="Times New Roman" w:cs="Times New Roman"/>
                <w:color w:val="000000"/>
                <w:sz w:val="24"/>
                <w:szCs w:val="24"/>
                <w:u w:val="single"/>
              </w:rPr>
              <w:t>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0-15</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of legal-sized scup 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1-60</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of undersized scup caught</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0-30</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u w:val="single"/>
              </w:rPr>
              <w:t>Probabilities (of alternative # of summer flounder kept fish)</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0-1.0</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black sea bass you catch</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0-15</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Number black sea bass you keep</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0-15</w:t>
            </w:r>
          </w:p>
        </w:tc>
      </w:tr>
      <w:tr w:rsidTr="00164F9F">
        <w:tblPrEx>
          <w:tblW w:w="9350" w:type="dxa"/>
          <w:tblLayout w:type="fixed"/>
          <w:tblLook w:val="0400"/>
        </w:tblPrEx>
        <w:tc>
          <w:tcPr>
            <w:tcW w:w="494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sz w:val="24"/>
                <w:szCs w:val="24"/>
                <w:u w:val="single"/>
              </w:rPr>
              <w:t xml:space="preserve">Probabilities (# of </w:t>
            </w:r>
            <w:r>
              <w:rPr>
                <w:rFonts w:ascii="Times New Roman" w:eastAsia="Times New Roman" w:hAnsi="Times New Roman" w:cs="Times New Roman"/>
                <w:sz w:val="24"/>
                <w:szCs w:val="24"/>
                <w:u w:val="single"/>
              </w:rPr>
              <w:t>black sea bass kept fish)</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1.0 (e.g. deterministic)</w:t>
            </w:r>
          </w:p>
        </w:tc>
      </w:tr>
      <w:tr w:rsidTr="00164F9F">
        <w:tblPrEx>
          <w:tblW w:w="9350" w:type="dxa"/>
          <w:tblLayout w:type="fixed"/>
          <w:tblLook w:val="0400"/>
        </w:tblPrEx>
        <w:tc>
          <w:tcPr>
            <w:tcW w:w="4945" w:type="dxa"/>
          </w:tcPr>
          <w:p w:rsidR="008A4117" w:rsidP="00164F9F">
            <w:pPr>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u w:val="single"/>
              </w:rPr>
              <w:t>Trip length (hours)</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2-9</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Trip mode</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Shore, private boat, charter</w:t>
            </w:r>
          </w:p>
        </w:tc>
      </w:tr>
      <w:tr w:rsidTr="00164F9F">
        <w:tblPrEx>
          <w:tblW w:w="9350" w:type="dxa"/>
          <w:tblLayout w:type="fixed"/>
          <w:tblLook w:val="0400"/>
        </w:tblPrEx>
        <w:tc>
          <w:tcPr>
            <w:tcW w:w="4945" w:type="dxa"/>
          </w:tcPr>
          <w:p w:rsidR="008A4117" w:rsidP="00164F9F">
            <w:pPr>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Total trip cost ($)</w:t>
            </w:r>
          </w:p>
        </w:tc>
        <w:tc>
          <w:tcPr>
            <w:tcW w:w="4405" w:type="dxa"/>
          </w:tcPr>
          <w:p w:rsidR="008A4117" w:rsidP="00164F9F">
            <w:pP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20-300</w:t>
            </w:r>
          </w:p>
        </w:tc>
      </w:tr>
    </w:tbl>
    <w:p w:rsidR="00E11284">
      <w:pPr>
        <w:jc w:val="both"/>
        <w:rPr>
          <w:rFonts w:ascii="Times New Roman" w:eastAsia="Times New Roman" w:hAnsi="Times New Roman" w:cs="Times New Roman"/>
          <w:color w:val="000000"/>
          <w:sz w:val="24"/>
          <w:szCs w:val="24"/>
          <w:u w:val="single"/>
        </w:rPr>
      </w:pPr>
    </w:p>
    <w:p w:rsidR="008A4117" w:rsidP="008A41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Based on the lessons learned from previous surveys, the CE questions in NARFS IV will include</w:t>
      </w:r>
      <w:r>
        <w:rPr>
          <w:rFonts w:ascii="Times New Roman" w:eastAsia="Times New Roman" w:hAnsi="Times New Roman" w:cs="Times New Roman"/>
          <w:sz w:val="24"/>
          <w:szCs w:val="24"/>
        </w:rPr>
        <w:t xml:space="preserve">: (1) the </w:t>
      </w:r>
      <w:r>
        <w:rPr>
          <w:rFonts w:ascii="Times New Roman" w:eastAsia="Times New Roman" w:hAnsi="Times New Roman" w:cs="Times New Roman"/>
          <w:sz w:val="24"/>
          <w:szCs w:val="24"/>
        </w:rPr>
        <w:t>explicit introduction of risk uncertainty in the number of fish anglers are allowed to keep, which is displayed using pie charts describing each possible outcome and its associated probability (e.g. 10% probably of keeping zero summer flounder, 30% of keep</w:t>
      </w:r>
      <w:r>
        <w:rPr>
          <w:rFonts w:ascii="Times New Roman" w:eastAsia="Times New Roman" w:hAnsi="Times New Roman" w:cs="Times New Roman"/>
          <w:sz w:val="24"/>
          <w:szCs w:val="24"/>
        </w:rPr>
        <w:t>ing one summer flounder, 60% of keeping two); and (2) the possibility that these probabilities may themselves not be known, a fact that is conveyed again through pie charts, but this time by presenting probabilities for the union of outcomes (e.g. the prob</w:t>
      </w:r>
      <w:r>
        <w:rPr>
          <w:rFonts w:ascii="Times New Roman" w:eastAsia="Times New Roman" w:hAnsi="Times New Roman" w:cs="Times New Roman"/>
          <w:sz w:val="24"/>
          <w:szCs w:val="24"/>
        </w:rPr>
        <w:t>ability of 1 or 2 kept summer flounder is 2/3). These and alternative strategies for conveying risk uncertainty were tested and discussed with focus group participants held for NARFS II. The focus group participants found that the pie-chart approach for ca</w:t>
      </w:r>
      <w:r>
        <w:rPr>
          <w:rFonts w:ascii="Times New Roman" w:eastAsia="Times New Roman" w:hAnsi="Times New Roman" w:cs="Times New Roman"/>
          <w:sz w:val="24"/>
          <w:szCs w:val="24"/>
        </w:rPr>
        <w:t xml:space="preserve">pturing catch uncertainty was far more realistic </w:t>
      </w:r>
      <w:r>
        <w:rPr>
          <w:rFonts w:ascii="Times New Roman" w:eastAsia="Times New Roman" w:hAnsi="Times New Roman" w:cs="Times New Roman"/>
          <w:color w:val="000000"/>
          <w:sz w:val="24"/>
          <w:szCs w:val="24"/>
        </w:rPr>
        <w:t xml:space="preserve">than </w:t>
      </w:r>
      <w:r>
        <w:rPr>
          <w:rFonts w:ascii="Times New Roman" w:eastAsia="Times New Roman" w:hAnsi="Times New Roman" w:cs="Times New Roman"/>
          <w:color w:val="000000"/>
          <w:sz w:val="24"/>
          <w:szCs w:val="24"/>
        </w:rPr>
        <w:t>the design employed in the first NARFS in which catch outcomes were predetermined and deterministic.</w:t>
      </w:r>
    </w:p>
    <w:p w:rsidR="008A4117" w:rsidP="008A4117">
      <w:pPr>
        <w:jc w:val="both"/>
        <w:rPr>
          <w:rFonts w:ascii="Times New Roman" w:eastAsia="Times New Roman" w:hAnsi="Times New Roman" w:cs="Times New Roman"/>
          <w:color w:val="4F81BD"/>
          <w:sz w:val="24"/>
          <w:szCs w:val="24"/>
        </w:rPr>
      </w:pPr>
    </w:p>
    <w:p w:rsidR="008A4117" w:rsidP="008A411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Section C: Saltwater Fishing Trip Features</w:t>
      </w:r>
      <w:r>
        <w:rPr>
          <w:rFonts w:ascii="Times New Roman" w:eastAsia="Times New Roman" w:hAnsi="Times New Roman" w:cs="Times New Roman"/>
          <w:color w:val="000000"/>
          <w:sz w:val="24"/>
          <w:szCs w:val="24"/>
        </w:rPr>
        <w:t xml:space="preserve"> </w:t>
      </w:r>
    </w:p>
    <w:p w:rsidR="008A4117" w:rsidRPr="00CC1B11" w:rsidP="008A4117">
      <w:pPr>
        <w:contextualSpacing/>
        <w:rPr>
          <w:rFonts w:ascii="Times New Roman" w:hAnsi="Times New Roman" w:cs="Times New Roman"/>
          <w:sz w:val="24"/>
          <w:szCs w:val="24"/>
        </w:rPr>
      </w:pPr>
      <w:r w:rsidRPr="00CC1B11">
        <w:rPr>
          <w:rFonts w:ascii="Times New Roman" w:hAnsi="Times New Roman" w:cs="Times New Roman"/>
          <w:sz w:val="24"/>
          <w:szCs w:val="24"/>
        </w:rPr>
        <w:t>This one-question section will obtain additional informa</w:t>
      </w:r>
      <w:r w:rsidRPr="00CC1B11">
        <w:rPr>
          <w:rFonts w:ascii="Times New Roman" w:hAnsi="Times New Roman" w:cs="Times New Roman"/>
          <w:sz w:val="24"/>
          <w:szCs w:val="24"/>
        </w:rPr>
        <w:t xml:space="preserve">tion regarding respondents’ decisions making process when answering the questions in Section B. Specifically, the question asks respondents to indicate which features of the fishing trip options (number of </w:t>
      </w:r>
      <w:r>
        <w:rPr>
          <w:rFonts w:ascii="Times New Roman" w:hAnsi="Times New Roman" w:cs="Times New Roman"/>
          <w:sz w:val="24"/>
          <w:szCs w:val="24"/>
        </w:rPr>
        <w:t xml:space="preserve">fish </w:t>
      </w:r>
      <w:r w:rsidRPr="00CC1B11">
        <w:rPr>
          <w:rFonts w:ascii="Times New Roman" w:hAnsi="Times New Roman" w:cs="Times New Roman"/>
          <w:sz w:val="24"/>
          <w:szCs w:val="24"/>
        </w:rPr>
        <w:t>that could be kept and must be release</w:t>
      </w:r>
      <w:r>
        <w:rPr>
          <w:rFonts w:ascii="Times New Roman" w:hAnsi="Times New Roman" w:cs="Times New Roman"/>
          <w:sz w:val="24"/>
          <w:szCs w:val="24"/>
        </w:rPr>
        <w:t>d</w:t>
      </w:r>
      <w:r w:rsidRPr="00CC1B11">
        <w:rPr>
          <w:rFonts w:ascii="Times New Roman" w:hAnsi="Times New Roman" w:cs="Times New Roman"/>
          <w:sz w:val="24"/>
          <w:szCs w:val="24"/>
        </w:rPr>
        <w:t xml:space="preserve">, trip cost, and </w:t>
      </w:r>
      <w:r>
        <w:rPr>
          <w:rFonts w:ascii="Times New Roman" w:hAnsi="Times New Roman" w:cs="Times New Roman"/>
          <w:sz w:val="24"/>
          <w:szCs w:val="24"/>
        </w:rPr>
        <w:t xml:space="preserve">trip </w:t>
      </w:r>
      <w:r w:rsidRPr="00CC1B11">
        <w:rPr>
          <w:rFonts w:ascii="Times New Roman" w:hAnsi="Times New Roman" w:cs="Times New Roman"/>
          <w:sz w:val="24"/>
          <w:szCs w:val="24"/>
        </w:rPr>
        <w:t>length</w:t>
      </w:r>
      <w:r>
        <w:rPr>
          <w:rFonts w:ascii="Times New Roman" w:hAnsi="Times New Roman" w:cs="Times New Roman"/>
          <w:sz w:val="24"/>
          <w:szCs w:val="24"/>
        </w:rPr>
        <w:t>)</w:t>
      </w:r>
      <w:r w:rsidRPr="00CC1B11">
        <w:rPr>
          <w:rFonts w:ascii="Times New Roman" w:hAnsi="Times New Roman" w:cs="Times New Roman"/>
          <w:sz w:val="24"/>
          <w:szCs w:val="24"/>
        </w:rPr>
        <w:t xml:space="preserve">, if any, did not factor into the choices they made. Obtaining and incorporating this type of information in the behavioral model may increase the statistical efficiency of the ensuing parameter estimates </w:t>
      </w:r>
      <w:r w:rsidRPr="00CC1B11">
        <w:rPr>
          <w:rFonts w:ascii="Times New Roman" w:hAnsi="Times New Roman" w:cs="Times New Roman"/>
          <w:sz w:val="24"/>
          <w:szCs w:val="24"/>
        </w:rPr>
        <w:fldChar w:fldCharType="begin" w:fldLock="1"/>
      </w:r>
      <w:r w:rsidRPr="00CC1B11">
        <w:rPr>
          <w:rFonts w:ascii="Times New Roman" w:hAnsi="Times New Roman" w:cs="Times New Roman"/>
          <w:sz w:val="24"/>
          <w:szCs w:val="24"/>
        </w:rPr>
        <w:instrText>ADDIN CSL_CITATION {"c</w:instrText>
      </w:r>
      <w:r w:rsidRPr="00CC1B11">
        <w:rPr>
          <w:rFonts w:ascii="Times New Roman" w:hAnsi="Times New Roman" w:cs="Times New Roman"/>
          <w:sz w:val="24"/>
          <w:szCs w:val="24"/>
        </w:rPr>
        <w:instrText>itationItems":[{"id":"ITEM-1","itemData":{"ISBN":"0924-6460","ISSN":"09246460","abstract":"This paper focuses on behavioural reasons underlying stated attribute non-attendance in choice experiments. In order to identify and incorporate procedures for deali</w:instrText>
      </w:r>
      <w:r w:rsidRPr="00CC1B11">
        <w:rPr>
          <w:rFonts w:ascii="Times New Roman" w:hAnsi="Times New Roman" w:cs="Times New Roman"/>
          <w:sz w:val="24"/>
          <w:szCs w:val="24"/>
        </w:rPr>
        <w:instrText xml:space="preserve">ng with heterogeneous attribute processing strategies, we ask respondents follow-up questions regarding their reasons for ignoring attributes. Based on these statements, we conclude that the standard way of assigning a zero impact of ignored attributes on </w:instrText>
      </w:r>
      <w:r w:rsidRPr="00CC1B11">
        <w:rPr>
          <w:rFonts w:ascii="Times New Roman" w:hAnsi="Times New Roman" w:cs="Times New Roman"/>
          <w:sz w:val="24"/>
          <w:szCs w:val="24"/>
        </w:rPr>
        <w:instrText>the likelihood is inappropriate. We find that some respondents act in accordance with the passive bounded rationality assumption since they ignore an attribute simply because it does not affect their utility. Excluding these genuine zero preferences, as th</w:instrText>
      </w:r>
      <w:r w:rsidRPr="00CC1B11">
        <w:rPr>
          <w:rFonts w:ascii="Times New Roman" w:hAnsi="Times New Roman" w:cs="Times New Roman"/>
          <w:sz w:val="24"/>
          <w:szCs w:val="24"/>
        </w:rPr>
        <w:instrText>e standard approach essentially does, might bias results. Other respondents claim to have ignored attributes to simplify choices. However, we find that these respondents have actually not completely ignored attributes. We argue along the rationally adaptiv</w:instrText>
      </w:r>
      <w:r w:rsidRPr="00CC1B11">
        <w:rPr>
          <w:rFonts w:ascii="Times New Roman" w:hAnsi="Times New Roman" w:cs="Times New Roman"/>
          <w:sz w:val="24"/>
          <w:szCs w:val="24"/>
        </w:rPr>
        <w:instrText>e behavioural model that valid preference information may indeed be elicited in these cases, and we illustrate how recoding of non-attendance statements conditional on stated reasons may be a more appropriate solution than the current standard way of takin</w:instrText>
      </w:r>
      <w:r w:rsidRPr="00CC1B11">
        <w:rPr>
          <w:rFonts w:ascii="Times New Roman" w:hAnsi="Times New Roman" w:cs="Times New Roman"/>
          <w:sz w:val="24"/>
          <w:szCs w:val="24"/>
        </w:rPr>
        <w:instrText>g stated non-attendance into account.","author":[{"dropping-particle":"","family":"Alemu","given":"Mohammed Hussen","non-dropping-particle":"","parse-names":false,"suffix":""},{"dropping-particle":"","family":"Mørkbak","given":"Morten Raun","non-dropping-p</w:instrText>
      </w:r>
      <w:r w:rsidRPr="00CC1B11">
        <w:rPr>
          <w:rFonts w:ascii="Times New Roman" w:hAnsi="Times New Roman" w:cs="Times New Roman"/>
          <w:sz w:val="24"/>
          <w:szCs w:val="24"/>
        </w:rPr>
        <w:instrText>article":"","parse-names":false,"suffix":""},{"dropping-particle":"","family":"Olsen","given":"Søren Bøye","non-dropping-particle":"","parse-names":false,"suffix":""},{"dropping-particle":"","family":"Jensen","given":"Carsten Lynge","non-dropping-particle"</w:instrText>
      </w:r>
      <w:r w:rsidRPr="00CC1B11">
        <w:rPr>
          <w:rFonts w:ascii="Times New Roman" w:hAnsi="Times New Roman" w:cs="Times New Roman"/>
          <w:sz w:val="24"/>
          <w:szCs w:val="24"/>
        </w:rPr>
        <w:instrText>:"","parse-names":false,"suffix":""}],"container-title":"Environmental and Resource Economics","id":"ITEM-1","issue":"3","issued":{"date-parts":[["2013"]]},"page":"333-359","title":"Attending to the Reasons for Attribute Non-attendance in Choice Experiment</w:instrText>
      </w:r>
      <w:r w:rsidRPr="00CC1B11">
        <w:rPr>
          <w:rFonts w:ascii="Times New Roman" w:hAnsi="Times New Roman" w:cs="Times New Roman"/>
          <w:sz w:val="24"/>
          <w:szCs w:val="24"/>
        </w:rPr>
        <w:instrText>s","type":"article-journal","volume":"54"},"uris":["http://www.mendeley.com/documents/?uuid=96e46d2c-de96-4823-8f0b-c15c0b91e42b","http://www.mendeley.com/documents/?uuid=0811a691-bdd9-44ab-af74-ca55daaa1e99"]}],"mendeley":{"formattedCitation":"(Alemu et a</w:instrText>
      </w:r>
      <w:r w:rsidRPr="00CC1B11">
        <w:rPr>
          <w:rFonts w:ascii="Times New Roman" w:hAnsi="Times New Roman" w:cs="Times New Roman"/>
          <w:sz w:val="24"/>
          <w:szCs w:val="24"/>
        </w:rPr>
        <w:instrText>l. 2013)","plainTextFormattedCitation":"(Alemu et al. 2013)","previouslyFormattedCitation":"(Alemu et al. 2013)"},"properties":{"noteIndex":0},"schema":"https://github.com/citation-style-language/schema/raw/master/csl-citation.json"}</w:instrText>
      </w:r>
      <w:r w:rsidRPr="00CC1B11">
        <w:rPr>
          <w:rFonts w:ascii="Times New Roman" w:hAnsi="Times New Roman" w:cs="Times New Roman"/>
          <w:sz w:val="24"/>
          <w:szCs w:val="24"/>
        </w:rPr>
        <w:fldChar w:fldCharType="separate"/>
      </w:r>
      <w:r w:rsidRPr="00CC1B11">
        <w:rPr>
          <w:rFonts w:ascii="Times New Roman" w:hAnsi="Times New Roman" w:cs="Times New Roman"/>
          <w:noProof/>
          <w:sz w:val="24"/>
          <w:szCs w:val="24"/>
        </w:rPr>
        <w:t>(Alemu et al. 2013)</w:t>
      </w:r>
      <w:r w:rsidRPr="00CC1B11">
        <w:rPr>
          <w:rFonts w:ascii="Times New Roman" w:hAnsi="Times New Roman" w:cs="Times New Roman"/>
          <w:sz w:val="24"/>
          <w:szCs w:val="24"/>
        </w:rPr>
        <w:fldChar w:fldCharType="end"/>
      </w:r>
      <w:r w:rsidRPr="00CC1B11">
        <w:rPr>
          <w:rFonts w:ascii="Times New Roman" w:hAnsi="Times New Roman" w:cs="Times New Roman"/>
          <w:sz w:val="24"/>
          <w:szCs w:val="24"/>
        </w:rPr>
        <w:t>.</w:t>
      </w:r>
      <w:r w:rsidRPr="00CC1B11">
        <w:rPr>
          <w:rFonts w:ascii="Times New Roman" w:hAnsi="Times New Roman" w:cs="Times New Roman"/>
          <w:sz w:val="24"/>
          <w:szCs w:val="24"/>
        </w:rPr>
        <w:t xml:space="preserve"> </w:t>
      </w:r>
    </w:p>
    <w:p w:rsidR="008A4117" w:rsidP="008A4117">
      <w:pPr>
        <w:rPr>
          <w:rFonts w:ascii="Times New Roman" w:eastAsia="Times New Roman" w:hAnsi="Times New Roman" w:cs="Times New Roman"/>
          <w:color w:val="000000"/>
          <w:sz w:val="24"/>
          <w:szCs w:val="24"/>
        </w:rPr>
      </w:pPr>
    </w:p>
    <w:p w:rsidR="008A4117" w:rsidRPr="00CC1B11" w:rsidP="008A4117">
      <w:pPr>
        <w:rPr>
          <w:rFonts w:ascii="Times New Roman" w:eastAsia="Times New Roman" w:hAnsi="Times New Roman" w:cs="Times New Roman"/>
          <w:color w:val="000000"/>
          <w:sz w:val="24"/>
          <w:szCs w:val="24"/>
          <w:u w:val="single"/>
        </w:rPr>
      </w:pPr>
      <w:r w:rsidRPr="00CC1B11">
        <w:rPr>
          <w:rFonts w:ascii="Times New Roman" w:eastAsia="Times New Roman" w:hAnsi="Times New Roman" w:cs="Times New Roman"/>
          <w:color w:val="000000"/>
          <w:sz w:val="24"/>
          <w:szCs w:val="24"/>
          <w:u w:val="single"/>
        </w:rPr>
        <w:t>Section D: About You and Your Household</w:t>
      </w:r>
    </w:p>
    <w:p w:rsidR="008A4117" w:rsidP="008A411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D asks a series of demographic questions. These questions will gather information on age, gender, education, and income. Used as conditioning variables, this information may improve estimation of the economic model. Additionally, we can use this in</w:t>
      </w:r>
      <w:r>
        <w:rPr>
          <w:rFonts w:ascii="Times New Roman" w:eastAsia="Times New Roman" w:hAnsi="Times New Roman" w:cs="Times New Roman"/>
          <w:color w:val="000000"/>
          <w:sz w:val="24"/>
          <w:szCs w:val="24"/>
        </w:rPr>
        <w:t xml:space="preserve">formation to assess relative sample representativeness by comparing the characteristics of our sample to the characteristics of the population of recreational anglers at large, which can be found in NOAA-sponsored nationwide angler expenditure reports. </w:t>
      </w:r>
    </w:p>
    <w:p w:rsidR="008A4117" w:rsidP="008A4117">
      <w:pPr>
        <w:rPr>
          <w:rFonts w:ascii="Times New Roman" w:eastAsia="Times New Roman" w:hAnsi="Times New Roman" w:cs="Times New Roman"/>
          <w:sz w:val="24"/>
          <w:szCs w:val="24"/>
        </w:rPr>
      </w:pPr>
    </w:p>
    <w:p w:rsidR="008A4117" w:rsidP="008A4117">
      <w:pPr>
        <w:rPr>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Northeast Fisheries Science Centers will retain control over the information collected by this survey effort and safeguard it from improper access, modification, and destruction, consistent with NOAA standards for confidentiality, privacy, and electroni</w:t>
      </w:r>
      <w:r>
        <w:rPr>
          <w:rFonts w:ascii="Times New Roman" w:eastAsia="Times New Roman" w:hAnsi="Times New Roman" w:cs="Times New Roman"/>
          <w:sz w:val="24"/>
          <w:szCs w:val="24"/>
        </w:rPr>
        <w:t>c information.</w:t>
      </w:r>
      <w:r>
        <w:rPr>
          <w:sz w:val="24"/>
          <w:szCs w:val="24"/>
        </w:rPr>
        <w:t xml:space="preserve"> </w:t>
      </w:r>
      <w:r>
        <w:rPr>
          <w:rFonts w:ascii="Times New Roman" w:eastAsia="Times New Roman" w:hAnsi="Times New Roman" w:cs="Times New Roman"/>
          <w:color w:val="000000"/>
          <w:sz w:val="24"/>
          <w:szCs w:val="24"/>
        </w:rPr>
        <w:t>See response to question A10 of this Supporting Statement for more information on confidentiality and privacy. The information collection is designed to yield data that meet all applicable information quality guidelines. Although the informa</w:t>
      </w:r>
      <w:r>
        <w:rPr>
          <w:rFonts w:ascii="Times New Roman" w:eastAsia="Times New Roman" w:hAnsi="Times New Roman" w:cs="Times New Roman"/>
          <w:color w:val="000000"/>
          <w:sz w:val="24"/>
          <w:szCs w:val="24"/>
        </w:rPr>
        <w:t>tion collected is not expected to be disseminated directly to the public, results may be used in scientific, management, technical, or general informational publications. Prior to dissemination, the information will be subjected to quality control measures</w:t>
      </w:r>
      <w:r>
        <w:rPr>
          <w:rFonts w:ascii="Times New Roman" w:eastAsia="Times New Roman" w:hAnsi="Times New Roman" w:cs="Times New Roman"/>
          <w:color w:val="000000"/>
          <w:sz w:val="24"/>
          <w:szCs w:val="24"/>
        </w:rPr>
        <w:t xml:space="preserve"> and a pre-dissemination review pursuant to </w:t>
      </w:r>
      <w:hyperlink r:id="rId7">
        <w:r>
          <w:rPr>
            <w:rFonts w:ascii="Times New Roman" w:eastAsia="Times New Roman" w:hAnsi="Times New Roman" w:cs="Times New Roman"/>
            <w:color w:val="000000"/>
            <w:sz w:val="24"/>
            <w:szCs w:val="24"/>
            <w:u w:val="single"/>
          </w:rPr>
          <w:t>Section 515 of Public Law 106-554</w:t>
        </w:r>
      </w:hyperlink>
      <w:r>
        <w:rPr>
          <w:rFonts w:ascii="Times New Roman" w:eastAsia="Times New Roman" w:hAnsi="Times New Roman" w:cs="Times New Roman"/>
          <w:color w:val="000000"/>
          <w:sz w:val="24"/>
          <w:szCs w:val="24"/>
        </w:rPr>
        <w:t>.</w:t>
      </w:r>
    </w:p>
    <w:p w:rsidR="00E11284">
      <w:pPr>
        <w:pStyle w:val="Heading1"/>
        <w:spacing w:before="161"/>
        <w:ind w:left="0"/>
        <w:rPr>
          <w:rFonts w:ascii="Times New Roman" w:eastAsia="Times New Roman" w:hAnsi="Times New Roman" w:cs="Times New Roman"/>
        </w:rPr>
      </w:pPr>
    </w:p>
    <w:p w:rsidR="00E11284">
      <w:pPr>
        <w:numPr>
          <w:ilvl w:val="0"/>
          <w:numId w:val="1"/>
        </w:numPr>
        <w:pBdr>
          <w:top w:val="nil"/>
          <w:left w:val="nil"/>
          <w:bottom w:val="nil"/>
          <w:right w:val="nil"/>
          <w:between w:val="nil"/>
        </w:pBdr>
        <w:tabs>
          <w:tab w:val="left" w:pos="360"/>
        </w:tabs>
        <w:spacing w:before="199"/>
        <w:ind w:left="0" w:firstLine="0"/>
        <w:rPr>
          <w:color w:val="000000"/>
        </w:rPr>
      </w:pPr>
      <w:r>
        <w:rPr>
          <w:rFonts w:ascii="Times New Roman" w:eastAsia="Times New Roman" w:hAnsi="Times New Roman" w:cs="Times New Roman"/>
          <w:b/>
          <w:color w:val="000000"/>
          <w:sz w:val="24"/>
          <w:szCs w:val="24"/>
        </w:rPr>
        <w:t xml:space="preserve">Describe whether, and to what extent, the collection of information involves the use of automated, </w:t>
      </w:r>
      <w:r>
        <w:rPr>
          <w:rFonts w:ascii="Times New Roman" w:eastAsia="Times New Roman" w:hAnsi="Times New Roman" w:cs="Times New Roman"/>
          <w:b/>
          <w:color w:val="000000"/>
          <w:sz w:val="24"/>
          <w:szCs w:val="24"/>
        </w:rPr>
        <w:t>electronic, mechanical, or other technological collection techniques or other forms of information technology, e.g. permitting electronic submission of responses, and the basis for the decision for adopting this means of collection. Also, describe any cons</w:t>
      </w:r>
      <w:r>
        <w:rPr>
          <w:rFonts w:ascii="Times New Roman" w:eastAsia="Times New Roman" w:hAnsi="Times New Roman" w:cs="Times New Roman"/>
          <w:b/>
          <w:color w:val="000000"/>
          <w:sz w:val="24"/>
          <w:szCs w:val="24"/>
        </w:rPr>
        <w:t>ideration of using information technology to reduce burden.</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instrument will be administered online and by mail.  Potential respondents will be randomly drawn from saltwater recreational fishing license frames </w:t>
      </w:r>
      <w:r w:rsidR="00A812F3">
        <w:rPr>
          <w:rFonts w:ascii="Times New Roman" w:eastAsia="Times New Roman" w:hAnsi="Times New Roman" w:cs="Times New Roman"/>
          <w:sz w:val="24"/>
          <w:szCs w:val="24"/>
        </w:rPr>
        <w:t>along the Atlantic coast from Massachusetts to North Carolina</w:t>
      </w:r>
      <w:r>
        <w:rPr>
          <w:rFonts w:ascii="Times New Roman" w:eastAsia="Times New Roman" w:hAnsi="Times New Roman" w:cs="Times New Roman"/>
          <w:sz w:val="24"/>
          <w:szCs w:val="24"/>
        </w:rPr>
        <w:t>. Individuals selected will receive a mail to web-push survey invitation. Those that fail to complete the web-survey will receive mail/email reminders that include a web-link to the survey. A final mail survey will be sent to nonr</w:t>
      </w:r>
      <w:r>
        <w:rPr>
          <w:rFonts w:ascii="Times New Roman" w:eastAsia="Times New Roman" w:hAnsi="Times New Roman" w:cs="Times New Roman"/>
          <w:sz w:val="24"/>
          <w:szCs w:val="24"/>
        </w:rPr>
        <w:t xml:space="preserve">esponders.    </w:t>
      </w:r>
    </w:p>
    <w:p w:rsidR="00E11284">
      <w:pPr>
        <w:tabs>
          <w:tab w:val="left" w:pos="360"/>
        </w:tabs>
        <w:spacing w:before="199"/>
        <w:rPr>
          <w:rFonts w:ascii="Times New Roman" w:eastAsia="Times New Roman" w:hAnsi="Times New Roman" w:cs="Times New Roman"/>
          <w:b/>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Describe efforts to identify duplication. Show specifically why any similar information already available cannot be used or modified for use for the purposes described in Question 2</w:t>
      </w:r>
    </w:p>
    <w:p w:rsidR="00E11284">
      <w:pPr>
        <w:jc w:val="both"/>
        <w:rPr>
          <w:rFonts w:ascii="Times New Roman" w:eastAsia="Times New Roman" w:hAnsi="Times New Roman" w:cs="Times New Roman"/>
          <w:color w:val="000000"/>
          <w:sz w:val="24"/>
          <w:szCs w:val="24"/>
        </w:rPr>
      </w:pPr>
    </w:p>
    <w:p w:rsidR="00E11284" w:rsidP="00C53A9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conferred with state officials </w:t>
      </w:r>
      <w:r w:rsidR="00A812F3">
        <w:rPr>
          <w:rFonts w:ascii="Times New Roman" w:eastAsia="Times New Roman" w:hAnsi="Times New Roman" w:cs="Times New Roman"/>
          <w:color w:val="000000"/>
          <w:sz w:val="24"/>
          <w:szCs w:val="24"/>
        </w:rPr>
        <w:t xml:space="preserve">in the nine Atlantic coastal states where this survey will be conducted </w:t>
      </w:r>
      <w:r>
        <w:rPr>
          <w:rFonts w:ascii="Times New Roman" w:eastAsia="Times New Roman" w:hAnsi="Times New Roman" w:cs="Times New Roman"/>
          <w:sz w:val="24"/>
          <w:szCs w:val="24"/>
        </w:rPr>
        <w:t>and they could not identify any existing or planned duplicative survey efforts.  Additionally, t</w:t>
      </w:r>
      <w:r>
        <w:rPr>
          <w:rFonts w:ascii="Times New Roman" w:eastAsia="Times New Roman" w:hAnsi="Times New Roman" w:cs="Times New Roman"/>
          <w:color w:val="000000"/>
          <w:sz w:val="24"/>
          <w:szCs w:val="24"/>
        </w:rPr>
        <w:t>here are no NMFS-led or NMFS-sponsored recreational fishing surveys planned for 202</w:t>
      </w:r>
      <w:r w:rsidR="00A812F3">
        <w:rPr>
          <w:rFonts w:ascii="Times New Roman" w:eastAsia="Times New Roman" w:hAnsi="Times New Roman" w:cs="Times New Roman"/>
          <w:color w:val="000000"/>
          <w:sz w:val="24"/>
          <w:szCs w:val="24"/>
        </w:rPr>
        <w:t xml:space="preserve">5 in these states. </w:t>
      </w:r>
    </w:p>
    <w:p w:rsidR="00E11284" w:rsidP="00C53A9C">
      <w:pPr>
        <w:rPr>
          <w:rFonts w:ascii="Times New Roman" w:eastAsia="Times New Roman" w:hAnsi="Times New Roman" w:cs="Times New Roman"/>
          <w:color w:val="4472C4"/>
          <w:sz w:val="24"/>
          <w:szCs w:val="24"/>
        </w:rPr>
      </w:pPr>
    </w:p>
    <w:p w:rsidR="00E11284" w:rsidP="00C53A9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NARFS I</w:t>
      </w:r>
      <w:r w:rsidR="00A812F3">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will contain a series of discrete choice experiment (DCE) questions, each of which presents respondents with two or more hypothetical, multi-attribute alternatives and asks respondents to choose or rank their most preferred alternative. Each alter</w:t>
      </w:r>
      <w:r>
        <w:rPr>
          <w:rFonts w:ascii="Times New Roman" w:eastAsia="Times New Roman" w:hAnsi="Times New Roman" w:cs="Times New Roman"/>
          <w:color w:val="000000"/>
          <w:sz w:val="24"/>
          <w:szCs w:val="24"/>
        </w:rPr>
        <w:t>native is comprised of a combination of attribute levels, the ranges of which are carefully selected to fulfill policy-relevant research objectives. Responses to DCE questions can be used to evaluate choice behavior, preferences, and WTP values for margina</w:t>
      </w:r>
      <w:r>
        <w:rPr>
          <w:rFonts w:ascii="Times New Roman" w:eastAsia="Times New Roman" w:hAnsi="Times New Roman" w:cs="Times New Roman"/>
          <w:color w:val="000000"/>
          <w:sz w:val="24"/>
          <w:szCs w:val="24"/>
        </w:rPr>
        <w:t>l changes in attribute levels (Louiviere et al. 2000)</w:t>
      </w:r>
    </w:p>
    <w:p w:rsidR="00E11284" w:rsidP="00C53A9C">
      <w:pPr>
        <w:rPr>
          <w:rFonts w:ascii="Times New Roman" w:eastAsia="Times New Roman" w:hAnsi="Times New Roman" w:cs="Times New Roman"/>
          <w:color w:val="4472C4"/>
          <w:sz w:val="24"/>
          <w:szCs w:val="24"/>
        </w:rPr>
      </w:pPr>
    </w:p>
    <w:p w:rsidR="00E11284" w:rsidP="00C53A9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Several studies have employed a discrete choice experiment (DCE) to evaluate angler preferences for different aspects of the recreational fishing experience. Because they cover a wide range of species </w:t>
      </w:r>
      <w:r>
        <w:rPr>
          <w:rFonts w:ascii="Times New Roman" w:eastAsia="Times New Roman" w:hAnsi="Times New Roman" w:cs="Times New Roman"/>
          <w:color w:val="000000"/>
          <w:sz w:val="24"/>
          <w:szCs w:val="24"/>
        </w:rPr>
        <w:t>and fishery-specific research objectives, these studies differ in terms of the attributes used to explain angler preferences. In general, the attributes of interest to fisheries economists typically include catch or harvest rates and regulations. Angler pr</w:t>
      </w:r>
      <w:r>
        <w:rPr>
          <w:rFonts w:ascii="Times New Roman" w:eastAsia="Times New Roman" w:hAnsi="Times New Roman" w:cs="Times New Roman"/>
          <w:color w:val="000000"/>
          <w:sz w:val="24"/>
          <w:szCs w:val="24"/>
        </w:rPr>
        <w:t>eferences for marginal changes in catch and regulations have been estimated jointly for summer flounder in the Northeast (Massey at al. 2006; Hicks 2002), trout and grayling in Norway (Aas et al. 2000), paddlefish in Oklahoma (Cha and Melstrom 2018), trout</w:t>
      </w:r>
      <w:r>
        <w:rPr>
          <w:rFonts w:ascii="Times New Roman" w:eastAsia="Times New Roman" w:hAnsi="Times New Roman" w:cs="Times New Roman"/>
          <w:color w:val="000000"/>
          <w:sz w:val="24"/>
          <w:szCs w:val="24"/>
        </w:rPr>
        <w:t xml:space="preserve"> in Michigan (Knoche and Lupi 2016), and pacific halibut and salmon in Alaska (Lew and Larson 2012; Lew and Seung 2010). In addition to catch rates and regulations, other studies have evaluated non-consumptive aspects of recreational fishing, such as hooki</w:t>
      </w:r>
      <w:r>
        <w:rPr>
          <w:rFonts w:ascii="Times New Roman" w:eastAsia="Times New Roman" w:hAnsi="Times New Roman" w:cs="Times New Roman"/>
          <w:color w:val="000000"/>
          <w:sz w:val="24"/>
          <w:szCs w:val="24"/>
        </w:rPr>
        <w:t>ng and losing, or seeing a target species (Goldsmith et al. 2018; Duffield et al. 2012). Lew and Larson (2015) exclude catch attributes from the utility function and estimate Alaskan charter boat angler preferences and willingness-to-pay for alternative ba</w:t>
      </w:r>
      <w:r>
        <w:rPr>
          <w:rFonts w:ascii="Times New Roman" w:eastAsia="Times New Roman" w:hAnsi="Times New Roman" w:cs="Times New Roman"/>
          <w:color w:val="000000"/>
          <w:sz w:val="24"/>
          <w:szCs w:val="24"/>
        </w:rPr>
        <w:t>g and size limit restrict</w:t>
      </w:r>
      <w:r w:rsidR="00A812F3">
        <w:rPr>
          <w:rFonts w:ascii="Times New Roman" w:eastAsia="Times New Roman" w:hAnsi="Times New Roman" w:cs="Times New Roman"/>
          <w:color w:val="000000"/>
          <w:sz w:val="24"/>
          <w:szCs w:val="24"/>
        </w:rPr>
        <w:t>ions. Like the proposed NARFS IV</w:t>
      </w:r>
      <w:r>
        <w:rPr>
          <w:rFonts w:ascii="Times New Roman" w:eastAsia="Times New Roman" w:hAnsi="Times New Roman" w:cs="Times New Roman"/>
          <w:color w:val="000000"/>
          <w:sz w:val="24"/>
          <w:szCs w:val="24"/>
        </w:rPr>
        <w:t>, some studies have examined the interface between recreational catch and regulations by estimating the nonmarket value of fish that may be kept and of those which must be released. These studies con</w:t>
      </w:r>
      <w:r>
        <w:rPr>
          <w:rFonts w:ascii="Times New Roman" w:eastAsia="Times New Roman" w:hAnsi="Times New Roman" w:cs="Times New Roman"/>
          <w:color w:val="000000"/>
          <w:sz w:val="24"/>
          <w:szCs w:val="24"/>
        </w:rPr>
        <w:t xml:space="preserve">sistently find that the recreational value of keeping fish is higher than that of releasing fish for a variety of species (Atlantic cod, haddock, and pollock: Lee et al. 2017; Pacific halibut, Chinook salmon, and coho salmon: Lew and Larson 2012; rockfish </w:t>
      </w:r>
      <w:r>
        <w:rPr>
          <w:rFonts w:ascii="Times New Roman" w:eastAsia="Times New Roman" w:hAnsi="Times New Roman" w:cs="Times New Roman"/>
          <w:color w:val="000000"/>
          <w:sz w:val="24"/>
          <w:szCs w:val="24"/>
        </w:rPr>
        <w:t xml:space="preserve">along the U.S. west coast: Anderson and Lee 2013; Anderson et al. 2013; groupers, red snapper, dolphinfish, and king mackerel along the U.S southeast coast: Carter and Liese 2012). </w:t>
      </w:r>
    </w:p>
    <w:p w:rsidR="00E11284" w:rsidP="00C53A9C">
      <w:pPr>
        <w:rPr>
          <w:rFonts w:ascii="Times New Roman" w:eastAsia="Times New Roman" w:hAnsi="Times New Roman" w:cs="Times New Roman"/>
          <w:color w:val="4472C4"/>
          <w:sz w:val="24"/>
          <w:szCs w:val="24"/>
        </w:rPr>
      </w:pPr>
    </w:p>
    <w:p w:rsidR="00A812F3" w:rsidRPr="00BC7D62" w:rsidP="00A812F3">
      <w:pPr>
        <w:rPr>
          <w:rFonts w:ascii="Times New Roman" w:hAnsi="Times New Roman" w:cs="Times New Roman"/>
          <w:sz w:val="24"/>
          <w:szCs w:val="24"/>
        </w:rPr>
      </w:pPr>
      <w:r>
        <w:rPr>
          <w:rFonts w:ascii="Times New Roman" w:eastAsia="Times New Roman" w:hAnsi="Times New Roman" w:cs="Times New Roman"/>
          <w:color w:val="000000"/>
          <w:sz w:val="24"/>
          <w:szCs w:val="24"/>
        </w:rPr>
        <w:t>As noted previously, recreational summer flounder</w:t>
      </w:r>
      <w:r w:rsidR="008A4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black sea bass</w:t>
      </w:r>
      <w:r w:rsidR="008A4117">
        <w:rPr>
          <w:rFonts w:ascii="Times New Roman" w:eastAsia="Times New Roman" w:hAnsi="Times New Roman" w:cs="Times New Roman"/>
          <w:color w:val="000000"/>
          <w:sz w:val="24"/>
          <w:szCs w:val="24"/>
        </w:rPr>
        <w:t>, and scup</w:t>
      </w:r>
      <w:r>
        <w:rPr>
          <w:rFonts w:ascii="Times New Roman" w:eastAsia="Times New Roman" w:hAnsi="Times New Roman" w:cs="Times New Roman"/>
          <w:color w:val="000000"/>
          <w:sz w:val="24"/>
          <w:szCs w:val="24"/>
        </w:rPr>
        <w:t xml:space="preserve"> angler preferences were evaluated  from the data collected in NARFS II. </w:t>
      </w:r>
      <w:r w:rsidRPr="00BC7D62">
        <w:rPr>
          <w:rFonts w:ascii="Times New Roman" w:hAnsi="Times New Roman" w:cs="Times New Roman"/>
          <w:sz w:val="24"/>
          <w:szCs w:val="24"/>
        </w:rPr>
        <w:t xml:space="preserve">However, </w:t>
      </w:r>
      <w:r>
        <w:rPr>
          <w:rFonts w:ascii="Times New Roman" w:hAnsi="Times New Roman" w:cs="Times New Roman"/>
          <w:sz w:val="24"/>
          <w:szCs w:val="24"/>
        </w:rPr>
        <w:t>as our response to question A1 indicate</w:t>
      </w:r>
      <w:r w:rsidR="00D0040C">
        <w:rPr>
          <w:rFonts w:ascii="Times New Roman" w:hAnsi="Times New Roman" w:cs="Times New Roman"/>
          <w:sz w:val="24"/>
          <w:szCs w:val="24"/>
        </w:rPr>
        <w:t>s</w:t>
      </w:r>
      <w:r>
        <w:rPr>
          <w:rFonts w:ascii="Times New Roman" w:hAnsi="Times New Roman" w:cs="Times New Roman"/>
          <w:sz w:val="24"/>
          <w:szCs w:val="24"/>
        </w:rPr>
        <w:t xml:space="preserve">, </w:t>
      </w:r>
      <w:r w:rsidRPr="00BC7D62">
        <w:rPr>
          <w:rFonts w:ascii="Times New Roman" w:hAnsi="Times New Roman" w:cs="Times New Roman"/>
          <w:sz w:val="24"/>
          <w:szCs w:val="24"/>
        </w:rPr>
        <w:t xml:space="preserve">using new data collected by the proposed NARFS </w:t>
      </w:r>
      <w:r>
        <w:rPr>
          <w:rFonts w:ascii="Times New Roman" w:hAnsi="Times New Roman" w:cs="Times New Roman"/>
          <w:sz w:val="24"/>
          <w:szCs w:val="24"/>
        </w:rPr>
        <w:t xml:space="preserve">IV </w:t>
      </w:r>
      <w:r w:rsidRPr="00BC7D62">
        <w:rPr>
          <w:rFonts w:ascii="Times New Roman" w:hAnsi="Times New Roman" w:cs="Times New Roman"/>
          <w:sz w:val="24"/>
          <w:szCs w:val="24"/>
        </w:rPr>
        <w:t>will lead to more accurate predictions of the effect of regulatory changes on an</w:t>
      </w:r>
      <w:r w:rsidRPr="00BC7D62">
        <w:rPr>
          <w:rFonts w:ascii="Times New Roman" w:hAnsi="Times New Roman" w:cs="Times New Roman"/>
          <w:sz w:val="24"/>
          <w:szCs w:val="24"/>
        </w:rPr>
        <w:t xml:space="preserve">gler behavior. </w:t>
      </w:r>
    </w:p>
    <w:p w:rsidR="00A812F3" w:rsidP="00C53A9C">
      <w:pPr>
        <w:rPr>
          <w:rFonts w:ascii="Times New Roman" w:eastAsia="Times New Roman" w:hAnsi="Times New Roman" w:cs="Times New Roman"/>
          <w:color w:val="00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If the collection of information impacts small businesses or other small entities, describe any methods used to minimize burden.</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collection of information does not involve small businesses or small entities.</w:t>
      </w:r>
    </w:p>
    <w:p w:rsidR="00E11284">
      <w:pPr>
        <w:pBdr>
          <w:top w:val="nil"/>
          <w:left w:val="nil"/>
          <w:bottom w:val="nil"/>
          <w:right w:val="nil"/>
          <w:between w:val="nil"/>
        </w:pBdr>
        <w:spacing w:before="160"/>
        <w:rPr>
          <w:rFonts w:ascii="Times New Roman" w:eastAsia="Times New Roman" w:hAnsi="Times New Roman" w:cs="Times New Roman"/>
          <w:color w:val="00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Describe the consequence to Federal program or policy activities if the collection is not conducted or is conducted less frequently, as well as any technical or legal obstacles to reducing burden.</w:t>
      </w:r>
    </w:p>
    <w:p w:rsidR="00E11284">
      <w:pPr>
        <w:jc w:val="both"/>
        <w:rPr>
          <w:rFonts w:ascii="Times New Roman" w:eastAsia="Times New Roman" w:hAnsi="Times New Roman" w:cs="Times New Roman"/>
          <w:color w:val="000000"/>
          <w:sz w:val="24"/>
          <w:szCs w:val="24"/>
        </w:rPr>
      </w:pPr>
    </w:p>
    <w:p w:rsidR="00E11284">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survey effort will collect all of the information nee</w:t>
      </w:r>
      <w:r>
        <w:rPr>
          <w:rFonts w:ascii="Times New Roman" w:eastAsia="Times New Roman" w:hAnsi="Times New Roman" w:cs="Times New Roman"/>
          <w:color w:val="000000"/>
          <w:sz w:val="24"/>
          <w:szCs w:val="24"/>
        </w:rPr>
        <w:t>ded to develop economic models of recreational saltwater fishing for summer flounder</w:t>
      </w:r>
      <w:r w:rsidR="008A41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black sea bass</w:t>
      </w:r>
      <w:r w:rsidR="008A4117">
        <w:rPr>
          <w:rFonts w:ascii="Times New Roman" w:eastAsia="Times New Roman" w:hAnsi="Times New Roman" w:cs="Times New Roman"/>
          <w:color w:val="000000"/>
          <w:sz w:val="24"/>
          <w:szCs w:val="24"/>
        </w:rPr>
        <w:t>, and scup</w:t>
      </w:r>
      <w:r>
        <w:rPr>
          <w:rFonts w:ascii="Times New Roman" w:eastAsia="Times New Roman" w:hAnsi="Times New Roman" w:cs="Times New Roman"/>
          <w:color w:val="000000"/>
          <w:sz w:val="24"/>
          <w:szCs w:val="24"/>
        </w:rPr>
        <w:t>.  This research will provide scientific and management support to NMFS’ Northeast Fisheries Science Center, NMFS’ Greater Atlantic Regional Fishe</w:t>
      </w:r>
      <w:r>
        <w:rPr>
          <w:rFonts w:ascii="Times New Roman" w:eastAsia="Times New Roman" w:hAnsi="Times New Roman" w:cs="Times New Roman"/>
          <w:color w:val="000000"/>
          <w:sz w:val="24"/>
          <w:szCs w:val="24"/>
        </w:rPr>
        <w:t>ries Office, the MAFMC</w:t>
      </w:r>
      <w:r w:rsidR="0069660B">
        <w:rPr>
          <w:rFonts w:ascii="Times New Roman" w:eastAsia="Times New Roman" w:hAnsi="Times New Roman" w:cs="Times New Roman"/>
          <w:color w:val="000000"/>
          <w:sz w:val="24"/>
          <w:szCs w:val="24"/>
        </w:rPr>
        <w:t>, and the ASMFC</w:t>
      </w:r>
      <w:r>
        <w:rPr>
          <w:rFonts w:ascii="Times New Roman" w:eastAsia="Times New Roman" w:hAnsi="Times New Roman" w:cs="Times New Roman"/>
          <w:color w:val="000000"/>
          <w:sz w:val="24"/>
          <w:szCs w:val="24"/>
        </w:rPr>
        <w:t>. Not conducting the information collection will limit these agencies’ ability to account for anglers’ behavioral responses to regulatory changes and consequent impacts to angler welfare, thus limiting the ability of th</w:t>
      </w:r>
      <w:r>
        <w:rPr>
          <w:rFonts w:ascii="Times New Roman" w:eastAsia="Times New Roman" w:hAnsi="Times New Roman" w:cs="Times New Roman"/>
          <w:color w:val="000000"/>
          <w:sz w:val="24"/>
          <w:szCs w:val="24"/>
        </w:rPr>
        <w:t xml:space="preserve">ese agencies to manage fisheries consistent with federal and state law.   </w:t>
      </w:r>
    </w:p>
    <w:p w:rsidR="00E11284">
      <w:pPr>
        <w:widowControl/>
        <w:rPr>
          <w:rFonts w:ascii="Times New Roman" w:eastAsia="Times New Roman" w:hAnsi="Times New Roman" w:cs="Times New Roman"/>
          <w:color w:val="000000"/>
          <w:sz w:val="24"/>
          <w:szCs w:val="24"/>
        </w:rPr>
      </w:pPr>
    </w:p>
    <w:p w:rsidR="00E1128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11284" w:rsidRPr="0069660B">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Explain any special circumstances that would cause an information collection to be conducted in a manner:</w:t>
      </w:r>
    </w:p>
    <w:p w:rsidR="0069660B" w:rsidP="0069660B">
      <w:pPr>
        <w:pBdr>
          <w:top w:val="nil"/>
          <w:left w:val="nil"/>
          <w:bottom w:val="nil"/>
          <w:right w:val="nil"/>
          <w:between w:val="nil"/>
        </w:pBdr>
        <w:tabs>
          <w:tab w:val="left" w:pos="360"/>
        </w:tabs>
        <w:spacing w:before="80"/>
        <w:rPr>
          <w:color w:val="000000"/>
        </w:rPr>
      </w:pP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 xml:space="preserve">requiring respondents to report information to the agency more often </w:t>
      </w:r>
      <w:r w:rsidRPr="0082262E">
        <w:rPr>
          <w:rFonts w:ascii="Times New Roman" w:hAnsi="Times New Roman" w:cs="Times New Roman"/>
          <w:sz w:val="24"/>
          <w:szCs w:val="24"/>
        </w:rPr>
        <w:t>than</w:t>
      </w:r>
      <w:r w:rsidRPr="0082262E">
        <w:rPr>
          <w:rFonts w:ascii="Times New Roman" w:hAnsi="Times New Roman" w:cs="Times New Roman"/>
          <w:spacing w:val="-16"/>
          <w:sz w:val="24"/>
          <w:szCs w:val="24"/>
        </w:rPr>
        <w:t xml:space="preserve"> </w:t>
      </w:r>
      <w:r w:rsidRPr="0082262E">
        <w:rPr>
          <w:rFonts w:ascii="Times New Roman" w:hAnsi="Times New Roman" w:cs="Times New Roman"/>
          <w:sz w:val="24"/>
          <w:szCs w:val="24"/>
        </w:rPr>
        <w:t>quarterly;</w:t>
      </w:r>
    </w:p>
    <w:p w:rsidR="008A426B" w:rsidP="008A426B">
      <w:pPr>
        <w:pStyle w:val="ListParagraph"/>
        <w:autoSpaceDE w:val="0"/>
        <w:autoSpaceDN w:val="0"/>
        <w:spacing w:before="120"/>
        <w:contextualSpacing w:val="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 xml:space="preserve">The NARFS IV will be a cross-sectional volunteer survey asking anglers to respond once to a single questionnaire.  </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 xml:space="preserve">requiring respondents to prepare a written response to a collection of information in fewer than 30 days after receipt of </w:t>
      </w:r>
      <w:r w:rsidRPr="0082262E">
        <w:rPr>
          <w:rFonts w:ascii="Times New Roman" w:hAnsi="Times New Roman" w:cs="Times New Roman"/>
          <w:sz w:val="24"/>
          <w:szCs w:val="24"/>
        </w:rPr>
        <w:t>it;</w:t>
      </w:r>
    </w:p>
    <w:p w:rsidR="008A426B" w:rsidP="008A426B">
      <w:pPr>
        <w:pStyle w:val="ListParagraph"/>
        <w:spacing w:before="12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 xml:space="preserve">Anglers receiving the NARFS IV will be asked to fill out a </w:t>
      </w:r>
      <w:r w:rsidR="007521A9">
        <w:rPr>
          <w:rFonts w:ascii="Times New Roman" w:hAnsi="Times New Roman" w:cs="Times New Roman"/>
          <w:sz w:val="24"/>
          <w:szCs w:val="24"/>
        </w:rPr>
        <w:t>multiple-choice</w:t>
      </w:r>
      <w:r>
        <w:rPr>
          <w:rFonts w:ascii="Times New Roman" w:hAnsi="Times New Roman" w:cs="Times New Roman"/>
          <w:sz w:val="24"/>
          <w:szCs w:val="24"/>
        </w:rPr>
        <w:t xml:space="preserve"> questionnaire with no required written responses.  </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requiring respondents to submit more than an original and two copies of any</w:t>
      </w:r>
      <w:r w:rsidRPr="0082262E">
        <w:rPr>
          <w:rFonts w:ascii="Times New Roman" w:hAnsi="Times New Roman" w:cs="Times New Roman"/>
          <w:spacing w:val="-16"/>
          <w:sz w:val="24"/>
          <w:szCs w:val="24"/>
        </w:rPr>
        <w:t xml:space="preserve"> </w:t>
      </w:r>
      <w:r w:rsidRPr="0082262E">
        <w:rPr>
          <w:rFonts w:ascii="Times New Roman" w:hAnsi="Times New Roman" w:cs="Times New Roman"/>
          <w:sz w:val="24"/>
          <w:szCs w:val="24"/>
        </w:rPr>
        <w:t>document;</w:t>
      </w:r>
    </w:p>
    <w:p w:rsidR="008A426B" w:rsidP="008A426B">
      <w:pPr>
        <w:pStyle w:val="ListParagraph"/>
        <w:autoSpaceDE w:val="0"/>
        <w:autoSpaceDN w:val="0"/>
        <w:spacing w:before="120"/>
        <w:contextualSpacing w:val="0"/>
        <w:rPr>
          <w:rFonts w:ascii="Times New Roman" w:hAnsi="Times New Roman" w:cs="Times New Roman"/>
          <w:sz w:val="24"/>
          <w:szCs w:val="24"/>
        </w:rPr>
      </w:pPr>
    </w:p>
    <w:p w:rsidR="008A426B" w:rsidRPr="0082262E" w:rsidP="008A426B">
      <w:pPr>
        <w:pStyle w:val="ListParagraph"/>
        <w:spacing w:before="120"/>
        <w:ind w:left="760"/>
        <w:rPr>
          <w:rFonts w:ascii="Times New Roman" w:hAnsi="Times New Roman" w:cs="Times New Roman"/>
          <w:sz w:val="24"/>
          <w:szCs w:val="24"/>
        </w:rPr>
      </w:pPr>
      <w:r>
        <w:rPr>
          <w:rFonts w:ascii="Times New Roman" w:hAnsi="Times New Roman" w:cs="Times New Roman"/>
          <w:sz w:val="24"/>
          <w:szCs w:val="24"/>
        </w:rPr>
        <w:t xml:space="preserve">The NARFS IV will be a cross-sectional volunteer survey asking anglers to respond once to a single questionnaire.  </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requiring respondents to retain records, other than health, medical, government contract, grant-in- aid, or tax records for more than three</w:t>
      </w:r>
      <w:r w:rsidRPr="0082262E">
        <w:rPr>
          <w:rFonts w:ascii="Times New Roman" w:hAnsi="Times New Roman" w:cs="Times New Roman"/>
          <w:spacing w:val="-4"/>
          <w:sz w:val="24"/>
          <w:szCs w:val="24"/>
        </w:rPr>
        <w:t xml:space="preserve"> </w:t>
      </w:r>
      <w:r w:rsidRPr="0082262E">
        <w:rPr>
          <w:rFonts w:ascii="Times New Roman" w:hAnsi="Times New Roman" w:cs="Times New Roman"/>
          <w:sz w:val="24"/>
          <w:szCs w:val="24"/>
        </w:rPr>
        <w:t>years;</w:t>
      </w:r>
    </w:p>
    <w:p w:rsidR="008A426B" w:rsidP="008A426B">
      <w:pPr>
        <w:pStyle w:val="ListParagraph"/>
        <w:spacing w:before="12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 xml:space="preserve">Respondents to the NARFS IV will not be asked to retain any records of any kind.   </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in connection with a statistical survey, that is not designed to produce valid and reliable results that can be generalized to the universe of</w:t>
      </w:r>
      <w:r w:rsidRPr="0082262E">
        <w:rPr>
          <w:rFonts w:ascii="Times New Roman" w:hAnsi="Times New Roman" w:cs="Times New Roman"/>
          <w:spacing w:val="-5"/>
          <w:sz w:val="24"/>
          <w:szCs w:val="24"/>
        </w:rPr>
        <w:t xml:space="preserve"> </w:t>
      </w:r>
      <w:r w:rsidRPr="0082262E">
        <w:rPr>
          <w:rFonts w:ascii="Times New Roman" w:hAnsi="Times New Roman" w:cs="Times New Roman"/>
          <w:sz w:val="24"/>
          <w:szCs w:val="24"/>
        </w:rPr>
        <w:t>study;</w:t>
      </w:r>
    </w:p>
    <w:p w:rsidR="008A426B" w:rsidP="008A426B">
      <w:pPr>
        <w:pStyle w:val="ListParagraph"/>
        <w:spacing w:before="12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 xml:space="preserve">A stratified </w:t>
      </w:r>
      <w:r>
        <w:rPr>
          <w:rFonts w:ascii="Times New Roman" w:hAnsi="Times New Roman" w:cs="Times New Roman"/>
          <w:sz w:val="24"/>
          <w:szCs w:val="24"/>
        </w:rPr>
        <w:t>random sampling design will be strictly adhered to so that the results can be generalized to the population of summer flounder and black sea bass anglers in the North Atlantic.</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requiring the use of a statistical data classification that has not been review</w:t>
      </w:r>
      <w:r w:rsidRPr="0082262E">
        <w:rPr>
          <w:rFonts w:ascii="Times New Roman" w:hAnsi="Times New Roman" w:cs="Times New Roman"/>
          <w:sz w:val="24"/>
          <w:szCs w:val="24"/>
        </w:rPr>
        <w:t>ed and approved by OMB;</w:t>
      </w:r>
    </w:p>
    <w:p w:rsidR="008A426B" w:rsidP="008A426B">
      <w:pPr>
        <w:pStyle w:val="ListParagraph"/>
        <w:autoSpaceDE w:val="0"/>
        <w:autoSpaceDN w:val="0"/>
        <w:spacing w:before="120"/>
        <w:contextualSpacing w:val="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The probability-based sampling design we propose to employ for the NARFS IV is shown in this Supporting Statement.</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that includes a pledge of confidentiality that is not supported by authority established in statute or regulation, t</w:t>
      </w:r>
      <w:r w:rsidRPr="0082262E">
        <w:rPr>
          <w:rFonts w:ascii="Times New Roman" w:hAnsi="Times New Roman" w:cs="Times New Roman"/>
          <w:sz w:val="24"/>
          <w:szCs w:val="24"/>
        </w:rPr>
        <w:t>hat is not supported by disclosure and data security policies that are consistent with the pledge, or which unnecessarily impedes sharing of data with other agencies for compatible confidential use;</w:t>
      </w:r>
      <w:r w:rsidRPr="0082262E">
        <w:rPr>
          <w:rFonts w:ascii="Times New Roman" w:hAnsi="Times New Roman" w:cs="Times New Roman"/>
          <w:spacing w:val="-6"/>
          <w:sz w:val="24"/>
          <w:szCs w:val="24"/>
        </w:rPr>
        <w:t xml:space="preserve"> </w:t>
      </w:r>
      <w:r w:rsidRPr="0082262E">
        <w:rPr>
          <w:rFonts w:ascii="Times New Roman" w:hAnsi="Times New Roman" w:cs="Times New Roman"/>
          <w:sz w:val="24"/>
          <w:szCs w:val="24"/>
        </w:rPr>
        <w:t>or</w:t>
      </w:r>
    </w:p>
    <w:p w:rsidR="008A426B" w:rsidP="008A426B">
      <w:pPr>
        <w:pStyle w:val="ListParagraph"/>
        <w:spacing w:before="120"/>
        <w:rPr>
          <w:rFonts w:ascii="Times New Roman" w:hAnsi="Times New Roman" w:cs="Times New Roman"/>
          <w:sz w:val="24"/>
          <w:szCs w:val="24"/>
        </w:rPr>
      </w:pPr>
    </w:p>
    <w:p w:rsidR="008A426B" w:rsidRPr="0082262E" w:rsidP="008A426B">
      <w:pPr>
        <w:pStyle w:val="ListParagraph"/>
        <w:spacing w:before="120"/>
        <w:rPr>
          <w:rFonts w:ascii="Times New Roman" w:hAnsi="Times New Roman" w:cs="Times New Roman"/>
          <w:sz w:val="24"/>
          <w:szCs w:val="24"/>
        </w:rPr>
      </w:pPr>
      <w:r>
        <w:rPr>
          <w:rFonts w:ascii="Times New Roman" w:hAnsi="Times New Roman" w:cs="Times New Roman"/>
          <w:sz w:val="24"/>
          <w:szCs w:val="24"/>
        </w:rPr>
        <w:t>The NARFS IV will collect voluntary information on an</w:t>
      </w:r>
      <w:r>
        <w:rPr>
          <w:rFonts w:ascii="Times New Roman" w:hAnsi="Times New Roman" w:cs="Times New Roman"/>
          <w:sz w:val="24"/>
          <w:szCs w:val="24"/>
        </w:rPr>
        <w:t>glers’ preferences for summer flounder</w:t>
      </w:r>
      <w:r w:rsidR="008A4117">
        <w:rPr>
          <w:rFonts w:ascii="Times New Roman" w:hAnsi="Times New Roman" w:cs="Times New Roman"/>
          <w:sz w:val="24"/>
          <w:szCs w:val="24"/>
        </w:rPr>
        <w:t>,</w:t>
      </w:r>
      <w:r>
        <w:rPr>
          <w:rFonts w:ascii="Times New Roman" w:hAnsi="Times New Roman" w:cs="Times New Roman"/>
          <w:sz w:val="24"/>
          <w:szCs w:val="24"/>
        </w:rPr>
        <w:t xml:space="preserve"> black sea bass</w:t>
      </w:r>
      <w:r w:rsidR="008A4117">
        <w:rPr>
          <w:rFonts w:ascii="Times New Roman" w:hAnsi="Times New Roman" w:cs="Times New Roman"/>
          <w:sz w:val="24"/>
          <w:szCs w:val="24"/>
        </w:rPr>
        <w:t>, and scup</w:t>
      </w:r>
      <w:r>
        <w:rPr>
          <w:rFonts w:ascii="Times New Roman" w:hAnsi="Times New Roman" w:cs="Times New Roman"/>
          <w:sz w:val="24"/>
          <w:szCs w:val="24"/>
        </w:rPr>
        <w:t xml:space="preserve">. No pledge of confidentiality will be required. </w:t>
      </w:r>
    </w:p>
    <w:p w:rsidR="008A426B" w:rsidP="008A426B">
      <w:pPr>
        <w:pStyle w:val="ListParagraph"/>
        <w:numPr>
          <w:ilvl w:val="0"/>
          <w:numId w:val="5"/>
        </w:numPr>
        <w:autoSpaceDE w:val="0"/>
        <w:autoSpaceDN w:val="0"/>
        <w:spacing w:before="120"/>
        <w:ind w:left="720"/>
        <w:contextualSpacing w:val="0"/>
        <w:rPr>
          <w:rFonts w:ascii="Times New Roman" w:hAnsi="Times New Roman" w:cs="Times New Roman"/>
          <w:sz w:val="24"/>
          <w:szCs w:val="24"/>
        </w:rPr>
      </w:pPr>
      <w:r w:rsidRPr="0082262E">
        <w:rPr>
          <w:rFonts w:ascii="Times New Roman" w:hAnsi="Times New Roman" w:cs="Times New Roman"/>
          <w:sz w:val="24"/>
          <w:szCs w:val="24"/>
        </w:rPr>
        <w:t xml:space="preserve">requiring respondents to submit proprietary trade secret, or other confidential information unless the agency can demonstrate that it has </w:t>
      </w:r>
      <w:r w:rsidRPr="0082262E">
        <w:rPr>
          <w:rFonts w:ascii="Times New Roman" w:hAnsi="Times New Roman" w:cs="Times New Roman"/>
          <w:sz w:val="24"/>
          <w:szCs w:val="24"/>
        </w:rPr>
        <w:t>instituted procedures to protect the information's confidentiality to the extent permitted by</w:t>
      </w:r>
      <w:r w:rsidRPr="0082262E">
        <w:rPr>
          <w:rFonts w:ascii="Times New Roman" w:hAnsi="Times New Roman" w:cs="Times New Roman"/>
          <w:spacing w:val="-3"/>
          <w:sz w:val="24"/>
          <w:szCs w:val="24"/>
        </w:rPr>
        <w:t xml:space="preserve"> </w:t>
      </w:r>
      <w:r>
        <w:rPr>
          <w:rFonts w:ascii="Times New Roman" w:hAnsi="Times New Roman" w:cs="Times New Roman"/>
          <w:sz w:val="24"/>
          <w:szCs w:val="24"/>
        </w:rPr>
        <w:t>law.</w:t>
      </w:r>
    </w:p>
    <w:p w:rsidR="008A426B" w:rsidP="008A426B">
      <w:pPr>
        <w:pStyle w:val="ListParagraph"/>
        <w:autoSpaceDE w:val="0"/>
        <w:autoSpaceDN w:val="0"/>
        <w:spacing w:before="120"/>
        <w:contextualSpacing w:val="0"/>
        <w:rPr>
          <w:rFonts w:ascii="Times New Roman" w:hAnsi="Times New Roman" w:cs="Times New Roman"/>
          <w:sz w:val="24"/>
          <w:szCs w:val="24"/>
        </w:rPr>
      </w:pPr>
    </w:p>
    <w:p w:rsidR="008A426B" w:rsidRPr="008A426B" w:rsidP="008A426B">
      <w:pPr>
        <w:pStyle w:val="ListParagraph"/>
        <w:spacing w:before="120"/>
        <w:ind w:left="760"/>
        <w:rPr>
          <w:rFonts w:ascii="Times New Roman" w:hAnsi="Times New Roman" w:cs="Times New Roman"/>
          <w:sz w:val="24"/>
          <w:szCs w:val="24"/>
        </w:rPr>
      </w:pPr>
      <w:r>
        <w:rPr>
          <w:rFonts w:ascii="Times New Roman" w:hAnsi="Times New Roman" w:cs="Times New Roman"/>
          <w:sz w:val="24"/>
          <w:szCs w:val="24"/>
        </w:rPr>
        <w:t>The NARFS IV will collect voluntary information on anglers’ preferences for summer flounder. No respondents will be asked to divulge proprietary trade secre</w:t>
      </w:r>
      <w:r>
        <w:rPr>
          <w:rFonts w:ascii="Times New Roman" w:hAnsi="Times New Roman" w:cs="Times New Roman"/>
          <w:sz w:val="24"/>
          <w:szCs w:val="24"/>
        </w:rPr>
        <w:t xml:space="preserve">ts. </w:t>
      </w:r>
    </w:p>
    <w:p w:rsidR="00E11284">
      <w:pPr>
        <w:pBdr>
          <w:top w:val="nil"/>
          <w:left w:val="nil"/>
          <w:bottom w:val="nil"/>
          <w:right w:val="nil"/>
          <w:between w:val="nil"/>
        </w:pBdr>
        <w:spacing w:before="120"/>
        <w:ind w:left="720"/>
        <w:rPr>
          <w:rFonts w:ascii="Times New Roman" w:eastAsia="Times New Roman" w:hAnsi="Times New Roman" w:cs="Times New Roman"/>
          <w:color w:val="00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 xml:space="preserve">If applicable, provide a copy and identify the date and page number of publications in the Federal Register of the agency's notice, required by 5 CFR 1320.8 (d), soliciting comments on the information collection prior to submission to OMB. Summarize </w:t>
      </w:r>
      <w:r>
        <w:rPr>
          <w:rFonts w:ascii="Times New Roman" w:eastAsia="Times New Roman" w:hAnsi="Times New Roman" w:cs="Times New Roman"/>
          <w:b/>
          <w:color w:val="000000"/>
          <w:sz w:val="24"/>
          <w:szCs w:val="24"/>
        </w:rPr>
        <w:t>public comments received in response to that notice and describe actions taken by the agency in response to these comments. Specifically address comments received on cost and hour burden.</w:t>
      </w:r>
    </w:p>
    <w:p w:rsidR="00E11284">
      <w:pPr>
        <w:rPr>
          <w:rFonts w:ascii="Times New Roman" w:eastAsia="Times New Roman" w:hAnsi="Times New Roman" w:cs="Times New Roman"/>
          <w:sz w:val="24"/>
          <w:szCs w:val="24"/>
        </w:rPr>
      </w:pPr>
    </w:p>
    <w:p w:rsidR="007521A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Federal Register Notice published on </w:t>
      </w:r>
      <w:r w:rsidR="00073762">
        <w:rPr>
          <w:rFonts w:ascii="Times New Roman" w:eastAsia="Times New Roman" w:hAnsi="Times New Roman" w:cs="Times New Roman"/>
          <w:color w:val="4F81BD" w:themeColor="accent1"/>
          <w:sz w:val="24"/>
          <w:szCs w:val="24"/>
        </w:rPr>
        <w:t>March 21, 2022</w:t>
      </w:r>
      <w:r>
        <w:rPr>
          <w:rFonts w:ascii="Times New Roman" w:eastAsia="Times New Roman" w:hAnsi="Times New Roman" w:cs="Times New Roman"/>
          <w:color w:val="4F81BD" w:themeColor="accent1"/>
          <w:sz w:val="24"/>
          <w:szCs w:val="24"/>
        </w:rPr>
        <w:t xml:space="preserve"> (87 FR </w:t>
      </w:r>
      <w:r w:rsidR="00073762">
        <w:rPr>
          <w:rFonts w:ascii="Times New Roman" w:eastAsia="Times New Roman" w:hAnsi="Times New Roman" w:cs="Times New Roman"/>
          <w:color w:val="4F81BD" w:themeColor="accent1"/>
          <w:sz w:val="24"/>
          <w:szCs w:val="24"/>
        </w:rPr>
        <w:t>15918</w:t>
      </w:r>
      <w:r>
        <w:rPr>
          <w:rFonts w:ascii="Times New Roman" w:eastAsia="Times New Roman" w:hAnsi="Times New Roman" w:cs="Times New Roman"/>
          <w:color w:val="4F81BD" w:themeColor="accent1"/>
          <w:sz w:val="24"/>
          <w:szCs w:val="24"/>
        </w:rPr>
        <w:t>)</w:t>
      </w:r>
      <w:r w:rsidR="005E05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solicited public comments. </w:t>
      </w:r>
      <w:r w:rsidRPr="00DA705B">
        <w:rPr>
          <w:rFonts w:ascii="Times New Roman" w:eastAsia="Times New Roman" w:hAnsi="Times New Roman" w:cs="Times New Roman"/>
          <w:sz w:val="24"/>
          <w:szCs w:val="24"/>
        </w:rPr>
        <w:t xml:space="preserve">One comment was received but found to be non-substantive and outside the scope of this collection. </w:t>
      </w:r>
      <w:r>
        <w:rPr>
          <w:rFonts w:ascii="Times New Roman" w:eastAsia="Times New Roman" w:hAnsi="Times New Roman" w:cs="Times New Roman"/>
          <w:sz w:val="24"/>
          <w:szCs w:val="24"/>
        </w:rPr>
        <w:t xml:space="preserve"> </w:t>
      </w:r>
    </w:p>
    <w:p w:rsidR="007521A9">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also consulted with </w:t>
      </w:r>
      <w:r w:rsidR="005E0527">
        <w:rPr>
          <w:rFonts w:ascii="Times New Roman" w:eastAsia="Times New Roman" w:hAnsi="Times New Roman" w:cs="Times New Roman"/>
          <w:sz w:val="24"/>
          <w:szCs w:val="24"/>
        </w:rPr>
        <w:t>state officials at the nine Atlantic coast states regard</w:t>
      </w:r>
      <w:r>
        <w:rPr>
          <w:rFonts w:ascii="Times New Roman" w:eastAsia="Times New Roman" w:hAnsi="Times New Roman" w:cs="Times New Roman"/>
          <w:sz w:val="24"/>
          <w:szCs w:val="24"/>
        </w:rPr>
        <w:t>ing the data we are collecting</w:t>
      </w:r>
      <w:r w:rsidR="007521A9">
        <w:rPr>
          <w:rFonts w:ascii="Times New Roman" w:eastAsia="Times New Roman" w:hAnsi="Times New Roman" w:cs="Times New Roman"/>
          <w:sz w:val="24"/>
          <w:szCs w:val="24"/>
        </w:rPr>
        <w:t xml:space="preserve"> </w:t>
      </w:r>
      <w:r w:rsidRPr="00DA705B" w:rsidR="007521A9">
        <w:rPr>
          <w:rFonts w:ascii="Times New Roman" w:hAnsi="Times New Roman" w:cs="Times New Roman"/>
          <w:sz w:val="24"/>
          <w:szCs w:val="24"/>
        </w:rPr>
        <w:t>to obtain their views on the availability of data, frequency of collection, the clarity of instructions and recordkeeping, disclosure, or reporting format (if any), and on the data elements to be recorded, disclosed, or reported.</w:t>
      </w:r>
      <w:r>
        <w:rPr>
          <w:rFonts w:ascii="Times New Roman" w:eastAsia="Times New Roman" w:hAnsi="Times New Roman" w:cs="Times New Roman"/>
          <w:sz w:val="24"/>
          <w:szCs w:val="24"/>
        </w:rPr>
        <w:t xml:space="preserve"> They could not identify any existing </w:t>
      </w:r>
      <w:r>
        <w:rPr>
          <w:rFonts w:ascii="Times New Roman" w:eastAsia="Times New Roman" w:hAnsi="Times New Roman" w:cs="Times New Roman"/>
          <w:sz w:val="24"/>
          <w:szCs w:val="24"/>
        </w:rPr>
        <w:t>or planned duplicative survey efforts.</w:t>
      </w:r>
      <w:r w:rsidR="007521A9">
        <w:rPr>
          <w:rFonts w:ascii="Times New Roman" w:eastAsia="Times New Roman" w:hAnsi="Times New Roman" w:cs="Times New Roman"/>
          <w:sz w:val="24"/>
          <w:szCs w:val="24"/>
        </w:rPr>
        <w:t xml:space="preserve"> No other </w:t>
      </w:r>
      <w:r w:rsidR="007521A9">
        <w:rPr>
          <w:rFonts w:ascii="Times New Roman" w:eastAsia="Times New Roman" w:hAnsi="Times New Roman" w:cs="Times New Roman"/>
          <w:sz w:val="24"/>
          <w:szCs w:val="24"/>
        </w:rPr>
        <w:t>comments were received.</w:t>
      </w:r>
    </w:p>
    <w:p w:rsidR="00E11284" w:rsidRPr="005E0527">
      <w:pPr>
        <w:pBdr>
          <w:top w:val="nil"/>
          <w:left w:val="nil"/>
          <w:bottom w:val="nil"/>
          <w:right w:val="nil"/>
          <w:between w:val="nil"/>
        </w:pBdr>
        <w:spacing w:before="159"/>
        <w:rPr>
          <w:rFonts w:ascii="Times New Roman" w:eastAsia="Times New Roman" w:hAnsi="Times New Roman" w:cs="Times New Roman"/>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Explain any decision to provide any payment or gift to respondents, other than remuneration of contractors or grantees.</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of the incentive research conducted as part of the</w:t>
      </w:r>
      <w:r>
        <w:rPr>
          <w:rFonts w:ascii="Times New Roman" w:eastAsia="Times New Roman" w:hAnsi="Times New Roman" w:cs="Times New Roman"/>
          <w:sz w:val="24"/>
          <w:szCs w:val="24"/>
        </w:rPr>
        <w:t xml:space="preserve"> original NARFS, a $2 incentive will be included in </w:t>
      </w:r>
      <w:r w:rsidR="00317103">
        <w:rPr>
          <w:rFonts w:ascii="Times New Roman" w:eastAsia="Times New Roman" w:hAnsi="Times New Roman" w:cs="Times New Roman"/>
          <w:sz w:val="24"/>
          <w:szCs w:val="24"/>
        </w:rPr>
        <w:t>4</w:t>
      </w:r>
      <w:r>
        <w:rPr>
          <w:rFonts w:ascii="Times New Roman" w:eastAsia="Times New Roman" w:hAnsi="Times New Roman" w:cs="Times New Roman"/>
          <w:sz w:val="24"/>
          <w:szCs w:val="24"/>
        </w:rPr>
        <w:t>,000 mail survey invitations to maximize survey participation for NARFS I</w:t>
      </w:r>
      <w:r w:rsidR="002B2886">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and mitigate survey nonresponse bias by attracting participation from those who otherwise might not respond to the survey.  As part of OMB’s</w:t>
      </w:r>
      <w:r>
        <w:t xml:space="preserve"> </w:t>
      </w:r>
      <w:r>
        <w:rPr>
          <w:rFonts w:ascii="Times New Roman" w:eastAsia="Times New Roman" w:hAnsi="Times New Roman" w:cs="Times New Roman"/>
          <w:sz w:val="24"/>
          <w:szCs w:val="24"/>
        </w:rPr>
        <w:t>"Terms of Clearance" for the original NARFS ICR, "a copy of the survey results, including the results pertaining t</w:t>
      </w:r>
      <w:r>
        <w:rPr>
          <w:rFonts w:ascii="Times New Roman" w:eastAsia="Times New Roman" w:hAnsi="Times New Roman" w:cs="Times New Roman"/>
          <w:sz w:val="24"/>
          <w:szCs w:val="24"/>
        </w:rPr>
        <w:t xml:space="preserve">o response rates with and without the incentive payment" was requested by OMB.  A copy of the final survey report, completed by the contractor NMFS hired to conduct the NARFS on NMFS behalf, was forwarded to OMB by NOAA’s PRA Officer on May 7, 2020 (North </w:t>
      </w:r>
      <w:r>
        <w:rPr>
          <w:rFonts w:ascii="Times New Roman" w:eastAsia="Times New Roman" w:hAnsi="Times New Roman" w:cs="Times New Roman"/>
          <w:sz w:val="24"/>
          <w:szCs w:val="24"/>
        </w:rPr>
        <w:t xml:space="preserve">Atlantic Recreational Fishing Survey Report 2020).  The NARFS </w:t>
      </w:r>
      <w:r w:rsidR="005E052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survey report provides considerable detail about survey sampling, survey implementation, survey outcomes, an assessment of the effects of the incentive ($2) on survey response rates, and recom</w:t>
      </w:r>
      <w:r>
        <w:rPr>
          <w:rFonts w:ascii="Times New Roman" w:eastAsia="Times New Roman" w:hAnsi="Times New Roman" w:cs="Times New Roman"/>
          <w:sz w:val="24"/>
          <w:szCs w:val="24"/>
        </w:rPr>
        <w:t xml:space="preserve">mendations for future NMFS </w:t>
      </w:r>
      <w:r w:rsidR="005E0527">
        <w:rPr>
          <w:rFonts w:ascii="Times New Roman" w:eastAsia="Times New Roman" w:hAnsi="Times New Roman" w:cs="Times New Roman"/>
          <w:sz w:val="24"/>
          <w:szCs w:val="24"/>
        </w:rPr>
        <w:t>surveys of recreational anglers.</w:t>
      </w:r>
    </w:p>
    <w:p w:rsidR="00E11284">
      <w:pPr>
        <w:widowControl/>
        <w:rPr>
          <w:rFonts w:ascii="Times New Roman" w:eastAsia="Times New Roman" w:hAnsi="Times New Roman" w:cs="Times New Roman"/>
          <w:sz w:val="24"/>
          <w:szCs w:val="24"/>
        </w:rPr>
      </w:pPr>
    </w:p>
    <w:p w:rsidR="00E1128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the NARFS </w:t>
      </w:r>
      <w:r w:rsidR="005E052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incentive experiment, the findings aligned with previous research on small monetary prepaid incentives, as sampled anglers who received the $2 incentive condition were sig</w:t>
      </w:r>
      <w:r>
        <w:rPr>
          <w:rFonts w:ascii="Times New Roman" w:eastAsia="Times New Roman" w:hAnsi="Times New Roman" w:cs="Times New Roman"/>
          <w:sz w:val="24"/>
          <w:szCs w:val="24"/>
        </w:rPr>
        <w:t xml:space="preserve">nificantly more likely to respond to the questionnaire than respondents that did not receive the incentive (38.46% versus 25.31% respectively; chi-square = 56.45, p &lt; 0.001).  Thus, the NARFS </w:t>
      </w:r>
      <w:r w:rsidR="005E0527">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final survey report recommended that future NMFS sponsored sur</w:t>
      </w:r>
      <w:r>
        <w:rPr>
          <w:rFonts w:ascii="Times New Roman" w:eastAsia="Times New Roman" w:hAnsi="Times New Roman" w:cs="Times New Roman"/>
          <w:sz w:val="24"/>
          <w:szCs w:val="24"/>
        </w:rPr>
        <w:t>veys of recreational anglers include a small monetary prepaid incentive to increase survey response and mitigate survey non</w:t>
      </w:r>
      <w:r w:rsidR="005E0527">
        <w:rPr>
          <w:rFonts w:ascii="Times New Roman" w:eastAsia="Times New Roman" w:hAnsi="Times New Roman" w:cs="Times New Roman"/>
          <w:sz w:val="24"/>
          <w:szCs w:val="24"/>
        </w:rPr>
        <w:t xml:space="preserve">response bias. We followed this recommendation for the NARFS II </w:t>
      </w:r>
      <w:r w:rsidR="00317103">
        <w:rPr>
          <w:rFonts w:ascii="Times New Roman" w:eastAsia="Times New Roman" w:hAnsi="Times New Roman" w:cs="Times New Roman"/>
          <w:sz w:val="24"/>
          <w:szCs w:val="24"/>
        </w:rPr>
        <w:t xml:space="preserve">survey </w:t>
      </w:r>
      <w:r w:rsidR="005E0527">
        <w:rPr>
          <w:rFonts w:ascii="Times New Roman" w:eastAsia="Times New Roman" w:hAnsi="Times New Roman" w:cs="Times New Roman"/>
          <w:sz w:val="24"/>
          <w:szCs w:val="24"/>
        </w:rPr>
        <w:t xml:space="preserve">and </w:t>
      </w:r>
      <w:r w:rsidR="00317103">
        <w:rPr>
          <w:rFonts w:ascii="Times New Roman" w:eastAsia="Times New Roman" w:hAnsi="Times New Roman" w:cs="Times New Roman"/>
          <w:sz w:val="24"/>
          <w:szCs w:val="24"/>
        </w:rPr>
        <w:t xml:space="preserve">will be including a $2 incentive when we conduct </w:t>
      </w:r>
      <w:r w:rsidR="005E0527">
        <w:rPr>
          <w:rFonts w:ascii="Times New Roman" w:eastAsia="Times New Roman" w:hAnsi="Times New Roman" w:cs="Times New Roman"/>
          <w:sz w:val="24"/>
          <w:szCs w:val="24"/>
        </w:rPr>
        <w:t xml:space="preserve">NARFS III </w:t>
      </w:r>
      <w:r w:rsidR="00317103">
        <w:rPr>
          <w:rFonts w:ascii="Times New Roman" w:eastAsia="Times New Roman" w:hAnsi="Times New Roman" w:cs="Times New Roman"/>
          <w:sz w:val="24"/>
          <w:szCs w:val="24"/>
        </w:rPr>
        <w:t>survey later this year.</w:t>
      </w:r>
    </w:p>
    <w:p w:rsidR="00317103">
      <w:pPr>
        <w:widowControl/>
        <w:rPr>
          <w:rFonts w:ascii="Times New Roman" w:eastAsia="Times New Roman" w:hAnsi="Times New Roman" w:cs="Times New Roman"/>
          <w:sz w:val="24"/>
          <w:szCs w:val="24"/>
        </w:rPr>
      </w:pPr>
    </w:p>
    <w:p w:rsidR="00E11284">
      <w:pPr>
        <w:widowControl/>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Also relevant to the proposed NARFS I</w:t>
      </w:r>
      <w:r w:rsidR="005E052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are the results of a pilot test of the West Coast Saltwater Fishing Survey (WCSFS) (ICF 2018; OMB Control No. 0648-0750). Anglers in California, Oregon, and Washington who had saltwater fishe</w:t>
      </w:r>
      <w:r>
        <w:rPr>
          <w:rFonts w:ascii="Times New Roman" w:eastAsia="Times New Roman" w:hAnsi="Times New Roman" w:cs="Times New Roman"/>
          <w:sz w:val="24"/>
          <w:szCs w:val="24"/>
        </w:rPr>
        <w:t>d in the last 12 months constituted the target population for the WCSFS. A random sample of 4,000 records, stratified by four regions (Northern California, Southern California, Oregon, and Washington) was drawn for the pilot test. The 4,000 sampled anglers</w:t>
      </w:r>
      <w:r>
        <w:rPr>
          <w:rFonts w:ascii="Times New Roman" w:eastAsia="Times New Roman" w:hAnsi="Times New Roman" w:cs="Times New Roman"/>
          <w:sz w:val="24"/>
          <w:szCs w:val="24"/>
        </w:rPr>
        <w:t xml:space="preserve"> were randomly assigned to one of three incentive levels (no incentive, $2, or $5) mailed with the first contact. </w:t>
      </w:r>
    </w:p>
    <w:p w:rsidR="00E11284">
      <w:pPr>
        <w:widowControl/>
        <w:tabs>
          <w:tab w:val="left" w:pos="720"/>
        </w:tabs>
        <w:rPr>
          <w:rFonts w:ascii="Times New Roman" w:eastAsia="Times New Roman" w:hAnsi="Times New Roman" w:cs="Times New Roman"/>
          <w:sz w:val="24"/>
          <w:szCs w:val="24"/>
        </w:rPr>
      </w:pPr>
    </w:p>
    <w:p w:rsidR="00E11284">
      <w:pPr>
        <w:widowControl/>
        <w:tabs>
          <w:tab w:val="left" w:pos="720"/>
        </w:tabs>
        <w:rPr>
          <w:sz w:val="24"/>
          <w:szCs w:val="24"/>
        </w:rPr>
      </w:pPr>
      <w:r>
        <w:rPr>
          <w:rFonts w:ascii="Times New Roman" w:eastAsia="Times New Roman" w:hAnsi="Times New Roman" w:cs="Times New Roman"/>
          <w:sz w:val="24"/>
          <w:szCs w:val="24"/>
        </w:rPr>
        <w:t>Each level of incentive significantly led to additional screener returns (Figure 1). The return rate for the $0 incentive amount was 11%. Ad</w:t>
      </w:r>
      <w:r>
        <w:rPr>
          <w:rFonts w:ascii="Times New Roman" w:eastAsia="Times New Roman" w:hAnsi="Times New Roman" w:cs="Times New Roman"/>
          <w:sz w:val="24"/>
          <w:szCs w:val="24"/>
        </w:rPr>
        <w:t>ding $2 increased the return rate by 14 percentage points to 25% (z = -9.692; p &lt; 0.001). Adding $3 more ($2 v. $5) increased completion by 4 percentage points more to 29% (z = -2.101, p = 0.036 for the comparison between $2 and $5). The finding further wa</w:t>
      </w:r>
      <w:r>
        <w:rPr>
          <w:rFonts w:ascii="Times New Roman" w:eastAsia="Times New Roman" w:hAnsi="Times New Roman" w:cs="Times New Roman"/>
          <w:sz w:val="24"/>
          <w:szCs w:val="24"/>
        </w:rPr>
        <w:t>rrants including a $2 incentive in all of the mail correspondences during the NARFS I</w:t>
      </w:r>
      <w:r w:rsidR="002B2886">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sampling procedure, We discuss this in detail in our response to question B3. </w:t>
      </w:r>
    </w:p>
    <w:p w:rsidR="00E11284">
      <w:pPr>
        <w:widowControl/>
        <w:tabs>
          <w:tab w:val="left" w:pos="720"/>
        </w:tabs>
        <w:rPr>
          <w:sz w:val="24"/>
          <w:szCs w:val="24"/>
        </w:rPr>
      </w:pPr>
    </w:p>
    <w:p w:rsidR="00E11284">
      <w:pPr>
        <w:rPr>
          <w:sz w:val="24"/>
          <w:szCs w:val="24"/>
        </w:rPr>
      </w:pPr>
    </w:p>
    <w:p w:rsidR="00E11284">
      <w:pPr>
        <w:rPr>
          <w:sz w:val="24"/>
          <w:szCs w:val="24"/>
        </w:rPr>
      </w:pPr>
    </w:p>
    <w:p w:rsidR="00E11284">
      <w:pPr>
        <w:rPr>
          <w:sz w:val="24"/>
          <w:szCs w:val="24"/>
        </w:rPr>
      </w:pPr>
      <w:r>
        <w:rPr>
          <w:noProof/>
        </w:rPr>
        <w:drawing>
          <wp:anchor distT="0" distB="0" distL="114300" distR="114300" simplePos="0" relativeHeight="251658240" behindDoc="0" locked="0" layoutInCell="1" allowOverlap="1">
            <wp:simplePos x="0" y="0"/>
            <wp:positionH relativeFrom="column">
              <wp:posOffset>1203960</wp:posOffset>
            </wp:positionH>
            <wp:positionV relativeFrom="paragraph">
              <wp:posOffset>121920</wp:posOffset>
            </wp:positionV>
            <wp:extent cx="3535045" cy="2468658"/>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a:stretch>
                      <a:fillRect/>
                    </a:stretch>
                  </pic:blipFill>
                  <pic:spPr>
                    <a:xfrm>
                      <a:off x="0" y="0"/>
                      <a:ext cx="3535045" cy="2468658"/>
                    </a:xfrm>
                    <a:prstGeom prst="rect">
                      <a:avLst/>
                    </a:prstGeom>
                  </pic:spPr>
                </pic:pic>
              </a:graphicData>
            </a:graphic>
          </wp:anchor>
        </w:drawing>
      </w:r>
    </w:p>
    <w:p w:rsidR="00E1128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The Effect of Incentive on Screener Completion (ICF 2018)</w:t>
      </w:r>
    </w:p>
    <w:p w:rsidR="00E11284">
      <w:pPr>
        <w:widowControl/>
        <w:rPr>
          <w:rFonts w:ascii="Times New Roman" w:eastAsia="Times New Roman" w:hAnsi="Times New Roman" w:cs="Times New Roman"/>
          <w:sz w:val="24"/>
          <w:szCs w:val="24"/>
        </w:rPr>
      </w:pPr>
    </w:p>
    <w:p w:rsidR="00E11284">
      <w:pPr>
        <w:widowControl/>
        <w:rPr>
          <w:rFonts w:ascii="Times New Roman" w:eastAsia="Times New Roman" w:hAnsi="Times New Roman" w:cs="Times New Roman"/>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w:t>
      </w:r>
      <w:r>
        <w:rPr>
          <w:rFonts w:ascii="Times New Roman" w:eastAsia="Times New Roman" w:hAnsi="Times New Roman" w:cs="Times New Roman"/>
          <w:b/>
          <w:color w:val="000000"/>
          <w:sz w:val="24"/>
          <w:szCs w:val="24"/>
        </w:rPr>
        <w:t>ted and described here.</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sample frame will be drawn by an outside contractor from the 20</w:t>
      </w:r>
      <w:r w:rsidR="009338AC">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recreational fishing license/registry databases maintained by the </w:t>
      </w:r>
      <w:r w:rsidR="009338AC">
        <w:rPr>
          <w:rFonts w:ascii="Times New Roman" w:eastAsia="Times New Roman" w:hAnsi="Times New Roman" w:cs="Times New Roman"/>
          <w:sz w:val="24"/>
          <w:szCs w:val="24"/>
        </w:rPr>
        <w:t xml:space="preserve">nine Atlantic coast </w:t>
      </w:r>
      <w:r>
        <w:rPr>
          <w:rFonts w:ascii="Times New Roman" w:eastAsia="Times New Roman" w:hAnsi="Times New Roman" w:cs="Times New Roman"/>
          <w:sz w:val="24"/>
          <w:szCs w:val="24"/>
        </w:rPr>
        <w:t xml:space="preserve">states </w:t>
      </w:r>
      <w:r w:rsidR="009338AC">
        <w:rPr>
          <w:rFonts w:ascii="Times New Roman" w:eastAsia="Times New Roman" w:hAnsi="Times New Roman" w:cs="Times New Roman"/>
          <w:sz w:val="24"/>
          <w:szCs w:val="24"/>
        </w:rPr>
        <w:t>between Massachusetts and North Carolina</w:t>
      </w:r>
      <w:r>
        <w:rPr>
          <w:rFonts w:ascii="Times New Roman" w:eastAsia="Times New Roman" w:hAnsi="Times New Roman" w:cs="Times New Roman"/>
          <w:sz w:val="24"/>
          <w:szCs w:val="24"/>
        </w:rPr>
        <w:t>. Prior to receiving these l</w:t>
      </w:r>
      <w:r>
        <w:rPr>
          <w:rFonts w:ascii="Times New Roman" w:eastAsia="Times New Roman" w:hAnsi="Times New Roman" w:cs="Times New Roman"/>
          <w:sz w:val="24"/>
          <w:szCs w:val="24"/>
        </w:rPr>
        <w:t xml:space="preserve">icense databases, our survey administration contractor will provide a signed agreement of access and a confidentiality agreement. The information in the license database and sample frame is covered under the Privacy Act System of Records COMMERCE/NOAA-11, </w:t>
      </w:r>
      <w:r>
        <w:rPr>
          <w:rFonts w:ascii="Times New Roman" w:eastAsia="Times New Roman" w:hAnsi="Times New Roman" w:cs="Times New Roman"/>
          <w:sz w:val="24"/>
          <w:szCs w:val="24"/>
        </w:rPr>
        <w:t>Contact Information for Members of the Public Requesting and Providing Information Related to NOAA’s Mission. To support the anonymity of this research, no participant names will be included on the survey document. Participant names will be tracked in a se</w:t>
      </w:r>
      <w:r>
        <w:rPr>
          <w:rFonts w:ascii="Times New Roman" w:eastAsia="Times New Roman" w:hAnsi="Times New Roman" w:cs="Times New Roman"/>
          <w:sz w:val="24"/>
          <w:szCs w:val="24"/>
        </w:rPr>
        <w:t>parate database to code participants for protection during data analysis, confirm receipt of a survey from each individual, and avoid duplication of responses. The NARFS I</w:t>
      </w:r>
      <w:r w:rsidR="009338AC">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will contain written text informing participants of the confidential and voluntary </w:t>
      </w:r>
      <w:r>
        <w:rPr>
          <w:rFonts w:ascii="Times New Roman" w:eastAsia="Times New Roman" w:hAnsi="Times New Roman" w:cs="Times New Roman"/>
          <w:sz w:val="24"/>
          <w:szCs w:val="24"/>
        </w:rPr>
        <w:t xml:space="preserve">nature of their response. </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providing deliverables, the agency contracted by the NEFSC to conduct the NARFS I</w:t>
      </w:r>
      <w:r w:rsidR="009338AC">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will delete from the data all personal information such as name, street address, and phone number such that the NEFSC cannot link this information to any individual. </w:t>
      </w:r>
    </w:p>
    <w:p w:rsidR="00E11284">
      <w:pPr>
        <w:pBdr>
          <w:top w:val="nil"/>
          <w:left w:val="nil"/>
          <w:bottom w:val="nil"/>
          <w:right w:val="nil"/>
          <w:between w:val="nil"/>
        </w:pBdr>
        <w:spacing w:before="158"/>
        <w:rPr>
          <w:rFonts w:ascii="Times New Roman" w:eastAsia="Times New Roman" w:hAnsi="Times New Roman" w:cs="Times New Roman"/>
          <w:color w:val="2F5496"/>
          <w:sz w:val="24"/>
          <w:szCs w:val="24"/>
        </w:rPr>
      </w:pPr>
      <w:r>
        <w:rPr>
          <w:rFonts w:ascii="Times New Roman" w:eastAsia="Times New Roman" w:hAnsi="Times New Roman" w:cs="Times New Roman"/>
          <w:color w:val="000000"/>
          <w:sz w:val="24"/>
          <w:szCs w:val="24"/>
        </w:rPr>
        <w:t xml:space="preserve">When writing final reports and publishing the findings of this research, tabulations of </w:t>
      </w:r>
      <w:r>
        <w:rPr>
          <w:rFonts w:ascii="Times New Roman" w:eastAsia="Times New Roman" w:hAnsi="Times New Roman" w:cs="Times New Roman"/>
          <w:color w:val="000000"/>
          <w:sz w:val="24"/>
          <w:szCs w:val="24"/>
        </w:rPr>
        <w:t xml:space="preserve">individual responses will occur at a high enough level of aggregation so that no single individual may be identified. In addition to the confidentiality protection </w:t>
      </w:r>
      <w:r>
        <w:rPr>
          <w:rFonts w:ascii="Times New Roman" w:eastAsia="Times New Roman" w:hAnsi="Times New Roman" w:cs="Times New Roman"/>
          <w:color w:val="000000"/>
          <w:sz w:val="24"/>
          <w:szCs w:val="24"/>
        </w:rPr>
        <w:t xml:space="preserve">measures, survey participants are provided the option to skip questions of concern and stop </w:t>
      </w:r>
      <w:r>
        <w:rPr>
          <w:rFonts w:ascii="Times New Roman" w:eastAsia="Times New Roman" w:hAnsi="Times New Roman" w:cs="Times New Roman"/>
          <w:color w:val="000000"/>
          <w:sz w:val="24"/>
          <w:szCs w:val="24"/>
        </w:rPr>
        <w:t>their participation in the survey at any time with no consequence to themselves. Finally, in the event of a Freedom of Information Act (FOIA) request, we will protect confidentiality to the extent possible under Exemption 4 of the FOIA.</w:t>
      </w:r>
    </w:p>
    <w:p w:rsidR="00E11284">
      <w:pPr>
        <w:pBdr>
          <w:top w:val="nil"/>
          <w:left w:val="nil"/>
          <w:bottom w:val="nil"/>
          <w:right w:val="nil"/>
          <w:between w:val="nil"/>
        </w:pBdr>
        <w:spacing w:before="158"/>
        <w:rPr>
          <w:rFonts w:ascii="Times New Roman" w:eastAsia="Times New Roman" w:hAnsi="Times New Roman" w:cs="Times New Roman"/>
          <w:color w:val="00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Provide additional</w:t>
      </w:r>
      <w:r>
        <w:rPr>
          <w:rFonts w:ascii="Times New Roman" w:eastAsia="Times New Roman" w:hAnsi="Times New Roman" w:cs="Times New Roman"/>
          <w:b/>
          <w:color w:val="000000"/>
          <w:sz w:val="24"/>
          <w:szCs w:val="24"/>
        </w:rPr>
        <w:t xml:space="preserve"> justification for any questions of a sensitive nature, such as sexual behavior or attitudes, religious beliefs, and other matters that are commonly considered private. This justification should include the reasons why the agency considers the questions ne</w:t>
      </w:r>
      <w:r>
        <w:rPr>
          <w:rFonts w:ascii="Times New Roman" w:eastAsia="Times New Roman" w:hAnsi="Times New Roman" w:cs="Times New Roman"/>
          <w:b/>
          <w:color w:val="000000"/>
          <w:sz w:val="24"/>
          <w:szCs w:val="24"/>
        </w:rPr>
        <w:t>cessary, the specific uses to be made of the information, the explanation to be given to persons from whom the information is requested, and any steps to be taken to obtain their consent.</w:t>
      </w:r>
    </w:p>
    <w:p w:rsidR="00E11284" w:rsidP="00C53A9C">
      <w:pPr>
        <w:pBdr>
          <w:top w:val="nil"/>
          <w:left w:val="nil"/>
          <w:bottom w:val="nil"/>
          <w:right w:val="nil"/>
          <w:between w:val="nil"/>
        </w:pBdr>
        <w:tabs>
          <w:tab w:val="left" w:pos="360"/>
        </w:tabs>
        <w:spacing w:before="80"/>
        <w:rPr>
          <w:rFonts w:ascii="Times New Roman" w:eastAsia="Times New Roman" w:hAnsi="Times New Roman" w:cs="Times New Roman"/>
          <w:b/>
          <w:color w:val="000000"/>
          <w:sz w:val="24"/>
          <w:szCs w:val="24"/>
        </w:rPr>
      </w:pPr>
    </w:p>
    <w:p w:rsidR="00E11284" w:rsidP="00C53A9C">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NARFS I</w:t>
      </w:r>
      <w:r w:rsidR="009338AC">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contains </w:t>
      </w:r>
      <w:r w:rsidR="009338A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question that solicit respondents’ income, which </w:t>
      </w:r>
      <w:r w:rsidR="009338AC">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9338AC">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considered sensitive information for some people. The NEFSC may use this information in two ways: first, by incorporating it into the economic model to control for variation in income that may affect </w:t>
      </w:r>
      <w:r>
        <w:rPr>
          <w:rFonts w:ascii="Times New Roman" w:eastAsia="Times New Roman" w:hAnsi="Times New Roman" w:cs="Times New Roman"/>
          <w:sz w:val="24"/>
          <w:szCs w:val="24"/>
        </w:rPr>
        <w:t>angler preferences, as is common in estimating economic demand functions, and (2) t</w:t>
      </w:r>
      <w:r>
        <w:rPr>
          <w:rFonts w:ascii="Times New Roman" w:eastAsia="Times New Roman" w:hAnsi="Times New Roman" w:cs="Times New Roman"/>
          <w:color w:val="000000"/>
          <w:sz w:val="24"/>
          <w:szCs w:val="24"/>
        </w:rPr>
        <w:t>o assess relative sample representativeness by comparing the characteristics of our sample to the characteristics of the population of recreational anglers at large, which c</w:t>
      </w:r>
      <w:r>
        <w:rPr>
          <w:rFonts w:ascii="Times New Roman" w:eastAsia="Times New Roman" w:hAnsi="Times New Roman" w:cs="Times New Roman"/>
          <w:color w:val="000000"/>
          <w:sz w:val="24"/>
          <w:szCs w:val="24"/>
        </w:rPr>
        <w:t xml:space="preserve">an be found in NOAA-sponsored nationwide angler expenditure reports. </w:t>
      </w:r>
    </w:p>
    <w:p w:rsidR="00E11284">
      <w:pPr>
        <w:jc w:val="both"/>
        <w:rPr>
          <w:rFonts w:ascii="Times New Roman" w:eastAsia="Times New Roman" w:hAnsi="Times New Roman" w:cs="Times New Roman"/>
          <w:sz w:val="24"/>
          <w:szCs w:val="24"/>
        </w:rPr>
      </w:pPr>
    </w:p>
    <w:p w:rsidR="007D1506">
      <w:pPr>
        <w:jc w:val="both"/>
        <w:rPr>
          <w:rFonts w:ascii="Times New Roman" w:eastAsia="Times New Roman" w:hAnsi="Times New Roman" w:cs="Times New Roman"/>
          <w:sz w:val="24"/>
          <w:szCs w:val="24"/>
        </w:rPr>
      </w:pPr>
    </w:p>
    <w:p w:rsidR="00AB13AA" w:rsidRPr="00AB13AA" w:rsidP="00AB13AA">
      <w:pPr>
        <w:numPr>
          <w:ilvl w:val="0"/>
          <w:numId w:val="1"/>
        </w:numPr>
        <w:pBdr>
          <w:top w:val="nil"/>
          <w:left w:val="nil"/>
          <w:bottom w:val="nil"/>
          <w:right w:val="nil"/>
          <w:between w:val="nil"/>
        </w:pBdr>
        <w:tabs>
          <w:tab w:val="left" w:pos="360"/>
        </w:tabs>
        <w:spacing w:before="80"/>
        <w:ind w:left="0" w:firstLine="0"/>
        <w:jc w:val="both"/>
        <w:rPr>
          <w:rFonts w:ascii="Times New Roman" w:eastAsia="Times New Roman" w:hAnsi="Times New Roman" w:cs="Times New Roman"/>
          <w:color w:val="000000"/>
          <w:sz w:val="24"/>
          <w:szCs w:val="24"/>
        </w:rPr>
      </w:pPr>
      <w:r w:rsidRPr="00AB13AA">
        <w:rPr>
          <w:rFonts w:ascii="Times New Roman" w:hAnsi="Times New Roman" w:cs="Times New Roman"/>
          <w:b/>
          <w:sz w:val="24"/>
          <w:szCs w:val="24"/>
        </w:rPr>
        <w:t>Provide estimates of the hour burden of the collection of information.</w:t>
      </w:r>
    </w:p>
    <w:p w:rsidR="00AB13AA" w:rsidRPr="00BD7237" w:rsidP="00AB13AA">
      <w:pPr>
        <w:pStyle w:val="ListParagraph"/>
        <w:numPr>
          <w:ilvl w:val="0"/>
          <w:numId w:val="7"/>
        </w:numPr>
        <w:autoSpaceDE w:val="0"/>
        <w:autoSpaceDN w:val="0"/>
        <w:spacing w:before="120"/>
        <w:ind w:left="720"/>
        <w:contextualSpacing w:val="0"/>
        <w:rPr>
          <w:rFonts w:ascii="Times New Roman" w:hAnsi="Times New Roman" w:cs="Times New Roman"/>
          <w:b/>
          <w:sz w:val="24"/>
          <w:szCs w:val="24"/>
        </w:rPr>
      </w:pPr>
      <w:r w:rsidRPr="00BD7237">
        <w:rPr>
          <w:rFonts w:ascii="Times New Roman" w:hAnsi="Times New Roman" w:cs="Times New Roman"/>
          <w:b/>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w:t>
      </w:r>
      <w:r w:rsidRPr="00BD7237">
        <w:rPr>
          <w:rFonts w:ascii="Times New Roman" w:hAnsi="Times New Roman" w:cs="Times New Roman"/>
          <w:b/>
          <w:sz w:val="24"/>
          <w:szCs w:val="24"/>
        </w:rPr>
        <w:t>mates. Consultation with a sample (fewer than 10) of potential respondents is desirable. If the hour burden on respondents is expected to vary widely because of differences in activity, size, or complexity, show the range of estimated hour burden, and expl</w:t>
      </w:r>
      <w:r w:rsidRPr="00BD7237">
        <w:rPr>
          <w:rFonts w:ascii="Times New Roman" w:hAnsi="Times New Roman" w:cs="Times New Roman"/>
          <w:b/>
          <w:sz w:val="24"/>
          <w:szCs w:val="24"/>
        </w:rPr>
        <w:t>ain the reasons for the variance. Generally, estimates should not include burden hours for customary and usual business</w:t>
      </w:r>
      <w:r w:rsidRPr="00BD7237">
        <w:rPr>
          <w:rFonts w:ascii="Times New Roman" w:hAnsi="Times New Roman" w:cs="Times New Roman"/>
          <w:b/>
          <w:spacing w:val="-2"/>
          <w:sz w:val="24"/>
          <w:szCs w:val="24"/>
        </w:rPr>
        <w:t xml:space="preserve"> </w:t>
      </w:r>
      <w:r w:rsidRPr="00BD7237">
        <w:rPr>
          <w:rFonts w:ascii="Times New Roman" w:hAnsi="Times New Roman" w:cs="Times New Roman"/>
          <w:b/>
          <w:sz w:val="24"/>
          <w:szCs w:val="24"/>
        </w:rPr>
        <w:t>practices.</w:t>
      </w:r>
    </w:p>
    <w:p w:rsidR="00AB13AA" w:rsidRPr="00BD7237" w:rsidP="00AB13AA">
      <w:pPr>
        <w:pStyle w:val="ListParagraph"/>
        <w:numPr>
          <w:ilvl w:val="0"/>
          <w:numId w:val="7"/>
        </w:numPr>
        <w:autoSpaceDE w:val="0"/>
        <w:autoSpaceDN w:val="0"/>
        <w:spacing w:before="120"/>
        <w:ind w:left="720"/>
        <w:contextualSpacing w:val="0"/>
        <w:rPr>
          <w:rFonts w:ascii="Times New Roman" w:hAnsi="Times New Roman" w:cs="Times New Roman"/>
          <w:b/>
          <w:sz w:val="24"/>
          <w:szCs w:val="24"/>
        </w:rPr>
      </w:pPr>
      <w:r w:rsidRPr="00BD7237">
        <w:rPr>
          <w:rFonts w:ascii="Times New Roman" w:hAnsi="Times New Roman" w:cs="Times New Roman"/>
          <w:b/>
          <w:sz w:val="24"/>
          <w:szCs w:val="24"/>
        </w:rPr>
        <w:t>If this request for approval covers more than one form, provide separate hour burden estimates for each form and aggregate th</w:t>
      </w:r>
      <w:r w:rsidRPr="00BD7237">
        <w:rPr>
          <w:rFonts w:ascii="Times New Roman" w:hAnsi="Times New Roman" w:cs="Times New Roman"/>
          <w:b/>
          <w:sz w:val="24"/>
          <w:szCs w:val="24"/>
        </w:rPr>
        <w:t>e hour</w:t>
      </w:r>
      <w:r w:rsidRPr="00BD7237">
        <w:rPr>
          <w:rFonts w:ascii="Times New Roman" w:hAnsi="Times New Roman" w:cs="Times New Roman"/>
          <w:b/>
          <w:spacing w:val="-3"/>
          <w:sz w:val="24"/>
          <w:szCs w:val="24"/>
        </w:rPr>
        <w:t xml:space="preserve"> </w:t>
      </w:r>
      <w:r w:rsidRPr="00BD7237">
        <w:rPr>
          <w:rFonts w:ascii="Times New Roman" w:hAnsi="Times New Roman" w:cs="Times New Roman"/>
          <w:b/>
          <w:sz w:val="24"/>
          <w:szCs w:val="24"/>
        </w:rPr>
        <w:t>burdens.</w:t>
      </w:r>
    </w:p>
    <w:p w:rsidR="00AB13AA" w:rsidRPr="00BD7237" w:rsidP="00AB13AA">
      <w:pPr>
        <w:pStyle w:val="ListParagraph"/>
        <w:numPr>
          <w:ilvl w:val="0"/>
          <w:numId w:val="7"/>
        </w:numPr>
        <w:autoSpaceDE w:val="0"/>
        <w:autoSpaceDN w:val="0"/>
        <w:spacing w:before="120"/>
        <w:ind w:left="720"/>
        <w:contextualSpacing w:val="0"/>
        <w:rPr>
          <w:rFonts w:ascii="Times New Roman" w:hAnsi="Times New Roman" w:cs="Times New Roman"/>
          <w:b/>
          <w:sz w:val="24"/>
          <w:szCs w:val="24"/>
        </w:rPr>
      </w:pPr>
      <w:r w:rsidRPr="00BD7237">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w:t>
      </w:r>
      <w:r w:rsidRPr="00BD7237">
        <w:rPr>
          <w:rFonts w:ascii="Times New Roman" w:hAnsi="Times New Roman" w:cs="Times New Roman"/>
          <w:b/>
          <w:sz w:val="24"/>
          <w:szCs w:val="24"/>
        </w:rPr>
        <w:t>n activities should</w:t>
      </w:r>
      <w:r w:rsidRPr="00BD7237">
        <w:rPr>
          <w:rFonts w:ascii="Times New Roman" w:hAnsi="Times New Roman" w:cs="Times New Roman"/>
          <w:b/>
          <w:spacing w:val="-49"/>
          <w:sz w:val="24"/>
          <w:szCs w:val="24"/>
        </w:rPr>
        <w:t xml:space="preserve"> </w:t>
      </w:r>
      <w:r w:rsidRPr="00BD7237">
        <w:rPr>
          <w:rFonts w:ascii="Times New Roman" w:hAnsi="Times New Roman" w:cs="Times New Roman"/>
          <w:b/>
          <w:sz w:val="24"/>
          <w:szCs w:val="24"/>
        </w:rPr>
        <w:t>not be included here. Instead, this cost should be included under ‘Annual Cost to Federal Government’.</w:t>
      </w:r>
    </w:p>
    <w:p w:rsidR="00E11284" w:rsidRPr="007D1506" w:rsidP="00B8195F">
      <w:pPr>
        <w:pBdr>
          <w:top w:val="nil"/>
          <w:left w:val="nil"/>
          <w:bottom w:val="nil"/>
          <w:right w:val="nil"/>
          <w:between w:val="nil"/>
        </w:pBdr>
        <w:tabs>
          <w:tab w:val="left" w:pos="360"/>
        </w:tabs>
        <w:spacing w:before="80"/>
        <w:jc w:val="both"/>
        <w:rPr>
          <w:rFonts w:ascii="Times New Roman" w:eastAsia="Times New Roman" w:hAnsi="Times New Roman" w:cs="Times New Roman"/>
          <w:color w:val="000000"/>
          <w:sz w:val="24"/>
          <w:szCs w:val="24"/>
        </w:rPr>
      </w:pPr>
      <w:r w:rsidRPr="007D1506">
        <w:rPr>
          <w:rFonts w:ascii="Times New Roman" w:eastAsia="Times New Roman" w:hAnsi="Times New Roman" w:cs="Times New Roman"/>
          <w:color w:val="000000"/>
          <w:sz w:val="24"/>
          <w:szCs w:val="24"/>
        </w:rPr>
        <w:t>The annual bur</w:t>
      </w:r>
      <w:r w:rsidRPr="007D1506" w:rsidR="007D1506">
        <w:rPr>
          <w:rFonts w:ascii="Times New Roman" w:eastAsia="Times New Roman" w:hAnsi="Times New Roman" w:cs="Times New Roman"/>
          <w:color w:val="000000"/>
          <w:sz w:val="24"/>
          <w:szCs w:val="24"/>
        </w:rPr>
        <w:t>d</w:t>
      </w:r>
      <w:r w:rsidRPr="007D1506">
        <w:rPr>
          <w:rFonts w:ascii="Times New Roman" w:eastAsia="Times New Roman" w:hAnsi="Times New Roman" w:cs="Times New Roman"/>
          <w:color w:val="000000"/>
          <w:sz w:val="24"/>
          <w:szCs w:val="24"/>
        </w:rPr>
        <w:t xml:space="preserve">en of this data collection is estimated to be </w:t>
      </w:r>
      <w:r w:rsidR="00B8195F">
        <w:rPr>
          <w:rFonts w:ascii="Times New Roman" w:eastAsia="Times New Roman" w:hAnsi="Times New Roman" w:cs="Times New Roman"/>
          <w:color w:val="000000"/>
          <w:sz w:val="24"/>
          <w:szCs w:val="24"/>
        </w:rPr>
        <w:t>515</w:t>
      </w:r>
      <w:r w:rsidRPr="007D1506">
        <w:rPr>
          <w:rFonts w:ascii="Times New Roman" w:eastAsia="Times New Roman" w:hAnsi="Times New Roman" w:cs="Times New Roman"/>
          <w:color w:val="000000"/>
          <w:sz w:val="24"/>
          <w:szCs w:val="24"/>
        </w:rPr>
        <w:t xml:space="preserve"> total responses, </w:t>
      </w:r>
      <w:r w:rsidRPr="007D1506" w:rsidR="004D65DB">
        <w:rPr>
          <w:rFonts w:ascii="Times New Roman" w:eastAsia="Times New Roman" w:hAnsi="Times New Roman" w:cs="Times New Roman"/>
          <w:color w:val="000000"/>
          <w:sz w:val="24"/>
          <w:szCs w:val="24"/>
        </w:rPr>
        <w:t>9</w:t>
      </w:r>
      <w:r w:rsidR="00B8195F">
        <w:rPr>
          <w:rFonts w:ascii="Times New Roman" w:eastAsia="Times New Roman" w:hAnsi="Times New Roman" w:cs="Times New Roman"/>
          <w:color w:val="000000"/>
          <w:sz w:val="24"/>
          <w:szCs w:val="24"/>
        </w:rPr>
        <w:t>9</w:t>
      </w:r>
      <w:r w:rsidRPr="007D1506">
        <w:rPr>
          <w:rFonts w:ascii="Times New Roman" w:eastAsia="Times New Roman" w:hAnsi="Times New Roman" w:cs="Times New Roman"/>
          <w:color w:val="000000"/>
          <w:sz w:val="24"/>
          <w:szCs w:val="24"/>
        </w:rPr>
        <w:t xml:space="preserve"> hours, and $</w:t>
      </w:r>
      <w:r w:rsidRPr="007D1506" w:rsidR="0068136C">
        <w:rPr>
          <w:rFonts w:ascii="Times New Roman" w:eastAsia="Times New Roman" w:hAnsi="Times New Roman" w:cs="Times New Roman"/>
          <w:color w:val="000000"/>
          <w:sz w:val="24"/>
          <w:szCs w:val="24"/>
        </w:rPr>
        <w:t>3</w:t>
      </w:r>
      <w:r w:rsidRPr="007D1506">
        <w:rPr>
          <w:rFonts w:ascii="Times New Roman" w:eastAsia="Times New Roman" w:hAnsi="Times New Roman" w:cs="Times New Roman"/>
          <w:color w:val="000000"/>
          <w:sz w:val="24"/>
          <w:szCs w:val="24"/>
        </w:rPr>
        <w:t>,</w:t>
      </w:r>
      <w:r w:rsidRPr="007D1506" w:rsidR="0068136C">
        <w:rPr>
          <w:rFonts w:ascii="Times New Roman" w:eastAsia="Times New Roman" w:hAnsi="Times New Roman" w:cs="Times New Roman"/>
          <w:color w:val="000000"/>
          <w:sz w:val="24"/>
          <w:szCs w:val="24"/>
        </w:rPr>
        <w:t>1</w:t>
      </w:r>
      <w:r w:rsidR="00B8195F">
        <w:rPr>
          <w:rFonts w:ascii="Times New Roman" w:eastAsia="Times New Roman" w:hAnsi="Times New Roman" w:cs="Times New Roman"/>
          <w:color w:val="000000"/>
          <w:sz w:val="24"/>
          <w:szCs w:val="24"/>
        </w:rPr>
        <w:t>1</w:t>
      </w:r>
      <w:r w:rsidRPr="007D1506" w:rsidR="0068136C">
        <w:rPr>
          <w:rFonts w:ascii="Times New Roman" w:eastAsia="Times New Roman" w:hAnsi="Times New Roman" w:cs="Times New Roman"/>
          <w:color w:val="000000"/>
          <w:sz w:val="24"/>
          <w:szCs w:val="24"/>
        </w:rPr>
        <w:t>7</w:t>
      </w:r>
      <w:r w:rsidRPr="007D1506">
        <w:rPr>
          <w:rFonts w:ascii="Times New Roman" w:eastAsia="Times New Roman" w:hAnsi="Times New Roman" w:cs="Times New Roman"/>
          <w:color w:val="000000"/>
          <w:sz w:val="24"/>
          <w:szCs w:val="24"/>
        </w:rPr>
        <w:t xml:space="preserve"> total annual wage burden costs. </w:t>
      </w:r>
    </w:p>
    <w:p w:rsidR="00E11284" w:rsidP="00C53A9C">
      <w:pPr>
        <w:spacing w:before="240" w:after="240"/>
        <w:rPr>
          <w:rFonts w:ascii="Times New Roman" w:eastAsia="Times New Roman" w:hAnsi="Times New Roman" w:cs="Times New Roman"/>
          <w:color w:val="000000"/>
          <w:sz w:val="24"/>
          <w:szCs w:val="24"/>
        </w:rPr>
      </w:pPr>
      <w:r w:rsidRPr="00C27C3F">
        <w:rPr>
          <w:rFonts w:ascii="Times New Roman" w:hAnsi="Times New Roman" w:cs="Times New Roman"/>
          <w:color w:val="000000" w:themeColor="text1"/>
          <w:sz w:val="24"/>
          <w:szCs w:val="24"/>
        </w:rPr>
        <w:t xml:space="preserve">Burden estimates are calculated by multiplying the estimated time to complete each contact by the number of estimated contacts of each type. </w:t>
      </w:r>
      <w:r w:rsidR="00DE159F">
        <w:rPr>
          <w:rFonts w:ascii="Times New Roman" w:eastAsia="Times New Roman" w:hAnsi="Times New Roman" w:cs="Times New Roman"/>
          <w:color w:val="000000"/>
          <w:sz w:val="24"/>
          <w:szCs w:val="24"/>
        </w:rPr>
        <w:t xml:space="preserve">See our response to </w:t>
      </w:r>
      <w:r>
        <w:rPr>
          <w:rFonts w:ascii="Times New Roman" w:eastAsia="Times New Roman" w:hAnsi="Times New Roman" w:cs="Times New Roman"/>
          <w:color w:val="000000"/>
          <w:sz w:val="24"/>
          <w:szCs w:val="24"/>
        </w:rPr>
        <w:t>question B1</w:t>
      </w:r>
      <w:r w:rsidR="00DE159F">
        <w:rPr>
          <w:rFonts w:ascii="Times New Roman" w:eastAsia="Times New Roman" w:hAnsi="Times New Roman" w:cs="Times New Roman"/>
          <w:color w:val="000000"/>
          <w:sz w:val="24"/>
          <w:szCs w:val="24"/>
        </w:rPr>
        <w:t xml:space="preserve"> for the calculations used to estimate the number of total responses (</w:t>
      </w:r>
      <w:r w:rsidR="00624E9C">
        <w:rPr>
          <w:rFonts w:ascii="Times New Roman" w:eastAsia="Times New Roman" w:hAnsi="Times New Roman" w:cs="Times New Roman"/>
          <w:color w:val="000000"/>
          <w:sz w:val="24"/>
          <w:szCs w:val="24"/>
        </w:rPr>
        <w:t>1,</w:t>
      </w:r>
      <w:r w:rsidR="004D65DB">
        <w:rPr>
          <w:rFonts w:ascii="Times New Roman" w:eastAsia="Times New Roman" w:hAnsi="Times New Roman" w:cs="Times New Roman"/>
          <w:color w:val="000000"/>
          <w:sz w:val="24"/>
          <w:szCs w:val="24"/>
        </w:rPr>
        <w:t>173</w:t>
      </w:r>
      <w:r w:rsidR="00DE159F">
        <w:rPr>
          <w:rFonts w:ascii="Times New Roman" w:eastAsia="Times New Roman" w:hAnsi="Times New Roman" w:cs="Times New Roman"/>
          <w:color w:val="000000"/>
          <w:sz w:val="24"/>
          <w:szCs w:val="24"/>
        </w:rPr>
        <w:t xml:space="preserve"> eligible anglers + </w:t>
      </w:r>
      <w:r w:rsidR="004D65DB">
        <w:rPr>
          <w:rFonts w:ascii="Times New Roman" w:eastAsia="Times New Roman" w:hAnsi="Times New Roman" w:cs="Times New Roman"/>
          <w:color w:val="000000"/>
          <w:sz w:val="24"/>
          <w:szCs w:val="24"/>
        </w:rPr>
        <w:t>371</w:t>
      </w:r>
      <w:r w:rsidR="00DE159F">
        <w:rPr>
          <w:rFonts w:ascii="Times New Roman" w:eastAsia="Times New Roman" w:hAnsi="Times New Roman" w:cs="Times New Roman"/>
          <w:color w:val="000000"/>
          <w:sz w:val="24"/>
          <w:szCs w:val="24"/>
        </w:rPr>
        <w:t xml:space="preserve"> ineligible anglers = </w:t>
      </w:r>
      <w:r w:rsidR="004D65DB">
        <w:rPr>
          <w:rFonts w:ascii="Times New Roman" w:eastAsia="Times New Roman" w:hAnsi="Times New Roman" w:cs="Times New Roman"/>
          <w:color w:val="000000"/>
          <w:sz w:val="24"/>
          <w:szCs w:val="24"/>
        </w:rPr>
        <w:t>1,544</w:t>
      </w:r>
      <w:r w:rsidR="00DE159F">
        <w:rPr>
          <w:rFonts w:ascii="Times New Roman" w:eastAsia="Times New Roman" w:hAnsi="Times New Roman" w:cs="Times New Roman"/>
          <w:color w:val="000000"/>
          <w:sz w:val="24"/>
          <w:szCs w:val="24"/>
        </w:rPr>
        <w:t xml:space="preserve"> total responses).  All survey responses are expected within the first year of the three-year information request, and </w:t>
      </w:r>
      <w:r w:rsidR="00B86159">
        <w:rPr>
          <w:rFonts w:ascii="Times New Roman" w:eastAsia="Times New Roman" w:hAnsi="Times New Roman" w:cs="Times New Roman"/>
          <w:color w:val="000000"/>
          <w:sz w:val="24"/>
          <w:szCs w:val="24"/>
        </w:rPr>
        <w:t xml:space="preserve">taking an </w:t>
      </w:r>
      <w:r w:rsidR="00DE159F">
        <w:rPr>
          <w:rFonts w:ascii="Times New Roman" w:eastAsia="Times New Roman" w:hAnsi="Times New Roman" w:cs="Times New Roman"/>
          <w:color w:val="000000"/>
          <w:sz w:val="24"/>
          <w:szCs w:val="24"/>
        </w:rPr>
        <w:t xml:space="preserve">average over three years results in </w:t>
      </w:r>
      <w:r w:rsidR="004D65DB">
        <w:rPr>
          <w:rFonts w:ascii="Times New Roman" w:eastAsia="Times New Roman" w:hAnsi="Times New Roman" w:cs="Times New Roman"/>
          <w:color w:val="000000"/>
          <w:sz w:val="24"/>
          <w:szCs w:val="24"/>
        </w:rPr>
        <w:t>515</w:t>
      </w:r>
      <w:r w:rsidR="00DE159F">
        <w:rPr>
          <w:rFonts w:ascii="Times New Roman" w:eastAsia="Times New Roman" w:hAnsi="Times New Roman" w:cs="Times New Roman"/>
          <w:color w:val="000000"/>
          <w:sz w:val="24"/>
          <w:szCs w:val="24"/>
        </w:rPr>
        <w:t xml:space="preserve"> responses.  Burden hours estimated to complete the survey were de</w:t>
      </w:r>
      <w:r w:rsidR="00C76E04">
        <w:rPr>
          <w:rFonts w:ascii="Times New Roman" w:eastAsia="Times New Roman" w:hAnsi="Times New Roman" w:cs="Times New Roman"/>
          <w:color w:val="000000"/>
          <w:sz w:val="24"/>
          <w:szCs w:val="24"/>
        </w:rPr>
        <w:t>rived</w:t>
      </w:r>
      <w:r w:rsidR="00DE159F">
        <w:rPr>
          <w:rFonts w:ascii="Times New Roman" w:eastAsia="Times New Roman" w:hAnsi="Times New Roman" w:cs="Times New Roman"/>
          <w:color w:val="000000"/>
          <w:sz w:val="24"/>
          <w:szCs w:val="24"/>
        </w:rPr>
        <w:t xml:space="preserve"> from </w:t>
      </w:r>
      <w:r w:rsidR="00EE2AC8">
        <w:rPr>
          <w:rFonts w:ascii="Times New Roman" w:eastAsia="Times New Roman" w:hAnsi="Times New Roman" w:cs="Times New Roman"/>
          <w:color w:val="000000"/>
          <w:sz w:val="24"/>
          <w:szCs w:val="24"/>
        </w:rPr>
        <w:t>the NARFS II survey results.</w:t>
      </w:r>
      <w:r>
        <w:rPr>
          <w:rStyle w:val="FootnoteReference"/>
          <w:rFonts w:ascii="Times New Roman" w:eastAsia="Times New Roman" w:hAnsi="Times New Roman" w:cs="Times New Roman"/>
          <w:color w:val="000000"/>
          <w:sz w:val="24"/>
          <w:szCs w:val="24"/>
        </w:rPr>
        <w:footnoteReference w:id="2"/>
      </w:r>
      <w:r w:rsidR="00C76E04">
        <w:rPr>
          <w:rFonts w:ascii="Times New Roman" w:eastAsia="Times New Roman" w:hAnsi="Times New Roman" w:cs="Times New Roman"/>
          <w:color w:val="000000"/>
          <w:sz w:val="24"/>
          <w:szCs w:val="24"/>
        </w:rPr>
        <w:t xml:space="preserve"> </w:t>
      </w:r>
      <w:r w:rsidR="00DE159F">
        <w:rPr>
          <w:rFonts w:ascii="Times New Roman" w:eastAsia="Times New Roman" w:hAnsi="Times New Roman" w:cs="Times New Roman"/>
          <w:color w:val="000000"/>
          <w:sz w:val="24"/>
          <w:szCs w:val="24"/>
        </w:rPr>
        <w:t>Eligible anglers average</w:t>
      </w:r>
      <w:r w:rsidR="00EE2AC8">
        <w:rPr>
          <w:rFonts w:ascii="Times New Roman" w:eastAsia="Times New Roman" w:hAnsi="Times New Roman" w:cs="Times New Roman"/>
          <w:color w:val="000000"/>
          <w:sz w:val="24"/>
          <w:szCs w:val="24"/>
        </w:rPr>
        <w:t>d</w:t>
      </w:r>
      <w:r w:rsidR="00DE159F">
        <w:rPr>
          <w:rFonts w:ascii="Times New Roman" w:eastAsia="Times New Roman" w:hAnsi="Times New Roman" w:cs="Times New Roman"/>
          <w:color w:val="000000"/>
          <w:sz w:val="24"/>
          <w:szCs w:val="24"/>
        </w:rPr>
        <w:t xml:space="preserve"> </w:t>
      </w:r>
      <w:r w:rsidR="00522360">
        <w:rPr>
          <w:rFonts w:ascii="Times New Roman" w:eastAsia="Times New Roman" w:hAnsi="Times New Roman" w:cs="Times New Roman"/>
          <w:color w:val="000000"/>
          <w:sz w:val="24"/>
          <w:szCs w:val="24"/>
        </w:rPr>
        <w:t>14</w:t>
      </w:r>
      <w:r w:rsidR="00DE159F">
        <w:rPr>
          <w:rFonts w:ascii="Times New Roman" w:eastAsia="Times New Roman" w:hAnsi="Times New Roman" w:cs="Times New Roman"/>
          <w:color w:val="000000"/>
          <w:sz w:val="24"/>
          <w:szCs w:val="24"/>
        </w:rPr>
        <w:t xml:space="preserve"> minutes </w:t>
      </w:r>
      <w:r w:rsidR="00522360">
        <w:rPr>
          <w:rFonts w:ascii="Times New Roman" w:eastAsia="Times New Roman" w:hAnsi="Times New Roman" w:cs="Times New Roman"/>
          <w:color w:val="000000"/>
          <w:sz w:val="24"/>
          <w:szCs w:val="24"/>
        </w:rPr>
        <w:t xml:space="preserve">to complete the survey </w:t>
      </w:r>
      <w:r w:rsidR="00DE159F">
        <w:rPr>
          <w:rFonts w:ascii="Times New Roman" w:eastAsia="Times New Roman" w:hAnsi="Times New Roman" w:cs="Times New Roman"/>
          <w:color w:val="000000"/>
          <w:sz w:val="24"/>
          <w:szCs w:val="24"/>
        </w:rPr>
        <w:t xml:space="preserve">and ineligible anglers </w:t>
      </w:r>
      <w:r w:rsidR="00A37955">
        <w:rPr>
          <w:rFonts w:ascii="Times New Roman" w:eastAsia="Times New Roman" w:hAnsi="Times New Roman" w:cs="Times New Roman"/>
          <w:color w:val="000000"/>
          <w:sz w:val="24"/>
          <w:szCs w:val="24"/>
        </w:rPr>
        <w:t>about 4</w:t>
      </w:r>
      <w:r w:rsidR="00DE159F">
        <w:rPr>
          <w:rFonts w:ascii="Times New Roman" w:eastAsia="Times New Roman" w:hAnsi="Times New Roman" w:cs="Times New Roman"/>
          <w:color w:val="000000"/>
          <w:sz w:val="24"/>
          <w:szCs w:val="24"/>
        </w:rPr>
        <w:t xml:space="preserve"> minutes</w:t>
      </w:r>
      <w:r w:rsidR="00A37955">
        <w:rPr>
          <w:rFonts w:ascii="Times New Roman" w:eastAsia="Times New Roman" w:hAnsi="Times New Roman" w:cs="Times New Roman"/>
          <w:color w:val="000000"/>
          <w:sz w:val="24"/>
          <w:szCs w:val="24"/>
        </w:rPr>
        <w:t>.</w:t>
      </w:r>
      <w:r w:rsidR="00DE159F">
        <w:rPr>
          <w:rFonts w:ascii="Times New Roman" w:eastAsia="Times New Roman" w:hAnsi="Times New Roman" w:cs="Times New Roman"/>
          <w:color w:val="000000"/>
          <w:sz w:val="24"/>
          <w:szCs w:val="24"/>
        </w:rPr>
        <w:t xml:space="preserve"> Total burden hours for eligible anglers is estimated to be </w:t>
      </w:r>
      <w:r w:rsidR="00624E9C">
        <w:rPr>
          <w:rFonts w:ascii="Times New Roman" w:eastAsia="Times New Roman" w:hAnsi="Times New Roman" w:cs="Times New Roman"/>
          <w:color w:val="000000"/>
          <w:sz w:val="24"/>
          <w:szCs w:val="24"/>
        </w:rPr>
        <w:t>1,</w:t>
      </w:r>
      <w:r w:rsidR="004D65DB">
        <w:rPr>
          <w:rFonts w:ascii="Times New Roman" w:eastAsia="Times New Roman" w:hAnsi="Times New Roman" w:cs="Times New Roman"/>
          <w:color w:val="000000"/>
          <w:sz w:val="24"/>
          <w:szCs w:val="24"/>
        </w:rPr>
        <w:t>173</w:t>
      </w:r>
      <w:r w:rsidR="00DE159F">
        <w:rPr>
          <w:rFonts w:ascii="Times New Roman" w:eastAsia="Times New Roman" w:hAnsi="Times New Roman" w:cs="Times New Roman"/>
          <w:color w:val="000000"/>
          <w:sz w:val="24"/>
          <w:szCs w:val="24"/>
        </w:rPr>
        <w:t xml:space="preserve"> anglers × 0.</w:t>
      </w:r>
      <w:r w:rsidR="00A37955">
        <w:rPr>
          <w:rFonts w:ascii="Times New Roman" w:eastAsia="Times New Roman" w:hAnsi="Times New Roman" w:cs="Times New Roman"/>
          <w:color w:val="000000"/>
          <w:sz w:val="24"/>
          <w:szCs w:val="24"/>
        </w:rPr>
        <w:t>233</w:t>
      </w:r>
      <w:r w:rsidR="00DE159F">
        <w:rPr>
          <w:rFonts w:ascii="Times New Roman" w:eastAsia="Times New Roman" w:hAnsi="Times New Roman" w:cs="Times New Roman"/>
          <w:color w:val="000000"/>
          <w:sz w:val="24"/>
          <w:szCs w:val="24"/>
        </w:rPr>
        <w:t xml:space="preserve"> hours/angler = </w:t>
      </w:r>
      <w:r w:rsidR="004D65DB">
        <w:rPr>
          <w:rFonts w:ascii="Times New Roman" w:eastAsia="Times New Roman" w:hAnsi="Times New Roman" w:cs="Times New Roman"/>
          <w:color w:val="000000"/>
          <w:sz w:val="24"/>
          <w:szCs w:val="24"/>
        </w:rPr>
        <w:t>273</w:t>
      </w:r>
      <w:r w:rsidR="00DE159F">
        <w:rPr>
          <w:rFonts w:ascii="Times New Roman" w:eastAsia="Times New Roman" w:hAnsi="Times New Roman" w:cs="Times New Roman"/>
          <w:color w:val="000000"/>
          <w:sz w:val="24"/>
          <w:szCs w:val="24"/>
        </w:rPr>
        <w:t xml:space="preserve"> hours. Total burden hours for ineligible ang</w:t>
      </w:r>
      <w:r w:rsidR="00153EC4">
        <w:rPr>
          <w:rFonts w:ascii="Times New Roman" w:eastAsia="Times New Roman" w:hAnsi="Times New Roman" w:cs="Times New Roman"/>
          <w:color w:val="000000"/>
          <w:sz w:val="24"/>
          <w:szCs w:val="24"/>
        </w:rPr>
        <w:t>l</w:t>
      </w:r>
      <w:r w:rsidR="00DE159F">
        <w:rPr>
          <w:rFonts w:ascii="Times New Roman" w:eastAsia="Times New Roman" w:hAnsi="Times New Roman" w:cs="Times New Roman"/>
          <w:color w:val="000000"/>
          <w:sz w:val="24"/>
          <w:szCs w:val="24"/>
        </w:rPr>
        <w:t xml:space="preserve">ers is </w:t>
      </w:r>
      <w:r w:rsidR="00DE159F">
        <w:rPr>
          <w:rFonts w:ascii="Times New Roman" w:eastAsia="Times New Roman" w:hAnsi="Times New Roman" w:cs="Times New Roman"/>
          <w:sz w:val="24"/>
          <w:szCs w:val="24"/>
        </w:rPr>
        <w:t>estimated</w:t>
      </w:r>
      <w:r w:rsidR="00DE159F">
        <w:rPr>
          <w:rFonts w:ascii="Times New Roman" w:eastAsia="Times New Roman" w:hAnsi="Times New Roman" w:cs="Times New Roman"/>
          <w:color w:val="000000"/>
          <w:sz w:val="24"/>
          <w:szCs w:val="24"/>
        </w:rPr>
        <w:t xml:space="preserve"> to be </w:t>
      </w:r>
      <w:r w:rsidR="004D65DB">
        <w:rPr>
          <w:rFonts w:ascii="Times New Roman" w:eastAsia="Times New Roman" w:hAnsi="Times New Roman" w:cs="Times New Roman"/>
          <w:color w:val="000000"/>
          <w:sz w:val="24"/>
          <w:szCs w:val="24"/>
        </w:rPr>
        <w:t>371</w:t>
      </w:r>
      <w:r w:rsidR="00DE159F">
        <w:rPr>
          <w:rFonts w:ascii="Times New Roman" w:eastAsia="Times New Roman" w:hAnsi="Times New Roman" w:cs="Times New Roman"/>
          <w:color w:val="000000"/>
          <w:sz w:val="24"/>
          <w:szCs w:val="24"/>
        </w:rPr>
        <w:t xml:space="preserve"> anglers × 0.</w:t>
      </w:r>
      <w:r w:rsidR="00A37955">
        <w:rPr>
          <w:rFonts w:ascii="Times New Roman" w:eastAsia="Times New Roman" w:hAnsi="Times New Roman" w:cs="Times New Roman"/>
          <w:color w:val="000000"/>
          <w:sz w:val="24"/>
          <w:szCs w:val="24"/>
        </w:rPr>
        <w:t>066</w:t>
      </w:r>
      <w:r w:rsidR="00DE159F">
        <w:rPr>
          <w:rFonts w:ascii="Times New Roman" w:eastAsia="Times New Roman" w:hAnsi="Times New Roman" w:cs="Times New Roman"/>
          <w:color w:val="000000"/>
          <w:sz w:val="24"/>
          <w:szCs w:val="24"/>
        </w:rPr>
        <w:t xml:space="preserve"> hours/angler = </w:t>
      </w:r>
      <w:r w:rsidR="004D65DB">
        <w:rPr>
          <w:rFonts w:ascii="Times New Roman" w:eastAsia="Times New Roman" w:hAnsi="Times New Roman" w:cs="Times New Roman"/>
          <w:color w:val="000000"/>
          <w:sz w:val="24"/>
          <w:szCs w:val="24"/>
        </w:rPr>
        <w:t>25</w:t>
      </w:r>
      <w:r w:rsidR="00DE159F">
        <w:rPr>
          <w:rFonts w:ascii="Times New Roman" w:eastAsia="Times New Roman" w:hAnsi="Times New Roman" w:cs="Times New Roman"/>
          <w:color w:val="000000"/>
          <w:sz w:val="24"/>
          <w:szCs w:val="24"/>
        </w:rPr>
        <w:t xml:space="preserve"> hours. This yields a total burden of </w:t>
      </w:r>
      <w:r w:rsidR="004D65DB">
        <w:rPr>
          <w:rFonts w:ascii="Times New Roman" w:eastAsia="Times New Roman" w:hAnsi="Times New Roman" w:cs="Times New Roman"/>
          <w:color w:val="000000"/>
          <w:sz w:val="24"/>
          <w:szCs w:val="24"/>
        </w:rPr>
        <w:t>298</w:t>
      </w:r>
      <w:r w:rsidR="00DE159F">
        <w:rPr>
          <w:rFonts w:ascii="Times New Roman" w:eastAsia="Times New Roman" w:hAnsi="Times New Roman" w:cs="Times New Roman"/>
          <w:color w:val="000000"/>
          <w:sz w:val="24"/>
          <w:szCs w:val="24"/>
        </w:rPr>
        <w:t xml:space="preserve"> hours, or </w:t>
      </w:r>
      <w:r w:rsidR="004D65DB">
        <w:rPr>
          <w:rFonts w:ascii="Times New Roman" w:eastAsia="Times New Roman" w:hAnsi="Times New Roman" w:cs="Times New Roman"/>
          <w:color w:val="000000"/>
          <w:sz w:val="24"/>
          <w:szCs w:val="24"/>
        </w:rPr>
        <w:t>99</w:t>
      </w:r>
      <w:r w:rsidR="00DE159F">
        <w:rPr>
          <w:rFonts w:ascii="Times New Roman" w:eastAsia="Times New Roman" w:hAnsi="Times New Roman" w:cs="Times New Roman"/>
          <w:color w:val="000000"/>
          <w:sz w:val="24"/>
          <w:szCs w:val="24"/>
        </w:rPr>
        <w:t xml:space="preserve"> hours annually over the three-year information request.</w:t>
      </w:r>
    </w:p>
    <w:p w:rsidR="00E11284" w:rsidP="00C53A9C">
      <w:pPr>
        <w:rPr>
          <w:rFonts w:ascii="Times New Roman" w:eastAsia="Times New Roman" w:hAnsi="Times New Roman" w:cs="Times New Roman"/>
          <w:color w:val="000000"/>
          <w:sz w:val="24"/>
          <w:szCs w:val="24"/>
        </w:rPr>
      </w:pPr>
    </w:p>
    <w:p w:rsidR="007D1506" w:rsidP="007D150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NMFS periodically collects household income-level data from saltwater anglers, personal income-level data for saltwater anglers </w:t>
      </w:r>
      <w:r w:rsidR="00AB13AA">
        <w:rPr>
          <w:rFonts w:ascii="Times New Roman" w:eastAsia="Times New Roman" w:hAnsi="Times New Roman" w:cs="Times New Roman"/>
          <w:color w:val="000000"/>
          <w:sz w:val="24"/>
          <w:szCs w:val="24"/>
        </w:rPr>
        <w:t xml:space="preserve">has not been collected since 2013 (Brinson and Wallmo, 2013). </w:t>
      </w: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erefore, we use the May 20</w:t>
      </w:r>
      <w:r w:rsidR="00ED6D13">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national BLS’ average hourly wage of $</w:t>
      </w:r>
      <w:r w:rsidR="00ED6D13">
        <w:rPr>
          <w:rFonts w:ascii="Times New Roman" w:eastAsia="Times New Roman" w:hAnsi="Times New Roman" w:cs="Times New Roman"/>
          <w:color w:val="000000"/>
          <w:sz w:val="24"/>
          <w:szCs w:val="24"/>
        </w:rPr>
        <w:t>31.48</w:t>
      </w:r>
      <w:r>
        <w:rPr>
          <w:rFonts w:ascii="Times New Roman" w:eastAsia="Times New Roman" w:hAnsi="Times New Roman" w:cs="Times New Roman"/>
          <w:color w:val="000000"/>
          <w:sz w:val="24"/>
          <w:szCs w:val="24"/>
        </w:rPr>
        <w:t xml:space="preserve"> for “All Occupations” as a proxy for the hourly wage rate of our survey respondents.</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 xml:space="preserve">  The resulting total wage burden costs are then estimated to be $</w:t>
      </w:r>
      <w:r w:rsidR="0068136C">
        <w:rPr>
          <w:rFonts w:ascii="Times New Roman" w:eastAsia="Times New Roman" w:hAnsi="Times New Roman" w:cs="Times New Roman"/>
          <w:color w:val="000000"/>
          <w:sz w:val="24"/>
          <w:szCs w:val="24"/>
        </w:rPr>
        <w:t>9,381</w:t>
      </w:r>
      <w:r>
        <w:rPr>
          <w:rFonts w:ascii="Times New Roman" w:eastAsia="Times New Roman" w:hAnsi="Times New Roman" w:cs="Times New Roman"/>
          <w:color w:val="000000"/>
          <w:sz w:val="24"/>
          <w:szCs w:val="24"/>
        </w:rPr>
        <w:t xml:space="preserve"> (</w:t>
      </w:r>
      <w:r w:rsidR="0068136C">
        <w:rPr>
          <w:rFonts w:ascii="Times New Roman" w:eastAsia="Times New Roman" w:hAnsi="Times New Roman" w:cs="Times New Roman"/>
          <w:color w:val="000000"/>
          <w:sz w:val="24"/>
          <w:szCs w:val="24"/>
        </w:rPr>
        <w:t>298</w:t>
      </w:r>
      <w:r>
        <w:rPr>
          <w:rFonts w:ascii="Times New Roman" w:eastAsia="Times New Roman" w:hAnsi="Times New Roman" w:cs="Times New Roman"/>
          <w:color w:val="000000"/>
          <w:sz w:val="24"/>
          <w:szCs w:val="24"/>
        </w:rPr>
        <w:t xml:space="preserve"> burden hours x $</w:t>
      </w:r>
      <w:r w:rsidR="00851B73">
        <w:rPr>
          <w:rFonts w:ascii="Times New Roman" w:eastAsia="Times New Roman" w:hAnsi="Times New Roman" w:cs="Times New Roman"/>
          <w:color w:val="000000"/>
          <w:sz w:val="24"/>
          <w:szCs w:val="24"/>
        </w:rPr>
        <w:t>31.48</w:t>
      </w:r>
      <w:r>
        <w:rPr>
          <w:rFonts w:ascii="Times New Roman" w:eastAsia="Times New Roman" w:hAnsi="Times New Roman" w:cs="Times New Roman"/>
          <w:color w:val="000000"/>
          <w:sz w:val="24"/>
          <w:szCs w:val="24"/>
        </w:rPr>
        <w:t xml:space="preserve"> per hour), or $</w:t>
      </w:r>
      <w:r w:rsidR="0068136C">
        <w:rPr>
          <w:rFonts w:ascii="Times New Roman" w:eastAsia="Times New Roman" w:hAnsi="Times New Roman" w:cs="Times New Roman"/>
          <w:color w:val="000000"/>
          <w:sz w:val="24"/>
          <w:szCs w:val="24"/>
        </w:rPr>
        <w:t>3,127</w:t>
      </w:r>
      <w:r>
        <w:rPr>
          <w:rFonts w:ascii="Times New Roman" w:eastAsia="Times New Roman" w:hAnsi="Times New Roman" w:cs="Times New Roman"/>
          <w:color w:val="000000"/>
          <w:sz w:val="24"/>
          <w:szCs w:val="24"/>
        </w:rPr>
        <w:t xml:space="preserve"> annually over the t</w:t>
      </w:r>
      <w:r w:rsidR="00B8195F">
        <w:rPr>
          <w:rFonts w:ascii="Times New Roman" w:eastAsia="Times New Roman" w:hAnsi="Times New Roman" w:cs="Times New Roman"/>
          <w:color w:val="000000"/>
          <w:sz w:val="24"/>
          <w:szCs w:val="24"/>
        </w:rPr>
        <w:t xml:space="preserve">hree-year information request. </w:t>
      </w:r>
      <w:r>
        <w:rPr>
          <w:rFonts w:ascii="Times New Roman" w:eastAsia="Times New Roman" w:hAnsi="Times New Roman" w:cs="Times New Roman"/>
          <w:color w:val="000000"/>
          <w:sz w:val="24"/>
          <w:szCs w:val="24"/>
        </w:rPr>
        <w:t>These re</w:t>
      </w:r>
      <w:r w:rsidR="00696F8F">
        <w:rPr>
          <w:rFonts w:ascii="Times New Roman" w:eastAsia="Times New Roman" w:hAnsi="Times New Roman" w:cs="Times New Roman"/>
          <w:color w:val="000000"/>
          <w:sz w:val="24"/>
          <w:szCs w:val="24"/>
        </w:rPr>
        <w:t>sults are summarized in Table 2.</w:t>
      </w:r>
    </w:p>
    <w:p w:rsidR="007D1506" w:rsidP="007D1506">
      <w:pPr>
        <w:rPr>
          <w:rFonts w:ascii="Times New Roman" w:eastAsia="Times New Roman" w:hAnsi="Times New Roman" w:cs="Times New Roman"/>
          <w:color w:val="000000"/>
          <w:sz w:val="24"/>
          <w:szCs w:val="24"/>
        </w:rPr>
      </w:pPr>
    </w:p>
    <w:p w:rsidR="00B8195F" w:rsidP="007D1506">
      <w:pPr>
        <w:rPr>
          <w:rFonts w:ascii="Times New Roman" w:eastAsia="Times New Roman" w:hAnsi="Times New Roman" w:cs="Times New Roman"/>
          <w:b/>
          <w:sz w:val="24"/>
          <w:szCs w:val="24"/>
        </w:rPr>
        <w:sectPr w:rsidSect="00D556A0">
          <w:headerReference w:type="default" r:id="rId9"/>
          <w:footerReference w:type="default" r:id="rId10"/>
          <w:pgSz w:w="12240" w:h="15840" w:code="1"/>
          <w:pgMar w:top="1008" w:right="1440" w:bottom="1440" w:left="1440" w:header="720" w:footer="720" w:gutter="0"/>
          <w:cols w:space="720" w:equalWidth="0">
            <w:col w:w="8200"/>
          </w:cols>
          <w:docGrid w:linePitch="299"/>
        </w:sectPr>
      </w:pPr>
    </w:p>
    <w:p w:rsidR="00E11284" w:rsidRPr="00153EC4" w:rsidP="007D1506">
      <w:pPr>
        <w:rPr>
          <w:rFonts w:ascii="Times New Roman" w:eastAsia="Times New Roman" w:hAnsi="Times New Roman" w:cs="Times New Roman"/>
          <w:b/>
          <w:sz w:val="24"/>
          <w:szCs w:val="24"/>
        </w:rPr>
      </w:pPr>
      <w:r w:rsidRPr="00153EC4">
        <w:rPr>
          <w:rFonts w:ascii="Times New Roman" w:eastAsia="Times New Roman" w:hAnsi="Times New Roman" w:cs="Times New Roman"/>
          <w:b/>
          <w:sz w:val="24"/>
          <w:szCs w:val="24"/>
        </w:rPr>
        <w:t>Table 2. NARFS I</w:t>
      </w:r>
      <w:r w:rsidR="00204C8D">
        <w:rPr>
          <w:rFonts w:ascii="Times New Roman" w:eastAsia="Times New Roman" w:hAnsi="Times New Roman" w:cs="Times New Roman"/>
          <w:b/>
          <w:sz w:val="24"/>
          <w:szCs w:val="24"/>
        </w:rPr>
        <w:t>V</w:t>
      </w:r>
      <w:r w:rsidRPr="00153EC4">
        <w:rPr>
          <w:rFonts w:ascii="Times New Roman" w:eastAsia="Times New Roman" w:hAnsi="Times New Roman" w:cs="Times New Roman"/>
          <w:b/>
          <w:sz w:val="24"/>
          <w:szCs w:val="24"/>
        </w:rPr>
        <w:t xml:space="preserve"> Estimated Responses and Burden Hours</w:t>
      </w:r>
    </w:p>
    <w:tbl>
      <w:tblPr>
        <w:tblW w:w="1153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16"/>
        <w:gridCol w:w="2049"/>
        <w:gridCol w:w="1170"/>
        <w:gridCol w:w="1080"/>
        <w:gridCol w:w="1170"/>
        <w:gridCol w:w="1080"/>
        <w:gridCol w:w="1260"/>
        <w:gridCol w:w="1350"/>
        <w:gridCol w:w="1260"/>
      </w:tblGrid>
      <w:tr w:rsidTr="00D0040C">
        <w:tblPrEx>
          <w:tblW w:w="1153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907"/>
        </w:trPr>
        <w:tc>
          <w:tcPr>
            <w:tcW w:w="1116"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2049"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Respondents/year</w:t>
            </w:r>
            <w:r>
              <w:rPr>
                <w:rFonts w:ascii="Calibri" w:eastAsia="Calibri" w:hAnsi="Calibri" w:cs="Calibri"/>
                <w:b/>
                <w:color w:val="000000"/>
                <w:sz w:val="16"/>
                <w:szCs w:val="16"/>
              </w:rPr>
              <w:br/>
              <w:t>(a)</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Annual # of Responses / Respondent</w:t>
            </w:r>
            <w:r>
              <w:rPr>
                <w:rFonts w:ascii="Calibri" w:eastAsia="Calibri" w:hAnsi="Calibri" w:cs="Calibri"/>
                <w:b/>
                <w:color w:val="000000"/>
                <w:sz w:val="16"/>
                <w:szCs w:val="16"/>
              </w:rPr>
              <w:br/>
              <w:t>(b)</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 Total # of Annual Responses</w:t>
            </w:r>
            <w:r>
              <w:rPr>
                <w:rFonts w:ascii="Calibri" w:eastAsia="Calibri" w:hAnsi="Calibri" w:cs="Calibri"/>
                <w:b/>
                <w:color w:val="000000"/>
                <w:sz w:val="16"/>
                <w:szCs w:val="16"/>
              </w:rPr>
              <w:br/>
              <w:t>(c) = (a) x (b)</w:t>
            </w:r>
          </w:p>
        </w:tc>
        <w:tc>
          <w:tcPr>
            <w:tcW w:w="108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Burden Hrs / Response</w:t>
            </w:r>
            <w:r>
              <w:rPr>
                <w:rFonts w:ascii="Calibri" w:eastAsia="Calibri" w:hAnsi="Calibri" w:cs="Calibri"/>
                <w:b/>
                <w:color w:val="000000"/>
                <w:sz w:val="16"/>
                <w:szCs w:val="16"/>
              </w:rPr>
              <w:br/>
              <w:t>(d)</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Hrs</w:t>
            </w:r>
            <w:r>
              <w:rPr>
                <w:rFonts w:ascii="Calibri" w:eastAsia="Calibri" w:hAnsi="Calibri" w:cs="Calibri"/>
                <w:b/>
                <w:color w:val="000000"/>
                <w:sz w:val="16"/>
                <w:szCs w:val="16"/>
              </w:rPr>
              <w:br/>
              <w:t>(e)  = (c) x (d)</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Hourly Wag</w:t>
            </w:r>
            <w:r>
              <w:rPr>
                <w:rFonts w:ascii="Calibri" w:eastAsia="Calibri" w:hAnsi="Calibri" w:cs="Calibri"/>
                <w:b/>
                <w:color w:val="000000"/>
                <w:sz w:val="16"/>
                <w:szCs w:val="16"/>
              </w:rPr>
              <w:t>e Rate  (for Type of Respondent)</w:t>
            </w:r>
            <w:r>
              <w:rPr>
                <w:rFonts w:ascii="Calibri" w:eastAsia="Calibri" w:hAnsi="Calibri" w:cs="Calibri"/>
                <w:b/>
                <w:color w:val="000000"/>
                <w:sz w:val="16"/>
                <w:szCs w:val="16"/>
              </w:rPr>
              <w:br/>
              <w:t>(f)</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204C8D"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Pr>
                <w:rFonts w:ascii="Calibri" w:eastAsia="Calibri" w:hAnsi="Calibri" w:cs="Calibri"/>
                <w:b/>
                <w:color w:val="000000"/>
                <w:sz w:val="16"/>
                <w:szCs w:val="16"/>
              </w:rPr>
              <w:br/>
              <w:t>(g) = (e) x (f)</w:t>
            </w:r>
          </w:p>
        </w:tc>
      </w:tr>
      <w:tr w:rsidTr="00D0040C">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auto"/>
            <w:vAlign w:val="bottom"/>
          </w:tcPr>
          <w:p w:rsidR="007521A9" w:rsidRPr="00FE424E" w:rsidP="00204C8D">
            <w:pPr>
              <w:widowControl/>
              <w:rPr>
                <w:rFonts w:ascii="Calibri" w:eastAsia="Calibri" w:hAnsi="Calibri" w:cs="Calibri"/>
                <w:b/>
                <w:color w:val="000000"/>
                <w:sz w:val="16"/>
                <w:szCs w:val="16"/>
              </w:rPr>
            </w:pPr>
            <w:r>
              <w:rPr>
                <w:rFonts w:ascii="Calibri" w:eastAsia="Calibri" w:hAnsi="Calibri" w:cs="Calibri"/>
                <w:b/>
                <w:color w:val="000000"/>
                <w:sz w:val="16"/>
                <w:szCs w:val="16"/>
              </w:rPr>
              <w:t>NARFS-III</w:t>
            </w:r>
          </w:p>
        </w:tc>
        <w:tc>
          <w:tcPr>
            <w:tcW w:w="2049" w:type="dxa"/>
            <w:tcBorders>
              <w:top w:val="nil"/>
              <w:left w:val="nil"/>
              <w:bottom w:val="single" w:sz="4" w:space="0" w:color="000000"/>
              <w:right w:val="single" w:sz="4" w:space="0" w:color="000000"/>
            </w:tcBorders>
            <w:shd w:val="clear" w:color="auto" w:fill="auto"/>
            <w:vAlign w:val="bottom"/>
          </w:tcPr>
          <w:p w:rsidR="007521A9" w:rsidRPr="00FE424E" w:rsidP="00D0040C">
            <w:pPr>
              <w:widowControl/>
              <w:jc w:val="center"/>
              <w:rPr>
                <w:rFonts w:ascii="Calibri" w:eastAsia="Calibri" w:hAnsi="Calibri" w:cs="Calibri"/>
                <w:b/>
                <w:color w:val="000000"/>
                <w:sz w:val="16"/>
                <w:szCs w:val="16"/>
              </w:rPr>
            </w:pPr>
          </w:p>
        </w:tc>
        <w:tc>
          <w:tcPr>
            <w:tcW w:w="1170" w:type="dxa"/>
            <w:tcBorders>
              <w:top w:val="nil"/>
              <w:left w:val="nil"/>
              <w:bottom w:val="single" w:sz="4" w:space="0" w:color="000000"/>
              <w:right w:val="single" w:sz="4" w:space="0" w:color="000000"/>
            </w:tcBorders>
            <w:shd w:val="clear" w:color="auto" w:fill="auto"/>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442</w:t>
            </w:r>
          </w:p>
        </w:tc>
        <w:tc>
          <w:tcPr>
            <w:tcW w:w="1080" w:type="dxa"/>
            <w:tcBorders>
              <w:top w:val="nil"/>
              <w:left w:val="nil"/>
              <w:bottom w:val="single" w:sz="4" w:space="0" w:color="000000"/>
              <w:right w:val="single" w:sz="4" w:space="0" w:color="000000"/>
            </w:tcBorders>
            <w:shd w:val="clear" w:color="auto" w:fill="auto"/>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442</w:t>
            </w:r>
          </w:p>
        </w:tc>
        <w:tc>
          <w:tcPr>
            <w:tcW w:w="1080" w:type="dxa"/>
            <w:tcBorders>
              <w:top w:val="nil"/>
              <w:left w:val="nil"/>
              <w:bottom w:val="single" w:sz="4" w:space="0" w:color="000000"/>
              <w:right w:val="single" w:sz="4" w:space="0" w:color="000000"/>
            </w:tcBorders>
            <w:shd w:val="clear" w:color="auto" w:fill="auto"/>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0.1312217</w:t>
            </w:r>
          </w:p>
        </w:tc>
        <w:tc>
          <w:tcPr>
            <w:tcW w:w="1260" w:type="dxa"/>
            <w:tcBorders>
              <w:top w:val="nil"/>
              <w:left w:val="nil"/>
              <w:bottom w:val="single" w:sz="4" w:space="0" w:color="000000"/>
              <w:right w:val="single" w:sz="4" w:space="0" w:color="000000"/>
            </w:tcBorders>
            <w:shd w:val="clear" w:color="auto" w:fill="auto"/>
            <w:vAlign w:val="bottom"/>
          </w:tcPr>
          <w:p w:rsidR="007521A9" w:rsidP="00472AFB">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58</w:t>
            </w:r>
          </w:p>
        </w:tc>
        <w:tc>
          <w:tcPr>
            <w:tcW w:w="1350" w:type="dxa"/>
            <w:tcBorders>
              <w:top w:val="nil"/>
              <w:left w:val="nil"/>
              <w:bottom w:val="single" w:sz="4" w:space="0" w:color="000000"/>
              <w:right w:val="single" w:sz="4" w:space="0" w:color="000000"/>
            </w:tcBorders>
            <w:shd w:val="clear" w:color="auto" w:fill="auto"/>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31.48</w:t>
            </w:r>
          </w:p>
        </w:tc>
        <w:tc>
          <w:tcPr>
            <w:tcW w:w="1260" w:type="dxa"/>
            <w:tcBorders>
              <w:top w:val="nil"/>
              <w:left w:val="nil"/>
              <w:bottom w:val="single" w:sz="4" w:space="0" w:color="000000"/>
              <w:right w:val="single" w:sz="8" w:space="0" w:color="000000"/>
            </w:tcBorders>
            <w:shd w:val="clear" w:color="auto" w:fill="auto"/>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$1,82</w:t>
            </w:r>
            <w:r w:rsidR="00584E3D">
              <w:rPr>
                <w:rFonts w:ascii="Calibri" w:eastAsia="Calibri" w:hAnsi="Calibri" w:cs="Calibri"/>
                <w:b/>
                <w:color w:val="000000"/>
                <w:sz w:val="16"/>
                <w:szCs w:val="16"/>
              </w:rPr>
              <w:t>6</w:t>
            </w:r>
          </w:p>
        </w:tc>
      </w:tr>
      <w:tr w:rsidTr="003E19AE">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7521A9" w:rsidRPr="00FE424E" w:rsidP="00204C8D">
            <w:pPr>
              <w:widowControl/>
              <w:rPr>
                <w:rFonts w:ascii="Calibri" w:eastAsia="Calibri" w:hAnsi="Calibri" w:cs="Calibri"/>
                <w:b/>
                <w:color w:val="000000"/>
                <w:sz w:val="16"/>
                <w:szCs w:val="16"/>
              </w:rPr>
            </w:pPr>
            <w:r>
              <w:rPr>
                <w:rFonts w:ascii="Calibri" w:eastAsia="Calibri" w:hAnsi="Calibri" w:cs="Calibri"/>
                <w:b/>
                <w:color w:val="000000"/>
                <w:sz w:val="16"/>
                <w:szCs w:val="16"/>
              </w:rPr>
              <w:t>NARFS-III</w:t>
            </w:r>
          </w:p>
        </w:tc>
        <w:tc>
          <w:tcPr>
            <w:tcW w:w="2049" w:type="dxa"/>
            <w:tcBorders>
              <w:top w:val="nil"/>
              <w:left w:val="nil"/>
              <w:bottom w:val="single" w:sz="4" w:space="0" w:color="000000"/>
              <w:right w:val="single" w:sz="4" w:space="0" w:color="000000"/>
            </w:tcBorders>
            <w:shd w:val="clear" w:color="auto" w:fill="F2F2F2" w:themeFill="background1" w:themeFillShade="F2"/>
            <w:vAlign w:val="bottom"/>
          </w:tcPr>
          <w:p w:rsidR="007521A9" w:rsidRPr="00FE424E"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Completion of mail/web surveys by an eligible angler</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172</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172</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0.233</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7521A9" w:rsidP="00472AFB">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40.08</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31.48</w:t>
            </w:r>
          </w:p>
        </w:tc>
        <w:tc>
          <w:tcPr>
            <w:tcW w:w="1260" w:type="dxa"/>
            <w:tcBorders>
              <w:top w:val="nil"/>
              <w:left w:val="nil"/>
              <w:bottom w:val="single" w:sz="4" w:space="0" w:color="000000"/>
              <w:right w:val="single" w:sz="8" w:space="0" w:color="000000"/>
            </w:tcBorders>
            <w:shd w:val="clear" w:color="auto" w:fill="F2F2F2" w:themeFill="background1" w:themeFillShade="F2"/>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$1,262</w:t>
            </w:r>
          </w:p>
        </w:tc>
      </w:tr>
      <w:tr w:rsidTr="003E19AE">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7521A9" w:rsidRPr="00FE424E" w:rsidP="00204C8D">
            <w:pPr>
              <w:widowControl/>
              <w:rPr>
                <w:rFonts w:ascii="Calibri" w:eastAsia="Calibri" w:hAnsi="Calibri" w:cs="Calibri"/>
                <w:b/>
                <w:color w:val="000000"/>
                <w:sz w:val="16"/>
                <w:szCs w:val="16"/>
              </w:rPr>
            </w:pPr>
            <w:r>
              <w:rPr>
                <w:rFonts w:ascii="Calibri" w:eastAsia="Calibri" w:hAnsi="Calibri" w:cs="Calibri"/>
                <w:b/>
                <w:color w:val="000000"/>
                <w:sz w:val="16"/>
                <w:szCs w:val="16"/>
              </w:rPr>
              <w:t>NARFS-III</w:t>
            </w:r>
          </w:p>
        </w:tc>
        <w:tc>
          <w:tcPr>
            <w:tcW w:w="2049" w:type="dxa"/>
            <w:tcBorders>
              <w:top w:val="nil"/>
              <w:left w:val="nil"/>
              <w:bottom w:val="single" w:sz="4" w:space="0" w:color="000000"/>
              <w:right w:val="single" w:sz="4" w:space="0" w:color="000000"/>
            </w:tcBorders>
            <w:shd w:val="clear" w:color="auto" w:fill="F2F2F2" w:themeFill="background1" w:themeFillShade="F2"/>
            <w:vAlign w:val="bottom"/>
          </w:tcPr>
          <w:p w:rsidR="007521A9" w:rsidRPr="00FE424E" w:rsidP="00D0040C">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Completion of </w:t>
            </w:r>
            <w:r>
              <w:rPr>
                <w:rFonts w:ascii="Calibri" w:eastAsia="Calibri" w:hAnsi="Calibri" w:cs="Calibri"/>
                <w:b/>
                <w:color w:val="000000"/>
                <w:sz w:val="16"/>
                <w:szCs w:val="16"/>
              </w:rPr>
              <w:t>mail/web surveys by an ineligible angler</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270</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270</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0.066</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7521A9" w:rsidP="00472AFB">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17.82</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7521A9"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31.48</w:t>
            </w:r>
          </w:p>
        </w:tc>
        <w:tc>
          <w:tcPr>
            <w:tcW w:w="1260" w:type="dxa"/>
            <w:tcBorders>
              <w:top w:val="nil"/>
              <w:left w:val="nil"/>
              <w:bottom w:val="single" w:sz="4" w:space="0" w:color="000000"/>
              <w:right w:val="single" w:sz="8" w:space="0" w:color="000000"/>
            </w:tcBorders>
            <w:shd w:val="clear" w:color="auto" w:fill="F2F2F2" w:themeFill="background1" w:themeFillShade="F2"/>
            <w:vAlign w:val="bottom"/>
          </w:tcPr>
          <w:p w:rsidR="007521A9"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$561</w:t>
            </w:r>
          </w:p>
        </w:tc>
      </w:tr>
      <w:tr w:rsidTr="00D0040C">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auto"/>
            <w:vAlign w:val="bottom"/>
          </w:tcPr>
          <w:p w:rsidR="00204C8D" w:rsidRPr="00FE424E" w:rsidP="00204C8D">
            <w:pPr>
              <w:widowControl/>
              <w:rPr>
                <w:rFonts w:ascii="Calibri" w:eastAsia="Calibri" w:hAnsi="Calibri" w:cs="Calibri"/>
                <w:b/>
                <w:color w:val="000000"/>
                <w:sz w:val="16"/>
                <w:szCs w:val="16"/>
              </w:rPr>
            </w:pPr>
            <w:r w:rsidRPr="00FE424E">
              <w:rPr>
                <w:rFonts w:ascii="Calibri" w:eastAsia="Calibri" w:hAnsi="Calibri" w:cs="Calibri"/>
                <w:b/>
                <w:color w:val="000000"/>
                <w:sz w:val="16"/>
                <w:szCs w:val="16"/>
              </w:rPr>
              <w:t>NARFS I</w:t>
            </w:r>
            <w:r>
              <w:rPr>
                <w:rFonts w:ascii="Calibri" w:eastAsia="Calibri" w:hAnsi="Calibri" w:cs="Calibri"/>
                <w:b/>
                <w:color w:val="000000"/>
                <w:sz w:val="16"/>
                <w:szCs w:val="16"/>
              </w:rPr>
              <w:t>V</w:t>
            </w:r>
          </w:p>
        </w:tc>
        <w:tc>
          <w:tcPr>
            <w:tcW w:w="2049" w:type="dxa"/>
            <w:tcBorders>
              <w:top w:val="nil"/>
              <w:left w:val="nil"/>
              <w:bottom w:val="single" w:sz="4" w:space="0" w:color="000000"/>
              <w:right w:val="single" w:sz="4" w:space="0" w:color="000000"/>
            </w:tcBorders>
            <w:shd w:val="clear" w:color="auto" w:fill="auto"/>
            <w:vAlign w:val="bottom"/>
          </w:tcPr>
          <w:p w:rsidR="00204C8D" w:rsidRPr="00FE424E" w:rsidP="00D0040C">
            <w:pPr>
              <w:widowControl/>
              <w:jc w:val="center"/>
              <w:rPr>
                <w:rFonts w:ascii="Calibri" w:eastAsia="Calibri" w:hAnsi="Calibri" w:cs="Calibri"/>
                <w:b/>
                <w:color w:val="000000"/>
                <w:sz w:val="16"/>
                <w:szCs w:val="16"/>
              </w:rPr>
            </w:pPr>
          </w:p>
        </w:tc>
        <w:tc>
          <w:tcPr>
            <w:tcW w:w="1170" w:type="dxa"/>
            <w:tcBorders>
              <w:top w:val="nil"/>
              <w:left w:val="nil"/>
              <w:bottom w:val="single" w:sz="4" w:space="0" w:color="000000"/>
              <w:right w:val="single" w:sz="4" w:space="0" w:color="000000"/>
            </w:tcBorders>
            <w:shd w:val="clear" w:color="auto" w:fill="auto"/>
            <w:vAlign w:val="bottom"/>
          </w:tcPr>
          <w:p w:rsidR="00204C8D" w:rsidRPr="00FE424E"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515</w:t>
            </w:r>
          </w:p>
        </w:tc>
        <w:tc>
          <w:tcPr>
            <w:tcW w:w="1080" w:type="dxa"/>
            <w:tcBorders>
              <w:top w:val="nil"/>
              <w:left w:val="nil"/>
              <w:bottom w:val="single" w:sz="4" w:space="0" w:color="000000"/>
              <w:right w:val="single" w:sz="4" w:space="0" w:color="000000"/>
            </w:tcBorders>
            <w:shd w:val="clear" w:color="auto" w:fill="auto"/>
            <w:vAlign w:val="bottom"/>
          </w:tcPr>
          <w:p w:rsidR="00204C8D" w:rsidRPr="00FE424E"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w:t>
            </w:r>
          </w:p>
        </w:tc>
        <w:tc>
          <w:tcPr>
            <w:tcW w:w="1170" w:type="dxa"/>
            <w:tcBorders>
              <w:top w:val="nil"/>
              <w:left w:val="nil"/>
              <w:bottom w:val="single" w:sz="4" w:space="0" w:color="000000"/>
              <w:right w:val="single" w:sz="4" w:space="0" w:color="000000"/>
            </w:tcBorders>
            <w:shd w:val="clear" w:color="auto" w:fill="auto"/>
            <w:vAlign w:val="bottom"/>
          </w:tcPr>
          <w:p w:rsidR="00204C8D" w:rsidRPr="00FE424E"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515</w:t>
            </w:r>
          </w:p>
        </w:tc>
        <w:tc>
          <w:tcPr>
            <w:tcW w:w="1080" w:type="dxa"/>
            <w:tcBorders>
              <w:top w:val="nil"/>
              <w:left w:val="nil"/>
              <w:bottom w:val="single" w:sz="4" w:space="0" w:color="000000"/>
              <w:right w:val="single" w:sz="4" w:space="0" w:color="000000"/>
            </w:tcBorders>
            <w:shd w:val="clear" w:color="auto" w:fill="auto"/>
            <w:vAlign w:val="bottom"/>
          </w:tcPr>
          <w:p w:rsidR="00204C8D" w:rsidRPr="00FE424E"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0.</w:t>
            </w:r>
            <w:r w:rsidR="00A37955">
              <w:rPr>
                <w:rFonts w:ascii="Calibri" w:eastAsia="Calibri" w:hAnsi="Calibri" w:cs="Calibri"/>
                <w:b/>
                <w:color w:val="000000"/>
                <w:sz w:val="16"/>
                <w:szCs w:val="16"/>
              </w:rPr>
              <w:t>19</w:t>
            </w:r>
            <w:r w:rsidR="007D1506">
              <w:rPr>
                <w:rFonts w:ascii="Calibri" w:eastAsia="Calibri" w:hAnsi="Calibri" w:cs="Calibri"/>
                <w:b/>
                <w:color w:val="000000"/>
                <w:sz w:val="16"/>
                <w:szCs w:val="16"/>
              </w:rPr>
              <w:t>3</w:t>
            </w:r>
          </w:p>
        </w:tc>
        <w:tc>
          <w:tcPr>
            <w:tcW w:w="1260" w:type="dxa"/>
            <w:tcBorders>
              <w:top w:val="nil"/>
              <w:left w:val="nil"/>
              <w:bottom w:val="single" w:sz="4" w:space="0" w:color="000000"/>
              <w:right w:val="single" w:sz="4" w:space="0" w:color="000000"/>
            </w:tcBorders>
            <w:shd w:val="clear" w:color="auto" w:fill="auto"/>
            <w:vAlign w:val="bottom"/>
          </w:tcPr>
          <w:p w:rsidR="00204C8D" w:rsidRPr="00FE424E" w:rsidP="00472AFB">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99</w:t>
            </w:r>
          </w:p>
        </w:tc>
        <w:tc>
          <w:tcPr>
            <w:tcW w:w="1350" w:type="dxa"/>
            <w:tcBorders>
              <w:top w:val="nil"/>
              <w:left w:val="nil"/>
              <w:bottom w:val="single" w:sz="4" w:space="0" w:color="000000"/>
              <w:right w:val="single" w:sz="4" w:space="0" w:color="000000"/>
            </w:tcBorders>
            <w:shd w:val="clear" w:color="auto" w:fill="auto"/>
            <w:vAlign w:val="bottom"/>
          </w:tcPr>
          <w:p w:rsidR="00204C8D" w:rsidRPr="00FE424E" w:rsidP="00D0040C">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31.48</w:t>
            </w:r>
          </w:p>
        </w:tc>
        <w:tc>
          <w:tcPr>
            <w:tcW w:w="1260" w:type="dxa"/>
            <w:tcBorders>
              <w:top w:val="nil"/>
              <w:left w:val="nil"/>
              <w:bottom w:val="single" w:sz="4" w:space="0" w:color="000000"/>
              <w:right w:val="single" w:sz="8" w:space="0" w:color="000000"/>
            </w:tcBorders>
            <w:shd w:val="clear" w:color="auto" w:fill="auto"/>
            <w:vAlign w:val="bottom"/>
          </w:tcPr>
          <w:p w:rsidR="0068136C" w:rsidRPr="00FE424E" w:rsidP="007D1506">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3,1</w:t>
            </w:r>
            <w:r w:rsidR="007D1506">
              <w:rPr>
                <w:rFonts w:ascii="Calibri" w:eastAsia="Calibri" w:hAnsi="Calibri" w:cs="Calibri"/>
                <w:b/>
                <w:color w:val="000000"/>
                <w:sz w:val="16"/>
                <w:szCs w:val="16"/>
              </w:rPr>
              <w:t>1</w:t>
            </w:r>
            <w:r>
              <w:rPr>
                <w:rFonts w:ascii="Calibri" w:eastAsia="Calibri" w:hAnsi="Calibri" w:cs="Calibri"/>
                <w:b/>
                <w:color w:val="000000"/>
                <w:sz w:val="16"/>
                <w:szCs w:val="16"/>
              </w:rPr>
              <w:t>7</w:t>
            </w:r>
          </w:p>
        </w:tc>
      </w:tr>
      <w:tr w:rsidTr="00D0040C">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204C8D" w:rsidP="00204C8D">
            <w:pPr>
              <w:widowControl/>
              <w:rPr>
                <w:rFonts w:ascii="Calibri" w:eastAsia="Calibri" w:hAnsi="Calibri" w:cs="Calibri"/>
                <w:color w:val="000000"/>
                <w:sz w:val="16"/>
                <w:szCs w:val="16"/>
              </w:rPr>
            </w:pPr>
            <w:r>
              <w:rPr>
                <w:rFonts w:ascii="Calibri" w:eastAsia="Calibri" w:hAnsi="Calibri" w:cs="Calibri"/>
                <w:color w:val="000000"/>
                <w:sz w:val="16"/>
                <w:szCs w:val="16"/>
              </w:rPr>
              <w:t>NARFS IV</w:t>
            </w:r>
          </w:p>
        </w:tc>
        <w:tc>
          <w:tcPr>
            <w:tcW w:w="2049"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center"/>
              <w:rPr>
                <w:rFonts w:ascii="Calibri" w:eastAsia="Calibri" w:hAnsi="Calibri" w:cs="Calibri"/>
                <w:color w:val="000000"/>
                <w:sz w:val="16"/>
                <w:szCs w:val="16"/>
              </w:rPr>
            </w:pPr>
            <w:r>
              <w:rPr>
                <w:rFonts w:ascii="Calibri" w:eastAsia="Calibri" w:hAnsi="Calibri" w:cs="Calibri"/>
                <w:color w:val="000000"/>
                <w:sz w:val="16"/>
                <w:szCs w:val="16"/>
              </w:rPr>
              <w:t>Completion of mail/web surveys by an eligible angler </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391 </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391 </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204C8D" w:rsidP="00A37955">
            <w:pPr>
              <w:widowControl/>
              <w:jc w:val="right"/>
              <w:rPr>
                <w:rFonts w:ascii="Calibri" w:eastAsia="Calibri" w:hAnsi="Calibri" w:cs="Calibri"/>
                <w:color w:val="000000"/>
                <w:sz w:val="16"/>
                <w:szCs w:val="16"/>
              </w:rPr>
            </w:pPr>
            <w:r>
              <w:rPr>
                <w:rFonts w:ascii="Calibri" w:eastAsia="Calibri" w:hAnsi="Calibri" w:cs="Calibri"/>
                <w:color w:val="000000"/>
                <w:sz w:val="16"/>
                <w:szCs w:val="16"/>
              </w:rPr>
              <w:t>0.2</w:t>
            </w:r>
            <w:r w:rsidR="00A37955">
              <w:rPr>
                <w:rFonts w:ascii="Calibri" w:eastAsia="Calibri" w:hAnsi="Calibri" w:cs="Calibri"/>
                <w:color w:val="000000"/>
                <w:sz w:val="16"/>
                <w:szCs w:val="16"/>
              </w:rPr>
              <w:t>33</w:t>
            </w: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204C8D" w:rsidP="00A37955">
            <w:pPr>
              <w:widowControl/>
              <w:jc w:val="right"/>
              <w:rPr>
                <w:rFonts w:ascii="Calibri" w:eastAsia="Calibri" w:hAnsi="Calibri" w:cs="Calibri"/>
                <w:color w:val="000000"/>
                <w:sz w:val="16"/>
                <w:szCs w:val="16"/>
              </w:rPr>
            </w:pPr>
            <w:r>
              <w:rPr>
                <w:rFonts w:ascii="Calibri" w:eastAsia="Calibri" w:hAnsi="Calibri" w:cs="Calibri"/>
                <w:color w:val="000000"/>
                <w:sz w:val="16"/>
                <w:szCs w:val="16"/>
              </w:rPr>
              <w:t>91</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260" w:type="dxa"/>
            <w:tcBorders>
              <w:top w:val="nil"/>
              <w:left w:val="nil"/>
              <w:bottom w:val="single" w:sz="4" w:space="0" w:color="000000"/>
              <w:right w:val="single" w:sz="8" w:space="0" w:color="000000"/>
            </w:tcBorders>
            <w:shd w:val="clear" w:color="auto" w:fill="F2F2F2" w:themeFill="background1" w:themeFillShade="F2"/>
            <w:vAlign w:val="bottom"/>
          </w:tcPr>
          <w:p w:rsidR="00204C8D" w:rsidP="00472AFB">
            <w:pPr>
              <w:widowControl/>
              <w:jc w:val="right"/>
              <w:rPr>
                <w:rFonts w:ascii="Calibri" w:eastAsia="Calibri" w:hAnsi="Calibri" w:cs="Calibri"/>
                <w:color w:val="000000"/>
                <w:sz w:val="16"/>
                <w:szCs w:val="16"/>
              </w:rPr>
            </w:pPr>
            <w:r>
              <w:rPr>
                <w:rFonts w:ascii="Calibri" w:eastAsia="Calibri" w:hAnsi="Calibri" w:cs="Calibri"/>
                <w:color w:val="000000"/>
                <w:sz w:val="16"/>
                <w:szCs w:val="16"/>
              </w:rPr>
              <w:t>2,865</w:t>
            </w:r>
          </w:p>
        </w:tc>
      </w:tr>
      <w:tr w:rsidTr="00D0040C">
        <w:tblPrEx>
          <w:tblW w:w="11535" w:type="dxa"/>
          <w:tblInd w:w="-25" w:type="dxa"/>
          <w:tblLayout w:type="fixed"/>
          <w:tblLook w:val="0400"/>
        </w:tblPrEx>
        <w:trPr>
          <w:trHeight w:val="300"/>
        </w:trPr>
        <w:tc>
          <w:tcPr>
            <w:tcW w:w="1116" w:type="dxa"/>
            <w:tcBorders>
              <w:top w:val="nil"/>
              <w:left w:val="single" w:sz="8" w:space="0" w:color="000000"/>
              <w:bottom w:val="single" w:sz="4" w:space="0" w:color="000000"/>
              <w:right w:val="single" w:sz="4" w:space="0" w:color="000000"/>
            </w:tcBorders>
            <w:shd w:val="clear" w:color="auto" w:fill="F2F2F2" w:themeFill="background1" w:themeFillShade="F2"/>
            <w:vAlign w:val="bottom"/>
          </w:tcPr>
          <w:p w:rsidR="00204C8D" w:rsidP="00204C8D">
            <w:pPr>
              <w:widowControl/>
              <w:rPr>
                <w:rFonts w:ascii="Calibri" w:eastAsia="Calibri" w:hAnsi="Calibri" w:cs="Calibri"/>
                <w:color w:val="000000"/>
                <w:sz w:val="16"/>
                <w:szCs w:val="16"/>
              </w:rPr>
            </w:pPr>
            <w:r>
              <w:rPr>
                <w:rFonts w:ascii="Calibri" w:eastAsia="Calibri" w:hAnsi="Calibri" w:cs="Calibri"/>
                <w:color w:val="000000"/>
                <w:sz w:val="16"/>
                <w:szCs w:val="16"/>
              </w:rPr>
              <w:t>NARFS IV</w:t>
            </w:r>
          </w:p>
        </w:tc>
        <w:tc>
          <w:tcPr>
            <w:tcW w:w="2049"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center"/>
              <w:rPr>
                <w:rFonts w:ascii="Calibri" w:eastAsia="Calibri" w:hAnsi="Calibri" w:cs="Calibri"/>
                <w:color w:val="000000"/>
                <w:sz w:val="16"/>
                <w:szCs w:val="16"/>
              </w:rPr>
            </w:pPr>
            <w:r>
              <w:rPr>
                <w:rFonts w:ascii="Calibri" w:eastAsia="Calibri" w:hAnsi="Calibri" w:cs="Calibri"/>
                <w:color w:val="000000"/>
                <w:sz w:val="16"/>
                <w:szCs w:val="16"/>
              </w:rPr>
              <w:t>Completion of mail/web surveys</w:t>
            </w:r>
            <w:r>
              <w:rPr>
                <w:rFonts w:ascii="Calibri" w:eastAsia="Calibri" w:hAnsi="Calibri" w:cs="Calibri"/>
                <w:color w:val="000000"/>
                <w:sz w:val="16"/>
                <w:szCs w:val="16"/>
              </w:rPr>
              <w:t xml:space="preserve"> by an ineligible angler  </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124 </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1 </w:t>
            </w:r>
          </w:p>
        </w:tc>
        <w:tc>
          <w:tcPr>
            <w:tcW w:w="1170" w:type="dxa"/>
            <w:tcBorders>
              <w:top w:val="nil"/>
              <w:left w:val="nil"/>
              <w:bottom w:val="single" w:sz="4" w:space="0" w:color="000000"/>
              <w:right w:val="single" w:sz="4" w:space="0" w:color="000000"/>
            </w:tcBorders>
            <w:shd w:val="clear" w:color="auto" w:fill="F2F2F2" w:themeFill="background1" w:themeFillShade="F2"/>
            <w:vAlign w:val="bottom"/>
          </w:tcPr>
          <w:p w:rsidR="00204C8D" w:rsidP="0068136C">
            <w:pPr>
              <w:widowControl/>
              <w:jc w:val="right"/>
              <w:rPr>
                <w:rFonts w:ascii="Calibri" w:eastAsia="Calibri" w:hAnsi="Calibri" w:cs="Calibri"/>
                <w:color w:val="000000"/>
                <w:sz w:val="16"/>
                <w:szCs w:val="16"/>
              </w:rPr>
            </w:pPr>
            <w:r>
              <w:rPr>
                <w:rFonts w:ascii="Calibri" w:eastAsia="Calibri" w:hAnsi="Calibri" w:cs="Calibri"/>
                <w:color w:val="000000"/>
                <w:sz w:val="16"/>
                <w:szCs w:val="16"/>
              </w:rPr>
              <w:t>1</w:t>
            </w:r>
            <w:r w:rsidR="0068136C">
              <w:rPr>
                <w:rFonts w:ascii="Calibri" w:eastAsia="Calibri" w:hAnsi="Calibri" w:cs="Calibri"/>
                <w:color w:val="000000"/>
                <w:sz w:val="16"/>
                <w:szCs w:val="16"/>
              </w:rPr>
              <w:t>24</w:t>
            </w:r>
            <w:r>
              <w:rPr>
                <w:rFonts w:ascii="Calibri" w:eastAsia="Calibri" w:hAnsi="Calibri" w:cs="Calibri"/>
                <w:color w:val="000000"/>
                <w:sz w:val="16"/>
                <w:szCs w:val="16"/>
              </w:rPr>
              <w:t> </w:t>
            </w:r>
          </w:p>
        </w:tc>
        <w:tc>
          <w:tcPr>
            <w:tcW w:w="1080" w:type="dxa"/>
            <w:tcBorders>
              <w:top w:val="nil"/>
              <w:left w:val="nil"/>
              <w:bottom w:val="single" w:sz="4" w:space="0" w:color="000000"/>
              <w:right w:val="single" w:sz="4" w:space="0" w:color="000000"/>
            </w:tcBorders>
            <w:shd w:val="clear" w:color="auto" w:fill="F2F2F2" w:themeFill="background1" w:themeFillShade="F2"/>
            <w:vAlign w:val="bottom"/>
          </w:tcPr>
          <w:p w:rsidR="00204C8D" w:rsidP="0068136C">
            <w:pPr>
              <w:widowControl/>
              <w:jc w:val="right"/>
              <w:rPr>
                <w:rFonts w:ascii="Calibri" w:eastAsia="Calibri" w:hAnsi="Calibri" w:cs="Calibri"/>
                <w:color w:val="000000"/>
                <w:sz w:val="16"/>
                <w:szCs w:val="16"/>
              </w:rPr>
            </w:pPr>
            <w:r>
              <w:rPr>
                <w:rFonts w:ascii="Calibri" w:eastAsia="Calibri" w:hAnsi="Calibri" w:cs="Calibri"/>
                <w:color w:val="000000"/>
                <w:sz w:val="16"/>
                <w:szCs w:val="16"/>
              </w:rPr>
              <w:t>0.</w:t>
            </w:r>
            <w:r w:rsidR="00E950BD">
              <w:rPr>
                <w:rFonts w:ascii="Calibri" w:eastAsia="Calibri" w:hAnsi="Calibri" w:cs="Calibri"/>
                <w:color w:val="000000"/>
                <w:sz w:val="16"/>
                <w:szCs w:val="16"/>
              </w:rPr>
              <w:t>06</w:t>
            </w:r>
            <w:r w:rsidR="0068136C">
              <w:rPr>
                <w:rFonts w:ascii="Calibri" w:eastAsia="Calibri" w:hAnsi="Calibri" w:cs="Calibri"/>
                <w:color w:val="000000"/>
                <w:sz w:val="16"/>
                <w:szCs w:val="16"/>
              </w:rPr>
              <w:t>5</w:t>
            </w:r>
            <w:r>
              <w:rPr>
                <w:rFonts w:ascii="Calibri" w:eastAsia="Calibri" w:hAnsi="Calibri" w:cs="Calibri"/>
                <w:color w:val="000000"/>
                <w:sz w:val="16"/>
                <w:szCs w:val="16"/>
              </w:rPr>
              <w:t> </w:t>
            </w:r>
          </w:p>
        </w:tc>
        <w:tc>
          <w:tcPr>
            <w:tcW w:w="1260" w:type="dxa"/>
            <w:tcBorders>
              <w:top w:val="nil"/>
              <w:left w:val="nil"/>
              <w:bottom w:val="single" w:sz="4" w:space="0" w:color="000000"/>
              <w:right w:val="single" w:sz="4" w:space="0" w:color="000000"/>
            </w:tcBorders>
            <w:shd w:val="clear" w:color="auto" w:fill="F2F2F2" w:themeFill="background1" w:themeFillShade="F2"/>
            <w:vAlign w:val="bottom"/>
          </w:tcPr>
          <w:p w:rsidR="00204C8D" w:rsidP="00472AFB">
            <w:pPr>
              <w:widowControl/>
              <w:jc w:val="right"/>
              <w:rPr>
                <w:rFonts w:ascii="Calibri" w:eastAsia="Calibri" w:hAnsi="Calibri" w:cs="Calibri"/>
                <w:color w:val="000000"/>
                <w:sz w:val="16"/>
                <w:szCs w:val="16"/>
              </w:rPr>
            </w:pPr>
            <w:r>
              <w:rPr>
                <w:rFonts w:ascii="Calibri" w:eastAsia="Calibri" w:hAnsi="Calibri" w:cs="Calibri"/>
                <w:color w:val="000000"/>
                <w:sz w:val="16"/>
                <w:szCs w:val="16"/>
              </w:rPr>
              <w:t>8 </w:t>
            </w:r>
          </w:p>
        </w:tc>
        <w:tc>
          <w:tcPr>
            <w:tcW w:w="1350" w:type="dxa"/>
            <w:tcBorders>
              <w:top w:val="nil"/>
              <w:left w:val="nil"/>
              <w:bottom w:val="single" w:sz="4" w:space="0" w:color="000000"/>
              <w:right w:val="single" w:sz="4" w:space="0" w:color="000000"/>
            </w:tcBorders>
            <w:shd w:val="clear" w:color="auto" w:fill="F2F2F2" w:themeFill="background1" w:themeFillShade="F2"/>
            <w:vAlign w:val="bottom"/>
          </w:tcPr>
          <w:p w:rsidR="00204C8D" w:rsidP="00D0040C">
            <w:pPr>
              <w:widowControl/>
              <w:jc w:val="right"/>
              <w:rPr>
                <w:rFonts w:ascii="Calibri" w:eastAsia="Calibri" w:hAnsi="Calibri" w:cs="Calibri"/>
                <w:color w:val="000000"/>
                <w:sz w:val="16"/>
                <w:szCs w:val="16"/>
              </w:rPr>
            </w:pPr>
            <w:r>
              <w:rPr>
                <w:rFonts w:ascii="Calibri" w:eastAsia="Calibri" w:hAnsi="Calibri" w:cs="Calibri"/>
                <w:color w:val="000000"/>
                <w:sz w:val="16"/>
                <w:szCs w:val="16"/>
              </w:rPr>
              <w:t>31.48 </w:t>
            </w:r>
          </w:p>
        </w:tc>
        <w:tc>
          <w:tcPr>
            <w:tcW w:w="1260" w:type="dxa"/>
            <w:tcBorders>
              <w:top w:val="nil"/>
              <w:left w:val="nil"/>
              <w:bottom w:val="single" w:sz="4" w:space="0" w:color="000000"/>
              <w:right w:val="single" w:sz="8" w:space="0" w:color="000000"/>
            </w:tcBorders>
            <w:shd w:val="clear" w:color="auto" w:fill="F2F2F2" w:themeFill="background1" w:themeFillShade="F2"/>
            <w:vAlign w:val="bottom"/>
          </w:tcPr>
          <w:p w:rsidR="00204C8D" w:rsidP="007D1506">
            <w:pPr>
              <w:widowControl/>
              <w:jc w:val="right"/>
              <w:rPr>
                <w:rFonts w:ascii="Calibri" w:eastAsia="Calibri" w:hAnsi="Calibri" w:cs="Calibri"/>
                <w:color w:val="000000"/>
                <w:sz w:val="16"/>
                <w:szCs w:val="16"/>
              </w:rPr>
            </w:pPr>
            <w:r>
              <w:rPr>
                <w:rFonts w:ascii="Calibri" w:eastAsia="Calibri" w:hAnsi="Calibri" w:cs="Calibri"/>
                <w:color w:val="000000"/>
                <w:sz w:val="16"/>
                <w:szCs w:val="16"/>
              </w:rPr>
              <w:t>252</w:t>
            </w:r>
          </w:p>
        </w:tc>
      </w:tr>
      <w:tr w:rsidTr="00D0040C">
        <w:tblPrEx>
          <w:tblW w:w="11535" w:type="dxa"/>
          <w:tblInd w:w="-25" w:type="dxa"/>
          <w:tblLayout w:type="fixed"/>
          <w:tblLook w:val="0400"/>
        </w:tblPrEx>
        <w:trPr>
          <w:trHeight w:val="350"/>
        </w:trPr>
        <w:tc>
          <w:tcPr>
            <w:tcW w:w="1116" w:type="dxa"/>
            <w:tcBorders>
              <w:top w:val="nil"/>
              <w:left w:val="single" w:sz="8" w:space="0" w:color="000000"/>
              <w:bottom w:val="single" w:sz="8" w:space="0" w:color="000000"/>
              <w:right w:val="single" w:sz="8" w:space="0" w:color="000000"/>
            </w:tcBorders>
            <w:shd w:val="clear" w:color="auto" w:fill="DDEBF7"/>
            <w:vAlign w:val="bottom"/>
          </w:tcPr>
          <w:p w:rsidR="00204C8D" w:rsidP="00D0040C">
            <w:pPr>
              <w:widowControl/>
              <w:rPr>
                <w:rFonts w:ascii="Calibri" w:eastAsia="Calibri" w:hAnsi="Calibri" w:cs="Calibri"/>
                <w:b/>
                <w:color w:val="000000"/>
              </w:rPr>
            </w:pPr>
            <w:r>
              <w:rPr>
                <w:rFonts w:ascii="Calibri" w:eastAsia="Calibri" w:hAnsi="Calibri" w:cs="Calibri"/>
                <w:b/>
                <w:color w:val="000000"/>
              </w:rPr>
              <w:t>Totals</w:t>
            </w:r>
          </w:p>
        </w:tc>
        <w:tc>
          <w:tcPr>
            <w:tcW w:w="2049" w:type="dxa"/>
            <w:tcBorders>
              <w:top w:val="nil"/>
              <w:left w:val="nil"/>
              <w:bottom w:val="single" w:sz="8" w:space="0" w:color="000000"/>
              <w:right w:val="single" w:sz="8" w:space="0" w:color="000000"/>
            </w:tcBorders>
            <w:shd w:val="clear" w:color="auto" w:fill="000000"/>
            <w:vAlign w:val="bottom"/>
          </w:tcPr>
          <w:p w:rsidR="00204C8D" w:rsidP="00D0040C">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000000"/>
            <w:vAlign w:val="bottom"/>
          </w:tcPr>
          <w:p w:rsidR="00204C8D" w:rsidP="00D0040C">
            <w:pPr>
              <w:widowControl/>
              <w:rPr>
                <w:rFonts w:ascii="Calibri" w:eastAsia="Calibri" w:hAnsi="Calibri" w:cs="Calibri"/>
                <w:b/>
                <w:color w:val="000000"/>
              </w:rPr>
            </w:pPr>
            <w:r>
              <w:rPr>
                <w:rFonts w:ascii="Calibri" w:eastAsia="Calibri" w:hAnsi="Calibri" w:cs="Calibri"/>
                <w:b/>
                <w:color w:val="000000"/>
              </w:rPr>
              <w:t> </w:t>
            </w:r>
          </w:p>
        </w:tc>
        <w:tc>
          <w:tcPr>
            <w:tcW w:w="1080" w:type="dxa"/>
            <w:tcBorders>
              <w:top w:val="nil"/>
              <w:left w:val="nil"/>
              <w:bottom w:val="single" w:sz="8" w:space="0" w:color="000000"/>
              <w:right w:val="single" w:sz="8" w:space="0" w:color="000000"/>
            </w:tcBorders>
            <w:shd w:val="clear" w:color="auto" w:fill="000000"/>
            <w:vAlign w:val="bottom"/>
          </w:tcPr>
          <w:p w:rsidR="00204C8D" w:rsidP="00D0040C">
            <w:pPr>
              <w:widowControl/>
              <w:rPr>
                <w:rFonts w:ascii="Calibri" w:eastAsia="Calibri" w:hAnsi="Calibri" w:cs="Calibri"/>
                <w:b/>
                <w:color w:val="000000"/>
              </w:rPr>
            </w:pPr>
            <w:r>
              <w:rPr>
                <w:rFonts w:ascii="Calibri" w:eastAsia="Calibri" w:hAnsi="Calibri" w:cs="Calibri"/>
                <w:b/>
                <w:color w:val="000000"/>
              </w:rPr>
              <w:t> </w:t>
            </w:r>
          </w:p>
        </w:tc>
        <w:tc>
          <w:tcPr>
            <w:tcW w:w="1170" w:type="dxa"/>
            <w:tcBorders>
              <w:top w:val="nil"/>
              <w:left w:val="nil"/>
              <w:bottom w:val="single" w:sz="8" w:space="0" w:color="000000"/>
              <w:right w:val="single" w:sz="8" w:space="0" w:color="000000"/>
            </w:tcBorders>
            <w:shd w:val="clear" w:color="auto" w:fill="DDEBF7"/>
            <w:vAlign w:val="bottom"/>
          </w:tcPr>
          <w:p w:rsidR="00204C8D" w:rsidP="00D0040C">
            <w:pPr>
              <w:widowControl/>
              <w:rPr>
                <w:rFonts w:ascii="Calibri" w:eastAsia="Calibri" w:hAnsi="Calibri" w:cs="Calibri"/>
                <w:b/>
                <w:color w:val="000000"/>
              </w:rPr>
            </w:pPr>
            <w:r>
              <w:rPr>
                <w:rFonts w:ascii="Calibri" w:eastAsia="Calibri" w:hAnsi="Calibri" w:cs="Calibri"/>
                <w:b/>
                <w:color w:val="000000"/>
              </w:rPr>
              <w:t>957</w:t>
            </w:r>
            <w:bookmarkStart w:id="2" w:name="_GoBack"/>
            <w:bookmarkEnd w:id="2"/>
          </w:p>
        </w:tc>
        <w:tc>
          <w:tcPr>
            <w:tcW w:w="1080" w:type="dxa"/>
            <w:tcBorders>
              <w:top w:val="nil"/>
              <w:left w:val="nil"/>
              <w:bottom w:val="single" w:sz="8" w:space="0" w:color="000000"/>
              <w:right w:val="single" w:sz="8" w:space="0" w:color="000000"/>
            </w:tcBorders>
            <w:shd w:val="clear" w:color="auto" w:fill="000000"/>
            <w:vAlign w:val="bottom"/>
          </w:tcPr>
          <w:p w:rsidR="00204C8D" w:rsidP="00D0040C">
            <w:pPr>
              <w:widowControl/>
              <w:rPr>
                <w:rFonts w:ascii="Calibri" w:eastAsia="Calibri" w:hAnsi="Calibri" w:cs="Calibri"/>
                <w:b/>
                <w:color w:val="000000"/>
              </w:rPr>
            </w:pPr>
            <w:r>
              <w:rPr>
                <w:rFonts w:ascii="Calibri" w:eastAsia="Calibri" w:hAnsi="Calibri" w:cs="Calibri"/>
                <w:b/>
                <w:color w:val="000000"/>
              </w:rPr>
              <w:t> </w:t>
            </w:r>
          </w:p>
        </w:tc>
        <w:tc>
          <w:tcPr>
            <w:tcW w:w="1260" w:type="dxa"/>
            <w:tcBorders>
              <w:top w:val="nil"/>
              <w:left w:val="nil"/>
              <w:bottom w:val="single" w:sz="8" w:space="0" w:color="000000"/>
              <w:right w:val="single" w:sz="8" w:space="0" w:color="000000"/>
            </w:tcBorders>
            <w:shd w:val="clear" w:color="auto" w:fill="DDEBF7"/>
            <w:vAlign w:val="bottom"/>
          </w:tcPr>
          <w:p w:rsidR="00204C8D" w:rsidP="007D1506">
            <w:pPr>
              <w:widowControl/>
              <w:rPr>
                <w:rFonts w:ascii="Calibri" w:eastAsia="Calibri" w:hAnsi="Calibri" w:cs="Calibri"/>
                <w:b/>
                <w:color w:val="000000"/>
              </w:rPr>
            </w:pPr>
            <w:r>
              <w:rPr>
                <w:rFonts w:ascii="Calibri" w:eastAsia="Calibri" w:hAnsi="Calibri" w:cs="Calibri"/>
                <w:b/>
                <w:color w:val="000000"/>
              </w:rPr>
              <w:t>157</w:t>
            </w:r>
          </w:p>
        </w:tc>
        <w:tc>
          <w:tcPr>
            <w:tcW w:w="1350" w:type="dxa"/>
            <w:tcBorders>
              <w:top w:val="nil"/>
              <w:left w:val="nil"/>
              <w:bottom w:val="single" w:sz="8" w:space="0" w:color="000000"/>
              <w:right w:val="single" w:sz="8" w:space="0" w:color="000000"/>
            </w:tcBorders>
            <w:shd w:val="clear" w:color="auto" w:fill="000000"/>
            <w:vAlign w:val="bottom"/>
          </w:tcPr>
          <w:p w:rsidR="00204C8D" w:rsidP="00D0040C">
            <w:pPr>
              <w:widowControl/>
              <w:rPr>
                <w:rFonts w:ascii="Calibri" w:eastAsia="Calibri" w:hAnsi="Calibri" w:cs="Calibri"/>
                <w:b/>
                <w:color w:val="000000"/>
              </w:rPr>
            </w:pPr>
            <w:r>
              <w:rPr>
                <w:rFonts w:ascii="Calibri" w:eastAsia="Calibri" w:hAnsi="Calibri" w:cs="Calibri"/>
                <w:b/>
                <w:color w:val="000000"/>
              </w:rPr>
              <w:t> </w:t>
            </w:r>
          </w:p>
        </w:tc>
        <w:tc>
          <w:tcPr>
            <w:tcW w:w="1260" w:type="dxa"/>
            <w:tcBorders>
              <w:top w:val="nil"/>
              <w:left w:val="nil"/>
              <w:bottom w:val="single" w:sz="8" w:space="0" w:color="000000"/>
              <w:right w:val="single" w:sz="8" w:space="0" w:color="000000"/>
            </w:tcBorders>
            <w:shd w:val="clear" w:color="auto" w:fill="DDEBF7"/>
            <w:vAlign w:val="bottom"/>
          </w:tcPr>
          <w:p w:rsidR="00204C8D" w:rsidP="007D1506">
            <w:pPr>
              <w:widowControl/>
              <w:rPr>
                <w:rFonts w:ascii="Calibri" w:eastAsia="Calibri" w:hAnsi="Calibri" w:cs="Calibri"/>
                <w:b/>
                <w:color w:val="000000"/>
              </w:rPr>
            </w:pPr>
            <w:r>
              <w:rPr>
                <w:rFonts w:ascii="Calibri" w:eastAsia="Calibri" w:hAnsi="Calibri" w:cs="Calibri"/>
                <w:b/>
                <w:color w:val="000000"/>
              </w:rPr>
              <w:t> </w:t>
            </w:r>
            <w:r w:rsidR="007D1506">
              <w:rPr>
                <w:rFonts w:ascii="Calibri" w:eastAsia="Calibri" w:hAnsi="Calibri" w:cs="Calibri"/>
                <w:b/>
                <w:color w:val="000000"/>
              </w:rPr>
              <w:t>3,117</w:t>
            </w:r>
          </w:p>
        </w:tc>
      </w:tr>
    </w:tbl>
    <w:p w:rsidR="007521A9">
      <w:pPr>
        <w:spacing w:line="259" w:lineRule="auto"/>
        <w:rPr>
          <w:rFonts w:ascii="Times New Roman" w:eastAsia="Times New Roman" w:hAnsi="Times New Roman" w:cs="Times New Roman"/>
          <w:b/>
          <w:color w:val="FF0000"/>
          <w:sz w:val="24"/>
          <w:szCs w:val="24"/>
        </w:rPr>
        <w:sectPr w:rsidSect="007521A9">
          <w:pgSz w:w="15840" w:h="12240" w:orient="landscape"/>
          <w:pgMar w:top="1440" w:right="1008" w:bottom="1440" w:left="1440" w:header="720" w:footer="720" w:gutter="0"/>
          <w:cols w:space="720" w:equalWidth="0">
            <w:col w:w="8632"/>
          </w:cols>
          <w:docGrid w:linePitch="299"/>
        </w:sectPr>
      </w:pPr>
      <w:r>
        <w:rPr>
          <w:rFonts w:ascii="Times New Roman" w:eastAsia="Times New Roman" w:hAnsi="Times New Roman" w:cs="Times New Roman"/>
          <w:b/>
          <w:color w:val="FF0000"/>
          <w:sz w:val="24"/>
          <w:szCs w:val="24"/>
        </w:rPr>
        <w:t>The mean hourly wage rate for All Occupations (00-0000) May 2023 was used since anglers could be from any occupation.</w:t>
      </w:r>
    </w:p>
    <w:p w:rsidR="00E11284">
      <w:pPr>
        <w:spacing w:line="259" w:lineRule="auto"/>
        <w:rPr>
          <w:rFonts w:ascii="Times New Roman" w:eastAsia="Times New Roman" w:hAnsi="Times New Roman" w:cs="Times New Roman"/>
          <w:b/>
          <w:color w:val="FF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 xml:space="preserve">Provide an estimate for </w:t>
      </w:r>
      <w:r>
        <w:rPr>
          <w:rFonts w:ascii="Times New Roman" w:eastAsia="Times New Roman" w:hAnsi="Times New Roman" w:cs="Times New Roman"/>
          <w:b/>
          <w:color w:val="000000"/>
          <w:sz w:val="24"/>
          <w:szCs w:val="24"/>
        </w:rPr>
        <w:t>the total annual cost burden to respondents or record keepers resulting from the collection of information. (Do not include the cost of any hour burden already reflected on the burden worksheet).</w:t>
      </w:r>
    </w:p>
    <w:p w:rsidR="00E11284">
      <w:pPr>
        <w:pBdr>
          <w:top w:val="nil"/>
          <w:left w:val="nil"/>
          <w:bottom w:val="nil"/>
          <w:right w:val="nil"/>
          <w:between w:val="nil"/>
        </w:pBdr>
        <w:spacing w:before="1"/>
        <w:rPr>
          <w:rFonts w:ascii="Times New Roman" w:eastAsia="Times New Roman" w:hAnsi="Times New Roman" w:cs="Times New Roman"/>
          <w:b/>
          <w:color w:val="000000"/>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costs excluding the value of the burden hours </w:t>
      </w:r>
      <w:r>
        <w:rPr>
          <w:rFonts w:ascii="Times New Roman" w:eastAsia="Times New Roman" w:hAnsi="Times New Roman" w:cs="Times New Roman"/>
          <w:sz w:val="24"/>
          <w:szCs w:val="24"/>
        </w:rPr>
        <w:t>in question A12. Mailed surveys will be accompanied by a postage-paid envelope.</w:t>
      </w:r>
    </w:p>
    <w:p w:rsidR="00E11284">
      <w:pPr>
        <w:rPr>
          <w:rFonts w:ascii="Times New Roman" w:eastAsia="Times New Roman" w:hAnsi="Times New Roman" w:cs="Times New Roman"/>
          <w:b/>
          <w:color w:val="FF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 xml:space="preserve">Provide estimates of annualized cost to the Federal government. Also, provide a description of the method used to estimate cost, which should include quantification of hours, </w:t>
      </w:r>
      <w:r>
        <w:rPr>
          <w:rFonts w:ascii="Times New Roman" w:eastAsia="Times New Roman" w:hAnsi="Times New Roman" w:cs="Times New Roman"/>
          <w:b/>
          <w:color w:val="000000"/>
          <w:sz w:val="24"/>
          <w:szCs w:val="24"/>
        </w:rPr>
        <w:t>operational expenses (such as equipment, overhead, printing, and support staff), and any other expense that would not have been incurred without this collection of information.</w:t>
      </w:r>
    </w:p>
    <w:p w:rsidR="00E11284">
      <w:pPr>
        <w:spacing w:before="161" w:line="259" w:lineRule="auto"/>
        <w:rPr>
          <w:rFonts w:ascii="Times New Roman" w:eastAsia="Times New Roman" w:hAnsi="Times New Roman" w:cs="Times New Roman"/>
          <w:color w:val="2F5496"/>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NARFS will be administered and primarily analyzed by two outside contracto</w:t>
      </w:r>
      <w:r>
        <w:rPr>
          <w:rFonts w:ascii="Times New Roman" w:eastAsia="Times New Roman" w:hAnsi="Times New Roman" w:cs="Times New Roman"/>
          <w:sz w:val="24"/>
          <w:szCs w:val="24"/>
        </w:rPr>
        <w:t>rs. The total costs to the federal government, over the three-year information request period, is $</w:t>
      </w:r>
      <w:r w:rsidR="003D653C">
        <w:rPr>
          <w:rFonts w:ascii="Times New Roman" w:eastAsia="Times New Roman" w:hAnsi="Times New Roman" w:cs="Times New Roman"/>
          <w:sz w:val="24"/>
          <w:szCs w:val="24"/>
        </w:rPr>
        <w:t>302,828</w:t>
      </w:r>
      <w:r>
        <w:rPr>
          <w:rFonts w:ascii="Times New Roman" w:eastAsia="Times New Roman" w:hAnsi="Times New Roman" w:cs="Times New Roman"/>
          <w:sz w:val="24"/>
          <w:szCs w:val="24"/>
        </w:rPr>
        <w:t>.  These costs consist of $</w:t>
      </w:r>
      <w:r w:rsidR="002F03D2">
        <w:rPr>
          <w:rFonts w:ascii="Times New Roman" w:eastAsia="Times New Roman" w:hAnsi="Times New Roman" w:cs="Times New Roman"/>
          <w:sz w:val="24"/>
          <w:szCs w:val="24"/>
        </w:rPr>
        <w:t>14</w:t>
      </w:r>
      <w:r>
        <w:rPr>
          <w:rFonts w:ascii="Times New Roman" w:eastAsia="Times New Roman" w:hAnsi="Times New Roman" w:cs="Times New Roman"/>
          <w:sz w:val="24"/>
          <w:szCs w:val="24"/>
        </w:rPr>
        <w:t>5,000 to hire a contractor to administer the survey (includes the $2 incentive, programming, printing, and postage) and $</w:t>
      </w:r>
      <w:r w:rsidR="002F03D2">
        <w:rPr>
          <w:rFonts w:ascii="Times New Roman" w:eastAsia="Times New Roman" w:hAnsi="Times New Roman" w:cs="Times New Roman"/>
          <w:sz w:val="24"/>
          <w:szCs w:val="24"/>
        </w:rPr>
        <w:t>89,500</w:t>
      </w:r>
      <w:r>
        <w:rPr>
          <w:rFonts w:ascii="Times New Roman" w:eastAsia="Times New Roman" w:hAnsi="Times New Roman" w:cs="Times New Roman"/>
          <w:sz w:val="24"/>
          <w:szCs w:val="24"/>
        </w:rPr>
        <w:t xml:space="preserve"> to hire a second contractor to analyze the survey data, develop the behavioral models, and prepare reports outlining the methodology and results.  Oversight and modeling assistance of one ZP-IV NOAA economist will</w:t>
      </w:r>
      <w:r w:rsidR="00584E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 occur at a cost of $</w:t>
      </w:r>
      <w:r w:rsidR="003D653C">
        <w:rPr>
          <w:rFonts w:ascii="Times New Roman" w:eastAsia="Times New Roman" w:hAnsi="Times New Roman" w:cs="Times New Roman"/>
          <w:sz w:val="24"/>
          <w:szCs w:val="24"/>
        </w:rPr>
        <w:t>68,328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use hourly loaded wage rates to estimate the cost of a NOAA economist’s time, assuming an annual salary of $1</w:t>
      </w:r>
      <w:r w:rsidR="003D653C">
        <w:rPr>
          <w:rFonts w:ascii="Times New Roman" w:eastAsia="Times New Roman" w:hAnsi="Times New Roman" w:cs="Times New Roman"/>
          <w:sz w:val="24"/>
          <w:szCs w:val="24"/>
        </w:rPr>
        <w:t>65</w:t>
      </w:r>
      <w:r>
        <w:rPr>
          <w:rFonts w:ascii="Times New Roman" w:eastAsia="Times New Roman" w:hAnsi="Times New Roman" w:cs="Times New Roman"/>
          <w:sz w:val="24"/>
          <w:szCs w:val="24"/>
        </w:rPr>
        <w:t>,000 and a 40% benefit load.</w:t>
      </w:r>
    </w:p>
    <w:p w:rsidR="00E11284">
      <w:pPr>
        <w:rPr>
          <w:rFonts w:ascii="Times New Roman" w:eastAsia="Times New Roman" w:hAnsi="Times New Roman" w:cs="Times New Roman"/>
          <w:sz w:val="24"/>
          <w:szCs w:val="24"/>
        </w:rPr>
      </w:pPr>
    </w:p>
    <w:p w:rsidR="00E11284">
      <w:pPr>
        <w:rPr>
          <w:rFonts w:ascii="Times New Roman" w:eastAsia="Times New Roman" w:hAnsi="Times New Roman" w:cs="Times New Roman"/>
          <w:sz w:val="24"/>
          <w:szCs w:val="24"/>
        </w:rPr>
      </w:pPr>
      <w:r>
        <w:rPr>
          <w:rFonts w:ascii="Times New Roman" w:eastAsia="Times New Roman" w:hAnsi="Times New Roman" w:cs="Times New Roman"/>
          <w:sz w:val="24"/>
          <w:szCs w:val="24"/>
        </w:rPr>
        <w:t>Average annual costs, over the three-year information request period, are shown in Table 3 below.  The average a</w:t>
      </w:r>
      <w:r>
        <w:rPr>
          <w:rFonts w:ascii="Times New Roman" w:eastAsia="Times New Roman" w:hAnsi="Times New Roman" w:cs="Times New Roman"/>
          <w:sz w:val="24"/>
          <w:szCs w:val="24"/>
        </w:rPr>
        <w:t>nnual cost of federal oversight and modeling assistance is estimated to be $</w:t>
      </w:r>
      <w:r w:rsidR="003D653C">
        <w:rPr>
          <w:rFonts w:ascii="Times New Roman" w:eastAsia="Times New Roman" w:hAnsi="Times New Roman" w:cs="Times New Roman"/>
          <w:sz w:val="24"/>
          <w:szCs w:val="24"/>
        </w:rPr>
        <w:t>22,533</w:t>
      </w:r>
      <w:r>
        <w:rPr>
          <w:rFonts w:ascii="Times New Roman" w:eastAsia="Times New Roman" w:hAnsi="Times New Roman" w:cs="Times New Roman"/>
          <w:sz w:val="24"/>
          <w:szCs w:val="24"/>
        </w:rPr>
        <w:t xml:space="preserve"> ($2</w:t>
      </w:r>
      <w:r w:rsidR="003D653C">
        <w:rPr>
          <w:rFonts w:ascii="Times New Roman" w:eastAsia="Times New Roman" w:hAnsi="Times New Roman" w:cs="Times New Roman"/>
          <w:sz w:val="24"/>
          <w:szCs w:val="24"/>
        </w:rPr>
        <w:t>32</w:t>
      </w:r>
      <w:r>
        <w:rPr>
          <w:rFonts w:ascii="Times New Roman" w:eastAsia="Times New Roman" w:hAnsi="Times New Roman" w:cs="Times New Roman"/>
          <w:sz w:val="24"/>
          <w:szCs w:val="24"/>
        </w:rPr>
        <w:t>,</w:t>
      </w:r>
      <w:r w:rsidR="003D653C">
        <w:rPr>
          <w:rFonts w:ascii="Times New Roman" w:eastAsia="Times New Roman" w:hAnsi="Times New Roman" w:cs="Times New Roman"/>
          <w:sz w:val="24"/>
          <w:szCs w:val="24"/>
        </w:rPr>
        <w:t>300</w:t>
      </w:r>
      <w:r>
        <w:rPr>
          <w:rFonts w:ascii="Times New Roman" w:eastAsia="Times New Roman" w:hAnsi="Times New Roman" w:cs="Times New Roman"/>
          <w:sz w:val="24"/>
          <w:szCs w:val="24"/>
        </w:rPr>
        <w:t xml:space="preserve">/year x </w:t>
      </w:r>
      <w:r w:rsidR="003D653C">
        <w:rPr>
          <w:rFonts w:ascii="Times New Roman" w:eastAsia="Times New Roman" w:hAnsi="Times New Roman" w:cs="Times New Roman"/>
          <w:sz w:val="24"/>
          <w:szCs w:val="24"/>
        </w:rPr>
        <w:t>9</w:t>
      </w:r>
      <w:r>
        <w:rPr>
          <w:rFonts w:ascii="Times New Roman" w:eastAsia="Times New Roman" w:hAnsi="Times New Roman" w:cs="Times New Roman"/>
          <w:sz w:val="24"/>
          <w:szCs w:val="24"/>
        </w:rPr>
        <w:t>.7%).  The survey administration contractor is estimated to cost $</w:t>
      </w:r>
      <w:r w:rsidR="003D653C">
        <w:rPr>
          <w:rFonts w:ascii="Times New Roman" w:eastAsia="Times New Roman" w:hAnsi="Times New Roman" w:cs="Times New Roman"/>
          <w:sz w:val="24"/>
          <w:szCs w:val="24"/>
        </w:rPr>
        <w:t>48,333</w:t>
      </w:r>
      <w:r>
        <w:rPr>
          <w:rFonts w:ascii="Times New Roman" w:eastAsia="Times New Roman" w:hAnsi="Times New Roman" w:cs="Times New Roman"/>
          <w:sz w:val="24"/>
          <w:szCs w:val="24"/>
        </w:rPr>
        <w:t xml:space="preserve"> ($</w:t>
      </w:r>
      <w:r w:rsidR="003D653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45,000÷3) annually, and the contractor hired to conduct the modeling will cost </w:t>
      </w:r>
      <w:r>
        <w:rPr>
          <w:rFonts w:ascii="Times New Roman" w:eastAsia="Times New Roman" w:hAnsi="Times New Roman" w:cs="Times New Roman"/>
          <w:sz w:val="24"/>
          <w:szCs w:val="24"/>
        </w:rPr>
        <w:t>$2</w:t>
      </w:r>
      <w:r w:rsidR="003D653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D653C">
        <w:rPr>
          <w:rFonts w:ascii="Times New Roman" w:eastAsia="Times New Roman" w:hAnsi="Times New Roman" w:cs="Times New Roman"/>
          <w:sz w:val="24"/>
          <w:szCs w:val="24"/>
        </w:rPr>
        <w:t>833</w:t>
      </w:r>
      <w:r>
        <w:rPr>
          <w:rFonts w:ascii="Times New Roman" w:eastAsia="Times New Roman" w:hAnsi="Times New Roman" w:cs="Times New Roman"/>
          <w:sz w:val="24"/>
          <w:szCs w:val="24"/>
        </w:rPr>
        <w:t xml:space="preserve"> (</w:t>
      </w:r>
      <w:r w:rsidR="003D653C">
        <w:rPr>
          <w:rFonts w:ascii="Times New Roman" w:eastAsia="Times New Roman" w:hAnsi="Times New Roman" w:cs="Times New Roman"/>
          <w:sz w:val="24"/>
          <w:szCs w:val="24"/>
        </w:rPr>
        <w:t>89,500</w:t>
      </w:r>
      <w:r>
        <w:rPr>
          <w:rFonts w:ascii="Times New Roman" w:eastAsia="Times New Roman" w:hAnsi="Times New Roman" w:cs="Times New Roman"/>
          <w:sz w:val="24"/>
          <w:szCs w:val="24"/>
        </w:rPr>
        <w:t>÷3) annually. Overall, the annual federal government cost is $</w:t>
      </w:r>
      <w:r w:rsidR="000861A8">
        <w:rPr>
          <w:rFonts w:ascii="Times New Roman" w:eastAsia="Times New Roman" w:hAnsi="Times New Roman" w:cs="Times New Roman"/>
          <w:sz w:val="24"/>
          <w:szCs w:val="24"/>
        </w:rPr>
        <w:t>100,699</w:t>
      </w:r>
      <w:r>
        <w:rPr>
          <w:rFonts w:ascii="Times New Roman" w:eastAsia="Times New Roman" w:hAnsi="Times New Roman" w:cs="Times New Roman"/>
          <w:sz w:val="24"/>
          <w:szCs w:val="24"/>
        </w:rPr>
        <w:t xml:space="preserve">. </w:t>
      </w:r>
    </w:p>
    <w:p w:rsidR="00E11284">
      <w:pPr>
        <w:rPr>
          <w:rFonts w:ascii="Times New Roman" w:eastAsia="Times New Roman" w:hAnsi="Times New Roman" w:cs="Times New Roman"/>
          <w:sz w:val="24"/>
          <w:szCs w:val="24"/>
        </w:rPr>
      </w:pPr>
    </w:p>
    <w:p w:rsidR="00E11284">
      <w:pPr>
        <w:pBdr>
          <w:top w:val="nil"/>
          <w:left w:val="nil"/>
          <w:bottom w:val="nil"/>
          <w:right w:val="nil"/>
          <w:between w:val="nil"/>
        </w:pBdr>
        <w:spacing w:before="9" w:after="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3. NARFS I</w:t>
      </w:r>
      <w:r w:rsidR="003D653C">
        <w:rPr>
          <w:rFonts w:ascii="Times New Roman" w:eastAsia="Times New Roman" w:hAnsi="Times New Roman" w:cs="Times New Roman"/>
          <w:b/>
          <w:color w:val="000000"/>
          <w:sz w:val="24"/>
          <w:szCs w:val="24"/>
        </w:rPr>
        <w:t>V</w:t>
      </w:r>
      <w:r>
        <w:rPr>
          <w:rFonts w:ascii="Times New Roman" w:eastAsia="Times New Roman" w:hAnsi="Times New Roman" w:cs="Times New Roman"/>
          <w:b/>
          <w:color w:val="000000"/>
          <w:sz w:val="24"/>
          <w:szCs w:val="24"/>
        </w:rPr>
        <w:t xml:space="preserve"> Estimated Annualized Costs</w:t>
      </w:r>
    </w:p>
    <w:tbl>
      <w:tblPr>
        <w:tblStyle w:val="a1"/>
        <w:tblW w:w="82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0"/>
        <w:gridCol w:w="1120"/>
        <w:gridCol w:w="1140"/>
        <w:gridCol w:w="1120"/>
        <w:gridCol w:w="1280"/>
        <w:gridCol w:w="1300"/>
      </w:tblGrid>
      <w:tr>
        <w:tblPrEx>
          <w:tblW w:w="824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0"/>
        </w:trPr>
        <w:tc>
          <w:tcPr>
            <w:tcW w:w="2280" w:type="dxa"/>
            <w:tcBorders>
              <w:top w:val="single" w:sz="8" w:space="0" w:color="000000"/>
              <w:left w:val="single" w:sz="8" w:space="0" w:color="000000"/>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E11284">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tblPrEx>
          <w:tblW w:w="8240" w:type="dxa"/>
          <w:tblInd w:w="-25" w:type="dxa"/>
          <w:tblLayout w:type="fixed"/>
          <w:tblLook w:val="0400"/>
        </w:tblPrEx>
        <w:trPr>
          <w:trHeight w:val="465"/>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bottom"/>
          </w:tcPr>
          <w:p w:rsidR="00E11284">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Federal </w:t>
            </w:r>
            <w:r>
              <w:rPr>
                <w:rFonts w:ascii="Calibri" w:eastAsia="Calibri" w:hAnsi="Calibri" w:cs="Calibri"/>
                <w:b/>
                <w:color w:val="000000"/>
                <w:sz w:val="16"/>
                <w:szCs w:val="16"/>
              </w:rPr>
              <w:t>Oversight/Assistance</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ZP-IV</w:t>
            </w:r>
          </w:p>
        </w:tc>
        <w:tc>
          <w:tcPr>
            <w:tcW w:w="1140" w:type="dxa"/>
            <w:tcBorders>
              <w:top w:val="single" w:sz="4" w:space="0" w:color="000000"/>
              <w:left w:val="nil"/>
              <w:bottom w:val="single" w:sz="4" w:space="0" w:color="000000"/>
              <w:right w:val="single" w:sz="4" w:space="0" w:color="000000"/>
            </w:tcBorders>
            <w:shd w:val="clear" w:color="auto" w:fill="auto"/>
            <w:vAlign w:val="bottom"/>
          </w:tcPr>
          <w:p w:rsidR="00E11284" w:rsidP="003D653C">
            <w:pPr>
              <w:widowControl/>
              <w:rPr>
                <w:rFonts w:ascii="Calibri" w:eastAsia="Calibri" w:hAnsi="Calibri" w:cs="Calibri"/>
                <w:color w:val="000000"/>
                <w:sz w:val="16"/>
                <w:szCs w:val="16"/>
              </w:rPr>
            </w:pPr>
            <w:r>
              <w:rPr>
                <w:rFonts w:ascii="Calibri" w:eastAsia="Calibri" w:hAnsi="Calibri" w:cs="Calibri"/>
                <w:color w:val="000000"/>
                <w:sz w:val="16"/>
                <w:szCs w:val="16"/>
              </w:rPr>
              <w:t> $2</w:t>
            </w:r>
            <w:r w:rsidR="003D653C">
              <w:rPr>
                <w:rFonts w:ascii="Calibri" w:eastAsia="Calibri" w:hAnsi="Calibri" w:cs="Calibri"/>
                <w:color w:val="000000"/>
                <w:sz w:val="16"/>
                <w:szCs w:val="16"/>
              </w:rPr>
              <w:t>32</w:t>
            </w:r>
            <w:r>
              <w:rPr>
                <w:rFonts w:ascii="Calibri" w:eastAsia="Calibri" w:hAnsi="Calibri" w:cs="Calibri"/>
                <w:color w:val="000000"/>
                <w:sz w:val="16"/>
                <w:szCs w:val="16"/>
              </w:rPr>
              <w:t>,</w:t>
            </w:r>
            <w:r w:rsidR="003D653C">
              <w:rPr>
                <w:rFonts w:ascii="Calibri" w:eastAsia="Calibri" w:hAnsi="Calibri" w:cs="Calibri"/>
                <w:color w:val="000000"/>
                <w:sz w:val="16"/>
                <w:szCs w:val="16"/>
              </w:rPr>
              <w:t>300</w:t>
            </w:r>
            <w:r>
              <w:rPr>
                <w:rFonts w:ascii="Calibri" w:eastAsia="Calibri" w:hAnsi="Calibri" w:cs="Calibri"/>
                <w:color w:val="000000"/>
                <w:sz w:val="16"/>
                <w:szCs w:val="16"/>
              </w:rPr>
              <w:t>/yr</w:t>
            </w:r>
          </w:p>
        </w:tc>
        <w:tc>
          <w:tcPr>
            <w:tcW w:w="1120" w:type="dxa"/>
            <w:tcBorders>
              <w:top w:val="single" w:sz="4" w:space="0" w:color="000000"/>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9</w:t>
            </w:r>
            <w:r w:rsidR="00DE159F">
              <w:rPr>
                <w:rFonts w:ascii="Calibri" w:eastAsia="Calibri" w:hAnsi="Calibri" w:cs="Calibri"/>
                <w:color w:val="000000"/>
                <w:sz w:val="16"/>
                <w:szCs w:val="16"/>
              </w:rPr>
              <w:t>.7</w:t>
            </w:r>
          </w:p>
        </w:tc>
        <w:tc>
          <w:tcPr>
            <w:tcW w:w="1280" w:type="dxa"/>
            <w:tcBorders>
              <w:top w:val="single" w:sz="4" w:space="0" w:color="000000"/>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4" w:space="0" w:color="000000"/>
              <w:left w:val="nil"/>
              <w:bottom w:val="single" w:sz="4" w:space="0" w:color="000000"/>
              <w:right w:val="single" w:sz="8" w:space="0" w:color="000000"/>
            </w:tcBorders>
            <w:shd w:val="clear" w:color="auto" w:fill="auto"/>
            <w:vAlign w:val="bottom"/>
          </w:tcPr>
          <w:p w:rsidR="00E11284" w:rsidP="003D653C">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3D653C">
              <w:rPr>
                <w:rFonts w:ascii="Calibri" w:eastAsia="Calibri" w:hAnsi="Calibri" w:cs="Calibri"/>
                <w:color w:val="000000"/>
                <w:sz w:val="16"/>
                <w:szCs w:val="16"/>
              </w:rPr>
              <w:t>22,533</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Other Federal Positions</w:t>
            </w:r>
          </w:p>
        </w:tc>
        <w:tc>
          <w:tcPr>
            <w:tcW w:w="112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465"/>
        </w:trPr>
        <w:tc>
          <w:tcPr>
            <w:tcW w:w="2280" w:type="dxa"/>
            <w:tcBorders>
              <w:top w:val="nil"/>
              <w:left w:val="single" w:sz="8" w:space="0" w:color="000000"/>
              <w:bottom w:val="single" w:sz="4" w:space="0" w:color="000000"/>
              <w:right w:val="single" w:sz="8" w:space="0" w:color="000000"/>
            </w:tcBorders>
            <w:shd w:val="clear" w:color="auto" w:fill="auto"/>
            <w:vAlign w:val="bottom"/>
          </w:tcPr>
          <w:p w:rsidR="00E11284">
            <w:pPr>
              <w:widowControl/>
              <w:rPr>
                <w:rFonts w:ascii="Calibri" w:eastAsia="Calibri" w:hAnsi="Calibri" w:cs="Calibri"/>
                <w:b/>
                <w:color w:val="000000"/>
                <w:sz w:val="16"/>
                <w:szCs w:val="16"/>
              </w:rPr>
            </w:pPr>
            <w:r>
              <w:rPr>
                <w:rFonts w:ascii="Calibri" w:eastAsia="Calibri" w:hAnsi="Calibri" w:cs="Calibri"/>
                <w:b/>
                <w:color w:val="000000"/>
                <w:sz w:val="16"/>
                <w:szCs w:val="16"/>
              </w:rPr>
              <w:t>Contractor 1 Cost</w:t>
            </w:r>
          </w:p>
        </w:tc>
        <w:tc>
          <w:tcPr>
            <w:tcW w:w="112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C1000">
              <w:rPr>
                <w:rFonts w:ascii="Calibri" w:eastAsia="Calibri" w:hAnsi="Calibri" w:cs="Calibri"/>
                <w:color w:val="000000"/>
                <w:sz w:val="16"/>
                <w:szCs w:val="16"/>
              </w:rPr>
              <w:t>48,333</w:t>
            </w:r>
          </w:p>
        </w:tc>
        <w:tc>
          <w:tcPr>
            <w:tcW w:w="112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100</w:t>
            </w:r>
          </w:p>
        </w:tc>
        <w:tc>
          <w:tcPr>
            <w:tcW w:w="128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p>
        </w:tc>
        <w:tc>
          <w:tcPr>
            <w:tcW w:w="1300" w:type="dxa"/>
            <w:tcBorders>
              <w:top w:val="nil"/>
              <w:left w:val="nil"/>
              <w:bottom w:val="single" w:sz="4" w:space="0" w:color="000000"/>
              <w:right w:val="single" w:sz="8" w:space="0" w:color="000000"/>
            </w:tcBorders>
            <w:shd w:val="clear" w:color="auto" w:fill="auto"/>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C1000">
              <w:rPr>
                <w:rFonts w:ascii="Calibri" w:eastAsia="Calibri" w:hAnsi="Calibri" w:cs="Calibri"/>
                <w:color w:val="000000"/>
                <w:sz w:val="16"/>
                <w:szCs w:val="16"/>
              </w:rPr>
              <w:t>48,333</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r>
              <w:rPr>
                <w:rFonts w:ascii="Calibri" w:eastAsia="Calibri" w:hAnsi="Calibri" w:cs="Calibri"/>
                <w:b/>
                <w:color w:val="000000"/>
                <w:sz w:val="16"/>
                <w:szCs w:val="16"/>
              </w:rPr>
              <w:t>Contractor 2 Cost</w:t>
            </w:r>
          </w:p>
        </w:tc>
        <w:tc>
          <w:tcPr>
            <w:tcW w:w="112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auto"/>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C1000">
              <w:rPr>
                <w:rFonts w:ascii="Calibri" w:eastAsia="Calibri" w:hAnsi="Calibri" w:cs="Calibri"/>
                <w:color w:val="000000"/>
                <w:sz w:val="16"/>
                <w:szCs w:val="16"/>
              </w:rPr>
              <w:t>$29,833</w:t>
            </w:r>
          </w:p>
        </w:tc>
        <w:tc>
          <w:tcPr>
            <w:tcW w:w="1120" w:type="dxa"/>
            <w:tcBorders>
              <w:top w:val="nil"/>
              <w:left w:val="nil"/>
              <w:bottom w:val="single" w:sz="4" w:space="0" w:color="000000"/>
              <w:right w:val="single" w:sz="4"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100</w:t>
            </w:r>
          </w:p>
        </w:tc>
        <w:tc>
          <w:tcPr>
            <w:tcW w:w="1280" w:type="dxa"/>
            <w:tcBorders>
              <w:top w:val="nil"/>
              <w:left w:val="nil"/>
              <w:bottom w:val="single" w:sz="4" w:space="0" w:color="000000"/>
              <w:right w:val="single" w:sz="4" w:space="0" w:color="000000"/>
            </w:tcBorders>
            <w:shd w:val="clear" w:color="auto" w:fill="auto"/>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C1000">
              <w:rPr>
                <w:rFonts w:ascii="Calibri" w:eastAsia="Calibri" w:hAnsi="Calibri" w:cs="Calibri"/>
                <w:color w:val="000000"/>
                <w:sz w:val="16"/>
                <w:szCs w:val="16"/>
              </w:rPr>
              <w:t>$</w:t>
            </w:r>
            <w:r>
              <w:rPr>
                <w:rFonts w:ascii="Calibri" w:eastAsia="Calibri" w:hAnsi="Calibri" w:cs="Calibri"/>
                <w:color w:val="000000"/>
                <w:sz w:val="16"/>
                <w:szCs w:val="16"/>
              </w:rPr>
              <w:t>2</w:t>
            </w:r>
            <w:r w:rsidR="00DC1000">
              <w:rPr>
                <w:rFonts w:ascii="Calibri" w:eastAsia="Calibri" w:hAnsi="Calibri" w:cs="Calibri"/>
                <w:color w:val="000000"/>
                <w:sz w:val="16"/>
                <w:szCs w:val="16"/>
              </w:rPr>
              <w:t>9</w:t>
            </w:r>
            <w:r>
              <w:rPr>
                <w:rFonts w:ascii="Calibri" w:eastAsia="Calibri" w:hAnsi="Calibri" w:cs="Calibri"/>
                <w:color w:val="000000"/>
                <w:sz w:val="16"/>
                <w:szCs w:val="16"/>
              </w:rPr>
              <w:t>,</w:t>
            </w:r>
            <w:r w:rsidR="00DC1000">
              <w:rPr>
                <w:rFonts w:ascii="Calibri" w:eastAsia="Calibri" w:hAnsi="Calibri" w:cs="Calibri"/>
                <w:color w:val="000000"/>
                <w:sz w:val="16"/>
                <w:szCs w:val="16"/>
              </w:rPr>
              <w:t>833</w:t>
            </w:r>
          </w:p>
        </w:tc>
      </w:tr>
      <w:tr>
        <w:tblPrEx>
          <w:tblW w:w="8240" w:type="dxa"/>
          <w:tblInd w:w="-25" w:type="dxa"/>
          <w:tblLayout w:type="fixed"/>
          <w:tblLook w:val="0400"/>
        </w:tblPrEx>
        <w:trPr>
          <w:trHeight w:val="300"/>
        </w:trPr>
        <w:tc>
          <w:tcPr>
            <w:tcW w:w="2280" w:type="dxa"/>
            <w:tcBorders>
              <w:top w:val="nil"/>
              <w:left w:val="single" w:sz="8" w:space="0" w:color="000000"/>
              <w:bottom w:val="single" w:sz="4" w:space="0" w:color="000000"/>
              <w:right w:val="single" w:sz="8" w:space="0" w:color="000000"/>
            </w:tcBorders>
            <w:shd w:val="clear" w:color="auto" w:fill="auto"/>
            <w:vAlign w:val="bottom"/>
          </w:tcPr>
          <w:p w:rsidR="00E11284">
            <w:pPr>
              <w:widowControl/>
              <w:rPr>
                <w:rFonts w:ascii="Calibri" w:eastAsia="Calibri" w:hAnsi="Calibri" w:cs="Calibri"/>
                <w:b/>
                <w:color w:val="000000"/>
                <w:sz w:val="16"/>
                <w:szCs w:val="16"/>
              </w:rPr>
            </w:pPr>
            <w:r>
              <w:rPr>
                <w:rFonts w:ascii="Calibri" w:eastAsia="Calibri" w:hAnsi="Calibri" w:cs="Calibri"/>
                <w:b/>
                <w:color w:val="000000"/>
                <w:sz w:val="16"/>
                <w:szCs w:val="16"/>
              </w:rPr>
              <w:t>Travel</w:t>
            </w:r>
          </w:p>
        </w:tc>
        <w:tc>
          <w:tcPr>
            <w:tcW w:w="112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$0</w:t>
            </w:r>
          </w:p>
        </w:tc>
      </w:tr>
      <w:tr>
        <w:tblPrEx>
          <w:tblW w:w="8240" w:type="dxa"/>
          <w:tblInd w:w="-25" w:type="dxa"/>
          <w:tblLayout w:type="fixed"/>
          <w:tblLook w:val="0400"/>
        </w:tblPrEx>
        <w:trPr>
          <w:trHeight w:val="525"/>
        </w:trPr>
        <w:tc>
          <w:tcPr>
            <w:tcW w:w="2280" w:type="dxa"/>
            <w:tcBorders>
              <w:top w:val="nil"/>
              <w:left w:val="single" w:sz="8" w:space="0" w:color="000000"/>
              <w:bottom w:val="nil"/>
              <w:right w:val="single" w:sz="8" w:space="0" w:color="000000"/>
            </w:tcBorders>
            <w:shd w:val="clear" w:color="auto" w:fill="auto"/>
            <w:vAlign w:val="center"/>
          </w:tcPr>
          <w:p w:rsidR="00E11284">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Other Costs: </w:t>
            </w:r>
          </w:p>
        </w:tc>
        <w:tc>
          <w:tcPr>
            <w:tcW w:w="112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nil"/>
              <w:left w:val="nil"/>
              <w:bottom w:val="single" w:sz="4" w:space="0" w:color="000000"/>
              <w:right w:val="single" w:sz="4"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nil"/>
              <w:left w:val="nil"/>
              <w:bottom w:val="single" w:sz="4" w:space="0" w:color="000000"/>
              <w:right w:val="single" w:sz="8" w:space="0" w:color="000000"/>
            </w:tcBorders>
            <w:shd w:val="clear" w:color="auto" w:fill="auto"/>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r>
      <w:tr>
        <w:tblPrEx>
          <w:tblW w:w="8240" w:type="dxa"/>
          <w:tblInd w:w="-25" w:type="dxa"/>
          <w:tblLayout w:type="fixed"/>
          <w:tblLook w:val="0400"/>
        </w:tblPrEx>
        <w:trPr>
          <w:trHeight w:val="315"/>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bottom"/>
          </w:tcPr>
          <w:p w:rsidR="00E11284">
            <w:pPr>
              <w:widowControl/>
              <w:rPr>
                <w:rFonts w:ascii="Calibri" w:eastAsia="Calibri" w:hAnsi="Calibri" w:cs="Calibri"/>
                <w:b/>
                <w:color w:val="000000"/>
                <w:sz w:val="16"/>
                <w:szCs w:val="16"/>
              </w:rPr>
            </w:pPr>
            <w:r>
              <w:rPr>
                <w:rFonts w:ascii="Calibri" w:eastAsia="Calibri" w:hAnsi="Calibri" w:cs="Calibri"/>
                <w:b/>
                <w:color w:val="000000"/>
                <w:sz w:val="16"/>
                <w:szCs w:val="16"/>
              </w:rPr>
              <w:t>TOTAL</w:t>
            </w:r>
          </w:p>
        </w:tc>
        <w:tc>
          <w:tcPr>
            <w:tcW w:w="1120" w:type="dxa"/>
            <w:tcBorders>
              <w:top w:val="single" w:sz="8" w:space="0" w:color="000000"/>
              <w:left w:val="nil"/>
              <w:bottom w:val="single" w:sz="8" w:space="0" w:color="000000"/>
              <w:right w:val="single" w:sz="8"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40" w:type="dxa"/>
            <w:tcBorders>
              <w:top w:val="single" w:sz="8" w:space="0" w:color="000000"/>
              <w:left w:val="nil"/>
              <w:bottom w:val="single" w:sz="8" w:space="0" w:color="000000"/>
              <w:right w:val="single" w:sz="8" w:space="0" w:color="000000"/>
            </w:tcBorders>
            <w:shd w:val="clear" w:color="auto" w:fill="808080"/>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120" w:type="dxa"/>
            <w:tcBorders>
              <w:top w:val="single" w:sz="8" w:space="0" w:color="000000"/>
              <w:left w:val="nil"/>
              <w:bottom w:val="single" w:sz="8" w:space="0" w:color="000000"/>
              <w:right w:val="single" w:sz="8" w:space="0" w:color="000000"/>
            </w:tcBorders>
            <w:shd w:val="clear" w:color="auto" w:fill="757171"/>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280" w:type="dxa"/>
            <w:tcBorders>
              <w:top w:val="single" w:sz="8" w:space="0" w:color="000000"/>
              <w:left w:val="nil"/>
              <w:bottom w:val="single" w:sz="8" w:space="0" w:color="000000"/>
              <w:right w:val="single" w:sz="8" w:space="0" w:color="000000"/>
            </w:tcBorders>
            <w:shd w:val="clear" w:color="auto" w:fill="DDEBF7"/>
            <w:vAlign w:val="bottom"/>
          </w:tcPr>
          <w:p w:rsidR="00E11284">
            <w:pPr>
              <w:widowControl/>
              <w:rPr>
                <w:rFonts w:ascii="Calibri" w:eastAsia="Calibri" w:hAnsi="Calibri" w:cs="Calibri"/>
                <w:color w:val="000000"/>
                <w:sz w:val="16"/>
                <w:szCs w:val="16"/>
              </w:rPr>
            </w:pPr>
            <w:r>
              <w:rPr>
                <w:rFonts w:ascii="Calibri" w:eastAsia="Calibri" w:hAnsi="Calibri" w:cs="Calibri"/>
                <w:color w:val="000000"/>
                <w:sz w:val="16"/>
                <w:szCs w:val="16"/>
              </w:rPr>
              <w:t> </w:t>
            </w:r>
          </w:p>
        </w:tc>
        <w:tc>
          <w:tcPr>
            <w:tcW w:w="1300" w:type="dxa"/>
            <w:tcBorders>
              <w:top w:val="single" w:sz="8" w:space="0" w:color="000000"/>
              <w:left w:val="nil"/>
              <w:bottom w:val="single" w:sz="8" w:space="0" w:color="000000"/>
              <w:right w:val="single" w:sz="8" w:space="0" w:color="000000"/>
            </w:tcBorders>
            <w:shd w:val="clear" w:color="auto" w:fill="DDEBF7"/>
            <w:vAlign w:val="bottom"/>
          </w:tcPr>
          <w:p w:rsidR="00E11284" w:rsidP="00DC1000">
            <w:pPr>
              <w:widowControl/>
              <w:rPr>
                <w:rFonts w:ascii="Calibri" w:eastAsia="Calibri" w:hAnsi="Calibri" w:cs="Calibri"/>
                <w:color w:val="000000"/>
                <w:sz w:val="16"/>
                <w:szCs w:val="16"/>
              </w:rPr>
            </w:pPr>
            <w:r>
              <w:rPr>
                <w:rFonts w:ascii="Calibri" w:eastAsia="Calibri" w:hAnsi="Calibri" w:cs="Calibri"/>
                <w:color w:val="000000"/>
                <w:sz w:val="16"/>
                <w:szCs w:val="16"/>
              </w:rPr>
              <w:t> </w:t>
            </w:r>
            <w:r w:rsidR="00DC1000">
              <w:rPr>
                <w:rFonts w:ascii="Calibri" w:eastAsia="Calibri" w:hAnsi="Calibri" w:cs="Calibri"/>
                <w:color w:val="000000"/>
                <w:sz w:val="16"/>
                <w:szCs w:val="16"/>
              </w:rPr>
              <w:t>$100,699</w:t>
            </w:r>
          </w:p>
        </w:tc>
      </w:tr>
    </w:tbl>
    <w:p w:rsidR="00DE5B11" w:rsidP="00DE5B11">
      <w:pPr>
        <w:pBdr>
          <w:top w:val="nil"/>
          <w:left w:val="nil"/>
          <w:bottom w:val="nil"/>
          <w:right w:val="nil"/>
          <w:between w:val="nil"/>
        </w:pBdr>
        <w:tabs>
          <w:tab w:val="left" w:pos="360"/>
        </w:tabs>
        <w:spacing w:before="80"/>
        <w:rPr>
          <w:color w:val="000000"/>
        </w:rPr>
      </w:pPr>
    </w:p>
    <w:p w:rsidR="000861A8" w:rsidRPr="00DE5B11" w:rsidP="00DE5B11">
      <w:pPr>
        <w:pBdr>
          <w:top w:val="nil"/>
          <w:left w:val="nil"/>
          <w:bottom w:val="nil"/>
          <w:right w:val="nil"/>
          <w:between w:val="nil"/>
        </w:pBdr>
        <w:tabs>
          <w:tab w:val="left" w:pos="360"/>
        </w:tabs>
        <w:spacing w:before="80"/>
        <w:rPr>
          <w:color w:val="000000"/>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Explain the reasons for any program changes or adjustments reported in ROCIS.</w:t>
      </w:r>
    </w:p>
    <w:p w:rsidR="00E11284">
      <w:pPr>
        <w:pBdr>
          <w:top w:val="nil"/>
          <w:left w:val="nil"/>
          <w:bottom w:val="nil"/>
          <w:right w:val="nil"/>
          <w:between w:val="nil"/>
        </w:pBdr>
        <w:spacing w:before="7"/>
        <w:rPr>
          <w:rFonts w:ascii="Times New Roman" w:eastAsia="Times New Roman" w:hAnsi="Times New Roman" w:cs="Times New Roman"/>
          <w:b/>
          <w:color w:val="000000"/>
          <w:sz w:val="24"/>
          <w:szCs w:val="24"/>
        </w:rPr>
      </w:pPr>
    </w:p>
    <w:p w:rsidR="001F1194">
      <w:pPr>
        <w:widowControl/>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burden increased as a result of re-adding the </w:t>
      </w:r>
      <w:r>
        <w:rPr>
          <w:rFonts w:ascii="Times New Roman" w:eastAsia="Times New Roman" w:hAnsi="Times New Roman" w:cs="Times New Roman"/>
          <w:sz w:val="24"/>
          <w:szCs w:val="24"/>
        </w:rPr>
        <w:t>summer flounder</w:t>
      </w:r>
      <w:r w:rsidR="008A411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black sea bass</w:t>
      </w:r>
      <w:r w:rsidR="008A4117">
        <w:rPr>
          <w:rFonts w:ascii="Times New Roman" w:eastAsia="Times New Roman" w:hAnsi="Times New Roman" w:cs="Times New Roman"/>
          <w:sz w:val="24"/>
          <w:szCs w:val="24"/>
        </w:rPr>
        <w:t>, and scup survey</w:t>
      </w:r>
      <w:r>
        <w:rPr>
          <w:rFonts w:ascii="Times New Roman" w:eastAsia="Times New Roman" w:hAnsi="Times New Roman" w:cs="Times New Roman"/>
          <w:sz w:val="24"/>
          <w:szCs w:val="24"/>
        </w:rPr>
        <w:t xml:space="preserve"> (North Atlantic Recreational Fishing Survey IV).  No other changes were made t</w:t>
      </w:r>
      <w:r>
        <w:rPr>
          <w:rFonts w:ascii="Times New Roman" w:eastAsia="Times New Roman" w:hAnsi="Times New Roman" w:cs="Times New Roman"/>
          <w:sz w:val="24"/>
          <w:szCs w:val="24"/>
        </w:rPr>
        <w:t>o this collection.</w:t>
      </w:r>
      <w:r w:rsidR="00D220A2">
        <w:rPr>
          <w:rFonts w:ascii="Times New Roman" w:eastAsia="Times New Roman" w:hAnsi="Times New Roman" w:cs="Times New Roman"/>
          <w:color w:val="000000"/>
          <w:sz w:val="24"/>
          <w:szCs w:val="24"/>
        </w:rPr>
        <w:t xml:space="preserve"> </w:t>
      </w:r>
    </w:p>
    <w:p w:rsidR="00E11284">
      <w:pPr>
        <w:widowControl/>
        <w:rPr>
          <w:rFonts w:ascii="Times New Roman" w:eastAsia="Times New Roman" w:hAnsi="Times New Roman" w:cs="Times New Roman"/>
          <w:color w:val="000000"/>
          <w:sz w:val="24"/>
          <w:szCs w:val="24"/>
        </w:rPr>
      </w:pPr>
    </w:p>
    <w:p w:rsidR="00E11284">
      <w:pPr>
        <w:widowControl/>
        <w:rPr>
          <w:rFonts w:ascii="Times New Roman" w:eastAsia="Times New Roman" w:hAnsi="Times New Roman" w:cs="Times New Roman"/>
          <w:color w:val="000000"/>
          <w:sz w:val="24"/>
          <w:szCs w:val="24"/>
        </w:rPr>
      </w:pPr>
    </w:p>
    <w:p w:rsidR="00E11284">
      <w:pPr>
        <w:numPr>
          <w:ilvl w:val="0"/>
          <w:numId w:val="1"/>
        </w:numPr>
        <w:pBdr>
          <w:top w:val="nil"/>
          <w:left w:val="nil"/>
          <w:bottom w:val="nil"/>
          <w:right w:val="nil"/>
          <w:between w:val="nil"/>
        </w:pBdr>
        <w:tabs>
          <w:tab w:val="left" w:pos="360"/>
        </w:tabs>
        <w:spacing w:before="80"/>
        <w:ind w:left="0" w:firstLine="0"/>
        <w:rPr>
          <w:color w:val="000000"/>
        </w:rPr>
      </w:pPr>
      <w:r>
        <w:rPr>
          <w:rFonts w:ascii="Times New Roman" w:eastAsia="Times New Roman" w:hAnsi="Times New Roman" w:cs="Times New Roman"/>
          <w:b/>
          <w:color w:val="000000"/>
          <w:sz w:val="24"/>
          <w:szCs w:val="24"/>
        </w:rPr>
        <w:t xml:space="preserve">For collections of information whose results will be published, outline plans for tabulation and publication. Address any complex analytical techniques that will be used. Provide the time schedule for the entire project, including </w:t>
      </w:r>
      <w:r>
        <w:rPr>
          <w:rFonts w:ascii="Times New Roman" w:eastAsia="Times New Roman" w:hAnsi="Times New Roman" w:cs="Times New Roman"/>
          <w:b/>
          <w:color w:val="000000"/>
          <w:sz w:val="24"/>
          <w:szCs w:val="24"/>
        </w:rPr>
        <w:t>beginning and ending dates of the collection of information, completion of report, publication dates, and other actions.</w:t>
      </w:r>
    </w:p>
    <w:p w:rsidR="00E11284">
      <w:pPr>
        <w:jc w:val="both"/>
        <w:rPr>
          <w:rFonts w:ascii="Times New Roman" w:eastAsia="Times New Roman" w:hAnsi="Times New Roman" w:cs="Times New Roman"/>
          <w:color w:val="000000"/>
          <w:sz w:val="24"/>
          <w:szCs w:val="24"/>
        </w:rPr>
      </w:pPr>
    </w:p>
    <w:p w:rsidR="00E11284">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Results of the economic models that use data collected by the NARFS I</w:t>
      </w:r>
      <w:r w:rsidR="000F5C6F">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may be reported for management purposes or in peer reviewed</w:t>
      </w:r>
      <w:r>
        <w:rPr>
          <w:rFonts w:ascii="Times New Roman" w:eastAsia="Times New Roman" w:hAnsi="Times New Roman" w:cs="Times New Roman"/>
          <w:color w:val="000000"/>
          <w:sz w:val="24"/>
          <w:szCs w:val="24"/>
        </w:rPr>
        <w:t xml:space="preserve"> journals. Tabulations of responses to NARFS I</w:t>
      </w:r>
      <w:r w:rsidR="000F5C6F">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questions will be aggregated in order to maintain respondent confidentiality, as described in our answer to question A10. </w:t>
      </w:r>
    </w:p>
    <w:p w:rsidR="00DE5B11">
      <w:pPr>
        <w:spacing w:before="161"/>
        <w:rPr>
          <w:rFonts w:ascii="Times New Roman" w:eastAsia="Times New Roman" w:hAnsi="Times New Roman" w:cs="Times New Roman"/>
          <w:i/>
          <w:sz w:val="24"/>
          <w:szCs w:val="24"/>
        </w:rPr>
      </w:pPr>
    </w:p>
    <w:p w:rsidR="00D92AB9" w:rsidP="00D92AB9">
      <w:pPr>
        <w:pStyle w:val="NormalWeb"/>
        <w:numPr>
          <w:ilvl w:val="0"/>
          <w:numId w:val="1"/>
        </w:numPr>
        <w:spacing w:before="80" w:beforeAutospacing="0" w:after="0" w:afterAutospacing="0"/>
        <w:ind w:left="360" w:hanging="360"/>
        <w:textAlignment w:val="baseline"/>
        <w:rPr>
          <w:b/>
          <w:bCs/>
          <w:color w:val="000000"/>
        </w:rPr>
      </w:pPr>
      <w:r>
        <w:rPr>
          <w:b/>
          <w:bCs/>
          <w:color w:val="000000"/>
        </w:rPr>
        <w:t>If seeking approval to not display the expiration date for OMB approval of the infor</w:t>
      </w:r>
      <w:r>
        <w:rPr>
          <w:b/>
          <w:bCs/>
          <w:color w:val="000000"/>
        </w:rPr>
        <w:t>mation collection, explain the reasons that display would be inappropriate.</w:t>
      </w:r>
    </w:p>
    <w:p w:rsidR="00D92AB9" w:rsidRPr="00D92AB9" w:rsidP="003E19AE">
      <w:pPr>
        <w:pStyle w:val="ListParagraph"/>
        <w:spacing w:before="161"/>
        <w:ind w:left="0"/>
        <w:rPr>
          <w:rFonts w:ascii="Times New Roman" w:eastAsia="Times New Roman" w:hAnsi="Times New Roman" w:cs="Times New Roman"/>
          <w:sz w:val="24"/>
          <w:szCs w:val="24"/>
        </w:rPr>
      </w:pPr>
      <w:r w:rsidRPr="00D92AB9">
        <w:rPr>
          <w:rFonts w:ascii="Times New Roman" w:eastAsia="Times New Roman" w:hAnsi="Times New Roman" w:cs="Times New Roman"/>
          <w:sz w:val="24"/>
          <w:szCs w:val="24"/>
        </w:rPr>
        <w:t>The agency plans to display the expiration date for OMB approval of the information collection on all instruments.</w:t>
      </w:r>
    </w:p>
    <w:p w:rsidR="00D92AB9" w:rsidP="003E19AE">
      <w:pPr>
        <w:pStyle w:val="NormalWeb"/>
        <w:spacing w:before="80" w:beforeAutospacing="0" w:after="0" w:afterAutospacing="0"/>
        <w:ind w:left="360"/>
        <w:textAlignment w:val="baseline"/>
        <w:rPr>
          <w:b/>
          <w:bCs/>
          <w:color w:val="000000"/>
        </w:rPr>
      </w:pPr>
    </w:p>
    <w:p w:rsidR="00E11284" w:rsidP="00D92AB9">
      <w:pPr>
        <w:numPr>
          <w:ilvl w:val="0"/>
          <w:numId w:val="1"/>
        </w:numPr>
        <w:pBdr>
          <w:top w:val="nil"/>
          <w:left w:val="nil"/>
          <w:bottom w:val="nil"/>
          <w:right w:val="nil"/>
          <w:between w:val="nil"/>
        </w:pBdr>
        <w:tabs>
          <w:tab w:val="left" w:pos="360"/>
        </w:tabs>
        <w:spacing w:before="80"/>
        <w:ind w:left="360" w:hanging="360"/>
        <w:rPr>
          <w:color w:val="000000"/>
        </w:rPr>
      </w:pPr>
      <w:r>
        <w:rPr>
          <w:rFonts w:ascii="Times New Roman" w:eastAsia="Times New Roman" w:hAnsi="Times New Roman" w:cs="Times New Roman"/>
          <w:b/>
          <w:color w:val="000000"/>
          <w:sz w:val="24"/>
          <w:szCs w:val="24"/>
        </w:rPr>
        <w:t xml:space="preserve"> </w:t>
      </w:r>
      <w:r w:rsidR="00DE159F">
        <w:rPr>
          <w:rFonts w:ascii="Times New Roman" w:eastAsia="Times New Roman" w:hAnsi="Times New Roman" w:cs="Times New Roman"/>
          <w:b/>
          <w:color w:val="000000"/>
          <w:sz w:val="24"/>
          <w:szCs w:val="24"/>
        </w:rPr>
        <w:t>Explain each exception to the certification statement identified in “Certification for Paperwork Reduction Act Submissions."</w:t>
      </w:r>
    </w:p>
    <w:p w:rsidR="00E11284">
      <w:pPr>
        <w:spacing w:before="221" w:line="259"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agency certifies compliance with</w:t>
      </w:r>
      <w:r>
        <w:rPr>
          <w:rFonts w:ascii="Times New Roman" w:eastAsia="Times New Roman" w:hAnsi="Times New Roman" w:cs="Times New Roman"/>
          <w:b/>
          <w:i/>
          <w:sz w:val="24"/>
          <w:szCs w:val="24"/>
        </w:rPr>
        <w:t xml:space="preserve"> </w:t>
      </w:r>
      <w:hyperlink r:id="rId11">
        <w:r>
          <w:rPr>
            <w:rFonts w:ascii="Times New Roman" w:eastAsia="Times New Roman" w:hAnsi="Times New Roman" w:cs="Times New Roman"/>
            <w:b/>
            <w:i/>
            <w:color w:val="0563C1"/>
            <w:sz w:val="24"/>
            <w:szCs w:val="24"/>
            <w:u w:val="single"/>
          </w:rPr>
          <w:t>5 CFR 1320.9</w:t>
        </w:r>
      </w:hyperlink>
      <w:hyperlink r:id="rId11">
        <w:r>
          <w:rPr>
            <w:rFonts w:ascii="Times New Roman" w:eastAsia="Times New Roman" w:hAnsi="Times New Roman" w:cs="Times New Roman"/>
            <w:b/>
            <w:i/>
            <w:color w:val="0563C1"/>
            <w:sz w:val="24"/>
            <w:szCs w:val="24"/>
          </w:rPr>
          <w:t xml:space="preserve"> </w:t>
        </w:r>
      </w:hyperlink>
      <w:r>
        <w:rPr>
          <w:rFonts w:ascii="Times New Roman" w:eastAsia="Times New Roman" w:hAnsi="Times New Roman" w:cs="Times New Roman"/>
          <w:sz w:val="24"/>
          <w:szCs w:val="24"/>
        </w:rPr>
        <w:t>and the related provisions of</w:t>
      </w:r>
      <w:r>
        <w:rPr>
          <w:rFonts w:ascii="Times New Roman" w:eastAsia="Times New Roman" w:hAnsi="Times New Roman" w:cs="Times New Roman"/>
          <w:b/>
          <w:i/>
          <w:sz w:val="24"/>
          <w:szCs w:val="24"/>
        </w:rPr>
        <w:t xml:space="preserve"> </w:t>
      </w:r>
      <w:hyperlink r:id="rId12">
        <w:r>
          <w:rPr>
            <w:rFonts w:ascii="Times New Roman" w:eastAsia="Times New Roman" w:hAnsi="Times New Roman" w:cs="Times New Roman"/>
            <w:b/>
            <w:i/>
            <w:color w:val="0563C1"/>
            <w:sz w:val="24"/>
            <w:szCs w:val="24"/>
            <w:u w:val="single"/>
          </w:rPr>
          <w:t>5 CFR</w:t>
        </w:r>
      </w:hyperlink>
      <w:r>
        <w:rPr>
          <w:rFonts w:ascii="Times New Roman" w:eastAsia="Times New Roman" w:hAnsi="Times New Roman" w:cs="Times New Roman"/>
          <w:b/>
          <w:i/>
          <w:color w:val="0563C1"/>
          <w:sz w:val="24"/>
          <w:szCs w:val="24"/>
        </w:rPr>
        <w:t xml:space="preserve"> </w:t>
      </w:r>
      <w:hyperlink r:id="rId12">
        <w:r>
          <w:rPr>
            <w:rFonts w:ascii="Times New Roman" w:eastAsia="Times New Roman" w:hAnsi="Times New Roman" w:cs="Times New Roman"/>
            <w:b/>
            <w:i/>
            <w:color w:val="0563C1"/>
            <w:sz w:val="24"/>
            <w:szCs w:val="24"/>
            <w:u w:val="single"/>
          </w:rPr>
          <w:t>1320.8(b)(3)</w:t>
        </w:r>
      </w:hyperlink>
      <w:r>
        <w:rPr>
          <w:rFonts w:ascii="Times New Roman" w:eastAsia="Times New Roman" w:hAnsi="Times New Roman" w:cs="Times New Roman"/>
          <w:b/>
          <w:i/>
          <w:sz w:val="24"/>
          <w:szCs w:val="24"/>
        </w:rPr>
        <w:t>.</w:t>
      </w:r>
    </w:p>
    <w:p w:rsidR="00E11284">
      <w:pPr>
        <w:spacing w:before="221" w:line="259" w:lineRule="auto"/>
        <w:jc w:val="both"/>
        <w:rPr>
          <w:rFonts w:ascii="Times New Roman" w:eastAsia="Times New Roman" w:hAnsi="Times New Roman" w:cs="Times New Roman"/>
          <w:b/>
          <w:i/>
          <w:sz w:val="24"/>
          <w:szCs w:val="24"/>
        </w:rPr>
      </w:pPr>
    </w:p>
    <w:p w:rsidR="00E11284">
      <w:pPr>
        <w:spacing w:before="221"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Aas, Øystein, Wolfgang Haider, and Len Hunt. 2000. “Angler Responses to Potential Harvest Regulations in a Norwegian Sport Fis</w:t>
      </w:r>
      <w:r>
        <w:rPr>
          <w:rFonts w:ascii="Times New Roman" w:eastAsia="Times New Roman" w:hAnsi="Times New Roman" w:cs="Times New Roman"/>
          <w:sz w:val="24"/>
          <w:szCs w:val="24"/>
        </w:rPr>
        <w:t>hery: A Conjoint-Based Choice Modeling Approach.” North American Journal of Fisheries Management 20 (4): 940–50.</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L., S. Lee, and P. Levin. 2013. “Costs of Delaying Conservation: Regulations and the Recreational Values of Exploited and </w:t>
      </w:r>
      <w:r>
        <w:rPr>
          <w:rFonts w:ascii="Times New Roman" w:eastAsia="Times New Roman" w:hAnsi="Times New Roman" w:cs="Times New Roman"/>
          <w:sz w:val="24"/>
          <w:szCs w:val="24"/>
        </w:rPr>
        <w:t>Co-Occurring Species.” Land Economics 89 (2): 371–85.</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Anderson, L, and T Lee. 2013. “Untangling the Recreational Value of Wild and Hatchery Salmon.” Marine Resource Economics 28 (2): 175–97.</w:t>
      </w:r>
    </w:p>
    <w:p w:rsidR="00771BA4" w:rsidP="00771BA4">
      <w:pPr>
        <w:widowControl/>
        <w:rPr>
          <w:rFonts w:ascii="Times New Roman" w:eastAsia="Times New Roman" w:hAnsi="Times New Roman" w:cs="Times New Roman"/>
          <w:sz w:val="24"/>
          <w:szCs w:val="24"/>
        </w:rPr>
      </w:pPr>
    </w:p>
    <w:p w:rsidR="00771BA4" w:rsidP="00771BA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Brinson, A.A. and Wallmo, K. 2013. “Attitudes and Preferences o</w:t>
      </w:r>
      <w:r>
        <w:rPr>
          <w:rFonts w:ascii="Times New Roman" w:eastAsia="Times New Roman" w:hAnsi="Times New Roman" w:cs="Times New Roman"/>
          <w:sz w:val="24"/>
          <w:szCs w:val="24"/>
        </w:rPr>
        <w:t>f Saltwater Recreational Anglers: Report from the 2013 National Saltwater Angler Survey, Volume I”, NOAA Technical Memorandum NMFS-F/SPO-135</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Carter, David W., and Christopher Liese. 2012. “The Economic Value of Catching and Keeping or Releasing Saltwater </w:t>
      </w:r>
      <w:r>
        <w:rPr>
          <w:rFonts w:ascii="Times New Roman" w:eastAsia="Times New Roman" w:hAnsi="Times New Roman" w:cs="Times New Roman"/>
          <w:sz w:val="24"/>
          <w:szCs w:val="24"/>
        </w:rPr>
        <w:t xml:space="preserve">Sport Fish in the Southeast USA.” North American Journal of Fisheries Management 32 (4): 613–25. </w:t>
      </w:r>
      <w:hyperlink r:id="rId13">
        <w:r>
          <w:rPr>
            <w:rFonts w:ascii="Times New Roman" w:eastAsia="Times New Roman" w:hAnsi="Times New Roman" w:cs="Times New Roman"/>
            <w:color w:val="0000FF"/>
            <w:sz w:val="24"/>
            <w:szCs w:val="24"/>
            <w:u w:val="single"/>
          </w:rPr>
          <w:t>http://dx.doi.org/10.1080/02755947.2012.675943</w:t>
        </w:r>
      </w:hyperlink>
      <w:r>
        <w:rPr>
          <w:rFonts w:ascii="Times New Roman" w:eastAsia="Times New Roman" w:hAnsi="Times New Roman" w:cs="Times New Roman"/>
          <w:sz w:val="24"/>
          <w:szCs w:val="24"/>
        </w:rPr>
        <w:t>.</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 Wonkyu, and Richard T. Melstrom. 2018. </w:t>
      </w:r>
      <w:r>
        <w:rPr>
          <w:rFonts w:ascii="Times New Roman" w:eastAsia="Times New Roman" w:hAnsi="Times New Roman" w:cs="Times New Roman"/>
          <w:sz w:val="24"/>
          <w:szCs w:val="24"/>
        </w:rPr>
        <w:t>“Catch-and-Release Regulations and Paddlefish Angler Preferences.” Journal of Environmental Management 214: 1–8.</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Dimmock, S.G., Kouwenberg, R., Mitchell, O.S., and K. Peijnenburg. 2015. "Estimating Ambiguity Preferences and Perceptions in Multiple Prior M</w:t>
      </w:r>
      <w:r>
        <w:rPr>
          <w:rFonts w:ascii="Times New Roman" w:eastAsia="Times New Roman" w:hAnsi="Times New Roman" w:cs="Times New Roman"/>
          <w:sz w:val="24"/>
          <w:szCs w:val="24"/>
        </w:rPr>
        <w:t>odels: Evidence from the Field." Journal of Risk and Uncertainty, 51:219-244.</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Duffield, John, Chris Neher, Stewart Allen, David Patterson, and Brad Gentner. 2012. “Modeling the Behavior of Marlin Anglers in the Western Pacific.” Marine Resource Economics </w:t>
      </w:r>
      <w:r>
        <w:rPr>
          <w:rFonts w:ascii="Times New Roman" w:eastAsia="Times New Roman" w:hAnsi="Times New Roman" w:cs="Times New Roman"/>
          <w:sz w:val="24"/>
          <w:szCs w:val="24"/>
        </w:rPr>
        <w:t>27 (4): 343–57.</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Ghirardato, P., Maccheroni, F., and Marinacci, M. 2004. "Differentiating Ambiguity and Ambiguity Attitude". Journal of Economic Theory, 118(2), 133-173.</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Gilboa, I., and Schmeidler, D. 1989. "Maximin Expected Utility with Non-Unique Prior"</w:t>
      </w:r>
      <w:r>
        <w:rPr>
          <w:rFonts w:ascii="Times New Roman" w:eastAsia="Times New Roman" w:hAnsi="Times New Roman" w:cs="Times New Roman"/>
          <w:sz w:val="24"/>
          <w:szCs w:val="24"/>
        </w:rPr>
        <w:t>. Journal of Mathematical Economics, 18(2) 141-153.</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Goldsmith, William M., Andrew M. Scheld, and John E. Graves. 2018. “Characterizing the Preferences and Values of U.S. Recreational Atlantic Bluefin Tuna Anglers.” North American Journal of Fisheries Mana</w:t>
      </w:r>
      <w:r>
        <w:rPr>
          <w:rFonts w:ascii="Times New Roman" w:eastAsia="Times New Roman" w:hAnsi="Times New Roman" w:cs="Times New Roman"/>
          <w:sz w:val="24"/>
          <w:szCs w:val="24"/>
        </w:rPr>
        <w:t>gement 38 (3): 680–97.</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Harrison, M., Rigby, D., Vass, C., Flynn, T., Louviere, J., and K. Payne. 2014. "Risk as an Attribute in Discrete Choice Experiments: A Systematic Review of the Literature". Patient, 7(2):151-170.</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Hauber, A.B., Johnson, F.R., Grotz</w:t>
      </w:r>
      <w:r>
        <w:rPr>
          <w:rFonts w:ascii="Times New Roman" w:eastAsia="Times New Roman" w:hAnsi="Times New Roman" w:cs="Times New Roman"/>
          <w:sz w:val="24"/>
          <w:szCs w:val="24"/>
        </w:rPr>
        <w:t xml:space="preserve">inger, K.M, and S. </w:t>
      </w:r>
      <m:oMath>
        <m:acc>
          <m:accPr>
            <m:chr m:val="̈"/>
            <m:ctrlPr>
              <w:rPr>
                <w:rFonts w:ascii="Cambria Math" w:eastAsia="Cambria Math" w:hAnsi="Cambria Math" w:cs="Cambria Math"/>
                <w:sz w:val="24"/>
                <w:szCs w:val="24"/>
              </w:rPr>
            </m:ctrlPr>
          </m:accPr>
          <m:e>
            <m:r>
              <w:rPr>
                <w:rFonts w:ascii="Cambria Math" w:eastAsia="Cambria Math" w:hAnsi="Cambria Math" w:cs="Cambria Math"/>
                <w:sz w:val="24"/>
                <w:szCs w:val="24"/>
              </w:rPr>
              <m:t>O</m:t>
            </m:r>
          </m:e>
        </m:acc>
      </m:oMath>
      <w:r>
        <w:rPr>
          <w:rFonts w:ascii="Times New Roman" w:eastAsia="Times New Roman" w:hAnsi="Times New Roman" w:cs="Times New Roman"/>
          <w:sz w:val="24"/>
          <w:szCs w:val="24"/>
        </w:rPr>
        <w:t>zdemir. 2010. " Patients' Benefit-Risk Preferences for Chronic Idiopathic Thrombocytopenic Purpura Therapies". The Annals of Pharmacotherapy, 44:479-488.</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Hicks, Robert L. 2002. “Stated Preference Methods for Environmental Management: </w:t>
      </w:r>
      <w:r>
        <w:rPr>
          <w:rFonts w:ascii="Times New Roman" w:eastAsia="Times New Roman" w:hAnsi="Times New Roman" w:cs="Times New Roman"/>
          <w:sz w:val="24"/>
          <w:szCs w:val="24"/>
        </w:rPr>
        <w:t>Recreational Summer Flounder Angling in the Northeastern United States.” Fisheries Statistics and Economics Division, no. April: 111.</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Holt, C. and S.K. Laury. 2002. "Risk Aversion and Incentive Effects." American Economic Review, 92(5), 1644-1655.</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Holzer</w:t>
      </w:r>
      <w:r>
        <w:rPr>
          <w:rFonts w:ascii="Times New Roman" w:eastAsia="Times New Roman" w:hAnsi="Times New Roman" w:cs="Times New Roman"/>
          <w:sz w:val="24"/>
          <w:szCs w:val="24"/>
        </w:rPr>
        <w:t>, Jorge and McConnell, Kenneth. 2017. " Risk Preferences and Compliance in Recreational Fisheries" Journal of the Association of Environmental and Resource Economists, 4(S1):1-35.</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ICF. 2018. “West Coast Saltwater Fishing Survey Pretest Report.” Submitted </w:t>
      </w:r>
      <w:r>
        <w:rPr>
          <w:rFonts w:ascii="Times New Roman" w:eastAsia="Times New Roman" w:hAnsi="Times New Roman" w:cs="Times New Roman"/>
          <w:sz w:val="24"/>
          <w:szCs w:val="24"/>
        </w:rPr>
        <w:t>to National Marine Fisheries Servie.</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Knoche, Scott, and Frank Lupi. 2016. “Demand for Fishery Regulations: Effects of Angler Heterogeneity and Catch Improvements on Preferences for Gear and Harvest Restrictions.” Fisheries Research 181: 163–71.</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Lee, Min-</w:t>
      </w:r>
      <w:r>
        <w:rPr>
          <w:rFonts w:ascii="Times New Roman" w:eastAsia="Times New Roman" w:hAnsi="Times New Roman" w:cs="Times New Roman"/>
          <w:sz w:val="24"/>
          <w:szCs w:val="24"/>
        </w:rPr>
        <w:t>Yang, Scott Steinback, and Kristy Wallmo. 2017. “Applying a Bioeconomic Model to Recreational Fisheries Management: Groundfish in the Northeast United States” 32 (2).</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Lew, Daniel K., and Douglas M. Larson. 2012. “Economic Values for Saltwater Sport Fishin</w:t>
      </w:r>
      <w:r>
        <w:rPr>
          <w:rFonts w:ascii="Times New Roman" w:eastAsia="Times New Roman" w:hAnsi="Times New Roman" w:cs="Times New Roman"/>
          <w:sz w:val="24"/>
          <w:szCs w:val="24"/>
        </w:rPr>
        <w:t>g in Alaska: A Stated Preference Analysis.” North American Journal of Fisheries Management 32 (4): 745–59.</w:t>
      </w: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 2015. “Stated Preferences for Size and Bag Limits of Alaska Charter Boat Anglers.” Marine Policy 61: 66–76.</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Lew, Daniel K., and Chang K. Seung.</w:t>
      </w:r>
      <w:r>
        <w:rPr>
          <w:rFonts w:ascii="Times New Roman" w:eastAsia="Times New Roman" w:hAnsi="Times New Roman" w:cs="Times New Roman"/>
          <w:sz w:val="24"/>
          <w:szCs w:val="24"/>
        </w:rPr>
        <w:t xml:space="preserve"> 2010. “The Economic Impact of Saltwater Sportfishing Harvest Restrictions in Alaska: An Empirical Analysis of Nonresident Anglers.” North American Journal of Fisheries Management 30 (2): 538–51.</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Louiviere, Jordan J., David A. Hensher, and Joffre D. Swait</w:t>
      </w:r>
      <w:r>
        <w:rPr>
          <w:rFonts w:ascii="Times New Roman" w:eastAsia="Times New Roman" w:hAnsi="Times New Roman" w:cs="Times New Roman"/>
          <w:sz w:val="24"/>
          <w:szCs w:val="24"/>
        </w:rPr>
        <w:t>. 2000. Stated Choice Methods: Analysis and Applications. Cambridge University Press.</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Massey, D. Matthew, Stephen C. Newbold, and Brad Gentner. 2006. “Valuing Water Quality Changes Using a Bioeconomic Model of a Coastal Recreational Fishery.” Journal of E</w:t>
      </w:r>
      <w:r>
        <w:rPr>
          <w:rFonts w:ascii="Times New Roman" w:eastAsia="Times New Roman" w:hAnsi="Times New Roman" w:cs="Times New Roman"/>
          <w:sz w:val="24"/>
          <w:szCs w:val="24"/>
        </w:rPr>
        <w:t>nvironmental Economics and Management 52 (1): 482–500.</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MAFMC (Mid-Atlantic Fishery Management Council). 2013. “Summer Flounder, Scup, and Black Sea</w:t>
      </w: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Bass Recreational Specifications Black Sea Bass Catch Limits for 2013 and 2014.” Supplemental Environmental</w:t>
      </w:r>
      <w:r>
        <w:rPr>
          <w:rFonts w:ascii="Times New Roman" w:eastAsia="Times New Roman" w:hAnsi="Times New Roman" w:cs="Times New Roman"/>
          <w:sz w:val="24"/>
          <w:szCs w:val="24"/>
        </w:rPr>
        <w:t xml:space="preserve"> Assessment, Dover, DE.</w:t>
      </w:r>
    </w:p>
    <w:p w:rsidR="00771BA4" w:rsidP="00771BA4">
      <w:pPr>
        <w:widowControl/>
        <w:rPr>
          <w:rFonts w:ascii="Times New Roman" w:eastAsia="Times New Roman" w:hAnsi="Times New Roman" w:cs="Times New Roman"/>
          <w:sz w:val="24"/>
          <w:szCs w:val="24"/>
        </w:rPr>
      </w:pPr>
    </w:p>
    <w:p w:rsidR="00771BA4" w:rsidP="00771BA4">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t>North Atlantic Recreational Fishing Survey Report. 2020.  National Marine Fisheries Service, Northeast Fisheries Science Center Contract report submitted by ICF.</w:t>
      </w:r>
    </w:p>
    <w:p w:rsidR="00E11284">
      <w:pPr>
        <w:widowControl/>
        <w:rPr>
          <w:rFonts w:ascii="Times New Roman" w:eastAsia="Times New Roman" w:hAnsi="Times New Roman" w:cs="Times New Roman"/>
          <w:sz w:val="24"/>
          <w:szCs w:val="24"/>
        </w:rPr>
      </w:pPr>
    </w:p>
    <w:sectPr w:rsidSect="00D556A0">
      <w:pgSz w:w="12240" w:h="15840"/>
      <w:pgMar w:top="1008" w:right="1440" w:bottom="1440" w:left="1440" w:header="720" w:footer="720" w:gutter="0"/>
      <w:cols w:space="720" w:equalWidth="0">
        <w:col w:w="820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40C">
    <w:pPr>
      <w:pBdr>
        <w:top w:val="nil"/>
        <w:left w:val="nil"/>
        <w:bottom w:val="nil"/>
        <w:right w:val="nil"/>
        <w:between w:val="nil"/>
      </w:pBdr>
      <w:spacing w:line="14" w:lineRule="auto"/>
      <w:rPr>
        <w:rFonts w:ascii="Tahoma" w:eastAsia="Tahoma" w:hAnsi="Tahoma" w:cs="Tahom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34C28">
      <w:r>
        <w:separator/>
      </w:r>
    </w:p>
  </w:footnote>
  <w:footnote w:type="continuationSeparator" w:id="1">
    <w:p w:rsidR="00534C28">
      <w:r>
        <w:continuationSeparator/>
      </w:r>
    </w:p>
  </w:footnote>
  <w:footnote w:id="2">
    <w:p w:rsidR="00D0040C">
      <w:pPr>
        <w:pStyle w:val="FootnoteText"/>
      </w:pPr>
      <w:r>
        <w:rPr>
          <w:rStyle w:val="FootnoteReference"/>
        </w:rPr>
        <w:footnoteRef/>
      </w:r>
      <w:r>
        <w:t xml:space="preserve"> The NARFS III survey </w:t>
      </w:r>
      <w:r w:rsidR="00EE2AC8">
        <w:t xml:space="preserve">has yet to be conducted at the time of this writing. The NARFS III survey is scheduled to take place </w:t>
      </w:r>
      <w:r>
        <w:t xml:space="preserve">during the final months of 2024. Thus, we use </w:t>
      </w:r>
      <w:r w:rsidR="00EE2AC8">
        <w:t xml:space="preserve">the realized </w:t>
      </w:r>
      <w:r>
        <w:t xml:space="preserve">response </w:t>
      </w:r>
      <w:r w:rsidR="00EE2AC8">
        <w:t>times/rates</w:t>
      </w:r>
      <w:r>
        <w:t xml:space="preserve"> from NARFS II as a proxy for the NARFS IV </w:t>
      </w:r>
      <w:r w:rsidR="00EE2AC8">
        <w:t>survey</w:t>
      </w:r>
      <w:r>
        <w:t xml:space="preserve">.   </w:t>
      </w:r>
    </w:p>
  </w:footnote>
  <w:footnote w:id="3">
    <w:p w:rsidR="00D0040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May 2023 National Occupation Employment and Wage Estimates United States, U.S. Bureau of Labor Statistics, Occupation Title: All Occupations (https://www.bls.gov/oes/current/oes_nat.htm#00-0000).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040C">
    <w:pPr>
      <w:pBdr>
        <w:top w:val="nil"/>
        <w:left w:val="nil"/>
        <w:bottom w:val="nil"/>
        <w:right w:val="nil"/>
        <w:between w:val="nil"/>
      </w:pBdr>
      <w:spacing w:line="14" w:lineRule="auto"/>
      <w:rPr>
        <w:rFonts w:ascii="Tahoma" w:eastAsia="Tahoma" w:hAnsi="Tahoma" w:cs="Tahoma"/>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A0CBA"/>
    <w:multiLevelType w:val="hybridMultilevel"/>
    <w:tmpl w:val="EE245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307CEC"/>
    <w:multiLevelType w:val="hybridMultilevel"/>
    <w:tmpl w:val="6F4E9B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
    <w:nsid w:val="1DFD1A90"/>
    <w:multiLevelType w:val="hybridMultilevel"/>
    <w:tmpl w:val="9492419E"/>
    <w:lvl w:ilvl="0">
      <w:start w:val="1"/>
      <w:numFmt w:val="decimal"/>
      <w:lvlText w:val="%1."/>
      <w:lvlJc w:val="left"/>
      <w:pPr>
        <w:ind w:left="1529"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4">
    <w:nsid w:val="2FBF7E4A"/>
    <w:multiLevelType w:val="multilevel"/>
    <w:tmpl w:val="7BF03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FE0A56"/>
    <w:multiLevelType w:val="multilevel"/>
    <w:tmpl w:val="6CF09C8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6">
    <w:nsid w:val="36227728"/>
    <w:multiLevelType w:val="multilevel"/>
    <w:tmpl w:val="23F60AB6"/>
    <w:lvl w:ilvl="0">
      <w:start w:val="2"/>
      <w:numFmt w:val="decimal"/>
      <w:lvlText w:val="%1."/>
      <w:lvlJc w:val="left"/>
      <w:pPr>
        <w:ind w:left="629"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7">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512E0816"/>
    <w:multiLevelType w:val="multilevel"/>
    <w:tmpl w:val="E436A3F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num w:numId="1">
    <w:abstractNumId w:val="6"/>
  </w:num>
  <w:num w:numId="2">
    <w:abstractNumId w:val="8"/>
  </w:num>
  <w:num w:numId="3">
    <w:abstractNumId w:val="5"/>
  </w:num>
  <w:num w:numId="4">
    <w:abstractNumId w:val="0"/>
  </w:num>
  <w:num w:numId="5">
    <w:abstractNumId w:val="7"/>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84"/>
    <w:rsid w:val="00073762"/>
    <w:rsid w:val="000861A8"/>
    <w:rsid w:val="000A7EA1"/>
    <w:rsid w:val="000E2C71"/>
    <w:rsid w:val="000F5C6F"/>
    <w:rsid w:val="001273CC"/>
    <w:rsid w:val="00153EC4"/>
    <w:rsid w:val="00154B74"/>
    <w:rsid w:val="0016150B"/>
    <w:rsid w:val="00164F9F"/>
    <w:rsid w:val="00165E64"/>
    <w:rsid w:val="00187040"/>
    <w:rsid w:val="001A7AE8"/>
    <w:rsid w:val="001E624E"/>
    <w:rsid w:val="001F1194"/>
    <w:rsid w:val="00204C8D"/>
    <w:rsid w:val="00241203"/>
    <w:rsid w:val="002B2886"/>
    <w:rsid w:val="002D08DF"/>
    <w:rsid w:val="002F03D2"/>
    <w:rsid w:val="003113DD"/>
    <w:rsid w:val="00317103"/>
    <w:rsid w:val="00332AD5"/>
    <w:rsid w:val="00350A83"/>
    <w:rsid w:val="003763EC"/>
    <w:rsid w:val="00392859"/>
    <w:rsid w:val="003D653C"/>
    <w:rsid w:val="003E19AE"/>
    <w:rsid w:val="00417B13"/>
    <w:rsid w:val="00463A7E"/>
    <w:rsid w:val="00472AFB"/>
    <w:rsid w:val="00484BDF"/>
    <w:rsid w:val="004874C1"/>
    <w:rsid w:val="004D65DB"/>
    <w:rsid w:val="00522360"/>
    <w:rsid w:val="00534C28"/>
    <w:rsid w:val="00584E3D"/>
    <w:rsid w:val="005B2636"/>
    <w:rsid w:val="005E0527"/>
    <w:rsid w:val="0060541C"/>
    <w:rsid w:val="00624E9C"/>
    <w:rsid w:val="00627663"/>
    <w:rsid w:val="00636985"/>
    <w:rsid w:val="00643D6E"/>
    <w:rsid w:val="0068136C"/>
    <w:rsid w:val="00693010"/>
    <w:rsid w:val="0069660B"/>
    <w:rsid w:val="00696F8F"/>
    <w:rsid w:val="006E085F"/>
    <w:rsid w:val="006E2F6C"/>
    <w:rsid w:val="0070230F"/>
    <w:rsid w:val="00715829"/>
    <w:rsid w:val="00732A96"/>
    <w:rsid w:val="007521A9"/>
    <w:rsid w:val="00771BA4"/>
    <w:rsid w:val="007D1506"/>
    <w:rsid w:val="0080342C"/>
    <w:rsid w:val="00820A47"/>
    <w:rsid w:val="0082262E"/>
    <w:rsid w:val="008333E6"/>
    <w:rsid w:val="00835474"/>
    <w:rsid w:val="00851B73"/>
    <w:rsid w:val="008709F5"/>
    <w:rsid w:val="00871EA4"/>
    <w:rsid w:val="008A4117"/>
    <w:rsid w:val="008A426B"/>
    <w:rsid w:val="009222AD"/>
    <w:rsid w:val="009338AC"/>
    <w:rsid w:val="00941B57"/>
    <w:rsid w:val="00987167"/>
    <w:rsid w:val="00A37955"/>
    <w:rsid w:val="00A70749"/>
    <w:rsid w:val="00A812F3"/>
    <w:rsid w:val="00AA2BCD"/>
    <w:rsid w:val="00AB13AA"/>
    <w:rsid w:val="00AD3125"/>
    <w:rsid w:val="00B275B3"/>
    <w:rsid w:val="00B41E04"/>
    <w:rsid w:val="00B5181F"/>
    <w:rsid w:val="00B8195F"/>
    <w:rsid w:val="00B86159"/>
    <w:rsid w:val="00BA478B"/>
    <w:rsid w:val="00BC7D62"/>
    <w:rsid w:val="00BD447A"/>
    <w:rsid w:val="00BD7237"/>
    <w:rsid w:val="00C27C3F"/>
    <w:rsid w:val="00C512CB"/>
    <w:rsid w:val="00C53A9C"/>
    <w:rsid w:val="00C74D8A"/>
    <w:rsid w:val="00C76E04"/>
    <w:rsid w:val="00CC1B11"/>
    <w:rsid w:val="00CD1F78"/>
    <w:rsid w:val="00D0040C"/>
    <w:rsid w:val="00D220A2"/>
    <w:rsid w:val="00D556A0"/>
    <w:rsid w:val="00D92AB9"/>
    <w:rsid w:val="00DA705B"/>
    <w:rsid w:val="00DC1000"/>
    <w:rsid w:val="00DE159F"/>
    <w:rsid w:val="00DE5563"/>
    <w:rsid w:val="00DE5B11"/>
    <w:rsid w:val="00E0130C"/>
    <w:rsid w:val="00E11284"/>
    <w:rsid w:val="00E1532A"/>
    <w:rsid w:val="00E30780"/>
    <w:rsid w:val="00E950BD"/>
    <w:rsid w:val="00EA6CA4"/>
    <w:rsid w:val="00EB4FED"/>
    <w:rsid w:val="00ED6D13"/>
    <w:rsid w:val="00EE2AC8"/>
    <w:rsid w:val="00EE71A3"/>
    <w:rsid w:val="00F037FE"/>
    <w:rsid w:val="00F54D07"/>
    <w:rsid w:val="00F71EF8"/>
    <w:rsid w:val="00FA5EE2"/>
    <w:rsid w:val="00FC508C"/>
    <w:rsid w:val="00FE42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B3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80"/>
      <w:ind w:left="400"/>
      <w:outlineLvl w:val="0"/>
    </w:pPr>
    <w:rPr>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12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2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E159F"/>
    <w:rPr>
      <w:b/>
      <w:bCs/>
    </w:rPr>
  </w:style>
  <w:style w:type="character" w:customStyle="1" w:styleId="CommentSubjectChar">
    <w:name w:val="Comment Subject Char"/>
    <w:basedOn w:val="CommentTextChar"/>
    <w:link w:val="CommentSubject"/>
    <w:uiPriority w:val="99"/>
    <w:semiHidden/>
    <w:rsid w:val="00DE159F"/>
    <w:rPr>
      <w:b/>
      <w:bCs/>
      <w:sz w:val="20"/>
      <w:szCs w:val="20"/>
    </w:rPr>
  </w:style>
  <w:style w:type="character" w:styleId="Hyperlink">
    <w:name w:val="Hyperlink"/>
    <w:uiPriority w:val="99"/>
    <w:rsid w:val="0070230F"/>
    <w:rPr>
      <w:color w:val="0000FF"/>
      <w:u w:val="single"/>
    </w:rPr>
  </w:style>
  <w:style w:type="paragraph" w:styleId="ListParagraph">
    <w:name w:val="List Paragraph"/>
    <w:basedOn w:val="Normal"/>
    <w:uiPriority w:val="1"/>
    <w:qFormat/>
    <w:rsid w:val="0069660B"/>
    <w:pPr>
      <w:ind w:left="720"/>
      <w:contextualSpacing/>
    </w:pPr>
  </w:style>
  <w:style w:type="paragraph" w:styleId="FootnoteText">
    <w:name w:val="footnote text"/>
    <w:basedOn w:val="Normal"/>
    <w:link w:val="FootnoteTextChar"/>
    <w:uiPriority w:val="99"/>
    <w:semiHidden/>
    <w:unhideWhenUsed/>
    <w:rsid w:val="00DE5563"/>
    <w:rPr>
      <w:sz w:val="20"/>
      <w:szCs w:val="20"/>
    </w:rPr>
  </w:style>
  <w:style w:type="character" w:customStyle="1" w:styleId="FootnoteTextChar">
    <w:name w:val="Footnote Text Char"/>
    <w:basedOn w:val="DefaultParagraphFont"/>
    <w:link w:val="FootnoteText"/>
    <w:uiPriority w:val="99"/>
    <w:semiHidden/>
    <w:rsid w:val="00DE5563"/>
    <w:rPr>
      <w:sz w:val="20"/>
      <w:szCs w:val="20"/>
    </w:rPr>
  </w:style>
  <w:style w:type="character" w:styleId="FootnoteReference">
    <w:name w:val="footnote reference"/>
    <w:basedOn w:val="DefaultParagraphFont"/>
    <w:uiPriority w:val="99"/>
    <w:semiHidden/>
    <w:unhideWhenUsed/>
    <w:rsid w:val="00DE5563"/>
    <w:rPr>
      <w:vertAlign w:val="superscript"/>
    </w:rPr>
  </w:style>
  <w:style w:type="paragraph" w:styleId="Header">
    <w:name w:val="header"/>
    <w:basedOn w:val="Normal"/>
    <w:link w:val="HeaderChar"/>
    <w:uiPriority w:val="99"/>
    <w:unhideWhenUsed/>
    <w:rsid w:val="00771BA4"/>
    <w:pPr>
      <w:tabs>
        <w:tab w:val="center" w:pos="4680"/>
        <w:tab w:val="right" w:pos="9360"/>
      </w:tabs>
    </w:pPr>
  </w:style>
  <w:style w:type="character" w:customStyle="1" w:styleId="HeaderChar">
    <w:name w:val="Header Char"/>
    <w:basedOn w:val="DefaultParagraphFont"/>
    <w:link w:val="Header"/>
    <w:uiPriority w:val="99"/>
    <w:rsid w:val="00771BA4"/>
  </w:style>
  <w:style w:type="paragraph" w:styleId="Footer">
    <w:name w:val="footer"/>
    <w:basedOn w:val="Normal"/>
    <w:link w:val="FooterChar"/>
    <w:uiPriority w:val="99"/>
    <w:unhideWhenUsed/>
    <w:rsid w:val="00771BA4"/>
    <w:pPr>
      <w:tabs>
        <w:tab w:val="center" w:pos="4680"/>
        <w:tab w:val="right" w:pos="9360"/>
      </w:tabs>
    </w:pPr>
  </w:style>
  <w:style w:type="character" w:customStyle="1" w:styleId="FooterChar">
    <w:name w:val="Footer Char"/>
    <w:basedOn w:val="DefaultParagraphFont"/>
    <w:link w:val="Footer"/>
    <w:uiPriority w:val="99"/>
    <w:rsid w:val="00771BA4"/>
  </w:style>
  <w:style w:type="paragraph" w:styleId="NormalWeb">
    <w:name w:val="Normal (Web)"/>
    <w:basedOn w:val="Normal"/>
    <w:uiPriority w:val="99"/>
    <w:semiHidden/>
    <w:unhideWhenUsed/>
    <w:rsid w:val="00D92AB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hyperlink" Target="http://dx.doi.org/10.1080/02755947.2012.675943"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nmfs.noaa.gov/sfa/management/catch_shares/legislation_history/documents/msa_amended_2007.pdf" TargetMode="External" /><Relationship Id="rId7" Type="http://schemas.openxmlformats.org/officeDocument/2006/relationships/hyperlink" Target="http://www.fws.gov/informationquality/section515.html"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1E22-8BE1-411D-AA88-6BF5FA92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6745</Words>
  <Characters>38449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2024-06-25T20:44:00Z</dcterms:created>
  <dcterms:modified xsi:type="dcterms:W3CDTF">2024-06-25T20:44:00Z</dcterms:modified>
</cp:coreProperties>
</file>