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95C27" w:rsidP="00E74FF3" w14:paraId="3316F7CA" w14:textId="276C31D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JUSTIFICATION FOR NONMATERIAL/NONSUBSTANTIVE CHANGE</w:t>
      </w:r>
    </w:p>
    <w:p w:rsidR="00E74FF3" w:rsidP="00E74FF3" w14:paraId="7CC1BEFA" w14:textId="53F0E1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United States Patent and Trademark Office</w:t>
      </w:r>
    </w:p>
    <w:p w:rsidR="00E74FF3" w:rsidP="00E74FF3" w14:paraId="5B1796C3" w14:textId="3B8DD7B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 to Office Action and Voluntary Amendment Forms</w:t>
      </w:r>
    </w:p>
    <w:p w:rsidR="00E74FF3" w:rsidP="00E74FF3" w14:paraId="4B98F546" w14:textId="0FC3494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OMB CONTROL NUMBER 0651-0050</w:t>
      </w:r>
    </w:p>
    <w:p w:rsidR="00E74FF3" w:rsidP="00E74FF3" w14:paraId="51DE6D13" w14:textId="67D3202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2024</w:t>
      </w:r>
    </w:p>
    <w:p w:rsidR="00E74FF3" w:rsidP="00E74FF3" w14:paraId="298667D8" w14:textId="244A88DC">
      <w:pPr>
        <w:pStyle w:val="NoSpacing"/>
        <w:rPr>
          <w:rFonts w:ascii="Arial" w:hAnsi="Arial" w:cs="Arial"/>
          <w:sz w:val="24"/>
          <w:szCs w:val="24"/>
        </w:rPr>
      </w:pPr>
    </w:p>
    <w:p w:rsidR="00E74FF3" w:rsidP="00767268" w14:paraId="5A712D06" w14:textId="3258681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Background</w:t>
      </w:r>
    </w:p>
    <w:p w:rsidR="00767268" w:rsidP="00E74FF3" w14:paraId="049F49A7" w14:textId="6DD93DB8">
      <w:pPr>
        <w:pStyle w:val="NoSpacing"/>
        <w:rPr>
          <w:rFonts w:ascii="Arial" w:hAnsi="Arial" w:cs="Arial"/>
          <w:sz w:val="24"/>
          <w:szCs w:val="24"/>
        </w:rPr>
      </w:pPr>
    </w:p>
    <w:p w:rsidR="00767268" w:rsidP="00767268" w14:paraId="0DB5EF3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United States Patent and Trademark Office (USPTO) issues Office Actions to applicants who have applied to a register a mark, to request information that was not provided with the initial submission but is required before the issuance of a registration.</w:t>
      </w:r>
      <w:r>
        <w:rPr>
          <w:rFonts w:ascii="Arial" w:hAnsi="Arial" w:cs="Arial"/>
          <w:sz w:val="24"/>
          <w:szCs w:val="24"/>
        </w:rPr>
        <w:t xml:space="preserve"> The USPTO also issues an Office Action advising the applicant of the refusal to register the mark. Applicants reply to these Office Actions by providing the required information and/or by putting forth legal arguments as to why the refusal of registration</w:t>
      </w:r>
      <w:r>
        <w:rPr>
          <w:rFonts w:ascii="Arial" w:hAnsi="Arial" w:cs="Arial"/>
          <w:sz w:val="24"/>
          <w:szCs w:val="24"/>
        </w:rPr>
        <w:t xml:space="preserve"> should be withdrawn. </w:t>
      </w:r>
    </w:p>
    <w:p w:rsidR="00767268" w:rsidP="00767268" w14:paraId="17A7D74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1CFB33D0" w14:textId="5EBDD0E2">
      <w:pPr>
        <w:jc w:val="both"/>
        <w:rPr>
          <w:rFonts w:ascii="Arial" w:hAnsi="Arial" w:cs="Arial"/>
        </w:rPr>
      </w:pPr>
      <w:r w:rsidRPr="00E4179E">
        <w:rPr>
          <w:rFonts w:ascii="Arial" w:hAnsi="Arial" w:cs="Arial"/>
        </w:rPr>
        <w:t>Applicants may also supplement their applications and provide further information by filing a Voluntary Amendment Not in Response to USPTO Office Action/Letter, a Request for Reconsideration after Final Office Action, a Post-Approva</w:t>
      </w:r>
      <w:r w:rsidRPr="00E4179E">
        <w:rPr>
          <w:rFonts w:ascii="Arial" w:hAnsi="Arial" w:cs="Arial"/>
        </w:rPr>
        <w:t xml:space="preserve">l/Publication/Post-Notice of Allowance (NOA) Amendment, a Petition to Amend Basis Post-Publication, or a Response to Suspension Inquiry or Letter of Suspension. </w:t>
      </w:r>
    </w:p>
    <w:p w:rsidR="00FB0C66" w:rsidP="00767268" w14:paraId="33035308" w14:textId="21952716">
      <w:pPr>
        <w:jc w:val="both"/>
        <w:rPr>
          <w:rFonts w:ascii="Arial" w:hAnsi="Arial" w:cs="Arial"/>
        </w:rPr>
      </w:pPr>
    </w:p>
    <w:p w:rsidR="00FB0C66" w:rsidP="00767268" w14:paraId="72092DE9" w14:textId="416485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USPTO </w:t>
      </w:r>
      <w:r w:rsidR="00C24E60">
        <w:rPr>
          <w:rFonts w:ascii="Arial" w:hAnsi="Arial" w:cs="Arial"/>
        </w:rPr>
        <w:t xml:space="preserve">plans </w:t>
      </w:r>
      <w:r>
        <w:rPr>
          <w:rFonts w:ascii="Arial" w:hAnsi="Arial" w:cs="Arial"/>
        </w:rPr>
        <w:t>to discontinue information collection 0651-0086 (Changes to Implement the Pro</w:t>
      </w:r>
      <w:r>
        <w:rPr>
          <w:rFonts w:ascii="Arial" w:hAnsi="Arial" w:cs="Arial"/>
        </w:rPr>
        <w:t xml:space="preserve">visions of the Trademark Modernization Act of 2020) and merge it into other USPTO information collections. As part of that effort, the USPTO </w:t>
      </w:r>
      <w:r w:rsidR="00C24E60">
        <w:rPr>
          <w:rFonts w:ascii="Arial" w:hAnsi="Arial" w:cs="Arial"/>
        </w:rPr>
        <w:t xml:space="preserve">plans </w:t>
      </w:r>
      <w:r w:rsidR="00530DBF">
        <w:rPr>
          <w:rFonts w:ascii="Arial" w:hAnsi="Arial" w:cs="Arial"/>
        </w:rPr>
        <w:t>to move</w:t>
      </w:r>
      <w:r w:rsidR="00C24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one form and two information collection (IC) lines from 0651-0086 into 0651-0050 (Response to Office </w:t>
      </w:r>
      <w:r>
        <w:rPr>
          <w:rFonts w:ascii="Arial" w:hAnsi="Arial" w:cs="Arial"/>
        </w:rPr>
        <w:t>Action and Voluntary Amendment Forms). This adjustment will result in burden increases for 0651-0050.</w:t>
      </w:r>
    </w:p>
    <w:p w:rsidR="00767268" w:rsidP="00E74FF3" w14:paraId="4221A292" w14:textId="0A901331">
      <w:pPr>
        <w:pStyle w:val="NoSpacing"/>
        <w:rPr>
          <w:rFonts w:ascii="Arial" w:hAnsi="Arial" w:cs="Arial"/>
          <w:sz w:val="24"/>
          <w:szCs w:val="24"/>
        </w:rPr>
      </w:pPr>
    </w:p>
    <w:p w:rsidR="00767268" w:rsidP="00767268" w14:paraId="543CFC3E" w14:textId="039DBF4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Summary of Changes</w:t>
      </w:r>
    </w:p>
    <w:p w:rsidR="00767268" w:rsidP="00767268" w14:paraId="55BEC6AD" w14:textId="12D8BF2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12A030E4" w14:textId="4FAD16E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USPTO propos</w:t>
      </w:r>
      <w:r w:rsidR="001C2D5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to add one form into </w:t>
      </w:r>
      <w:r w:rsidR="00AD1748">
        <w:rPr>
          <w:rFonts w:ascii="Arial" w:hAnsi="Arial" w:cs="Arial"/>
          <w:sz w:val="24"/>
          <w:szCs w:val="24"/>
        </w:rPr>
        <w:t>collection 0651-0050</w:t>
      </w:r>
      <w:r>
        <w:rPr>
          <w:rFonts w:ascii="Arial" w:hAnsi="Arial" w:cs="Arial"/>
          <w:sz w:val="24"/>
          <w:szCs w:val="24"/>
        </w:rPr>
        <w:t xml:space="preserve"> that is currently accounted for in collection 0651-0086:</w:t>
      </w:r>
    </w:p>
    <w:p w:rsidR="00767268" w:rsidP="00767268" w14:paraId="268066F5" w14:textId="4F72C659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PTO</w:t>
      </w:r>
      <w:r w:rsidR="0067387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2313 </w:t>
      </w:r>
      <w:r>
        <w:rPr>
          <w:rFonts w:ascii="Arial" w:hAnsi="Arial" w:cs="Arial"/>
          <w:sz w:val="24"/>
          <w:szCs w:val="24"/>
        </w:rPr>
        <w:t>(Request for Extension of Time to File a Response</w:t>
      </w:r>
      <w:r w:rsidR="001C2D59">
        <w:rPr>
          <w:rFonts w:ascii="Arial" w:hAnsi="Arial" w:cs="Arial"/>
          <w:sz w:val="24"/>
          <w:szCs w:val="24"/>
        </w:rPr>
        <w:t>)</w:t>
      </w:r>
    </w:p>
    <w:p w:rsidR="00767268" w:rsidP="00767268" w14:paraId="26FA8D7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7511B424" w14:textId="78ED704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this addition, the USPTO also </w:t>
      </w:r>
      <w:r w:rsidR="001C2D59">
        <w:rPr>
          <w:rFonts w:ascii="Arial" w:hAnsi="Arial" w:cs="Arial"/>
          <w:sz w:val="24"/>
          <w:szCs w:val="24"/>
        </w:rPr>
        <w:t xml:space="preserve">proposes </w:t>
      </w:r>
      <w:r>
        <w:rPr>
          <w:rFonts w:ascii="Arial" w:hAnsi="Arial" w:cs="Arial"/>
          <w:sz w:val="24"/>
          <w:szCs w:val="24"/>
        </w:rPr>
        <w:t xml:space="preserve">to add two IC lines to account for the burden associated with this form and the information it collects. These two IC lines </w:t>
      </w:r>
      <w:r w:rsidR="001C2D59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have non-hourly burde</w:t>
      </w:r>
      <w:r>
        <w:rPr>
          <w:rFonts w:ascii="Arial" w:hAnsi="Arial" w:cs="Arial"/>
          <w:sz w:val="24"/>
          <w:szCs w:val="24"/>
        </w:rPr>
        <w:t>n costs associated with them in the form of filing fees.</w:t>
      </w:r>
    </w:p>
    <w:p w:rsidR="00767268" w:rsidP="00767268" w14:paraId="4338C5D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740A66D9" w14:textId="3A84123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C2D59">
        <w:rPr>
          <w:rFonts w:ascii="Arial" w:hAnsi="Arial" w:cs="Arial"/>
          <w:sz w:val="24"/>
          <w:szCs w:val="24"/>
        </w:rPr>
        <w:t>proposed burden from these items is as follows</w:t>
      </w:r>
      <w:r>
        <w:rPr>
          <w:rFonts w:ascii="Arial" w:hAnsi="Arial" w:cs="Arial"/>
          <w:sz w:val="24"/>
          <w:szCs w:val="24"/>
        </w:rPr>
        <w:t>:</w:t>
      </w:r>
    </w:p>
    <w:p w:rsidR="00025385" w:rsidP="00767268" w14:paraId="438F8DA3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386B7C59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7F5CD009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456ADF2C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19EB12B8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484FBC12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281DA555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P="00767268" w14:paraId="3B2322C9" w14:textId="7777777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025385" w:rsidRPr="00485176" w:rsidP="00767268" w14:paraId="71A83B0C" w14:textId="6A6DF544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70386946"/>
      <w:r w:rsidRPr="00485176">
        <w:rPr>
          <w:rFonts w:ascii="Arial" w:hAnsi="Arial" w:cs="Arial"/>
          <w:b/>
          <w:bCs/>
          <w:sz w:val="20"/>
          <w:szCs w:val="20"/>
        </w:rPr>
        <w:t xml:space="preserve">Table 1: </w:t>
      </w:r>
      <w:r w:rsidRPr="00025385">
        <w:rPr>
          <w:rFonts w:ascii="Arial" w:hAnsi="Arial" w:cs="Arial"/>
          <w:b/>
          <w:bCs/>
          <w:sz w:val="20"/>
          <w:szCs w:val="20"/>
        </w:rPr>
        <w:t xml:space="preserve">Total Burden Hours </w:t>
      </w:r>
      <w:r w:rsidRPr="00025385">
        <w:rPr>
          <w:rFonts w:ascii="Arial" w:hAnsi="Arial" w:cs="Arial"/>
          <w:b/>
          <w:bCs/>
          <w:sz w:val="20"/>
          <w:szCs w:val="20"/>
        </w:rPr>
        <w:t>to Private Sector Respondents</w:t>
      </w:r>
    </w:p>
    <w:tbl>
      <w:tblPr>
        <w:tblW w:w="3674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786"/>
        <w:gridCol w:w="1962"/>
        <w:gridCol w:w="1374"/>
        <w:gridCol w:w="1276"/>
        <w:gridCol w:w="1472"/>
      </w:tblGrid>
      <w:tr w14:paraId="1F82BFE5" w14:textId="77777777" w:rsidTr="001A1033">
        <w:tblPrEx>
          <w:tblW w:w="3674" w:type="pct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1A1033" w:rsidRPr="00530DBF" w:rsidP="00530DBF" w14:paraId="4E18974E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Item No.</w:t>
            </w:r>
          </w:p>
          <w:p w:rsidR="001A1033" w:rsidRPr="00530DBF" w:rsidP="00530DBF" w14:paraId="20716A92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033" w:rsidRPr="00530DBF" w:rsidP="00530DBF" w14:paraId="3A1237B5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033" w:rsidRPr="00530DBF" w:rsidP="00530DBF" w14:paraId="7CFCEC13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Estimated Annual Responses (year)</w:t>
            </w:r>
          </w:p>
          <w:p w:rsidR="001A1033" w:rsidRPr="00530DBF" w:rsidP="00530DBF" w14:paraId="0DF99602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A1033" w:rsidRPr="00530DBF" w:rsidP="00530DBF" w14:paraId="3AFC7D01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A1033" w:rsidRPr="00530DBF" w:rsidP="00530DBF" w14:paraId="035464A3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033" w:rsidRPr="00530DBF" w:rsidP="00530DBF" w14:paraId="57A56973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Estimated Time for Response (hour)</w:t>
            </w:r>
          </w:p>
          <w:p w:rsidR="001A1033" w:rsidRPr="00530DBF" w:rsidP="00530DBF" w14:paraId="7FCB4F5F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A1033" w:rsidRPr="00530DBF" w:rsidP="00530DBF" w14:paraId="35B0E440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A1033" w:rsidRPr="00530DBF" w:rsidP="00530DBF" w14:paraId="5E314516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(b)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033" w:rsidRPr="00530DBF" w:rsidP="00530DBF" w14:paraId="23345508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Estimated Annual Burden (hour/year)</w:t>
            </w:r>
          </w:p>
          <w:p w:rsidR="001A1033" w:rsidRPr="00530DBF" w:rsidP="00530DBF" w14:paraId="29AEC6EF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A1033" w:rsidRPr="00530DBF" w:rsidP="00530DBF" w14:paraId="31128D0D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A1033" w:rsidRPr="00530DBF" w:rsidP="00530DBF" w14:paraId="2FB9F77A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  <w:r w:rsidRPr="00530DBF">
              <w:rPr>
                <w:rFonts w:ascii="Arial" w:eastAsia="Calibri" w:hAnsi="Arial" w:cs="Arial"/>
                <w:b/>
                <w:sz w:val="16"/>
                <w:szCs w:val="16"/>
              </w:rPr>
              <w:t>(a) x (b) = (c)</w:t>
            </w:r>
          </w:p>
        </w:tc>
      </w:tr>
      <w:tr w14:paraId="1E0C3B3C" w14:textId="77777777" w:rsidTr="001A1033">
        <w:tblPrEx>
          <w:tblW w:w="3674" w:type="pct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76086A83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8517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660FA0" w14:paraId="3BEB17E1" w14:textId="77777777">
            <w:pPr>
              <w:suppressAutoHyphens/>
              <w:textAlignment w:val="baseline"/>
              <w:rPr>
                <w:rFonts w:ascii="Arial" w:eastAsia="Calibri" w:hAnsi="Arial" w:cs="Arial"/>
                <w:sz w:val="16"/>
                <w:szCs w:val="16"/>
                <w:lang w:val="en"/>
              </w:rPr>
            </w:pPr>
            <w:r w:rsidRPr="00485176">
              <w:rPr>
                <w:rFonts w:ascii="Arial" w:eastAsia="Calibri" w:hAnsi="Arial" w:cs="Arial"/>
                <w:sz w:val="16"/>
                <w:szCs w:val="16"/>
                <w:lang w:val="en"/>
              </w:rPr>
              <w:t xml:space="preserve">Request for Extension of Time for Filing a Response to Office Action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2899C1A6" w14:textId="254A8B9E">
            <w:pPr>
              <w:suppressAutoHyphens/>
              <w:jc w:val="right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2,992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2DA6B654" w14:textId="77777777">
            <w:pPr>
              <w:suppressAutoHyphens/>
              <w:jc w:val="right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5176"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6FAD70C1" w14:textId="37DAFC46">
            <w:pPr>
              <w:suppressAutoHyphens/>
              <w:jc w:val="right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</w:p>
        </w:tc>
      </w:tr>
      <w:tr w14:paraId="11CAC3B0" w14:textId="77777777" w:rsidTr="001A1033">
        <w:tblPrEx>
          <w:tblW w:w="3674" w:type="pct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56491F13" w14:textId="77777777">
            <w:pPr>
              <w:suppressAutoHyphens/>
              <w:jc w:val="center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85176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660FA0" w14:paraId="4E39F12C" w14:textId="77777777">
            <w:pPr>
              <w:suppressAutoHyphens/>
              <w:textAlignment w:val="baseline"/>
              <w:rPr>
                <w:rFonts w:ascii="Arial" w:eastAsia="Calibri" w:hAnsi="Arial" w:cs="Arial"/>
                <w:sz w:val="16"/>
                <w:szCs w:val="16"/>
                <w:lang w:val="en"/>
              </w:rPr>
            </w:pPr>
            <w:r w:rsidRPr="00485176">
              <w:rPr>
                <w:rFonts w:ascii="Arial" w:eastAsia="Calibri" w:hAnsi="Arial" w:cs="Arial"/>
                <w:sz w:val="16"/>
                <w:szCs w:val="16"/>
                <w:lang w:val="en"/>
              </w:rPr>
              <w:t>Request for Extension of Time for Filing a Response to Expungement or Reexamination Office Action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53BE89B9" w14:textId="29DA935A">
            <w:pPr>
              <w:suppressAutoHyphens/>
              <w:jc w:val="right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5176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4FB65BF1" w14:textId="77777777">
            <w:pPr>
              <w:suppressAutoHyphens/>
              <w:jc w:val="right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5176"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21F20F4F" w14:textId="52AC4AA6">
            <w:pPr>
              <w:suppressAutoHyphens/>
              <w:jc w:val="right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5176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</w:tr>
      <w:tr w14:paraId="1D2F415C" w14:textId="77777777" w:rsidTr="001A1033">
        <w:tblPrEx>
          <w:tblW w:w="3674" w:type="pct"/>
          <w:tblLayout w:type="fixed"/>
          <w:tblCellMar>
            <w:left w:w="10" w:type="dxa"/>
            <w:right w:w="10" w:type="dxa"/>
          </w:tblCellMar>
          <w:tblLook w:val="04A0"/>
        </w:tblPrEx>
        <w:trPr>
          <w:cantSplit/>
        </w:trPr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767268" w14:paraId="2AC1DF40" w14:textId="77777777">
            <w:pPr>
              <w:suppressAutoHyphens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767268" w14:paraId="6A9E6972" w14:textId="77777777">
            <w:pPr>
              <w:suppressAutoHyphens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6"/>
                <w:szCs w:val="16"/>
                <w:lang w:val="en"/>
              </w:rPr>
            </w:pPr>
            <w:r w:rsidRPr="00485176">
              <w:rPr>
                <w:rFonts w:ascii="Arial" w:eastAsia="Calibri" w:hAnsi="Arial" w:cs="Arial"/>
                <w:b/>
                <w:bCs/>
                <w:sz w:val="16"/>
                <w:szCs w:val="16"/>
                <w:lang w:val="en"/>
              </w:rPr>
              <w:t>Totals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6D0CF175" w14:textId="5DE555EE">
            <w:pPr>
              <w:suppressAutoHyphens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51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517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2497FB42" w14:textId="52F82CC7">
            <w:pPr>
              <w:suppressAutoHyphens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- -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033" w:rsidRPr="00485176" w:rsidP="00485176" w14:paraId="758EE03A" w14:textId="421E7556">
            <w:pPr>
              <w:suppressAutoHyphens/>
              <w:jc w:val="right"/>
              <w:textAlignment w:val="baseline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879</w:t>
            </w:r>
          </w:p>
        </w:tc>
      </w:tr>
    </w:tbl>
    <w:p w:rsidR="00767268" w:rsidP="00767268" w14:paraId="38EB3A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3321669E" w14:textId="669A4CE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non-hourly </w:t>
      </w:r>
      <w:r w:rsidR="00673872">
        <w:rPr>
          <w:rFonts w:ascii="Arial" w:hAnsi="Arial" w:cs="Arial"/>
          <w:sz w:val="24"/>
          <w:szCs w:val="24"/>
        </w:rPr>
        <w:t>cost burden</w:t>
      </w:r>
      <w:r>
        <w:rPr>
          <w:rFonts w:ascii="Arial" w:hAnsi="Arial" w:cs="Arial"/>
          <w:sz w:val="24"/>
          <w:szCs w:val="24"/>
        </w:rPr>
        <w:t xml:space="preserve"> associated with the proposed added IC lines are in the form of filing fees.</w:t>
      </w:r>
    </w:p>
    <w:p w:rsidR="00025385" w:rsidP="00767268" w14:paraId="301F8DE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RPr="00485176" w:rsidP="00767268" w14:paraId="236A8D72" w14:textId="20DBECFE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85176">
        <w:rPr>
          <w:rFonts w:ascii="Arial" w:hAnsi="Arial" w:cs="Arial"/>
          <w:b/>
          <w:bCs/>
          <w:sz w:val="20"/>
          <w:szCs w:val="20"/>
        </w:rPr>
        <w:t>Table 2: Filing Fees</w:t>
      </w:r>
    </w:p>
    <w:tbl>
      <w:tblPr>
        <w:tblStyle w:val="TableGrid"/>
        <w:tblW w:w="5000" w:type="pct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715"/>
        <w:gridCol w:w="1006"/>
        <w:gridCol w:w="3661"/>
        <w:gridCol w:w="1193"/>
        <w:gridCol w:w="1010"/>
        <w:gridCol w:w="1765"/>
      </w:tblGrid>
      <w:tr w14:paraId="3CA9F60B" w14:textId="77777777" w:rsidTr="00485176">
        <w:tblPrEx>
          <w:tblW w:w="5000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382" w:type="pct"/>
            <w:shd w:val="clear" w:color="auto" w:fill="B4C6E7" w:themeFill="accent1" w:themeFillTint="66"/>
          </w:tcPr>
          <w:p w:rsidR="00767268" w:rsidRPr="00446138" w:rsidP="00485176" w14:paraId="49C12448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Item No.</w:t>
            </w:r>
          </w:p>
        </w:tc>
        <w:tc>
          <w:tcPr>
            <w:tcW w:w="538" w:type="pct"/>
            <w:shd w:val="clear" w:color="auto" w:fill="B4C6E7" w:themeFill="accent1" w:themeFillTint="66"/>
          </w:tcPr>
          <w:p w:rsidR="00767268" w:rsidRPr="00446138" w:rsidP="00485176" w14:paraId="1199BE24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Fee Code(s)</w:t>
            </w:r>
          </w:p>
        </w:tc>
        <w:tc>
          <w:tcPr>
            <w:tcW w:w="1958" w:type="pct"/>
            <w:shd w:val="clear" w:color="auto" w:fill="B4C6E7" w:themeFill="accent1" w:themeFillTint="66"/>
          </w:tcPr>
          <w:p w:rsidR="00767268" w:rsidRPr="00446138" w:rsidP="00485176" w14:paraId="522038B4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638" w:type="pct"/>
            <w:shd w:val="clear" w:color="auto" w:fill="B4C6E7" w:themeFill="accent1" w:themeFillTint="66"/>
          </w:tcPr>
          <w:p w:rsidR="00767268" w:rsidRPr="00446138" w:rsidP="00485176" w14:paraId="392C3220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Estimated Annual Responses</w:t>
            </w:r>
          </w:p>
          <w:p w:rsidR="00767268" w:rsidRPr="00446138" w:rsidP="00485176" w14:paraId="6F8BBC34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(a)</w:t>
            </w:r>
          </w:p>
        </w:tc>
        <w:tc>
          <w:tcPr>
            <w:tcW w:w="540" w:type="pct"/>
            <w:shd w:val="clear" w:color="auto" w:fill="B4C6E7" w:themeFill="accent1" w:themeFillTint="66"/>
          </w:tcPr>
          <w:p w:rsidR="00767268" w:rsidRPr="00446138" w:rsidP="00485176" w14:paraId="5EC01B23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Filing fee ($)</w:t>
            </w:r>
          </w:p>
          <w:p w:rsidR="00767268" w:rsidRPr="00446138" w:rsidP="00485176" w14:paraId="0ADDFE7C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767268" w:rsidRPr="00446138" w:rsidP="00485176" w14:paraId="01789CB0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(b)</w:t>
            </w:r>
          </w:p>
        </w:tc>
        <w:tc>
          <w:tcPr>
            <w:tcW w:w="944" w:type="pct"/>
            <w:shd w:val="clear" w:color="auto" w:fill="B4C6E7" w:themeFill="accent1" w:themeFillTint="66"/>
          </w:tcPr>
          <w:p w:rsidR="00767268" w:rsidRPr="00446138" w:rsidP="00485176" w14:paraId="0B1FC3EA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 non-hour cost burden (yr)</w:t>
            </w:r>
          </w:p>
          <w:p w:rsidR="00767268" w:rsidRPr="00446138" w:rsidP="00485176" w14:paraId="5CAB8F6B" w14:textId="7777777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(a) x </w:t>
            </w: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(b) = (c)</w:t>
            </w:r>
          </w:p>
        </w:tc>
      </w:tr>
      <w:tr w14:paraId="404837BB" w14:textId="77777777" w:rsidTr="00485176">
        <w:tblPrEx>
          <w:tblW w:w="5000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c>
          <w:tcPr>
            <w:tcW w:w="382" w:type="pct"/>
            <w:vAlign w:val="center"/>
          </w:tcPr>
          <w:p w:rsidR="00767268" w:rsidRPr="00446138" w:rsidP="00485176" w14:paraId="5F50D105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8" w:type="pct"/>
            <w:vAlign w:val="center"/>
          </w:tcPr>
          <w:p w:rsidR="00767268" w:rsidRPr="00446138" w:rsidP="00485176" w14:paraId="3A6FA288" w14:textId="60B50C82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Cs/>
                <w:sz w:val="16"/>
                <w:szCs w:val="16"/>
              </w:rPr>
              <w:t>6014</w:t>
            </w:r>
          </w:p>
        </w:tc>
        <w:tc>
          <w:tcPr>
            <w:tcW w:w="1958" w:type="pct"/>
            <w:vAlign w:val="center"/>
          </w:tcPr>
          <w:p w:rsidR="00767268" w:rsidRPr="00446138" w:rsidP="00660FA0" w14:paraId="67BAFC97" w14:textId="77777777">
            <w:pPr>
              <w:widowControl/>
              <w:autoSpaceDE/>
              <w:autoSpaceDN/>
              <w:adjustRightInd/>
              <w:spacing w:after="120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eastAsia="Calibri" w:hAnsi="Arial" w:cs="Arial"/>
                <w:sz w:val="16"/>
                <w:szCs w:val="16"/>
                <w:lang w:val="en"/>
              </w:rPr>
              <w:t>Request for Extension of Time for Filing a Response to Office Action (paper)</w:t>
            </w:r>
          </w:p>
        </w:tc>
        <w:tc>
          <w:tcPr>
            <w:tcW w:w="638" w:type="pct"/>
            <w:vAlign w:val="center"/>
          </w:tcPr>
          <w:p w:rsidR="00767268" w:rsidRPr="00446138" w:rsidP="00485176" w14:paraId="0B792E1C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40" w:type="pct"/>
            <w:vAlign w:val="center"/>
          </w:tcPr>
          <w:p w:rsidR="00767268" w:rsidRPr="00446138" w:rsidP="00485176" w14:paraId="42EAA850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$225</w:t>
            </w:r>
          </w:p>
        </w:tc>
        <w:tc>
          <w:tcPr>
            <w:tcW w:w="944" w:type="pct"/>
            <w:vAlign w:val="center"/>
          </w:tcPr>
          <w:p w:rsidR="00767268" w:rsidRPr="00446138" w:rsidP="00485176" w14:paraId="3F47CB1F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$13,725</w:t>
            </w:r>
          </w:p>
        </w:tc>
      </w:tr>
      <w:tr w14:paraId="35D2E113" w14:textId="77777777" w:rsidTr="00485176">
        <w:tblPrEx>
          <w:tblW w:w="5000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c>
          <w:tcPr>
            <w:tcW w:w="382" w:type="pct"/>
            <w:vAlign w:val="center"/>
          </w:tcPr>
          <w:p w:rsidR="00767268" w:rsidRPr="00446138" w:rsidP="00485176" w14:paraId="2D8EE81C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8" w:type="pct"/>
            <w:vAlign w:val="center"/>
          </w:tcPr>
          <w:p w:rsidR="00767268" w:rsidRPr="00446138" w:rsidP="00485176" w14:paraId="5E6B5894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Cs/>
                <w:sz w:val="16"/>
                <w:szCs w:val="16"/>
              </w:rPr>
              <w:t>7014</w:t>
            </w:r>
          </w:p>
        </w:tc>
        <w:tc>
          <w:tcPr>
            <w:tcW w:w="1958" w:type="pct"/>
            <w:vAlign w:val="center"/>
          </w:tcPr>
          <w:p w:rsidR="00767268" w:rsidRPr="00446138" w:rsidP="00660FA0" w14:paraId="573220DF" w14:textId="77777777">
            <w:pPr>
              <w:widowControl/>
              <w:autoSpaceDE/>
              <w:autoSpaceDN/>
              <w:adjustRightInd/>
              <w:spacing w:after="120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eastAsia="Calibri" w:hAnsi="Arial" w:cs="Arial"/>
                <w:sz w:val="16"/>
                <w:szCs w:val="16"/>
                <w:lang w:val="en"/>
              </w:rPr>
              <w:t>Request for Extension of Time for Filing a Response to Office Action (TEAS)</w:t>
            </w:r>
          </w:p>
        </w:tc>
        <w:tc>
          <w:tcPr>
            <w:tcW w:w="638" w:type="pct"/>
            <w:vAlign w:val="center"/>
          </w:tcPr>
          <w:p w:rsidR="00767268" w:rsidRPr="00446138" w:rsidP="00485176" w14:paraId="3923F58F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2,970</w:t>
            </w:r>
          </w:p>
        </w:tc>
        <w:tc>
          <w:tcPr>
            <w:tcW w:w="540" w:type="pct"/>
            <w:vAlign w:val="center"/>
          </w:tcPr>
          <w:p w:rsidR="00767268" w:rsidRPr="00446138" w:rsidP="00485176" w14:paraId="33905407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$125</w:t>
            </w:r>
          </w:p>
        </w:tc>
        <w:tc>
          <w:tcPr>
            <w:tcW w:w="944" w:type="pct"/>
            <w:vAlign w:val="center"/>
          </w:tcPr>
          <w:p w:rsidR="00767268" w:rsidRPr="00446138" w:rsidP="00485176" w14:paraId="42F46BA8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$371,250</w:t>
            </w:r>
          </w:p>
        </w:tc>
      </w:tr>
      <w:tr w14:paraId="426275FD" w14:textId="77777777" w:rsidTr="00485176">
        <w:tblPrEx>
          <w:tblW w:w="5000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c>
          <w:tcPr>
            <w:tcW w:w="382" w:type="pct"/>
            <w:vAlign w:val="center"/>
          </w:tcPr>
          <w:p w:rsidR="00767268" w:rsidRPr="00446138" w:rsidP="00485176" w14:paraId="761175F5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8" w:type="pct"/>
            <w:vAlign w:val="center"/>
          </w:tcPr>
          <w:p w:rsidR="00767268" w:rsidRPr="00446138" w:rsidP="00485176" w14:paraId="16E732F7" w14:textId="77777777">
            <w:pPr>
              <w:widowControl/>
              <w:autoSpaceDE/>
              <w:autoSpaceDN/>
              <w:adjustRightInd/>
              <w:spacing w:after="120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Cs/>
                <w:sz w:val="16"/>
                <w:szCs w:val="16"/>
              </w:rPr>
              <w:t>7014</w:t>
            </w:r>
          </w:p>
        </w:tc>
        <w:tc>
          <w:tcPr>
            <w:tcW w:w="1958" w:type="pct"/>
            <w:vAlign w:val="center"/>
          </w:tcPr>
          <w:p w:rsidR="00767268" w:rsidRPr="00446138" w:rsidP="00660FA0" w14:paraId="3E9AE40E" w14:textId="77777777">
            <w:pPr>
              <w:widowControl/>
              <w:autoSpaceDE/>
              <w:autoSpaceDN/>
              <w:adjustRightInd/>
              <w:spacing w:after="120"/>
              <w:contextualSpacing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eastAsia="Calibri" w:hAnsi="Arial" w:cs="Arial"/>
                <w:sz w:val="16"/>
                <w:szCs w:val="16"/>
                <w:lang w:val="en"/>
              </w:rPr>
              <w:t xml:space="preserve">Request for Extension of Time for Filing a Response to Expungement or Reexamination Office Action </w:t>
            </w:r>
          </w:p>
        </w:tc>
        <w:tc>
          <w:tcPr>
            <w:tcW w:w="638" w:type="pct"/>
            <w:vAlign w:val="center"/>
          </w:tcPr>
          <w:p w:rsidR="00767268" w:rsidRPr="00446138" w:rsidP="00485176" w14:paraId="572BBB03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540" w:type="pct"/>
            <w:vAlign w:val="center"/>
          </w:tcPr>
          <w:p w:rsidR="00767268" w:rsidRPr="00446138" w:rsidP="00485176" w14:paraId="43B23855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$125</w:t>
            </w:r>
          </w:p>
        </w:tc>
        <w:tc>
          <w:tcPr>
            <w:tcW w:w="944" w:type="pct"/>
            <w:vAlign w:val="center"/>
          </w:tcPr>
          <w:p w:rsidR="00767268" w:rsidRPr="00446138" w:rsidP="00485176" w14:paraId="2727F158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485176">
              <w:rPr>
                <w:rFonts w:ascii="Arial" w:hAnsi="Arial" w:cs="Arial"/>
                <w:sz w:val="16"/>
                <w:szCs w:val="16"/>
              </w:rPr>
              <w:t>$65,625</w:t>
            </w:r>
          </w:p>
        </w:tc>
      </w:tr>
      <w:tr w14:paraId="5A3E9111" w14:textId="77777777" w:rsidTr="00485176">
        <w:tblPrEx>
          <w:tblW w:w="5000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c>
          <w:tcPr>
            <w:tcW w:w="382" w:type="pct"/>
            <w:vAlign w:val="center"/>
          </w:tcPr>
          <w:p w:rsidR="00767268" w:rsidRPr="00446138" w:rsidP="00767268" w14:paraId="56554D84" w14:textId="77777777">
            <w:pPr>
              <w:widowControl/>
              <w:autoSpaceDE/>
              <w:autoSpaceDN/>
              <w:adjustRightInd/>
              <w:spacing w:after="120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538" w:type="pct"/>
          </w:tcPr>
          <w:p w:rsidR="00767268" w:rsidRPr="00446138" w:rsidP="00767268" w14:paraId="218B9C4B" w14:textId="77777777">
            <w:pPr>
              <w:widowControl/>
              <w:autoSpaceDE/>
              <w:autoSpaceDN/>
              <w:adjustRightInd/>
              <w:spacing w:after="120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1958" w:type="pct"/>
            <w:vAlign w:val="center"/>
          </w:tcPr>
          <w:p w:rsidR="00767268" w:rsidRPr="00446138" w:rsidP="00767268" w14:paraId="03F7ACD6" w14:textId="77777777">
            <w:pPr>
              <w:widowControl/>
              <w:autoSpaceDE/>
              <w:autoSpaceDN/>
              <w:adjustRightInd/>
              <w:spacing w:after="120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sz w:val="16"/>
                <w:szCs w:val="16"/>
              </w:rPr>
              <w:t>Totals</w:t>
            </w:r>
          </w:p>
        </w:tc>
        <w:tc>
          <w:tcPr>
            <w:tcW w:w="638" w:type="pct"/>
            <w:vAlign w:val="center"/>
          </w:tcPr>
          <w:p w:rsidR="00767268" w:rsidRPr="00446138" w:rsidP="00485176" w14:paraId="4FAE3B13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3,556</w:t>
            </w:r>
          </w:p>
        </w:tc>
        <w:tc>
          <w:tcPr>
            <w:tcW w:w="540" w:type="pct"/>
            <w:vAlign w:val="center"/>
          </w:tcPr>
          <w:p w:rsidR="00767268" w:rsidRPr="00446138" w:rsidP="00485176" w14:paraId="6A1D1D9E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- - -</w:t>
            </w:r>
          </w:p>
        </w:tc>
        <w:tc>
          <w:tcPr>
            <w:tcW w:w="944" w:type="pct"/>
            <w:vAlign w:val="center"/>
          </w:tcPr>
          <w:p w:rsidR="00767268" w:rsidRPr="00446138" w:rsidP="00485176" w14:paraId="7A062ECE" w14:textId="77777777">
            <w:pPr>
              <w:widowControl/>
              <w:autoSpaceDE/>
              <w:autoSpaceDN/>
              <w:adjustRightInd/>
              <w:spacing w:after="120"/>
              <w:contextualSpacing/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4613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$450,600</w:t>
            </w:r>
          </w:p>
        </w:tc>
      </w:tr>
    </w:tbl>
    <w:p w:rsidR="00767268" w:rsidP="00767268" w14:paraId="2D50194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RPr="004A3058" w:rsidP="00767268" w14:paraId="74E7C742" w14:textId="77777777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Changes in Burden</w:t>
      </w:r>
    </w:p>
    <w:p w:rsidR="00767268" w:rsidP="00767268" w14:paraId="202B0382" w14:textId="429516A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6C934681" w14:textId="38DC354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addition of one form and two IC lines will result in the following burden </w:t>
      </w:r>
      <w:r>
        <w:rPr>
          <w:rFonts w:ascii="Arial" w:hAnsi="Arial" w:cs="Arial"/>
          <w:sz w:val="24"/>
          <w:szCs w:val="24"/>
        </w:rPr>
        <w:t>changes for this information collection:</w:t>
      </w:r>
    </w:p>
    <w:p w:rsidR="00025385" w:rsidP="00767268" w14:paraId="359EB2F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RPr="00485176" w:rsidP="00767268" w14:paraId="72F597B2" w14:textId="1D9FBE4F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85176">
        <w:rPr>
          <w:rFonts w:ascii="Arial" w:hAnsi="Arial" w:cs="Arial"/>
          <w:b/>
          <w:bCs/>
          <w:sz w:val="20"/>
          <w:szCs w:val="20"/>
        </w:rPr>
        <w:t>Table 3: Changes in Burden</w:t>
      </w:r>
    </w:p>
    <w:tbl>
      <w:tblPr>
        <w:tblStyle w:val="TableGrid"/>
        <w:tblW w:w="0" w:type="auto"/>
        <w:tblLook w:val="04A0"/>
      </w:tblPr>
      <w:tblGrid>
        <w:gridCol w:w="2065"/>
        <w:gridCol w:w="2250"/>
        <w:gridCol w:w="2430"/>
        <w:gridCol w:w="2605"/>
      </w:tblGrid>
      <w:tr w14:paraId="560F8EC6" w14:textId="77777777" w:rsidTr="00485176">
        <w:tblPrEx>
          <w:tblW w:w="0" w:type="auto"/>
          <w:tblLook w:val="04A0"/>
        </w:tblPrEx>
        <w:tc>
          <w:tcPr>
            <w:tcW w:w="2065" w:type="dxa"/>
            <w:shd w:val="clear" w:color="auto" w:fill="B4C6E7" w:themeFill="accent1" w:themeFillTint="66"/>
          </w:tcPr>
          <w:p w:rsidR="00767268" w:rsidRPr="00446138" w:rsidP="00E328E7" w14:paraId="19C4FA5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138">
              <w:rPr>
                <w:rFonts w:ascii="Arial" w:hAnsi="Arial" w:cs="Arial"/>
                <w:b/>
                <w:sz w:val="20"/>
                <w:szCs w:val="20"/>
              </w:rPr>
              <w:t>Burden Type</w:t>
            </w:r>
          </w:p>
        </w:tc>
        <w:tc>
          <w:tcPr>
            <w:tcW w:w="2250" w:type="dxa"/>
            <w:shd w:val="clear" w:color="auto" w:fill="B4C6E7" w:themeFill="accent1" w:themeFillTint="66"/>
          </w:tcPr>
          <w:p w:rsidR="00767268" w:rsidRPr="00446138" w:rsidP="00E328E7" w14:paraId="34C494D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138">
              <w:rPr>
                <w:rFonts w:ascii="Arial" w:hAnsi="Arial" w:cs="Arial"/>
                <w:b/>
                <w:sz w:val="20"/>
                <w:szCs w:val="20"/>
              </w:rPr>
              <w:t>Currently approved</w:t>
            </w:r>
          </w:p>
        </w:tc>
        <w:tc>
          <w:tcPr>
            <w:tcW w:w="2430" w:type="dxa"/>
            <w:shd w:val="clear" w:color="auto" w:fill="B4C6E7" w:themeFill="accent1" w:themeFillTint="66"/>
          </w:tcPr>
          <w:p w:rsidR="00767268" w:rsidRPr="00446138" w:rsidP="00E328E7" w14:paraId="748F4057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138">
              <w:rPr>
                <w:rFonts w:ascii="Arial" w:hAnsi="Arial" w:cs="Arial"/>
                <w:b/>
                <w:sz w:val="20"/>
                <w:szCs w:val="20"/>
              </w:rPr>
              <w:t>Proposed changes</w:t>
            </w:r>
          </w:p>
        </w:tc>
        <w:tc>
          <w:tcPr>
            <w:tcW w:w="2605" w:type="dxa"/>
            <w:shd w:val="clear" w:color="auto" w:fill="B4C6E7" w:themeFill="accent1" w:themeFillTint="66"/>
          </w:tcPr>
          <w:p w:rsidR="00767268" w:rsidRPr="00446138" w:rsidP="00E328E7" w14:paraId="36A43EF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138">
              <w:rPr>
                <w:rFonts w:ascii="Arial" w:hAnsi="Arial" w:cs="Arial"/>
                <w:b/>
                <w:sz w:val="20"/>
                <w:szCs w:val="20"/>
              </w:rPr>
              <w:t>New estimates</w:t>
            </w:r>
          </w:p>
        </w:tc>
      </w:tr>
      <w:tr w14:paraId="246D1CE1" w14:textId="77777777" w:rsidTr="00485176">
        <w:tblPrEx>
          <w:tblW w:w="0" w:type="auto"/>
          <w:tblLook w:val="04A0"/>
        </w:tblPrEx>
        <w:tc>
          <w:tcPr>
            <w:tcW w:w="2065" w:type="dxa"/>
          </w:tcPr>
          <w:p w:rsidR="00767268" w:rsidRPr="00446138" w:rsidP="00767268" w14:paraId="2DE518F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Responses</w:t>
            </w:r>
          </w:p>
        </w:tc>
        <w:tc>
          <w:tcPr>
            <w:tcW w:w="2250" w:type="dxa"/>
          </w:tcPr>
          <w:p w:rsidR="00767268" w:rsidRPr="00446138" w:rsidP="00767268" w14:paraId="48FCCB06" w14:textId="214CF6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518,6</w:t>
            </w:r>
            <w:r w:rsidRPr="00446138" w:rsidR="007E3C9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30" w:type="dxa"/>
          </w:tcPr>
          <w:p w:rsidR="00767268" w:rsidRPr="00446138" w:rsidP="00767268" w14:paraId="25057D99" w14:textId="6D7BF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3,</w:t>
            </w:r>
            <w:r w:rsidRPr="00446138" w:rsidR="00446138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2605" w:type="dxa"/>
          </w:tcPr>
          <w:p w:rsidR="00767268" w:rsidRPr="00446138" w:rsidP="00767268" w14:paraId="5EB016F2" w14:textId="090DA4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85">
              <w:rPr>
                <w:rFonts w:ascii="Arial" w:hAnsi="Arial" w:cs="Arial"/>
                <w:sz w:val="20"/>
                <w:szCs w:val="20"/>
              </w:rPr>
              <w:t>522,160</w:t>
            </w:r>
          </w:p>
        </w:tc>
      </w:tr>
      <w:tr w14:paraId="52EF2E26" w14:textId="77777777" w:rsidTr="00485176">
        <w:tblPrEx>
          <w:tblW w:w="0" w:type="auto"/>
          <w:tblLook w:val="04A0"/>
        </w:tblPrEx>
        <w:tc>
          <w:tcPr>
            <w:tcW w:w="2065" w:type="dxa"/>
          </w:tcPr>
          <w:p w:rsidR="00767268" w:rsidRPr="00446138" w:rsidP="00767268" w14:paraId="08F9AAD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2250" w:type="dxa"/>
          </w:tcPr>
          <w:p w:rsidR="00767268" w:rsidRPr="00446138" w:rsidP="00767268" w14:paraId="6D1C08C4" w14:textId="5B640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420,113</w:t>
            </w:r>
          </w:p>
        </w:tc>
        <w:tc>
          <w:tcPr>
            <w:tcW w:w="2430" w:type="dxa"/>
          </w:tcPr>
          <w:p w:rsidR="00767268" w:rsidRPr="00446138" w:rsidP="00767268" w14:paraId="67894169" w14:textId="489F9D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8</w:t>
            </w:r>
            <w:r w:rsidR="009D6230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605" w:type="dxa"/>
          </w:tcPr>
          <w:p w:rsidR="00767268" w:rsidRPr="00446138" w:rsidP="00767268" w14:paraId="179F3CE0" w14:textId="6B77C9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85">
              <w:rPr>
                <w:rFonts w:ascii="Arial" w:hAnsi="Arial" w:cs="Arial"/>
                <w:sz w:val="20"/>
                <w:szCs w:val="20"/>
              </w:rPr>
              <w:t>420,99</w:t>
            </w:r>
            <w:r w:rsidR="009D62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14:paraId="3684141D" w14:textId="77777777" w:rsidTr="00485176">
        <w:tblPrEx>
          <w:tblW w:w="0" w:type="auto"/>
          <w:tblLook w:val="04A0"/>
        </w:tblPrEx>
        <w:tc>
          <w:tcPr>
            <w:tcW w:w="2065" w:type="dxa"/>
          </w:tcPr>
          <w:p w:rsidR="00767268" w:rsidRPr="00446138" w:rsidP="00E328E7" w14:paraId="69B0F238" w14:textId="046227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Non-hourly costs</w:t>
            </w:r>
            <w:r w:rsidRPr="00446138" w:rsidR="00C24E60">
              <w:rPr>
                <w:rFonts w:ascii="Arial" w:hAnsi="Arial" w:cs="Arial"/>
                <w:sz w:val="20"/>
                <w:szCs w:val="20"/>
              </w:rPr>
              <w:t xml:space="preserve"> ($)</w:t>
            </w:r>
          </w:p>
        </w:tc>
        <w:tc>
          <w:tcPr>
            <w:tcW w:w="2250" w:type="dxa"/>
          </w:tcPr>
          <w:p w:rsidR="00767268" w:rsidRPr="00446138" w:rsidP="00E328E7" w14:paraId="4449488D" w14:textId="4EBDA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699,101</w:t>
            </w:r>
          </w:p>
        </w:tc>
        <w:tc>
          <w:tcPr>
            <w:tcW w:w="2430" w:type="dxa"/>
          </w:tcPr>
          <w:p w:rsidR="00767268" w:rsidRPr="00446138" w:rsidP="00E328E7" w14:paraId="4A712CE1" w14:textId="2E58A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450,600</w:t>
            </w:r>
          </w:p>
        </w:tc>
        <w:tc>
          <w:tcPr>
            <w:tcW w:w="2605" w:type="dxa"/>
          </w:tcPr>
          <w:p w:rsidR="00767268" w:rsidRPr="00446138" w:rsidP="00E328E7" w14:paraId="72D37D8A" w14:textId="234A2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138">
              <w:rPr>
                <w:rFonts w:ascii="Arial" w:hAnsi="Arial" w:cs="Arial"/>
                <w:sz w:val="20"/>
                <w:szCs w:val="20"/>
              </w:rPr>
              <w:t>1,149,701</w:t>
            </w:r>
          </w:p>
        </w:tc>
      </w:tr>
    </w:tbl>
    <w:p w:rsidR="00767268" w:rsidP="00767268" w14:paraId="186E2166" w14:textId="5C98E62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767268" w14:paraId="70C223C2" w14:textId="41D908C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Therefore, the revised burden for 0651-0050 is as follows:</w:t>
      </w:r>
    </w:p>
    <w:p w:rsidR="00767268" w:rsidP="00767268" w14:paraId="6D47D9E7" w14:textId="787F6C6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7268" w:rsidP="008E51E6" w14:paraId="4B6D89A6" w14:textId="3E32D70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5385">
        <w:rPr>
          <w:rFonts w:ascii="Arial" w:hAnsi="Arial" w:cs="Arial"/>
          <w:sz w:val="24"/>
          <w:szCs w:val="24"/>
        </w:rPr>
        <w:t>522,160</w:t>
      </w:r>
      <w:r>
        <w:rPr>
          <w:rFonts w:ascii="Arial" w:hAnsi="Arial" w:cs="Arial"/>
          <w:sz w:val="24"/>
          <w:szCs w:val="24"/>
        </w:rPr>
        <w:t xml:space="preserve"> </w:t>
      </w:r>
      <w:r w:rsidR="008E51E6">
        <w:rPr>
          <w:rFonts w:ascii="Arial" w:hAnsi="Arial" w:cs="Arial"/>
          <w:sz w:val="24"/>
          <w:szCs w:val="24"/>
        </w:rPr>
        <w:t>respondents</w:t>
      </w:r>
    </w:p>
    <w:p w:rsidR="008E51E6" w:rsidP="008E51E6" w14:paraId="7AD8F6D0" w14:textId="3F709A89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25385">
        <w:rPr>
          <w:rFonts w:ascii="Arial" w:hAnsi="Arial" w:cs="Arial"/>
          <w:sz w:val="24"/>
          <w:szCs w:val="24"/>
        </w:rPr>
        <w:t>420,99</w:t>
      </w:r>
      <w:r w:rsidR="009D623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burden hours</w:t>
      </w:r>
    </w:p>
    <w:p w:rsidR="008E51E6" w:rsidRPr="00767268" w:rsidP="008E51E6" w14:paraId="5897426B" w14:textId="6C4D8E3A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$1,149,701 in non-hourly burden costs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BF4258"/>
    <w:multiLevelType w:val="hybridMultilevel"/>
    <w:tmpl w:val="DB805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66B6B"/>
    <w:multiLevelType w:val="hybridMultilevel"/>
    <w:tmpl w:val="765C16E2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F3"/>
    <w:rsid w:val="00025385"/>
    <w:rsid w:val="000828CD"/>
    <w:rsid w:val="001A1033"/>
    <w:rsid w:val="001C2D59"/>
    <w:rsid w:val="00282E13"/>
    <w:rsid w:val="00446138"/>
    <w:rsid w:val="00460ABD"/>
    <w:rsid w:val="00485176"/>
    <w:rsid w:val="004A3058"/>
    <w:rsid w:val="00530DBF"/>
    <w:rsid w:val="005B54FD"/>
    <w:rsid w:val="00660FA0"/>
    <w:rsid w:val="00673872"/>
    <w:rsid w:val="00767268"/>
    <w:rsid w:val="007E3C9D"/>
    <w:rsid w:val="00821983"/>
    <w:rsid w:val="008C44B7"/>
    <w:rsid w:val="008E51E6"/>
    <w:rsid w:val="009562E2"/>
    <w:rsid w:val="00995C27"/>
    <w:rsid w:val="00997918"/>
    <w:rsid w:val="009D6230"/>
    <w:rsid w:val="00A83057"/>
    <w:rsid w:val="00AB166A"/>
    <w:rsid w:val="00AD1748"/>
    <w:rsid w:val="00B61206"/>
    <w:rsid w:val="00B96619"/>
    <w:rsid w:val="00C24E60"/>
    <w:rsid w:val="00C873EC"/>
    <w:rsid w:val="00D81BB9"/>
    <w:rsid w:val="00E2524F"/>
    <w:rsid w:val="00E31E4F"/>
    <w:rsid w:val="00E328E7"/>
    <w:rsid w:val="00E4179E"/>
    <w:rsid w:val="00E74FF3"/>
    <w:rsid w:val="00EC0F80"/>
    <w:rsid w:val="00EE5601"/>
    <w:rsid w:val="00EF4A96"/>
    <w:rsid w:val="00FB0C66"/>
    <w:rsid w:val="00FF75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1FD41"/>
  <w15:chartTrackingRefBased/>
  <w15:docId w15:val="{2C062935-20F8-440D-B5A2-98FC3D18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FF3"/>
    <w:pPr>
      <w:spacing w:after="0" w:line="240" w:lineRule="auto"/>
    </w:pPr>
  </w:style>
  <w:style w:type="table" w:styleId="TableGrid">
    <w:name w:val="Table Grid"/>
    <w:basedOn w:val="TableNormal"/>
    <w:uiPriority w:val="39"/>
    <w:rsid w:val="0076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7268"/>
    <w:pPr>
      <w:widowControl/>
      <w:autoSpaceDE/>
      <w:autoSpaceDN/>
      <w:adjustRightInd/>
    </w:pPr>
    <w:rPr>
      <w:rFonts w:ascii="Arial" w:hAnsi="Arial" w:cs="Arial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7268"/>
    <w:rPr>
      <w:rFonts w:ascii="Arial" w:eastAsia="Times New Roman" w:hAnsi="Arial" w:cs="Arial"/>
      <w:bCs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67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726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767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2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2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</dc:creator>
  <cp:lastModifiedBy>Isaac, Justin</cp:lastModifiedBy>
  <cp:revision>2</cp:revision>
  <dcterms:created xsi:type="dcterms:W3CDTF">2024-09-18T19:37:00Z</dcterms:created>
  <dcterms:modified xsi:type="dcterms:W3CDTF">2024-09-18T19:37:00Z</dcterms:modified>
</cp:coreProperties>
</file>