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14:paraId="2BAED60E" w14:textId="3A8B793B">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Request for Approval under the </w:t>
      </w:r>
      <w:r w:rsidR="00651B94">
        <w:rPr>
          <w:rFonts w:ascii="Times New Roman" w:eastAsia="Times New Roman" w:hAnsi="Times New Roman" w:cs="Times New Roman"/>
          <w:b/>
          <w:color w:val="000000"/>
          <w:sz w:val="28"/>
          <w:szCs w:val="28"/>
        </w:rPr>
        <w:t>“</w:t>
      </w:r>
      <w:r w:rsidR="00246566">
        <w:rPr>
          <w:rFonts w:ascii="Times New Roman" w:eastAsia="Times New Roman" w:hAnsi="Times New Roman" w:cs="Times New Roman"/>
          <w:b/>
          <w:color w:val="000000"/>
          <w:sz w:val="28"/>
          <w:szCs w:val="28"/>
        </w:rPr>
        <w:t>Voluntary Partner Surveys to Implement Executive Order 12862/Questionnaire and Data Collection Testing, Evaluation, and Research for the Health Resources and Services Administration</w:t>
      </w:r>
      <w:r w:rsidR="00651B94">
        <w:rPr>
          <w:rFonts w:ascii="Times New Roman" w:eastAsia="Times New Roman" w:hAnsi="Times New Roman" w:cs="Times New Roman"/>
          <w:b/>
          <w:color w:val="000000"/>
          <w:sz w:val="28"/>
          <w:szCs w:val="28"/>
        </w:rPr>
        <w:t xml:space="preserve">” (OMB Control Number: </w:t>
      </w:r>
      <w:r w:rsidR="00246566">
        <w:rPr>
          <w:rFonts w:ascii="Times New Roman" w:eastAsia="Times New Roman" w:hAnsi="Times New Roman" w:cs="Times New Roman"/>
          <w:b/>
          <w:color w:val="000000"/>
          <w:sz w:val="28"/>
          <w:szCs w:val="28"/>
        </w:rPr>
        <w:t>0915-0</w:t>
      </w:r>
      <w:r w:rsidR="00C40D05">
        <w:rPr>
          <w:rFonts w:ascii="Times New Roman" w:eastAsia="Times New Roman" w:hAnsi="Times New Roman" w:cs="Times New Roman"/>
          <w:b/>
          <w:color w:val="000000"/>
          <w:sz w:val="28"/>
          <w:szCs w:val="28"/>
        </w:rPr>
        <w:t>084</w:t>
      </w:r>
      <w:r w:rsidR="00246566">
        <w:rPr>
          <w:rFonts w:ascii="Times New Roman" w:eastAsia="Times New Roman" w:hAnsi="Times New Roman" w:cs="Times New Roman"/>
          <w:b/>
          <w:color w:val="000000"/>
          <w:sz w:val="28"/>
          <w:szCs w:val="28"/>
        </w:rPr>
        <w:t>/0915-0379</w:t>
      </w:r>
      <w:r w:rsidR="00651B94">
        <w:rPr>
          <w:rFonts w:ascii="Times New Roman" w:eastAsia="Times New Roman" w:hAnsi="Times New Roman" w:cs="Times New Roman"/>
          <w:b/>
          <w:color w:val="000000"/>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14:paraId="069EB60E" w14:textId="504CA50A">
      <w:pPr>
        <w:widowControl/>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009E7925">
        <w:rPr>
          <w:rFonts w:ascii="Times New Roman" w:eastAsia="Times New Roman" w:hAnsi="Times New Roman" w:cs="Times New Roman"/>
          <w:color w:val="000000" w:themeColor="text1"/>
        </w:rPr>
        <w:t>BPHC Customer Service Survey</w:t>
      </w:r>
    </w:p>
    <w:p w:rsidR="00246566" w14:paraId="4AAB8926" w14:textId="77777777">
      <w:pPr>
        <w:widowControl/>
        <w:spacing w:line="240" w:lineRule="auto"/>
        <w:rPr>
          <w:rFonts w:ascii="Times New Roman" w:eastAsia="Times New Roman" w:hAnsi="Times New Roman" w:cs="Times New Roman"/>
          <w:color w:val="000000" w:themeColor="text1"/>
        </w:rPr>
      </w:pPr>
    </w:p>
    <w:p w:rsidR="0032537D" w14:paraId="2BAED611" w14:textId="13C0D50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r w:rsidRPr="006D3AAF" w:rsidR="006D3AAF">
        <w:rPr>
          <w:rFonts w:ascii="Times New Roman" w:eastAsia="Times New Roman" w:hAnsi="Times New Roman" w:cs="Times New Roman"/>
          <w:color w:val="000000"/>
        </w:rPr>
        <w:t>The purpose of the BPHC Customer Feedback Survey is to solicit the level of satisfaction with the quality of customer service provided by BPHC. The information obtained from the BPHC Customer Feedback Survey will be used to measure customer service performance and identify areas for improvement.</w:t>
      </w:r>
    </w:p>
    <w:p w:rsidR="0032537D" w14:paraId="2BAED612" w14:textId="77777777">
      <w:pPr>
        <w:spacing w:line="240" w:lineRule="auto"/>
        <w:rPr>
          <w:rFonts w:ascii="Times New Roman" w:eastAsia="Times New Roman" w:hAnsi="Times New Roman" w:cs="Times New Roman"/>
          <w:color w:val="000000"/>
        </w:rPr>
      </w:pPr>
    </w:p>
    <w:p w:rsidR="0032537D" w14:paraId="2BAED613" w14:textId="1EB8FE37">
      <w:pPr>
        <w:spacing w:line="240" w:lineRule="auto"/>
        <w:rPr>
          <w:rFonts w:ascii="Times New Roman" w:eastAsia="Times New Roman" w:hAnsi="Times New Roman" w:cs="Times New Roman"/>
          <w:color w:val="000000"/>
        </w:rPr>
      </w:pPr>
      <w:r w:rsidRPr="1275F102">
        <w:rPr>
          <w:rFonts w:ascii="Times New Roman" w:eastAsia="Times New Roman" w:hAnsi="Times New Roman" w:cs="Times New Roman"/>
          <w:b/>
          <w:bCs/>
          <w:color w:val="000000" w:themeColor="text1"/>
        </w:rPr>
        <w:t>DESCRIPTION OF RESPONDENTS</w:t>
      </w:r>
      <w:r w:rsidRPr="1275F102">
        <w:rPr>
          <w:rFonts w:ascii="Times New Roman" w:eastAsia="Times New Roman" w:hAnsi="Times New Roman" w:cs="Times New Roman"/>
          <w:color w:val="000000" w:themeColor="text1"/>
        </w:rPr>
        <w:t xml:space="preserve">: </w:t>
      </w:r>
      <w:r w:rsidRPr="00220A0C" w:rsidR="00220A0C">
        <w:rPr>
          <w:rFonts w:ascii="Times New Roman" w:eastAsia="Times New Roman" w:hAnsi="Times New Roman" w:cs="Times New Roman"/>
          <w:color w:val="000000" w:themeColor="text1"/>
        </w:rPr>
        <w:t>All individuals that have an inquiry marked closed or resolved in Salesforce will have the opportunity to provide feedback on how well BPHC staff have responded to their inquiry.</w:t>
      </w:r>
    </w:p>
    <w:p w:rsidR="0032537D" w14:paraId="2BAED614"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14:paraId="2BAED617" w14:textId="733F8601">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w:t>
      </w:r>
      <w:r w:rsidR="00473DE7">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Customer Satisfaction Survey    </w:t>
      </w:r>
    </w:p>
    <w:p w:rsidR="0032537D" w14:paraId="2BAED618" w14:textId="36127EA1">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F0A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Usability Testing (e.g., Website or Software)</w:t>
      </w:r>
      <w:r>
        <w:rPr>
          <w:rFonts w:ascii="Times New Roman" w:eastAsia="Times New Roman" w:hAnsi="Times New Roman" w:cs="Times New Roman"/>
          <w:color w:val="000000"/>
        </w:rPr>
        <w:tab/>
        <w:t>[ ] Small Discussion Group</w:t>
      </w:r>
    </w:p>
    <w:p w:rsidR="0032537D" w14:paraId="2BAED619"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14:paraId="2BAED61F"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low-burden for respondents and low-cost for the Federal Government.</w:t>
      </w:r>
    </w:p>
    <w:p w:rsidR="0032537D" w14:paraId="2BAED620"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1"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2"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32537D" w14:paraId="2BAED623"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32537D" w14:paraId="2BAED624" w14:textId="77777777">
      <w:pPr>
        <w:widowControl/>
        <w:spacing w:line="240" w:lineRule="auto"/>
        <w:rPr>
          <w:rFonts w:ascii="Times New Roman" w:eastAsia="Times New Roman" w:hAnsi="Times New Roman" w:cs="Times New Roman"/>
          <w:color w:val="000000"/>
        </w:rPr>
      </w:pPr>
    </w:p>
    <w:p w:rsidR="0032537D" w14:paraId="2BAED625" w14:textId="73501FA4">
      <w:pPr>
        <w:widowControl/>
        <w:spacing w:line="240" w:lineRule="auto"/>
        <w:rPr>
          <w:rFonts w:ascii="Times New Roman" w:eastAsia="Times New Roman" w:hAnsi="Times New Roman" w:cs="Times New Roman"/>
          <w:color w:val="000000"/>
          <w:u w:val="single"/>
        </w:rPr>
      </w:pPr>
      <w:r w:rsidRPr="43AAF049">
        <w:rPr>
          <w:rFonts w:ascii="Times New Roman" w:eastAsia="Times New Roman" w:hAnsi="Times New Roman" w:cs="Times New Roman"/>
          <w:b/>
          <w:bCs/>
          <w:color w:val="000000" w:themeColor="text1"/>
          <w:u w:val="single"/>
        </w:rPr>
        <w:t>Name:</w:t>
      </w:r>
      <w:r w:rsidR="00652EEF">
        <w:rPr>
          <w:rFonts w:ascii="Times New Roman" w:eastAsia="Times New Roman" w:hAnsi="Times New Roman" w:cs="Times New Roman"/>
          <w:b/>
          <w:bCs/>
          <w:color w:val="000000" w:themeColor="text1"/>
          <w:u w:val="single"/>
        </w:rPr>
        <w:t xml:space="preserve"> Kathryn Mitchell</w:t>
      </w:r>
      <w:r w:rsidRPr="43AAF049">
        <w:rPr>
          <w:rFonts w:ascii="Times New Roman" w:eastAsia="Times New Roman" w:hAnsi="Times New Roman" w:cs="Times New Roman"/>
          <w:color w:val="000000" w:themeColor="text1"/>
          <w:u w:val="single"/>
        </w:rPr>
        <w:t xml:space="preserve">                  </w:t>
      </w:r>
    </w:p>
    <w:p w:rsidR="0032537D" w14:paraId="2BAED626" w14:textId="77777777">
      <w:pPr>
        <w:widowControl/>
        <w:spacing w:line="240" w:lineRule="auto"/>
        <w:rPr>
          <w:rFonts w:ascii="Times New Roman" w:eastAsia="Times New Roman" w:hAnsi="Times New Roman" w:cs="Times New Roman"/>
          <w:color w:val="000000"/>
        </w:rPr>
      </w:pPr>
      <w:r>
        <w:br w:type="page"/>
      </w:r>
      <w:r>
        <w:rPr>
          <w:rFonts w:ascii="Times New Roman" w:eastAsia="Times New Roman" w:hAnsi="Times New Roman" w:cs="Times New Roman"/>
          <w:color w:val="000000"/>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14:paraId="2BAED629" w14:textId="5A45321F">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personally identifiable information (PII) collected?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w:t>
      </w:r>
      <w:r w:rsidR="009B4B90">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  No </w:t>
      </w:r>
    </w:p>
    <w:p w:rsidR="0032537D" w14:paraId="2BAED62A"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will any information that is collected be included in records that are subject to the Privacy Act of 1974?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   </w:t>
      </w:r>
    </w:p>
    <w:p w:rsidR="0032537D" w14:paraId="2BAED62B"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has an up-to-date System of Records Notice (SORN) been published?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14:paraId="2BAED62E" w14:textId="2BA0C1AE">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an incentive (e.g., money or reimbursement of expenses, token of appreciation) provided to participants?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9B4B90">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14:paraId="2BAED63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2537D" w14:paraId="2BAED632" w14:textId="77777777">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p>
        </w:tc>
        <w:tc>
          <w:tcPr>
            <w:tcW w:w="2160" w:type="dxa"/>
          </w:tcPr>
          <w:p w:rsidR="0032537D" w14:paraId="2BAED633"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2537D" w14:paraId="2BAED63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2BAED63A" w14:textId="77777777" w:rsidTr="036A9CB7">
        <w:tblPrEx>
          <w:tblW w:w="9661" w:type="dxa"/>
          <w:tblLayout w:type="fixed"/>
          <w:tblLook w:val="0000"/>
        </w:tblPrEx>
        <w:trPr>
          <w:trHeight w:val="274"/>
        </w:trPr>
        <w:tc>
          <w:tcPr>
            <w:tcW w:w="3978" w:type="dxa"/>
          </w:tcPr>
          <w:p w:rsidR="0032537D" w14:paraId="2BAED636" w14:textId="3FCE6BD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BPHC Customer</w:t>
            </w:r>
          </w:p>
        </w:tc>
        <w:tc>
          <w:tcPr>
            <w:tcW w:w="1620" w:type="dxa"/>
          </w:tcPr>
          <w:p w:rsidR="0032537D" w14:paraId="2BAED637" w14:textId="5E12D4C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1,900</w:t>
            </w:r>
          </w:p>
        </w:tc>
        <w:tc>
          <w:tcPr>
            <w:tcW w:w="2160" w:type="dxa"/>
          </w:tcPr>
          <w:p w:rsidR="0032537D" w14:paraId="2BAED638" w14:textId="02BEFB31">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 hours</w:t>
            </w:r>
          </w:p>
        </w:tc>
        <w:tc>
          <w:tcPr>
            <w:tcW w:w="1903" w:type="dxa"/>
          </w:tcPr>
          <w:p w:rsidR="0032537D" w14:paraId="2BAED639" w14:textId="2D64C8C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14:paraId="2BAED63F" w14:textId="77777777" w:rsidTr="002B10C5">
        <w:tblPrEx>
          <w:tblW w:w="9661" w:type="dxa"/>
          <w:tblLayout w:type="fixed"/>
          <w:tblLook w:val="0000"/>
        </w:tblPrEx>
        <w:trPr>
          <w:trHeight w:val="70"/>
        </w:trPr>
        <w:tc>
          <w:tcPr>
            <w:tcW w:w="3978" w:type="dxa"/>
          </w:tcPr>
          <w:p w:rsidR="0032537D" w14:paraId="2BAED63B"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Totals</w:t>
            </w:r>
          </w:p>
        </w:tc>
        <w:tc>
          <w:tcPr>
            <w:tcW w:w="1620" w:type="dxa"/>
          </w:tcPr>
          <w:p w:rsidR="0032537D" w14:paraId="2BAED63C" w14:textId="45D232B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1,900</w:t>
            </w:r>
          </w:p>
        </w:tc>
        <w:tc>
          <w:tcPr>
            <w:tcW w:w="2160" w:type="dxa"/>
          </w:tcPr>
          <w:p w:rsidR="0032537D" w14:paraId="2BAED63D" w14:textId="2CAA048B">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 hours</w:t>
            </w:r>
          </w:p>
        </w:tc>
        <w:tc>
          <w:tcPr>
            <w:tcW w:w="1903" w:type="dxa"/>
          </w:tcPr>
          <w:p w:rsidR="0032537D" w14:paraId="2BAED63E" w14:textId="03F2249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bl>
    <w:p w:rsidR="0032537D" w14:paraId="2BAED640" w14:textId="77777777">
      <w:pPr>
        <w:widowControl/>
        <w:spacing w:line="240" w:lineRule="auto"/>
        <w:rPr>
          <w:rFonts w:ascii="Times New Roman" w:eastAsia="Times New Roman" w:hAnsi="Times New Roman" w:cs="Times New Roman"/>
          <w:color w:val="000000"/>
        </w:rPr>
      </w:pPr>
    </w:p>
    <w:p w:rsidR="0032537D" w14:paraId="2BAED64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p>
    <w:p w:rsidR="00BF3F86" w:rsidRPr="00BF3F86" w:rsidP="00BF3F86" w14:paraId="77563FDF" w14:textId="77777777">
      <w:pPr>
        <w:widowControl/>
        <w:spacing w:line="240" w:lineRule="auto"/>
        <w:rPr>
          <w:rFonts w:ascii="Times New Roman" w:eastAsia="Times New Roman" w:hAnsi="Times New Roman" w:cs="Times New Roman"/>
          <w:color w:val="222222"/>
        </w:rPr>
      </w:pPr>
      <w:r w:rsidRPr="00BF3F86">
        <w:rPr>
          <w:rFonts w:ascii="Times New Roman" w:eastAsia="Times New Roman" w:hAnsi="Times New Roman" w:cs="Times New Roman"/>
          <w:color w:val="222222"/>
        </w:rPr>
        <w:t xml:space="preserve">The associated annualized cost to the government is the time spent on data review and reporting by BPHC staff.  The estimated annualized cost to the government is $6,500, based on 10 staff hours per month and using a GS-13, step one hourly pay rate. Associated costs increase when the federal pay scale is </w:t>
      </w:r>
      <w:r w:rsidRPr="00BF3F86">
        <w:rPr>
          <w:rFonts w:ascii="Times New Roman" w:eastAsia="Times New Roman" w:hAnsi="Times New Roman" w:cs="Times New Roman"/>
          <w:color w:val="222222"/>
        </w:rPr>
        <w:t>increased</w:t>
      </w:r>
      <w:r w:rsidRPr="00BF3F86">
        <w:rPr>
          <w:rFonts w:ascii="Times New Roman" w:eastAsia="Times New Roman" w:hAnsi="Times New Roman" w:cs="Times New Roman"/>
          <w:color w:val="222222"/>
        </w:rPr>
        <w:t xml:space="preserve"> or individuals move up and through the GS pay scale.</w:t>
      </w:r>
    </w:p>
    <w:p w:rsidR="00BF3F86" w:rsidRPr="00BF3F86" w:rsidP="00BF3F86" w14:paraId="42DD4F43" w14:textId="77777777">
      <w:pPr>
        <w:widowControl/>
        <w:spacing w:line="240" w:lineRule="auto"/>
        <w:rPr>
          <w:rFonts w:ascii="Times New Roman" w:eastAsia="Times New Roman" w:hAnsi="Times New Roman" w:cs="Times New Roman"/>
          <w:color w:val="222222"/>
        </w:rPr>
      </w:pPr>
    </w:p>
    <w:p w:rsidR="0032537D" w:rsidP="00BF3F86" w14:paraId="2BAED643" w14:textId="4C3D61F3">
      <w:pPr>
        <w:widowControl/>
        <w:spacing w:line="240" w:lineRule="auto"/>
        <w:rPr>
          <w:rFonts w:ascii="Times New Roman" w:eastAsia="Times New Roman" w:hAnsi="Times New Roman" w:cs="Times New Roman"/>
          <w:color w:val="222222"/>
        </w:rPr>
      </w:pPr>
      <w:r w:rsidRPr="00BF3F86">
        <w:rPr>
          <w:rFonts w:ascii="Times New Roman" w:eastAsia="Times New Roman" w:hAnsi="Times New Roman" w:cs="Times New Roman"/>
          <w:color w:val="222222"/>
        </w:rPr>
        <w:t xml:space="preserve">We will not incur any costs for the survey tool.  Costs listed here are based on hourly wage rate for federal employees.  </w:t>
      </w:r>
    </w:p>
    <w:p w:rsidR="00BF3F86" w:rsidP="00BF3F86" w14:paraId="59D716CF"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14:paraId="2BAED64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 selection of your targeted respondents</w:t>
      </w:r>
    </w:p>
    <w:p w:rsidR="0032537D" w14:paraId="2BAED647" w14:textId="3D0728FC">
      <w:pPr>
        <w:widowControl/>
        <w:numPr>
          <w:ilvl w:val="0"/>
          <w:numId w:val="3"/>
        </w:numPr>
        <w:spacing w:line="240" w:lineRule="auto"/>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 xml:space="preserve">Do you have a customer list or something similar that defines the universe of potential </w:t>
      </w:r>
      <w:r w:rsidRPr="3F76836E">
        <w:rPr>
          <w:rFonts w:ascii="Times New Roman" w:eastAsia="Times New Roman" w:hAnsi="Times New Roman" w:cs="Times New Roman"/>
          <w:color w:val="000000" w:themeColor="text1"/>
        </w:rPr>
        <w:t>respondents</w:t>
      </w:r>
      <w:r w:rsidRPr="3F76836E">
        <w:rPr>
          <w:rFonts w:ascii="Times New Roman" w:eastAsia="Times New Roman" w:hAnsi="Times New Roman" w:cs="Times New Roman"/>
          <w:color w:val="000000" w:themeColor="text1"/>
        </w:rPr>
        <w:t xml:space="preserve"> and do you have a sampling plan for selecting from this universe? </w:t>
      </w:r>
      <w:r w:rsidRPr="3F76836E">
        <w:rPr>
          <w:rFonts w:ascii="Times New Roman" w:eastAsia="Times New Roman" w:hAnsi="Times New Roman" w:cs="Times New Roman"/>
          <w:color w:val="000000" w:themeColor="text1"/>
        </w:rPr>
        <w:t>[</w:t>
      </w:r>
      <w:r w:rsidR="002B10C5">
        <w:rPr>
          <w:rFonts w:ascii="Times New Roman" w:eastAsia="Times New Roman" w:hAnsi="Times New Roman" w:cs="Times New Roman"/>
          <w:color w:val="000000" w:themeColor="text1"/>
        </w:rPr>
        <w:t xml:space="preserve"> </w:t>
      </w:r>
      <w:r w:rsidRPr="3F76836E">
        <w:rPr>
          <w:rFonts w:ascii="Times New Roman" w:eastAsia="Times New Roman" w:hAnsi="Times New Roman" w:cs="Times New Roman"/>
          <w:color w:val="000000" w:themeColor="text1"/>
        </w:rPr>
        <w:t>]</w:t>
      </w:r>
      <w:r w:rsidRPr="3F76836E">
        <w:rPr>
          <w:rFonts w:ascii="Times New Roman" w:eastAsia="Times New Roman" w:hAnsi="Times New Roman" w:cs="Times New Roman"/>
          <w:color w:val="000000" w:themeColor="text1"/>
        </w:rPr>
        <w:t xml:space="preserve"> Yes</w:t>
      </w:r>
      <w:r>
        <w:tab/>
      </w:r>
      <w:r w:rsidRPr="3F76836E">
        <w:rPr>
          <w:rFonts w:ascii="Times New Roman" w:eastAsia="Times New Roman" w:hAnsi="Times New Roman" w:cs="Times New Roman"/>
          <w:color w:val="000000" w:themeColor="text1"/>
        </w:rPr>
        <w:t>[</w:t>
      </w:r>
      <w:r w:rsidR="00AB1B4D">
        <w:rPr>
          <w:rFonts w:ascii="Times New Roman" w:eastAsia="Times New Roman" w:hAnsi="Times New Roman" w:cs="Times New Roman"/>
          <w:color w:val="000000" w:themeColor="text1"/>
        </w:rPr>
        <w:t>X</w:t>
      </w:r>
      <w:r w:rsidRPr="3F76836E">
        <w:rPr>
          <w:rFonts w:ascii="Times New Roman" w:eastAsia="Times New Roman" w:hAnsi="Times New Roman" w:cs="Times New Roman"/>
          <w:color w:val="000000" w:themeColor="text1"/>
        </w:rPr>
        <w:t xml:space="preserve"> ] No</w:t>
      </w:r>
    </w:p>
    <w:p w:rsidR="0032537D" w14:paraId="2BAED648" w14:textId="77777777">
      <w:pPr>
        <w:widowControl/>
        <w:spacing w:line="240" w:lineRule="auto"/>
        <w:ind w:left="720"/>
        <w:rPr>
          <w:rFonts w:ascii="Times New Roman" w:eastAsia="Times New Roman" w:hAnsi="Times New Roman" w:cs="Times New Roman"/>
          <w:color w:val="000000"/>
        </w:rPr>
      </w:pPr>
    </w:p>
    <w:p w:rsidR="0032537D" w14:paraId="2BAED649"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answer is yes, please provide a description of both below (</w:t>
      </w:r>
      <w:r>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attach the sampling plan)? If the answer is no, please provide a description of how you plan to identify your potential group of respondents and how you will select them?</w:t>
      </w:r>
    </w:p>
    <w:p w:rsidR="007A6DC4" w:rsidRPr="007A6DC4" w:rsidP="1275F102" w14:paraId="4F796883" w14:textId="779DF1FD">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14:paraId="2BAED651" w14:textId="4D8845C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sidR="00AB1B4D">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Web-based or other forms of </w:t>
      </w:r>
      <w:r>
        <w:rPr>
          <w:rFonts w:ascii="Times New Roman" w:eastAsia="Times New Roman" w:hAnsi="Times New Roman" w:cs="Times New Roman"/>
          <w:color w:val="000000"/>
        </w:rPr>
        <w:t>Social Media</w:t>
      </w:r>
      <w:r>
        <w:rPr>
          <w:rFonts w:ascii="Times New Roman" w:eastAsia="Times New Roman" w:hAnsi="Times New Roman" w:cs="Times New Roman"/>
          <w:color w:val="000000"/>
        </w:rPr>
        <w:t xml:space="preserve"> </w:t>
      </w:r>
    </w:p>
    <w:p w:rsidR="0032537D" w14:paraId="2BAED652"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32537D" w14:paraId="2BAED653"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In-person</w:t>
      </w:r>
      <w:r>
        <w:rPr>
          <w:rFonts w:ascii="Times New Roman" w:eastAsia="Times New Roman" w:hAnsi="Times New Roman" w:cs="Times New Roman"/>
          <w:color w:val="000000"/>
        </w:rPr>
        <w:tab/>
      </w:r>
    </w:p>
    <w:p w:rsidR="0032537D" w14:paraId="2BAED654"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32537D" w14:paraId="2BAED655"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Other, Explain</w:t>
      </w:r>
    </w:p>
    <w:p w:rsidR="0032537D" w14:paraId="2BAED656" w14:textId="08F92F6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interviewers or facilitators be used?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AB1B4D">
        <w:rPr>
          <w:rFonts w:ascii="Times New Roman" w:eastAsia="Times New Roman" w:hAnsi="Times New Roman" w:cs="Times New Roman"/>
          <w:color w:val="000000"/>
        </w:rPr>
        <w:t>X</w:t>
      </w:r>
      <w:r w:rsidR="002B10C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No</w:t>
      </w:r>
    </w:p>
    <w:p w:rsidR="0032537D" w14:paraId="2BAED657" w14:textId="77777777">
      <w:pPr>
        <w:widowControl/>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2537D" w14:paraId="2BAED658" w14:textId="77777777">
      <w:pPr>
        <w:widowControl/>
        <w:spacing w:line="240" w:lineRule="auto"/>
      </w:pPr>
      <w:r>
        <w:rPr>
          <w:rFonts w:ascii="Times New Roman" w:eastAsia="Times New Roman" w:hAnsi="Times New Roman" w:cs="Times New Roman"/>
          <w:b/>
          <w:color w:val="000000"/>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3"/>
  </w:num>
  <w:num w:numId="2" w16cid:durableId="849761194">
    <w:abstractNumId w:val="2"/>
  </w:num>
  <w:num w:numId="3" w16cid:durableId="230433085">
    <w:abstractNumId w:val="0"/>
  </w:num>
  <w:num w:numId="4" w16cid:durableId="1196625726">
    <w:abstractNumId w:val="1"/>
  </w:num>
  <w:num w:numId="5" w16cid:durableId="69900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220A0C"/>
    <w:rsid w:val="00246566"/>
    <w:rsid w:val="002B10C5"/>
    <w:rsid w:val="002E347E"/>
    <w:rsid w:val="00321206"/>
    <w:rsid w:val="0032537D"/>
    <w:rsid w:val="003B38BD"/>
    <w:rsid w:val="00473DE7"/>
    <w:rsid w:val="00505B4E"/>
    <w:rsid w:val="00651B94"/>
    <w:rsid w:val="00652EEF"/>
    <w:rsid w:val="006874BA"/>
    <w:rsid w:val="006D3AAF"/>
    <w:rsid w:val="007A6DC4"/>
    <w:rsid w:val="0082303B"/>
    <w:rsid w:val="008E62E1"/>
    <w:rsid w:val="00902752"/>
    <w:rsid w:val="009B4B90"/>
    <w:rsid w:val="009E7925"/>
    <w:rsid w:val="00A4082F"/>
    <w:rsid w:val="00AB1B4D"/>
    <w:rsid w:val="00AF0A13"/>
    <w:rsid w:val="00BB5753"/>
    <w:rsid w:val="00BD2ED6"/>
    <w:rsid w:val="00BE2494"/>
    <w:rsid w:val="00BF3F86"/>
    <w:rsid w:val="00C0123A"/>
    <w:rsid w:val="00C40D05"/>
    <w:rsid w:val="00EA6D4F"/>
    <w:rsid w:val="00FB5857"/>
    <w:rsid w:val="02234B57"/>
    <w:rsid w:val="0332C640"/>
    <w:rsid w:val="036A9CB7"/>
    <w:rsid w:val="03823D0B"/>
    <w:rsid w:val="06D9E34F"/>
    <w:rsid w:val="07DB4BC9"/>
    <w:rsid w:val="08964DBC"/>
    <w:rsid w:val="0AD724E4"/>
    <w:rsid w:val="0F0B237D"/>
    <w:rsid w:val="10278607"/>
    <w:rsid w:val="102CD00A"/>
    <w:rsid w:val="10847663"/>
    <w:rsid w:val="1275F102"/>
    <w:rsid w:val="19669B66"/>
    <w:rsid w:val="254966D8"/>
    <w:rsid w:val="2C8ECC72"/>
    <w:rsid w:val="2D4C873E"/>
    <w:rsid w:val="2EE8579F"/>
    <w:rsid w:val="2F2069D5"/>
    <w:rsid w:val="390A78C8"/>
    <w:rsid w:val="3F142402"/>
    <w:rsid w:val="3F76836E"/>
    <w:rsid w:val="43AAF049"/>
    <w:rsid w:val="4A2FF339"/>
    <w:rsid w:val="4A91CFAA"/>
    <w:rsid w:val="4D289E65"/>
    <w:rsid w:val="5AA53A22"/>
    <w:rsid w:val="5E717AB8"/>
    <w:rsid w:val="6028A639"/>
    <w:rsid w:val="605354BA"/>
    <w:rsid w:val="60FB5349"/>
    <w:rsid w:val="643A39FC"/>
    <w:rsid w:val="64C793DF"/>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9" ma:contentTypeDescription="Create a new document." ma:contentTypeScope="" ma:versionID="ece8df2cb1eb8a1cf523745a9e40affb">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f8c52327037f98f5087d7ba2d59cf34c"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5C3YEWZCVWVS-1743964322-45</_dlc_DocId>
    <_dlc_DocIdUrl xmlns="68c2e6f3-6ea4-42c3-835e-44e49d8f3a1e">
      <Url>https://nih.sharepoint.com/sites/HRSA-OA-OPAE/_layouts/15/DocIdRedir.aspx?ID=5C3YEWZCVWVS-1743964322-45</Url>
      <Description>5C3YEWZCVWVS-1743964322-45</Description>
    </_dlc_DocIdUrl>
    <CurrentVersion_x003f_ xmlns="b07d60d0-a851-40d7-ab0c-f280ece78be0">true</CurrentVersion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C4FBFE-98C9-40DD-A15A-3C26360C3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4A6A4-E8E1-405E-8A82-36B6B6B27352}">
  <ds:schemaRefs>
    <ds:schemaRef ds:uri="68c2e6f3-6ea4-42c3-835e-44e49d8f3a1e"/>
    <ds:schemaRef ds:uri="http://schemas.openxmlformats.org/package/2006/metadata/core-properties"/>
    <ds:schemaRef ds:uri="http://schemas.microsoft.com/office/2006/metadata/properties"/>
    <ds:schemaRef ds:uri="http://purl.org/dc/terms/"/>
    <ds:schemaRef ds:uri="http://purl.org/dc/dcmitype/"/>
    <ds:schemaRef ds:uri="b07d60d0-a851-40d7-ab0c-f280ece78be0"/>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4.xml><?xml version="1.0" encoding="utf-8"?>
<ds:datastoreItem xmlns:ds="http://schemas.openxmlformats.org/officeDocument/2006/customXml" ds:itemID="{ACE79AC1-0532-49CF-94F1-58FF18D7DF99}">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Moore, Tierra (HRSA)</cp:lastModifiedBy>
  <cp:revision>5</cp:revision>
  <dcterms:created xsi:type="dcterms:W3CDTF">2024-03-25T14:46:00Z</dcterms:created>
  <dcterms:modified xsi:type="dcterms:W3CDTF">2024-03-25T14:58:00Z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_dlc_DocIdItemGuid">
    <vt:lpwstr>d4d1d4ba-0c7c-49e8-bc72-3917c91a4eae</vt:lpwstr>
  </property>
</Properties>
</file>