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B86C31" w:rsidP="00B92B6C" w14:paraId="7BB40C3E" w14:textId="1CCAE249">
      <w:pPr>
        <w:spacing w:after="200" w:line="276" w:lineRule="auto"/>
        <w:rPr>
          <w:rFonts w:eastAsia="Calibri"/>
        </w:rPr>
      </w:pPr>
      <w:r w:rsidRPr="00B86C31">
        <w:rPr>
          <w:rFonts w:eastAsia="Calibri"/>
          <w:b/>
        </w:rPr>
        <w:t>DATE:</w:t>
      </w:r>
      <w:r w:rsidRPr="00B86C31">
        <w:rPr>
          <w:rFonts w:eastAsia="Calibri"/>
        </w:rPr>
        <w:tab/>
      </w:r>
      <w:r w:rsidRPr="00B86C31">
        <w:rPr>
          <w:rFonts w:eastAsia="Calibri"/>
        </w:rPr>
        <w:tab/>
      </w:r>
      <w:r w:rsidR="00C65F04">
        <w:rPr>
          <w:rFonts w:eastAsia="Calibri"/>
        </w:rPr>
        <w:t>June 20</w:t>
      </w:r>
      <w:r w:rsidRPr="00B86C31" w:rsidR="00B86C31">
        <w:rPr>
          <w:rFonts w:eastAsia="Calibri"/>
        </w:rPr>
        <w:t>, 2024</w:t>
      </w:r>
    </w:p>
    <w:p w:rsidR="00B92B6C" w:rsidRPr="00B86C31" w:rsidP="00B92B6C" w14:paraId="4546AFDE" w14:textId="7C37956E">
      <w:pPr>
        <w:spacing w:after="200" w:line="276" w:lineRule="auto"/>
        <w:rPr>
          <w:rFonts w:eastAsia="Calibri"/>
        </w:rPr>
      </w:pPr>
      <w:r w:rsidRPr="00B86C31">
        <w:rPr>
          <w:rFonts w:eastAsia="Calibri"/>
          <w:b/>
        </w:rPr>
        <w:t>TO:</w:t>
      </w:r>
      <w:r w:rsidRPr="00B86C31">
        <w:rPr>
          <w:rFonts w:eastAsia="Calibri"/>
        </w:rPr>
        <w:tab/>
      </w:r>
      <w:r w:rsidRPr="00B86C31">
        <w:rPr>
          <w:rFonts w:eastAsia="Calibri"/>
        </w:rPr>
        <w:tab/>
      </w:r>
      <w:r w:rsidRPr="00B86C31">
        <w:rPr>
          <w:rFonts w:eastAsia="Calibri"/>
        </w:rPr>
        <w:tab/>
      </w:r>
      <w:r w:rsidRPr="00B86C31" w:rsidR="00B86C31">
        <w:rPr>
          <w:rFonts w:eastAsia="Calibri"/>
        </w:rPr>
        <w:t>Dan Cline</w:t>
      </w:r>
      <w:r w:rsidRPr="00B86C31">
        <w:rPr>
          <w:rFonts w:eastAsia="Calibri"/>
        </w:rPr>
        <w:t>, OMB Desk Officer</w:t>
      </w:r>
    </w:p>
    <w:p w:rsidR="00B92B6C" w:rsidRPr="00B92B6C" w:rsidP="00B92B6C" w14:paraId="77BC1D71" w14:textId="4F2FA519">
      <w:pPr>
        <w:spacing w:after="200" w:line="276" w:lineRule="auto"/>
        <w:rPr>
          <w:rFonts w:eastAsia="Calibri"/>
        </w:rPr>
      </w:pPr>
      <w:r w:rsidRPr="00B86C31">
        <w:rPr>
          <w:rFonts w:eastAsia="Calibri"/>
          <w:b/>
        </w:rPr>
        <w:t>FROM:</w:t>
      </w:r>
      <w:r w:rsidRPr="00B86C31">
        <w:rPr>
          <w:rFonts w:eastAsia="Calibri"/>
        </w:rPr>
        <w:tab/>
      </w:r>
      <w:r w:rsidRPr="00B86C31">
        <w:rPr>
          <w:rFonts w:eastAsia="Calibri"/>
        </w:rPr>
        <w:tab/>
      </w:r>
      <w:r w:rsidRPr="00B86C31" w:rsidR="00B86C31">
        <w:rPr>
          <w:rFonts w:eastAsia="Calibri"/>
        </w:rPr>
        <w:t>Joella Roland</w:t>
      </w:r>
      <w:r w:rsidRPr="00B86C31">
        <w:rPr>
          <w:rFonts w:eastAsia="Calibri"/>
        </w:rPr>
        <w:t>, HRSA Information Collection Clearance Officer</w:t>
      </w:r>
    </w:p>
    <w:p w:rsidR="00B92B6C" w:rsidRPr="00B92B6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B92B6C" w:rsidRPr="00B92B6C" w:rsidP="00B86C31" w14:paraId="6C4A35D8" w14:textId="7C0BB8A9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Request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  <w:t xml:space="preserve">The Health Resources and Services Administration (HRSA) requests approval for changes to the </w:t>
      </w:r>
      <w:r w:rsidRPr="00B86C31" w:rsidR="00B86C31">
        <w:rPr>
          <w:rFonts w:eastAsia="Calibri"/>
        </w:rPr>
        <w:t xml:space="preserve">Voluntary Partner Surveys </w:t>
      </w:r>
      <w:r w:rsidR="00DD5293">
        <w:rPr>
          <w:rFonts w:eastAsia="Calibri"/>
        </w:rPr>
        <w:t>t</w:t>
      </w:r>
      <w:r w:rsidRPr="00B86C31" w:rsidR="00B86C31">
        <w:rPr>
          <w:rFonts w:eastAsia="Calibri"/>
        </w:rPr>
        <w:t>o</w:t>
      </w:r>
      <w:r w:rsidR="00B86C31">
        <w:rPr>
          <w:rFonts w:eastAsia="Calibri"/>
        </w:rPr>
        <w:t xml:space="preserve"> </w:t>
      </w:r>
      <w:r w:rsidRPr="00B86C31" w:rsidR="00B86C31">
        <w:rPr>
          <w:rFonts w:eastAsia="Calibri"/>
        </w:rPr>
        <w:t>Implement Executive Order 1</w:t>
      </w:r>
      <w:r w:rsidR="00DD5293">
        <w:rPr>
          <w:rFonts w:eastAsia="Calibri"/>
        </w:rPr>
        <w:t>2862</w:t>
      </w:r>
      <w:r w:rsidRPr="00B86C31" w:rsidR="00B86C31">
        <w:rPr>
          <w:rFonts w:eastAsia="Calibri"/>
        </w:rPr>
        <w:t xml:space="preserve"> in</w:t>
      </w:r>
      <w:r w:rsidR="00B86C31">
        <w:rPr>
          <w:rFonts w:eastAsia="Calibri"/>
        </w:rPr>
        <w:t xml:space="preserve"> </w:t>
      </w:r>
      <w:r w:rsidRPr="00B86C31" w:rsidR="00B86C31">
        <w:rPr>
          <w:rFonts w:eastAsia="Calibri"/>
        </w:rPr>
        <w:t>the Health Resources and Services</w:t>
      </w:r>
      <w:r w:rsidR="00B86C31">
        <w:rPr>
          <w:rFonts w:eastAsia="Calibri"/>
        </w:rPr>
        <w:t xml:space="preserve"> </w:t>
      </w:r>
      <w:r w:rsidRPr="00B86C31" w:rsidR="00B86C31">
        <w:rPr>
          <w:rFonts w:eastAsia="Calibri"/>
        </w:rPr>
        <w:t>Administration</w:t>
      </w:r>
      <w:r w:rsidR="00B86C31">
        <w:rPr>
          <w:rFonts w:eastAsia="Calibri"/>
        </w:rPr>
        <w:t xml:space="preserve"> (OMB No. 0906-0084, Expiration Date 02/28/2027).</w:t>
      </w:r>
    </w:p>
    <w:p w:rsidR="00C456A8" w:rsidP="00B86C31" w14:paraId="0571083A" w14:textId="4B9BB895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</w:r>
      <w:r w:rsidR="00B86C31">
        <w:rPr>
          <w:rFonts w:eastAsia="Calibri"/>
        </w:rPr>
        <w:t xml:space="preserve">This </w:t>
      </w:r>
      <w:r w:rsidR="00DD5293">
        <w:rPr>
          <w:rFonts w:eastAsia="Calibri"/>
        </w:rPr>
        <w:t xml:space="preserve">purpose of this </w:t>
      </w:r>
      <w:r w:rsidR="00B86C31">
        <w:rPr>
          <w:rFonts w:eastAsia="Calibri"/>
        </w:rPr>
        <w:t xml:space="preserve">request </w:t>
      </w:r>
      <w:r w:rsidR="00DD5293">
        <w:rPr>
          <w:rFonts w:eastAsia="Calibri"/>
        </w:rPr>
        <w:t xml:space="preserve">is to </w:t>
      </w:r>
      <w:r w:rsidR="00B86C31">
        <w:rPr>
          <w:rFonts w:eastAsia="Calibri"/>
        </w:rPr>
        <w:t xml:space="preserve">increase </w:t>
      </w:r>
      <w:r w:rsidR="004E2CDF">
        <w:rPr>
          <w:rFonts w:eastAsia="Calibri"/>
        </w:rPr>
        <w:t xml:space="preserve">the number of </w:t>
      </w:r>
      <w:r w:rsidR="00B86C31">
        <w:rPr>
          <w:rFonts w:eastAsia="Calibri"/>
        </w:rPr>
        <w:t>respon</w:t>
      </w:r>
      <w:r w:rsidR="008D63F3">
        <w:rPr>
          <w:rFonts w:eastAsia="Calibri"/>
        </w:rPr>
        <w:t>ses</w:t>
      </w:r>
      <w:r w:rsidR="00B86C31">
        <w:rPr>
          <w:rFonts w:eastAsia="Calibri"/>
        </w:rPr>
        <w:t xml:space="preserve"> and burden hour</w:t>
      </w:r>
      <w:r w:rsidR="002C0769">
        <w:rPr>
          <w:rFonts w:eastAsia="Calibri"/>
        </w:rPr>
        <w:t>s used for collections falling under this umbrella</w:t>
      </w:r>
      <w:r w:rsidR="00B86C31">
        <w:rPr>
          <w:rFonts w:eastAsia="Calibri"/>
        </w:rPr>
        <w:t xml:space="preserve"> Information Collection Request (ICR)</w:t>
      </w:r>
      <w:r w:rsidR="00C51C48">
        <w:rPr>
          <w:rFonts w:eastAsia="Calibri"/>
        </w:rPr>
        <w:t xml:space="preserve">. </w:t>
      </w:r>
      <w:r w:rsidR="00B86C31">
        <w:rPr>
          <w:rFonts w:eastAsia="Calibri"/>
        </w:rPr>
        <w:t>T</w:t>
      </w:r>
      <w:r w:rsidRPr="00B92B6C" w:rsidR="00B86C31">
        <w:rPr>
          <w:rFonts w:eastAsia="Calibri"/>
        </w:rPr>
        <w:t xml:space="preserve">his memo </w:t>
      </w:r>
      <w:r w:rsidR="00B86C31">
        <w:rPr>
          <w:rFonts w:eastAsia="Calibri"/>
        </w:rPr>
        <w:t>explains t</w:t>
      </w:r>
      <w:r w:rsidRPr="00B92B6C" w:rsidR="00B86C31">
        <w:rPr>
          <w:rFonts w:eastAsia="Calibri"/>
        </w:rPr>
        <w:t xml:space="preserve">he changes and supporting rationale. </w:t>
      </w:r>
      <w:r w:rsidR="00B86C31">
        <w:rPr>
          <w:rFonts w:eastAsia="Calibri"/>
          <w:b/>
        </w:rPr>
        <w:tab/>
      </w:r>
    </w:p>
    <w:p w:rsidR="00B86C31" w:rsidP="00B86C31" w14:paraId="709AD8EE" w14:textId="230EC57A">
      <w:pPr>
        <w:spacing w:after="200" w:line="276" w:lineRule="auto"/>
        <w:ind w:left="2160" w:hanging="2160"/>
        <w:rPr>
          <w:rFonts w:eastAsia="Calibri"/>
        </w:rPr>
      </w:pPr>
      <w:r w:rsidRPr="00C456A8">
        <w:rPr>
          <w:rFonts w:eastAsia="Calibri"/>
          <w:b/>
          <w:bCs/>
        </w:rPr>
        <w:t>Changes:</w:t>
      </w:r>
      <w:r>
        <w:rPr>
          <w:rFonts w:eastAsia="Calibri"/>
          <w:b/>
          <w:bCs/>
        </w:rPr>
        <w:tab/>
      </w:r>
      <w:r w:rsidRPr="00D612EC" w:rsidR="00DC6335">
        <w:rPr>
          <w:rFonts w:eastAsia="Calibri"/>
        </w:rPr>
        <w:t>HRSA</w:t>
      </w:r>
      <w:r w:rsidR="00DC6335">
        <w:rPr>
          <w:rFonts w:eastAsia="Calibri"/>
        </w:rPr>
        <w:t xml:space="preserve"> is requesting an increase in increase the number of respon</w:t>
      </w:r>
      <w:r w:rsidR="008D63F3">
        <w:rPr>
          <w:rFonts w:eastAsia="Calibri"/>
        </w:rPr>
        <w:t>ses</w:t>
      </w:r>
      <w:r w:rsidR="00DC6335">
        <w:rPr>
          <w:rFonts w:eastAsia="Calibri"/>
        </w:rPr>
        <w:t xml:space="preserve"> and burden hours</w:t>
      </w:r>
      <w:r w:rsidR="000D53AA">
        <w:rPr>
          <w:rFonts w:eastAsia="Calibri"/>
        </w:rPr>
        <w:t>, due to an error that occurred when HRSA renewed this umbrella ICR in February</w:t>
      </w:r>
      <w:r w:rsidR="00C51C48">
        <w:rPr>
          <w:rFonts w:eastAsia="Calibri"/>
        </w:rPr>
        <w:t xml:space="preserve">. </w:t>
      </w:r>
      <w:r w:rsidR="000D53AA">
        <w:rPr>
          <w:rFonts w:eastAsia="Calibri"/>
        </w:rPr>
        <w:t xml:space="preserve">When HRSA revised this ICR in February, it updated five of its renewed information collections (ICs), resulting in the ICs having their hours deducted </w:t>
      </w:r>
      <w:r w:rsidR="00164155">
        <w:rPr>
          <w:rFonts w:eastAsia="Calibri"/>
        </w:rPr>
        <w:t>from the ICR twice</w:t>
      </w:r>
      <w:r w:rsidR="00C51C48">
        <w:rPr>
          <w:rFonts w:eastAsia="Calibri"/>
        </w:rPr>
        <w:t xml:space="preserve">. </w:t>
      </w:r>
      <w:r w:rsidR="00164155">
        <w:rPr>
          <w:rFonts w:eastAsia="Calibri"/>
        </w:rPr>
        <w:t>This error means that approximately 40% of the respondent budget and 14% of the burden hour budget are used on outdated collections</w:t>
      </w:r>
      <w:r w:rsidR="00C51C48">
        <w:rPr>
          <w:rFonts w:eastAsia="Calibri"/>
        </w:rPr>
        <w:t xml:space="preserve">. </w:t>
      </w:r>
      <w:r w:rsidR="00164155">
        <w:rPr>
          <w:rFonts w:eastAsia="Calibri"/>
        </w:rPr>
        <w:t xml:space="preserve">Since the ROCIS functionality does not allow HRSA to discontinue individual ICs within a larger Umbrella ICR, HRSA is requesting an increase of 38,977 respondents and 1,795 burden hours so that HRSA can use the Umbrella ICR, as HRSA had originally planned. </w:t>
      </w:r>
      <w:r w:rsidR="00CC418A">
        <w:rPr>
          <w:rFonts w:eastAsia="Calibri"/>
        </w:rPr>
        <w:t xml:space="preserve">The original and updated ICs are listed in the table below. </w:t>
      </w:r>
    </w:p>
    <w:tbl>
      <w:tblPr>
        <w:tblW w:w="5000" w:type="pct"/>
        <w:tblLook w:val="04A0"/>
      </w:tblPr>
      <w:tblGrid>
        <w:gridCol w:w="2752"/>
        <w:gridCol w:w="1092"/>
        <w:gridCol w:w="871"/>
        <w:gridCol w:w="2605"/>
        <w:gridCol w:w="1092"/>
        <w:gridCol w:w="938"/>
      </w:tblGrid>
      <w:tr w14:paraId="36A37785" w14:textId="77777777" w:rsidTr="006C30A6">
        <w:tblPrEx>
          <w:tblW w:w="5000" w:type="pct"/>
          <w:tblLook w:val="04A0"/>
        </w:tblPrEx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7793"/>
            <w:vAlign w:val="center"/>
            <w:hideMark/>
          </w:tcPr>
          <w:p w:rsidR="00B86C31" w:rsidRPr="00B86C31" w:rsidP="006C30A6" w14:paraId="18144EB3" w14:textId="7AB4F9BC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Original</w:t>
            </w:r>
            <w:r w:rsidRPr="00B86C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 IC Title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7793"/>
            <w:vAlign w:val="center"/>
            <w:hideMark/>
          </w:tcPr>
          <w:p w:rsidR="00B86C31" w:rsidRPr="00B86C31" w:rsidP="006C30A6" w14:paraId="5E1BF860" w14:textId="1CE07C03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Original</w:t>
            </w:r>
            <w:r w:rsidRPr="00B86C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 Responses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7793"/>
            <w:vAlign w:val="center"/>
            <w:hideMark/>
          </w:tcPr>
          <w:p w:rsidR="00B86C31" w:rsidRPr="00B86C31" w:rsidP="006C30A6" w14:paraId="7214626C" w14:textId="6C22ED95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Original</w:t>
            </w:r>
            <w:r w:rsidRPr="00B86C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 Hours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7793"/>
            <w:vAlign w:val="center"/>
            <w:hideMark/>
          </w:tcPr>
          <w:p w:rsidR="00B86C31" w:rsidRPr="00B86C31" w:rsidP="006C30A6" w14:paraId="1310CA7D" w14:textId="218C08A5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Updated</w:t>
            </w:r>
            <w:r w:rsidRPr="00B86C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 IC Title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7793"/>
            <w:vAlign w:val="center"/>
            <w:hideMark/>
          </w:tcPr>
          <w:p w:rsidR="00B86C31" w:rsidRPr="00B86C31" w:rsidP="006C30A6" w14:paraId="0634DDA1" w14:textId="1D3E1A31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Updated</w:t>
            </w:r>
            <w:r w:rsidRPr="00B86C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 Responses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7793"/>
            <w:vAlign w:val="center"/>
            <w:hideMark/>
          </w:tcPr>
          <w:p w:rsidR="00B86C31" w:rsidRPr="00B86C31" w:rsidP="006C30A6" w14:paraId="35271027" w14:textId="2C0814A1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Updated</w:t>
            </w:r>
            <w:r w:rsidRPr="00B86C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B86C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Hours</w:t>
            </w:r>
          </w:p>
        </w:tc>
      </w:tr>
      <w:tr w14:paraId="10E5E457" w14:textId="77777777" w:rsidTr="006C30A6">
        <w:tblPrEx>
          <w:tblW w:w="5000" w:type="pct"/>
          <w:tblLook w:val="04A0"/>
        </w:tblPrEx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382CEA81" w14:textId="1CB4493A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>Division of Independent Review Objective Review Assessment Survey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2E2D31C1" w14:textId="57951A93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2,300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16DA7941" w14:textId="3D17A3DA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575 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31" w:rsidRPr="00B86C31" w:rsidP="006C30A6" w14:paraId="566A78AC" w14:textId="0984D53C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>DIR Objective Review Assessment Survey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4DA431F4" w14:textId="770CB84C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900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2F1D44D1" w14:textId="18F78B25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450 </w:t>
            </w:r>
          </w:p>
        </w:tc>
      </w:tr>
      <w:tr w14:paraId="559538F1" w14:textId="77777777" w:rsidTr="006C30A6">
        <w:tblPrEx>
          <w:tblW w:w="5000" w:type="pct"/>
          <w:tblLook w:val="04A0"/>
        </w:tblPrEx>
        <w:trPr>
          <w:trHeight w:val="576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5E758BFC" w14:textId="3CC66847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>Maternal, Infant, and Early Childhood Home Visiting Program On-Site Compliance Review Awardee Feedback Form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5E882D18" w14:textId="0D2B76C4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315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2936D6CC" w14:textId="10F33700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37DB2B39" w14:textId="526DFFC9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>Maternal, Infant, and Early Childhood Home Visiting Site Visit Awardee Feedback Form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6E15FEC0" w14:textId="10EE953A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5CDAEBCF" w14:textId="25AFFE48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68 </w:t>
            </w:r>
          </w:p>
        </w:tc>
      </w:tr>
      <w:tr w14:paraId="1C2F2B33" w14:textId="77777777" w:rsidTr="006C30A6">
        <w:tblPrEx>
          <w:tblW w:w="5000" w:type="pct"/>
          <w:tblLook w:val="04A0"/>
        </w:tblPrEx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58B66019" w14:textId="38301C05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>Collection of Qualitative Feedback on Telehealth.HHS.gov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67918429" w14:textId="46603ADA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17,465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5487F402" w14:textId="4A589122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7EA8C5C4" w14:textId="638320B9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>Collection of Qualitative Feedback on Telehealth.HHS.gov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2BB7F6A0" w14:textId="42C4A556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6,600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4B7D2CDE" w14:textId="78D9A261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48 </w:t>
            </w:r>
          </w:p>
        </w:tc>
      </w:tr>
      <w:tr w14:paraId="4136D7C9" w14:textId="77777777" w:rsidTr="006C30A6">
        <w:tblPrEx>
          <w:tblW w:w="5000" w:type="pct"/>
          <w:tblLook w:val="04A0"/>
        </w:tblPrEx>
        <w:trPr>
          <w:trHeight w:val="576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5899023E" w14:textId="76815AC4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>Maternal, Infant, and Early Childhood Home Visiting Innovation Technical Assistant Center Satisfaction Surveys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00F7DFA4" w14:textId="5AE33FA8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2,230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404B4542" w14:textId="15EF7AA6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22ACD50A" w14:textId="706849D7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>MIECHV TARC Satisfaction Survey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5B759A54" w14:textId="4B52F843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967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49AE5D1C" w14:textId="490AFDC1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145 </w:t>
            </w:r>
          </w:p>
        </w:tc>
      </w:tr>
      <w:tr w14:paraId="057D90C0" w14:textId="77777777" w:rsidTr="006C30A6">
        <w:tblPrEx>
          <w:tblW w:w="5000" w:type="pct"/>
          <w:tblLook w:val="04A0"/>
        </w:tblPrEx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700100F9" w14:textId="733B045B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>HRSA Web Survey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718F512E" w14:textId="45B59FAB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16,667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222A5450" w14:textId="63BB32B1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833 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4CF14B9E" w14:textId="77777777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>HRSA Web Survey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5FEEBBF8" w14:textId="1F94ACC2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16,667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64AE158C" w14:textId="25B45D01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833 </w:t>
            </w:r>
          </w:p>
        </w:tc>
      </w:tr>
      <w:tr w14:paraId="659A63A0" w14:textId="77777777" w:rsidTr="006C30A6">
        <w:tblPrEx>
          <w:tblW w:w="5000" w:type="pct"/>
          <w:tblLook w:val="04A0"/>
        </w:tblPrEx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3D26D703" w14:textId="77777777">
            <w:pPr>
              <w:rPr>
                <w:b/>
                <w:bCs/>
                <w:sz w:val="20"/>
                <w:szCs w:val="20"/>
              </w:rPr>
            </w:pPr>
            <w:r w:rsidRPr="00B86C3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16136FF3" w14:textId="1360B0A1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38,977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02BA794D" w14:textId="102C2E2F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1,795 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86C31" w:rsidRPr="00B86C31" w:rsidP="006C30A6" w14:paraId="46CC1F0B" w14:textId="77777777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1FCFB8F3" w14:textId="09F47527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25,404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31" w:rsidRPr="00B86C31" w:rsidP="006C30A6" w14:paraId="7EF7057C" w14:textId="023F15DD">
            <w:pPr>
              <w:rPr>
                <w:sz w:val="20"/>
                <w:szCs w:val="20"/>
              </w:rPr>
            </w:pPr>
            <w:r w:rsidRPr="00B86C31">
              <w:rPr>
                <w:sz w:val="20"/>
                <w:szCs w:val="20"/>
              </w:rPr>
              <w:t xml:space="preserve">1,544 </w:t>
            </w:r>
          </w:p>
        </w:tc>
      </w:tr>
    </w:tbl>
    <w:p w:rsidR="00CC418A" w:rsidP="00B86C31" w14:paraId="1FBC1C6B" w14:textId="77777777">
      <w:pPr>
        <w:spacing w:after="200" w:line="276" w:lineRule="auto"/>
        <w:ind w:left="2160" w:hanging="2160"/>
        <w:rPr>
          <w:rFonts w:eastAsia="Calibri"/>
          <w:b/>
          <w:bCs/>
        </w:rPr>
      </w:pPr>
    </w:p>
    <w:p w:rsidR="00B92B6C" w:rsidRPr="00B92B6C" w:rsidP="00B86C31" w14:paraId="29473172" w14:textId="76F7FF6C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EB5375">
        <w:rPr>
          <w:rFonts w:eastAsia="Calibri"/>
        </w:rPr>
        <w:t>T</w:t>
      </w:r>
      <w:r w:rsidR="00270FE3">
        <w:rPr>
          <w:rFonts w:eastAsia="Calibri"/>
        </w:rPr>
        <w:t xml:space="preserve">he </w:t>
      </w:r>
      <w:r w:rsidRPr="00B92B6C" w:rsidR="00270FE3">
        <w:rPr>
          <w:rFonts w:eastAsia="Calibri"/>
        </w:rPr>
        <w:t xml:space="preserve">data collection changes must be completed in a </w:t>
      </w:r>
      <w:r w:rsidR="00270FE3">
        <w:rPr>
          <w:rFonts w:eastAsia="Calibri"/>
        </w:rPr>
        <w:t xml:space="preserve">timely manner to ensure that </w:t>
      </w:r>
      <w:r w:rsidR="00734E77">
        <w:rPr>
          <w:rFonts w:eastAsia="Calibri"/>
        </w:rPr>
        <w:t xml:space="preserve">HRSA can continue to </w:t>
      </w:r>
      <w:r w:rsidR="00AD2260">
        <w:rPr>
          <w:rFonts w:eastAsia="Calibri"/>
        </w:rPr>
        <w:t>obtain OMB approval for ICs under this Umbrella ICR without significant delay</w:t>
      </w:r>
      <w:r w:rsidR="00C51C48">
        <w:rPr>
          <w:rFonts w:eastAsia="Calibri"/>
        </w:rPr>
        <w:t xml:space="preserve">. </w:t>
      </w:r>
      <w:r w:rsidR="00B86C31">
        <w:rPr>
          <w:rFonts w:eastAsia="Calibri"/>
        </w:rPr>
        <w:t xml:space="preserve">HRSA requests approval of this non-substantive change memo by </w:t>
      </w:r>
      <w:r w:rsidR="00AD2260">
        <w:rPr>
          <w:rFonts w:eastAsia="Calibri"/>
        </w:rPr>
        <w:t>July</w:t>
      </w:r>
      <w:r w:rsidR="00B86C31">
        <w:rPr>
          <w:rFonts w:eastAsia="Calibri"/>
        </w:rPr>
        <w:t xml:space="preserve"> 2, 2024</w:t>
      </w:r>
      <w:r w:rsidR="00C51C48">
        <w:rPr>
          <w:rFonts w:eastAsia="Calibri"/>
        </w:rPr>
        <w:t xml:space="preserve">. </w:t>
      </w:r>
      <w:r w:rsidR="00270FE3">
        <w:rPr>
          <w:rFonts w:eastAsia="Calibri"/>
        </w:rPr>
        <w:t xml:space="preserve"> </w:t>
      </w:r>
      <w:r w:rsidR="006934A4">
        <w:rPr>
          <w:rFonts w:eastAsia="Calibri"/>
        </w:rPr>
        <w:t xml:space="preserve"> </w:t>
      </w:r>
    </w:p>
    <w:p w:rsidR="00B45E99" w:rsidP="00824ADF" w14:paraId="2209CA9D" w14:textId="0F7786D1">
      <w:pPr>
        <w:spacing w:after="200" w:line="276" w:lineRule="auto"/>
        <w:ind w:left="2160" w:hanging="2160"/>
        <w:rPr>
          <w:rFonts w:eastAsia="Calibri"/>
          <w:b/>
          <w:bCs/>
        </w:rPr>
      </w:pPr>
      <w:r w:rsidRPr="118A5B19">
        <w:rPr>
          <w:rFonts w:eastAsia="Calibri"/>
          <w:b/>
          <w:bCs/>
        </w:rPr>
        <w:t>Burden:</w:t>
      </w:r>
      <w:r>
        <w:tab/>
      </w:r>
      <w:r>
        <w:rPr>
          <w:rFonts w:eastAsia="Calibri"/>
        </w:rPr>
        <w:t xml:space="preserve">HRSA is requesting an </w:t>
      </w:r>
      <w:r w:rsidR="008D63F3">
        <w:rPr>
          <w:rFonts w:eastAsia="Calibri"/>
        </w:rPr>
        <w:t xml:space="preserve">increase </w:t>
      </w:r>
      <w:r>
        <w:rPr>
          <w:rFonts w:eastAsia="Calibri"/>
        </w:rPr>
        <w:t>of 38,977 respon</w:t>
      </w:r>
      <w:r w:rsidR="008D63F3">
        <w:rPr>
          <w:rFonts w:eastAsia="Calibri"/>
        </w:rPr>
        <w:t>ses</w:t>
      </w:r>
      <w:r>
        <w:rPr>
          <w:rFonts w:eastAsia="Calibri"/>
        </w:rPr>
        <w:t xml:space="preserve"> and 1,795 burden hours </w:t>
      </w:r>
      <w:r w:rsidR="008D63F3">
        <w:rPr>
          <w:rFonts w:eastAsia="Calibri"/>
        </w:rPr>
        <w:t xml:space="preserve">for the number of survey responses that HRSA can collect under this </w:t>
      </w:r>
      <w:r w:rsidR="00DA773D">
        <w:rPr>
          <w:rFonts w:eastAsia="Calibri"/>
        </w:rPr>
        <w:t>u</w:t>
      </w:r>
      <w:r w:rsidR="008D63F3">
        <w:rPr>
          <w:rFonts w:eastAsia="Calibri"/>
        </w:rPr>
        <w:t xml:space="preserve">mbrella ICR for the full 3-year period. </w:t>
      </w:r>
      <w:r w:rsidR="00B360D4">
        <w:rPr>
          <w:rFonts w:eastAsia="Calibri"/>
        </w:rPr>
        <w:t xml:space="preserve"> The new total number of responses is </w:t>
      </w:r>
      <w:r w:rsidRPr="00B360D4" w:rsidR="00B360D4">
        <w:rPr>
          <w:rFonts w:eastAsia="Calibri"/>
        </w:rPr>
        <w:t>136</w:t>
      </w:r>
      <w:r w:rsidR="00B360D4">
        <w:rPr>
          <w:rFonts w:eastAsia="Calibri"/>
        </w:rPr>
        <w:t>,</w:t>
      </w:r>
      <w:r w:rsidRPr="00B360D4" w:rsidR="00B360D4">
        <w:rPr>
          <w:rFonts w:eastAsia="Calibri"/>
        </w:rPr>
        <w:t>977</w:t>
      </w:r>
      <w:r w:rsidR="00B360D4">
        <w:rPr>
          <w:rFonts w:eastAsia="Calibri"/>
        </w:rPr>
        <w:t xml:space="preserve">, the new total burden hours is </w:t>
      </w:r>
      <w:r w:rsidRPr="00B360D4" w:rsidR="00B360D4">
        <w:rPr>
          <w:rFonts w:eastAsia="Calibri"/>
        </w:rPr>
        <w:t>15</w:t>
      </w:r>
      <w:r w:rsidR="00B360D4">
        <w:rPr>
          <w:rFonts w:eastAsia="Calibri"/>
        </w:rPr>
        <w:t>,</w:t>
      </w:r>
      <w:r w:rsidRPr="00B360D4" w:rsidR="00B360D4">
        <w:rPr>
          <w:rFonts w:eastAsia="Calibri"/>
        </w:rPr>
        <w:t>045</w:t>
      </w:r>
      <w:r w:rsidR="00B360D4">
        <w:rPr>
          <w:rFonts w:eastAsia="Calibri"/>
        </w:rPr>
        <w:t xml:space="preserve">. </w:t>
      </w:r>
    </w:p>
    <w:p w:rsidR="00B92B6C" w:rsidRPr="00B92B6C" w:rsidP="00B86C31" w14:paraId="2B40BE0E" w14:textId="6CAEB48F">
      <w:pPr>
        <w:spacing w:after="200" w:line="276" w:lineRule="auto"/>
        <w:ind w:left="2160" w:hanging="2160"/>
        <w:rPr>
          <w:rFonts w:eastAsia="Calibri"/>
        </w:rPr>
      </w:pP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9" name="Picture 9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892768734" name="Picture 892768734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68734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7302">
    <w:abstractNumId w:val="1"/>
  </w:num>
  <w:num w:numId="2" w16cid:durableId="1189493300">
    <w:abstractNumId w:val="0"/>
  </w:num>
  <w:num w:numId="3" w16cid:durableId="1131703119">
    <w:abstractNumId w:val="4"/>
  </w:num>
  <w:num w:numId="4" w16cid:durableId="77140030">
    <w:abstractNumId w:val="5"/>
  </w:num>
  <w:num w:numId="5" w16cid:durableId="818227811">
    <w:abstractNumId w:val="2"/>
  </w:num>
  <w:num w:numId="6" w16cid:durableId="412043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45B42"/>
    <w:rsid w:val="00053774"/>
    <w:rsid w:val="00054659"/>
    <w:rsid w:val="00077FC4"/>
    <w:rsid w:val="00086224"/>
    <w:rsid w:val="00086A3E"/>
    <w:rsid w:val="000A7DE4"/>
    <w:rsid w:val="000D2751"/>
    <w:rsid w:val="000D4ED8"/>
    <w:rsid w:val="000D53AA"/>
    <w:rsid w:val="000E7CCD"/>
    <w:rsid w:val="000F2103"/>
    <w:rsid w:val="00122B02"/>
    <w:rsid w:val="00126866"/>
    <w:rsid w:val="00141E59"/>
    <w:rsid w:val="00142733"/>
    <w:rsid w:val="0014398B"/>
    <w:rsid w:val="00161207"/>
    <w:rsid w:val="00161D18"/>
    <w:rsid w:val="001626D3"/>
    <w:rsid w:val="00164155"/>
    <w:rsid w:val="001709E2"/>
    <w:rsid w:val="00184624"/>
    <w:rsid w:val="00190C2F"/>
    <w:rsid w:val="00191CE9"/>
    <w:rsid w:val="00193E7F"/>
    <w:rsid w:val="001A5F8A"/>
    <w:rsid w:val="001C250A"/>
    <w:rsid w:val="001E08B7"/>
    <w:rsid w:val="001E257B"/>
    <w:rsid w:val="001F7458"/>
    <w:rsid w:val="00204028"/>
    <w:rsid w:val="00233631"/>
    <w:rsid w:val="00254744"/>
    <w:rsid w:val="002558F1"/>
    <w:rsid w:val="00255B93"/>
    <w:rsid w:val="0025694D"/>
    <w:rsid w:val="00270D9F"/>
    <w:rsid w:val="00270FE3"/>
    <w:rsid w:val="002774D5"/>
    <w:rsid w:val="002940FF"/>
    <w:rsid w:val="002B17DB"/>
    <w:rsid w:val="002B1E19"/>
    <w:rsid w:val="002B2C62"/>
    <w:rsid w:val="002C0769"/>
    <w:rsid w:val="00301C0B"/>
    <w:rsid w:val="00310E49"/>
    <w:rsid w:val="00332AC4"/>
    <w:rsid w:val="00334D1E"/>
    <w:rsid w:val="003544DE"/>
    <w:rsid w:val="0037258C"/>
    <w:rsid w:val="003747B2"/>
    <w:rsid w:val="00383ECD"/>
    <w:rsid w:val="003901DB"/>
    <w:rsid w:val="003A6602"/>
    <w:rsid w:val="003B2616"/>
    <w:rsid w:val="003B3248"/>
    <w:rsid w:val="003D33F5"/>
    <w:rsid w:val="003D4040"/>
    <w:rsid w:val="003E0442"/>
    <w:rsid w:val="003F0F33"/>
    <w:rsid w:val="004418A1"/>
    <w:rsid w:val="00441EE8"/>
    <w:rsid w:val="004473B6"/>
    <w:rsid w:val="00456345"/>
    <w:rsid w:val="00467E88"/>
    <w:rsid w:val="004870F0"/>
    <w:rsid w:val="00493F65"/>
    <w:rsid w:val="004A289E"/>
    <w:rsid w:val="004A3B9D"/>
    <w:rsid w:val="004C5BA6"/>
    <w:rsid w:val="004E2CDF"/>
    <w:rsid w:val="004E6DD2"/>
    <w:rsid w:val="004E733E"/>
    <w:rsid w:val="005114FA"/>
    <w:rsid w:val="00512E18"/>
    <w:rsid w:val="005302CD"/>
    <w:rsid w:val="005439D1"/>
    <w:rsid w:val="0055021B"/>
    <w:rsid w:val="005725D4"/>
    <w:rsid w:val="00573D0B"/>
    <w:rsid w:val="00574FDB"/>
    <w:rsid w:val="0057786D"/>
    <w:rsid w:val="005950E5"/>
    <w:rsid w:val="005B1738"/>
    <w:rsid w:val="005B3157"/>
    <w:rsid w:val="005E064E"/>
    <w:rsid w:val="0061313F"/>
    <w:rsid w:val="00614C26"/>
    <w:rsid w:val="00616B50"/>
    <w:rsid w:val="006272EB"/>
    <w:rsid w:val="0063324E"/>
    <w:rsid w:val="006408E7"/>
    <w:rsid w:val="00650FE2"/>
    <w:rsid w:val="006562F9"/>
    <w:rsid w:val="00657689"/>
    <w:rsid w:val="00657C22"/>
    <w:rsid w:val="00671F80"/>
    <w:rsid w:val="00680233"/>
    <w:rsid w:val="006934A4"/>
    <w:rsid w:val="00696C96"/>
    <w:rsid w:val="006A0213"/>
    <w:rsid w:val="006A4E88"/>
    <w:rsid w:val="006A5A87"/>
    <w:rsid w:val="006C099B"/>
    <w:rsid w:val="006C30A6"/>
    <w:rsid w:val="006D6D68"/>
    <w:rsid w:val="00714AC6"/>
    <w:rsid w:val="007177BC"/>
    <w:rsid w:val="0072161F"/>
    <w:rsid w:val="007261EE"/>
    <w:rsid w:val="007279C1"/>
    <w:rsid w:val="00734E77"/>
    <w:rsid w:val="00754D00"/>
    <w:rsid w:val="00782ABF"/>
    <w:rsid w:val="00783738"/>
    <w:rsid w:val="0078631F"/>
    <w:rsid w:val="0079084A"/>
    <w:rsid w:val="00791085"/>
    <w:rsid w:val="00793E52"/>
    <w:rsid w:val="007A3FC7"/>
    <w:rsid w:val="007B07DB"/>
    <w:rsid w:val="007B6733"/>
    <w:rsid w:val="007F4058"/>
    <w:rsid w:val="0081548F"/>
    <w:rsid w:val="00816253"/>
    <w:rsid w:val="00824ADF"/>
    <w:rsid w:val="00827ADF"/>
    <w:rsid w:val="00865C53"/>
    <w:rsid w:val="00867179"/>
    <w:rsid w:val="008672A0"/>
    <w:rsid w:val="00873737"/>
    <w:rsid w:val="00875450"/>
    <w:rsid w:val="0089448C"/>
    <w:rsid w:val="008A09BF"/>
    <w:rsid w:val="008A3EF2"/>
    <w:rsid w:val="008A415A"/>
    <w:rsid w:val="008C5FD9"/>
    <w:rsid w:val="008C7857"/>
    <w:rsid w:val="008D25BE"/>
    <w:rsid w:val="008D35DB"/>
    <w:rsid w:val="008D4322"/>
    <w:rsid w:val="008D5DDD"/>
    <w:rsid w:val="008D63F3"/>
    <w:rsid w:val="008E1E20"/>
    <w:rsid w:val="008E6BB9"/>
    <w:rsid w:val="0090482D"/>
    <w:rsid w:val="009079C5"/>
    <w:rsid w:val="00914F17"/>
    <w:rsid w:val="00920EE1"/>
    <w:rsid w:val="00924853"/>
    <w:rsid w:val="00942426"/>
    <w:rsid w:val="00943979"/>
    <w:rsid w:val="0094649B"/>
    <w:rsid w:val="00971770"/>
    <w:rsid w:val="009A60CA"/>
    <w:rsid w:val="009B37A2"/>
    <w:rsid w:val="009C3060"/>
    <w:rsid w:val="009C34AD"/>
    <w:rsid w:val="009C61FB"/>
    <w:rsid w:val="009E2112"/>
    <w:rsid w:val="009E2189"/>
    <w:rsid w:val="009E6D0C"/>
    <w:rsid w:val="009F1FA3"/>
    <w:rsid w:val="00A06906"/>
    <w:rsid w:val="00A1536E"/>
    <w:rsid w:val="00A31978"/>
    <w:rsid w:val="00A31D65"/>
    <w:rsid w:val="00A60A57"/>
    <w:rsid w:val="00A73790"/>
    <w:rsid w:val="00AC73BA"/>
    <w:rsid w:val="00AD2260"/>
    <w:rsid w:val="00AF3431"/>
    <w:rsid w:val="00AF6A02"/>
    <w:rsid w:val="00B0690E"/>
    <w:rsid w:val="00B1243A"/>
    <w:rsid w:val="00B25482"/>
    <w:rsid w:val="00B360D4"/>
    <w:rsid w:val="00B45E99"/>
    <w:rsid w:val="00B50762"/>
    <w:rsid w:val="00B6725E"/>
    <w:rsid w:val="00B727B5"/>
    <w:rsid w:val="00B81189"/>
    <w:rsid w:val="00B820BA"/>
    <w:rsid w:val="00B86A41"/>
    <w:rsid w:val="00B86C31"/>
    <w:rsid w:val="00B92B6C"/>
    <w:rsid w:val="00BB3521"/>
    <w:rsid w:val="00BD0FD5"/>
    <w:rsid w:val="00C06EF5"/>
    <w:rsid w:val="00C23BA3"/>
    <w:rsid w:val="00C251B3"/>
    <w:rsid w:val="00C33C03"/>
    <w:rsid w:val="00C456A8"/>
    <w:rsid w:val="00C46224"/>
    <w:rsid w:val="00C5131A"/>
    <w:rsid w:val="00C51C48"/>
    <w:rsid w:val="00C51FB0"/>
    <w:rsid w:val="00C6196F"/>
    <w:rsid w:val="00C65821"/>
    <w:rsid w:val="00C65F04"/>
    <w:rsid w:val="00C76C18"/>
    <w:rsid w:val="00C80514"/>
    <w:rsid w:val="00C863D6"/>
    <w:rsid w:val="00C91D3D"/>
    <w:rsid w:val="00CA0734"/>
    <w:rsid w:val="00CA30CB"/>
    <w:rsid w:val="00CA698A"/>
    <w:rsid w:val="00CB6679"/>
    <w:rsid w:val="00CC418A"/>
    <w:rsid w:val="00CD3335"/>
    <w:rsid w:val="00CD382D"/>
    <w:rsid w:val="00CD6D52"/>
    <w:rsid w:val="00CF3D1C"/>
    <w:rsid w:val="00D00DA9"/>
    <w:rsid w:val="00D030FA"/>
    <w:rsid w:val="00D07DD8"/>
    <w:rsid w:val="00D1135B"/>
    <w:rsid w:val="00D3225E"/>
    <w:rsid w:val="00D46292"/>
    <w:rsid w:val="00D47431"/>
    <w:rsid w:val="00D561ED"/>
    <w:rsid w:val="00D612EC"/>
    <w:rsid w:val="00D66D58"/>
    <w:rsid w:val="00D72BAB"/>
    <w:rsid w:val="00D8185D"/>
    <w:rsid w:val="00D91EA3"/>
    <w:rsid w:val="00D972E0"/>
    <w:rsid w:val="00DA773D"/>
    <w:rsid w:val="00DB2D70"/>
    <w:rsid w:val="00DB2ED0"/>
    <w:rsid w:val="00DB44FF"/>
    <w:rsid w:val="00DC13B0"/>
    <w:rsid w:val="00DC6335"/>
    <w:rsid w:val="00DD0EDB"/>
    <w:rsid w:val="00DD5293"/>
    <w:rsid w:val="00DE2FF6"/>
    <w:rsid w:val="00DF2527"/>
    <w:rsid w:val="00DF2945"/>
    <w:rsid w:val="00DF4076"/>
    <w:rsid w:val="00DF41D5"/>
    <w:rsid w:val="00E03B62"/>
    <w:rsid w:val="00E10C70"/>
    <w:rsid w:val="00E14FD5"/>
    <w:rsid w:val="00E25523"/>
    <w:rsid w:val="00E40EEC"/>
    <w:rsid w:val="00E471B0"/>
    <w:rsid w:val="00E47B16"/>
    <w:rsid w:val="00E60EC9"/>
    <w:rsid w:val="00E712E8"/>
    <w:rsid w:val="00E7389F"/>
    <w:rsid w:val="00E76C0F"/>
    <w:rsid w:val="00E90041"/>
    <w:rsid w:val="00E974A7"/>
    <w:rsid w:val="00EB1D65"/>
    <w:rsid w:val="00EB5375"/>
    <w:rsid w:val="00EC7B82"/>
    <w:rsid w:val="00ED3264"/>
    <w:rsid w:val="00ED3751"/>
    <w:rsid w:val="00EE3B20"/>
    <w:rsid w:val="00EE676F"/>
    <w:rsid w:val="00EF41AD"/>
    <w:rsid w:val="00F15689"/>
    <w:rsid w:val="00F23997"/>
    <w:rsid w:val="00F25576"/>
    <w:rsid w:val="00F609B2"/>
    <w:rsid w:val="00F8193D"/>
    <w:rsid w:val="00F90AEE"/>
    <w:rsid w:val="00FB215E"/>
    <w:rsid w:val="00FB4481"/>
    <w:rsid w:val="00FC1E4D"/>
    <w:rsid w:val="00FE6659"/>
    <w:rsid w:val="118A5B19"/>
    <w:rsid w:val="3C8F4FD9"/>
    <w:rsid w:val="585C1C21"/>
    <w:rsid w:val="66B1907D"/>
    <w:rsid w:val="67CA327D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paragraph" w:styleId="Revision">
    <w:name w:val="Revision"/>
    <w:hidden/>
    <w:uiPriority w:val="99"/>
    <w:semiHidden/>
    <w:rsid w:val="00DD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D9414765D524DA28632E683BD9EE0" ma:contentTypeVersion="9" ma:contentTypeDescription="Create a new document." ma:contentTypeScope="" ma:versionID="ece8df2cb1eb8a1cf523745a9e40affb">
  <xsd:schema xmlns:xsd="http://www.w3.org/2001/XMLSchema" xmlns:xs="http://www.w3.org/2001/XMLSchema" xmlns:p="http://schemas.microsoft.com/office/2006/metadata/properties" xmlns:ns2="68c2e6f3-6ea4-42c3-835e-44e49d8f3a1e" xmlns:ns3="b07d60d0-a851-40d7-ab0c-f280ece78be0" targetNamespace="http://schemas.microsoft.com/office/2006/metadata/properties" ma:root="true" ma:fieldsID="f8c52327037f98f5087d7ba2d59cf34c" ns2:_="" ns3:_="">
    <xsd:import namespace="68c2e6f3-6ea4-42c3-835e-44e49d8f3a1e"/>
    <xsd:import namespace="b07d60d0-a851-40d7-ab0c-f280ece78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CurrentVersion_x003f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0d0-a851-40d7-ab0c-f280ece78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CurrentVersion_x003f_" ma:index="13" nillable="true" ma:displayName="Current Version?" ma:default="1" ma:format="Dropdown" ma:internalName="CurrentVersion_x003f_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5C3YEWZCVWVS-1743964322-48</_dlc_DocId>
    <_dlc_DocIdUrl xmlns="68c2e6f3-6ea4-42c3-835e-44e49d8f3a1e">
      <Url>https://nih.sharepoint.com/sites/HRSA-OA-OPAE/_layouts/15/DocIdRedir.aspx?ID=5C3YEWZCVWVS-1743964322-48</Url>
      <Description>5C3YEWZCVWVS-1743964322-48</Description>
    </_dlc_DocIdUrl>
    <CurrentVersion_x003f_ xmlns="b07d60d0-a851-40d7-ab0c-f280ece78be0">true</CurrentVersion_x003f_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69A3F5-EA4C-4860-A80E-AB6F22311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e6f3-6ea4-42c3-835e-44e49d8f3a1e"/>
    <ds:schemaRef ds:uri="b07d60d0-a851-40d7-ab0c-f280ece7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CBF77-6372-4304-AA4D-BDF3FD9952C9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68c2e6f3-6ea4-42c3-835e-44e49d8f3a1e"/>
    <ds:schemaRef ds:uri="http://schemas.microsoft.com/office/2006/documentManagement/types"/>
    <ds:schemaRef ds:uri="b07d60d0-a851-40d7-ab0c-f280ece78be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HRSA</cp:lastModifiedBy>
  <cp:revision>34</cp:revision>
  <cp:lastPrinted>2015-10-27T13:28:00Z</cp:lastPrinted>
  <dcterms:created xsi:type="dcterms:W3CDTF">2021-02-19T18:17:00Z</dcterms:created>
  <dcterms:modified xsi:type="dcterms:W3CDTF">2024-06-28T18:40:00Z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0x01010047DD9414765D524DA28632E683BD9EE0</vt:lpwstr>
  </property>
  <property fmtid="{D5CDD505-2E9C-101B-9397-08002B2CF9AE}" pid="3" name="_dlc_DocIdItemGuid">
    <vt:lpwstr>3ae90248-15ff-438f-b04d-5ae8c7c5fd6d</vt:lpwstr>
  </property>
</Properties>
</file>