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7C8A" w:rsidP="00357C8A" w14:paraId="4B94D5A5" w14:textId="4387D7B0">
      <w:pPr>
        <w:jc w:val="center"/>
        <w:rPr>
          <w:rFonts w:eastAsia="Calibri"/>
        </w:rPr>
      </w:pPr>
    </w:p>
    <w:p w:rsidR="005D696D" w:rsidRPr="005D696D" w:rsidP="005D696D" w14:paraId="176D18BD" w14:textId="77777777">
      <w:pPr>
        <w:widowControl w:val="0"/>
        <w:jc w:val="center"/>
        <w:rPr>
          <w:snapToGrid w:val="0"/>
          <w:szCs w:val="20"/>
        </w:rPr>
      </w:pPr>
    </w:p>
    <w:p w:rsidR="005D696D" w:rsidRPr="00557991" w:rsidP="00740717" w14:paraId="695C5DF1" w14:textId="30C9E05C">
      <w:pPr>
        <w:widowControl w:val="0"/>
        <w:jc w:val="center"/>
        <w:rPr>
          <w:b/>
          <w:bCs/>
          <w:snapToGrid w:val="0"/>
          <w:szCs w:val="20"/>
        </w:rPr>
      </w:pPr>
      <w:r w:rsidRPr="00557991">
        <w:rPr>
          <w:b/>
          <w:bCs/>
          <w:snapToGrid w:val="0"/>
          <w:szCs w:val="20"/>
        </w:rPr>
        <w:t>PRESCRIPTION DRUG ADVERTISEMENTS</w:t>
      </w:r>
    </w:p>
    <w:p w:rsidR="00B453FB" w:rsidRPr="00557991" w:rsidP="00740717" w14:paraId="2DEB10D6" w14:textId="5D7899CF">
      <w:pPr>
        <w:widowControl w:val="0"/>
        <w:jc w:val="center"/>
        <w:rPr>
          <w:b/>
          <w:bCs/>
          <w:snapToGrid w:val="0"/>
          <w:szCs w:val="20"/>
        </w:rPr>
      </w:pPr>
      <w:r w:rsidRPr="00557991">
        <w:rPr>
          <w:b/>
          <w:bCs/>
          <w:snapToGrid w:val="0"/>
          <w:szCs w:val="20"/>
        </w:rPr>
        <w:t>21 CFR PART 202</w:t>
      </w:r>
    </w:p>
    <w:p w:rsidR="00357C8A" w:rsidP="00357C8A" w14:paraId="3DEEC669" w14:textId="77777777">
      <w:pPr>
        <w:jc w:val="center"/>
        <w:rPr>
          <w:rFonts w:eastAsia="Calibri"/>
        </w:rPr>
      </w:pPr>
    </w:p>
    <w:p w:rsidR="00D4437D" w:rsidP="00357C8A" w14:paraId="09A3249F" w14:textId="738FB3A1">
      <w:pPr>
        <w:jc w:val="center"/>
        <w:rPr>
          <w:rFonts w:eastAsia="Calibri"/>
        </w:rPr>
      </w:pPr>
      <w:r w:rsidRPr="00B453FB">
        <w:rPr>
          <w:rFonts w:eastAsia="Calibri"/>
          <w:u w:val="single"/>
        </w:rPr>
        <w:t>OMB Control No.0910-</w:t>
      </w:r>
      <w:r w:rsidRPr="00B453FB" w:rsidR="005D696D">
        <w:rPr>
          <w:rFonts w:eastAsia="Calibri"/>
          <w:u w:val="single"/>
        </w:rPr>
        <w:t>0686</w:t>
      </w:r>
      <w:r>
        <w:rPr>
          <w:rFonts w:eastAsia="Calibri"/>
          <w:u w:val="single"/>
        </w:rPr>
        <w:t xml:space="preserve"> – Revision</w:t>
      </w:r>
    </w:p>
    <w:p w:rsidR="008D1C77" w:rsidRPr="008D1C77" w:rsidP="00357C8A" w14:paraId="363569B0" w14:textId="77777777">
      <w:pPr>
        <w:jc w:val="center"/>
        <w:rPr>
          <w:rFonts w:eastAsia="Calibri"/>
        </w:rPr>
      </w:pPr>
    </w:p>
    <w:p w:rsidR="00357C8A" w:rsidRPr="00B453FB" w:rsidP="00357C8A" w14:paraId="52FFAE30" w14:textId="35DA91B0">
      <w:pPr>
        <w:jc w:val="center"/>
        <w:rPr>
          <w:rFonts w:eastAsia="Calibri"/>
          <w:u w:val="single"/>
        </w:rPr>
      </w:pPr>
      <w:r>
        <w:rPr>
          <w:rFonts w:eastAsia="Calibri"/>
          <w:u w:val="single"/>
        </w:rPr>
        <w:t>RIN 0910-AG</w:t>
      </w:r>
      <w:r w:rsidR="00E846AB">
        <w:rPr>
          <w:rFonts w:eastAsia="Calibri"/>
          <w:u w:val="single"/>
        </w:rPr>
        <w:t>27</w:t>
      </w:r>
      <w:r>
        <w:rPr>
          <w:rFonts w:eastAsia="Calibri"/>
          <w:u w:val="single"/>
        </w:rPr>
        <w:t>:</w:t>
      </w:r>
      <w:r w:rsidRPr="008D1C77">
        <w:rPr>
          <w:rFonts w:eastAsia="Calibri"/>
          <w:i/>
          <w:iCs/>
        </w:rPr>
        <w:t xml:space="preserve">  </w:t>
      </w:r>
      <w:r w:rsidRPr="008D1C77" w:rsidR="00443F6B">
        <w:rPr>
          <w:rFonts w:eastAsia="Calibri"/>
          <w:i/>
          <w:iCs/>
        </w:rPr>
        <w:t>Direct-to-Consumer Prescription Drug Advertisements: Presentation of the Major Statement in a Clear, Conspicuous, and Neutral Manner in Advertisements in Television and Radio Format</w:t>
      </w:r>
      <w:r w:rsidRPr="008D1C77" w:rsidR="00E846AB">
        <w:rPr>
          <w:rFonts w:eastAsia="Calibri"/>
          <w:i/>
          <w:iCs/>
        </w:rPr>
        <w:t xml:space="preserve"> – </w:t>
      </w:r>
      <w:r w:rsidRPr="008D1C77" w:rsidR="00973BB2">
        <w:rPr>
          <w:rFonts w:eastAsia="Calibri"/>
          <w:i/>
          <w:iCs/>
        </w:rPr>
        <w:t>Final Rule</w:t>
      </w:r>
    </w:p>
    <w:p w:rsidR="00357C8A" w:rsidP="00357C8A" w14:paraId="3656B9AB" w14:textId="77777777">
      <w:pPr>
        <w:jc w:val="center"/>
        <w:rPr>
          <w:rFonts w:eastAsia="Calibri"/>
        </w:rPr>
      </w:pPr>
    </w:p>
    <w:p w:rsidR="00357C8A" w:rsidP="00357C8A" w14:paraId="2C2BCB7B" w14:textId="77777777">
      <w:pPr>
        <w:jc w:val="center"/>
        <w:rPr>
          <w:rFonts w:eastAsia="Calibri"/>
        </w:rPr>
      </w:pPr>
      <w:r w:rsidRPr="00357C8A">
        <w:rPr>
          <w:rFonts w:eastAsia="Calibri"/>
        </w:rPr>
        <w:t>SUPPORTING STATEMENT</w:t>
      </w:r>
    </w:p>
    <w:p w:rsidR="00357C8A" w:rsidRPr="00357C8A" w:rsidP="00357C8A" w14:paraId="049F31CB" w14:textId="77777777">
      <w:pPr>
        <w:rPr>
          <w:rFonts w:eastAsia="Calibri"/>
          <w:b/>
        </w:rPr>
      </w:pPr>
    </w:p>
    <w:p w:rsidR="00357C8A" w:rsidP="000D79CC" w14:paraId="436C6022" w14:textId="77777777">
      <w:pPr>
        <w:rPr>
          <w:rFonts w:eastAsia="Calibri"/>
        </w:rPr>
      </w:pPr>
      <w:r w:rsidRPr="00357C8A">
        <w:rPr>
          <w:rFonts w:eastAsia="Calibri"/>
          <w:b/>
        </w:rPr>
        <w:t>Part A:  Justification</w:t>
      </w:r>
      <w:r w:rsidRPr="00357C8A">
        <w:rPr>
          <w:rFonts w:eastAsia="Calibri"/>
        </w:rPr>
        <w:t>:</w:t>
      </w:r>
    </w:p>
    <w:p w:rsidR="000D79CC" w:rsidRPr="00357C8A" w:rsidP="000D79CC" w14:paraId="53128261" w14:textId="77777777">
      <w:pPr>
        <w:rPr>
          <w:rFonts w:eastAsia="Calibri"/>
        </w:rPr>
      </w:pPr>
    </w:p>
    <w:p w:rsidR="00357C8A" w:rsidRPr="00357C8A" w:rsidP="006705EA" w14:paraId="465D4D07" w14:textId="77777777">
      <w:pPr>
        <w:numPr>
          <w:ilvl w:val="0"/>
          <w:numId w:val="6"/>
        </w:numPr>
        <w:spacing w:after="200" w:line="276" w:lineRule="auto"/>
        <w:rPr>
          <w:rFonts w:eastAsia="Calibri"/>
        </w:rPr>
      </w:pPr>
      <w:r w:rsidRPr="00357C8A">
        <w:rPr>
          <w:rFonts w:eastAsia="Calibri"/>
          <w:u w:val="single"/>
        </w:rPr>
        <w:t>Circumstances Making the Collection of Information Necessary</w:t>
      </w:r>
    </w:p>
    <w:p w:rsidR="00706E3E" w:rsidP="00706E3E" w14:paraId="45A2882E" w14:textId="7CFD03AC">
      <w:r>
        <w:t>This information collection supports Food and Drug Administration (FD</w:t>
      </w:r>
      <w:r w:rsidR="00B4519B">
        <w:t xml:space="preserve">A) </w:t>
      </w:r>
      <w:r w:rsidR="00D4437D">
        <w:t>rulemaking.</w:t>
      </w:r>
      <w:r w:rsidR="0018668C">
        <w:t xml:space="preserve">  </w:t>
      </w:r>
      <w:r w:rsidRPr="00765BD5">
        <w:t xml:space="preserve">Section 502(n) of the </w:t>
      </w:r>
      <w:r w:rsidRPr="00765BD5" w:rsidR="002C581D">
        <w:t xml:space="preserve">Federal Food, Drug, and Cosmetic Act </w:t>
      </w:r>
      <w:r w:rsidR="002C581D">
        <w:t>(</w:t>
      </w:r>
      <w:r w:rsidR="00AE2F34">
        <w:t xml:space="preserve">the </w:t>
      </w:r>
      <w:r>
        <w:t>FD&amp;C A</w:t>
      </w:r>
      <w:r w:rsidRPr="00765BD5">
        <w:t>ct</w:t>
      </w:r>
      <w:r w:rsidR="002C581D">
        <w:t>)</w:t>
      </w:r>
      <w:r w:rsidRPr="00765BD5">
        <w:t xml:space="preserve"> (21 U.S.C. 352(n)) requires that manufacturers, packers, and distributors (</w:t>
      </w:r>
      <w:r w:rsidR="00B3386A">
        <w:t>firms</w:t>
      </w:r>
      <w:r w:rsidRPr="00765BD5">
        <w:t xml:space="preserve">) who advertise prescription human and animal drugs, including biological products for humans, disclose in advertisements certain information about the advertised product’s uses and risks.  </w:t>
      </w:r>
      <w:r w:rsidRPr="00BD5354" w:rsidR="00E93C78">
        <w:t xml:space="preserve">For prescription drugs and biologics, section 502(n) of the FD&amp;C Act requires advertisements to contain </w:t>
      </w:r>
      <w:r w:rsidRPr="00365449" w:rsidR="00E93C78">
        <w:rPr>
          <w:i/>
          <w:iCs/>
        </w:rPr>
        <w:t>“* * * a true statement * * *” of certain information including “* * * information in brief summary relating to side effects, contraindications, and effectiveness * * *</w:t>
      </w:r>
      <w:r w:rsidRPr="00BD5354" w:rsidR="00E93C78">
        <w:t xml:space="preserve">” as required by regulations issued by FDA.  </w:t>
      </w:r>
      <w:r w:rsidRPr="00765BD5">
        <w:t xml:space="preserve">  </w:t>
      </w:r>
    </w:p>
    <w:p w:rsidR="00706E3E" w:rsidP="00706E3E" w14:paraId="20172E0E" w14:textId="77777777"/>
    <w:p w:rsidR="00706E3E" w:rsidRPr="00DF5EA3" w:rsidP="00EA6A51" w14:paraId="60FDD02F" w14:textId="4F5E6C03">
      <w:pPr>
        <w:rPr>
          <w:iCs/>
        </w:rPr>
      </w:pPr>
      <w:r w:rsidRPr="00765BD5">
        <w:t xml:space="preserve">Currently, prescription drug advertising regulations in § 202.1 (21 CFR 202.1) describe requirements </w:t>
      </w:r>
      <w:r w:rsidR="007D2806">
        <w:t xml:space="preserve">and standards </w:t>
      </w:r>
      <w:r w:rsidRPr="00765BD5">
        <w:t xml:space="preserve">for print and broadcast advertisements.  Print advertisements must include a brief summary </w:t>
      </w:r>
      <w:r>
        <w:t>relating to side effects and contraindications f</w:t>
      </w:r>
      <w:r w:rsidRPr="00765BD5">
        <w:t>rom the product</w:t>
      </w:r>
      <w:r>
        <w:t>’s approved package labeling (§ </w:t>
      </w:r>
      <w:r w:rsidRPr="00765BD5">
        <w:t>202.1(e)(1))</w:t>
      </w:r>
      <w:r w:rsidR="006D0D69">
        <w:t>.</w:t>
      </w:r>
      <w:r w:rsidR="006A7EE9">
        <w:t xml:space="preserve"> </w:t>
      </w:r>
      <w:r w:rsidR="00E846AB">
        <w:t xml:space="preserve"> </w:t>
      </w:r>
      <w:r w:rsidRPr="00765BD5">
        <w:t>Advertisements broadcast through media such as television</w:t>
      </w:r>
      <w:r>
        <w:t xml:space="preserve"> and </w:t>
      </w:r>
      <w:r w:rsidRPr="00765BD5">
        <w:t xml:space="preserve">radio must disclose the major side effects and contraindications </w:t>
      </w:r>
      <w:r w:rsidR="005C104E">
        <w:t>(</w:t>
      </w:r>
      <w:r w:rsidR="00E23997">
        <w:t>commonly called the “</w:t>
      </w:r>
      <w:r w:rsidRPr="00E7003B" w:rsidR="00E23997">
        <w:rPr>
          <w:i/>
          <w:iCs/>
        </w:rPr>
        <w:t>major statement</w:t>
      </w:r>
      <w:r w:rsidR="00E846AB">
        <w:t>”</w:t>
      </w:r>
      <w:r w:rsidR="00E23997">
        <w:t xml:space="preserve">) </w:t>
      </w:r>
      <w:r w:rsidRPr="00765BD5">
        <w:t>of the advertised product in either the audio or audio and visu</w:t>
      </w:r>
      <w:r>
        <w:t xml:space="preserve">al parts of the presentation and make adequate provision for dissemination of the approved or permitted package labeling </w:t>
      </w:r>
      <w:r>
        <w:rPr>
          <w:i/>
        </w:rPr>
        <w:t xml:space="preserve">or </w:t>
      </w:r>
      <w:r>
        <w:t>must contain a brief summary of all necessary information related to side effects and contraindications (§ </w:t>
      </w:r>
      <w:r w:rsidRPr="00765BD5">
        <w:t>202.1(e)(1))</w:t>
      </w:r>
      <w:r>
        <w:t>.</w:t>
      </w:r>
      <w:r w:rsidR="00885DAF">
        <w:t xml:space="preserve">  </w:t>
      </w:r>
      <w:r w:rsidR="00E846AB">
        <w:t xml:space="preserve">We are </w:t>
      </w:r>
      <w:r w:rsidRPr="00765BD5" w:rsidR="0041486B">
        <w:t xml:space="preserve">amending </w:t>
      </w:r>
      <w:r w:rsidR="00861DD6">
        <w:t xml:space="preserve">the </w:t>
      </w:r>
      <w:r w:rsidRPr="00765BD5" w:rsidR="0041486B">
        <w:t>regulations</w:t>
      </w:r>
      <w:r w:rsidR="00E5615F">
        <w:t xml:space="preserve"> </w:t>
      </w:r>
      <w:r w:rsidR="00716CB8">
        <w:t xml:space="preserve">to </w:t>
      </w:r>
      <w:r w:rsidR="00E914A5">
        <w:t>implement</w:t>
      </w:r>
      <w:r w:rsidR="00EF386C">
        <w:t xml:space="preserve"> section 502(n)</w:t>
      </w:r>
      <w:r w:rsidR="00E57EFC">
        <w:t xml:space="preserve"> </w:t>
      </w:r>
      <w:r w:rsidR="00227046">
        <w:t>of the FD&amp;C Act</w:t>
      </w:r>
      <w:r w:rsidR="00CB028D">
        <w:t xml:space="preserve"> regarding </w:t>
      </w:r>
      <w:r w:rsidRPr="0031319F" w:rsidR="0031319F">
        <w:t xml:space="preserve">direct-to-consumer (DTC) advertisements for </w:t>
      </w:r>
      <w:r w:rsidR="003B6E82">
        <w:t xml:space="preserve">human </w:t>
      </w:r>
      <w:r w:rsidRPr="0031319F" w:rsidR="0031319F">
        <w:t>prescription drugs presented in television (TV) or radio forma</w:t>
      </w:r>
      <w:r w:rsidR="00CB028D">
        <w:t>t</w:t>
      </w:r>
      <w:r w:rsidR="00AC6827">
        <w:t xml:space="preserve"> and stating the name of the drug and </w:t>
      </w:r>
      <w:r w:rsidR="00987EB5">
        <w:t>its</w:t>
      </w:r>
      <w:r w:rsidR="00AC6827">
        <w:t xml:space="preserve"> condition</w:t>
      </w:r>
      <w:r w:rsidR="005816F9">
        <w:t>s of use</w:t>
      </w:r>
      <w:r w:rsidR="00CB028D">
        <w:t>.</w:t>
      </w:r>
      <w:r w:rsidR="00596849">
        <w:t xml:space="preserve">  </w:t>
      </w:r>
      <w:r w:rsidR="00952AD4">
        <w:rPr>
          <w:iCs/>
        </w:rPr>
        <w:t>Th</w:t>
      </w:r>
      <w:r w:rsidR="00585559">
        <w:rPr>
          <w:iCs/>
        </w:rPr>
        <w:t>e</w:t>
      </w:r>
      <w:r w:rsidR="00952AD4">
        <w:rPr>
          <w:iCs/>
        </w:rPr>
        <w:t xml:space="preserve"> regulation </w:t>
      </w:r>
      <w:r w:rsidR="00D851E4">
        <w:rPr>
          <w:iCs/>
        </w:rPr>
        <w:t xml:space="preserve">does </w:t>
      </w:r>
      <w:r w:rsidR="00952AD4">
        <w:rPr>
          <w:iCs/>
        </w:rPr>
        <w:t xml:space="preserve">not change </w:t>
      </w:r>
      <w:r w:rsidR="00585559">
        <w:rPr>
          <w:iCs/>
        </w:rPr>
        <w:t xml:space="preserve">current </w:t>
      </w:r>
      <w:r w:rsidR="00952AD4">
        <w:rPr>
          <w:iCs/>
        </w:rPr>
        <w:t>requirements for any</w:t>
      </w:r>
      <w:r w:rsidR="00D851E4">
        <w:rPr>
          <w:iCs/>
        </w:rPr>
        <w:t xml:space="preserve"> prescription drug advertisement </w:t>
      </w:r>
      <w:r w:rsidR="005B2AC9">
        <w:rPr>
          <w:iCs/>
        </w:rPr>
        <w:t>for animals</w:t>
      </w:r>
      <w:r w:rsidR="00585559">
        <w:rPr>
          <w:iCs/>
        </w:rPr>
        <w:t>,</w:t>
      </w:r>
      <w:r w:rsidR="005B2AC9">
        <w:rPr>
          <w:iCs/>
        </w:rPr>
        <w:t xml:space="preserve"> </w:t>
      </w:r>
      <w:r w:rsidR="00D851E4">
        <w:rPr>
          <w:iCs/>
        </w:rPr>
        <w:t xml:space="preserve">nor </w:t>
      </w:r>
      <w:r w:rsidR="00DF5EA3">
        <w:rPr>
          <w:iCs/>
        </w:rPr>
        <w:t xml:space="preserve">does it change disclosure requirements </w:t>
      </w:r>
      <w:r w:rsidR="00D851E4">
        <w:rPr>
          <w:iCs/>
        </w:rPr>
        <w:t>for</w:t>
      </w:r>
      <w:r w:rsidR="00516D34">
        <w:rPr>
          <w:iCs/>
        </w:rPr>
        <w:t xml:space="preserve"> print</w:t>
      </w:r>
      <w:r w:rsidR="000452E5">
        <w:rPr>
          <w:iCs/>
        </w:rPr>
        <w:t xml:space="preserve"> prescription drug advertisements</w:t>
      </w:r>
      <w:r w:rsidR="005B2AC9">
        <w:rPr>
          <w:iCs/>
        </w:rPr>
        <w:t xml:space="preserve"> </w:t>
      </w:r>
      <w:r w:rsidR="00516D34">
        <w:rPr>
          <w:iCs/>
        </w:rPr>
        <w:t>for humans</w:t>
      </w:r>
      <w:r w:rsidR="000452E5">
        <w:rPr>
          <w:iCs/>
        </w:rPr>
        <w:t xml:space="preserve">. </w:t>
      </w:r>
    </w:p>
    <w:p w:rsidR="00EA6A51" w:rsidP="00706E3E" w14:paraId="6984B88C" w14:textId="77777777"/>
    <w:p w:rsidR="00706E3E" w:rsidRPr="00765BD5" w:rsidP="00706E3E" w14:paraId="04287BF6" w14:textId="60A631F7">
      <w:r>
        <w:t xml:space="preserve">We therefore request OMB approval for the information collection provisions </w:t>
      </w:r>
      <w:r w:rsidR="00266052">
        <w:t>set forth in this final rule and</w:t>
      </w:r>
      <w:r w:rsidR="00593FF7">
        <w:t xml:space="preserve"> </w:t>
      </w:r>
      <w:r>
        <w:t>discussed in this supporting statement.</w:t>
      </w:r>
    </w:p>
    <w:p w:rsidR="002E7925" w:rsidRPr="002E7925" w:rsidP="002E7925" w14:paraId="3385B406" w14:textId="77777777">
      <w:pPr>
        <w:widowControl w:val="0"/>
        <w:rPr>
          <w:snapToGrid w:val="0"/>
          <w:szCs w:val="20"/>
        </w:rPr>
      </w:pPr>
    </w:p>
    <w:p w:rsidR="00596849" w14:paraId="445D1EA0" w14:textId="77777777">
      <w:pPr>
        <w:rPr>
          <w:rFonts w:eastAsia="Calibri"/>
          <w:u w:val="single"/>
        </w:rPr>
      </w:pPr>
      <w:r>
        <w:rPr>
          <w:rFonts w:eastAsia="Calibri"/>
          <w:u w:val="single"/>
        </w:rPr>
        <w:br w:type="page"/>
      </w:r>
    </w:p>
    <w:p w:rsidR="00357C8A" w:rsidRPr="00357C8A" w:rsidP="006705EA" w14:paraId="39D1A85E" w14:textId="3DCEDF66">
      <w:pPr>
        <w:numPr>
          <w:ilvl w:val="0"/>
          <w:numId w:val="6"/>
        </w:numPr>
        <w:spacing w:after="200" w:line="276" w:lineRule="auto"/>
        <w:rPr>
          <w:rFonts w:eastAsia="Calibri"/>
          <w:u w:val="single"/>
        </w:rPr>
      </w:pPr>
      <w:r w:rsidRPr="00357C8A">
        <w:rPr>
          <w:rFonts w:eastAsia="Calibri"/>
          <w:u w:val="single"/>
        </w:rPr>
        <w:t xml:space="preserve">Purpose and Use of the Information Collection </w:t>
      </w:r>
    </w:p>
    <w:p w:rsidR="009818A1" w:rsidP="00BD06B3" w14:paraId="0B36EA07" w14:textId="603DD8A9">
      <w:r>
        <w:t xml:space="preserve">As required by the regulation, </w:t>
      </w:r>
      <w:r w:rsidR="00810EA3">
        <w:t xml:space="preserve">in </w:t>
      </w:r>
      <w:r w:rsidRPr="0031319F" w:rsidR="001E02AB">
        <w:t xml:space="preserve">DTC advertisements for </w:t>
      </w:r>
      <w:r w:rsidR="001E02AB">
        <w:t xml:space="preserve">human </w:t>
      </w:r>
      <w:r w:rsidRPr="0031319F" w:rsidR="001E02AB">
        <w:t>prescription drugs presented in TV or radio forma</w:t>
      </w:r>
      <w:r w:rsidR="001E02AB">
        <w:t>t and stating the name of the drug and its conditions of use</w:t>
      </w:r>
      <w:r w:rsidR="00272AEA">
        <w:t xml:space="preserve"> (DTC TV/radio ads)</w:t>
      </w:r>
      <w:r w:rsidR="00810EA3">
        <w:t xml:space="preserve">, </w:t>
      </w:r>
      <w:r w:rsidR="002F7549">
        <w:t>t</w:t>
      </w:r>
      <w:r w:rsidR="00EB3527">
        <w:t xml:space="preserve">he </w:t>
      </w:r>
      <w:r w:rsidR="0038171F">
        <w:t>disclosure of</w:t>
      </w:r>
      <w:r w:rsidR="006A65E3">
        <w:t xml:space="preserve"> the major statement in a presentation that is clear, conspicuous</w:t>
      </w:r>
      <w:r w:rsidR="00596849">
        <w:t>,</w:t>
      </w:r>
      <w:r w:rsidR="006A65E3">
        <w:t xml:space="preserve"> and neutral</w:t>
      </w:r>
      <w:r w:rsidR="008C7CB4">
        <w:t xml:space="preserve"> is important </w:t>
      </w:r>
      <w:r w:rsidR="00B613B7">
        <w:t xml:space="preserve">to help </w:t>
      </w:r>
      <w:r w:rsidR="007C1239">
        <w:t>consumer</w:t>
      </w:r>
      <w:r w:rsidR="0003540D">
        <w:t>s</w:t>
      </w:r>
      <w:r w:rsidR="007C1239">
        <w:t xml:space="preserve"> </w:t>
      </w:r>
      <w:r w:rsidR="007670BC">
        <w:t xml:space="preserve">notice, </w:t>
      </w:r>
      <w:r w:rsidR="004F23FF">
        <w:t xml:space="preserve">attend </w:t>
      </w:r>
      <w:r w:rsidR="007670BC">
        <w:t xml:space="preserve">to, and </w:t>
      </w:r>
      <w:r w:rsidR="007C1239">
        <w:t>understan</w:t>
      </w:r>
      <w:r w:rsidR="007670BC">
        <w:t>d</w:t>
      </w:r>
      <w:r w:rsidR="002F4C36">
        <w:t xml:space="preserve"> a drug’s risks as well as its benefits. </w:t>
      </w:r>
      <w:r w:rsidR="00E846AB">
        <w:t xml:space="preserve"> </w:t>
      </w:r>
      <w:r w:rsidR="00BD06B3">
        <w:t xml:space="preserve">The </w:t>
      </w:r>
      <w:r w:rsidR="00150316">
        <w:t>information collection</w:t>
      </w:r>
      <w:r w:rsidR="00BD06B3">
        <w:t xml:space="preserve"> help</w:t>
      </w:r>
      <w:r w:rsidR="00150316">
        <w:t>s</w:t>
      </w:r>
      <w:r w:rsidR="00BD06B3">
        <w:t xml:space="preserve"> </w:t>
      </w:r>
      <w:r w:rsidR="00F03483">
        <w:t xml:space="preserve">implement </w:t>
      </w:r>
      <w:r w:rsidR="00EB3527">
        <w:t xml:space="preserve">standards that FDA will use to determine whether </w:t>
      </w:r>
      <w:r w:rsidR="00B3386A">
        <w:t>DTC TV/radio ads</w:t>
      </w:r>
      <w:r w:rsidR="00EB3527">
        <w:t xml:space="preserve"> comply with the statutory requirements</w:t>
      </w:r>
      <w:r w:rsidR="00793EF2">
        <w:t xml:space="preserve"> to </w:t>
      </w:r>
      <w:r w:rsidR="006E2F26">
        <w:t xml:space="preserve">present </w:t>
      </w:r>
      <w:r w:rsidR="00793EF2">
        <w:t>the major statements</w:t>
      </w:r>
      <w:r w:rsidR="00F3411B">
        <w:t xml:space="preserve"> for </w:t>
      </w:r>
      <w:r w:rsidR="00CC3489">
        <w:t>human</w:t>
      </w:r>
      <w:r w:rsidR="00F3411B">
        <w:t xml:space="preserve"> prescription drugs in a clear, conspicuous</w:t>
      </w:r>
      <w:r w:rsidR="00596849">
        <w:t>,</w:t>
      </w:r>
      <w:r w:rsidR="00F3411B">
        <w:t xml:space="preserve"> and neutral manner</w:t>
      </w:r>
      <w:r w:rsidR="00EB3527">
        <w:t xml:space="preserve">.  </w:t>
      </w:r>
      <w:r w:rsidR="00B7535E">
        <w:t xml:space="preserve">Improving consumer understanding of </w:t>
      </w:r>
      <w:r w:rsidR="000B41C1">
        <w:t>the major statement</w:t>
      </w:r>
      <w:r w:rsidR="00B7535E">
        <w:t xml:space="preserve"> helps to  ensure that </w:t>
      </w:r>
      <w:r w:rsidR="00663659">
        <w:t>DTC TV/radio ads convey a truthful and non-misleading</w:t>
      </w:r>
      <w:r w:rsidR="00707DB1">
        <w:t xml:space="preserve"> net impression about the advertised drug and help ensure that </w:t>
      </w:r>
      <w:r w:rsidR="00B7535E">
        <w:t xml:space="preserve">consumers </w:t>
      </w:r>
      <w:r w:rsidR="00707DB1">
        <w:t>are better informed when they participate in healthcare decision making</w:t>
      </w:r>
      <w:r w:rsidR="00B7535E">
        <w:t>.</w:t>
      </w:r>
      <w:r w:rsidR="00596849">
        <w:t xml:space="preserve">  </w:t>
      </w:r>
      <w:r w:rsidR="00BD06B3">
        <w:t xml:space="preserve">The disclosures in this regulation are for firms that choose to advertise their human prescription drug products in DTC TV/radio ads. </w:t>
      </w:r>
      <w:r w:rsidR="00E846AB">
        <w:t xml:space="preserve"> If advertisements fail to include the required disclosure or if the disclosure minimizes the risks associated with the use of the drug, the advertisement could render the drug misbranded in violation of section 502(n) of the FD&amp;C Act (21 U.S.C. 352(n) and section 201(n) of the FD&amp;C Act (21 U.S.C. 321(n)) and FDA’s implementing regulations at § 202.1(e).</w:t>
      </w:r>
    </w:p>
    <w:p w:rsidR="00DF6A46" w:rsidRPr="00842DB7" w:rsidP="00BD06B3" w14:paraId="4DE1BFE5" w14:textId="77777777">
      <w:pPr>
        <w:rPr>
          <w:rFonts w:eastAsia="Calibri"/>
        </w:rPr>
      </w:pPr>
    </w:p>
    <w:p w:rsidR="00357C8A" w:rsidRPr="00357C8A" w:rsidP="006705EA" w14:paraId="37E67F98" w14:textId="77777777">
      <w:pPr>
        <w:numPr>
          <w:ilvl w:val="0"/>
          <w:numId w:val="6"/>
        </w:numPr>
        <w:spacing w:after="200" w:line="276" w:lineRule="auto"/>
        <w:rPr>
          <w:rFonts w:eastAsia="Calibri"/>
          <w:u w:val="single"/>
        </w:rPr>
      </w:pPr>
      <w:r w:rsidRPr="00357C8A">
        <w:rPr>
          <w:rFonts w:eastAsia="Calibri"/>
          <w:u w:val="single"/>
        </w:rPr>
        <w:t>Use of Improved Information Technology and Burden Reduction</w:t>
      </w:r>
    </w:p>
    <w:p w:rsidR="00C151CB" w:rsidP="008B2A67" w14:paraId="5C0E4B15" w14:textId="373A586E">
      <w:pPr>
        <w:spacing w:after="200"/>
        <w:rPr>
          <w:rFonts w:eastAsia="Calibri"/>
        </w:rPr>
      </w:pPr>
      <w:r>
        <w:rPr>
          <w:rFonts w:eastAsia="Calibri"/>
        </w:rPr>
        <w:t>We receive</w:t>
      </w:r>
      <w:r w:rsidR="00630F4E">
        <w:rPr>
          <w:rFonts w:eastAsia="Calibri"/>
        </w:rPr>
        <w:t xml:space="preserve"> postmarket submissions of</w:t>
      </w:r>
      <w:r w:rsidR="00545B17">
        <w:rPr>
          <w:rFonts w:eastAsia="Calibri"/>
        </w:rPr>
        <w:t xml:space="preserve"> promotional material </w:t>
      </w:r>
      <w:r w:rsidR="00630F4E">
        <w:rPr>
          <w:rFonts w:eastAsia="Calibri"/>
        </w:rPr>
        <w:t>using</w:t>
      </w:r>
      <w:r w:rsidR="00117C51">
        <w:rPr>
          <w:rFonts w:eastAsia="Calibri"/>
        </w:rPr>
        <w:t xml:space="preserve"> Form 2253 (“</w:t>
      </w:r>
      <w:r w:rsidRPr="001A5AE1" w:rsidR="00117C51">
        <w:rPr>
          <w:rFonts w:eastAsia="Calibri"/>
          <w:i/>
          <w:iCs/>
        </w:rPr>
        <w:t>Transmittal of Advertisements and Promotional Labeling for Drugs and Biologics for Human Use</w:t>
      </w:r>
      <w:r w:rsidR="00117C51">
        <w:rPr>
          <w:rFonts w:eastAsia="Calibri"/>
        </w:rPr>
        <w:t>”)</w:t>
      </w:r>
      <w:r w:rsidR="00221136">
        <w:rPr>
          <w:rFonts w:eastAsia="Calibri"/>
        </w:rPr>
        <w:t>, approved under</w:t>
      </w:r>
      <w:r w:rsidR="00322448">
        <w:rPr>
          <w:rFonts w:eastAsia="Calibri"/>
        </w:rPr>
        <w:t xml:space="preserve"> Control No</w:t>
      </w:r>
      <w:r w:rsidR="00D53E66">
        <w:rPr>
          <w:rFonts w:eastAsia="Calibri"/>
        </w:rPr>
        <w:t>s</w:t>
      </w:r>
      <w:r w:rsidR="00322448">
        <w:rPr>
          <w:rFonts w:eastAsia="Calibri"/>
        </w:rPr>
        <w:t>. 0910-0001</w:t>
      </w:r>
      <w:r w:rsidR="00B965B9">
        <w:rPr>
          <w:rFonts w:eastAsia="Calibri"/>
        </w:rPr>
        <w:t xml:space="preserve"> and 0910-0338</w:t>
      </w:r>
      <w:r w:rsidR="00322448">
        <w:rPr>
          <w:rFonts w:eastAsia="Calibri"/>
        </w:rPr>
        <w:t xml:space="preserve">.  Information is submitted using </w:t>
      </w:r>
      <w:r w:rsidR="00ED7E9D">
        <w:rPr>
          <w:rFonts w:eastAsia="Calibri"/>
        </w:rPr>
        <w:t>the electronic common technical document</w:t>
      </w:r>
      <w:r w:rsidR="009623CF">
        <w:rPr>
          <w:rFonts w:eastAsia="Calibri"/>
        </w:rPr>
        <w:t xml:space="preserve"> (eCTD) portal</w:t>
      </w:r>
      <w:r w:rsidR="00322448">
        <w:rPr>
          <w:rFonts w:eastAsia="Calibri"/>
        </w:rPr>
        <w:t xml:space="preserve"> a</w:t>
      </w:r>
      <w:r w:rsidR="009E6256">
        <w:rPr>
          <w:rFonts w:eastAsia="Calibri"/>
        </w:rPr>
        <w:t>vailable on our website.</w:t>
      </w:r>
    </w:p>
    <w:p w:rsidR="00357C8A" w:rsidRPr="00C151CB" w:rsidP="00C151CB" w14:paraId="7AE3F741" w14:textId="12117F52">
      <w:pPr>
        <w:pStyle w:val="ListParagraph"/>
        <w:numPr>
          <w:ilvl w:val="0"/>
          <w:numId w:val="6"/>
        </w:numPr>
        <w:spacing w:after="200" w:line="276" w:lineRule="auto"/>
        <w:rPr>
          <w:rFonts w:eastAsia="Calibri"/>
        </w:rPr>
      </w:pPr>
      <w:r w:rsidRPr="00C151CB">
        <w:rPr>
          <w:rFonts w:eastAsia="Calibri"/>
          <w:u w:val="single"/>
        </w:rPr>
        <w:t xml:space="preserve">Efforts to Identify Duplication and Use of Similar Information </w:t>
      </w:r>
    </w:p>
    <w:p w:rsidR="00E02110" w:rsidP="0053380B" w14:paraId="11A78644" w14:textId="6194AD32">
      <w:pPr>
        <w:spacing w:after="200"/>
      </w:pPr>
      <w:r>
        <w:t xml:space="preserve">We are </w:t>
      </w:r>
      <w:r w:rsidR="00C151CB">
        <w:t>un</w:t>
      </w:r>
      <w:r>
        <w:t>aware of duplicative information collection.</w:t>
      </w:r>
      <w:r w:rsidR="009E6256">
        <w:t xml:space="preserve">  </w:t>
      </w:r>
      <w:r w:rsidR="00266052">
        <w:t xml:space="preserve">In accordance with 44 U.S.C. 3507(d)(1), 5 CFR 1320.11, FDA submitted its ICR for the companion proposed rule on </w:t>
      </w:r>
      <w:r w:rsidR="00945D20">
        <w:t xml:space="preserve">April 19, 2010.  </w:t>
      </w:r>
      <w:r w:rsidR="00733C62">
        <w:t xml:space="preserve">Although OMB assigned </w:t>
      </w:r>
      <w:r w:rsidRPr="00F9348D" w:rsidR="00F9348D">
        <w:t>control number of 0910-0835</w:t>
      </w:r>
      <w:r w:rsidR="00733C62">
        <w:t xml:space="preserve"> in its notice of action, we subsequently established control no. 0910-0686 to include information collection activity associated with prescription drug advertising</w:t>
      </w:r>
      <w:r w:rsidR="009779BE">
        <w:t xml:space="preserve"> regulations in</w:t>
      </w:r>
      <w:r w:rsidR="00371C55">
        <w:t xml:space="preserve"> § 202.1. </w:t>
      </w:r>
    </w:p>
    <w:p w:rsidR="00357C8A" w:rsidRPr="00357C8A" w:rsidP="006705EA" w14:paraId="0380A9B1" w14:textId="77777777">
      <w:pPr>
        <w:numPr>
          <w:ilvl w:val="0"/>
          <w:numId w:val="6"/>
        </w:numPr>
        <w:spacing w:after="200" w:line="276" w:lineRule="auto"/>
        <w:rPr>
          <w:rFonts w:eastAsia="Calibri"/>
        </w:rPr>
      </w:pPr>
      <w:r w:rsidRPr="00357C8A">
        <w:rPr>
          <w:rFonts w:eastAsia="Calibri"/>
          <w:u w:val="single"/>
        </w:rPr>
        <w:t>Impact on Small Businesses or Other Small Entities</w:t>
      </w:r>
    </w:p>
    <w:p w:rsidR="004029F5" w:rsidP="004029F5" w14:paraId="76840E4C" w14:textId="659BCA97">
      <w:r>
        <w:t xml:space="preserve">We do </w:t>
      </w:r>
      <w:r>
        <w:t xml:space="preserve">not believe the information collection imposes undue burden on </w:t>
      </w:r>
      <w:r w:rsidR="009410DD">
        <w:t xml:space="preserve">small </w:t>
      </w:r>
      <w:r>
        <w:t xml:space="preserve">entities.  </w:t>
      </w:r>
      <w:r w:rsidR="00FB1FCB">
        <w:t>Nevertheless,</w:t>
      </w:r>
      <w:r w:rsidR="004E515D">
        <w:t xml:space="preserve"> </w:t>
      </w:r>
      <w:r w:rsidR="00CA1DA4">
        <w:t>in light of</w:t>
      </w:r>
      <w:r w:rsidR="00993F82">
        <w:t xml:space="preserve"> our determination that</w:t>
      </w:r>
      <w:r w:rsidR="00E36366">
        <w:t xml:space="preserve"> </w:t>
      </w:r>
      <w:r w:rsidRPr="006A0765" w:rsidR="006A0765">
        <w:t>under the Small Business Regulatory Enforcement Fairness Act</w:t>
      </w:r>
      <w:r w:rsidRPr="006A0765" w:rsidR="006A0765">
        <w:t xml:space="preserve"> </w:t>
      </w:r>
      <w:r w:rsidR="00E36366">
        <w:t>this</w:t>
      </w:r>
      <w:r w:rsidR="00464B70">
        <w:t xml:space="preserve"> </w:t>
      </w:r>
      <w:r w:rsidR="007303F5">
        <w:t xml:space="preserve">rule </w:t>
      </w:r>
      <w:r w:rsidR="00F927E6">
        <w:t>will have a significant economic impact</w:t>
      </w:r>
      <w:r w:rsidR="00CB3136">
        <w:t xml:space="preserve"> on a substantial number of small entiti</w:t>
      </w:r>
      <w:r w:rsidR="00FE00B9">
        <w:t>es</w:t>
      </w:r>
      <w:r w:rsidR="0073211B">
        <w:t>, we</w:t>
      </w:r>
      <w:r w:rsidR="00C97B86">
        <w:t xml:space="preserve"> </w:t>
      </w:r>
      <w:r w:rsidR="00044A88">
        <w:t>will</w:t>
      </w:r>
      <w:r w:rsidR="00C97B86">
        <w:t xml:space="preserve"> </w:t>
      </w:r>
      <w:r w:rsidR="087C08E3">
        <w:t>publish</w:t>
      </w:r>
      <w:r w:rsidR="00C97B86">
        <w:t xml:space="preserve"> a Small Entity Compliance Guide to </w:t>
      </w:r>
      <w:r w:rsidR="00750A2E">
        <w:t>assist small entities in complying with the final rule.</w:t>
      </w:r>
      <w:r w:rsidR="00596849">
        <w:t xml:space="preserve">  </w:t>
      </w:r>
      <w:r w:rsidR="00462F9A">
        <w:t>In addition</w:t>
      </w:r>
      <w:r w:rsidR="00FB1FCB">
        <w:t>,</w:t>
      </w:r>
      <w:r w:rsidR="004E515D">
        <w:t xml:space="preserve"> having</w:t>
      </w:r>
      <w:r w:rsidR="00FB1FCB">
        <w:t xml:space="preserve"> received </w:t>
      </w:r>
      <w:r w:rsidR="000D3972">
        <w:t xml:space="preserve">comments </w:t>
      </w:r>
      <w:r w:rsidR="00FB1FCB">
        <w:t>that firms would need more time to comply with</w:t>
      </w:r>
      <w:r w:rsidR="00A16451">
        <w:t xml:space="preserve"> the new regulatory requirements, </w:t>
      </w:r>
      <w:r w:rsidR="00FB1FCB">
        <w:t xml:space="preserve">we </w:t>
      </w:r>
      <w:r w:rsidR="00563EEB">
        <w:t>extended</w:t>
      </w:r>
      <w:r w:rsidR="00DD7814">
        <w:t xml:space="preserve"> the</w:t>
      </w:r>
      <w:r w:rsidR="00563EEB">
        <w:t xml:space="preserve"> compliance </w:t>
      </w:r>
      <w:r w:rsidR="00462F9A">
        <w:t>and effective</w:t>
      </w:r>
      <w:r w:rsidR="00563EEB">
        <w:t xml:space="preserve"> dates.</w:t>
      </w:r>
      <w:r w:rsidR="009B7DF1">
        <w:t xml:space="preserve">  </w:t>
      </w:r>
      <w:r w:rsidR="00A84ACC">
        <w:t xml:space="preserve">Additionally, we </w:t>
      </w:r>
      <w:r w:rsidR="000B7B6F">
        <w:t xml:space="preserve">maintain </w:t>
      </w:r>
      <w:r>
        <w:t xml:space="preserve">small business assistance offices </w:t>
      </w:r>
      <w:r w:rsidR="000B7B6F">
        <w:t>with</w:t>
      </w:r>
      <w:r>
        <w:t xml:space="preserve">in </w:t>
      </w:r>
      <w:r w:rsidR="000B7B6F">
        <w:t>the agency, and have established a</w:t>
      </w:r>
      <w:r>
        <w:t xml:space="preserve">ssistance </w:t>
      </w:r>
      <w:r w:rsidR="000B7B6F">
        <w:t>p</w:t>
      </w:r>
      <w:r>
        <w:t xml:space="preserve">rograms </w:t>
      </w:r>
      <w:r w:rsidR="000B7B6F">
        <w:t>with</w:t>
      </w:r>
      <w:r>
        <w:t xml:space="preserve">in </w:t>
      </w:r>
      <w:r w:rsidR="000B7B6F">
        <w:t xml:space="preserve">our </w:t>
      </w:r>
      <w:r>
        <w:t xml:space="preserve">regional offices to provide small business </w:t>
      </w:r>
      <w:r w:rsidR="006B3FCD">
        <w:t xml:space="preserve">assistance in complying with </w:t>
      </w:r>
      <w:r>
        <w:t>FDA regulat</w:t>
      </w:r>
      <w:r w:rsidR="006B3FCD">
        <w:t>ions</w:t>
      </w:r>
      <w:r>
        <w:t xml:space="preserve">. </w:t>
      </w:r>
    </w:p>
    <w:p w:rsidR="00654151" w:rsidP="004029F5" w14:paraId="16857721" w14:textId="77777777"/>
    <w:p w:rsidR="002A1D7B" w14:paraId="247E5B7D" w14:textId="77777777">
      <w:pPr>
        <w:rPr>
          <w:rFonts w:eastAsia="Calibri"/>
          <w:u w:val="single"/>
        </w:rPr>
      </w:pPr>
      <w:r>
        <w:rPr>
          <w:rFonts w:eastAsia="Calibri"/>
          <w:u w:val="single"/>
        </w:rPr>
        <w:br w:type="page"/>
      </w:r>
    </w:p>
    <w:p w:rsidR="00357C8A" w:rsidRPr="00357C8A" w:rsidP="006705EA" w14:paraId="0AE88DF7" w14:textId="2B743768">
      <w:pPr>
        <w:numPr>
          <w:ilvl w:val="0"/>
          <w:numId w:val="6"/>
        </w:numPr>
        <w:spacing w:after="200" w:line="276" w:lineRule="auto"/>
        <w:rPr>
          <w:rFonts w:eastAsia="Calibri"/>
          <w:u w:val="single"/>
        </w:rPr>
      </w:pPr>
      <w:r w:rsidRPr="00357C8A">
        <w:rPr>
          <w:rFonts w:eastAsia="Calibri"/>
          <w:u w:val="single"/>
        </w:rPr>
        <w:t>Consequences of Collecting the Information Less Frequently</w:t>
      </w:r>
    </w:p>
    <w:p w:rsidR="00654151" w:rsidP="00654151" w14:paraId="72B57C50" w14:textId="2A9BF2D3">
      <w:r w:rsidRPr="00CC4024">
        <w:t xml:space="preserve">The information collection schedule is </w:t>
      </w:r>
      <w:r w:rsidR="00365C92">
        <w:t xml:space="preserve">consistent with statutory and regulatory requirements.  </w:t>
      </w:r>
    </w:p>
    <w:p w:rsidR="00CC4024" w:rsidRPr="00765BD5" w:rsidP="00654151" w14:paraId="1B2FAFCD" w14:textId="77777777"/>
    <w:p w:rsidR="00357C8A" w:rsidRPr="00357C8A" w:rsidP="006705EA" w14:paraId="513A7D20" w14:textId="77777777">
      <w:pPr>
        <w:numPr>
          <w:ilvl w:val="0"/>
          <w:numId w:val="6"/>
        </w:numPr>
        <w:spacing w:after="200" w:line="276" w:lineRule="auto"/>
        <w:rPr>
          <w:rFonts w:eastAsia="Calibri"/>
        </w:rPr>
      </w:pPr>
      <w:r w:rsidRPr="00357C8A">
        <w:rPr>
          <w:rFonts w:eastAsia="Calibri"/>
          <w:u w:val="single"/>
        </w:rPr>
        <w:t>Special Circumstances Relating to the Guidelines of 5 CFR 1320.5</w:t>
      </w:r>
    </w:p>
    <w:p w:rsidR="00982FF8" w:rsidP="00982FF8" w14:paraId="3C62D194" w14:textId="4E245753">
      <w:r w:rsidRPr="00765BD5">
        <w:t>There are no special circumstances relating to th</w:t>
      </w:r>
      <w:r w:rsidR="007F1DBB">
        <w:t>e information collection</w:t>
      </w:r>
      <w:r w:rsidRPr="00765BD5">
        <w:t>.</w:t>
      </w:r>
    </w:p>
    <w:p w:rsidR="00982FF8" w:rsidRPr="00765BD5" w:rsidP="00982FF8" w14:paraId="76DD26D3" w14:textId="50CF50FD">
      <w:r w:rsidRPr="00765BD5">
        <w:t xml:space="preserve"> </w:t>
      </w:r>
    </w:p>
    <w:p w:rsidR="00357C8A" w:rsidRPr="00357C8A" w:rsidP="006705EA" w14:paraId="17931CD8" w14:textId="77777777">
      <w:pPr>
        <w:numPr>
          <w:ilvl w:val="0"/>
          <w:numId w:val="6"/>
        </w:numPr>
        <w:spacing w:after="200" w:line="276" w:lineRule="auto"/>
        <w:rPr>
          <w:rFonts w:eastAsia="Calibri"/>
        </w:rPr>
      </w:pPr>
      <w:r w:rsidRPr="00357C8A">
        <w:rPr>
          <w:rFonts w:eastAsia="Calibri"/>
          <w:u w:val="single"/>
        </w:rPr>
        <w:t>Comments in Response to the Federal Register Notice and Efforts to Consult Outside the Agency</w:t>
      </w:r>
    </w:p>
    <w:p w:rsidR="00785932" w:rsidP="00596849" w14:paraId="3AF64E40" w14:textId="24B7F3D9">
      <w:pPr>
        <w:pStyle w:val="ListParagraph"/>
        <w:ind w:left="0"/>
      </w:pPr>
      <w:r>
        <w:t xml:space="preserve">In the </w:t>
      </w:r>
      <w:r w:rsidRPr="00982FF8">
        <w:rPr>
          <w:u w:val="single"/>
        </w:rPr>
        <w:t>Federal Register</w:t>
      </w:r>
      <w:r>
        <w:t xml:space="preserve"> of March 29, 2010 (75 FR 15376)</w:t>
      </w:r>
      <w:r w:rsidR="008A2702">
        <w:t xml:space="preserve">, </w:t>
      </w:r>
      <w:r>
        <w:t>we published a proposed rule, including an analysis of the information collection, and solicited public comment</w:t>
      </w:r>
      <w:r w:rsidR="00287ACA">
        <w:t xml:space="preserve"> (docket no. </w:t>
      </w:r>
      <w:r w:rsidR="00421769">
        <w:t>FDA-2009-N-0582)</w:t>
      </w:r>
      <w:r>
        <w:t xml:space="preserve">.  </w:t>
      </w:r>
      <w:r w:rsidR="00B74D6F">
        <w:t>We provided additional opportunities for public comment in</w:t>
      </w:r>
      <w:r w:rsidR="00AC5392">
        <w:t xml:space="preserve"> the</w:t>
      </w:r>
      <w:r w:rsidR="00B74D6F">
        <w:t xml:space="preserve"> </w:t>
      </w:r>
      <w:r w:rsidRPr="00E7003B" w:rsidR="00B74D6F">
        <w:rPr>
          <w:u w:val="single"/>
        </w:rPr>
        <w:t>Fed</w:t>
      </w:r>
      <w:r w:rsidRPr="00E7003B" w:rsidR="00287ACA">
        <w:rPr>
          <w:u w:val="single"/>
        </w:rPr>
        <w:t>eral Registers</w:t>
      </w:r>
      <w:r w:rsidR="00287ACA">
        <w:t xml:space="preserve"> of </w:t>
      </w:r>
      <w:r w:rsidR="00982FF8">
        <w:t>January 27, 2012</w:t>
      </w:r>
      <w:r w:rsidR="007553F6">
        <w:t xml:space="preserve"> </w:t>
      </w:r>
      <w:r w:rsidR="005229C0">
        <w:t>(77 FR 4273)</w:t>
      </w:r>
      <w:r w:rsidR="00982FF8">
        <w:t>,</w:t>
      </w:r>
      <w:r>
        <w:t xml:space="preserve"> </w:t>
      </w:r>
      <w:r w:rsidR="00287ACA">
        <w:t xml:space="preserve">and </w:t>
      </w:r>
      <w:r w:rsidR="00982FF8">
        <w:t>March 2</w:t>
      </w:r>
      <w:r w:rsidR="007553F6">
        <w:t>3</w:t>
      </w:r>
      <w:r w:rsidR="00982FF8">
        <w:t>, 201</w:t>
      </w:r>
      <w:r w:rsidR="007553F6">
        <w:t>2</w:t>
      </w:r>
      <w:r w:rsidR="00596849">
        <w:t xml:space="preserve"> (</w:t>
      </w:r>
      <w:r w:rsidR="007553F6">
        <w:t>77 FR 16973)</w:t>
      </w:r>
      <w:r w:rsidR="00890101">
        <w:t>.</w:t>
      </w:r>
      <w:r>
        <w:t xml:space="preserve">  </w:t>
      </w:r>
      <w:r w:rsidR="001F5A9B">
        <w:t>We discuss</w:t>
      </w:r>
      <w:r w:rsidR="00064BA6">
        <w:t xml:space="preserve"> the </w:t>
      </w:r>
      <w:r>
        <w:t xml:space="preserve">comments received in </w:t>
      </w:r>
      <w:r w:rsidR="00A84348">
        <w:t xml:space="preserve">section </w:t>
      </w:r>
      <w:r w:rsidRPr="00A84348" w:rsidR="00A84348">
        <w:t>V</w:t>
      </w:r>
      <w:r w:rsidR="00F72468">
        <w:t>, “</w:t>
      </w:r>
      <w:r w:rsidRPr="00524854" w:rsidR="00A84348">
        <w:rPr>
          <w:i/>
          <w:iCs/>
        </w:rPr>
        <w:t>Comments on the Proposed Rule and FDA Response</w:t>
      </w:r>
      <w:r w:rsidR="00F72468">
        <w:t>,”</w:t>
      </w:r>
      <w:r w:rsidR="004E1B5C">
        <w:t xml:space="preserve"> </w:t>
      </w:r>
      <w:r w:rsidR="00F72468">
        <w:t>of the</w:t>
      </w:r>
      <w:r w:rsidR="00064BA6">
        <w:t xml:space="preserve"> final rule</w:t>
      </w:r>
      <w:r>
        <w:t xml:space="preserve">.  </w:t>
      </w:r>
      <w:r w:rsidR="000A54DF">
        <w:t>Although we did not revise our burden estimates in response to these comments, we have</w:t>
      </w:r>
      <w:r w:rsidR="00F36C7A">
        <w:t xml:space="preserve"> updated </w:t>
      </w:r>
      <w:r w:rsidR="006016F3">
        <w:t xml:space="preserve">our </w:t>
      </w:r>
      <w:r w:rsidR="00F36C7A">
        <w:t>fig</w:t>
      </w:r>
      <w:r w:rsidR="00BD4843">
        <w:t xml:space="preserve">ures </w:t>
      </w:r>
      <w:r w:rsidR="004C521A">
        <w:t>to reflect cu</w:t>
      </w:r>
      <w:r w:rsidR="00012379">
        <w:t>rrent</w:t>
      </w:r>
      <w:r w:rsidR="00014839">
        <w:t xml:space="preserve"> data</w:t>
      </w:r>
      <w:r w:rsidR="00421344">
        <w:t xml:space="preserve"> </w:t>
      </w:r>
      <w:r w:rsidR="00360465">
        <w:t xml:space="preserve">on </w:t>
      </w:r>
      <w:r w:rsidR="005A4D3A">
        <w:t xml:space="preserve">the </w:t>
      </w:r>
      <w:r w:rsidR="00DB4092">
        <w:t xml:space="preserve">number of </w:t>
      </w:r>
      <w:r w:rsidR="00986745">
        <w:t>advertisements</w:t>
      </w:r>
      <w:r w:rsidR="00411099">
        <w:t xml:space="preserve"> expected annually</w:t>
      </w:r>
      <w:r w:rsidR="00986745">
        <w:t>.</w:t>
      </w:r>
    </w:p>
    <w:p w:rsidR="007F34A7" w:rsidRPr="00785932" w:rsidP="00785932" w14:paraId="73146FDB" w14:textId="77777777"/>
    <w:p w:rsidR="00357C8A" w:rsidRPr="00357C8A" w:rsidP="006705EA" w14:paraId="7968C1B9" w14:textId="7991EF67">
      <w:pPr>
        <w:numPr>
          <w:ilvl w:val="0"/>
          <w:numId w:val="6"/>
        </w:numPr>
        <w:spacing w:after="200" w:line="276" w:lineRule="auto"/>
        <w:rPr>
          <w:rFonts w:eastAsia="Calibri"/>
        </w:rPr>
      </w:pPr>
      <w:r w:rsidRPr="00357C8A">
        <w:rPr>
          <w:rFonts w:eastAsia="Calibri"/>
          <w:u w:val="single"/>
        </w:rPr>
        <w:t>Explanation of Any Payment or Gift to Respondents</w:t>
      </w:r>
    </w:p>
    <w:p w:rsidR="00982FF8" w:rsidP="00982FF8" w14:paraId="5584150F" w14:textId="34FD50CF">
      <w:r>
        <w:t>There are no incentives,</w:t>
      </w:r>
      <w:r>
        <w:t xml:space="preserve"> payments</w:t>
      </w:r>
      <w:r>
        <w:t>,</w:t>
      </w:r>
      <w:r>
        <w:t xml:space="preserve"> or gifts associated with th</w:t>
      </w:r>
      <w:r>
        <w:t>is</w:t>
      </w:r>
      <w:r>
        <w:t xml:space="preserve"> information collection.</w:t>
      </w:r>
    </w:p>
    <w:p w:rsidR="000165B7" w:rsidP="00982FF8" w14:paraId="5CE0AA70" w14:textId="77777777"/>
    <w:p w:rsidR="00357C8A" w:rsidRPr="00357C8A" w:rsidP="006705EA" w14:paraId="51F27BAA" w14:textId="77777777">
      <w:pPr>
        <w:numPr>
          <w:ilvl w:val="0"/>
          <w:numId w:val="6"/>
        </w:numPr>
        <w:spacing w:after="200" w:line="276" w:lineRule="auto"/>
        <w:rPr>
          <w:rFonts w:eastAsia="Calibri"/>
        </w:rPr>
      </w:pPr>
      <w:r w:rsidRPr="00357C8A">
        <w:rPr>
          <w:rFonts w:eastAsia="Calibri"/>
          <w:u w:val="single"/>
        </w:rPr>
        <w:t>Assurance of Confidentiality Provided to Respondents</w:t>
      </w:r>
    </w:p>
    <w:p w:rsidR="001D4554" w:rsidP="0022425B" w14:paraId="4BB1C406" w14:textId="4012A260">
      <w:r>
        <w:t xml:space="preserve">In preparing this </w:t>
      </w:r>
      <w:r w:rsidR="00A176FF">
        <w:t>s</w:t>
      </w:r>
      <w:r>
        <w:t xml:space="preserve">upporting </w:t>
      </w:r>
      <w:r w:rsidR="00A176FF">
        <w:t>s</w:t>
      </w:r>
      <w:r>
        <w:t>tatement, we consulted our Privacy Office to ensure appropriate identification and handling of information collected.</w:t>
      </w:r>
      <w:r w:rsidR="009B6A9E">
        <w:t xml:space="preserve">  This ICR does not collect personally identifiable information (PII) or information of a personal nature.  </w:t>
      </w:r>
      <w:r w:rsidR="009854B5">
        <w:t>Because the regulations do</w:t>
      </w:r>
      <w:r w:rsidR="00C15B4F">
        <w:t xml:space="preserve"> </w:t>
      </w:r>
      <w:r w:rsidR="000165B7">
        <w:t>not request or require submission of information</w:t>
      </w:r>
      <w:r w:rsidR="00DB2A6F">
        <w:t>, we provide no assurance of confidentiality to respondents.</w:t>
      </w:r>
      <w:r w:rsidR="007553F6">
        <w:t xml:space="preserve">  </w:t>
      </w:r>
      <w:r w:rsidR="000165B7">
        <w:t xml:space="preserve">Rather, </w:t>
      </w:r>
      <w:r w:rsidR="00B6369B">
        <w:t xml:space="preserve">the information </w:t>
      </w:r>
      <w:r w:rsidR="004A6361">
        <w:t xml:space="preserve">collection </w:t>
      </w:r>
      <w:r w:rsidR="000165B7">
        <w:t>sets forth</w:t>
      </w:r>
      <w:r w:rsidR="004A6361">
        <w:t xml:space="preserve"> </w:t>
      </w:r>
      <w:r w:rsidR="000165B7">
        <w:t>standards for presenting the major statement in a clear, conspicuous, and neutral manner in DTC TV/radio ads.</w:t>
      </w:r>
      <w:r w:rsidR="007553F6">
        <w:t xml:space="preserve">  </w:t>
      </w:r>
      <w:r w:rsidR="00C74585">
        <w:t>It covers</w:t>
      </w:r>
      <w:r w:rsidR="000165B7">
        <w:t xml:space="preserve"> third-party disclosure</w:t>
      </w:r>
      <w:r w:rsidR="00C74585">
        <w:t xml:space="preserve">s for </w:t>
      </w:r>
      <w:r w:rsidR="00B337B0">
        <w:t>ad</w:t>
      </w:r>
      <w:r w:rsidR="004945BC">
        <w:t>vertisements presented in</w:t>
      </w:r>
      <w:r w:rsidR="00C74585">
        <w:t xml:space="preserve"> TV and radio </w:t>
      </w:r>
      <w:r w:rsidR="004945BC">
        <w:t xml:space="preserve">format </w:t>
      </w:r>
      <w:r w:rsidR="00C74585">
        <w:t>that are submitted</w:t>
      </w:r>
      <w:r w:rsidR="00C26580">
        <w:t xml:space="preserve"> to FDA.</w:t>
      </w:r>
      <w:r w:rsidR="007553F6">
        <w:t xml:space="preserve">  </w:t>
      </w:r>
      <w:r w:rsidR="00C26580">
        <w:t>Because neither FDA nor any party acting on behalf of the agency collects PII, this ICR</w:t>
      </w:r>
      <w:r>
        <w:t xml:space="preserve"> is not subject to the Privacy Act of 1974 and the requirements of the Privacy Act such as displaying a Privacy Act Statement on a collection for do not apply.</w:t>
      </w:r>
    </w:p>
    <w:p w:rsidR="001D4554" w:rsidP="0022425B" w14:paraId="60074A2E" w14:textId="77777777"/>
    <w:p w:rsidR="00357C8A" w:rsidP="0022425B" w14:paraId="08F62C3B" w14:textId="3E2CB292">
      <w:pPr>
        <w:rPr>
          <w:rFonts w:eastAsia="Calibri"/>
          <w:color w:val="FF0000"/>
        </w:rPr>
      </w:pPr>
      <w:r>
        <w:t>Under the Freedom of Information Act (FOIA) (5 U.S.C. 552), the public has broad access to government documents.  However, FOIA provides certain exemptions from mandatory public</w:t>
      </w:r>
      <w:r w:rsidR="00C3542E">
        <w:t xml:space="preserve"> disclosure of government records (5 U.S.C. 552(b)(1-9</w:t>
      </w:r>
      <w:r w:rsidR="00B24EB0">
        <w:t>)</w:t>
      </w:r>
      <w:r w:rsidR="00181B3D">
        <w:t xml:space="preserve">).  FDA will make the fullest possible disclosure of records to the public, consistent with the rights of individuals to privacy, the </w:t>
      </w:r>
      <w:r w:rsidR="00CB0AE0">
        <w:t>property rights of persons in trade and confidential commercial or financial information.</w:t>
      </w:r>
      <w:r w:rsidR="000165B7">
        <w:t xml:space="preserve"> </w:t>
      </w:r>
    </w:p>
    <w:p w:rsidR="001075D3" w:rsidRPr="001075D3" w:rsidP="001075D3" w14:paraId="4101652C" w14:textId="77777777">
      <w:pPr>
        <w:ind w:left="720"/>
      </w:pPr>
    </w:p>
    <w:p w:rsidR="00357C8A" w:rsidRPr="00357C8A" w:rsidP="006705EA" w14:paraId="7C72B7DD" w14:textId="77777777">
      <w:pPr>
        <w:numPr>
          <w:ilvl w:val="0"/>
          <w:numId w:val="6"/>
        </w:numPr>
        <w:spacing w:after="200" w:line="276" w:lineRule="auto"/>
        <w:rPr>
          <w:rFonts w:eastAsia="Calibri"/>
        </w:rPr>
      </w:pPr>
      <w:r w:rsidRPr="00357C8A">
        <w:rPr>
          <w:rFonts w:eastAsia="Calibri"/>
          <w:u w:val="single"/>
        </w:rPr>
        <w:t>Justification for Sensitive Questions</w:t>
      </w:r>
    </w:p>
    <w:p w:rsidR="00357C8A" w:rsidRPr="001D32CF" w:rsidP="0022425B" w14:paraId="56556319" w14:textId="36CF100F">
      <w:pPr>
        <w:spacing w:after="200"/>
        <w:rPr>
          <w:rFonts w:eastAsia="Calibri"/>
          <w:iCs/>
        </w:rPr>
      </w:pPr>
      <w:r w:rsidRPr="001D32CF">
        <w:rPr>
          <w:rFonts w:eastAsia="Calibri"/>
          <w:iCs/>
        </w:rPr>
        <w:t>The collection of information does not involve sensitive questions.</w:t>
      </w:r>
    </w:p>
    <w:p w:rsidR="00357C8A" w:rsidRPr="00357C8A" w:rsidP="006705EA" w14:paraId="25A9650D" w14:textId="39360193">
      <w:pPr>
        <w:numPr>
          <w:ilvl w:val="0"/>
          <w:numId w:val="6"/>
        </w:numPr>
        <w:spacing w:after="200" w:line="276" w:lineRule="auto"/>
        <w:rPr>
          <w:rFonts w:eastAsia="Calibri"/>
          <w:u w:val="single"/>
        </w:rPr>
      </w:pPr>
      <w:r w:rsidRPr="00357C8A">
        <w:rPr>
          <w:rFonts w:eastAsia="Calibri"/>
          <w:u w:val="single"/>
        </w:rPr>
        <w:t>Estimates of Annualized Burden Hours and Cost</w:t>
      </w:r>
    </w:p>
    <w:p w:rsidR="009A1544" w:rsidRPr="007553F6" w:rsidP="007553F6" w14:paraId="54D49B2A" w14:textId="7DED3AC8">
      <w:pPr>
        <w:spacing w:after="200"/>
        <w:ind w:left="360"/>
        <w:rPr>
          <w:rFonts w:eastAsia="Calibri"/>
          <w:i/>
          <w:iCs/>
        </w:rPr>
      </w:pPr>
      <w:r w:rsidRPr="007553F6">
        <w:rPr>
          <w:rFonts w:eastAsia="Calibri"/>
          <w:i/>
          <w:iCs/>
        </w:rPr>
        <w:t>12a.  Annualized Hour Burden Estimate</w:t>
      </w:r>
    </w:p>
    <w:p w:rsidR="009A1544" w:rsidP="002A7F0D" w14:paraId="6837F692" w14:textId="6981B612">
      <w:pPr>
        <w:widowControl w:val="0"/>
        <w:jc w:val="center"/>
        <w:rPr>
          <w:snapToGrid w:val="0"/>
          <w:szCs w:val="20"/>
        </w:rPr>
      </w:pPr>
      <w:r>
        <w:rPr>
          <w:snapToGrid w:val="0"/>
          <w:szCs w:val="20"/>
        </w:rPr>
        <w:t xml:space="preserve">Table </w:t>
      </w:r>
      <w:r w:rsidR="00E44A5E">
        <w:rPr>
          <w:snapToGrid w:val="0"/>
          <w:szCs w:val="20"/>
        </w:rPr>
        <w:t>1</w:t>
      </w:r>
      <w:r>
        <w:rPr>
          <w:snapToGrid w:val="0"/>
          <w:szCs w:val="20"/>
        </w:rPr>
        <w:t>.</w:t>
      </w:r>
      <w:r w:rsidR="00D70CCA">
        <w:rPr>
          <w:snapToGrid w:val="0"/>
          <w:szCs w:val="20"/>
        </w:rPr>
        <w:t xml:space="preserve">—Estimated </w:t>
      </w:r>
      <w:r w:rsidR="00F51A37">
        <w:rPr>
          <w:snapToGrid w:val="0"/>
          <w:szCs w:val="20"/>
        </w:rPr>
        <w:t xml:space="preserve">Burden </w:t>
      </w:r>
      <w:r w:rsidR="003C08DB">
        <w:rPr>
          <w:snapToGrid w:val="0"/>
          <w:szCs w:val="20"/>
        </w:rPr>
        <w:t>Resulting from Revisi</w:t>
      </w:r>
      <w:r w:rsidR="00705B8E">
        <w:rPr>
          <w:snapToGrid w:val="0"/>
          <w:szCs w:val="20"/>
        </w:rPr>
        <w:t>ng</w:t>
      </w:r>
      <w:r w:rsidR="00C1711C">
        <w:rPr>
          <w:snapToGrid w:val="0"/>
          <w:szCs w:val="20"/>
        </w:rPr>
        <w:t xml:space="preserve"> </w:t>
      </w:r>
      <w:r w:rsidR="00184523">
        <w:rPr>
          <w:snapToGrid w:val="0"/>
          <w:szCs w:val="20"/>
        </w:rPr>
        <w:t>DTC</w:t>
      </w:r>
      <w:r w:rsidR="00C1711C">
        <w:rPr>
          <w:snapToGrid w:val="0"/>
          <w:szCs w:val="20"/>
        </w:rPr>
        <w:t xml:space="preserve"> </w:t>
      </w:r>
      <w:r w:rsidR="00A45FF6">
        <w:rPr>
          <w:snapToGrid w:val="0"/>
          <w:szCs w:val="20"/>
        </w:rPr>
        <w:t xml:space="preserve">TV/radio ads to comply with </w:t>
      </w:r>
      <w:r w:rsidR="004E39FA">
        <w:rPr>
          <w:snapToGrid w:val="0"/>
          <w:szCs w:val="20"/>
        </w:rPr>
        <w:t>21 CFR 202.1(e)(1)</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tblPr>
      <w:tblGrid>
        <w:gridCol w:w="2785"/>
        <w:gridCol w:w="1350"/>
        <w:gridCol w:w="1530"/>
        <w:gridCol w:w="1260"/>
        <w:gridCol w:w="1350"/>
        <w:gridCol w:w="1170"/>
      </w:tblGrid>
      <w:tr w14:paraId="1D4FB77E" w14:textId="77777777" w:rsidTr="007553F6">
        <w:tblPrEx>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tblPrEx>
        <w:tc>
          <w:tcPr>
            <w:tcW w:w="2785" w:type="dxa"/>
          </w:tcPr>
          <w:p w:rsidR="009F7A43" w:rsidRPr="007553F6" w:rsidP="00775427" w14:paraId="45FB30C8" w14:textId="5550D9FA">
            <w:pPr>
              <w:jc w:val="center"/>
              <w:rPr>
                <w:sz w:val="20"/>
                <w:szCs w:val="20"/>
              </w:rPr>
            </w:pPr>
            <w:r w:rsidRPr="007553F6">
              <w:rPr>
                <w:sz w:val="20"/>
                <w:szCs w:val="20"/>
              </w:rPr>
              <w:t xml:space="preserve">21 CFR </w:t>
            </w:r>
            <w:r w:rsidRPr="007553F6" w:rsidR="00E54D30">
              <w:rPr>
                <w:sz w:val="20"/>
                <w:szCs w:val="20"/>
              </w:rPr>
              <w:t>202.1 – Prescription Drug Marketing</w:t>
            </w:r>
          </w:p>
        </w:tc>
        <w:tc>
          <w:tcPr>
            <w:tcW w:w="1350" w:type="dxa"/>
          </w:tcPr>
          <w:p w:rsidR="009F7A43" w:rsidRPr="007553F6" w:rsidP="00775427" w14:paraId="508B3828" w14:textId="3E190128">
            <w:pPr>
              <w:jc w:val="center"/>
              <w:rPr>
                <w:sz w:val="20"/>
                <w:szCs w:val="20"/>
              </w:rPr>
            </w:pPr>
            <w:r w:rsidRPr="007553F6">
              <w:rPr>
                <w:sz w:val="20"/>
                <w:szCs w:val="20"/>
              </w:rPr>
              <w:t>No. of Respondents</w:t>
            </w:r>
          </w:p>
        </w:tc>
        <w:tc>
          <w:tcPr>
            <w:tcW w:w="1530" w:type="dxa"/>
          </w:tcPr>
          <w:p w:rsidR="009F7A43" w:rsidRPr="007553F6" w:rsidP="00775427" w14:paraId="07F625A9" w14:textId="41C5F6A5">
            <w:pPr>
              <w:jc w:val="center"/>
              <w:rPr>
                <w:sz w:val="20"/>
                <w:szCs w:val="20"/>
              </w:rPr>
            </w:pPr>
            <w:r w:rsidRPr="007553F6">
              <w:rPr>
                <w:sz w:val="20"/>
                <w:szCs w:val="20"/>
              </w:rPr>
              <w:t>No. of Disclosures per Respondent</w:t>
            </w:r>
          </w:p>
        </w:tc>
        <w:tc>
          <w:tcPr>
            <w:tcW w:w="1260" w:type="dxa"/>
          </w:tcPr>
          <w:p w:rsidR="009F7A43" w:rsidRPr="007553F6" w:rsidP="00775427" w14:paraId="090F70AE" w14:textId="28D2C75A">
            <w:pPr>
              <w:jc w:val="center"/>
              <w:rPr>
                <w:sz w:val="20"/>
                <w:szCs w:val="20"/>
              </w:rPr>
            </w:pPr>
            <w:r w:rsidRPr="007553F6">
              <w:rPr>
                <w:sz w:val="20"/>
                <w:szCs w:val="20"/>
              </w:rPr>
              <w:t>Total Annual Disclosures</w:t>
            </w:r>
          </w:p>
        </w:tc>
        <w:tc>
          <w:tcPr>
            <w:tcW w:w="1350" w:type="dxa"/>
          </w:tcPr>
          <w:p w:rsidR="009F7A43" w:rsidRPr="007553F6" w:rsidP="00775427" w14:paraId="3062841A" w14:textId="14F67A3D">
            <w:pPr>
              <w:jc w:val="center"/>
              <w:rPr>
                <w:sz w:val="20"/>
                <w:szCs w:val="20"/>
              </w:rPr>
            </w:pPr>
            <w:r w:rsidRPr="007553F6">
              <w:rPr>
                <w:sz w:val="20"/>
                <w:szCs w:val="20"/>
              </w:rPr>
              <w:t xml:space="preserve">Hourly </w:t>
            </w:r>
            <w:r w:rsidRPr="007553F6">
              <w:rPr>
                <w:sz w:val="20"/>
                <w:szCs w:val="20"/>
              </w:rPr>
              <w:t>Burden per Disclosure</w:t>
            </w:r>
          </w:p>
        </w:tc>
        <w:tc>
          <w:tcPr>
            <w:tcW w:w="1170" w:type="dxa"/>
          </w:tcPr>
          <w:p w:rsidR="009F7A43" w:rsidRPr="007553F6" w:rsidP="00775427" w14:paraId="4E729876" w14:textId="18232230">
            <w:pPr>
              <w:jc w:val="center"/>
              <w:rPr>
                <w:sz w:val="20"/>
                <w:szCs w:val="20"/>
              </w:rPr>
            </w:pPr>
            <w:r w:rsidRPr="007553F6">
              <w:rPr>
                <w:sz w:val="20"/>
                <w:szCs w:val="20"/>
              </w:rPr>
              <w:t>Total Hours</w:t>
            </w:r>
          </w:p>
        </w:tc>
      </w:tr>
      <w:tr w14:paraId="41D872F3" w14:textId="77777777" w:rsidTr="007553F6">
        <w:tblPrEx>
          <w:tblW w:w="9445" w:type="dxa"/>
          <w:tblLayout w:type="fixed"/>
          <w:tblCellMar>
            <w:left w:w="120" w:type="dxa"/>
            <w:right w:w="120" w:type="dxa"/>
          </w:tblCellMar>
          <w:tblLook w:val="04A0"/>
        </w:tblPrEx>
        <w:tc>
          <w:tcPr>
            <w:tcW w:w="2785" w:type="dxa"/>
          </w:tcPr>
          <w:p w:rsidR="00784B76" w:rsidRPr="007553F6" w:rsidP="00756EB8" w14:paraId="28E3EE34" w14:textId="709AD921">
            <w:pPr>
              <w:rPr>
                <w:sz w:val="20"/>
                <w:szCs w:val="20"/>
              </w:rPr>
            </w:pPr>
            <w:r w:rsidRPr="007553F6">
              <w:rPr>
                <w:sz w:val="20"/>
                <w:szCs w:val="20"/>
              </w:rPr>
              <w:t>One-time activities: reading and understanding rule, revising company SOPs, modifying existing ads (if necessary)</w:t>
            </w:r>
          </w:p>
        </w:tc>
        <w:tc>
          <w:tcPr>
            <w:tcW w:w="1350" w:type="dxa"/>
          </w:tcPr>
          <w:p w:rsidR="00784B76" w:rsidRPr="007553F6" w:rsidP="005A7FCF" w14:paraId="4B36005B" w14:textId="7F88BA26">
            <w:pPr>
              <w:jc w:val="center"/>
              <w:rPr>
                <w:sz w:val="20"/>
                <w:szCs w:val="20"/>
              </w:rPr>
            </w:pPr>
            <w:r w:rsidRPr="007553F6">
              <w:rPr>
                <w:sz w:val="20"/>
                <w:szCs w:val="20"/>
              </w:rPr>
              <w:t>57</w:t>
            </w:r>
          </w:p>
        </w:tc>
        <w:tc>
          <w:tcPr>
            <w:tcW w:w="1530" w:type="dxa"/>
          </w:tcPr>
          <w:p w:rsidR="00784B76" w:rsidRPr="007553F6" w:rsidP="00775427" w14:paraId="71B87720" w14:textId="3B5A4B0D">
            <w:pPr>
              <w:jc w:val="right"/>
              <w:rPr>
                <w:sz w:val="20"/>
                <w:szCs w:val="20"/>
              </w:rPr>
            </w:pPr>
            <w:r w:rsidRPr="007553F6">
              <w:rPr>
                <w:sz w:val="20"/>
                <w:szCs w:val="20"/>
              </w:rPr>
              <w:t>3</w:t>
            </w:r>
          </w:p>
        </w:tc>
        <w:tc>
          <w:tcPr>
            <w:tcW w:w="1260" w:type="dxa"/>
          </w:tcPr>
          <w:p w:rsidR="00784B76" w:rsidRPr="007553F6" w:rsidP="00775427" w14:paraId="4CBEFF2F" w14:textId="11FE0652">
            <w:pPr>
              <w:jc w:val="right"/>
              <w:rPr>
                <w:sz w:val="20"/>
                <w:szCs w:val="20"/>
              </w:rPr>
            </w:pPr>
            <w:r w:rsidRPr="007553F6">
              <w:rPr>
                <w:sz w:val="20"/>
                <w:szCs w:val="20"/>
              </w:rPr>
              <w:t>171</w:t>
            </w:r>
          </w:p>
        </w:tc>
        <w:tc>
          <w:tcPr>
            <w:tcW w:w="1350" w:type="dxa"/>
          </w:tcPr>
          <w:p w:rsidR="00784B76" w:rsidRPr="007553F6" w:rsidP="00775427" w14:paraId="565091F4" w14:textId="59452E09">
            <w:pPr>
              <w:jc w:val="right"/>
              <w:rPr>
                <w:sz w:val="20"/>
                <w:szCs w:val="20"/>
              </w:rPr>
            </w:pPr>
            <w:r w:rsidRPr="007553F6">
              <w:rPr>
                <w:sz w:val="20"/>
                <w:szCs w:val="20"/>
              </w:rPr>
              <w:t>2.5</w:t>
            </w:r>
          </w:p>
        </w:tc>
        <w:tc>
          <w:tcPr>
            <w:tcW w:w="1170" w:type="dxa"/>
          </w:tcPr>
          <w:p w:rsidR="00784B76" w:rsidRPr="007553F6" w:rsidP="00775427" w14:paraId="6BFC1C59" w14:textId="4E03FC97">
            <w:pPr>
              <w:jc w:val="right"/>
              <w:rPr>
                <w:sz w:val="20"/>
                <w:szCs w:val="20"/>
              </w:rPr>
            </w:pPr>
            <w:r w:rsidRPr="007553F6">
              <w:rPr>
                <w:sz w:val="20"/>
                <w:szCs w:val="20"/>
              </w:rPr>
              <w:t>427.5</w:t>
            </w:r>
          </w:p>
        </w:tc>
      </w:tr>
      <w:tr w14:paraId="24EAC1B7" w14:textId="77777777" w:rsidTr="007553F6">
        <w:tblPrEx>
          <w:tblW w:w="9445" w:type="dxa"/>
          <w:tblLayout w:type="fixed"/>
          <w:tblCellMar>
            <w:left w:w="120" w:type="dxa"/>
            <w:right w:w="120" w:type="dxa"/>
          </w:tblCellMar>
          <w:tblLook w:val="04A0"/>
        </w:tblPrEx>
        <w:tc>
          <w:tcPr>
            <w:tcW w:w="2785" w:type="dxa"/>
          </w:tcPr>
          <w:p w:rsidR="009F7A43" w:rsidRPr="007553F6" w:rsidP="00775427" w14:paraId="163F2156" w14:textId="199962EA">
            <w:pPr>
              <w:rPr>
                <w:sz w:val="20"/>
                <w:szCs w:val="20"/>
              </w:rPr>
            </w:pPr>
            <w:r w:rsidRPr="007553F6">
              <w:rPr>
                <w:sz w:val="20"/>
                <w:szCs w:val="20"/>
              </w:rPr>
              <w:t>202.1(e)(1)(ii)</w:t>
            </w:r>
            <w:r w:rsidRPr="007553F6" w:rsidR="00172A60">
              <w:rPr>
                <w:sz w:val="20"/>
                <w:szCs w:val="20"/>
              </w:rPr>
              <w:t xml:space="preserve">: </w:t>
            </w:r>
            <w:r w:rsidRPr="007553F6" w:rsidR="00FE6F0E">
              <w:rPr>
                <w:sz w:val="20"/>
                <w:szCs w:val="20"/>
              </w:rPr>
              <w:t>Ongoing</w:t>
            </w:r>
            <w:r w:rsidRPr="007553F6" w:rsidR="00B302E8">
              <w:rPr>
                <w:sz w:val="20"/>
                <w:szCs w:val="20"/>
              </w:rPr>
              <w:t xml:space="preserve"> </w:t>
            </w:r>
            <w:r w:rsidRPr="007553F6" w:rsidR="007307C1">
              <w:rPr>
                <w:sz w:val="20"/>
                <w:szCs w:val="20"/>
              </w:rPr>
              <w:t>implementation of revised requirements</w:t>
            </w:r>
            <w:r w:rsidRPr="007553F6" w:rsidR="002E5BA0">
              <w:rPr>
                <w:sz w:val="20"/>
                <w:szCs w:val="20"/>
              </w:rPr>
              <w:t xml:space="preserve"> </w:t>
            </w:r>
            <w:r w:rsidR="00CB25ED">
              <w:rPr>
                <w:sz w:val="20"/>
                <w:szCs w:val="20"/>
              </w:rPr>
              <w:t xml:space="preserve">for </w:t>
            </w:r>
            <w:r w:rsidRPr="007553F6" w:rsidR="002E5BA0">
              <w:rPr>
                <w:sz w:val="20"/>
                <w:szCs w:val="20"/>
              </w:rPr>
              <w:t xml:space="preserve">future </w:t>
            </w:r>
            <w:r w:rsidR="00CD10A9">
              <w:rPr>
                <w:sz w:val="20"/>
                <w:szCs w:val="20"/>
              </w:rPr>
              <w:t>DTC</w:t>
            </w:r>
            <w:r w:rsidR="00B552B4">
              <w:rPr>
                <w:sz w:val="20"/>
                <w:szCs w:val="20"/>
              </w:rPr>
              <w:t xml:space="preserve"> </w:t>
            </w:r>
            <w:r w:rsidRPr="007553F6" w:rsidR="002E5BA0">
              <w:rPr>
                <w:sz w:val="20"/>
                <w:szCs w:val="20"/>
              </w:rPr>
              <w:t>TV and Radio ads</w:t>
            </w:r>
          </w:p>
        </w:tc>
        <w:tc>
          <w:tcPr>
            <w:tcW w:w="1350" w:type="dxa"/>
          </w:tcPr>
          <w:p w:rsidR="009F7A43" w:rsidRPr="007553F6" w:rsidP="005A7FCF" w14:paraId="60887A2C" w14:textId="349EA897">
            <w:pPr>
              <w:jc w:val="center"/>
              <w:rPr>
                <w:sz w:val="20"/>
                <w:szCs w:val="20"/>
              </w:rPr>
            </w:pPr>
            <w:r w:rsidRPr="007553F6">
              <w:rPr>
                <w:sz w:val="20"/>
                <w:szCs w:val="20"/>
              </w:rPr>
              <w:t>57</w:t>
            </w:r>
          </w:p>
          <w:p w:rsidR="009F7A43" w:rsidRPr="007553F6" w:rsidP="005A7FCF" w14:paraId="67928371" w14:textId="77777777">
            <w:pPr>
              <w:jc w:val="center"/>
              <w:rPr>
                <w:sz w:val="20"/>
                <w:szCs w:val="20"/>
              </w:rPr>
            </w:pPr>
          </w:p>
          <w:p w:rsidR="009F7A43" w:rsidRPr="007553F6" w:rsidP="005A7FCF" w14:paraId="0EEE9B70" w14:textId="235D4D3E">
            <w:pPr>
              <w:jc w:val="center"/>
              <w:rPr>
                <w:sz w:val="20"/>
                <w:szCs w:val="20"/>
              </w:rPr>
            </w:pPr>
          </w:p>
        </w:tc>
        <w:tc>
          <w:tcPr>
            <w:tcW w:w="1530" w:type="dxa"/>
          </w:tcPr>
          <w:p w:rsidR="009F7A43" w:rsidRPr="007553F6" w:rsidP="00775427" w14:paraId="23AC14C5" w14:textId="69D4B14F">
            <w:pPr>
              <w:jc w:val="right"/>
              <w:rPr>
                <w:sz w:val="20"/>
                <w:szCs w:val="20"/>
              </w:rPr>
            </w:pPr>
            <w:r w:rsidRPr="007553F6">
              <w:rPr>
                <w:sz w:val="20"/>
                <w:szCs w:val="20"/>
              </w:rPr>
              <w:t>11.02</w:t>
            </w:r>
          </w:p>
          <w:p w:rsidR="009F7A43" w:rsidRPr="007553F6" w:rsidP="00775427" w14:paraId="39DFBC75" w14:textId="77777777">
            <w:pPr>
              <w:jc w:val="right"/>
              <w:rPr>
                <w:sz w:val="20"/>
                <w:szCs w:val="20"/>
              </w:rPr>
            </w:pPr>
          </w:p>
          <w:p w:rsidR="009F7A43" w:rsidRPr="007553F6" w:rsidP="00775427" w14:paraId="72CDDE31" w14:textId="4D690D1A">
            <w:pPr>
              <w:jc w:val="right"/>
              <w:rPr>
                <w:sz w:val="20"/>
                <w:szCs w:val="20"/>
              </w:rPr>
            </w:pPr>
          </w:p>
        </w:tc>
        <w:tc>
          <w:tcPr>
            <w:tcW w:w="1260" w:type="dxa"/>
          </w:tcPr>
          <w:p w:rsidR="009F7A43" w:rsidRPr="007553F6" w:rsidP="00775427" w14:paraId="323F16D9" w14:textId="6A7423D8">
            <w:pPr>
              <w:jc w:val="right"/>
              <w:rPr>
                <w:sz w:val="20"/>
                <w:szCs w:val="20"/>
              </w:rPr>
            </w:pPr>
            <w:r w:rsidRPr="007553F6">
              <w:rPr>
                <w:sz w:val="20"/>
                <w:szCs w:val="20"/>
              </w:rPr>
              <w:t>628</w:t>
            </w:r>
          </w:p>
          <w:p w:rsidR="009F7A43" w:rsidRPr="007553F6" w:rsidP="00775427" w14:paraId="25A9F7B0" w14:textId="77777777">
            <w:pPr>
              <w:jc w:val="right"/>
              <w:rPr>
                <w:sz w:val="20"/>
                <w:szCs w:val="20"/>
              </w:rPr>
            </w:pPr>
          </w:p>
          <w:p w:rsidR="009F7A43" w:rsidRPr="007553F6" w:rsidP="00775427" w14:paraId="5ED1FB14" w14:textId="77BD819E">
            <w:pPr>
              <w:jc w:val="right"/>
              <w:rPr>
                <w:sz w:val="20"/>
                <w:szCs w:val="20"/>
              </w:rPr>
            </w:pPr>
          </w:p>
        </w:tc>
        <w:tc>
          <w:tcPr>
            <w:tcW w:w="1350" w:type="dxa"/>
          </w:tcPr>
          <w:p w:rsidR="009F7A43" w:rsidRPr="007553F6" w:rsidP="00775427" w14:paraId="247A3686" w14:textId="08491BC4">
            <w:pPr>
              <w:jc w:val="right"/>
              <w:rPr>
                <w:sz w:val="20"/>
                <w:szCs w:val="20"/>
              </w:rPr>
            </w:pPr>
            <w:r w:rsidRPr="007553F6">
              <w:rPr>
                <w:sz w:val="20"/>
                <w:szCs w:val="20"/>
              </w:rPr>
              <w:t>5</w:t>
            </w:r>
          </w:p>
          <w:p w:rsidR="009F7A43" w:rsidRPr="007553F6" w:rsidP="00775427" w14:paraId="011B1D8B" w14:textId="77777777">
            <w:pPr>
              <w:jc w:val="right"/>
              <w:rPr>
                <w:sz w:val="20"/>
                <w:szCs w:val="20"/>
              </w:rPr>
            </w:pPr>
          </w:p>
          <w:p w:rsidR="009F7A43" w:rsidRPr="007553F6" w:rsidP="00775427" w14:paraId="389A2314" w14:textId="3C227A6B">
            <w:pPr>
              <w:jc w:val="right"/>
              <w:rPr>
                <w:sz w:val="20"/>
                <w:szCs w:val="20"/>
              </w:rPr>
            </w:pPr>
          </w:p>
        </w:tc>
        <w:tc>
          <w:tcPr>
            <w:tcW w:w="1170" w:type="dxa"/>
          </w:tcPr>
          <w:p w:rsidR="009F7A43" w:rsidRPr="007553F6" w:rsidP="00775427" w14:paraId="571D5122" w14:textId="549D3BEA">
            <w:pPr>
              <w:jc w:val="right"/>
              <w:rPr>
                <w:sz w:val="20"/>
                <w:szCs w:val="20"/>
              </w:rPr>
            </w:pPr>
            <w:r w:rsidRPr="007553F6">
              <w:rPr>
                <w:sz w:val="20"/>
                <w:szCs w:val="20"/>
              </w:rPr>
              <w:t>3,140</w:t>
            </w:r>
          </w:p>
          <w:p w:rsidR="009F7A43" w:rsidRPr="007553F6" w:rsidP="00775427" w14:paraId="17254C25" w14:textId="77777777">
            <w:pPr>
              <w:jc w:val="right"/>
              <w:rPr>
                <w:sz w:val="20"/>
                <w:szCs w:val="20"/>
              </w:rPr>
            </w:pPr>
          </w:p>
          <w:p w:rsidR="009F7A43" w:rsidRPr="007553F6" w:rsidP="00775427" w14:paraId="0C4096ED" w14:textId="11BF23A1">
            <w:pPr>
              <w:jc w:val="right"/>
              <w:rPr>
                <w:sz w:val="20"/>
                <w:szCs w:val="20"/>
              </w:rPr>
            </w:pPr>
          </w:p>
        </w:tc>
      </w:tr>
      <w:tr w14:paraId="2707D09E" w14:textId="77777777" w:rsidTr="007553F6">
        <w:tblPrEx>
          <w:tblW w:w="9445" w:type="dxa"/>
          <w:tblLayout w:type="fixed"/>
          <w:tblCellMar>
            <w:left w:w="120" w:type="dxa"/>
            <w:right w:w="120" w:type="dxa"/>
          </w:tblCellMar>
          <w:tblLook w:val="04A0"/>
        </w:tblPrEx>
        <w:tc>
          <w:tcPr>
            <w:tcW w:w="2785" w:type="dxa"/>
          </w:tcPr>
          <w:p w:rsidR="005C32DB" w:rsidRPr="007553F6" w:rsidP="00775427" w14:paraId="176CC00A" w14:textId="1D9006CA">
            <w:pPr>
              <w:rPr>
                <w:sz w:val="20"/>
                <w:szCs w:val="20"/>
              </w:rPr>
            </w:pPr>
            <w:r w:rsidRPr="007553F6">
              <w:rPr>
                <w:sz w:val="20"/>
                <w:szCs w:val="20"/>
              </w:rPr>
              <w:t>TOTAL</w:t>
            </w:r>
          </w:p>
        </w:tc>
        <w:tc>
          <w:tcPr>
            <w:tcW w:w="1350" w:type="dxa"/>
          </w:tcPr>
          <w:p w:rsidR="005C32DB" w:rsidRPr="007553F6" w:rsidP="005A7FCF" w14:paraId="421005B1" w14:textId="77777777">
            <w:pPr>
              <w:jc w:val="center"/>
              <w:rPr>
                <w:sz w:val="20"/>
                <w:szCs w:val="20"/>
              </w:rPr>
            </w:pPr>
          </w:p>
        </w:tc>
        <w:tc>
          <w:tcPr>
            <w:tcW w:w="1530" w:type="dxa"/>
          </w:tcPr>
          <w:p w:rsidR="005C32DB" w:rsidRPr="007553F6" w:rsidP="00775427" w14:paraId="7BB72AC5" w14:textId="77777777">
            <w:pPr>
              <w:jc w:val="right"/>
              <w:rPr>
                <w:sz w:val="20"/>
                <w:szCs w:val="20"/>
              </w:rPr>
            </w:pPr>
          </w:p>
        </w:tc>
        <w:tc>
          <w:tcPr>
            <w:tcW w:w="1260" w:type="dxa"/>
          </w:tcPr>
          <w:p w:rsidR="005C32DB" w:rsidRPr="007553F6" w:rsidP="00775427" w14:paraId="3CF0AEBE" w14:textId="78E1F197">
            <w:pPr>
              <w:jc w:val="right"/>
              <w:rPr>
                <w:sz w:val="20"/>
                <w:szCs w:val="20"/>
              </w:rPr>
            </w:pPr>
            <w:r w:rsidRPr="007553F6">
              <w:rPr>
                <w:sz w:val="20"/>
                <w:szCs w:val="20"/>
              </w:rPr>
              <w:fldChar w:fldCharType="begin"/>
            </w:r>
            <w:r w:rsidRPr="007553F6">
              <w:rPr>
                <w:sz w:val="20"/>
                <w:szCs w:val="20"/>
              </w:rPr>
              <w:instrText xml:space="preserve"> =SUM(ABOVE) </w:instrText>
            </w:r>
            <w:r w:rsidRPr="007553F6">
              <w:rPr>
                <w:sz w:val="20"/>
                <w:szCs w:val="20"/>
              </w:rPr>
              <w:fldChar w:fldCharType="separate"/>
            </w:r>
            <w:r w:rsidRPr="007553F6">
              <w:rPr>
                <w:noProof/>
                <w:sz w:val="20"/>
                <w:szCs w:val="20"/>
              </w:rPr>
              <w:t>799</w:t>
            </w:r>
            <w:r w:rsidRPr="007553F6">
              <w:rPr>
                <w:sz w:val="20"/>
                <w:szCs w:val="20"/>
              </w:rPr>
              <w:fldChar w:fldCharType="end"/>
            </w:r>
          </w:p>
        </w:tc>
        <w:tc>
          <w:tcPr>
            <w:tcW w:w="1350" w:type="dxa"/>
          </w:tcPr>
          <w:p w:rsidR="005C32DB" w:rsidRPr="007553F6" w:rsidP="00775427" w14:paraId="786C8D81" w14:textId="77777777">
            <w:pPr>
              <w:jc w:val="right"/>
              <w:rPr>
                <w:sz w:val="20"/>
                <w:szCs w:val="20"/>
              </w:rPr>
            </w:pPr>
          </w:p>
        </w:tc>
        <w:tc>
          <w:tcPr>
            <w:tcW w:w="1170" w:type="dxa"/>
          </w:tcPr>
          <w:p w:rsidR="005C32DB" w:rsidRPr="007553F6" w:rsidP="00775427" w14:paraId="777D8FF0" w14:textId="7205D7A9">
            <w:pPr>
              <w:jc w:val="right"/>
              <w:rPr>
                <w:sz w:val="20"/>
                <w:szCs w:val="20"/>
              </w:rPr>
            </w:pPr>
            <w:r w:rsidRPr="007553F6">
              <w:rPr>
                <w:sz w:val="20"/>
                <w:szCs w:val="20"/>
              </w:rPr>
              <w:fldChar w:fldCharType="begin"/>
            </w:r>
            <w:r w:rsidRPr="007553F6">
              <w:rPr>
                <w:sz w:val="20"/>
                <w:szCs w:val="20"/>
              </w:rPr>
              <w:instrText xml:space="preserve"> =SUM(ABOVE) </w:instrText>
            </w:r>
            <w:r w:rsidRPr="007553F6">
              <w:rPr>
                <w:sz w:val="20"/>
                <w:szCs w:val="20"/>
              </w:rPr>
              <w:fldChar w:fldCharType="separate"/>
            </w:r>
            <w:r w:rsidRPr="007553F6">
              <w:rPr>
                <w:noProof/>
                <w:sz w:val="20"/>
                <w:szCs w:val="20"/>
              </w:rPr>
              <w:t>3,567.5</w:t>
            </w:r>
            <w:r w:rsidRPr="007553F6">
              <w:rPr>
                <w:sz w:val="20"/>
                <w:szCs w:val="20"/>
              </w:rPr>
              <w:fldChar w:fldCharType="end"/>
            </w:r>
          </w:p>
        </w:tc>
      </w:tr>
    </w:tbl>
    <w:p w:rsidR="009A1544" w:rsidP="00561872" w14:paraId="7F331100" w14:textId="2CEA4164">
      <w:pPr>
        <w:widowControl w:val="0"/>
        <w:rPr>
          <w:snapToGrid w:val="0"/>
          <w:szCs w:val="20"/>
        </w:rPr>
      </w:pPr>
    </w:p>
    <w:p w:rsidR="003C4E46" w:rsidRPr="003C4E46" w:rsidP="003C4E46" w14:paraId="160C4315" w14:textId="359E255B">
      <w:pPr>
        <w:spacing w:after="160" w:line="259" w:lineRule="auto"/>
      </w:pPr>
      <w:r>
        <w:t xml:space="preserve">We estimate a one-time burden of 427.5 hours for reading and understanding the rule, revising associated SOPs, and modifying existing ads.  </w:t>
      </w:r>
    </w:p>
    <w:p w:rsidR="00F2527E" w:rsidP="00561872" w14:paraId="2EC84DD2" w14:textId="1E6FA3BE">
      <w:pPr>
        <w:widowControl w:val="0"/>
        <w:rPr>
          <w:snapToGrid w:val="0"/>
          <w:szCs w:val="20"/>
        </w:rPr>
      </w:pPr>
      <w:r>
        <w:rPr>
          <w:snapToGrid w:val="0"/>
          <w:szCs w:val="20"/>
        </w:rPr>
        <w:t>We also estimate an increase to the average</w:t>
      </w:r>
      <w:r w:rsidR="003026A5">
        <w:rPr>
          <w:snapToGrid w:val="0"/>
          <w:szCs w:val="20"/>
        </w:rPr>
        <w:t xml:space="preserve"> annual burden respondents will incu</w:t>
      </w:r>
      <w:r w:rsidR="001D0B5F">
        <w:rPr>
          <w:snapToGrid w:val="0"/>
          <w:szCs w:val="20"/>
        </w:rPr>
        <w:t xml:space="preserve">r for complying with the requirements in 202.1(e)(1)(ii).  </w:t>
      </w:r>
      <w:r w:rsidR="0035273C">
        <w:rPr>
          <w:snapToGrid w:val="0"/>
          <w:szCs w:val="20"/>
        </w:rPr>
        <w:t>Using the</w:t>
      </w:r>
      <w:r w:rsidR="0039277E">
        <w:rPr>
          <w:snapToGrid w:val="0"/>
          <w:szCs w:val="20"/>
        </w:rPr>
        <w:t xml:space="preserve"> </w:t>
      </w:r>
      <w:r w:rsidRPr="0039277E" w:rsidR="0039277E">
        <w:rPr>
          <w:snapToGrid w:val="0"/>
          <w:szCs w:val="20"/>
        </w:rPr>
        <w:t xml:space="preserve">number of advertisements </w:t>
      </w:r>
      <w:r w:rsidR="00087098">
        <w:rPr>
          <w:snapToGrid w:val="0"/>
          <w:szCs w:val="20"/>
        </w:rPr>
        <w:t xml:space="preserve">routinely </w:t>
      </w:r>
      <w:r w:rsidRPr="0039277E" w:rsidR="0039277E">
        <w:rPr>
          <w:snapToGrid w:val="0"/>
          <w:szCs w:val="20"/>
        </w:rPr>
        <w:t>submitted</w:t>
      </w:r>
      <w:r w:rsidR="004F5D77">
        <w:rPr>
          <w:snapToGrid w:val="0"/>
          <w:szCs w:val="20"/>
        </w:rPr>
        <w:t xml:space="preserve"> in </w:t>
      </w:r>
      <w:r w:rsidR="00594C9A">
        <w:rPr>
          <w:snapToGrid w:val="0"/>
          <w:szCs w:val="20"/>
        </w:rPr>
        <w:t xml:space="preserve"> Form 2253 </w:t>
      </w:r>
      <w:r w:rsidR="00124B73">
        <w:rPr>
          <w:rFonts w:eastAsia="Calibri"/>
        </w:rPr>
        <w:t>(“</w:t>
      </w:r>
      <w:r w:rsidRPr="0065351D" w:rsidR="00124B73">
        <w:rPr>
          <w:rFonts w:eastAsia="Calibri"/>
          <w:i/>
          <w:iCs/>
        </w:rPr>
        <w:t>Transmittal of Advertisements and Promotional Labeling for Drugs and Biologics for Human Use</w:t>
      </w:r>
      <w:r w:rsidR="007650F0">
        <w:rPr>
          <w:rFonts w:eastAsia="Calibri"/>
          <w:i/>
          <w:iCs/>
        </w:rPr>
        <w:t>,</w:t>
      </w:r>
      <w:r w:rsidR="00124B73">
        <w:rPr>
          <w:rFonts w:eastAsia="Calibri"/>
        </w:rPr>
        <w:t xml:space="preserve">” </w:t>
      </w:r>
      <w:r w:rsidR="007650F0">
        <w:rPr>
          <w:rFonts w:eastAsia="Calibri"/>
        </w:rPr>
        <w:t xml:space="preserve">approved in </w:t>
      </w:r>
      <w:r w:rsidR="00124B73">
        <w:rPr>
          <w:rFonts w:eastAsia="Calibri"/>
        </w:rPr>
        <w:t>OMB Control Number</w:t>
      </w:r>
      <w:r w:rsidR="00AC3C9F">
        <w:rPr>
          <w:rFonts w:eastAsia="Calibri"/>
        </w:rPr>
        <w:t>s</w:t>
      </w:r>
      <w:r w:rsidR="00124B73">
        <w:rPr>
          <w:rFonts w:eastAsia="Calibri"/>
        </w:rPr>
        <w:t xml:space="preserve"> 0910-0001</w:t>
      </w:r>
      <w:r w:rsidR="00AC3C9F">
        <w:rPr>
          <w:rFonts w:eastAsia="Calibri"/>
        </w:rPr>
        <w:t xml:space="preserve"> and </w:t>
      </w:r>
      <w:r w:rsidR="00242F64">
        <w:rPr>
          <w:rFonts w:eastAsia="Calibri"/>
        </w:rPr>
        <w:t>0910-0338</w:t>
      </w:r>
      <w:r w:rsidR="00124B73">
        <w:rPr>
          <w:rFonts w:eastAsia="Calibri"/>
        </w:rPr>
        <w:t xml:space="preserve">) </w:t>
      </w:r>
      <w:r w:rsidRPr="0039277E" w:rsidR="0039277E">
        <w:rPr>
          <w:snapToGrid w:val="0"/>
          <w:szCs w:val="20"/>
        </w:rPr>
        <w:t>in 2020</w:t>
      </w:r>
      <w:r w:rsidR="00CB5BFA">
        <w:rPr>
          <w:snapToGrid w:val="0"/>
          <w:szCs w:val="20"/>
        </w:rPr>
        <w:t xml:space="preserve"> as </w:t>
      </w:r>
      <w:r w:rsidR="00286793">
        <w:rPr>
          <w:snapToGrid w:val="0"/>
          <w:szCs w:val="20"/>
        </w:rPr>
        <w:t>a basis</w:t>
      </w:r>
      <w:r w:rsidR="000E365B">
        <w:rPr>
          <w:snapToGrid w:val="0"/>
          <w:szCs w:val="20"/>
        </w:rPr>
        <w:t>, we</w:t>
      </w:r>
      <w:r w:rsidR="00737392">
        <w:rPr>
          <w:snapToGrid w:val="0"/>
          <w:szCs w:val="20"/>
        </w:rPr>
        <w:t xml:space="preserve"> assume</w:t>
      </w:r>
      <w:r w:rsidRPr="0039277E" w:rsidR="0039277E">
        <w:rPr>
          <w:snapToGrid w:val="0"/>
          <w:szCs w:val="20"/>
        </w:rPr>
        <w:t xml:space="preserve"> </w:t>
      </w:r>
      <w:r w:rsidR="00967E8C">
        <w:rPr>
          <w:snapToGrid w:val="0"/>
          <w:szCs w:val="20"/>
        </w:rPr>
        <w:t xml:space="preserve">57 firms will </w:t>
      </w:r>
      <w:r w:rsidR="00584092">
        <w:rPr>
          <w:snapToGrid w:val="0"/>
          <w:szCs w:val="20"/>
        </w:rPr>
        <w:t xml:space="preserve">develop and </w:t>
      </w:r>
      <w:r w:rsidR="00967E8C">
        <w:rPr>
          <w:snapToGrid w:val="0"/>
          <w:szCs w:val="20"/>
        </w:rPr>
        <w:t xml:space="preserve">disseminate </w:t>
      </w:r>
      <w:r w:rsidR="00F27028">
        <w:rPr>
          <w:snapToGrid w:val="0"/>
          <w:szCs w:val="20"/>
        </w:rPr>
        <w:t>a</w:t>
      </w:r>
      <w:r w:rsidR="00967E8C">
        <w:rPr>
          <w:snapToGrid w:val="0"/>
          <w:szCs w:val="20"/>
        </w:rPr>
        <w:t xml:space="preserve">n average of </w:t>
      </w:r>
      <w:r w:rsidR="00F27028">
        <w:rPr>
          <w:snapToGrid w:val="0"/>
          <w:szCs w:val="20"/>
        </w:rPr>
        <w:t xml:space="preserve">628 </w:t>
      </w:r>
      <w:r w:rsidR="00902313">
        <w:rPr>
          <w:snapToGrid w:val="0"/>
          <w:szCs w:val="20"/>
        </w:rPr>
        <w:t>TV/radio</w:t>
      </w:r>
      <w:r w:rsidR="00F27028">
        <w:rPr>
          <w:snapToGrid w:val="0"/>
          <w:szCs w:val="20"/>
        </w:rPr>
        <w:t xml:space="preserve"> advertisements</w:t>
      </w:r>
      <w:r w:rsidR="001169F7">
        <w:rPr>
          <w:snapToGrid w:val="0"/>
          <w:szCs w:val="20"/>
        </w:rPr>
        <w:t>, including advertisements</w:t>
      </w:r>
      <w:r w:rsidR="00F04F73">
        <w:rPr>
          <w:snapToGrid w:val="0"/>
          <w:szCs w:val="20"/>
        </w:rPr>
        <w:t xml:space="preserve"> for biologic products, annually.  We </w:t>
      </w:r>
      <w:r w:rsidR="004C40A0">
        <w:rPr>
          <w:snapToGrid w:val="0"/>
          <w:szCs w:val="20"/>
        </w:rPr>
        <w:t xml:space="preserve">also </w:t>
      </w:r>
      <w:r w:rsidR="00F04F73">
        <w:rPr>
          <w:snapToGrid w:val="0"/>
          <w:szCs w:val="20"/>
        </w:rPr>
        <w:t xml:space="preserve">assume an average of 5 hours is required </w:t>
      </w:r>
      <w:r w:rsidR="00861C6D">
        <w:rPr>
          <w:snapToGrid w:val="0"/>
          <w:szCs w:val="20"/>
        </w:rPr>
        <w:t>to prepare</w:t>
      </w:r>
      <w:r w:rsidR="000531CD">
        <w:rPr>
          <w:snapToGrid w:val="0"/>
          <w:szCs w:val="20"/>
        </w:rPr>
        <w:t xml:space="preserve"> these advertisements</w:t>
      </w:r>
      <w:r w:rsidR="004113C4">
        <w:rPr>
          <w:snapToGrid w:val="0"/>
          <w:szCs w:val="20"/>
        </w:rPr>
        <w:t xml:space="preserve"> in accordance with requirements in 21 CFR 202.1</w:t>
      </w:r>
      <w:r w:rsidR="000531CD">
        <w:rPr>
          <w:snapToGrid w:val="0"/>
          <w:szCs w:val="20"/>
        </w:rPr>
        <w:t>.</w:t>
      </w:r>
      <w:r w:rsidR="00165872">
        <w:rPr>
          <w:snapToGrid w:val="0"/>
          <w:szCs w:val="20"/>
        </w:rPr>
        <w:t xml:space="preserve">  Included in our count are only those respondents we believe </w:t>
      </w:r>
      <w:r w:rsidR="0091658E">
        <w:rPr>
          <w:snapToGrid w:val="0"/>
          <w:szCs w:val="20"/>
        </w:rPr>
        <w:t xml:space="preserve">disseminate </w:t>
      </w:r>
      <w:r w:rsidR="000F0D1B">
        <w:rPr>
          <w:snapToGrid w:val="0"/>
          <w:szCs w:val="20"/>
        </w:rPr>
        <w:t>marketing information</w:t>
      </w:r>
      <w:r w:rsidR="009C3A24">
        <w:rPr>
          <w:snapToGrid w:val="0"/>
          <w:szCs w:val="20"/>
        </w:rPr>
        <w:t xml:space="preserve"> pertaining to </w:t>
      </w:r>
      <w:r w:rsidRPr="004236BE" w:rsidR="004236BE">
        <w:rPr>
          <w:snapToGrid w:val="0"/>
          <w:szCs w:val="20"/>
        </w:rPr>
        <w:t>human prescription drugs</w:t>
      </w:r>
      <w:r w:rsidR="00D259E3">
        <w:rPr>
          <w:snapToGrid w:val="0"/>
          <w:szCs w:val="20"/>
        </w:rPr>
        <w:t xml:space="preserve"> </w:t>
      </w:r>
      <w:r w:rsidRPr="004236BE" w:rsidR="004236BE">
        <w:rPr>
          <w:snapToGrid w:val="0"/>
          <w:szCs w:val="20"/>
        </w:rPr>
        <w:t>direct</w:t>
      </w:r>
      <w:r w:rsidR="002B1EEE">
        <w:rPr>
          <w:snapToGrid w:val="0"/>
          <w:szCs w:val="20"/>
        </w:rPr>
        <w:t>ly</w:t>
      </w:r>
      <w:r w:rsidRPr="004236BE" w:rsidR="004236BE">
        <w:rPr>
          <w:snapToGrid w:val="0"/>
          <w:szCs w:val="20"/>
        </w:rPr>
        <w:t xml:space="preserve"> to </w:t>
      </w:r>
      <w:r w:rsidR="002B1EEE">
        <w:rPr>
          <w:snapToGrid w:val="0"/>
          <w:szCs w:val="20"/>
        </w:rPr>
        <w:t xml:space="preserve">the </w:t>
      </w:r>
      <w:r w:rsidRPr="004236BE" w:rsidR="004236BE">
        <w:rPr>
          <w:snapToGrid w:val="0"/>
          <w:szCs w:val="20"/>
        </w:rPr>
        <w:t>consumer</w:t>
      </w:r>
      <w:r w:rsidR="00A637A6">
        <w:rPr>
          <w:snapToGrid w:val="0"/>
          <w:szCs w:val="20"/>
        </w:rPr>
        <w:t xml:space="preserve"> through</w:t>
      </w:r>
      <w:r w:rsidR="00B3196D">
        <w:rPr>
          <w:snapToGrid w:val="0"/>
          <w:szCs w:val="20"/>
        </w:rPr>
        <w:t xml:space="preserve"> television or radio advertisements.</w:t>
      </w:r>
      <w:bookmarkStart w:id="0" w:name="_Hlk528399214"/>
    </w:p>
    <w:p w:rsidR="004713C2" w:rsidP="00561872" w14:paraId="1DCE7EE4" w14:textId="77777777">
      <w:pPr>
        <w:widowControl w:val="0"/>
        <w:rPr>
          <w:snapToGrid w:val="0"/>
          <w:szCs w:val="20"/>
        </w:rPr>
      </w:pPr>
    </w:p>
    <w:bookmarkEnd w:id="0"/>
    <w:p w:rsidR="00357C8A" w:rsidRPr="007553F6" w:rsidP="00DC371B" w14:paraId="346FA635" w14:textId="77777777">
      <w:pPr>
        <w:spacing w:after="200"/>
        <w:ind w:left="360"/>
        <w:rPr>
          <w:rFonts w:eastAsia="Calibri"/>
          <w:i/>
          <w:iCs/>
        </w:rPr>
      </w:pPr>
      <w:r w:rsidRPr="007553F6">
        <w:rPr>
          <w:rFonts w:eastAsia="Calibri"/>
          <w:i/>
          <w:iCs/>
        </w:rPr>
        <w:t>12b.  Annualized Cost Burden Estimate</w:t>
      </w:r>
    </w:p>
    <w:p w:rsidR="00357C8A" w:rsidP="00524854" w14:paraId="727B03ED" w14:textId="43D81C42">
      <w:pPr>
        <w:rPr>
          <w:rFonts w:eastAsia="Calibri"/>
        </w:rPr>
      </w:pPr>
      <w:r>
        <w:rPr>
          <w:rFonts w:eastAsia="Calibri"/>
        </w:rPr>
        <w:t>To calculate annual cost burden, we assume wage rates of $75/hour and $150/hour for a marketing specialist and marketing manager, respectively</w:t>
      </w:r>
      <w:r w:rsidR="001E06A2">
        <w:rPr>
          <w:rFonts w:eastAsia="Calibri"/>
        </w:rPr>
        <w:t>.</w:t>
      </w:r>
      <w:r>
        <w:rPr>
          <w:rStyle w:val="FootnoteReference"/>
          <w:rFonts w:eastAsia="Calibri"/>
        </w:rPr>
        <w:footnoteReference w:id="3"/>
      </w:r>
      <w:r w:rsidR="001E06A2">
        <w:rPr>
          <w:rFonts w:eastAsia="Calibri"/>
        </w:rPr>
        <w:t xml:space="preserve"> </w:t>
      </w:r>
      <w:r w:rsidR="00311FDB">
        <w:rPr>
          <w:rFonts w:eastAsia="Calibri"/>
        </w:rPr>
        <w:t xml:space="preserve"> Assuming</w:t>
      </w:r>
      <w:r w:rsidRPr="00311FDB" w:rsidR="00311FDB">
        <w:t xml:space="preserve"> </w:t>
      </w:r>
      <w:r w:rsidRPr="00311FDB" w:rsidR="00311FDB">
        <w:rPr>
          <w:rFonts w:eastAsia="Calibri"/>
        </w:rPr>
        <w:t>each advertisement would require 3 hours of marketing specialist time and 2 hours of marketing management time</w:t>
      </w:r>
      <w:r w:rsidR="00AD6004">
        <w:rPr>
          <w:rFonts w:eastAsia="Calibri"/>
        </w:rPr>
        <w:t>, we calculate annual burden costs</w:t>
      </w:r>
      <w:r w:rsidR="00445CE3">
        <w:rPr>
          <w:rFonts w:eastAsia="Calibri"/>
        </w:rPr>
        <w:t xml:space="preserve"> of</w:t>
      </w:r>
      <w:r w:rsidRPr="002F0F8C" w:rsidR="002F0F8C">
        <w:rPr>
          <w:rFonts w:eastAsia="Calibri"/>
        </w:rPr>
        <w:t xml:space="preserve"> $</w:t>
      </w:r>
      <w:r w:rsidR="00CE32AA">
        <w:rPr>
          <w:rFonts w:eastAsia="Calibri"/>
        </w:rPr>
        <w:t>3</w:t>
      </w:r>
      <w:r w:rsidR="00F07EB3">
        <w:rPr>
          <w:rFonts w:eastAsia="Calibri"/>
        </w:rPr>
        <w:t>29,700</w:t>
      </w:r>
      <w:r w:rsidRPr="002F0F8C" w:rsidR="002F0F8C">
        <w:rPr>
          <w:rFonts w:eastAsia="Calibri"/>
        </w:rPr>
        <w:t>.</w:t>
      </w:r>
      <w:r w:rsidRPr="00357C8A">
        <w:rPr>
          <w:rFonts w:eastAsia="Calibri"/>
        </w:rPr>
        <w:t xml:space="preserve"> </w:t>
      </w:r>
    </w:p>
    <w:p w:rsidR="00A707CC" w:rsidP="0022425B" w14:paraId="4DDBEF00" w14:textId="77777777">
      <w:pPr>
        <w:rPr>
          <w:rFonts w:eastAsia="Calibri"/>
        </w:rPr>
      </w:pPr>
    </w:p>
    <w:p w:rsidR="002A1D7B" w14:paraId="0AC73FC0" w14:textId="77777777">
      <w:pPr>
        <w:rPr>
          <w:rFonts w:eastAsia="MS Mincho"/>
          <w:bCs/>
          <w:sz w:val="20"/>
          <w:szCs w:val="20"/>
        </w:rPr>
      </w:pPr>
      <w:bookmarkStart w:id="1" w:name="_Ref536687639"/>
      <w:r>
        <w:rPr>
          <w:rFonts w:eastAsia="MS Mincho"/>
          <w:bCs/>
          <w:sz w:val="20"/>
          <w:szCs w:val="20"/>
        </w:rPr>
        <w:br w:type="page"/>
      </w:r>
    </w:p>
    <w:p w:rsidR="003B3442" w:rsidRPr="007553F6" w:rsidP="00524854" w14:paraId="36E5FA18" w14:textId="75DF18CC">
      <w:pPr>
        <w:jc w:val="center"/>
        <w:rPr>
          <w:rFonts w:eastAsia="Calibri"/>
          <w:bCs/>
          <w:sz w:val="20"/>
          <w:szCs w:val="20"/>
        </w:rPr>
      </w:pPr>
      <w:r w:rsidRPr="007553F6">
        <w:rPr>
          <w:rFonts w:eastAsia="MS Mincho"/>
          <w:bCs/>
          <w:sz w:val="20"/>
          <w:szCs w:val="20"/>
        </w:rPr>
        <w:t xml:space="preserve">Table </w:t>
      </w:r>
      <w:bookmarkEnd w:id="1"/>
      <w:r w:rsidRPr="007553F6">
        <w:rPr>
          <w:rFonts w:eastAsia="MS Mincho"/>
          <w:bCs/>
          <w:sz w:val="20"/>
          <w:szCs w:val="20"/>
        </w:rPr>
        <w:t>2.  Annual Cost for Ensuring Advertisements Meet the Standards of this Final Rule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3"/>
        <w:gridCol w:w="1890"/>
        <w:gridCol w:w="1944"/>
        <w:gridCol w:w="1926"/>
      </w:tblGrid>
      <w:tr w14:paraId="149D44C1" w14:textId="77777777" w:rsidTr="00524854">
        <w:tblPrEx>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443" w:type="dxa"/>
            <w:shd w:val="clear" w:color="auto" w:fill="auto"/>
          </w:tcPr>
          <w:p w:rsidR="00783404" w:rsidRPr="007553F6" w:rsidP="00FE15BF" w14:paraId="0BDF29CD" w14:textId="2D0ACBF2">
            <w:pPr>
              <w:jc w:val="center"/>
              <w:rPr>
                <w:sz w:val="20"/>
                <w:szCs w:val="20"/>
              </w:rPr>
            </w:pPr>
            <w:r w:rsidRPr="007553F6">
              <w:rPr>
                <w:sz w:val="20"/>
                <w:szCs w:val="20"/>
              </w:rPr>
              <w:t>21 CFR Part</w:t>
            </w:r>
            <w:r w:rsidRPr="007553F6" w:rsidR="00DA37CE">
              <w:rPr>
                <w:sz w:val="20"/>
                <w:szCs w:val="20"/>
              </w:rPr>
              <w:t xml:space="preserve"> </w:t>
            </w:r>
            <w:r w:rsidRPr="007553F6" w:rsidR="00A3349D">
              <w:rPr>
                <w:sz w:val="20"/>
                <w:szCs w:val="20"/>
              </w:rPr>
              <w:t>202.1</w:t>
            </w:r>
            <w:r w:rsidRPr="007553F6">
              <w:rPr>
                <w:sz w:val="20"/>
                <w:szCs w:val="20"/>
              </w:rPr>
              <w:br/>
            </w:r>
            <w:r w:rsidRPr="007553F6">
              <w:rPr>
                <w:sz w:val="20"/>
                <w:szCs w:val="20"/>
              </w:rPr>
              <w:br/>
              <w:t>Type of Respondent</w:t>
            </w:r>
          </w:p>
        </w:tc>
        <w:tc>
          <w:tcPr>
            <w:tcW w:w="1890" w:type="dxa"/>
            <w:shd w:val="clear" w:color="auto" w:fill="auto"/>
          </w:tcPr>
          <w:p w:rsidR="00783404" w:rsidRPr="007553F6" w:rsidP="00FE15BF" w14:paraId="0B53615C" w14:textId="77777777">
            <w:pPr>
              <w:jc w:val="center"/>
              <w:rPr>
                <w:sz w:val="20"/>
                <w:szCs w:val="20"/>
              </w:rPr>
            </w:pPr>
            <w:r w:rsidRPr="007553F6">
              <w:rPr>
                <w:sz w:val="20"/>
                <w:szCs w:val="20"/>
              </w:rPr>
              <w:t>Total Burden Hours</w:t>
            </w:r>
          </w:p>
        </w:tc>
        <w:tc>
          <w:tcPr>
            <w:tcW w:w="1944" w:type="dxa"/>
            <w:shd w:val="clear" w:color="auto" w:fill="auto"/>
          </w:tcPr>
          <w:p w:rsidR="00783404" w:rsidRPr="007553F6" w:rsidP="00FE15BF" w14:paraId="18CACFA1" w14:textId="77777777">
            <w:pPr>
              <w:jc w:val="center"/>
              <w:rPr>
                <w:sz w:val="20"/>
                <w:szCs w:val="20"/>
              </w:rPr>
            </w:pPr>
            <w:r w:rsidRPr="007553F6">
              <w:rPr>
                <w:sz w:val="20"/>
                <w:szCs w:val="20"/>
              </w:rPr>
              <w:t>Hourly Wage Rate</w:t>
            </w:r>
          </w:p>
        </w:tc>
        <w:tc>
          <w:tcPr>
            <w:tcW w:w="1926" w:type="dxa"/>
            <w:shd w:val="clear" w:color="auto" w:fill="auto"/>
          </w:tcPr>
          <w:p w:rsidR="00783404" w:rsidRPr="007553F6" w:rsidP="00FE15BF" w14:paraId="378C18B9" w14:textId="77777777">
            <w:pPr>
              <w:jc w:val="center"/>
              <w:rPr>
                <w:sz w:val="20"/>
                <w:szCs w:val="20"/>
              </w:rPr>
            </w:pPr>
            <w:r w:rsidRPr="007553F6">
              <w:rPr>
                <w:sz w:val="20"/>
                <w:szCs w:val="20"/>
              </w:rPr>
              <w:t>Total Respondent Costs</w:t>
            </w:r>
          </w:p>
        </w:tc>
      </w:tr>
      <w:tr w14:paraId="30F7B4DD" w14:textId="77777777" w:rsidTr="00524854">
        <w:tblPrEx>
          <w:tblW w:w="0" w:type="auto"/>
          <w:tblInd w:w="-95" w:type="dxa"/>
          <w:tblLook w:val="01E0"/>
        </w:tblPrEx>
        <w:tc>
          <w:tcPr>
            <w:tcW w:w="3443" w:type="dxa"/>
            <w:shd w:val="clear" w:color="auto" w:fill="auto"/>
          </w:tcPr>
          <w:p w:rsidR="00783404" w:rsidRPr="007553F6" w:rsidP="00FE15BF" w14:paraId="706367E4" w14:textId="123ED616">
            <w:pPr>
              <w:rPr>
                <w:sz w:val="20"/>
                <w:szCs w:val="20"/>
              </w:rPr>
            </w:pPr>
            <w:r w:rsidRPr="007553F6">
              <w:rPr>
                <w:sz w:val="20"/>
                <w:szCs w:val="20"/>
              </w:rPr>
              <w:t>Marketing specialist</w:t>
            </w:r>
          </w:p>
        </w:tc>
        <w:tc>
          <w:tcPr>
            <w:tcW w:w="1890" w:type="dxa"/>
            <w:shd w:val="clear" w:color="auto" w:fill="auto"/>
          </w:tcPr>
          <w:p w:rsidR="00783404" w:rsidRPr="007553F6" w:rsidP="00FE15BF" w14:paraId="3095967B" w14:textId="357065E1">
            <w:pPr>
              <w:rPr>
                <w:sz w:val="20"/>
                <w:szCs w:val="20"/>
              </w:rPr>
            </w:pPr>
            <w:r w:rsidRPr="007553F6">
              <w:rPr>
                <w:sz w:val="20"/>
                <w:szCs w:val="20"/>
              </w:rPr>
              <w:t>1,884</w:t>
            </w:r>
          </w:p>
        </w:tc>
        <w:tc>
          <w:tcPr>
            <w:tcW w:w="1944" w:type="dxa"/>
            <w:shd w:val="clear" w:color="auto" w:fill="auto"/>
          </w:tcPr>
          <w:p w:rsidR="00783404" w:rsidRPr="007553F6" w:rsidP="00FE15BF" w14:paraId="75BAC1E0" w14:textId="29373C17">
            <w:pPr>
              <w:rPr>
                <w:sz w:val="20"/>
                <w:szCs w:val="20"/>
              </w:rPr>
            </w:pPr>
            <w:r w:rsidRPr="007553F6">
              <w:rPr>
                <w:sz w:val="20"/>
                <w:szCs w:val="20"/>
              </w:rPr>
              <w:t>$</w:t>
            </w:r>
            <w:r w:rsidRPr="007553F6" w:rsidR="00846E5D">
              <w:rPr>
                <w:sz w:val="20"/>
                <w:szCs w:val="20"/>
              </w:rPr>
              <w:t>75</w:t>
            </w:r>
          </w:p>
        </w:tc>
        <w:tc>
          <w:tcPr>
            <w:tcW w:w="1926" w:type="dxa"/>
            <w:shd w:val="clear" w:color="auto" w:fill="auto"/>
          </w:tcPr>
          <w:p w:rsidR="00783404" w:rsidRPr="007553F6" w:rsidP="00FE15BF" w14:paraId="18AC9C5F" w14:textId="0999DD5B">
            <w:pPr>
              <w:rPr>
                <w:sz w:val="20"/>
                <w:szCs w:val="20"/>
              </w:rPr>
            </w:pPr>
            <w:r w:rsidRPr="007553F6">
              <w:rPr>
                <w:sz w:val="20"/>
                <w:szCs w:val="20"/>
              </w:rPr>
              <w:t>$</w:t>
            </w:r>
            <w:r w:rsidRPr="007553F6" w:rsidR="007225A8">
              <w:rPr>
                <w:sz w:val="20"/>
                <w:szCs w:val="20"/>
              </w:rPr>
              <w:t>1</w:t>
            </w:r>
            <w:r w:rsidRPr="007553F6">
              <w:rPr>
                <w:sz w:val="20"/>
                <w:szCs w:val="20"/>
              </w:rPr>
              <w:t>4</w:t>
            </w:r>
            <w:r w:rsidRPr="007553F6" w:rsidR="007225A8">
              <w:rPr>
                <w:sz w:val="20"/>
                <w:szCs w:val="20"/>
              </w:rPr>
              <w:t>1</w:t>
            </w:r>
            <w:r w:rsidRPr="007553F6" w:rsidR="0083411E">
              <w:rPr>
                <w:sz w:val="20"/>
                <w:szCs w:val="20"/>
              </w:rPr>
              <w:t>,</w:t>
            </w:r>
            <w:r w:rsidRPr="007553F6" w:rsidR="007225A8">
              <w:rPr>
                <w:sz w:val="20"/>
                <w:szCs w:val="20"/>
              </w:rPr>
              <w:t>3</w:t>
            </w:r>
            <w:r w:rsidRPr="007553F6" w:rsidR="0083411E">
              <w:rPr>
                <w:sz w:val="20"/>
                <w:szCs w:val="20"/>
              </w:rPr>
              <w:t>00</w:t>
            </w:r>
          </w:p>
        </w:tc>
      </w:tr>
      <w:tr w14:paraId="405468C7" w14:textId="77777777" w:rsidTr="00524854">
        <w:tblPrEx>
          <w:tblW w:w="0" w:type="auto"/>
          <w:tblInd w:w="-95" w:type="dxa"/>
          <w:tblLook w:val="01E0"/>
        </w:tblPrEx>
        <w:tc>
          <w:tcPr>
            <w:tcW w:w="3443" w:type="dxa"/>
            <w:shd w:val="clear" w:color="auto" w:fill="auto"/>
          </w:tcPr>
          <w:p w:rsidR="003935E1" w:rsidRPr="007553F6" w:rsidP="00FE15BF" w14:paraId="59347958" w14:textId="66F7172C">
            <w:pPr>
              <w:rPr>
                <w:sz w:val="20"/>
                <w:szCs w:val="20"/>
              </w:rPr>
            </w:pPr>
            <w:r w:rsidRPr="007553F6">
              <w:rPr>
                <w:sz w:val="20"/>
                <w:szCs w:val="20"/>
              </w:rPr>
              <w:t>Marketing Manager</w:t>
            </w:r>
          </w:p>
        </w:tc>
        <w:tc>
          <w:tcPr>
            <w:tcW w:w="1890" w:type="dxa"/>
            <w:shd w:val="clear" w:color="auto" w:fill="auto"/>
          </w:tcPr>
          <w:p w:rsidR="003935E1" w:rsidRPr="007553F6" w:rsidP="00FE15BF" w14:paraId="4D1FFD02" w14:textId="09973CF1">
            <w:pPr>
              <w:rPr>
                <w:sz w:val="20"/>
                <w:szCs w:val="20"/>
              </w:rPr>
            </w:pPr>
            <w:r w:rsidRPr="007553F6">
              <w:rPr>
                <w:sz w:val="20"/>
                <w:szCs w:val="20"/>
              </w:rPr>
              <w:t>1,256</w:t>
            </w:r>
          </w:p>
        </w:tc>
        <w:tc>
          <w:tcPr>
            <w:tcW w:w="1944" w:type="dxa"/>
            <w:shd w:val="clear" w:color="auto" w:fill="auto"/>
          </w:tcPr>
          <w:p w:rsidR="003935E1" w:rsidRPr="007553F6" w:rsidP="00FE15BF" w14:paraId="5F3A1FF9" w14:textId="3C8D115E">
            <w:pPr>
              <w:rPr>
                <w:sz w:val="20"/>
                <w:szCs w:val="20"/>
              </w:rPr>
            </w:pPr>
            <w:r w:rsidRPr="007553F6">
              <w:rPr>
                <w:sz w:val="20"/>
                <w:szCs w:val="20"/>
              </w:rPr>
              <w:t>$</w:t>
            </w:r>
            <w:r w:rsidRPr="007553F6" w:rsidR="0083411E">
              <w:rPr>
                <w:sz w:val="20"/>
                <w:szCs w:val="20"/>
              </w:rPr>
              <w:t>150</w:t>
            </w:r>
          </w:p>
        </w:tc>
        <w:tc>
          <w:tcPr>
            <w:tcW w:w="1926" w:type="dxa"/>
            <w:shd w:val="clear" w:color="auto" w:fill="auto"/>
          </w:tcPr>
          <w:p w:rsidR="003935E1" w:rsidRPr="007553F6" w:rsidP="00FE15BF" w14:paraId="53E98306" w14:textId="35AB8C3B">
            <w:pPr>
              <w:rPr>
                <w:sz w:val="20"/>
                <w:szCs w:val="20"/>
              </w:rPr>
            </w:pPr>
            <w:r w:rsidRPr="007553F6">
              <w:rPr>
                <w:sz w:val="20"/>
                <w:szCs w:val="20"/>
              </w:rPr>
              <w:t>$</w:t>
            </w:r>
            <w:r w:rsidRPr="007553F6" w:rsidR="0086567D">
              <w:rPr>
                <w:sz w:val="20"/>
                <w:szCs w:val="20"/>
              </w:rPr>
              <w:t>188,400</w:t>
            </w:r>
          </w:p>
        </w:tc>
      </w:tr>
      <w:tr w14:paraId="715FF2DB" w14:textId="77777777" w:rsidTr="00524854">
        <w:tblPrEx>
          <w:tblW w:w="0" w:type="auto"/>
          <w:tblInd w:w="-95" w:type="dxa"/>
          <w:tblLook w:val="01E0"/>
        </w:tblPrEx>
        <w:tc>
          <w:tcPr>
            <w:tcW w:w="7277" w:type="dxa"/>
            <w:gridSpan w:val="3"/>
            <w:shd w:val="clear" w:color="auto" w:fill="auto"/>
          </w:tcPr>
          <w:p w:rsidR="00783404" w:rsidRPr="007553F6" w:rsidP="00FE15BF" w14:paraId="29E25FA6" w14:textId="77777777">
            <w:pPr>
              <w:rPr>
                <w:sz w:val="20"/>
                <w:szCs w:val="20"/>
              </w:rPr>
            </w:pPr>
            <w:r w:rsidRPr="007553F6">
              <w:rPr>
                <w:sz w:val="20"/>
                <w:szCs w:val="20"/>
              </w:rPr>
              <w:t>Total</w:t>
            </w:r>
          </w:p>
        </w:tc>
        <w:tc>
          <w:tcPr>
            <w:tcW w:w="1926" w:type="dxa"/>
            <w:shd w:val="clear" w:color="auto" w:fill="auto"/>
          </w:tcPr>
          <w:p w:rsidR="00783404" w:rsidRPr="007553F6" w:rsidP="00FE15BF" w14:paraId="6C7C2337" w14:textId="23C55BBB">
            <w:pPr>
              <w:rPr>
                <w:sz w:val="20"/>
                <w:szCs w:val="20"/>
              </w:rPr>
            </w:pPr>
            <w:r w:rsidRPr="007553F6">
              <w:rPr>
                <w:sz w:val="20"/>
                <w:szCs w:val="20"/>
              </w:rPr>
              <w:t>$329,700</w:t>
            </w:r>
          </w:p>
        </w:tc>
      </w:tr>
    </w:tbl>
    <w:p w:rsidR="00357C8A" w:rsidRPr="00357C8A" w:rsidP="00357C8A" w14:paraId="0562CB0E" w14:textId="77777777">
      <w:pPr>
        <w:rPr>
          <w:rFonts w:eastAsia="Calibri"/>
        </w:rPr>
      </w:pPr>
    </w:p>
    <w:p w:rsidR="00357C8A" w:rsidRPr="00357C8A" w:rsidP="006705EA" w14:paraId="6205AA95" w14:textId="77777777">
      <w:pPr>
        <w:numPr>
          <w:ilvl w:val="0"/>
          <w:numId w:val="6"/>
        </w:numPr>
        <w:spacing w:after="200" w:line="276" w:lineRule="auto"/>
        <w:rPr>
          <w:rFonts w:eastAsia="Calibri"/>
        </w:rPr>
      </w:pPr>
      <w:r w:rsidRPr="00357C8A">
        <w:rPr>
          <w:rFonts w:eastAsia="Calibri"/>
          <w:u w:val="single"/>
        </w:rPr>
        <w:t xml:space="preserve">Estimates of Other Total Annual Costs </w:t>
      </w:r>
      <w:r w:rsidR="00590E90">
        <w:rPr>
          <w:rFonts w:eastAsia="Calibri"/>
          <w:u w:val="single"/>
        </w:rPr>
        <w:t xml:space="preserve">to Respondents/Recordkeepers or </w:t>
      </w:r>
      <w:r w:rsidRPr="00357C8A">
        <w:rPr>
          <w:rFonts w:eastAsia="Calibri"/>
          <w:u w:val="single"/>
        </w:rPr>
        <w:t xml:space="preserve">Capital Costs </w:t>
      </w:r>
    </w:p>
    <w:p w:rsidR="00D05F0F" w14:paraId="51D92BEE" w14:textId="390858EC">
      <w:r>
        <w:t>A</w:t>
      </w:r>
      <w:r w:rsidR="00655205">
        <w:t>ll</w:t>
      </w:r>
      <w:r w:rsidRPr="00765BD5" w:rsidR="005154C7">
        <w:t xml:space="preserve"> firms </w:t>
      </w:r>
      <w:r w:rsidR="00F03815">
        <w:t xml:space="preserve">may incur </w:t>
      </w:r>
      <w:r w:rsidRPr="00765BD5" w:rsidR="005154C7">
        <w:t>one-time costs</w:t>
      </w:r>
      <w:r w:rsidR="00F0677D">
        <w:t xml:space="preserve"> for revising </w:t>
      </w:r>
      <w:r w:rsidR="00D80204">
        <w:t>SOPs</w:t>
      </w:r>
      <w:r w:rsidR="00F0677D">
        <w:t xml:space="preserve">.  </w:t>
      </w:r>
      <w:r w:rsidR="002C198A">
        <w:t xml:space="preserve">Consistent with our </w:t>
      </w:r>
      <w:r w:rsidR="00010B92">
        <w:t>Final Regulatory Impact Analysis (FRIA)</w:t>
      </w:r>
      <w:r w:rsidR="0065351D">
        <w:t>, we</w:t>
      </w:r>
      <w:r w:rsidR="00010B92">
        <w:t xml:space="preserve"> </w:t>
      </w:r>
      <w:r w:rsidR="00F0677D">
        <w:t xml:space="preserve">estimate these </w:t>
      </w:r>
      <w:r w:rsidR="00832660">
        <w:t xml:space="preserve">one-time </w:t>
      </w:r>
      <w:r w:rsidR="00F0677D">
        <w:t xml:space="preserve">costs to </w:t>
      </w:r>
      <w:r w:rsidR="00832660">
        <w:t>range</w:t>
      </w:r>
      <w:r w:rsidR="004201F9">
        <w:t xml:space="preserve"> from</w:t>
      </w:r>
      <w:r w:rsidR="00F0677D">
        <w:t xml:space="preserve"> </w:t>
      </w:r>
      <w:r w:rsidR="00666D93">
        <w:t>$1.1 million to $2.4 million</w:t>
      </w:r>
      <w:r w:rsidR="000A2BDC">
        <w:t>.</w:t>
      </w:r>
      <w:r w:rsidR="0050033F">
        <w:t xml:space="preserve">          </w:t>
      </w:r>
    </w:p>
    <w:p w:rsidR="005154C7" w:rsidRPr="00765BD5" w:rsidP="005154C7" w14:paraId="452851CA" w14:textId="07C2BD18"/>
    <w:p w:rsidR="00357C8A" w:rsidRPr="00357C8A" w:rsidP="006705EA" w14:paraId="211BE818" w14:textId="77777777">
      <w:pPr>
        <w:numPr>
          <w:ilvl w:val="0"/>
          <w:numId w:val="6"/>
        </w:numPr>
        <w:spacing w:after="200" w:line="276" w:lineRule="auto"/>
        <w:rPr>
          <w:rFonts w:eastAsia="Calibri"/>
          <w:u w:val="single"/>
        </w:rPr>
      </w:pPr>
      <w:r w:rsidRPr="00357C8A">
        <w:rPr>
          <w:rFonts w:eastAsia="Calibri"/>
          <w:u w:val="single"/>
        </w:rPr>
        <w:t>Annualized Cost to the Federal Government</w:t>
      </w:r>
    </w:p>
    <w:p w:rsidR="005154C7" w:rsidP="005154C7" w14:paraId="716E852A" w14:textId="4AD38FDC">
      <w:r>
        <w:t xml:space="preserve">Review of </w:t>
      </w:r>
      <w:r w:rsidR="008A6A07">
        <w:t>prescription drug</w:t>
      </w:r>
      <w:r w:rsidR="003024A4">
        <w:t xml:space="preserve"> labeling is conducted as part of </w:t>
      </w:r>
      <w:r w:rsidR="00CD2990">
        <w:t xml:space="preserve">the agency’s ongoing </w:t>
      </w:r>
      <w:r w:rsidR="00BF4F5E">
        <w:t xml:space="preserve">postmarket </w:t>
      </w:r>
      <w:r w:rsidR="0018753D">
        <w:t>monitoring activities.</w:t>
      </w:r>
      <w:r w:rsidR="003A21A7">
        <w:t xml:space="preserve">  While some costs are absorbed through </w:t>
      </w:r>
      <w:r w:rsidR="00F441CB">
        <w:t xml:space="preserve">user fees collected </w:t>
      </w:r>
      <w:r w:rsidR="007553F6">
        <w:t xml:space="preserve">annually </w:t>
      </w:r>
      <w:r w:rsidR="00F441CB">
        <w:t>under authority of the Prescription Drug User Fee Act (PDUFA), FDA</w:t>
      </w:r>
      <w:r w:rsidR="00FE7381">
        <w:t xml:space="preserve"> has budgeted</w:t>
      </w:r>
      <w:r w:rsidR="00A8077D">
        <w:t xml:space="preserve"> $5.6</w:t>
      </w:r>
      <w:r w:rsidR="00362AB0">
        <w:t xml:space="preserve"> million annually to </w:t>
      </w:r>
      <w:r w:rsidR="00ED70A0">
        <w:t xml:space="preserve">the postmarket monitoring of </w:t>
      </w:r>
      <w:r w:rsidR="00552168">
        <w:t>marketed drug products</w:t>
      </w:r>
      <w:r w:rsidR="003965C1">
        <w:t>, including the cost of this rulemaking.</w:t>
      </w:r>
      <w:r w:rsidR="00B0548F">
        <w:t xml:space="preserve"> </w:t>
      </w:r>
    </w:p>
    <w:p w:rsidR="005154C7" w:rsidRPr="00765BD5" w:rsidP="005154C7" w14:paraId="37F7883B" w14:textId="002FB8EE">
      <w:pPr>
        <w:pStyle w:val="ListParagraph"/>
        <w:ind w:left="360"/>
      </w:pPr>
    </w:p>
    <w:p w:rsidR="00357C8A" w:rsidP="006705EA" w14:paraId="4C080B4D" w14:textId="520196A7">
      <w:pPr>
        <w:numPr>
          <w:ilvl w:val="0"/>
          <w:numId w:val="6"/>
        </w:numPr>
        <w:spacing w:after="200" w:line="276" w:lineRule="auto"/>
        <w:rPr>
          <w:rFonts w:eastAsia="Calibri"/>
          <w:u w:val="single"/>
        </w:rPr>
      </w:pPr>
      <w:r w:rsidRPr="00357C8A">
        <w:rPr>
          <w:rFonts w:eastAsia="Calibri"/>
          <w:u w:val="single"/>
        </w:rPr>
        <w:t>Explanation for Program Changes or Adjustments</w:t>
      </w:r>
    </w:p>
    <w:p w:rsidR="002C4485" w:rsidP="002A2208" w14:paraId="6524F24A" w14:textId="3FA24F93">
      <w:pPr>
        <w:spacing w:after="200"/>
        <w:rPr>
          <w:rFonts w:eastAsia="Calibri"/>
        </w:rPr>
      </w:pPr>
      <w:r w:rsidRPr="004713C2">
        <w:rPr>
          <w:rFonts w:eastAsia="Calibri"/>
        </w:rPr>
        <w:t>As a result of the</w:t>
      </w:r>
      <w:r w:rsidRPr="004713C2">
        <w:rPr>
          <w:rFonts w:eastAsia="Calibri"/>
        </w:rPr>
        <w:t xml:space="preserve"> revised regulation</w:t>
      </w:r>
      <w:r w:rsidRPr="004713C2" w:rsidR="00982F30">
        <w:rPr>
          <w:rFonts w:eastAsia="Calibri"/>
        </w:rPr>
        <w:t xml:space="preserve"> implementing </w:t>
      </w:r>
      <w:r w:rsidRPr="004713C2" w:rsidR="000D7AF2">
        <w:rPr>
          <w:rFonts w:eastAsia="Calibri"/>
        </w:rPr>
        <w:t>section 502(n)</w:t>
      </w:r>
      <w:r w:rsidRPr="004713C2" w:rsidR="00C87807">
        <w:rPr>
          <w:rFonts w:eastAsia="Calibri"/>
        </w:rPr>
        <w:t>(3)</w:t>
      </w:r>
      <w:r w:rsidR="007553F6">
        <w:rPr>
          <w:rFonts w:eastAsia="Calibri"/>
        </w:rPr>
        <w:t xml:space="preserve"> of the FD&amp;C Act</w:t>
      </w:r>
      <w:r w:rsidRPr="004713C2">
        <w:rPr>
          <w:rFonts w:eastAsia="Calibri"/>
        </w:rPr>
        <w:t xml:space="preserve">, </w:t>
      </w:r>
      <w:r w:rsidR="002A1D7B">
        <w:rPr>
          <w:rFonts w:eastAsia="Calibri"/>
        </w:rPr>
        <w:t xml:space="preserve">the rulemaking would revise </w:t>
      </w:r>
      <w:r w:rsidRPr="004713C2" w:rsidR="004D1D2A">
        <w:rPr>
          <w:rFonts w:eastAsia="Calibri"/>
        </w:rPr>
        <w:t xml:space="preserve">our estimate </w:t>
      </w:r>
      <w:r w:rsidRPr="004713C2">
        <w:rPr>
          <w:rFonts w:eastAsia="Calibri"/>
        </w:rPr>
        <w:t>to reflect</w:t>
      </w:r>
      <w:r w:rsidRPr="004713C2" w:rsidR="00324646">
        <w:rPr>
          <w:rFonts w:eastAsia="Calibri"/>
        </w:rPr>
        <w:t xml:space="preserve"> an increase of </w:t>
      </w:r>
      <w:r w:rsidRPr="004713C2" w:rsidR="001F6C5D">
        <w:rPr>
          <w:rFonts w:eastAsia="Calibri"/>
        </w:rPr>
        <w:t>799 responses</w:t>
      </w:r>
      <w:r w:rsidRPr="004713C2" w:rsidR="00324646">
        <w:rPr>
          <w:rFonts w:eastAsia="Calibri"/>
        </w:rPr>
        <w:t xml:space="preserve"> </w:t>
      </w:r>
      <w:r w:rsidRPr="004713C2">
        <w:rPr>
          <w:rFonts w:eastAsia="Calibri"/>
        </w:rPr>
        <w:t xml:space="preserve">and </w:t>
      </w:r>
      <w:r w:rsidRPr="004713C2" w:rsidR="00931EFF">
        <w:rPr>
          <w:rFonts w:eastAsia="Calibri"/>
        </w:rPr>
        <w:t>3</w:t>
      </w:r>
      <w:r w:rsidRPr="004713C2" w:rsidR="00CF0C32">
        <w:rPr>
          <w:rFonts w:eastAsia="Calibri"/>
        </w:rPr>
        <w:t>,</w:t>
      </w:r>
      <w:r w:rsidRPr="004713C2" w:rsidR="005C32DB">
        <w:rPr>
          <w:rFonts w:eastAsia="Calibri"/>
        </w:rPr>
        <w:t>56</w:t>
      </w:r>
      <w:r w:rsidRPr="004713C2" w:rsidR="00DB496A">
        <w:rPr>
          <w:rFonts w:eastAsia="Calibri"/>
        </w:rPr>
        <w:t>8</w:t>
      </w:r>
      <w:r w:rsidRPr="004713C2">
        <w:rPr>
          <w:rFonts w:eastAsia="Calibri"/>
        </w:rPr>
        <w:t xml:space="preserve"> hours</w:t>
      </w:r>
      <w:r w:rsidRPr="004713C2" w:rsidR="008112BF">
        <w:rPr>
          <w:rFonts w:eastAsia="Calibri"/>
        </w:rPr>
        <w:t xml:space="preserve"> to the information collection</w:t>
      </w:r>
      <w:r w:rsidRPr="004713C2">
        <w:rPr>
          <w:rFonts w:eastAsia="Calibri"/>
        </w:rPr>
        <w:t>.</w:t>
      </w:r>
    </w:p>
    <w:p w:rsidR="00357C8A" w:rsidRPr="002A2208" w:rsidP="002A2208" w14:paraId="280C2435" w14:textId="295E6DC2">
      <w:pPr>
        <w:pStyle w:val="ListParagraph"/>
        <w:numPr>
          <w:ilvl w:val="0"/>
          <w:numId w:val="6"/>
        </w:numPr>
        <w:spacing w:after="200"/>
        <w:rPr>
          <w:rFonts w:eastAsia="Calibri"/>
          <w:u w:val="single"/>
        </w:rPr>
      </w:pPr>
      <w:r w:rsidRPr="002A2208">
        <w:rPr>
          <w:rFonts w:eastAsia="Calibri"/>
          <w:u w:val="single"/>
        </w:rPr>
        <w:t>Plans for Tabulation and Publication and Project Time Schedule</w:t>
      </w:r>
    </w:p>
    <w:p w:rsidR="00553BE0" w:rsidP="00B41267" w14:paraId="620EFD34" w14:textId="79DB5082">
      <w:pPr>
        <w:spacing w:after="200"/>
        <w:rPr>
          <w:rFonts w:eastAsia="Calibri"/>
          <w:u w:val="single"/>
        </w:rPr>
      </w:pPr>
      <w:r w:rsidRPr="005C71CA">
        <w:rPr>
          <w:rFonts w:eastAsia="Calibri"/>
        </w:rPr>
        <w:t>This information collected will not be published or tabulated.</w:t>
      </w:r>
    </w:p>
    <w:p w:rsidR="0098056D" w:rsidRPr="004713C2" w:rsidP="0026196D" w14:paraId="05048090" w14:textId="77777777">
      <w:pPr>
        <w:pStyle w:val="ListParagraph"/>
        <w:numPr>
          <w:ilvl w:val="0"/>
          <w:numId w:val="6"/>
        </w:numPr>
        <w:rPr>
          <w:u w:val="single"/>
        </w:rPr>
      </w:pPr>
      <w:r w:rsidRPr="004713C2">
        <w:rPr>
          <w:u w:val="single"/>
        </w:rPr>
        <w:t>Display of OMB Expiration Date</w:t>
      </w:r>
    </w:p>
    <w:p w:rsidR="001026A4" w:rsidP="001026A4" w14:paraId="612D8DEB" w14:textId="77777777">
      <w:pPr>
        <w:pStyle w:val="ListParagraph"/>
        <w:ind w:left="0"/>
      </w:pPr>
    </w:p>
    <w:p w:rsidR="0026196D" w:rsidRPr="0026196D" w:rsidP="001026A4" w14:paraId="45AFE966" w14:textId="438C1886">
      <w:pPr>
        <w:pStyle w:val="ListParagraph"/>
        <w:ind w:left="0"/>
        <w:rPr>
          <w:sz w:val="22"/>
          <w:szCs w:val="22"/>
        </w:rPr>
      </w:pPr>
      <w:r>
        <w:t>FDA will display the OMB control number as required by 5 CFR 1320.5.</w:t>
      </w:r>
    </w:p>
    <w:p w:rsidR="008B19A0" w:rsidRPr="00765BD5" w:rsidP="008B19A0" w14:paraId="41D18D4C" w14:textId="77777777"/>
    <w:p w:rsidR="00357C8A" w:rsidRPr="00357C8A" w:rsidP="004713C2" w14:paraId="614699C1" w14:textId="3914A123">
      <w:pPr>
        <w:numPr>
          <w:ilvl w:val="0"/>
          <w:numId w:val="6"/>
        </w:numPr>
        <w:spacing w:after="200" w:line="276" w:lineRule="auto"/>
        <w:rPr>
          <w:rFonts w:eastAsia="Calibri"/>
          <w:u w:val="single"/>
        </w:rPr>
      </w:pPr>
      <w:r w:rsidRPr="00357C8A">
        <w:rPr>
          <w:rFonts w:eastAsia="Calibri"/>
          <w:u w:val="single"/>
        </w:rPr>
        <w:t>Exceptions to Certification for Paperwork Reduction Act Submissions</w:t>
      </w:r>
    </w:p>
    <w:p w:rsidR="007E59A8" w:rsidP="00357C8A" w14:paraId="66BABA98" w14:textId="5F1B222F">
      <w:pPr>
        <w:spacing w:after="200"/>
        <w:rPr>
          <w:rFonts w:eastAsia="Calibri"/>
        </w:rPr>
      </w:pPr>
      <w:r w:rsidRPr="007E59A8">
        <w:rPr>
          <w:rFonts w:eastAsia="Calibri"/>
        </w:rPr>
        <w:t>There are no exceptions to the certification</w:t>
      </w:r>
      <w:r>
        <w:rPr>
          <w:rFonts w:eastAsia="Calibri"/>
        </w:rPr>
        <w:t>.</w:t>
      </w:r>
    </w:p>
    <w:sectPr w:rsidSect="0018668C">
      <w:headerReference w:type="default" r:id="rId6"/>
      <w:footerReference w:type="even" r:id="rId7"/>
      <w:footerReference w:type="default" r:id="rId8"/>
      <w:headerReference w:type="first" r:id="rId9"/>
      <w:pgSz w:w="12240" w:h="15840" w:code="1"/>
      <w:pgMar w:top="1728" w:right="1296" w:bottom="1008" w:left="1440" w:header="720" w:footer="100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5392812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63DE5" w14:paraId="5997CC1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68A96DD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7FFD">
      <w:rPr>
        <w:rStyle w:val="PageNumber"/>
        <w:noProof/>
      </w:rPr>
      <w:t>7</w:t>
    </w:r>
    <w:r>
      <w:rPr>
        <w:rStyle w:val="PageNumber"/>
      </w:rPr>
      <w:fldChar w:fldCharType="end"/>
    </w:r>
  </w:p>
  <w:p w:rsidR="00E63DE5" w14:paraId="62EBF3C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F1875" w14:paraId="7E11D717" w14:textId="77777777">
      <w:r>
        <w:separator/>
      </w:r>
    </w:p>
  </w:footnote>
  <w:footnote w:type="continuationSeparator" w:id="1">
    <w:p w:rsidR="002F1875" w14:paraId="6F82B2C3" w14:textId="77777777">
      <w:r>
        <w:continuationSeparator/>
      </w:r>
    </w:p>
  </w:footnote>
  <w:footnote w:type="continuationNotice" w:id="2">
    <w:p w:rsidR="002F1875" w14:paraId="168F9292" w14:textId="77777777"/>
  </w:footnote>
  <w:footnote w:id="3">
    <w:p w:rsidR="00C76BF5" w14:paraId="501F5FE0" w14:textId="64950F41">
      <w:pPr>
        <w:pStyle w:val="FootnoteText"/>
      </w:pPr>
      <w:r>
        <w:rPr>
          <w:rStyle w:val="FootnoteReference"/>
        </w:rPr>
        <w:footnoteRef/>
      </w:r>
      <w:r>
        <w:t xml:space="preserve"> </w:t>
      </w:r>
      <w:r w:rsidRPr="00C76BF5">
        <w:t xml:space="preserve">Bureau of Labor Statistics, “Occupational Employment Statistics: May 2020 National Industry-Specific Occupational Employment and Wage Estimates, NAICS 325400 – Pharmaceutical and Medical Manufacturing,” </w:t>
      </w:r>
      <w:hyperlink r:id="rId1" w:history="1">
        <w:r w:rsidRPr="00C76BF5">
          <w:rPr>
            <w:rStyle w:val="Hyperlink"/>
          </w:rPr>
          <w:t>https://www.bls.gov/oes/current/naics4_325400.htm</w:t>
        </w:r>
      </w:hyperlink>
      <w:r w:rsidRPr="00C76BF5">
        <w:t>. Wages are doubled to account for employee benefits and overhead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437D" w:rsidP="755C8B3D" w14:paraId="34F446A7" w14:textId="77777777">
    <w:pPr>
      <w:pStyle w:val="Header"/>
    </w:pPr>
    <w:r>
      <w:rPr>
        <w:noProof/>
      </w:rPr>
      <w:drawing>
        <wp:inline distT="0" distB="0" distL="0" distR="0">
          <wp:extent cx="276225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762250" cy="571500"/>
                  </a:xfrm>
                  <a:prstGeom prst="rect">
                    <a:avLst/>
                  </a:prstGeom>
                </pic:spPr>
              </pic:pic>
            </a:graphicData>
          </a:graphic>
        </wp:inline>
      </w:drawing>
    </w:r>
    <w:r w:rsidR="003C0FE2">
      <w:tab/>
    </w:r>
  </w:p>
  <w:p w:rsidR="00D4437D" w:rsidP="755C8B3D" w14:paraId="3BCB3C46" w14:textId="77777777">
    <w:pPr>
      <w:pStyle w:val="Header"/>
    </w:pPr>
  </w:p>
  <w:p w:rsidR="003C0FE2" w:rsidRPr="003C0FE2" w:rsidP="755C8B3D" w14:paraId="4D823F4D" w14:textId="1A474914">
    <w:pPr>
      <w:pStyle w:val="Header"/>
      <w:rPr>
        <w:sz w:val="18"/>
        <w:szCs w:val="18"/>
        <w:highlight w:val="yellow"/>
      </w:rPr>
    </w:pPr>
    <w:r>
      <w:tab/>
    </w:r>
    <w:r w:rsidRPr="755C8B3D" w:rsidR="755C8B3D">
      <w:rP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46AB" w14:paraId="527C7819" w14:textId="7DD5BF7B">
    <w:pPr>
      <w:pStyle w:val="Header"/>
    </w:pPr>
    <w:r>
      <w:rPr>
        <w:noProof/>
      </w:rPr>
      <w:drawing>
        <wp:inline distT="0" distB="0" distL="0" distR="0">
          <wp:extent cx="2762250"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76225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5567B5"/>
    <w:multiLevelType w:val="hybridMultilevel"/>
    <w:tmpl w:val="C1BCE8BC"/>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7B65BAA"/>
    <w:multiLevelType w:val="hybridMultilevel"/>
    <w:tmpl w:val="A5E844D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B507DAF"/>
    <w:multiLevelType w:val="hybridMultilevel"/>
    <w:tmpl w:val="5F744CAC"/>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
    <w:nsid w:val="1BE41D72"/>
    <w:multiLevelType w:val="hybridMultilevel"/>
    <w:tmpl w:val="B45CD9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3BEE557C"/>
    <w:multiLevelType w:val="hybridMultilevel"/>
    <w:tmpl w:val="B024C99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51C66BF9"/>
    <w:multiLevelType w:val="hybridMultilevel"/>
    <w:tmpl w:val="046877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0C4F08"/>
    <w:multiLevelType w:val="hybridMultilevel"/>
    <w:tmpl w:val="139EFE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DC55C4D"/>
    <w:multiLevelType w:val="hybridMultilevel"/>
    <w:tmpl w:val="8F8A4D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704B3A7E"/>
    <w:multiLevelType w:val="hybridMultilevel"/>
    <w:tmpl w:val="F0964A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6BB3ABD"/>
    <w:multiLevelType w:val="hybridMultilevel"/>
    <w:tmpl w:val="A8C41334"/>
    <w:lvl w:ilvl="0">
      <w:start w:val="16"/>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A5A208E"/>
    <w:multiLevelType w:val="hybridMultilevel"/>
    <w:tmpl w:val="4AA4EDD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7AD333D2"/>
    <w:multiLevelType w:val="hybridMultilevel"/>
    <w:tmpl w:val="750485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5459223">
    <w:abstractNumId w:val="7"/>
  </w:num>
  <w:num w:numId="2" w16cid:durableId="1451239255">
    <w:abstractNumId w:val="1"/>
  </w:num>
  <w:num w:numId="3" w16cid:durableId="566569173">
    <w:abstractNumId w:val="8"/>
  </w:num>
  <w:num w:numId="4" w16cid:durableId="1075590891">
    <w:abstractNumId w:val="4"/>
  </w:num>
  <w:num w:numId="5" w16cid:durableId="1941791376">
    <w:abstractNumId w:val="10"/>
  </w:num>
  <w:num w:numId="6" w16cid:durableId="1112937785">
    <w:abstractNumId w:val="0"/>
  </w:num>
  <w:num w:numId="7" w16cid:durableId="130096670">
    <w:abstractNumId w:val="2"/>
  </w:num>
  <w:num w:numId="8" w16cid:durableId="606348690">
    <w:abstractNumId w:val="5"/>
  </w:num>
  <w:num w:numId="9" w16cid:durableId="1899852150">
    <w:abstractNumId w:val="11"/>
  </w:num>
  <w:num w:numId="10" w16cid:durableId="1710302981">
    <w:abstractNumId w:val="6"/>
  </w:num>
  <w:num w:numId="11" w16cid:durableId="886143725">
    <w:abstractNumId w:val="9"/>
  </w:num>
  <w:num w:numId="12" w16cid:durableId="97511029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00908"/>
    <w:rsid w:val="0000296F"/>
    <w:rsid w:val="000045BB"/>
    <w:rsid w:val="0000529B"/>
    <w:rsid w:val="00007AC2"/>
    <w:rsid w:val="00010B92"/>
    <w:rsid w:val="00011140"/>
    <w:rsid w:val="0001117A"/>
    <w:rsid w:val="00011DC4"/>
    <w:rsid w:val="00012379"/>
    <w:rsid w:val="000127BB"/>
    <w:rsid w:val="000136B4"/>
    <w:rsid w:val="00014276"/>
    <w:rsid w:val="00014839"/>
    <w:rsid w:val="000165B7"/>
    <w:rsid w:val="0001760E"/>
    <w:rsid w:val="000179AD"/>
    <w:rsid w:val="00017B92"/>
    <w:rsid w:val="0002027F"/>
    <w:rsid w:val="00020E2F"/>
    <w:rsid w:val="00021B3F"/>
    <w:rsid w:val="00022294"/>
    <w:rsid w:val="00024DBC"/>
    <w:rsid w:val="00026E94"/>
    <w:rsid w:val="00026F77"/>
    <w:rsid w:val="000278B6"/>
    <w:rsid w:val="00027E7C"/>
    <w:rsid w:val="00030CA0"/>
    <w:rsid w:val="00031A2C"/>
    <w:rsid w:val="00031DEB"/>
    <w:rsid w:val="00032037"/>
    <w:rsid w:val="00033A19"/>
    <w:rsid w:val="0003540D"/>
    <w:rsid w:val="000365CA"/>
    <w:rsid w:val="0004169D"/>
    <w:rsid w:val="00042B93"/>
    <w:rsid w:val="00043C7F"/>
    <w:rsid w:val="00044A88"/>
    <w:rsid w:val="000452E5"/>
    <w:rsid w:val="00045A86"/>
    <w:rsid w:val="000467A8"/>
    <w:rsid w:val="00051343"/>
    <w:rsid w:val="000519E6"/>
    <w:rsid w:val="000526F6"/>
    <w:rsid w:val="000531CD"/>
    <w:rsid w:val="000531F1"/>
    <w:rsid w:val="000538A6"/>
    <w:rsid w:val="0005523B"/>
    <w:rsid w:val="00055942"/>
    <w:rsid w:val="00055BB2"/>
    <w:rsid w:val="000563A1"/>
    <w:rsid w:val="00056802"/>
    <w:rsid w:val="00056A1D"/>
    <w:rsid w:val="00056ADE"/>
    <w:rsid w:val="00057A22"/>
    <w:rsid w:val="00061E20"/>
    <w:rsid w:val="00063235"/>
    <w:rsid w:val="000634D7"/>
    <w:rsid w:val="00064637"/>
    <w:rsid w:val="00064BA6"/>
    <w:rsid w:val="0006570F"/>
    <w:rsid w:val="00065910"/>
    <w:rsid w:val="00065AE2"/>
    <w:rsid w:val="00066AFA"/>
    <w:rsid w:val="000677A7"/>
    <w:rsid w:val="00072B35"/>
    <w:rsid w:val="000731E9"/>
    <w:rsid w:val="00073568"/>
    <w:rsid w:val="00075DE8"/>
    <w:rsid w:val="0007609A"/>
    <w:rsid w:val="0008281C"/>
    <w:rsid w:val="00082954"/>
    <w:rsid w:val="000863B5"/>
    <w:rsid w:val="00087098"/>
    <w:rsid w:val="00087439"/>
    <w:rsid w:val="0009325C"/>
    <w:rsid w:val="000957F0"/>
    <w:rsid w:val="00095DE3"/>
    <w:rsid w:val="00095EF0"/>
    <w:rsid w:val="00097A18"/>
    <w:rsid w:val="000A0123"/>
    <w:rsid w:val="000A0A5B"/>
    <w:rsid w:val="000A1543"/>
    <w:rsid w:val="000A2BDC"/>
    <w:rsid w:val="000A54DF"/>
    <w:rsid w:val="000A67B3"/>
    <w:rsid w:val="000A7AD9"/>
    <w:rsid w:val="000A7D31"/>
    <w:rsid w:val="000B08D0"/>
    <w:rsid w:val="000B10E3"/>
    <w:rsid w:val="000B11EB"/>
    <w:rsid w:val="000B2076"/>
    <w:rsid w:val="000B31CC"/>
    <w:rsid w:val="000B375B"/>
    <w:rsid w:val="000B41C1"/>
    <w:rsid w:val="000B48A8"/>
    <w:rsid w:val="000B7B6F"/>
    <w:rsid w:val="000C0572"/>
    <w:rsid w:val="000C1260"/>
    <w:rsid w:val="000C207F"/>
    <w:rsid w:val="000C36FA"/>
    <w:rsid w:val="000C39B1"/>
    <w:rsid w:val="000C49B7"/>
    <w:rsid w:val="000C5186"/>
    <w:rsid w:val="000C560C"/>
    <w:rsid w:val="000C771D"/>
    <w:rsid w:val="000D0383"/>
    <w:rsid w:val="000D080B"/>
    <w:rsid w:val="000D08F1"/>
    <w:rsid w:val="000D36DC"/>
    <w:rsid w:val="000D3972"/>
    <w:rsid w:val="000D48FD"/>
    <w:rsid w:val="000D58F5"/>
    <w:rsid w:val="000D7776"/>
    <w:rsid w:val="000D79CC"/>
    <w:rsid w:val="000D7AF2"/>
    <w:rsid w:val="000E1C64"/>
    <w:rsid w:val="000E22CA"/>
    <w:rsid w:val="000E2CBF"/>
    <w:rsid w:val="000E365B"/>
    <w:rsid w:val="000E408A"/>
    <w:rsid w:val="000E44F2"/>
    <w:rsid w:val="000E5B1E"/>
    <w:rsid w:val="000E64BF"/>
    <w:rsid w:val="000E65B2"/>
    <w:rsid w:val="000E6D6A"/>
    <w:rsid w:val="000E7045"/>
    <w:rsid w:val="000F0CD3"/>
    <w:rsid w:val="000F0D1B"/>
    <w:rsid w:val="000F251C"/>
    <w:rsid w:val="000F4543"/>
    <w:rsid w:val="000F473B"/>
    <w:rsid w:val="000F4B93"/>
    <w:rsid w:val="000F7119"/>
    <w:rsid w:val="000F77B6"/>
    <w:rsid w:val="00100739"/>
    <w:rsid w:val="0010096B"/>
    <w:rsid w:val="00101F65"/>
    <w:rsid w:val="001020EB"/>
    <w:rsid w:val="001026A4"/>
    <w:rsid w:val="001030C1"/>
    <w:rsid w:val="00104085"/>
    <w:rsid w:val="0010493E"/>
    <w:rsid w:val="001075D3"/>
    <w:rsid w:val="00107885"/>
    <w:rsid w:val="00107CB9"/>
    <w:rsid w:val="00110264"/>
    <w:rsid w:val="0011295F"/>
    <w:rsid w:val="00112F53"/>
    <w:rsid w:val="00114FC4"/>
    <w:rsid w:val="001158CE"/>
    <w:rsid w:val="001169F7"/>
    <w:rsid w:val="00117C51"/>
    <w:rsid w:val="0012017B"/>
    <w:rsid w:val="00121844"/>
    <w:rsid w:val="0012329C"/>
    <w:rsid w:val="001233CC"/>
    <w:rsid w:val="00124B73"/>
    <w:rsid w:val="00124C82"/>
    <w:rsid w:val="00126257"/>
    <w:rsid w:val="001263C8"/>
    <w:rsid w:val="001264B6"/>
    <w:rsid w:val="00130355"/>
    <w:rsid w:val="00131D20"/>
    <w:rsid w:val="00131DFC"/>
    <w:rsid w:val="00132526"/>
    <w:rsid w:val="00134E97"/>
    <w:rsid w:val="00134FA7"/>
    <w:rsid w:val="0013769E"/>
    <w:rsid w:val="00137950"/>
    <w:rsid w:val="00142041"/>
    <w:rsid w:val="00143FE8"/>
    <w:rsid w:val="00144177"/>
    <w:rsid w:val="001457B2"/>
    <w:rsid w:val="0014610C"/>
    <w:rsid w:val="00146761"/>
    <w:rsid w:val="0014706A"/>
    <w:rsid w:val="00150316"/>
    <w:rsid w:val="0015183C"/>
    <w:rsid w:val="00152F29"/>
    <w:rsid w:val="00155C43"/>
    <w:rsid w:val="00160FE7"/>
    <w:rsid w:val="00163171"/>
    <w:rsid w:val="001639DE"/>
    <w:rsid w:val="00165872"/>
    <w:rsid w:val="00167E72"/>
    <w:rsid w:val="00170603"/>
    <w:rsid w:val="00171605"/>
    <w:rsid w:val="00172A60"/>
    <w:rsid w:val="00173496"/>
    <w:rsid w:val="00174D54"/>
    <w:rsid w:val="0017530E"/>
    <w:rsid w:val="00176727"/>
    <w:rsid w:val="0017702C"/>
    <w:rsid w:val="00177C08"/>
    <w:rsid w:val="00180798"/>
    <w:rsid w:val="00181B3D"/>
    <w:rsid w:val="00182682"/>
    <w:rsid w:val="001833EF"/>
    <w:rsid w:val="00184523"/>
    <w:rsid w:val="00184BFA"/>
    <w:rsid w:val="00185270"/>
    <w:rsid w:val="00186331"/>
    <w:rsid w:val="0018668C"/>
    <w:rsid w:val="00186890"/>
    <w:rsid w:val="0018753D"/>
    <w:rsid w:val="00190113"/>
    <w:rsid w:val="00190CC3"/>
    <w:rsid w:val="0019136A"/>
    <w:rsid w:val="001927C0"/>
    <w:rsid w:val="0019358B"/>
    <w:rsid w:val="00195043"/>
    <w:rsid w:val="0019672D"/>
    <w:rsid w:val="001A18D2"/>
    <w:rsid w:val="001A3B5A"/>
    <w:rsid w:val="001A4546"/>
    <w:rsid w:val="001A5AE1"/>
    <w:rsid w:val="001B0789"/>
    <w:rsid w:val="001B08FA"/>
    <w:rsid w:val="001B133D"/>
    <w:rsid w:val="001B4470"/>
    <w:rsid w:val="001B44D3"/>
    <w:rsid w:val="001B47FB"/>
    <w:rsid w:val="001B5516"/>
    <w:rsid w:val="001B68D7"/>
    <w:rsid w:val="001B6AAD"/>
    <w:rsid w:val="001B6DBD"/>
    <w:rsid w:val="001B78E2"/>
    <w:rsid w:val="001B7CE9"/>
    <w:rsid w:val="001C0C83"/>
    <w:rsid w:val="001C2BCF"/>
    <w:rsid w:val="001C2F6C"/>
    <w:rsid w:val="001C3CCC"/>
    <w:rsid w:val="001C5A6F"/>
    <w:rsid w:val="001D047A"/>
    <w:rsid w:val="001D0B5F"/>
    <w:rsid w:val="001D32CF"/>
    <w:rsid w:val="001D4554"/>
    <w:rsid w:val="001D47EA"/>
    <w:rsid w:val="001D495A"/>
    <w:rsid w:val="001D55E2"/>
    <w:rsid w:val="001D6695"/>
    <w:rsid w:val="001D79E4"/>
    <w:rsid w:val="001E02AB"/>
    <w:rsid w:val="001E06A2"/>
    <w:rsid w:val="001E244C"/>
    <w:rsid w:val="001E3CEA"/>
    <w:rsid w:val="001F0D19"/>
    <w:rsid w:val="001F1437"/>
    <w:rsid w:val="001F28BB"/>
    <w:rsid w:val="001F2905"/>
    <w:rsid w:val="001F443C"/>
    <w:rsid w:val="001F4A33"/>
    <w:rsid w:val="001F5A9B"/>
    <w:rsid w:val="001F5E1C"/>
    <w:rsid w:val="001F6C5D"/>
    <w:rsid w:val="001F7269"/>
    <w:rsid w:val="00200DE7"/>
    <w:rsid w:val="00200E23"/>
    <w:rsid w:val="002016C5"/>
    <w:rsid w:val="00202153"/>
    <w:rsid w:val="00202327"/>
    <w:rsid w:val="00202616"/>
    <w:rsid w:val="00203224"/>
    <w:rsid w:val="00206799"/>
    <w:rsid w:val="0020728F"/>
    <w:rsid w:val="002074FE"/>
    <w:rsid w:val="002076E5"/>
    <w:rsid w:val="00210D70"/>
    <w:rsid w:val="002129F5"/>
    <w:rsid w:val="00212CD7"/>
    <w:rsid w:val="00213B43"/>
    <w:rsid w:val="00216391"/>
    <w:rsid w:val="00216ED4"/>
    <w:rsid w:val="00221136"/>
    <w:rsid w:val="00223264"/>
    <w:rsid w:val="0022375C"/>
    <w:rsid w:val="0022425B"/>
    <w:rsid w:val="0022452E"/>
    <w:rsid w:val="002256C8"/>
    <w:rsid w:val="002259EF"/>
    <w:rsid w:val="00227046"/>
    <w:rsid w:val="0022719F"/>
    <w:rsid w:val="00227E74"/>
    <w:rsid w:val="00231D01"/>
    <w:rsid w:val="002324A7"/>
    <w:rsid w:val="002351D8"/>
    <w:rsid w:val="00235AB9"/>
    <w:rsid w:val="00235C79"/>
    <w:rsid w:val="002376B9"/>
    <w:rsid w:val="0024067D"/>
    <w:rsid w:val="002409B6"/>
    <w:rsid w:val="0024132D"/>
    <w:rsid w:val="00242ED1"/>
    <w:rsid w:val="00242F64"/>
    <w:rsid w:val="002444BB"/>
    <w:rsid w:val="00244EA6"/>
    <w:rsid w:val="00245169"/>
    <w:rsid w:val="002474EA"/>
    <w:rsid w:val="00251158"/>
    <w:rsid w:val="00251524"/>
    <w:rsid w:val="00254069"/>
    <w:rsid w:val="00255DC7"/>
    <w:rsid w:val="00256497"/>
    <w:rsid w:val="00256646"/>
    <w:rsid w:val="002569A2"/>
    <w:rsid w:val="0026138C"/>
    <w:rsid w:val="0026196D"/>
    <w:rsid w:val="00262FA1"/>
    <w:rsid w:val="002632C9"/>
    <w:rsid w:val="00265B7F"/>
    <w:rsid w:val="00266052"/>
    <w:rsid w:val="00270748"/>
    <w:rsid w:val="00271107"/>
    <w:rsid w:val="00271E87"/>
    <w:rsid w:val="00272AEA"/>
    <w:rsid w:val="002734E5"/>
    <w:rsid w:val="00274429"/>
    <w:rsid w:val="002746DB"/>
    <w:rsid w:val="0027490A"/>
    <w:rsid w:val="00274E55"/>
    <w:rsid w:val="002767F5"/>
    <w:rsid w:val="002777AD"/>
    <w:rsid w:val="00280CAF"/>
    <w:rsid w:val="0028141E"/>
    <w:rsid w:val="00282F09"/>
    <w:rsid w:val="00286793"/>
    <w:rsid w:val="002876A3"/>
    <w:rsid w:val="00287ACA"/>
    <w:rsid w:val="00290C0E"/>
    <w:rsid w:val="00291810"/>
    <w:rsid w:val="00293860"/>
    <w:rsid w:val="00293F8E"/>
    <w:rsid w:val="00294C7B"/>
    <w:rsid w:val="00294D62"/>
    <w:rsid w:val="002963FB"/>
    <w:rsid w:val="00297532"/>
    <w:rsid w:val="00297FFD"/>
    <w:rsid w:val="002A1210"/>
    <w:rsid w:val="002A1D7B"/>
    <w:rsid w:val="002A2208"/>
    <w:rsid w:val="002A38A2"/>
    <w:rsid w:val="002A47D2"/>
    <w:rsid w:val="002A4DF4"/>
    <w:rsid w:val="002A589F"/>
    <w:rsid w:val="002A7F0D"/>
    <w:rsid w:val="002A7FB5"/>
    <w:rsid w:val="002B0208"/>
    <w:rsid w:val="002B1EEE"/>
    <w:rsid w:val="002B2074"/>
    <w:rsid w:val="002B4FF2"/>
    <w:rsid w:val="002B50FE"/>
    <w:rsid w:val="002B78FA"/>
    <w:rsid w:val="002B7948"/>
    <w:rsid w:val="002C153B"/>
    <w:rsid w:val="002C198A"/>
    <w:rsid w:val="002C2621"/>
    <w:rsid w:val="002C29A0"/>
    <w:rsid w:val="002C3D89"/>
    <w:rsid w:val="002C4485"/>
    <w:rsid w:val="002C4A5B"/>
    <w:rsid w:val="002C581D"/>
    <w:rsid w:val="002D08C1"/>
    <w:rsid w:val="002D14D8"/>
    <w:rsid w:val="002D14DB"/>
    <w:rsid w:val="002D2315"/>
    <w:rsid w:val="002D3882"/>
    <w:rsid w:val="002D3A33"/>
    <w:rsid w:val="002D4799"/>
    <w:rsid w:val="002D5EA7"/>
    <w:rsid w:val="002D682C"/>
    <w:rsid w:val="002E3FA4"/>
    <w:rsid w:val="002E53A5"/>
    <w:rsid w:val="002E55D0"/>
    <w:rsid w:val="002E5BA0"/>
    <w:rsid w:val="002E64B8"/>
    <w:rsid w:val="002E6834"/>
    <w:rsid w:val="002E7925"/>
    <w:rsid w:val="002F0EF6"/>
    <w:rsid w:val="002F0F8C"/>
    <w:rsid w:val="002F16AB"/>
    <w:rsid w:val="002F1875"/>
    <w:rsid w:val="002F2841"/>
    <w:rsid w:val="002F4C36"/>
    <w:rsid w:val="002F4CBE"/>
    <w:rsid w:val="002F59C6"/>
    <w:rsid w:val="002F7549"/>
    <w:rsid w:val="0030148E"/>
    <w:rsid w:val="003024A4"/>
    <w:rsid w:val="003026A5"/>
    <w:rsid w:val="00303654"/>
    <w:rsid w:val="00303655"/>
    <w:rsid w:val="0030581F"/>
    <w:rsid w:val="00306BB2"/>
    <w:rsid w:val="003078E5"/>
    <w:rsid w:val="003113FF"/>
    <w:rsid w:val="00311FDB"/>
    <w:rsid w:val="00312622"/>
    <w:rsid w:val="0031319F"/>
    <w:rsid w:val="00313693"/>
    <w:rsid w:val="00316001"/>
    <w:rsid w:val="00320788"/>
    <w:rsid w:val="00320B19"/>
    <w:rsid w:val="00322448"/>
    <w:rsid w:val="00322476"/>
    <w:rsid w:val="0032277F"/>
    <w:rsid w:val="00324646"/>
    <w:rsid w:val="00330840"/>
    <w:rsid w:val="003311ED"/>
    <w:rsid w:val="003322C2"/>
    <w:rsid w:val="003326FC"/>
    <w:rsid w:val="00333362"/>
    <w:rsid w:val="003333C4"/>
    <w:rsid w:val="003367C5"/>
    <w:rsid w:val="00336B69"/>
    <w:rsid w:val="003404E5"/>
    <w:rsid w:val="0034302B"/>
    <w:rsid w:val="003439DD"/>
    <w:rsid w:val="0034406B"/>
    <w:rsid w:val="00345E55"/>
    <w:rsid w:val="00350523"/>
    <w:rsid w:val="0035189D"/>
    <w:rsid w:val="0035273C"/>
    <w:rsid w:val="0035466B"/>
    <w:rsid w:val="00355B62"/>
    <w:rsid w:val="00357A69"/>
    <w:rsid w:val="00357C8A"/>
    <w:rsid w:val="00357D9E"/>
    <w:rsid w:val="00360465"/>
    <w:rsid w:val="00361136"/>
    <w:rsid w:val="00361721"/>
    <w:rsid w:val="00362AB0"/>
    <w:rsid w:val="003631B4"/>
    <w:rsid w:val="00364A7B"/>
    <w:rsid w:val="00364D3A"/>
    <w:rsid w:val="00365449"/>
    <w:rsid w:val="003654C2"/>
    <w:rsid w:val="00365C92"/>
    <w:rsid w:val="00367F24"/>
    <w:rsid w:val="0037127A"/>
    <w:rsid w:val="00371C55"/>
    <w:rsid w:val="00373094"/>
    <w:rsid w:val="003736B1"/>
    <w:rsid w:val="003740BC"/>
    <w:rsid w:val="0037456B"/>
    <w:rsid w:val="003777E0"/>
    <w:rsid w:val="00377B70"/>
    <w:rsid w:val="00377C79"/>
    <w:rsid w:val="003801A3"/>
    <w:rsid w:val="00380795"/>
    <w:rsid w:val="00381654"/>
    <w:rsid w:val="0038171F"/>
    <w:rsid w:val="00383D90"/>
    <w:rsid w:val="003840FD"/>
    <w:rsid w:val="003864EB"/>
    <w:rsid w:val="00386788"/>
    <w:rsid w:val="003870AE"/>
    <w:rsid w:val="003873BB"/>
    <w:rsid w:val="003878CA"/>
    <w:rsid w:val="00387903"/>
    <w:rsid w:val="00387A82"/>
    <w:rsid w:val="00390559"/>
    <w:rsid w:val="00391D88"/>
    <w:rsid w:val="0039277E"/>
    <w:rsid w:val="0039304F"/>
    <w:rsid w:val="003935E1"/>
    <w:rsid w:val="003952EF"/>
    <w:rsid w:val="00395EDB"/>
    <w:rsid w:val="003961B3"/>
    <w:rsid w:val="003962F9"/>
    <w:rsid w:val="003965C1"/>
    <w:rsid w:val="00396B39"/>
    <w:rsid w:val="003A0A17"/>
    <w:rsid w:val="003A1A27"/>
    <w:rsid w:val="003A204B"/>
    <w:rsid w:val="003A21A7"/>
    <w:rsid w:val="003A3327"/>
    <w:rsid w:val="003A3963"/>
    <w:rsid w:val="003A3C0C"/>
    <w:rsid w:val="003A42DA"/>
    <w:rsid w:val="003A4D07"/>
    <w:rsid w:val="003A50CC"/>
    <w:rsid w:val="003A7376"/>
    <w:rsid w:val="003B1390"/>
    <w:rsid w:val="003B1DDD"/>
    <w:rsid w:val="003B27DE"/>
    <w:rsid w:val="003B3343"/>
    <w:rsid w:val="003B3442"/>
    <w:rsid w:val="003B42B3"/>
    <w:rsid w:val="003B5371"/>
    <w:rsid w:val="003B6384"/>
    <w:rsid w:val="003B6E82"/>
    <w:rsid w:val="003B791F"/>
    <w:rsid w:val="003C08DB"/>
    <w:rsid w:val="003C0FE2"/>
    <w:rsid w:val="003C1FED"/>
    <w:rsid w:val="003C4E46"/>
    <w:rsid w:val="003C4EBB"/>
    <w:rsid w:val="003C5AC2"/>
    <w:rsid w:val="003C6F0A"/>
    <w:rsid w:val="003D12D3"/>
    <w:rsid w:val="003D1531"/>
    <w:rsid w:val="003D20CA"/>
    <w:rsid w:val="003D59F1"/>
    <w:rsid w:val="003D5ECF"/>
    <w:rsid w:val="003D6B1C"/>
    <w:rsid w:val="003D76D9"/>
    <w:rsid w:val="003E2532"/>
    <w:rsid w:val="003E2ACC"/>
    <w:rsid w:val="003E4EC6"/>
    <w:rsid w:val="003E527E"/>
    <w:rsid w:val="003E553E"/>
    <w:rsid w:val="003E579E"/>
    <w:rsid w:val="003E5BED"/>
    <w:rsid w:val="003E7078"/>
    <w:rsid w:val="003F13A9"/>
    <w:rsid w:val="003F3B05"/>
    <w:rsid w:val="003F3DF5"/>
    <w:rsid w:val="003F415E"/>
    <w:rsid w:val="003F4655"/>
    <w:rsid w:val="003F52B9"/>
    <w:rsid w:val="003F61AC"/>
    <w:rsid w:val="003F6A2B"/>
    <w:rsid w:val="003F73B8"/>
    <w:rsid w:val="0040297E"/>
    <w:rsid w:val="004029C4"/>
    <w:rsid w:val="004029F5"/>
    <w:rsid w:val="004041FB"/>
    <w:rsid w:val="00404C1C"/>
    <w:rsid w:val="00405D5A"/>
    <w:rsid w:val="00406509"/>
    <w:rsid w:val="00407410"/>
    <w:rsid w:val="004076EF"/>
    <w:rsid w:val="00407E42"/>
    <w:rsid w:val="00411099"/>
    <w:rsid w:val="004113C4"/>
    <w:rsid w:val="00411D11"/>
    <w:rsid w:val="00411E53"/>
    <w:rsid w:val="00414494"/>
    <w:rsid w:val="0041486B"/>
    <w:rsid w:val="00414A20"/>
    <w:rsid w:val="00415E23"/>
    <w:rsid w:val="00415FC2"/>
    <w:rsid w:val="0041670D"/>
    <w:rsid w:val="00416AD5"/>
    <w:rsid w:val="004201F9"/>
    <w:rsid w:val="00421344"/>
    <w:rsid w:val="0042159B"/>
    <w:rsid w:val="00421769"/>
    <w:rsid w:val="00422359"/>
    <w:rsid w:val="00422A9C"/>
    <w:rsid w:val="00422BC8"/>
    <w:rsid w:val="00422E67"/>
    <w:rsid w:val="00423272"/>
    <w:rsid w:val="004234B8"/>
    <w:rsid w:val="004236BE"/>
    <w:rsid w:val="00423B2B"/>
    <w:rsid w:val="00424061"/>
    <w:rsid w:val="004253EC"/>
    <w:rsid w:val="00425ABA"/>
    <w:rsid w:val="00426D13"/>
    <w:rsid w:val="00430436"/>
    <w:rsid w:val="004309FD"/>
    <w:rsid w:val="0043146C"/>
    <w:rsid w:val="00431DB3"/>
    <w:rsid w:val="00432D94"/>
    <w:rsid w:val="00433A24"/>
    <w:rsid w:val="004361C1"/>
    <w:rsid w:val="00436601"/>
    <w:rsid w:val="00436BD3"/>
    <w:rsid w:val="00436DD8"/>
    <w:rsid w:val="00442A3C"/>
    <w:rsid w:val="00442E08"/>
    <w:rsid w:val="00443969"/>
    <w:rsid w:val="00443F6B"/>
    <w:rsid w:val="00445C86"/>
    <w:rsid w:val="00445CE3"/>
    <w:rsid w:val="00446DE2"/>
    <w:rsid w:val="004473B4"/>
    <w:rsid w:val="00447D74"/>
    <w:rsid w:val="00450A74"/>
    <w:rsid w:val="0045469E"/>
    <w:rsid w:val="004546BF"/>
    <w:rsid w:val="00455721"/>
    <w:rsid w:val="004572F7"/>
    <w:rsid w:val="0046065C"/>
    <w:rsid w:val="004612A3"/>
    <w:rsid w:val="00462557"/>
    <w:rsid w:val="00462796"/>
    <w:rsid w:val="00462A5B"/>
    <w:rsid w:val="00462F9A"/>
    <w:rsid w:val="00464B70"/>
    <w:rsid w:val="00465350"/>
    <w:rsid w:val="00467B9C"/>
    <w:rsid w:val="00471309"/>
    <w:rsid w:val="004713C2"/>
    <w:rsid w:val="0047294B"/>
    <w:rsid w:val="004729FD"/>
    <w:rsid w:val="0047303E"/>
    <w:rsid w:val="00474675"/>
    <w:rsid w:val="00476327"/>
    <w:rsid w:val="00476B91"/>
    <w:rsid w:val="004808CF"/>
    <w:rsid w:val="00482C7B"/>
    <w:rsid w:val="004846BF"/>
    <w:rsid w:val="004866A0"/>
    <w:rsid w:val="00486BAC"/>
    <w:rsid w:val="004909B0"/>
    <w:rsid w:val="0049108A"/>
    <w:rsid w:val="004945BC"/>
    <w:rsid w:val="00494912"/>
    <w:rsid w:val="00494B54"/>
    <w:rsid w:val="004A081E"/>
    <w:rsid w:val="004A0A5B"/>
    <w:rsid w:val="004A1124"/>
    <w:rsid w:val="004A17D1"/>
    <w:rsid w:val="004A5323"/>
    <w:rsid w:val="004A5A99"/>
    <w:rsid w:val="004A5AE2"/>
    <w:rsid w:val="004A6361"/>
    <w:rsid w:val="004A7326"/>
    <w:rsid w:val="004B51D3"/>
    <w:rsid w:val="004B6AE5"/>
    <w:rsid w:val="004B6BDC"/>
    <w:rsid w:val="004B7B79"/>
    <w:rsid w:val="004B7E1B"/>
    <w:rsid w:val="004C03AD"/>
    <w:rsid w:val="004C0F53"/>
    <w:rsid w:val="004C1145"/>
    <w:rsid w:val="004C3D5C"/>
    <w:rsid w:val="004C3F58"/>
    <w:rsid w:val="004C40A0"/>
    <w:rsid w:val="004C521A"/>
    <w:rsid w:val="004C6979"/>
    <w:rsid w:val="004C7816"/>
    <w:rsid w:val="004D13A2"/>
    <w:rsid w:val="004D1CDF"/>
    <w:rsid w:val="004D1D2A"/>
    <w:rsid w:val="004D3E7A"/>
    <w:rsid w:val="004D460B"/>
    <w:rsid w:val="004D5687"/>
    <w:rsid w:val="004D73D8"/>
    <w:rsid w:val="004D787E"/>
    <w:rsid w:val="004D7A78"/>
    <w:rsid w:val="004E11EA"/>
    <w:rsid w:val="004E1B5C"/>
    <w:rsid w:val="004E1ED5"/>
    <w:rsid w:val="004E2451"/>
    <w:rsid w:val="004E39FA"/>
    <w:rsid w:val="004E515D"/>
    <w:rsid w:val="004E6679"/>
    <w:rsid w:val="004E76AC"/>
    <w:rsid w:val="004F1515"/>
    <w:rsid w:val="004F23FF"/>
    <w:rsid w:val="004F2FFF"/>
    <w:rsid w:val="004F5322"/>
    <w:rsid w:val="004F534B"/>
    <w:rsid w:val="004F594B"/>
    <w:rsid w:val="004F5D77"/>
    <w:rsid w:val="004F5DBC"/>
    <w:rsid w:val="004F61E1"/>
    <w:rsid w:val="004F7B8E"/>
    <w:rsid w:val="0050033F"/>
    <w:rsid w:val="0050334C"/>
    <w:rsid w:val="00503AD9"/>
    <w:rsid w:val="0050562E"/>
    <w:rsid w:val="005077A4"/>
    <w:rsid w:val="005101E8"/>
    <w:rsid w:val="0051021A"/>
    <w:rsid w:val="00510FA0"/>
    <w:rsid w:val="00511402"/>
    <w:rsid w:val="00511612"/>
    <w:rsid w:val="005138D8"/>
    <w:rsid w:val="005148BD"/>
    <w:rsid w:val="005154C7"/>
    <w:rsid w:val="00515BE7"/>
    <w:rsid w:val="00515C62"/>
    <w:rsid w:val="00516192"/>
    <w:rsid w:val="00516D34"/>
    <w:rsid w:val="00520983"/>
    <w:rsid w:val="005210EF"/>
    <w:rsid w:val="00521BC4"/>
    <w:rsid w:val="005229C0"/>
    <w:rsid w:val="00524854"/>
    <w:rsid w:val="0053380B"/>
    <w:rsid w:val="00542415"/>
    <w:rsid w:val="00543194"/>
    <w:rsid w:val="00543980"/>
    <w:rsid w:val="00544138"/>
    <w:rsid w:val="00544184"/>
    <w:rsid w:val="00545AA5"/>
    <w:rsid w:val="00545B17"/>
    <w:rsid w:val="00551D6E"/>
    <w:rsid w:val="00552168"/>
    <w:rsid w:val="0055390E"/>
    <w:rsid w:val="00553A6A"/>
    <w:rsid w:val="00553BE0"/>
    <w:rsid w:val="00554E34"/>
    <w:rsid w:val="00554FCE"/>
    <w:rsid w:val="00557991"/>
    <w:rsid w:val="00560679"/>
    <w:rsid w:val="00561872"/>
    <w:rsid w:val="0056270C"/>
    <w:rsid w:val="00563C0F"/>
    <w:rsid w:val="00563EEB"/>
    <w:rsid w:val="00570B68"/>
    <w:rsid w:val="00571BD7"/>
    <w:rsid w:val="00573E85"/>
    <w:rsid w:val="00574B7C"/>
    <w:rsid w:val="005816F9"/>
    <w:rsid w:val="00581A36"/>
    <w:rsid w:val="00582827"/>
    <w:rsid w:val="00582AE1"/>
    <w:rsid w:val="00582E2A"/>
    <w:rsid w:val="00583835"/>
    <w:rsid w:val="00584092"/>
    <w:rsid w:val="00584583"/>
    <w:rsid w:val="00585559"/>
    <w:rsid w:val="00585AC8"/>
    <w:rsid w:val="005872C0"/>
    <w:rsid w:val="0058780D"/>
    <w:rsid w:val="00587EB3"/>
    <w:rsid w:val="00590E90"/>
    <w:rsid w:val="00590EEB"/>
    <w:rsid w:val="00591A00"/>
    <w:rsid w:val="00593FF7"/>
    <w:rsid w:val="0059401A"/>
    <w:rsid w:val="00594AC1"/>
    <w:rsid w:val="00594C9A"/>
    <w:rsid w:val="00595597"/>
    <w:rsid w:val="00596156"/>
    <w:rsid w:val="00596849"/>
    <w:rsid w:val="005A0F95"/>
    <w:rsid w:val="005A19B9"/>
    <w:rsid w:val="005A25F7"/>
    <w:rsid w:val="005A4099"/>
    <w:rsid w:val="005A4D3A"/>
    <w:rsid w:val="005A51E9"/>
    <w:rsid w:val="005A663F"/>
    <w:rsid w:val="005A7FCF"/>
    <w:rsid w:val="005B13F7"/>
    <w:rsid w:val="005B2AC9"/>
    <w:rsid w:val="005B2C18"/>
    <w:rsid w:val="005B2D15"/>
    <w:rsid w:val="005B3A7D"/>
    <w:rsid w:val="005B76D8"/>
    <w:rsid w:val="005C104E"/>
    <w:rsid w:val="005C32DB"/>
    <w:rsid w:val="005C33F3"/>
    <w:rsid w:val="005C38B2"/>
    <w:rsid w:val="005C4DF5"/>
    <w:rsid w:val="005C5029"/>
    <w:rsid w:val="005C55C2"/>
    <w:rsid w:val="005C6255"/>
    <w:rsid w:val="005C71CA"/>
    <w:rsid w:val="005C745C"/>
    <w:rsid w:val="005D466A"/>
    <w:rsid w:val="005D4DF5"/>
    <w:rsid w:val="005D5E00"/>
    <w:rsid w:val="005D696D"/>
    <w:rsid w:val="005E02B7"/>
    <w:rsid w:val="005E108B"/>
    <w:rsid w:val="005E42BA"/>
    <w:rsid w:val="005E4525"/>
    <w:rsid w:val="005E5418"/>
    <w:rsid w:val="005E6C55"/>
    <w:rsid w:val="005E77DF"/>
    <w:rsid w:val="005E7CD3"/>
    <w:rsid w:val="005F0FAC"/>
    <w:rsid w:val="005F167D"/>
    <w:rsid w:val="005F2383"/>
    <w:rsid w:val="005F2E5A"/>
    <w:rsid w:val="005F4B34"/>
    <w:rsid w:val="005F5284"/>
    <w:rsid w:val="005F5472"/>
    <w:rsid w:val="005F74B1"/>
    <w:rsid w:val="005F7DB0"/>
    <w:rsid w:val="00600E94"/>
    <w:rsid w:val="006016F3"/>
    <w:rsid w:val="00602577"/>
    <w:rsid w:val="00603571"/>
    <w:rsid w:val="006036B8"/>
    <w:rsid w:val="00606036"/>
    <w:rsid w:val="00606258"/>
    <w:rsid w:val="00606368"/>
    <w:rsid w:val="00607971"/>
    <w:rsid w:val="00611D6B"/>
    <w:rsid w:val="006133EA"/>
    <w:rsid w:val="006163BE"/>
    <w:rsid w:val="006167E9"/>
    <w:rsid w:val="00616EB9"/>
    <w:rsid w:val="00622BD5"/>
    <w:rsid w:val="006231D8"/>
    <w:rsid w:val="006252D4"/>
    <w:rsid w:val="00625CFD"/>
    <w:rsid w:val="00627789"/>
    <w:rsid w:val="00630952"/>
    <w:rsid w:val="00630F4E"/>
    <w:rsid w:val="00631255"/>
    <w:rsid w:val="006326EC"/>
    <w:rsid w:val="00632F8D"/>
    <w:rsid w:val="00633235"/>
    <w:rsid w:val="0063369F"/>
    <w:rsid w:val="00634475"/>
    <w:rsid w:val="00634929"/>
    <w:rsid w:val="00635644"/>
    <w:rsid w:val="00635E7A"/>
    <w:rsid w:val="00636933"/>
    <w:rsid w:val="00637BA9"/>
    <w:rsid w:val="00637EEB"/>
    <w:rsid w:val="00640D6D"/>
    <w:rsid w:val="006410E6"/>
    <w:rsid w:val="0064310C"/>
    <w:rsid w:val="00646C2B"/>
    <w:rsid w:val="00646E29"/>
    <w:rsid w:val="006475F2"/>
    <w:rsid w:val="006507EC"/>
    <w:rsid w:val="0065351D"/>
    <w:rsid w:val="00654151"/>
    <w:rsid w:val="006544B8"/>
    <w:rsid w:val="00655205"/>
    <w:rsid w:val="00656912"/>
    <w:rsid w:val="00656BDC"/>
    <w:rsid w:val="00663659"/>
    <w:rsid w:val="00663A42"/>
    <w:rsid w:val="006641C7"/>
    <w:rsid w:val="00666D93"/>
    <w:rsid w:val="0067025A"/>
    <w:rsid w:val="006705EA"/>
    <w:rsid w:val="00670BE2"/>
    <w:rsid w:val="00670ED6"/>
    <w:rsid w:val="00672095"/>
    <w:rsid w:val="006721AF"/>
    <w:rsid w:val="00674908"/>
    <w:rsid w:val="006752D0"/>
    <w:rsid w:val="00675FC7"/>
    <w:rsid w:val="0068450D"/>
    <w:rsid w:val="006874C2"/>
    <w:rsid w:val="006875BE"/>
    <w:rsid w:val="006916D9"/>
    <w:rsid w:val="0069187E"/>
    <w:rsid w:val="00691B38"/>
    <w:rsid w:val="0069285B"/>
    <w:rsid w:val="00692967"/>
    <w:rsid w:val="00694198"/>
    <w:rsid w:val="00694A95"/>
    <w:rsid w:val="00694DF2"/>
    <w:rsid w:val="006977C3"/>
    <w:rsid w:val="006A0765"/>
    <w:rsid w:val="006A0E05"/>
    <w:rsid w:val="006A20E6"/>
    <w:rsid w:val="006A26C6"/>
    <w:rsid w:val="006A2FD3"/>
    <w:rsid w:val="006A4381"/>
    <w:rsid w:val="006A465A"/>
    <w:rsid w:val="006A5154"/>
    <w:rsid w:val="006A603B"/>
    <w:rsid w:val="006A6485"/>
    <w:rsid w:val="006A65E3"/>
    <w:rsid w:val="006A675F"/>
    <w:rsid w:val="006A7004"/>
    <w:rsid w:val="006A7905"/>
    <w:rsid w:val="006A7D5D"/>
    <w:rsid w:val="006A7EE9"/>
    <w:rsid w:val="006B0902"/>
    <w:rsid w:val="006B13F2"/>
    <w:rsid w:val="006B33A9"/>
    <w:rsid w:val="006B3B87"/>
    <w:rsid w:val="006B3FCD"/>
    <w:rsid w:val="006B61E4"/>
    <w:rsid w:val="006B7C9E"/>
    <w:rsid w:val="006C248F"/>
    <w:rsid w:val="006C4CCA"/>
    <w:rsid w:val="006C6FF8"/>
    <w:rsid w:val="006C7F93"/>
    <w:rsid w:val="006D01D1"/>
    <w:rsid w:val="006D08FE"/>
    <w:rsid w:val="006D0C12"/>
    <w:rsid w:val="006D0D69"/>
    <w:rsid w:val="006D16B2"/>
    <w:rsid w:val="006D40D9"/>
    <w:rsid w:val="006D53CB"/>
    <w:rsid w:val="006D5D57"/>
    <w:rsid w:val="006E2538"/>
    <w:rsid w:val="006E268F"/>
    <w:rsid w:val="006E2F26"/>
    <w:rsid w:val="006E302F"/>
    <w:rsid w:val="006E315C"/>
    <w:rsid w:val="006E7A69"/>
    <w:rsid w:val="006E7DED"/>
    <w:rsid w:val="006F0195"/>
    <w:rsid w:val="006F1ABB"/>
    <w:rsid w:val="006F421C"/>
    <w:rsid w:val="006F4D6D"/>
    <w:rsid w:val="006F681D"/>
    <w:rsid w:val="0070190E"/>
    <w:rsid w:val="0070480D"/>
    <w:rsid w:val="00705086"/>
    <w:rsid w:val="0070512F"/>
    <w:rsid w:val="00705AEE"/>
    <w:rsid w:val="00705B8E"/>
    <w:rsid w:val="007063DC"/>
    <w:rsid w:val="00706E3E"/>
    <w:rsid w:val="00707DB1"/>
    <w:rsid w:val="007114F9"/>
    <w:rsid w:val="00714DAC"/>
    <w:rsid w:val="0071573C"/>
    <w:rsid w:val="0071679D"/>
    <w:rsid w:val="00716CB8"/>
    <w:rsid w:val="0072154F"/>
    <w:rsid w:val="00722001"/>
    <w:rsid w:val="00722112"/>
    <w:rsid w:val="007225A8"/>
    <w:rsid w:val="0072273C"/>
    <w:rsid w:val="00725E5D"/>
    <w:rsid w:val="00727D90"/>
    <w:rsid w:val="007303F5"/>
    <w:rsid w:val="007307C1"/>
    <w:rsid w:val="007320A7"/>
    <w:rsid w:val="0073211B"/>
    <w:rsid w:val="00733BCC"/>
    <w:rsid w:val="00733C62"/>
    <w:rsid w:val="00733E57"/>
    <w:rsid w:val="00734183"/>
    <w:rsid w:val="00737392"/>
    <w:rsid w:val="0074000D"/>
    <w:rsid w:val="0074002F"/>
    <w:rsid w:val="0074062A"/>
    <w:rsid w:val="00740717"/>
    <w:rsid w:val="00741865"/>
    <w:rsid w:val="00742272"/>
    <w:rsid w:val="00745DF9"/>
    <w:rsid w:val="00747D09"/>
    <w:rsid w:val="00750A2E"/>
    <w:rsid w:val="00751032"/>
    <w:rsid w:val="00751E66"/>
    <w:rsid w:val="00753868"/>
    <w:rsid w:val="00753C46"/>
    <w:rsid w:val="00754497"/>
    <w:rsid w:val="00754997"/>
    <w:rsid w:val="007551EC"/>
    <w:rsid w:val="007553F6"/>
    <w:rsid w:val="00755878"/>
    <w:rsid w:val="0075622F"/>
    <w:rsid w:val="00756EB8"/>
    <w:rsid w:val="00757A51"/>
    <w:rsid w:val="00760463"/>
    <w:rsid w:val="007650F0"/>
    <w:rsid w:val="00765BD5"/>
    <w:rsid w:val="00766FE4"/>
    <w:rsid w:val="007670BC"/>
    <w:rsid w:val="007671D4"/>
    <w:rsid w:val="00770102"/>
    <w:rsid w:val="00772B29"/>
    <w:rsid w:val="00774E5A"/>
    <w:rsid w:val="00774EC4"/>
    <w:rsid w:val="00775427"/>
    <w:rsid w:val="0077683F"/>
    <w:rsid w:val="00777F21"/>
    <w:rsid w:val="00783404"/>
    <w:rsid w:val="007845D8"/>
    <w:rsid w:val="00784A74"/>
    <w:rsid w:val="00784B76"/>
    <w:rsid w:val="00785319"/>
    <w:rsid w:val="00785932"/>
    <w:rsid w:val="0078725B"/>
    <w:rsid w:val="00787C39"/>
    <w:rsid w:val="00790632"/>
    <w:rsid w:val="0079199C"/>
    <w:rsid w:val="00792947"/>
    <w:rsid w:val="00793EF2"/>
    <w:rsid w:val="00794BD3"/>
    <w:rsid w:val="0079550F"/>
    <w:rsid w:val="0079563D"/>
    <w:rsid w:val="00795CBB"/>
    <w:rsid w:val="00795CCB"/>
    <w:rsid w:val="00795DF3"/>
    <w:rsid w:val="007A1050"/>
    <w:rsid w:val="007A1115"/>
    <w:rsid w:val="007A373C"/>
    <w:rsid w:val="007B1590"/>
    <w:rsid w:val="007B225C"/>
    <w:rsid w:val="007B24CB"/>
    <w:rsid w:val="007B423E"/>
    <w:rsid w:val="007B492F"/>
    <w:rsid w:val="007B635F"/>
    <w:rsid w:val="007B731C"/>
    <w:rsid w:val="007C105E"/>
    <w:rsid w:val="007C1239"/>
    <w:rsid w:val="007C2FAE"/>
    <w:rsid w:val="007C4FE2"/>
    <w:rsid w:val="007C75B1"/>
    <w:rsid w:val="007C7D28"/>
    <w:rsid w:val="007D2806"/>
    <w:rsid w:val="007D30D1"/>
    <w:rsid w:val="007D3582"/>
    <w:rsid w:val="007D3DFC"/>
    <w:rsid w:val="007D622A"/>
    <w:rsid w:val="007D76A7"/>
    <w:rsid w:val="007D775F"/>
    <w:rsid w:val="007D7FE0"/>
    <w:rsid w:val="007E1E6C"/>
    <w:rsid w:val="007E2F07"/>
    <w:rsid w:val="007E3A2F"/>
    <w:rsid w:val="007E3ED3"/>
    <w:rsid w:val="007E40DE"/>
    <w:rsid w:val="007E4B99"/>
    <w:rsid w:val="007E59A8"/>
    <w:rsid w:val="007F10F4"/>
    <w:rsid w:val="007F114E"/>
    <w:rsid w:val="007F11FB"/>
    <w:rsid w:val="007F1330"/>
    <w:rsid w:val="007F1B9D"/>
    <w:rsid w:val="007F1DBB"/>
    <w:rsid w:val="007F2E3E"/>
    <w:rsid w:val="007F34A7"/>
    <w:rsid w:val="007F37F2"/>
    <w:rsid w:val="008031D2"/>
    <w:rsid w:val="008033B3"/>
    <w:rsid w:val="0080457D"/>
    <w:rsid w:val="0080776D"/>
    <w:rsid w:val="00807CF3"/>
    <w:rsid w:val="00807E0A"/>
    <w:rsid w:val="00810145"/>
    <w:rsid w:val="008108FA"/>
    <w:rsid w:val="00810C22"/>
    <w:rsid w:val="00810EA3"/>
    <w:rsid w:val="00810FF1"/>
    <w:rsid w:val="008112BF"/>
    <w:rsid w:val="00811370"/>
    <w:rsid w:val="00814470"/>
    <w:rsid w:val="0081708E"/>
    <w:rsid w:val="0081718D"/>
    <w:rsid w:val="008209CA"/>
    <w:rsid w:val="008211DE"/>
    <w:rsid w:val="00822336"/>
    <w:rsid w:val="00822501"/>
    <w:rsid w:val="00823DFA"/>
    <w:rsid w:val="0082483C"/>
    <w:rsid w:val="0082491E"/>
    <w:rsid w:val="00824D8E"/>
    <w:rsid w:val="00826A40"/>
    <w:rsid w:val="00827831"/>
    <w:rsid w:val="00827850"/>
    <w:rsid w:val="00827F18"/>
    <w:rsid w:val="00830117"/>
    <w:rsid w:val="00831F52"/>
    <w:rsid w:val="00832036"/>
    <w:rsid w:val="00832660"/>
    <w:rsid w:val="00833CB4"/>
    <w:rsid w:val="0083411E"/>
    <w:rsid w:val="0083452E"/>
    <w:rsid w:val="00835B87"/>
    <w:rsid w:val="00835DFC"/>
    <w:rsid w:val="00836DFB"/>
    <w:rsid w:val="00840D77"/>
    <w:rsid w:val="0084111E"/>
    <w:rsid w:val="00842DB7"/>
    <w:rsid w:val="00843752"/>
    <w:rsid w:val="00843DC3"/>
    <w:rsid w:val="0084479F"/>
    <w:rsid w:val="00844D87"/>
    <w:rsid w:val="00846E5D"/>
    <w:rsid w:val="00850682"/>
    <w:rsid w:val="008507EB"/>
    <w:rsid w:val="0085157F"/>
    <w:rsid w:val="00854E8B"/>
    <w:rsid w:val="00856D99"/>
    <w:rsid w:val="0085725E"/>
    <w:rsid w:val="00861C6D"/>
    <w:rsid w:val="00861DD6"/>
    <w:rsid w:val="0086567D"/>
    <w:rsid w:val="00867169"/>
    <w:rsid w:val="00872A1F"/>
    <w:rsid w:val="008733F1"/>
    <w:rsid w:val="00873D4F"/>
    <w:rsid w:val="00874435"/>
    <w:rsid w:val="00874600"/>
    <w:rsid w:val="0087509F"/>
    <w:rsid w:val="008757A9"/>
    <w:rsid w:val="0087637B"/>
    <w:rsid w:val="00876DAE"/>
    <w:rsid w:val="0087737B"/>
    <w:rsid w:val="00880691"/>
    <w:rsid w:val="008806C6"/>
    <w:rsid w:val="00880FBD"/>
    <w:rsid w:val="0088107A"/>
    <w:rsid w:val="008817D6"/>
    <w:rsid w:val="00884C1D"/>
    <w:rsid w:val="00885B09"/>
    <w:rsid w:val="00885DAF"/>
    <w:rsid w:val="00890101"/>
    <w:rsid w:val="00892400"/>
    <w:rsid w:val="00893334"/>
    <w:rsid w:val="008947C1"/>
    <w:rsid w:val="00895A10"/>
    <w:rsid w:val="00897BEE"/>
    <w:rsid w:val="008A0433"/>
    <w:rsid w:val="008A1644"/>
    <w:rsid w:val="008A209D"/>
    <w:rsid w:val="008A22BB"/>
    <w:rsid w:val="008A2702"/>
    <w:rsid w:val="008A2A62"/>
    <w:rsid w:val="008A5422"/>
    <w:rsid w:val="008A6A07"/>
    <w:rsid w:val="008A79F1"/>
    <w:rsid w:val="008A7A6F"/>
    <w:rsid w:val="008B035D"/>
    <w:rsid w:val="008B0E29"/>
    <w:rsid w:val="008B0EFA"/>
    <w:rsid w:val="008B19A0"/>
    <w:rsid w:val="008B2916"/>
    <w:rsid w:val="008B2A67"/>
    <w:rsid w:val="008B2EFB"/>
    <w:rsid w:val="008B30AB"/>
    <w:rsid w:val="008B33A9"/>
    <w:rsid w:val="008B3BDB"/>
    <w:rsid w:val="008B6FBB"/>
    <w:rsid w:val="008B7269"/>
    <w:rsid w:val="008C08F0"/>
    <w:rsid w:val="008C2DD9"/>
    <w:rsid w:val="008C335F"/>
    <w:rsid w:val="008C3BB8"/>
    <w:rsid w:val="008C42BE"/>
    <w:rsid w:val="008C477E"/>
    <w:rsid w:val="008C4B65"/>
    <w:rsid w:val="008C5EB8"/>
    <w:rsid w:val="008C7CB4"/>
    <w:rsid w:val="008D023C"/>
    <w:rsid w:val="008D1C77"/>
    <w:rsid w:val="008D2143"/>
    <w:rsid w:val="008D3239"/>
    <w:rsid w:val="008D68B1"/>
    <w:rsid w:val="008E0010"/>
    <w:rsid w:val="008E1A86"/>
    <w:rsid w:val="008E3E09"/>
    <w:rsid w:val="008E58BB"/>
    <w:rsid w:val="008E5F55"/>
    <w:rsid w:val="008E6FD3"/>
    <w:rsid w:val="008E79F6"/>
    <w:rsid w:val="008F0119"/>
    <w:rsid w:val="008F1420"/>
    <w:rsid w:val="008F21FE"/>
    <w:rsid w:val="008F3127"/>
    <w:rsid w:val="008F6650"/>
    <w:rsid w:val="008F71C8"/>
    <w:rsid w:val="008F7E54"/>
    <w:rsid w:val="009009E7"/>
    <w:rsid w:val="00901FF2"/>
    <w:rsid w:val="00902313"/>
    <w:rsid w:val="00904CB1"/>
    <w:rsid w:val="00905DEF"/>
    <w:rsid w:val="00906056"/>
    <w:rsid w:val="0090757C"/>
    <w:rsid w:val="009122AE"/>
    <w:rsid w:val="009133A7"/>
    <w:rsid w:val="00913B43"/>
    <w:rsid w:val="00914AB6"/>
    <w:rsid w:val="0091658E"/>
    <w:rsid w:val="00916F3B"/>
    <w:rsid w:val="009212A0"/>
    <w:rsid w:val="00921311"/>
    <w:rsid w:val="00921F6E"/>
    <w:rsid w:val="009222CF"/>
    <w:rsid w:val="0092264D"/>
    <w:rsid w:val="0092272D"/>
    <w:rsid w:val="00924466"/>
    <w:rsid w:val="009252CF"/>
    <w:rsid w:val="009260B7"/>
    <w:rsid w:val="009272EF"/>
    <w:rsid w:val="00930203"/>
    <w:rsid w:val="00930DF7"/>
    <w:rsid w:val="009311D2"/>
    <w:rsid w:val="009311E6"/>
    <w:rsid w:val="00931275"/>
    <w:rsid w:val="00931D10"/>
    <w:rsid w:val="00931E85"/>
    <w:rsid w:val="00931EFF"/>
    <w:rsid w:val="00932CFB"/>
    <w:rsid w:val="00933162"/>
    <w:rsid w:val="0093582B"/>
    <w:rsid w:val="00935F43"/>
    <w:rsid w:val="00936AC7"/>
    <w:rsid w:val="00940C6F"/>
    <w:rsid w:val="00940FF4"/>
    <w:rsid w:val="009410DD"/>
    <w:rsid w:val="00942091"/>
    <w:rsid w:val="00942C19"/>
    <w:rsid w:val="00942CAC"/>
    <w:rsid w:val="00945499"/>
    <w:rsid w:val="00945D20"/>
    <w:rsid w:val="0094657F"/>
    <w:rsid w:val="00950830"/>
    <w:rsid w:val="00950D1D"/>
    <w:rsid w:val="00952AD4"/>
    <w:rsid w:val="00952D68"/>
    <w:rsid w:val="00953B64"/>
    <w:rsid w:val="00954412"/>
    <w:rsid w:val="00954F6E"/>
    <w:rsid w:val="009554D0"/>
    <w:rsid w:val="00955A6E"/>
    <w:rsid w:val="00957E05"/>
    <w:rsid w:val="00957E64"/>
    <w:rsid w:val="00960632"/>
    <w:rsid w:val="009606D9"/>
    <w:rsid w:val="0096163F"/>
    <w:rsid w:val="009623CF"/>
    <w:rsid w:val="009646A7"/>
    <w:rsid w:val="009649C4"/>
    <w:rsid w:val="00964E15"/>
    <w:rsid w:val="0096611A"/>
    <w:rsid w:val="00966B24"/>
    <w:rsid w:val="0096794B"/>
    <w:rsid w:val="00967BD9"/>
    <w:rsid w:val="00967E8C"/>
    <w:rsid w:val="00970A88"/>
    <w:rsid w:val="009722BE"/>
    <w:rsid w:val="0097243C"/>
    <w:rsid w:val="00972F6A"/>
    <w:rsid w:val="0097313B"/>
    <w:rsid w:val="00973BB2"/>
    <w:rsid w:val="00975C4C"/>
    <w:rsid w:val="00977577"/>
    <w:rsid w:val="009779BE"/>
    <w:rsid w:val="0098056D"/>
    <w:rsid w:val="009807C5"/>
    <w:rsid w:val="009818A1"/>
    <w:rsid w:val="00982F30"/>
    <w:rsid w:val="00982FF8"/>
    <w:rsid w:val="0098326D"/>
    <w:rsid w:val="00983EF8"/>
    <w:rsid w:val="00984187"/>
    <w:rsid w:val="00984B12"/>
    <w:rsid w:val="00984C88"/>
    <w:rsid w:val="009854B5"/>
    <w:rsid w:val="00985EF6"/>
    <w:rsid w:val="00986745"/>
    <w:rsid w:val="00987EB5"/>
    <w:rsid w:val="009905E4"/>
    <w:rsid w:val="00993F82"/>
    <w:rsid w:val="00994D96"/>
    <w:rsid w:val="009A058C"/>
    <w:rsid w:val="009A134A"/>
    <w:rsid w:val="009A1544"/>
    <w:rsid w:val="009A1674"/>
    <w:rsid w:val="009B0691"/>
    <w:rsid w:val="009B0C37"/>
    <w:rsid w:val="009B0D8B"/>
    <w:rsid w:val="009B10A5"/>
    <w:rsid w:val="009B29B0"/>
    <w:rsid w:val="009B38BE"/>
    <w:rsid w:val="009B4B22"/>
    <w:rsid w:val="009B4DF2"/>
    <w:rsid w:val="009B5C30"/>
    <w:rsid w:val="009B6A9E"/>
    <w:rsid w:val="009B6BCB"/>
    <w:rsid w:val="009B7DF1"/>
    <w:rsid w:val="009B7EB5"/>
    <w:rsid w:val="009C057D"/>
    <w:rsid w:val="009C0C78"/>
    <w:rsid w:val="009C2F93"/>
    <w:rsid w:val="009C3A24"/>
    <w:rsid w:val="009C3BAC"/>
    <w:rsid w:val="009C684F"/>
    <w:rsid w:val="009C6C2E"/>
    <w:rsid w:val="009C6CB0"/>
    <w:rsid w:val="009D074C"/>
    <w:rsid w:val="009D21A4"/>
    <w:rsid w:val="009D2247"/>
    <w:rsid w:val="009D4E4C"/>
    <w:rsid w:val="009D5151"/>
    <w:rsid w:val="009D6E73"/>
    <w:rsid w:val="009D7B04"/>
    <w:rsid w:val="009E2296"/>
    <w:rsid w:val="009E537C"/>
    <w:rsid w:val="009E5A3D"/>
    <w:rsid w:val="009E6256"/>
    <w:rsid w:val="009E68E9"/>
    <w:rsid w:val="009E6A28"/>
    <w:rsid w:val="009E75B3"/>
    <w:rsid w:val="009F0DE8"/>
    <w:rsid w:val="009F17C1"/>
    <w:rsid w:val="009F1F1D"/>
    <w:rsid w:val="009F2B4F"/>
    <w:rsid w:val="009F32D8"/>
    <w:rsid w:val="009F3C63"/>
    <w:rsid w:val="009F3D91"/>
    <w:rsid w:val="009F47AF"/>
    <w:rsid w:val="009F4B75"/>
    <w:rsid w:val="009F5684"/>
    <w:rsid w:val="009F6540"/>
    <w:rsid w:val="009F66B5"/>
    <w:rsid w:val="009F7A43"/>
    <w:rsid w:val="00A007DF"/>
    <w:rsid w:val="00A02F10"/>
    <w:rsid w:val="00A03082"/>
    <w:rsid w:val="00A04722"/>
    <w:rsid w:val="00A05117"/>
    <w:rsid w:val="00A05866"/>
    <w:rsid w:val="00A05B68"/>
    <w:rsid w:val="00A06020"/>
    <w:rsid w:val="00A06457"/>
    <w:rsid w:val="00A1060C"/>
    <w:rsid w:val="00A11A4E"/>
    <w:rsid w:val="00A11A65"/>
    <w:rsid w:val="00A12590"/>
    <w:rsid w:val="00A16221"/>
    <w:rsid w:val="00A16451"/>
    <w:rsid w:val="00A16B46"/>
    <w:rsid w:val="00A176FF"/>
    <w:rsid w:val="00A17FEB"/>
    <w:rsid w:val="00A20A7D"/>
    <w:rsid w:val="00A227CE"/>
    <w:rsid w:val="00A2381D"/>
    <w:rsid w:val="00A243AA"/>
    <w:rsid w:val="00A266A0"/>
    <w:rsid w:val="00A27649"/>
    <w:rsid w:val="00A27E20"/>
    <w:rsid w:val="00A31BD2"/>
    <w:rsid w:val="00A3227E"/>
    <w:rsid w:val="00A3349D"/>
    <w:rsid w:val="00A351CB"/>
    <w:rsid w:val="00A35D42"/>
    <w:rsid w:val="00A36948"/>
    <w:rsid w:val="00A414EB"/>
    <w:rsid w:val="00A45FF6"/>
    <w:rsid w:val="00A46191"/>
    <w:rsid w:val="00A467AD"/>
    <w:rsid w:val="00A46CCF"/>
    <w:rsid w:val="00A506DE"/>
    <w:rsid w:val="00A517A9"/>
    <w:rsid w:val="00A53451"/>
    <w:rsid w:val="00A53D38"/>
    <w:rsid w:val="00A54959"/>
    <w:rsid w:val="00A54F57"/>
    <w:rsid w:val="00A61DBF"/>
    <w:rsid w:val="00A632C9"/>
    <w:rsid w:val="00A63525"/>
    <w:rsid w:val="00A637A6"/>
    <w:rsid w:val="00A66331"/>
    <w:rsid w:val="00A67C97"/>
    <w:rsid w:val="00A70426"/>
    <w:rsid w:val="00A707CC"/>
    <w:rsid w:val="00A71410"/>
    <w:rsid w:val="00A726F3"/>
    <w:rsid w:val="00A77965"/>
    <w:rsid w:val="00A8077D"/>
    <w:rsid w:val="00A82A0D"/>
    <w:rsid w:val="00A8311A"/>
    <w:rsid w:val="00A83658"/>
    <w:rsid w:val="00A84348"/>
    <w:rsid w:val="00A84910"/>
    <w:rsid w:val="00A84A54"/>
    <w:rsid w:val="00A84ACC"/>
    <w:rsid w:val="00A85500"/>
    <w:rsid w:val="00A86ACC"/>
    <w:rsid w:val="00A91355"/>
    <w:rsid w:val="00A91472"/>
    <w:rsid w:val="00A91E9A"/>
    <w:rsid w:val="00A92D4D"/>
    <w:rsid w:val="00A93ED9"/>
    <w:rsid w:val="00A95F73"/>
    <w:rsid w:val="00A96221"/>
    <w:rsid w:val="00AA1ADE"/>
    <w:rsid w:val="00AA2FAB"/>
    <w:rsid w:val="00AA448A"/>
    <w:rsid w:val="00AA489D"/>
    <w:rsid w:val="00AA4D1D"/>
    <w:rsid w:val="00AA54A3"/>
    <w:rsid w:val="00AA5CF5"/>
    <w:rsid w:val="00AB06BE"/>
    <w:rsid w:val="00AB0E47"/>
    <w:rsid w:val="00AB1384"/>
    <w:rsid w:val="00AB2F6A"/>
    <w:rsid w:val="00AB74D8"/>
    <w:rsid w:val="00AC19EB"/>
    <w:rsid w:val="00AC2DBB"/>
    <w:rsid w:val="00AC3C9F"/>
    <w:rsid w:val="00AC5119"/>
    <w:rsid w:val="00AC5392"/>
    <w:rsid w:val="00AC5424"/>
    <w:rsid w:val="00AC6827"/>
    <w:rsid w:val="00AC696C"/>
    <w:rsid w:val="00AC6A99"/>
    <w:rsid w:val="00AC6F7A"/>
    <w:rsid w:val="00AD016E"/>
    <w:rsid w:val="00AD19C2"/>
    <w:rsid w:val="00AD4DA7"/>
    <w:rsid w:val="00AD54A5"/>
    <w:rsid w:val="00AD58A7"/>
    <w:rsid w:val="00AD5912"/>
    <w:rsid w:val="00AD6004"/>
    <w:rsid w:val="00AD6048"/>
    <w:rsid w:val="00AD6471"/>
    <w:rsid w:val="00AD6992"/>
    <w:rsid w:val="00AE06E0"/>
    <w:rsid w:val="00AE0F06"/>
    <w:rsid w:val="00AE2F34"/>
    <w:rsid w:val="00AE369E"/>
    <w:rsid w:val="00AE794F"/>
    <w:rsid w:val="00AF11C4"/>
    <w:rsid w:val="00AF5798"/>
    <w:rsid w:val="00AF6C9A"/>
    <w:rsid w:val="00AF6DC6"/>
    <w:rsid w:val="00B01AF5"/>
    <w:rsid w:val="00B02634"/>
    <w:rsid w:val="00B03C93"/>
    <w:rsid w:val="00B04769"/>
    <w:rsid w:val="00B0548F"/>
    <w:rsid w:val="00B055EF"/>
    <w:rsid w:val="00B06B0D"/>
    <w:rsid w:val="00B06B5B"/>
    <w:rsid w:val="00B079A4"/>
    <w:rsid w:val="00B14C6F"/>
    <w:rsid w:val="00B15045"/>
    <w:rsid w:val="00B17277"/>
    <w:rsid w:val="00B20393"/>
    <w:rsid w:val="00B21042"/>
    <w:rsid w:val="00B22D7D"/>
    <w:rsid w:val="00B22F2D"/>
    <w:rsid w:val="00B23769"/>
    <w:rsid w:val="00B24EB0"/>
    <w:rsid w:val="00B25259"/>
    <w:rsid w:val="00B25334"/>
    <w:rsid w:val="00B27507"/>
    <w:rsid w:val="00B27B62"/>
    <w:rsid w:val="00B302E8"/>
    <w:rsid w:val="00B3196D"/>
    <w:rsid w:val="00B32275"/>
    <w:rsid w:val="00B32DA8"/>
    <w:rsid w:val="00B337B0"/>
    <w:rsid w:val="00B3386A"/>
    <w:rsid w:val="00B35B13"/>
    <w:rsid w:val="00B36637"/>
    <w:rsid w:val="00B3769E"/>
    <w:rsid w:val="00B41267"/>
    <w:rsid w:val="00B41789"/>
    <w:rsid w:val="00B42A54"/>
    <w:rsid w:val="00B432A0"/>
    <w:rsid w:val="00B4519B"/>
    <w:rsid w:val="00B453FB"/>
    <w:rsid w:val="00B457A7"/>
    <w:rsid w:val="00B47EE2"/>
    <w:rsid w:val="00B50CB2"/>
    <w:rsid w:val="00B51431"/>
    <w:rsid w:val="00B552B4"/>
    <w:rsid w:val="00B56405"/>
    <w:rsid w:val="00B575A1"/>
    <w:rsid w:val="00B60F93"/>
    <w:rsid w:val="00B613B7"/>
    <w:rsid w:val="00B635F3"/>
    <w:rsid w:val="00B6369B"/>
    <w:rsid w:val="00B64127"/>
    <w:rsid w:val="00B65824"/>
    <w:rsid w:val="00B670E3"/>
    <w:rsid w:val="00B67CCA"/>
    <w:rsid w:val="00B70A2F"/>
    <w:rsid w:val="00B7240D"/>
    <w:rsid w:val="00B74D6F"/>
    <w:rsid w:val="00B7535E"/>
    <w:rsid w:val="00B76BF7"/>
    <w:rsid w:val="00B81808"/>
    <w:rsid w:val="00B8350B"/>
    <w:rsid w:val="00B85B50"/>
    <w:rsid w:val="00B8622C"/>
    <w:rsid w:val="00B86B50"/>
    <w:rsid w:val="00B86DFA"/>
    <w:rsid w:val="00B91229"/>
    <w:rsid w:val="00B93246"/>
    <w:rsid w:val="00B9349B"/>
    <w:rsid w:val="00B936D0"/>
    <w:rsid w:val="00B943DC"/>
    <w:rsid w:val="00B94DB3"/>
    <w:rsid w:val="00B965B9"/>
    <w:rsid w:val="00B96F2F"/>
    <w:rsid w:val="00BA03AF"/>
    <w:rsid w:val="00BA13D5"/>
    <w:rsid w:val="00BA2984"/>
    <w:rsid w:val="00BA3791"/>
    <w:rsid w:val="00BA4E79"/>
    <w:rsid w:val="00BA6819"/>
    <w:rsid w:val="00BA6A15"/>
    <w:rsid w:val="00BB1537"/>
    <w:rsid w:val="00BB15FB"/>
    <w:rsid w:val="00BB1951"/>
    <w:rsid w:val="00BB4D9D"/>
    <w:rsid w:val="00BB5501"/>
    <w:rsid w:val="00BB5AD3"/>
    <w:rsid w:val="00BC0B62"/>
    <w:rsid w:val="00BC185A"/>
    <w:rsid w:val="00BC195F"/>
    <w:rsid w:val="00BC1975"/>
    <w:rsid w:val="00BC3F47"/>
    <w:rsid w:val="00BC5EBA"/>
    <w:rsid w:val="00BC60BF"/>
    <w:rsid w:val="00BD06B3"/>
    <w:rsid w:val="00BD1A7D"/>
    <w:rsid w:val="00BD298B"/>
    <w:rsid w:val="00BD2A16"/>
    <w:rsid w:val="00BD3D5B"/>
    <w:rsid w:val="00BD40A0"/>
    <w:rsid w:val="00BD4758"/>
    <w:rsid w:val="00BD4843"/>
    <w:rsid w:val="00BD4E6E"/>
    <w:rsid w:val="00BD5354"/>
    <w:rsid w:val="00BD584E"/>
    <w:rsid w:val="00BD6C64"/>
    <w:rsid w:val="00BD71B1"/>
    <w:rsid w:val="00BD7C7C"/>
    <w:rsid w:val="00BE1EC0"/>
    <w:rsid w:val="00BE3600"/>
    <w:rsid w:val="00BE4775"/>
    <w:rsid w:val="00BE49E6"/>
    <w:rsid w:val="00BE5830"/>
    <w:rsid w:val="00BF015C"/>
    <w:rsid w:val="00BF03B7"/>
    <w:rsid w:val="00BF0509"/>
    <w:rsid w:val="00BF0EF3"/>
    <w:rsid w:val="00BF2F1D"/>
    <w:rsid w:val="00BF4527"/>
    <w:rsid w:val="00BF4F5E"/>
    <w:rsid w:val="00BF4FC7"/>
    <w:rsid w:val="00BF5ED5"/>
    <w:rsid w:val="00BF62DE"/>
    <w:rsid w:val="00BF6F29"/>
    <w:rsid w:val="00C00420"/>
    <w:rsid w:val="00C01439"/>
    <w:rsid w:val="00C01D84"/>
    <w:rsid w:val="00C01EBE"/>
    <w:rsid w:val="00C01F6F"/>
    <w:rsid w:val="00C0281C"/>
    <w:rsid w:val="00C02A14"/>
    <w:rsid w:val="00C041EA"/>
    <w:rsid w:val="00C1032A"/>
    <w:rsid w:val="00C12119"/>
    <w:rsid w:val="00C12739"/>
    <w:rsid w:val="00C12E23"/>
    <w:rsid w:val="00C13578"/>
    <w:rsid w:val="00C138D0"/>
    <w:rsid w:val="00C13BBD"/>
    <w:rsid w:val="00C140F2"/>
    <w:rsid w:val="00C142E7"/>
    <w:rsid w:val="00C14431"/>
    <w:rsid w:val="00C149AB"/>
    <w:rsid w:val="00C151CB"/>
    <w:rsid w:val="00C15692"/>
    <w:rsid w:val="00C15B4F"/>
    <w:rsid w:val="00C1659E"/>
    <w:rsid w:val="00C16929"/>
    <w:rsid w:val="00C16F16"/>
    <w:rsid w:val="00C1711C"/>
    <w:rsid w:val="00C20690"/>
    <w:rsid w:val="00C2162C"/>
    <w:rsid w:val="00C219AC"/>
    <w:rsid w:val="00C21F60"/>
    <w:rsid w:val="00C26580"/>
    <w:rsid w:val="00C31A61"/>
    <w:rsid w:val="00C31EB6"/>
    <w:rsid w:val="00C34634"/>
    <w:rsid w:val="00C3542E"/>
    <w:rsid w:val="00C35A22"/>
    <w:rsid w:val="00C35E2C"/>
    <w:rsid w:val="00C36020"/>
    <w:rsid w:val="00C4016D"/>
    <w:rsid w:val="00C40694"/>
    <w:rsid w:val="00C40B74"/>
    <w:rsid w:val="00C413F1"/>
    <w:rsid w:val="00C419E6"/>
    <w:rsid w:val="00C42143"/>
    <w:rsid w:val="00C424A9"/>
    <w:rsid w:val="00C44496"/>
    <w:rsid w:val="00C46A54"/>
    <w:rsid w:val="00C46D49"/>
    <w:rsid w:val="00C47557"/>
    <w:rsid w:val="00C479BF"/>
    <w:rsid w:val="00C50768"/>
    <w:rsid w:val="00C5124B"/>
    <w:rsid w:val="00C51C21"/>
    <w:rsid w:val="00C60C27"/>
    <w:rsid w:val="00C61479"/>
    <w:rsid w:val="00C61592"/>
    <w:rsid w:val="00C67AD1"/>
    <w:rsid w:val="00C70034"/>
    <w:rsid w:val="00C70542"/>
    <w:rsid w:val="00C70980"/>
    <w:rsid w:val="00C71745"/>
    <w:rsid w:val="00C73D95"/>
    <w:rsid w:val="00C74585"/>
    <w:rsid w:val="00C75CBF"/>
    <w:rsid w:val="00C76BF5"/>
    <w:rsid w:val="00C814F4"/>
    <w:rsid w:val="00C8311A"/>
    <w:rsid w:val="00C84510"/>
    <w:rsid w:val="00C848D0"/>
    <w:rsid w:val="00C853E5"/>
    <w:rsid w:val="00C873E4"/>
    <w:rsid w:val="00C87807"/>
    <w:rsid w:val="00C90298"/>
    <w:rsid w:val="00C905D9"/>
    <w:rsid w:val="00C90AC6"/>
    <w:rsid w:val="00C91CDE"/>
    <w:rsid w:val="00C93CA3"/>
    <w:rsid w:val="00C93DAA"/>
    <w:rsid w:val="00C93ED5"/>
    <w:rsid w:val="00C94A33"/>
    <w:rsid w:val="00C97399"/>
    <w:rsid w:val="00C97B86"/>
    <w:rsid w:val="00CA0154"/>
    <w:rsid w:val="00CA0D29"/>
    <w:rsid w:val="00CA1694"/>
    <w:rsid w:val="00CA1D8E"/>
    <w:rsid w:val="00CA1DA4"/>
    <w:rsid w:val="00CA3206"/>
    <w:rsid w:val="00CA38F8"/>
    <w:rsid w:val="00CA673F"/>
    <w:rsid w:val="00CB028D"/>
    <w:rsid w:val="00CB0AE0"/>
    <w:rsid w:val="00CB25ED"/>
    <w:rsid w:val="00CB2AE7"/>
    <w:rsid w:val="00CB2B94"/>
    <w:rsid w:val="00CB3136"/>
    <w:rsid w:val="00CB5BFA"/>
    <w:rsid w:val="00CB6410"/>
    <w:rsid w:val="00CB7651"/>
    <w:rsid w:val="00CC2894"/>
    <w:rsid w:val="00CC3489"/>
    <w:rsid w:val="00CC4024"/>
    <w:rsid w:val="00CC4C06"/>
    <w:rsid w:val="00CC53EA"/>
    <w:rsid w:val="00CC710A"/>
    <w:rsid w:val="00CC7C14"/>
    <w:rsid w:val="00CD0363"/>
    <w:rsid w:val="00CD098C"/>
    <w:rsid w:val="00CD10A9"/>
    <w:rsid w:val="00CD2990"/>
    <w:rsid w:val="00CD2BEE"/>
    <w:rsid w:val="00CD37D8"/>
    <w:rsid w:val="00CD3A90"/>
    <w:rsid w:val="00CD4675"/>
    <w:rsid w:val="00CD4730"/>
    <w:rsid w:val="00CD5B43"/>
    <w:rsid w:val="00CD76DB"/>
    <w:rsid w:val="00CD77C3"/>
    <w:rsid w:val="00CE052B"/>
    <w:rsid w:val="00CE112C"/>
    <w:rsid w:val="00CE1317"/>
    <w:rsid w:val="00CE32AA"/>
    <w:rsid w:val="00CE4395"/>
    <w:rsid w:val="00CE454B"/>
    <w:rsid w:val="00CE4A07"/>
    <w:rsid w:val="00CE56DA"/>
    <w:rsid w:val="00CE62AF"/>
    <w:rsid w:val="00CE6B9F"/>
    <w:rsid w:val="00CE7489"/>
    <w:rsid w:val="00CE76B9"/>
    <w:rsid w:val="00CF0C32"/>
    <w:rsid w:val="00CF3DE9"/>
    <w:rsid w:val="00CF55D4"/>
    <w:rsid w:val="00D00B0D"/>
    <w:rsid w:val="00D05F0F"/>
    <w:rsid w:val="00D122A5"/>
    <w:rsid w:val="00D14F68"/>
    <w:rsid w:val="00D15E6D"/>
    <w:rsid w:val="00D16227"/>
    <w:rsid w:val="00D17C4A"/>
    <w:rsid w:val="00D2062B"/>
    <w:rsid w:val="00D21B1E"/>
    <w:rsid w:val="00D245AC"/>
    <w:rsid w:val="00D24916"/>
    <w:rsid w:val="00D259E3"/>
    <w:rsid w:val="00D25E37"/>
    <w:rsid w:val="00D40350"/>
    <w:rsid w:val="00D43184"/>
    <w:rsid w:val="00D435AC"/>
    <w:rsid w:val="00D4437D"/>
    <w:rsid w:val="00D5000B"/>
    <w:rsid w:val="00D503D1"/>
    <w:rsid w:val="00D50BF8"/>
    <w:rsid w:val="00D50D02"/>
    <w:rsid w:val="00D5365B"/>
    <w:rsid w:val="00D53E66"/>
    <w:rsid w:val="00D5566F"/>
    <w:rsid w:val="00D57FF5"/>
    <w:rsid w:val="00D608DA"/>
    <w:rsid w:val="00D61CEA"/>
    <w:rsid w:val="00D62924"/>
    <w:rsid w:val="00D629D0"/>
    <w:rsid w:val="00D62DB5"/>
    <w:rsid w:val="00D63942"/>
    <w:rsid w:val="00D7049B"/>
    <w:rsid w:val="00D70CCA"/>
    <w:rsid w:val="00D725DA"/>
    <w:rsid w:val="00D730BF"/>
    <w:rsid w:val="00D734A5"/>
    <w:rsid w:val="00D73D9D"/>
    <w:rsid w:val="00D753B2"/>
    <w:rsid w:val="00D76877"/>
    <w:rsid w:val="00D77FA8"/>
    <w:rsid w:val="00D80204"/>
    <w:rsid w:val="00D802AD"/>
    <w:rsid w:val="00D80E2E"/>
    <w:rsid w:val="00D81AD3"/>
    <w:rsid w:val="00D83320"/>
    <w:rsid w:val="00D851E4"/>
    <w:rsid w:val="00D852F4"/>
    <w:rsid w:val="00D856DE"/>
    <w:rsid w:val="00D86253"/>
    <w:rsid w:val="00D869C0"/>
    <w:rsid w:val="00D87B1A"/>
    <w:rsid w:val="00D907AC"/>
    <w:rsid w:val="00D94DB7"/>
    <w:rsid w:val="00D97448"/>
    <w:rsid w:val="00DA0554"/>
    <w:rsid w:val="00DA1673"/>
    <w:rsid w:val="00DA1B07"/>
    <w:rsid w:val="00DA1DF8"/>
    <w:rsid w:val="00DA2595"/>
    <w:rsid w:val="00DA3470"/>
    <w:rsid w:val="00DA37CE"/>
    <w:rsid w:val="00DA57CD"/>
    <w:rsid w:val="00DA5B64"/>
    <w:rsid w:val="00DB014E"/>
    <w:rsid w:val="00DB0BA2"/>
    <w:rsid w:val="00DB1110"/>
    <w:rsid w:val="00DB2A6F"/>
    <w:rsid w:val="00DB3387"/>
    <w:rsid w:val="00DB3730"/>
    <w:rsid w:val="00DB3950"/>
    <w:rsid w:val="00DB4092"/>
    <w:rsid w:val="00DB496A"/>
    <w:rsid w:val="00DB5913"/>
    <w:rsid w:val="00DC09F6"/>
    <w:rsid w:val="00DC0F88"/>
    <w:rsid w:val="00DC16D5"/>
    <w:rsid w:val="00DC184B"/>
    <w:rsid w:val="00DC21C4"/>
    <w:rsid w:val="00DC2AB9"/>
    <w:rsid w:val="00DC371B"/>
    <w:rsid w:val="00DC3788"/>
    <w:rsid w:val="00DC6038"/>
    <w:rsid w:val="00DC6CF1"/>
    <w:rsid w:val="00DC76C7"/>
    <w:rsid w:val="00DD018A"/>
    <w:rsid w:val="00DD09F5"/>
    <w:rsid w:val="00DD0E02"/>
    <w:rsid w:val="00DD29F1"/>
    <w:rsid w:val="00DD3F0C"/>
    <w:rsid w:val="00DD4201"/>
    <w:rsid w:val="00DD493B"/>
    <w:rsid w:val="00DD5E9F"/>
    <w:rsid w:val="00DD6305"/>
    <w:rsid w:val="00DD7094"/>
    <w:rsid w:val="00DD73DC"/>
    <w:rsid w:val="00DD7814"/>
    <w:rsid w:val="00DD7F0A"/>
    <w:rsid w:val="00DE0500"/>
    <w:rsid w:val="00DE1B6D"/>
    <w:rsid w:val="00DE2AFB"/>
    <w:rsid w:val="00DE2B98"/>
    <w:rsid w:val="00DE3881"/>
    <w:rsid w:val="00DE5711"/>
    <w:rsid w:val="00DE576D"/>
    <w:rsid w:val="00DF12BA"/>
    <w:rsid w:val="00DF1579"/>
    <w:rsid w:val="00DF56C4"/>
    <w:rsid w:val="00DF5EA3"/>
    <w:rsid w:val="00DF6441"/>
    <w:rsid w:val="00DF6A46"/>
    <w:rsid w:val="00DF6E93"/>
    <w:rsid w:val="00DF71D7"/>
    <w:rsid w:val="00E0086A"/>
    <w:rsid w:val="00E00EA0"/>
    <w:rsid w:val="00E01511"/>
    <w:rsid w:val="00E02110"/>
    <w:rsid w:val="00E02183"/>
    <w:rsid w:val="00E021CB"/>
    <w:rsid w:val="00E03F04"/>
    <w:rsid w:val="00E11A18"/>
    <w:rsid w:val="00E138F1"/>
    <w:rsid w:val="00E157A7"/>
    <w:rsid w:val="00E17F52"/>
    <w:rsid w:val="00E21888"/>
    <w:rsid w:val="00E21D6E"/>
    <w:rsid w:val="00E227C9"/>
    <w:rsid w:val="00E2309D"/>
    <w:rsid w:val="00E23997"/>
    <w:rsid w:val="00E24E74"/>
    <w:rsid w:val="00E26758"/>
    <w:rsid w:val="00E3023E"/>
    <w:rsid w:val="00E310C2"/>
    <w:rsid w:val="00E3398A"/>
    <w:rsid w:val="00E34258"/>
    <w:rsid w:val="00E353E1"/>
    <w:rsid w:val="00E36366"/>
    <w:rsid w:val="00E363B5"/>
    <w:rsid w:val="00E369EA"/>
    <w:rsid w:val="00E4357B"/>
    <w:rsid w:val="00E43922"/>
    <w:rsid w:val="00E44044"/>
    <w:rsid w:val="00E44098"/>
    <w:rsid w:val="00E443A7"/>
    <w:rsid w:val="00E44A5E"/>
    <w:rsid w:val="00E45777"/>
    <w:rsid w:val="00E45904"/>
    <w:rsid w:val="00E46ABD"/>
    <w:rsid w:val="00E535D0"/>
    <w:rsid w:val="00E53807"/>
    <w:rsid w:val="00E54D30"/>
    <w:rsid w:val="00E5615F"/>
    <w:rsid w:val="00E56210"/>
    <w:rsid w:val="00E5696B"/>
    <w:rsid w:val="00E57361"/>
    <w:rsid w:val="00E57EFC"/>
    <w:rsid w:val="00E621CC"/>
    <w:rsid w:val="00E627BB"/>
    <w:rsid w:val="00E63DE5"/>
    <w:rsid w:val="00E63F4D"/>
    <w:rsid w:val="00E647AF"/>
    <w:rsid w:val="00E647C7"/>
    <w:rsid w:val="00E65264"/>
    <w:rsid w:val="00E65A37"/>
    <w:rsid w:val="00E65EF7"/>
    <w:rsid w:val="00E666FE"/>
    <w:rsid w:val="00E66C31"/>
    <w:rsid w:val="00E66CBA"/>
    <w:rsid w:val="00E67EDE"/>
    <w:rsid w:val="00E7003B"/>
    <w:rsid w:val="00E72408"/>
    <w:rsid w:val="00E7413A"/>
    <w:rsid w:val="00E755EC"/>
    <w:rsid w:val="00E7683D"/>
    <w:rsid w:val="00E76A39"/>
    <w:rsid w:val="00E77B48"/>
    <w:rsid w:val="00E80A07"/>
    <w:rsid w:val="00E81771"/>
    <w:rsid w:val="00E8369F"/>
    <w:rsid w:val="00E84651"/>
    <w:rsid w:val="00E846AB"/>
    <w:rsid w:val="00E8574B"/>
    <w:rsid w:val="00E857FB"/>
    <w:rsid w:val="00E85CEB"/>
    <w:rsid w:val="00E8709A"/>
    <w:rsid w:val="00E87F38"/>
    <w:rsid w:val="00E914A5"/>
    <w:rsid w:val="00E91799"/>
    <w:rsid w:val="00E93730"/>
    <w:rsid w:val="00E93C78"/>
    <w:rsid w:val="00E978CF"/>
    <w:rsid w:val="00E97DF8"/>
    <w:rsid w:val="00EA21FE"/>
    <w:rsid w:val="00EA2248"/>
    <w:rsid w:val="00EA2513"/>
    <w:rsid w:val="00EA2F37"/>
    <w:rsid w:val="00EA34D3"/>
    <w:rsid w:val="00EA34E3"/>
    <w:rsid w:val="00EA3ACA"/>
    <w:rsid w:val="00EA4115"/>
    <w:rsid w:val="00EA51B6"/>
    <w:rsid w:val="00EA52BC"/>
    <w:rsid w:val="00EA5980"/>
    <w:rsid w:val="00EA6A51"/>
    <w:rsid w:val="00EA7AF2"/>
    <w:rsid w:val="00EB0915"/>
    <w:rsid w:val="00EB0EDB"/>
    <w:rsid w:val="00EB1096"/>
    <w:rsid w:val="00EB1A2D"/>
    <w:rsid w:val="00EB240A"/>
    <w:rsid w:val="00EB3527"/>
    <w:rsid w:val="00EB6BB7"/>
    <w:rsid w:val="00EB6D64"/>
    <w:rsid w:val="00EB72DE"/>
    <w:rsid w:val="00EB7538"/>
    <w:rsid w:val="00EC1868"/>
    <w:rsid w:val="00EC3478"/>
    <w:rsid w:val="00EC3C00"/>
    <w:rsid w:val="00EC41D9"/>
    <w:rsid w:val="00EC4CFD"/>
    <w:rsid w:val="00EC5CEC"/>
    <w:rsid w:val="00EC7880"/>
    <w:rsid w:val="00EC7D6B"/>
    <w:rsid w:val="00ED011D"/>
    <w:rsid w:val="00ED0529"/>
    <w:rsid w:val="00ED50CE"/>
    <w:rsid w:val="00ED6A31"/>
    <w:rsid w:val="00ED70A0"/>
    <w:rsid w:val="00ED7234"/>
    <w:rsid w:val="00ED7E9D"/>
    <w:rsid w:val="00EE1D0D"/>
    <w:rsid w:val="00EE23C3"/>
    <w:rsid w:val="00EE2EB3"/>
    <w:rsid w:val="00EE3A7B"/>
    <w:rsid w:val="00EE6468"/>
    <w:rsid w:val="00EE7FC1"/>
    <w:rsid w:val="00EF04B3"/>
    <w:rsid w:val="00EF185E"/>
    <w:rsid w:val="00EF19E4"/>
    <w:rsid w:val="00EF386C"/>
    <w:rsid w:val="00EF4EFF"/>
    <w:rsid w:val="00EF6F37"/>
    <w:rsid w:val="00F00435"/>
    <w:rsid w:val="00F0157F"/>
    <w:rsid w:val="00F0161C"/>
    <w:rsid w:val="00F020C9"/>
    <w:rsid w:val="00F03483"/>
    <w:rsid w:val="00F03633"/>
    <w:rsid w:val="00F03815"/>
    <w:rsid w:val="00F04763"/>
    <w:rsid w:val="00F04F73"/>
    <w:rsid w:val="00F060D0"/>
    <w:rsid w:val="00F0677D"/>
    <w:rsid w:val="00F06A32"/>
    <w:rsid w:val="00F07D2E"/>
    <w:rsid w:val="00F07EB3"/>
    <w:rsid w:val="00F10FFC"/>
    <w:rsid w:val="00F126CB"/>
    <w:rsid w:val="00F1299B"/>
    <w:rsid w:val="00F13532"/>
    <w:rsid w:val="00F14D4F"/>
    <w:rsid w:val="00F14EF4"/>
    <w:rsid w:val="00F20505"/>
    <w:rsid w:val="00F207A4"/>
    <w:rsid w:val="00F212BC"/>
    <w:rsid w:val="00F21392"/>
    <w:rsid w:val="00F25173"/>
    <w:rsid w:val="00F251CE"/>
    <w:rsid w:val="00F2527E"/>
    <w:rsid w:val="00F27028"/>
    <w:rsid w:val="00F27694"/>
    <w:rsid w:val="00F27FC5"/>
    <w:rsid w:val="00F325E9"/>
    <w:rsid w:val="00F3411B"/>
    <w:rsid w:val="00F355AC"/>
    <w:rsid w:val="00F36919"/>
    <w:rsid w:val="00F36C7A"/>
    <w:rsid w:val="00F40B45"/>
    <w:rsid w:val="00F40BBB"/>
    <w:rsid w:val="00F40CF7"/>
    <w:rsid w:val="00F40F0C"/>
    <w:rsid w:val="00F42766"/>
    <w:rsid w:val="00F4335E"/>
    <w:rsid w:val="00F44194"/>
    <w:rsid w:val="00F441CB"/>
    <w:rsid w:val="00F46DE6"/>
    <w:rsid w:val="00F51A37"/>
    <w:rsid w:val="00F5233B"/>
    <w:rsid w:val="00F526B0"/>
    <w:rsid w:val="00F528C2"/>
    <w:rsid w:val="00F548A8"/>
    <w:rsid w:val="00F56119"/>
    <w:rsid w:val="00F61340"/>
    <w:rsid w:val="00F6185A"/>
    <w:rsid w:val="00F64E37"/>
    <w:rsid w:val="00F65776"/>
    <w:rsid w:val="00F714BC"/>
    <w:rsid w:val="00F71A5A"/>
    <w:rsid w:val="00F72468"/>
    <w:rsid w:val="00F73A1A"/>
    <w:rsid w:val="00F769E0"/>
    <w:rsid w:val="00F8078B"/>
    <w:rsid w:val="00F8241A"/>
    <w:rsid w:val="00F83800"/>
    <w:rsid w:val="00F83EA7"/>
    <w:rsid w:val="00F84451"/>
    <w:rsid w:val="00F85C60"/>
    <w:rsid w:val="00F87774"/>
    <w:rsid w:val="00F90DC1"/>
    <w:rsid w:val="00F90E45"/>
    <w:rsid w:val="00F92514"/>
    <w:rsid w:val="00F927E6"/>
    <w:rsid w:val="00F9348D"/>
    <w:rsid w:val="00F945AF"/>
    <w:rsid w:val="00F946DF"/>
    <w:rsid w:val="00F953B8"/>
    <w:rsid w:val="00F973CB"/>
    <w:rsid w:val="00FA3870"/>
    <w:rsid w:val="00FA4A46"/>
    <w:rsid w:val="00FA52C2"/>
    <w:rsid w:val="00FA53B8"/>
    <w:rsid w:val="00FA75FE"/>
    <w:rsid w:val="00FA7849"/>
    <w:rsid w:val="00FA7DB8"/>
    <w:rsid w:val="00FB07F4"/>
    <w:rsid w:val="00FB1032"/>
    <w:rsid w:val="00FB1FCB"/>
    <w:rsid w:val="00FB291E"/>
    <w:rsid w:val="00FB39BC"/>
    <w:rsid w:val="00FB4357"/>
    <w:rsid w:val="00FB4C28"/>
    <w:rsid w:val="00FB50FB"/>
    <w:rsid w:val="00FB62F9"/>
    <w:rsid w:val="00FB6506"/>
    <w:rsid w:val="00FB6A53"/>
    <w:rsid w:val="00FC0031"/>
    <w:rsid w:val="00FC11CA"/>
    <w:rsid w:val="00FC1CE7"/>
    <w:rsid w:val="00FC3122"/>
    <w:rsid w:val="00FC3F88"/>
    <w:rsid w:val="00FC4049"/>
    <w:rsid w:val="00FC4063"/>
    <w:rsid w:val="00FC422A"/>
    <w:rsid w:val="00FC596D"/>
    <w:rsid w:val="00FC6351"/>
    <w:rsid w:val="00FC6BDE"/>
    <w:rsid w:val="00FD017F"/>
    <w:rsid w:val="00FD5079"/>
    <w:rsid w:val="00FD66C1"/>
    <w:rsid w:val="00FE00B9"/>
    <w:rsid w:val="00FE0113"/>
    <w:rsid w:val="00FE01C0"/>
    <w:rsid w:val="00FE15BF"/>
    <w:rsid w:val="00FE1C8E"/>
    <w:rsid w:val="00FE3245"/>
    <w:rsid w:val="00FE35A6"/>
    <w:rsid w:val="00FE4164"/>
    <w:rsid w:val="00FE5793"/>
    <w:rsid w:val="00FE57DC"/>
    <w:rsid w:val="00FE6F0E"/>
    <w:rsid w:val="00FE7381"/>
    <w:rsid w:val="00FE76D9"/>
    <w:rsid w:val="00FF13FE"/>
    <w:rsid w:val="00FF161B"/>
    <w:rsid w:val="00FF1F94"/>
    <w:rsid w:val="00FF32AE"/>
    <w:rsid w:val="00FF4FC1"/>
    <w:rsid w:val="00FF6138"/>
    <w:rsid w:val="00FF7F97"/>
    <w:rsid w:val="021229FC"/>
    <w:rsid w:val="03BC4E10"/>
    <w:rsid w:val="06AB68CC"/>
    <w:rsid w:val="086D0965"/>
    <w:rsid w:val="087C08E3"/>
    <w:rsid w:val="08B4C1F6"/>
    <w:rsid w:val="08BC7CAB"/>
    <w:rsid w:val="0A19AF11"/>
    <w:rsid w:val="0B895218"/>
    <w:rsid w:val="1018F55D"/>
    <w:rsid w:val="140345EC"/>
    <w:rsid w:val="153EA6CF"/>
    <w:rsid w:val="17D1FF44"/>
    <w:rsid w:val="17D6F0F7"/>
    <w:rsid w:val="186A04D2"/>
    <w:rsid w:val="26B45517"/>
    <w:rsid w:val="2C06D7FD"/>
    <w:rsid w:val="39942709"/>
    <w:rsid w:val="3C5E9484"/>
    <w:rsid w:val="49899A92"/>
    <w:rsid w:val="498EF84C"/>
    <w:rsid w:val="4C66DBA9"/>
    <w:rsid w:val="4D014090"/>
    <w:rsid w:val="4F58EE04"/>
    <w:rsid w:val="5078E430"/>
    <w:rsid w:val="5177BBD7"/>
    <w:rsid w:val="54559E03"/>
    <w:rsid w:val="587059A0"/>
    <w:rsid w:val="68E666DC"/>
    <w:rsid w:val="69EDCD08"/>
    <w:rsid w:val="6CC6DF55"/>
    <w:rsid w:val="7454E815"/>
    <w:rsid w:val="75581F77"/>
    <w:rsid w:val="755C8B3D"/>
    <w:rsid w:val="77C14E47"/>
    <w:rsid w:val="7952C2E7"/>
    <w:rsid w:val="7BB91B7C"/>
    <w:rsid w:val="7BC26FA7"/>
    <w:rsid w:val="7BFE126B"/>
    <w:rsid w:val="7C3022A6"/>
    <w:rsid w:val="7C8A63A9"/>
    <w:rsid w:val="7FF35C2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D68C1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CC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paragraph" w:styleId="ListParagraph">
    <w:name w:val="List Paragraph"/>
    <w:basedOn w:val="Normal"/>
    <w:uiPriority w:val="34"/>
    <w:qFormat/>
    <w:rsid w:val="009D6E73"/>
    <w:pPr>
      <w:ind w:left="720"/>
    </w:pPr>
  </w:style>
  <w:style w:type="character" w:styleId="Hyperlink">
    <w:name w:val="Hyperlink"/>
    <w:rsid w:val="0010493E"/>
    <w:rPr>
      <w:color w:val="0563C1"/>
      <w:u w:val="single"/>
    </w:rPr>
  </w:style>
  <w:style w:type="character" w:styleId="UnresolvedMention">
    <w:name w:val="Unresolved Mention"/>
    <w:uiPriority w:val="99"/>
    <w:unhideWhenUsed/>
    <w:rsid w:val="0010493E"/>
    <w:rPr>
      <w:color w:val="605E5C"/>
      <w:shd w:val="clear" w:color="auto" w:fill="E1DFDD"/>
    </w:rPr>
  </w:style>
  <w:style w:type="character" w:styleId="FollowedHyperlink">
    <w:name w:val="FollowedHyperlink"/>
    <w:rsid w:val="00A506DE"/>
    <w:rPr>
      <w:color w:val="954F72"/>
      <w:u w:val="single"/>
    </w:rPr>
  </w:style>
  <w:style w:type="paragraph" w:customStyle="1" w:styleId="Default">
    <w:name w:val="Default"/>
    <w:rsid w:val="00A506DE"/>
    <w:pPr>
      <w:autoSpaceDE w:val="0"/>
      <w:autoSpaceDN w:val="0"/>
      <w:adjustRightInd w:val="0"/>
    </w:pPr>
    <w:rPr>
      <w:color w:val="000000"/>
      <w:sz w:val="24"/>
      <w:szCs w:val="24"/>
      <w:lang w:eastAsia="en-US"/>
    </w:rPr>
  </w:style>
  <w:style w:type="paragraph" w:styleId="Header">
    <w:name w:val="header"/>
    <w:basedOn w:val="Normal"/>
    <w:link w:val="HeaderChar"/>
    <w:uiPriority w:val="99"/>
    <w:rsid w:val="003C0FE2"/>
    <w:pPr>
      <w:tabs>
        <w:tab w:val="center" w:pos="4680"/>
        <w:tab w:val="right" w:pos="9360"/>
      </w:tabs>
    </w:pPr>
  </w:style>
  <w:style w:type="character" w:customStyle="1" w:styleId="HeaderChar">
    <w:name w:val="Header Char"/>
    <w:link w:val="Header"/>
    <w:uiPriority w:val="99"/>
    <w:rsid w:val="003C0FE2"/>
    <w:rPr>
      <w:sz w:val="24"/>
      <w:szCs w:val="24"/>
    </w:rPr>
  </w:style>
  <w:style w:type="character" w:styleId="CommentReference">
    <w:name w:val="annotation reference"/>
    <w:rsid w:val="00EB3527"/>
    <w:rPr>
      <w:sz w:val="16"/>
      <w:szCs w:val="16"/>
    </w:rPr>
  </w:style>
  <w:style w:type="paragraph" w:styleId="CommentText">
    <w:name w:val="annotation text"/>
    <w:basedOn w:val="Normal"/>
    <w:link w:val="CommentTextChar"/>
    <w:rsid w:val="00EB3527"/>
    <w:pPr>
      <w:widowControl w:val="0"/>
    </w:pPr>
    <w:rPr>
      <w:snapToGrid w:val="0"/>
      <w:sz w:val="20"/>
      <w:szCs w:val="20"/>
    </w:rPr>
  </w:style>
  <w:style w:type="character" w:customStyle="1" w:styleId="CommentTextChar">
    <w:name w:val="Comment Text Char"/>
    <w:basedOn w:val="DefaultParagraphFont"/>
    <w:link w:val="CommentText"/>
    <w:rsid w:val="00EB3527"/>
    <w:rPr>
      <w:snapToGrid w:val="0"/>
      <w:lang w:eastAsia="en-US"/>
    </w:rPr>
  </w:style>
  <w:style w:type="paragraph" w:styleId="CommentSubject">
    <w:name w:val="annotation subject"/>
    <w:basedOn w:val="CommentText"/>
    <w:next w:val="CommentText"/>
    <w:link w:val="CommentSubjectChar"/>
    <w:rsid w:val="00561872"/>
    <w:pPr>
      <w:widowControl/>
    </w:pPr>
    <w:rPr>
      <w:b/>
      <w:bCs/>
      <w:snapToGrid/>
    </w:rPr>
  </w:style>
  <w:style w:type="character" w:customStyle="1" w:styleId="CommentSubjectChar">
    <w:name w:val="Comment Subject Char"/>
    <w:basedOn w:val="CommentTextChar"/>
    <w:link w:val="CommentSubject"/>
    <w:rsid w:val="00561872"/>
    <w:rPr>
      <w:b/>
      <w:bCs/>
      <w:snapToGrid/>
      <w:lang w:eastAsia="en-US"/>
    </w:rPr>
  </w:style>
  <w:style w:type="paragraph" w:styleId="FootnoteText">
    <w:name w:val="footnote text"/>
    <w:basedOn w:val="Normal"/>
    <w:link w:val="FootnoteTextChar"/>
    <w:rsid w:val="009B29B0"/>
    <w:rPr>
      <w:sz w:val="20"/>
      <w:szCs w:val="20"/>
    </w:rPr>
  </w:style>
  <w:style w:type="character" w:customStyle="1" w:styleId="FootnoteTextChar">
    <w:name w:val="Footnote Text Char"/>
    <w:basedOn w:val="DefaultParagraphFont"/>
    <w:link w:val="FootnoteText"/>
    <w:rsid w:val="009B29B0"/>
    <w:rPr>
      <w:lang w:eastAsia="en-US"/>
    </w:rPr>
  </w:style>
  <w:style w:type="character" w:styleId="FootnoteReference">
    <w:name w:val="footnote reference"/>
    <w:basedOn w:val="DefaultParagraphFont"/>
    <w:uiPriority w:val="99"/>
    <w:rsid w:val="009B29B0"/>
    <w:rPr>
      <w:vertAlign w:val="superscript"/>
    </w:rPr>
  </w:style>
  <w:style w:type="character" w:customStyle="1" w:styleId="superscript">
    <w:name w:val="superscript"/>
    <w:basedOn w:val="DefaultParagraphFont"/>
    <w:rsid w:val="009B29B0"/>
  </w:style>
  <w:style w:type="character" w:customStyle="1" w:styleId="normaltextrun">
    <w:name w:val="normaltextrun"/>
    <w:basedOn w:val="DefaultParagraphFont"/>
    <w:rsid w:val="009B29B0"/>
  </w:style>
  <w:style w:type="character" w:customStyle="1" w:styleId="eop">
    <w:name w:val="eop"/>
    <w:basedOn w:val="DefaultParagraphFont"/>
    <w:rsid w:val="009B29B0"/>
  </w:style>
  <w:style w:type="table" w:customStyle="1" w:styleId="TableGrid1">
    <w:name w:val="Table Grid1"/>
    <w:basedOn w:val="TableNormal"/>
    <w:next w:val="TableGrid"/>
    <w:uiPriority w:val="59"/>
    <w:rsid w:val="003952EF"/>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6DE2"/>
    <w:rPr>
      <w:sz w:val="24"/>
      <w:szCs w:val="24"/>
      <w:lang w:eastAsia="en-US"/>
    </w:rPr>
  </w:style>
  <w:style w:type="character" w:styleId="Mention">
    <w:name w:val="Mention"/>
    <w:basedOn w:val="DefaultParagraphFont"/>
    <w:uiPriority w:val="99"/>
    <w:unhideWhenUsed/>
    <w:rsid w:val="00E621C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naics4_325400.ht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100A6-E0D9-4C2B-BE4A-8AD25379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1805</Words>
  <Characters>10292</Characters>
  <Application>Microsoft Office Word</Application>
  <DocSecurity>0</DocSecurity>
  <Lines>85</Lines>
  <Paragraphs>24</Paragraphs>
  <ScaleCrop>false</ScaleCrop>
  <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2023-11-16T13:47:00Z</dcterms:created>
  <dcterms:modified xsi:type="dcterms:W3CDTF">2023-11-16T13:47:00Z</dcterms:modified>
</cp:coreProperties>
</file>