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296F57" w:rsidP="00C6464D" w14:paraId="79FFC9CB" w14:textId="3E1779B2">
      <w:pPr>
        <w:jc w:val="center"/>
      </w:pPr>
      <w:r>
        <w:t>Prescription Drug Advertising</w:t>
      </w:r>
      <w:r w:rsidR="00AB4A9E">
        <w:t xml:space="preserve"> &amp; Product Communications</w:t>
      </w:r>
      <w:r>
        <w:t xml:space="preserve"> – 21 CFR 20</w:t>
      </w:r>
      <w:r w:rsidR="00AB4A9E">
        <w:t>2</w:t>
      </w:r>
    </w:p>
    <w:p w:rsidR="00296F57" w:rsidP="00C6464D" w14:paraId="006A068C" w14:textId="77777777">
      <w:pPr>
        <w:jc w:val="center"/>
      </w:pPr>
    </w:p>
    <w:p w:rsidR="008B30AB" w:rsidRPr="00296F57" w:rsidP="00C6464D" w14:paraId="5E647F94" w14:textId="54F4C591">
      <w:pPr>
        <w:jc w:val="center"/>
        <w:rPr>
          <w:u w:val="single"/>
        </w:rPr>
      </w:pPr>
      <w:r w:rsidRPr="00296F57">
        <w:rPr>
          <w:u w:val="single"/>
        </w:rPr>
        <w:t>OMB Control No. 0910-0686</w:t>
      </w:r>
      <w:r w:rsidRPr="00296F57" w:rsidR="00A35D42">
        <w:rPr>
          <w:u w:val="single"/>
        </w:rPr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4029F6" w:rsidP="00E926FF" w14:paraId="6F18FBF0" w14:textId="77777777">
      <w:pPr>
        <w:widowControl w:val="0"/>
        <w:rPr>
          <w:snapToGrid w:val="0"/>
        </w:rPr>
      </w:pPr>
    </w:p>
    <w:p w:rsidR="00AE6999" w:rsidP="00704793" w14:paraId="01DFA2F7" w14:textId="26F45849">
      <w:pPr>
        <w:widowControl w:val="0"/>
      </w:pPr>
      <w:r>
        <w:rPr>
          <w:color w:val="000000"/>
        </w:rPr>
        <w:t xml:space="preserve">This information collection supports implementation of statutory and regulatory requirements that govern prescription drug advertisements.  </w:t>
      </w:r>
      <w:r w:rsidR="004029F6">
        <w:t xml:space="preserve">Currently, </w:t>
      </w:r>
      <w:r w:rsidR="00E14457">
        <w:t>the information collection</w:t>
      </w:r>
      <w:r w:rsidR="00092A13">
        <w:t xml:space="preserve"> </w:t>
      </w:r>
      <w:r w:rsidR="008B644E">
        <w:t>account</w:t>
      </w:r>
      <w:r w:rsidR="00092A13">
        <w:t>s</w:t>
      </w:r>
      <w:r w:rsidR="008B644E">
        <w:t xml:space="preserve"> for </w:t>
      </w:r>
      <w:r w:rsidR="006152B1">
        <w:t xml:space="preserve">regulatory requirements as well as recommendations found in </w:t>
      </w:r>
      <w:r w:rsidR="00205EBD">
        <w:t>pertinent</w:t>
      </w:r>
      <w:r w:rsidR="006152B1">
        <w:t xml:space="preserve"> agency guidance.</w:t>
      </w:r>
      <w:r w:rsidR="00205EBD">
        <w:t xml:space="preserve">  </w:t>
      </w:r>
      <w:r w:rsidR="00736472">
        <w:t>For efficiency of operations, w</w:t>
      </w:r>
      <w:r w:rsidR="006152B1">
        <w:t xml:space="preserve">e are requesting to </w:t>
      </w:r>
      <w:r w:rsidR="00736472">
        <w:t>move burd</w:t>
      </w:r>
      <w:r w:rsidR="00FB17E1">
        <w:t xml:space="preserve">en currently discussed and accounted for in OMB control no. 0910-0857 into this collection.  </w:t>
      </w:r>
      <w:r w:rsidR="00AD2C38">
        <w:t>We have modified the title of the collection to better characterize the scope of activity and are s</w:t>
      </w:r>
      <w:r w:rsidR="00FB17E1">
        <w:t>pecifically</w:t>
      </w:r>
      <w:r w:rsidR="00AD2C38">
        <w:t xml:space="preserve"> </w:t>
      </w:r>
      <w:r w:rsidR="00704793">
        <w:t xml:space="preserve">requesting to include </w:t>
      </w:r>
      <w:r w:rsidR="00912064">
        <w:t xml:space="preserve">burden attendant to the guidance document </w:t>
      </w:r>
      <w:r w:rsidR="00704793">
        <w:t>“</w:t>
      </w:r>
      <w:r w:rsidRPr="006F4EF9" w:rsidR="00704793">
        <w:rPr>
          <w:i/>
          <w:iCs/>
        </w:rPr>
        <w:t>Drug and Device Manufacturer Communications With Payors, Formulary Committees,</w:t>
      </w:r>
      <w:r w:rsidRPr="006F4EF9" w:rsidR="00912064">
        <w:rPr>
          <w:i/>
          <w:iCs/>
        </w:rPr>
        <w:t xml:space="preserve"> </w:t>
      </w:r>
      <w:r w:rsidRPr="006F4EF9" w:rsidR="00704793">
        <w:rPr>
          <w:i/>
          <w:iCs/>
        </w:rPr>
        <w:t>and Similar Entities</w:t>
      </w:r>
      <w:r w:rsidRPr="006F4EF9" w:rsidR="00912064">
        <w:rPr>
          <w:i/>
          <w:iCs/>
        </w:rPr>
        <w:t xml:space="preserve"> </w:t>
      </w:r>
      <w:r w:rsidRPr="006F4EF9" w:rsidR="00704793">
        <w:rPr>
          <w:i/>
          <w:iCs/>
        </w:rPr>
        <w:t>Questions and Answers</w:t>
      </w:r>
      <w:r w:rsidR="00912064">
        <w:t>,” (</w:t>
      </w:r>
      <w:r w:rsidRPr="006F4EF9" w:rsidR="00912064">
        <w:rPr>
          <w:b/>
          <w:bCs/>
        </w:rPr>
        <w:t>June 2018</w:t>
      </w:r>
      <w:r w:rsidR="00912064">
        <w:t>)</w:t>
      </w:r>
      <w:r>
        <w:t xml:space="preserve"> as itemized below:</w:t>
      </w:r>
    </w:p>
    <w:p w:rsidR="00AE6999" w:rsidP="00704793" w14:paraId="4E1414B6" w14:textId="77777777">
      <w:pPr>
        <w:widowControl w:val="0"/>
      </w:pPr>
    </w:p>
    <w:tbl>
      <w:tblPr>
        <w:tblW w:w="9398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5"/>
        <w:gridCol w:w="1529"/>
        <w:gridCol w:w="1305"/>
        <w:gridCol w:w="1273"/>
        <w:gridCol w:w="1303"/>
        <w:gridCol w:w="843"/>
      </w:tblGrid>
      <w:tr w14:paraId="129C1D2D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6"/>
        </w:trPr>
        <w:tc>
          <w:tcPr>
            <w:tcW w:w="93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6F28FDC3" w14:textId="77777777">
            <w:pPr>
              <w:overflowPunct w:val="0"/>
              <w:autoSpaceDE w:val="0"/>
              <w:autoSpaceDN w:val="0"/>
              <w:spacing w:line="272" w:lineRule="exact"/>
              <w:ind w:left="25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</w:t>
            </w:r>
            <w:r>
              <w:rPr>
                <w:spacing w:val="-1"/>
                <w:sz w:val="20"/>
                <w:szCs w:val="20"/>
              </w:rPr>
              <w:t>1.--Estimated</w:t>
            </w:r>
            <w:r>
              <w:rPr>
                <w:sz w:val="20"/>
                <w:szCs w:val="20"/>
              </w:rPr>
              <w:t xml:space="preserve"> Annual Third-Party Disclosure Burden</w:t>
            </w:r>
          </w:p>
        </w:tc>
      </w:tr>
      <w:tr w14:paraId="3EEEF59E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1063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0A17FA3A" w14:textId="77777777">
            <w:pPr>
              <w:overflowPunct w:val="0"/>
              <w:autoSpaceDE w:val="0"/>
              <w:autoSpaceDN w:val="0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Collection Activity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54E7435C" w14:textId="77777777">
            <w:pPr>
              <w:overflowPunct w:val="0"/>
              <w:autoSpaceDE w:val="0"/>
              <w:autoSpaceDN w:val="0"/>
              <w:spacing w:before="1" w:line="252" w:lineRule="exact"/>
              <w:ind w:left="106" w:right="104" w:firstLine="2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Respondents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70FF46B" w14:textId="77777777">
            <w:pPr>
              <w:overflowPunct w:val="0"/>
              <w:autoSpaceDE w:val="0"/>
              <w:autoSpaceDN w:val="0"/>
              <w:spacing w:line="228" w:lineRule="auto"/>
              <w:ind w:left="171" w:right="169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Responses per Respondent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A207819" w14:textId="77777777">
            <w:pPr>
              <w:overflowPunct w:val="0"/>
              <w:autoSpaceDE w:val="0"/>
              <w:autoSpaceDN w:val="0"/>
              <w:spacing w:line="228" w:lineRule="auto"/>
              <w:ind w:left="204" w:right="204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Annual Responses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5AAC3F02" w14:textId="77777777">
            <w:pPr>
              <w:overflowPunct w:val="0"/>
              <w:autoSpaceDE w:val="0"/>
              <w:autoSpaceDN w:val="0"/>
              <w:spacing w:line="228" w:lineRule="auto"/>
              <w:ind w:left="138" w:right="136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Burden per Response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1CFA0718" w14:textId="77777777">
            <w:pPr>
              <w:overflowPunct w:val="0"/>
              <w:autoSpaceDE w:val="0"/>
              <w:autoSpaceDN w:val="0"/>
              <w:spacing w:before="1" w:line="252" w:lineRule="exact"/>
              <w:ind w:right="2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Hours</w:t>
            </w:r>
          </w:p>
        </w:tc>
      </w:tr>
      <w:tr w14:paraId="7DABE128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838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70517654" w14:textId="77777777">
            <w:pPr>
              <w:overflowPunct w:val="0"/>
              <w:autoSpaceDE w:val="0"/>
              <w:autoSpaceDN w:val="0"/>
              <w:ind w:left="102" w:right="23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Recommended information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included when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firms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choose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to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disseminate</w:t>
            </w:r>
            <w:r>
              <w:rPr>
                <w:sz w:val="20"/>
                <w:szCs w:val="20"/>
              </w:rPr>
              <w:t xml:space="preserve"> HCEI </w:t>
            </w:r>
            <w:r>
              <w:rPr>
                <w:spacing w:val="-1"/>
                <w:sz w:val="20"/>
                <w:szCs w:val="20"/>
              </w:rPr>
              <w:t>materials</w:t>
            </w:r>
            <w:r>
              <w:rPr>
                <w:sz w:val="20"/>
                <w:szCs w:val="20"/>
              </w:rPr>
              <w:t xml:space="preserve"> to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payors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about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approved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prescription drugs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00355CBF" w14:textId="77777777">
            <w:pPr>
              <w:overflowPunct w:val="0"/>
              <w:autoSpaceDE w:val="0"/>
              <w:autoSpaceDN w:val="0"/>
              <w:spacing w:before="157"/>
              <w:ind w:left="8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1A33B1FA" w14:textId="77777777">
            <w:pPr>
              <w:overflowPunct w:val="0"/>
              <w:autoSpaceDE w:val="0"/>
              <w:autoSpaceDN w:val="0"/>
              <w:spacing w:before="157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C3F8C34" w14:textId="77777777">
            <w:pPr>
              <w:overflowPunct w:val="0"/>
              <w:autoSpaceDE w:val="0"/>
              <w:autoSpaceDN w:val="0"/>
              <w:spacing w:before="157"/>
              <w:ind w:left="6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3CF27A91" w14:textId="77777777">
            <w:pPr>
              <w:overflowPunct w:val="0"/>
              <w:autoSpaceDE w:val="0"/>
              <w:autoSpaceDN w:val="0"/>
              <w:spacing w:before="157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3D54EA43" w14:textId="77777777">
            <w:pPr>
              <w:overflowPunct w:val="0"/>
              <w:autoSpaceDE w:val="0"/>
              <w:autoSpaceDN w:val="0"/>
              <w:spacing w:before="157"/>
              <w:ind w:left="2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</w:p>
        </w:tc>
      </w:tr>
      <w:tr w14:paraId="4D5E423D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10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5E9AD0C" w14:textId="77777777">
            <w:pPr>
              <w:overflowPunct w:val="0"/>
              <w:autoSpaceDE w:val="0"/>
              <w:autoSpaceDN w:val="0"/>
              <w:ind w:left="102" w:right="23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Recommended information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included when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firms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choose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to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disseminate</w:t>
            </w:r>
            <w:r>
              <w:rPr>
                <w:sz w:val="20"/>
                <w:szCs w:val="20"/>
              </w:rPr>
              <w:t xml:space="preserve"> HCEI </w:t>
            </w:r>
            <w:r>
              <w:rPr>
                <w:spacing w:val="-1"/>
                <w:sz w:val="20"/>
                <w:szCs w:val="20"/>
              </w:rPr>
              <w:t>materials</w:t>
            </w:r>
            <w:r>
              <w:rPr>
                <w:sz w:val="20"/>
                <w:szCs w:val="20"/>
              </w:rPr>
              <w:t xml:space="preserve"> to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payors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about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approved or cleared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devices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30A08665" w14:textId="77777777">
            <w:pPr>
              <w:overflowPunct w:val="0"/>
              <w:autoSpaceDE w:val="0"/>
              <w:autoSpaceDN w:val="0"/>
              <w:spacing w:before="156"/>
              <w:ind w:left="8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19508CC9" w14:textId="77777777">
            <w:pPr>
              <w:overflowPunct w:val="0"/>
              <w:autoSpaceDE w:val="0"/>
              <w:autoSpaceDN w:val="0"/>
              <w:spacing w:before="156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235C86C" w14:textId="77777777">
            <w:pPr>
              <w:overflowPunct w:val="0"/>
              <w:autoSpaceDE w:val="0"/>
              <w:autoSpaceDN w:val="0"/>
              <w:spacing w:before="156"/>
              <w:ind w:left="6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2456A310" w14:textId="77777777">
            <w:pPr>
              <w:overflowPunct w:val="0"/>
              <w:autoSpaceDE w:val="0"/>
              <w:autoSpaceDN w:val="0"/>
              <w:spacing w:before="156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2ABA6FC2" w14:textId="77777777">
            <w:pPr>
              <w:overflowPunct w:val="0"/>
              <w:autoSpaceDE w:val="0"/>
              <w:autoSpaceDN w:val="0"/>
              <w:spacing w:before="156"/>
              <w:ind w:left="2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47,200</w:t>
            </w:r>
          </w:p>
        </w:tc>
      </w:tr>
      <w:tr w14:paraId="35A589D5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82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341FF30E" w14:textId="77777777">
            <w:pPr>
              <w:overflowPunct w:val="0"/>
              <w:autoSpaceDE w:val="0"/>
              <w:autoSpaceDN w:val="0"/>
              <w:ind w:left="102" w:right="23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Recommended information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included when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firms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choose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to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disseminate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information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about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unapproved products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unapproved uses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of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approved or cleared products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8BC3235" w14:textId="77777777">
            <w:pPr>
              <w:overflowPunct w:val="0"/>
              <w:autoSpaceDE w:val="0"/>
              <w:autoSpaceDN w:val="0"/>
              <w:ind w:left="8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76DEF816" w14:textId="77777777">
            <w:pPr>
              <w:overflowPunct w:val="0"/>
              <w:autoSpaceDE w:val="0"/>
              <w:autoSpaceDN w:val="0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62E06637" w14:textId="77777777">
            <w:pPr>
              <w:overflowPunct w:val="0"/>
              <w:autoSpaceDE w:val="0"/>
              <w:autoSpaceDN w:val="0"/>
              <w:ind w:left="7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55BE407E" w14:textId="77777777">
            <w:pPr>
              <w:overflowPunct w:val="0"/>
              <w:autoSpaceDE w:val="0"/>
              <w:autoSpaceDN w:val="0"/>
              <w:ind w:left="21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7EBD0CEB" w14:textId="77777777">
            <w:pPr>
              <w:overflowPunct w:val="0"/>
              <w:autoSpaceDE w:val="0"/>
              <w:autoSpaceDN w:val="0"/>
              <w:ind w:left="5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</w:tr>
      <w:tr w14:paraId="0AAE959E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145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2AA590F7" w14:textId="77777777">
            <w:pPr>
              <w:overflowPunct w:val="0"/>
              <w:autoSpaceDE w:val="0"/>
              <w:autoSpaceDN w:val="0"/>
              <w:spacing w:line="228" w:lineRule="auto"/>
              <w:ind w:left="102" w:right="2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Follow-up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information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to payors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regarding previously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communicated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about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unapproved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products or unapproved </w:t>
            </w:r>
            <w:r>
              <w:rPr>
                <w:sz w:val="20"/>
                <w:szCs w:val="20"/>
              </w:rPr>
              <w:t>uses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approved or cleared products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2CB70C61" w14:textId="77777777">
            <w:pPr>
              <w:overflowPunct w:val="0"/>
              <w:autoSpaceDE w:val="0"/>
              <w:autoSpaceDN w:val="0"/>
              <w:spacing w:before="157"/>
              <w:ind w:left="8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0562A502" w14:textId="77777777">
            <w:pPr>
              <w:overflowPunct w:val="0"/>
              <w:autoSpaceDE w:val="0"/>
              <w:autoSpaceDN w:val="0"/>
              <w:spacing w:before="157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3460E0F2" w14:textId="77777777">
            <w:pPr>
              <w:overflowPunct w:val="0"/>
              <w:autoSpaceDE w:val="0"/>
              <w:autoSpaceDN w:val="0"/>
              <w:spacing w:before="157"/>
              <w:ind w:left="8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03A265A1" w14:textId="77777777">
            <w:pPr>
              <w:overflowPunct w:val="0"/>
              <w:autoSpaceDE w:val="0"/>
              <w:autoSpaceDN w:val="0"/>
              <w:spacing w:before="157"/>
              <w:ind w:right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0821906F" w14:textId="77777777">
            <w:pPr>
              <w:overflowPunct w:val="0"/>
              <w:autoSpaceDE w:val="0"/>
              <w:autoSpaceDN w:val="0"/>
              <w:spacing w:before="1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1,436</w:t>
            </w:r>
          </w:p>
        </w:tc>
      </w:tr>
      <w:tr w14:paraId="73FA8CB8" w14:textId="77777777" w:rsidTr="006F4EF9">
        <w:tblPrEx>
          <w:tblW w:w="9398" w:type="dxa"/>
          <w:tblInd w:w="-1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2"/>
        </w:trPr>
        <w:tc>
          <w:tcPr>
            <w:tcW w:w="3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66AE9714" w14:textId="77777777">
            <w:pPr>
              <w:overflowPunct w:val="0"/>
              <w:autoSpaceDE w:val="0"/>
              <w:autoSpaceDN w:val="0"/>
              <w:spacing w:line="272" w:lineRule="exact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TOTAL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213E" w14:paraId="52E6BB72" w14:textId="77777777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213E" w14:paraId="78B1F4CE" w14:textId="77777777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5E096E5B" w14:textId="77777777">
            <w:pPr>
              <w:overflowPunct w:val="0"/>
              <w:autoSpaceDE w:val="0"/>
              <w:autoSpaceDN w:val="0"/>
              <w:spacing w:line="272" w:lineRule="exact"/>
              <w:ind w:left="696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9,012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213E" w14:paraId="2ADB8C13" w14:textId="77777777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213E" w14:paraId="439987C6" w14:textId="77777777">
            <w:pPr>
              <w:overflowPunct w:val="0"/>
              <w:autoSpaceDE w:val="0"/>
              <w:autoSpaceDN w:val="0"/>
              <w:spacing w:line="272" w:lineRule="exact"/>
              <w:ind w:left="102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139,353</w:t>
            </w:r>
          </w:p>
        </w:tc>
      </w:tr>
    </w:tbl>
    <w:p w:rsidR="00AE6999" w:rsidP="00704793" w14:paraId="7D225A6D" w14:textId="77777777">
      <w:pPr>
        <w:widowControl w:val="0"/>
      </w:pPr>
    </w:p>
    <w:p w:rsidR="00AB4A9E" w:rsidP="001B3CE3" w14:paraId="307F286B" w14:textId="524C0634">
      <w:pPr>
        <w:widowControl w:val="0"/>
      </w:pPr>
      <w:r>
        <w:t xml:space="preserve">Rather than </w:t>
      </w:r>
      <w:r w:rsidR="0017172B">
        <w:t>include</w:t>
      </w:r>
      <w:r w:rsidR="00AA7CE9">
        <w:t xml:space="preserve"> an</w:t>
      </w:r>
      <w:r w:rsidR="0017172B">
        <w:t xml:space="preserve"> individual line item, however, we have </w:t>
      </w:r>
      <w:r w:rsidR="00393D91">
        <w:t>modified the entry “</w:t>
      </w:r>
      <w:r w:rsidRPr="001B3CE3" w:rsidR="00393D91">
        <w:rPr>
          <w:i/>
          <w:iCs/>
        </w:rPr>
        <w:t>IC recommended in FDA guidance</w:t>
      </w:r>
      <w:r w:rsidR="00393D91">
        <w:t xml:space="preserve">” </w:t>
      </w:r>
      <w:r w:rsidR="00C64468">
        <w:t>by uploading the guidance document and adjusting our estimated burden upward by 9,012 responses and 139,555 hours</w:t>
      </w:r>
      <w:r w:rsidR="001B3CE3">
        <w:t>.  There have been no changes to referenced guidance document.</w:t>
      </w:r>
    </w:p>
    <w:p w:rsidR="00E926FF" w:rsidP="00586AD1" w14:paraId="3B5A2961" w14:textId="77777777"/>
    <w:p w:rsidR="008B3F59" w:rsidRPr="008B3F59" w:rsidP="00E822E8" w14:paraId="4B50FF8D" w14:textId="35DA8C30">
      <w:pPr>
        <w:rPr>
          <w:b/>
          <w:bCs/>
        </w:rPr>
      </w:pPr>
      <w:r w:rsidRPr="008B3F59">
        <w:rPr>
          <w:b/>
          <w:bCs/>
        </w:rPr>
        <w:t xml:space="preserve">Submitted:  </w:t>
      </w:r>
      <w:r w:rsidR="001B3CE3">
        <w:rPr>
          <w:b/>
          <w:bCs/>
        </w:rPr>
        <w:t>June 2024</w:t>
      </w:r>
    </w:p>
    <w:p w:rsidR="009E7A66" w:rsidRPr="002E778A" w:rsidP="002E778A" w14:paraId="4FA5625F" w14:textId="5FBE09B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/>
          <w:sz w:val="24"/>
          <w:szCs w:val="24"/>
        </w:rPr>
      </w:pPr>
    </w:p>
    <w:sectPr w:rsidSect="00EB7538">
      <w:footerReference w:type="even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25652"/>
    <w:rsid w:val="00044F6C"/>
    <w:rsid w:val="0006570F"/>
    <w:rsid w:val="00076F47"/>
    <w:rsid w:val="000832B0"/>
    <w:rsid w:val="00086AA7"/>
    <w:rsid w:val="0008731E"/>
    <w:rsid w:val="00092A13"/>
    <w:rsid w:val="0009473F"/>
    <w:rsid w:val="000A7CA9"/>
    <w:rsid w:val="000D065D"/>
    <w:rsid w:val="000D48FD"/>
    <w:rsid w:val="000D4FD3"/>
    <w:rsid w:val="000E1C64"/>
    <w:rsid w:val="00100129"/>
    <w:rsid w:val="00100739"/>
    <w:rsid w:val="00107885"/>
    <w:rsid w:val="00114FC4"/>
    <w:rsid w:val="0012329C"/>
    <w:rsid w:val="00132E31"/>
    <w:rsid w:val="00134421"/>
    <w:rsid w:val="0013467A"/>
    <w:rsid w:val="00134FA7"/>
    <w:rsid w:val="0013758B"/>
    <w:rsid w:val="00137950"/>
    <w:rsid w:val="00144854"/>
    <w:rsid w:val="001512D5"/>
    <w:rsid w:val="00151394"/>
    <w:rsid w:val="00152F29"/>
    <w:rsid w:val="00155D1A"/>
    <w:rsid w:val="00156016"/>
    <w:rsid w:val="00166BAD"/>
    <w:rsid w:val="0017172B"/>
    <w:rsid w:val="00174E21"/>
    <w:rsid w:val="00185270"/>
    <w:rsid w:val="00190B1F"/>
    <w:rsid w:val="001A1C5F"/>
    <w:rsid w:val="001A3B5A"/>
    <w:rsid w:val="001B0F1F"/>
    <w:rsid w:val="001B2186"/>
    <w:rsid w:val="001B3CE3"/>
    <w:rsid w:val="001B6440"/>
    <w:rsid w:val="001B7CE9"/>
    <w:rsid w:val="001D495A"/>
    <w:rsid w:val="001D53AE"/>
    <w:rsid w:val="00205EBD"/>
    <w:rsid w:val="002110D2"/>
    <w:rsid w:val="00215009"/>
    <w:rsid w:val="0022309A"/>
    <w:rsid w:val="002259EF"/>
    <w:rsid w:val="002272A3"/>
    <w:rsid w:val="00241EB0"/>
    <w:rsid w:val="00242E29"/>
    <w:rsid w:val="00242ED1"/>
    <w:rsid w:val="00254069"/>
    <w:rsid w:val="00255704"/>
    <w:rsid w:val="00270297"/>
    <w:rsid w:val="002734E5"/>
    <w:rsid w:val="002746DB"/>
    <w:rsid w:val="00280CAF"/>
    <w:rsid w:val="00282F09"/>
    <w:rsid w:val="00287194"/>
    <w:rsid w:val="002905D2"/>
    <w:rsid w:val="00294B99"/>
    <w:rsid w:val="00296F57"/>
    <w:rsid w:val="002A09E0"/>
    <w:rsid w:val="002A4916"/>
    <w:rsid w:val="002A4E1C"/>
    <w:rsid w:val="002A69AA"/>
    <w:rsid w:val="002B0CD2"/>
    <w:rsid w:val="002C24AB"/>
    <w:rsid w:val="002C44E4"/>
    <w:rsid w:val="002C6650"/>
    <w:rsid w:val="002C7D58"/>
    <w:rsid w:val="002D0FCD"/>
    <w:rsid w:val="002D14D8"/>
    <w:rsid w:val="002D4799"/>
    <w:rsid w:val="002D5E4B"/>
    <w:rsid w:val="002E3FA4"/>
    <w:rsid w:val="002E778A"/>
    <w:rsid w:val="00300976"/>
    <w:rsid w:val="00313517"/>
    <w:rsid w:val="0032277F"/>
    <w:rsid w:val="00330926"/>
    <w:rsid w:val="00342BB3"/>
    <w:rsid w:val="00350523"/>
    <w:rsid w:val="0035306E"/>
    <w:rsid w:val="00353DBB"/>
    <w:rsid w:val="00366728"/>
    <w:rsid w:val="003740BC"/>
    <w:rsid w:val="00374C6C"/>
    <w:rsid w:val="003801A3"/>
    <w:rsid w:val="00380F97"/>
    <w:rsid w:val="00383D90"/>
    <w:rsid w:val="0039161D"/>
    <w:rsid w:val="00391B67"/>
    <w:rsid w:val="00393D91"/>
    <w:rsid w:val="003A72ED"/>
    <w:rsid w:val="003B1190"/>
    <w:rsid w:val="003B42B3"/>
    <w:rsid w:val="003B6384"/>
    <w:rsid w:val="003C4EBB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4029F6"/>
    <w:rsid w:val="004068FC"/>
    <w:rsid w:val="00411D11"/>
    <w:rsid w:val="004125C7"/>
    <w:rsid w:val="004135DD"/>
    <w:rsid w:val="0041427F"/>
    <w:rsid w:val="00415E23"/>
    <w:rsid w:val="004175D3"/>
    <w:rsid w:val="00424061"/>
    <w:rsid w:val="004337C0"/>
    <w:rsid w:val="00433E16"/>
    <w:rsid w:val="00435135"/>
    <w:rsid w:val="00443969"/>
    <w:rsid w:val="00446B4D"/>
    <w:rsid w:val="00447D74"/>
    <w:rsid w:val="0045048A"/>
    <w:rsid w:val="00450A74"/>
    <w:rsid w:val="00455093"/>
    <w:rsid w:val="004556AE"/>
    <w:rsid w:val="00462D37"/>
    <w:rsid w:val="00462D3E"/>
    <w:rsid w:val="00465350"/>
    <w:rsid w:val="004772C4"/>
    <w:rsid w:val="00477F96"/>
    <w:rsid w:val="00481340"/>
    <w:rsid w:val="00483AB6"/>
    <w:rsid w:val="004846BF"/>
    <w:rsid w:val="00490FC9"/>
    <w:rsid w:val="004A05B7"/>
    <w:rsid w:val="004C0C72"/>
    <w:rsid w:val="004C4A24"/>
    <w:rsid w:val="004C6979"/>
    <w:rsid w:val="004D3E7A"/>
    <w:rsid w:val="004E0224"/>
    <w:rsid w:val="004F32E9"/>
    <w:rsid w:val="004F3AB0"/>
    <w:rsid w:val="004F6383"/>
    <w:rsid w:val="0050096E"/>
    <w:rsid w:val="00510D68"/>
    <w:rsid w:val="00526EF8"/>
    <w:rsid w:val="00536AC7"/>
    <w:rsid w:val="00544138"/>
    <w:rsid w:val="0055128A"/>
    <w:rsid w:val="005533E9"/>
    <w:rsid w:val="00561AD4"/>
    <w:rsid w:val="00575DB3"/>
    <w:rsid w:val="00584583"/>
    <w:rsid w:val="00586AD1"/>
    <w:rsid w:val="005874CF"/>
    <w:rsid w:val="005915E3"/>
    <w:rsid w:val="00593F11"/>
    <w:rsid w:val="00595394"/>
    <w:rsid w:val="005A0E6B"/>
    <w:rsid w:val="005A4099"/>
    <w:rsid w:val="005A726D"/>
    <w:rsid w:val="005B401B"/>
    <w:rsid w:val="005B55B6"/>
    <w:rsid w:val="005C38B2"/>
    <w:rsid w:val="005C5029"/>
    <w:rsid w:val="005C55C2"/>
    <w:rsid w:val="005C5DBC"/>
    <w:rsid w:val="005D0842"/>
    <w:rsid w:val="005D2532"/>
    <w:rsid w:val="005D41FC"/>
    <w:rsid w:val="005D4DF5"/>
    <w:rsid w:val="0061057E"/>
    <w:rsid w:val="00610812"/>
    <w:rsid w:val="00611D6B"/>
    <w:rsid w:val="006152B1"/>
    <w:rsid w:val="006311A3"/>
    <w:rsid w:val="006448BD"/>
    <w:rsid w:val="006472C5"/>
    <w:rsid w:val="0065359A"/>
    <w:rsid w:val="00655CE1"/>
    <w:rsid w:val="006635DF"/>
    <w:rsid w:val="006651DE"/>
    <w:rsid w:val="006719CA"/>
    <w:rsid w:val="00675FED"/>
    <w:rsid w:val="006937DB"/>
    <w:rsid w:val="006A26C6"/>
    <w:rsid w:val="006A2851"/>
    <w:rsid w:val="006A7D5D"/>
    <w:rsid w:val="006B1F83"/>
    <w:rsid w:val="006B3482"/>
    <w:rsid w:val="006B480F"/>
    <w:rsid w:val="006C343C"/>
    <w:rsid w:val="006D30E9"/>
    <w:rsid w:val="006D6DEA"/>
    <w:rsid w:val="006F4D6D"/>
    <w:rsid w:val="006F4EF9"/>
    <w:rsid w:val="00704793"/>
    <w:rsid w:val="00705086"/>
    <w:rsid w:val="00716E75"/>
    <w:rsid w:val="00727124"/>
    <w:rsid w:val="00730A0E"/>
    <w:rsid w:val="00735252"/>
    <w:rsid w:val="00735302"/>
    <w:rsid w:val="00736472"/>
    <w:rsid w:val="007505FF"/>
    <w:rsid w:val="0075064C"/>
    <w:rsid w:val="00754497"/>
    <w:rsid w:val="007618F5"/>
    <w:rsid w:val="0076498B"/>
    <w:rsid w:val="00785B60"/>
    <w:rsid w:val="00787C39"/>
    <w:rsid w:val="0079213E"/>
    <w:rsid w:val="00795DF3"/>
    <w:rsid w:val="00796234"/>
    <w:rsid w:val="007A373C"/>
    <w:rsid w:val="007A7B7E"/>
    <w:rsid w:val="007B06DA"/>
    <w:rsid w:val="007C215A"/>
    <w:rsid w:val="007C5E64"/>
    <w:rsid w:val="007C75B1"/>
    <w:rsid w:val="007D1777"/>
    <w:rsid w:val="007D3DFC"/>
    <w:rsid w:val="007D7AAD"/>
    <w:rsid w:val="007F7D6B"/>
    <w:rsid w:val="00801C13"/>
    <w:rsid w:val="0080776D"/>
    <w:rsid w:val="00810145"/>
    <w:rsid w:val="008108FA"/>
    <w:rsid w:val="00810FF1"/>
    <w:rsid w:val="008114FF"/>
    <w:rsid w:val="00812399"/>
    <w:rsid w:val="00822336"/>
    <w:rsid w:val="00823DFA"/>
    <w:rsid w:val="008250E0"/>
    <w:rsid w:val="00830DAA"/>
    <w:rsid w:val="00843752"/>
    <w:rsid w:val="00854E54"/>
    <w:rsid w:val="00860CF5"/>
    <w:rsid w:val="00865AF2"/>
    <w:rsid w:val="00870464"/>
    <w:rsid w:val="00880C5D"/>
    <w:rsid w:val="00885B0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F59"/>
    <w:rsid w:val="008B56BC"/>
    <w:rsid w:val="008B5DBA"/>
    <w:rsid w:val="008B644E"/>
    <w:rsid w:val="008C68CD"/>
    <w:rsid w:val="008D2497"/>
    <w:rsid w:val="008D625B"/>
    <w:rsid w:val="008E1839"/>
    <w:rsid w:val="008E423D"/>
    <w:rsid w:val="00901561"/>
    <w:rsid w:val="00905DEF"/>
    <w:rsid w:val="00912064"/>
    <w:rsid w:val="0091295A"/>
    <w:rsid w:val="00913B43"/>
    <w:rsid w:val="0092504C"/>
    <w:rsid w:val="00930203"/>
    <w:rsid w:val="00930B70"/>
    <w:rsid w:val="009311D2"/>
    <w:rsid w:val="00931275"/>
    <w:rsid w:val="00934467"/>
    <w:rsid w:val="00936AC7"/>
    <w:rsid w:val="00961EBC"/>
    <w:rsid w:val="00964C5A"/>
    <w:rsid w:val="0096657C"/>
    <w:rsid w:val="00967943"/>
    <w:rsid w:val="00972102"/>
    <w:rsid w:val="0099002B"/>
    <w:rsid w:val="00991364"/>
    <w:rsid w:val="00994B78"/>
    <w:rsid w:val="009A1674"/>
    <w:rsid w:val="009A5E45"/>
    <w:rsid w:val="009B2DEA"/>
    <w:rsid w:val="009B3CA6"/>
    <w:rsid w:val="009B7B40"/>
    <w:rsid w:val="009C2959"/>
    <w:rsid w:val="009D0001"/>
    <w:rsid w:val="009D074C"/>
    <w:rsid w:val="009D7088"/>
    <w:rsid w:val="009E289C"/>
    <w:rsid w:val="009E7A66"/>
    <w:rsid w:val="009F2B4F"/>
    <w:rsid w:val="009F66B5"/>
    <w:rsid w:val="009F7FBC"/>
    <w:rsid w:val="00A118DA"/>
    <w:rsid w:val="00A12332"/>
    <w:rsid w:val="00A20A7D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23AD"/>
    <w:rsid w:val="00A91E9A"/>
    <w:rsid w:val="00A9326F"/>
    <w:rsid w:val="00A93ED9"/>
    <w:rsid w:val="00A94876"/>
    <w:rsid w:val="00A97E1A"/>
    <w:rsid w:val="00AA6026"/>
    <w:rsid w:val="00AA7CE9"/>
    <w:rsid w:val="00AB06C8"/>
    <w:rsid w:val="00AB2D0D"/>
    <w:rsid w:val="00AB4A9E"/>
    <w:rsid w:val="00AC3D09"/>
    <w:rsid w:val="00AC6A99"/>
    <w:rsid w:val="00AD0028"/>
    <w:rsid w:val="00AD2C38"/>
    <w:rsid w:val="00AD57D5"/>
    <w:rsid w:val="00AE0CEC"/>
    <w:rsid w:val="00AE3129"/>
    <w:rsid w:val="00AE339A"/>
    <w:rsid w:val="00AE6999"/>
    <w:rsid w:val="00AE79C9"/>
    <w:rsid w:val="00AE7C8C"/>
    <w:rsid w:val="00AF5582"/>
    <w:rsid w:val="00AF55D2"/>
    <w:rsid w:val="00B01505"/>
    <w:rsid w:val="00B055EF"/>
    <w:rsid w:val="00B23769"/>
    <w:rsid w:val="00B27978"/>
    <w:rsid w:val="00B27B2F"/>
    <w:rsid w:val="00B34CB9"/>
    <w:rsid w:val="00B40417"/>
    <w:rsid w:val="00B45ED8"/>
    <w:rsid w:val="00B5081E"/>
    <w:rsid w:val="00B541E3"/>
    <w:rsid w:val="00B6576B"/>
    <w:rsid w:val="00B71F80"/>
    <w:rsid w:val="00B738DC"/>
    <w:rsid w:val="00B7401D"/>
    <w:rsid w:val="00B806C3"/>
    <w:rsid w:val="00B936D0"/>
    <w:rsid w:val="00B945D6"/>
    <w:rsid w:val="00B959F9"/>
    <w:rsid w:val="00BA0D25"/>
    <w:rsid w:val="00BB1D4C"/>
    <w:rsid w:val="00BB3F58"/>
    <w:rsid w:val="00BB6A74"/>
    <w:rsid w:val="00BC20AD"/>
    <w:rsid w:val="00BD1107"/>
    <w:rsid w:val="00BD5E7B"/>
    <w:rsid w:val="00BD7ACC"/>
    <w:rsid w:val="00BE3600"/>
    <w:rsid w:val="00C01F6F"/>
    <w:rsid w:val="00C149AB"/>
    <w:rsid w:val="00C22AA5"/>
    <w:rsid w:val="00C37148"/>
    <w:rsid w:val="00C40694"/>
    <w:rsid w:val="00C53B02"/>
    <w:rsid w:val="00C61647"/>
    <w:rsid w:val="00C64468"/>
    <w:rsid w:val="00C6464D"/>
    <w:rsid w:val="00C70542"/>
    <w:rsid w:val="00C72A03"/>
    <w:rsid w:val="00C74D8B"/>
    <w:rsid w:val="00C75CBF"/>
    <w:rsid w:val="00C81333"/>
    <w:rsid w:val="00C87227"/>
    <w:rsid w:val="00C900C7"/>
    <w:rsid w:val="00C90834"/>
    <w:rsid w:val="00C93220"/>
    <w:rsid w:val="00CA7C10"/>
    <w:rsid w:val="00CB270D"/>
    <w:rsid w:val="00CB2E62"/>
    <w:rsid w:val="00CC2894"/>
    <w:rsid w:val="00CD2BF4"/>
    <w:rsid w:val="00CD77C3"/>
    <w:rsid w:val="00CE112C"/>
    <w:rsid w:val="00CE1DC9"/>
    <w:rsid w:val="00D058F8"/>
    <w:rsid w:val="00D1396D"/>
    <w:rsid w:val="00D17DDC"/>
    <w:rsid w:val="00D35BE1"/>
    <w:rsid w:val="00D377F4"/>
    <w:rsid w:val="00D45A2F"/>
    <w:rsid w:val="00D5190B"/>
    <w:rsid w:val="00D56340"/>
    <w:rsid w:val="00D608DA"/>
    <w:rsid w:val="00D637C1"/>
    <w:rsid w:val="00D730BF"/>
    <w:rsid w:val="00D74F00"/>
    <w:rsid w:val="00D868DD"/>
    <w:rsid w:val="00DA48E7"/>
    <w:rsid w:val="00DA7467"/>
    <w:rsid w:val="00DC066A"/>
    <w:rsid w:val="00DC0CC0"/>
    <w:rsid w:val="00DC4E04"/>
    <w:rsid w:val="00DC6C02"/>
    <w:rsid w:val="00DC7275"/>
    <w:rsid w:val="00DC76C7"/>
    <w:rsid w:val="00DD09AB"/>
    <w:rsid w:val="00DD09F5"/>
    <w:rsid w:val="00DD4201"/>
    <w:rsid w:val="00DD712D"/>
    <w:rsid w:val="00DE1BA7"/>
    <w:rsid w:val="00DE5711"/>
    <w:rsid w:val="00DF3E18"/>
    <w:rsid w:val="00DF5963"/>
    <w:rsid w:val="00E00EA0"/>
    <w:rsid w:val="00E016A1"/>
    <w:rsid w:val="00E07150"/>
    <w:rsid w:val="00E13B3F"/>
    <w:rsid w:val="00E14457"/>
    <w:rsid w:val="00E1654B"/>
    <w:rsid w:val="00E21033"/>
    <w:rsid w:val="00E2657E"/>
    <w:rsid w:val="00E26758"/>
    <w:rsid w:val="00E370E9"/>
    <w:rsid w:val="00E4357B"/>
    <w:rsid w:val="00E476BA"/>
    <w:rsid w:val="00E50F97"/>
    <w:rsid w:val="00E62A7D"/>
    <w:rsid w:val="00E63B46"/>
    <w:rsid w:val="00E63DE5"/>
    <w:rsid w:val="00E65A37"/>
    <w:rsid w:val="00E740E3"/>
    <w:rsid w:val="00E77B48"/>
    <w:rsid w:val="00E822E8"/>
    <w:rsid w:val="00E82E70"/>
    <w:rsid w:val="00E9008D"/>
    <w:rsid w:val="00E91799"/>
    <w:rsid w:val="00E926FF"/>
    <w:rsid w:val="00E94742"/>
    <w:rsid w:val="00EA34E3"/>
    <w:rsid w:val="00EB7538"/>
    <w:rsid w:val="00EC377E"/>
    <w:rsid w:val="00EC559B"/>
    <w:rsid w:val="00EC5928"/>
    <w:rsid w:val="00EC5F46"/>
    <w:rsid w:val="00EC7AAF"/>
    <w:rsid w:val="00ED1FA4"/>
    <w:rsid w:val="00EE0E01"/>
    <w:rsid w:val="00EF43BB"/>
    <w:rsid w:val="00EF5644"/>
    <w:rsid w:val="00F02C0B"/>
    <w:rsid w:val="00F040C7"/>
    <w:rsid w:val="00F06B16"/>
    <w:rsid w:val="00F16C29"/>
    <w:rsid w:val="00F207A4"/>
    <w:rsid w:val="00F355AC"/>
    <w:rsid w:val="00F57DC6"/>
    <w:rsid w:val="00F668EC"/>
    <w:rsid w:val="00F71A5A"/>
    <w:rsid w:val="00F769E0"/>
    <w:rsid w:val="00F90938"/>
    <w:rsid w:val="00F93E03"/>
    <w:rsid w:val="00FA051A"/>
    <w:rsid w:val="00FB17E1"/>
    <w:rsid w:val="00FC3517"/>
    <w:rsid w:val="00FC6243"/>
    <w:rsid w:val="00FC6BDE"/>
    <w:rsid w:val="00FD3459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2024-06-08T12:38:00Z</dcterms:created>
  <dcterms:modified xsi:type="dcterms:W3CDTF">2024-06-08T12:38:00Z</dcterms:modified>
</cp:coreProperties>
</file>