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70A1" w:rsidP="000770A1" w14:paraId="762E9C52" w14:textId="77777777">
      <w:pPr>
        <w:jc w:val="center"/>
        <w:rPr>
          <w:rFonts w:eastAsia="Calibri"/>
        </w:rPr>
      </w:pPr>
      <w:r w:rsidRPr="00357C8A">
        <w:rPr>
          <w:rFonts w:eastAsia="Calibri"/>
        </w:rPr>
        <w:t>United States Food and Drug Administration</w:t>
      </w:r>
    </w:p>
    <w:p w:rsidR="000770A1" w:rsidP="000770A1" w14:paraId="752FFDEE" w14:textId="77777777">
      <w:pPr>
        <w:jc w:val="center"/>
        <w:rPr>
          <w:rFonts w:eastAsia="Calibri"/>
        </w:rPr>
      </w:pPr>
    </w:p>
    <w:p w:rsidR="000770A1" w:rsidP="000770A1" w14:paraId="70B06ACD" w14:textId="11BE4406">
      <w:pPr>
        <w:jc w:val="center"/>
        <w:rPr>
          <w:rFonts w:eastAsia="Calibri"/>
        </w:rPr>
      </w:pPr>
      <w:r w:rsidRPr="00F82BD9">
        <w:rPr>
          <w:rFonts w:eastAsia="Calibri"/>
        </w:rPr>
        <w:t>Generic Clearance for the Collection of Qualitative Data on Tobacco Products and Communications</w:t>
      </w:r>
    </w:p>
    <w:p w:rsidR="00F82BD9" w:rsidP="000770A1" w14:paraId="4B4460E9" w14:textId="77777777">
      <w:pPr>
        <w:jc w:val="center"/>
        <w:rPr>
          <w:rFonts w:eastAsia="Calibri"/>
        </w:rPr>
      </w:pPr>
    </w:p>
    <w:p w:rsidR="000770A1" w:rsidP="000770A1" w14:paraId="0C87F8D2" w14:textId="4CB4056C">
      <w:pPr>
        <w:jc w:val="center"/>
        <w:rPr>
          <w:rFonts w:eastAsia="Calibri"/>
        </w:rPr>
      </w:pPr>
      <w:r w:rsidRPr="00357C8A">
        <w:rPr>
          <w:rFonts w:eastAsia="Calibri"/>
        </w:rPr>
        <w:t>OMB Control No. 0910</w:t>
      </w:r>
      <w:r>
        <w:rPr>
          <w:rFonts w:eastAsia="Calibri"/>
        </w:rPr>
        <w:t>-0</w:t>
      </w:r>
      <w:r w:rsidR="00F82BD9">
        <w:rPr>
          <w:rFonts w:eastAsia="Calibri"/>
        </w:rPr>
        <w:t>796</w:t>
      </w:r>
    </w:p>
    <w:p w:rsidR="000770A1" w:rsidP="000770A1" w14:paraId="57613C45" w14:textId="77777777">
      <w:pPr>
        <w:jc w:val="center"/>
        <w:rPr>
          <w:rFonts w:eastAsia="Calibri"/>
        </w:rPr>
      </w:pPr>
    </w:p>
    <w:p w:rsidR="00F03270" w:rsidP="000770A1" w14:paraId="719E683B" w14:textId="3FBAB9CA">
      <w:pPr>
        <w:jc w:val="center"/>
        <w:rPr>
          <w:rFonts w:eastAsia="Calibri"/>
        </w:rPr>
      </w:pPr>
      <w:r>
        <w:rPr>
          <w:rFonts w:eastAsia="Calibri"/>
        </w:rPr>
        <w:t>SUMMARY OF GEN ICs</w:t>
      </w:r>
    </w:p>
    <w:p w:rsidR="00F82BD9" w:rsidP="000770A1" w14:paraId="79765B69" w14:textId="77777777">
      <w:pPr>
        <w:jc w:val="center"/>
        <w:rPr>
          <w:rFonts w:eastAsia="Calibri"/>
        </w:rPr>
      </w:pPr>
    </w:p>
    <w:p w:rsidR="000770A1" w:rsidP="000770A1" w14:paraId="485214CF" w14:textId="59474799">
      <w:pPr>
        <w:jc w:val="center"/>
        <w:rPr>
          <w:rFonts w:eastAsia="Calibri"/>
        </w:rPr>
      </w:pPr>
      <w:r>
        <w:rPr>
          <w:rFonts w:eastAsia="Calibri"/>
        </w:rPr>
        <w:t>Center for Tobacco Products</w:t>
      </w:r>
    </w:p>
    <w:p w:rsidR="000770A1" w14:paraId="432B9D7B" w14:textId="7B455544"/>
    <w:p w:rsidR="000770A1" w14:paraId="2DE50CE3" w14:textId="472C2B9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4"/>
        <w:gridCol w:w="1710"/>
        <w:gridCol w:w="1351"/>
        <w:gridCol w:w="3239"/>
        <w:gridCol w:w="1418"/>
      </w:tblGrid>
      <w:tr w14:paraId="4A86C4BF" w14:textId="77777777" w:rsidTr="0062388B">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325" w:type="pct"/>
            <w:shd w:val="clear" w:color="auto" w:fill="auto"/>
            <w:vAlign w:val="center"/>
          </w:tcPr>
          <w:p w:rsidR="005C37F1" w:rsidRPr="00DC1ED2" w:rsidP="00F82BD9" w14:paraId="1741E17B" w14:textId="5AA2750F">
            <w:pPr>
              <w:contextualSpacing/>
              <w:jc w:val="center"/>
              <w:rPr>
                <w:rFonts w:eastAsia="Calibri"/>
                <w:bCs/>
                <w:sz w:val="22"/>
                <w:szCs w:val="22"/>
              </w:rPr>
            </w:pPr>
            <w:r w:rsidRPr="00DC1ED2">
              <w:rPr>
                <w:sz w:val="22"/>
                <w:szCs w:val="22"/>
              </w:rPr>
              <w:t xml:space="preserve">Title of </w:t>
            </w:r>
            <w:r>
              <w:rPr>
                <w:sz w:val="22"/>
                <w:szCs w:val="22"/>
              </w:rPr>
              <w:t>Gen IC</w:t>
            </w:r>
          </w:p>
        </w:tc>
        <w:tc>
          <w:tcPr>
            <w:tcW w:w="814" w:type="pct"/>
            <w:vAlign w:val="center"/>
          </w:tcPr>
          <w:p w:rsidR="005C37F1" w:rsidRPr="00DC1ED2" w:rsidP="00F82BD9" w14:paraId="1EE1A003" w14:textId="00CC6C9F">
            <w:pPr>
              <w:autoSpaceDE w:val="0"/>
              <w:autoSpaceDN w:val="0"/>
              <w:adjustRightInd w:val="0"/>
              <w:jc w:val="center"/>
              <w:rPr>
                <w:sz w:val="22"/>
                <w:szCs w:val="22"/>
              </w:rPr>
            </w:pPr>
            <w:r>
              <w:rPr>
                <w:sz w:val="22"/>
                <w:szCs w:val="22"/>
              </w:rPr>
              <w:t>Date</w:t>
            </w:r>
            <w:r w:rsidR="00EB7006">
              <w:rPr>
                <w:sz w:val="22"/>
                <w:szCs w:val="22"/>
              </w:rPr>
              <w:t>(s)</w:t>
            </w:r>
            <w:r>
              <w:rPr>
                <w:sz w:val="22"/>
                <w:szCs w:val="22"/>
              </w:rPr>
              <w:t xml:space="preserve"> Conducted</w:t>
            </w:r>
          </w:p>
        </w:tc>
        <w:tc>
          <w:tcPr>
            <w:tcW w:w="643" w:type="pct"/>
            <w:shd w:val="clear" w:color="auto" w:fill="auto"/>
            <w:vAlign w:val="center"/>
          </w:tcPr>
          <w:p w:rsidR="005C37F1" w:rsidRPr="00DC1ED2" w:rsidP="00F82BD9" w14:paraId="5573F8C9" w14:textId="16B23AFB">
            <w:pPr>
              <w:autoSpaceDE w:val="0"/>
              <w:autoSpaceDN w:val="0"/>
              <w:adjustRightInd w:val="0"/>
              <w:jc w:val="center"/>
              <w:rPr>
                <w:sz w:val="22"/>
                <w:szCs w:val="22"/>
              </w:rPr>
            </w:pPr>
            <w:r>
              <w:rPr>
                <w:sz w:val="22"/>
                <w:szCs w:val="22"/>
              </w:rPr>
              <w:t xml:space="preserve">Number of </w:t>
            </w:r>
            <w:r w:rsidRPr="00DC1ED2">
              <w:rPr>
                <w:sz w:val="22"/>
                <w:szCs w:val="22"/>
              </w:rPr>
              <w:t>Participants</w:t>
            </w:r>
          </w:p>
        </w:tc>
        <w:tc>
          <w:tcPr>
            <w:tcW w:w="1542" w:type="pct"/>
            <w:vAlign w:val="center"/>
          </w:tcPr>
          <w:p w:rsidR="005C37F1" w:rsidRPr="00DC1ED2" w:rsidP="00F82BD9" w14:paraId="5D1C0D56" w14:textId="127A7A77">
            <w:pPr>
              <w:jc w:val="center"/>
              <w:rPr>
                <w:sz w:val="22"/>
                <w:szCs w:val="22"/>
              </w:rPr>
            </w:pPr>
            <w:r>
              <w:rPr>
                <w:sz w:val="22"/>
                <w:szCs w:val="22"/>
              </w:rPr>
              <w:t>How the Information Was Used</w:t>
            </w:r>
          </w:p>
        </w:tc>
        <w:tc>
          <w:tcPr>
            <w:tcW w:w="675" w:type="pct"/>
            <w:vAlign w:val="center"/>
          </w:tcPr>
          <w:p w:rsidR="005C37F1" w:rsidRPr="00DC1ED2" w:rsidP="00F82BD9" w14:paraId="18387FAD" w14:textId="77777777">
            <w:pPr>
              <w:jc w:val="center"/>
              <w:rPr>
                <w:iCs/>
                <w:sz w:val="22"/>
                <w:szCs w:val="22"/>
              </w:rPr>
            </w:pPr>
            <w:r w:rsidRPr="00DC1ED2">
              <w:rPr>
                <w:sz w:val="22"/>
                <w:szCs w:val="22"/>
              </w:rPr>
              <w:t>Hours Used</w:t>
            </w:r>
          </w:p>
        </w:tc>
      </w:tr>
      <w:tr w14:paraId="2AC33064" w14:textId="77777777" w:rsidTr="0062388B">
        <w:tblPrEx>
          <w:tblW w:w="5000" w:type="pct"/>
          <w:jc w:val="center"/>
          <w:tblLayout w:type="fixed"/>
          <w:tblLook w:val="01E0"/>
        </w:tblPrEx>
        <w:trPr>
          <w:cantSplit/>
          <w:trHeight w:val="3600"/>
          <w:jc w:val="center"/>
        </w:trPr>
        <w:tc>
          <w:tcPr>
            <w:tcW w:w="1325" w:type="pct"/>
            <w:shd w:val="clear" w:color="auto" w:fill="auto"/>
            <w:vAlign w:val="center"/>
          </w:tcPr>
          <w:p w:rsidR="00EB7006" w:rsidRPr="00F90910" w:rsidP="008A43F8" w14:paraId="0E0107BC" w14:textId="63B7F2BE">
            <w:pPr>
              <w:keepLines/>
              <w:ind w:right="-17"/>
              <w:jc w:val="center"/>
              <w:rPr>
                <w:sz w:val="22"/>
                <w:szCs w:val="22"/>
              </w:rPr>
            </w:pPr>
            <w:r w:rsidRPr="16044B4F">
              <w:rPr>
                <w:sz w:val="22"/>
                <w:szCs w:val="22"/>
              </w:rPr>
              <w:t>Consumer Perceptions of Cessation and Harm Messaging (</w:t>
            </w:r>
            <w:r w:rsidRPr="16044B4F">
              <w:rPr>
                <w:sz w:val="22"/>
                <w:szCs w:val="22"/>
              </w:rPr>
              <w:t>CHarM</w:t>
            </w:r>
            <w:r w:rsidRPr="16044B4F">
              <w:rPr>
                <w:sz w:val="22"/>
                <w:szCs w:val="22"/>
              </w:rPr>
              <w:t xml:space="preserve">) </w:t>
            </w:r>
            <w:r w:rsidR="008A43F8">
              <w:rPr>
                <w:sz w:val="22"/>
                <w:szCs w:val="22"/>
              </w:rPr>
              <w:br/>
            </w:r>
            <w:r w:rsidRPr="16044B4F">
              <w:rPr>
                <w:sz w:val="22"/>
                <w:szCs w:val="22"/>
              </w:rPr>
              <w:t>Study 1</w:t>
            </w:r>
          </w:p>
        </w:tc>
        <w:tc>
          <w:tcPr>
            <w:tcW w:w="814" w:type="pct"/>
            <w:vAlign w:val="center"/>
          </w:tcPr>
          <w:p w:rsidR="00EB7006" w:rsidRPr="00F90910" w:rsidP="007F61D3" w14:paraId="58926680" w14:textId="49DE582B">
            <w:pPr>
              <w:autoSpaceDE w:val="0"/>
              <w:autoSpaceDN w:val="0"/>
              <w:adjustRightInd w:val="0"/>
              <w:rPr>
                <w:sz w:val="22"/>
                <w:szCs w:val="22"/>
              </w:rPr>
            </w:pPr>
            <w:r w:rsidRPr="7E4517DA">
              <w:rPr>
                <w:sz w:val="22"/>
                <w:szCs w:val="22"/>
              </w:rPr>
              <w:t xml:space="preserve">August </w:t>
            </w:r>
            <w:r w:rsidRPr="7E4517DA" w:rsidR="0062388B">
              <w:rPr>
                <w:sz w:val="22"/>
                <w:szCs w:val="22"/>
              </w:rPr>
              <w:t>31</w:t>
            </w:r>
            <w:r w:rsidR="0062388B">
              <w:rPr>
                <w:sz w:val="22"/>
                <w:szCs w:val="22"/>
              </w:rPr>
              <w:t xml:space="preserve"> </w:t>
            </w:r>
            <w:r w:rsidRPr="36FAB527" w:rsidR="0062388B">
              <w:rPr>
                <w:sz w:val="22"/>
                <w:szCs w:val="22"/>
              </w:rPr>
              <w:t xml:space="preserve">– </w:t>
            </w:r>
            <w:r w:rsidRPr="7E4517DA">
              <w:rPr>
                <w:sz w:val="22"/>
                <w:szCs w:val="22"/>
              </w:rPr>
              <w:t>October 5, 2023</w:t>
            </w:r>
          </w:p>
        </w:tc>
        <w:tc>
          <w:tcPr>
            <w:tcW w:w="643" w:type="pct"/>
            <w:shd w:val="clear" w:color="auto" w:fill="auto"/>
            <w:vAlign w:val="center"/>
          </w:tcPr>
          <w:p w:rsidR="00EB7006" w:rsidRPr="00F90910" w:rsidP="008A43F8" w14:paraId="037326FA" w14:textId="61596430">
            <w:pPr>
              <w:autoSpaceDE w:val="0"/>
              <w:autoSpaceDN w:val="0"/>
              <w:adjustRightInd w:val="0"/>
              <w:jc w:val="center"/>
              <w:rPr>
                <w:sz w:val="22"/>
                <w:szCs w:val="22"/>
              </w:rPr>
            </w:pPr>
            <w:r w:rsidRPr="7E4517DA">
              <w:rPr>
                <w:sz w:val="22"/>
                <w:szCs w:val="22"/>
              </w:rPr>
              <w:t>67</w:t>
            </w:r>
          </w:p>
        </w:tc>
        <w:tc>
          <w:tcPr>
            <w:tcW w:w="1542" w:type="pct"/>
            <w:vAlign w:val="center"/>
          </w:tcPr>
          <w:p w:rsidR="00EB7006" w:rsidRPr="00F90910" w:rsidP="008A43F8" w14:paraId="73AAFC90" w14:textId="6226B3A9">
            <w:pPr>
              <w:jc w:val="center"/>
              <w:rPr>
                <w:color w:val="000000"/>
                <w:sz w:val="22"/>
                <w:szCs w:val="22"/>
              </w:rPr>
            </w:pPr>
            <w:r w:rsidRPr="00773925">
              <w:rPr>
                <w:color w:val="000000"/>
                <w:sz w:val="22"/>
                <w:szCs w:val="22"/>
              </w:rPr>
              <w:t>Information obtained through this qualitative study</w:t>
            </w:r>
            <w:r>
              <w:rPr>
                <w:color w:val="000000"/>
                <w:sz w:val="22"/>
                <w:szCs w:val="22"/>
              </w:rPr>
              <w:t xml:space="preserve"> </w:t>
            </w:r>
            <w:r w:rsidRPr="00C01153" w:rsidR="00C01153">
              <w:rPr>
                <w:color w:val="000000"/>
                <w:sz w:val="22"/>
                <w:szCs w:val="22"/>
              </w:rPr>
              <w:t>test</w:t>
            </w:r>
            <w:r>
              <w:rPr>
                <w:color w:val="000000"/>
                <w:sz w:val="22"/>
                <w:szCs w:val="22"/>
              </w:rPr>
              <w:t>ed</w:t>
            </w:r>
            <w:r w:rsidRPr="00C01153" w:rsidR="00C01153">
              <w:rPr>
                <w:color w:val="000000"/>
                <w:sz w:val="22"/>
                <w:szCs w:val="22"/>
              </w:rPr>
              <w:t xml:space="preserve"> draft stimuli around cessation, combustion, and lower risk alternatives.</w:t>
            </w:r>
          </w:p>
        </w:tc>
        <w:tc>
          <w:tcPr>
            <w:tcW w:w="675" w:type="pct"/>
            <w:vAlign w:val="center"/>
          </w:tcPr>
          <w:p w:rsidR="00EB7006" w:rsidRPr="00F90910" w:rsidP="008A43F8" w14:paraId="01A825EA" w14:textId="2CEFB8FB">
            <w:pPr>
              <w:jc w:val="center"/>
              <w:rPr>
                <w:sz w:val="22"/>
                <w:szCs w:val="22"/>
              </w:rPr>
            </w:pPr>
            <w:r w:rsidRPr="7E4517DA">
              <w:rPr>
                <w:sz w:val="22"/>
                <w:szCs w:val="22"/>
              </w:rPr>
              <w:t>334</w:t>
            </w:r>
          </w:p>
        </w:tc>
      </w:tr>
      <w:tr w14:paraId="1F66D061" w14:textId="77777777" w:rsidTr="0062388B">
        <w:tblPrEx>
          <w:tblW w:w="5000" w:type="pct"/>
          <w:jc w:val="center"/>
          <w:tblLayout w:type="fixed"/>
          <w:tblLook w:val="01E0"/>
        </w:tblPrEx>
        <w:trPr>
          <w:cantSplit/>
          <w:trHeight w:val="3600"/>
          <w:jc w:val="center"/>
        </w:trPr>
        <w:tc>
          <w:tcPr>
            <w:tcW w:w="1325" w:type="pct"/>
            <w:shd w:val="clear" w:color="auto" w:fill="auto"/>
            <w:vAlign w:val="center"/>
          </w:tcPr>
          <w:p w:rsidR="005C37F1" w:rsidRPr="00F90910" w:rsidP="008A43F8" w14:paraId="53DE7C4F" w14:textId="77777777">
            <w:pPr>
              <w:keepLines/>
              <w:ind w:right="-17"/>
              <w:jc w:val="center"/>
              <w:rPr>
                <w:sz w:val="22"/>
                <w:szCs w:val="22"/>
              </w:rPr>
            </w:pPr>
          </w:p>
          <w:p w:rsidR="005C37F1" w:rsidRPr="00F90910" w:rsidP="008A43F8" w14:paraId="3D328345" w14:textId="77EEBB17">
            <w:pPr>
              <w:keepLines/>
              <w:ind w:right="-17"/>
              <w:jc w:val="center"/>
              <w:rPr>
                <w:sz w:val="22"/>
                <w:szCs w:val="22"/>
              </w:rPr>
            </w:pPr>
            <w:r w:rsidRPr="16044B4F">
              <w:rPr>
                <w:sz w:val="22"/>
                <w:szCs w:val="22"/>
              </w:rPr>
              <w:t>Menthol User Audience Research</w:t>
            </w:r>
          </w:p>
          <w:p w:rsidR="005C37F1" w:rsidRPr="00F90910" w:rsidP="008A43F8" w14:paraId="13EEA5C2" w14:textId="1953C17C">
            <w:pPr>
              <w:keepLines/>
              <w:ind w:right="-17"/>
              <w:jc w:val="center"/>
              <w:rPr>
                <w:sz w:val="22"/>
                <w:szCs w:val="22"/>
              </w:rPr>
            </w:pPr>
          </w:p>
        </w:tc>
        <w:tc>
          <w:tcPr>
            <w:tcW w:w="814" w:type="pct"/>
            <w:vAlign w:val="center"/>
          </w:tcPr>
          <w:p w:rsidR="005C37F1" w:rsidRPr="00F90910" w:rsidP="007F61D3" w14:paraId="14DF79D5" w14:textId="5F7F8E38">
            <w:pPr>
              <w:autoSpaceDE w:val="0"/>
              <w:autoSpaceDN w:val="0"/>
              <w:adjustRightInd w:val="0"/>
              <w:rPr>
                <w:sz w:val="22"/>
                <w:szCs w:val="22"/>
              </w:rPr>
            </w:pPr>
            <w:r w:rsidRPr="36FAB527">
              <w:rPr>
                <w:sz w:val="22"/>
                <w:szCs w:val="22"/>
              </w:rPr>
              <w:t xml:space="preserve">October </w:t>
            </w:r>
            <w:r w:rsidRPr="36FAB527">
              <w:rPr>
                <w:sz w:val="22"/>
                <w:szCs w:val="22"/>
              </w:rPr>
              <w:t>30</w:t>
            </w:r>
            <w:r w:rsidR="0062388B">
              <w:rPr>
                <w:sz w:val="22"/>
                <w:szCs w:val="22"/>
              </w:rPr>
              <w:t xml:space="preserve"> </w:t>
            </w:r>
            <w:r w:rsidRPr="36FAB527" w:rsidR="0062388B">
              <w:rPr>
                <w:sz w:val="22"/>
                <w:szCs w:val="22"/>
              </w:rPr>
              <w:t xml:space="preserve"> –</w:t>
            </w:r>
            <w:r w:rsidRPr="36FAB527" w:rsidR="0062388B">
              <w:rPr>
                <w:sz w:val="22"/>
                <w:szCs w:val="22"/>
              </w:rPr>
              <w:t xml:space="preserve">  </w:t>
            </w:r>
            <w:r w:rsidRPr="36FAB527">
              <w:rPr>
                <w:sz w:val="22"/>
                <w:szCs w:val="22"/>
              </w:rPr>
              <w:t>December 18, 2023</w:t>
            </w:r>
          </w:p>
        </w:tc>
        <w:tc>
          <w:tcPr>
            <w:tcW w:w="643" w:type="pct"/>
            <w:shd w:val="clear" w:color="auto" w:fill="auto"/>
            <w:vAlign w:val="center"/>
          </w:tcPr>
          <w:p w:rsidR="0062388B" w:rsidP="008A43F8" w14:paraId="50FE0135" w14:textId="77777777">
            <w:pPr>
              <w:autoSpaceDE w:val="0"/>
              <w:autoSpaceDN w:val="0"/>
              <w:adjustRightInd w:val="0"/>
              <w:jc w:val="center"/>
              <w:rPr>
                <w:sz w:val="22"/>
                <w:szCs w:val="22"/>
              </w:rPr>
            </w:pPr>
            <w:r w:rsidRPr="36FAB527">
              <w:rPr>
                <w:sz w:val="22"/>
                <w:szCs w:val="22"/>
              </w:rPr>
              <w:t>1,020</w:t>
            </w:r>
          </w:p>
          <w:p w:rsidR="0062388B" w:rsidP="008A43F8" w14:paraId="0A8F3A3A" w14:textId="568960A3">
            <w:pPr>
              <w:autoSpaceDE w:val="0"/>
              <w:autoSpaceDN w:val="0"/>
              <w:adjustRightInd w:val="0"/>
              <w:jc w:val="center"/>
              <w:rPr>
                <w:sz w:val="22"/>
                <w:szCs w:val="22"/>
              </w:rPr>
            </w:pPr>
            <w:r>
              <w:rPr>
                <w:sz w:val="22"/>
                <w:szCs w:val="22"/>
              </w:rPr>
              <w:t>Participants</w:t>
            </w:r>
          </w:p>
          <w:p w:rsidR="0062388B" w:rsidP="008A43F8" w14:paraId="3C13DFB1" w14:textId="33B96DA1">
            <w:pPr>
              <w:autoSpaceDE w:val="0"/>
              <w:autoSpaceDN w:val="0"/>
              <w:adjustRightInd w:val="0"/>
              <w:jc w:val="center"/>
              <w:rPr>
                <w:sz w:val="22"/>
                <w:szCs w:val="22"/>
              </w:rPr>
            </w:pPr>
          </w:p>
          <w:p w:rsidR="0062388B" w:rsidP="008A43F8" w14:paraId="6096C6BF" w14:textId="13537983">
            <w:pPr>
              <w:autoSpaceDE w:val="0"/>
              <w:autoSpaceDN w:val="0"/>
              <w:adjustRightInd w:val="0"/>
              <w:jc w:val="center"/>
              <w:rPr>
                <w:sz w:val="22"/>
                <w:szCs w:val="22"/>
              </w:rPr>
            </w:pPr>
            <w:r w:rsidRPr="36FAB527">
              <w:rPr>
                <w:sz w:val="22"/>
                <w:szCs w:val="22"/>
              </w:rPr>
              <w:t>8</w:t>
            </w:r>
            <w:r>
              <w:rPr>
                <w:sz w:val="22"/>
                <w:szCs w:val="22"/>
              </w:rPr>
              <w:t>,</w:t>
            </w:r>
            <w:r w:rsidRPr="36FAB527">
              <w:rPr>
                <w:sz w:val="22"/>
                <w:szCs w:val="22"/>
              </w:rPr>
              <w:t>299</w:t>
            </w:r>
          </w:p>
          <w:p w:rsidR="005C37F1" w:rsidRPr="00F90910" w:rsidP="008A43F8" w14:paraId="4559B1C8" w14:textId="6F4D288D">
            <w:pPr>
              <w:autoSpaceDE w:val="0"/>
              <w:autoSpaceDN w:val="0"/>
              <w:adjustRightInd w:val="0"/>
              <w:jc w:val="center"/>
              <w:rPr>
                <w:sz w:val="22"/>
                <w:szCs w:val="22"/>
              </w:rPr>
            </w:pPr>
            <w:r>
              <w:rPr>
                <w:sz w:val="22"/>
                <w:szCs w:val="22"/>
              </w:rPr>
              <w:t>S</w:t>
            </w:r>
            <w:r w:rsidRPr="36FAB527" w:rsidR="339F5788">
              <w:rPr>
                <w:sz w:val="22"/>
                <w:szCs w:val="22"/>
              </w:rPr>
              <w:t>creened</w:t>
            </w:r>
          </w:p>
        </w:tc>
        <w:tc>
          <w:tcPr>
            <w:tcW w:w="1542" w:type="pct"/>
            <w:vAlign w:val="center"/>
          </w:tcPr>
          <w:p w:rsidR="005C37F1" w:rsidRPr="00F90910" w:rsidP="008A43F8" w14:paraId="1D06293D" w14:textId="7E19932B">
            <w:pPr>
              <w:jc w:val="center"/>
              <w:rPr>
                <w:color w:val="000000"/>
                <w:sz w:val="22"/>
                <w:szCs w:val="22"/>
              </w:rPr>
            </w:pPr>
            <w:r w:rsidRPr="00773925">
              <w:rPr>
                <w:color w:val="000000"/>
                <w:sz w:val="22"/>
                <w:szCs w:val="22"/>
              </w:rPr>
              <w:t>Information obtained through this qualitative study</w:t>
            </w:r>
            <w:r>
              <w:rPr>
                <w:color w:val="000000"/>
                <w:sz w:val="22"/>
                <w:szCs w:val="22"/>
              </w:rPr>
              <w:t xml:space="preserve"> </w:t>
            </w:r>
            <w:r w:rsidRPr="00F90910" w:rsidR="00F90910">
              <w:rPr>
                <w:color w:val="000000"/>
                <w:sz w:val="22"/>
                <w:szCs w:val="22"/>
              </w:rPr>
              <w:t>examine</w:t>
            </w:r>
            <w:r>
              <w:rPr>
                <w:color w:val="000000"/>
                <w:sz w:val="22"/>
                <w:szCs w:val="22"/>
              </w:rPr>
              <w:t>d</w:t>
            </w:r>
            <w:r w:rsidRPr="00F90910" w:rsidR="00F90910">
              <w:rPr>
                <w:color w:val="000000"/>
                <w:sz w:val="22"/>
                <w:szCs w:val="22"/>
              </w:rPr>
              <w:t xml:space="preserve"> demographic, sociocultural, psychographic, and behavioral characteristics of adult menthol cigarette users to identify segments that are most likely to adopt less harmful behaviors in response to targeted messaging; and </w:t>
            </w:r>
            <w:r>
              <w:rPr>
                <w:color w:val="000000"/>
                <w:sz w:val="22"/>
                <w:szCs w:val="22"/>
              </w:rPr>
              <w:t xml:space="preserve">helped </w:t>
            </w:r>
            <w:r w:rsidRPr="00F90910" w:rsidR="00F90910">
              <w:rPr>
                <w:color w:val="000000"/>
                <w:sz w:val="22"/>
                <w:szCs w:val="22"/>
              </w:rPr>
              <w:t>to identify communication strategies to support menthol smokers in less harmful behaviors.</w:t>
            </w:r>
          </w:p>
        </w:tc>
        <w:tc>
          <w:tcPr>
            <w:tcW w:w="675" w:type="pct"/>
            <w:vAlign w:val="center"/>
          </w:tcPr>
          <w:p w:rsidR="005C37F1" w:rsidRPr="00F90910" w:rsidP="008A43F8" w14:paraId="1068CC00" w14:textId="04694E31">
            <w:pPr>
              <w:jc w:val="center"/>
              <w:rPr>
                <w:sz w:val="22"/>
                <w:szCs w:val="22"/>
              </w:rPr>
            </w:pPr>
            <w:r w:rsidRPr="36FAB527">
              <w:rPr>
                <w:sz w:val="22"/>
                <w:szCs w:val="22"/>
              </w:rPr>
              <w:t>1</w:t>
            </w:r>
            <w:r w:rsidR="0062388B">
              <w:rPr>
                <w:sz w:val="22"/>
                <w:szCs w:val="22"/>
              </w:rPr>
              <w:t>,</w:t>
            </w:r>
            <w:r w:rsidRPr="36FAB527">
              <w:rPr>
                <w:sz w:val="22"/>
                <w:szCs w:val="22"/>
              </w:rPr>
              <w:t>026</w:t>
            </w:r>
          </w:p>
        </w:tc>
      </w:tr>
      <w:tr w14:paraId="032C50FC" w14:textId="77777777" w:rsidTr="0062388B">
        <w:tblPrEx>
          <w:tblW w:w="5000" w:type="pct"/>
          <w:jc w:val="center"/>
          <w:tblLayout w:type="fixed"/>
          <w:tblLook w:val="01E0"/>
        </w:tblPrEx>
        <w:trPr>
          <w:cantSplit/>
          <w:trHeight w:val="3600"/>
          <w:jc w:val="center"/>
        </w:trPr>
        <w:tc>
          <w:tcPr>
            <w:tcW w:w="1325" w:type="pct"/>
            <w:shd w:val="clear" w:color="auto" w:fill="auto"/>
            <w:vAlign w:val="center"/>
          </w:tcPr>
          <w:p w:rsidR="0004628A" w:rsidRPr="00F90910" w:rsidP="008A43F8" w14:paraId="4B676BD6" w14:textId="569E3FFA">
            <w:pPr>
              <w:keepLines/>
              <w:ind w:right="-17"/>
              <w:jc w:val="center"/>
              <w:rPr>
                <w:sz w:val="22"/>
                <w:szCs w:val="22"/>
              </w:rPr>
            </w:pPr>
            <w:r w:rsidRPr="16044B4F">
              <w:rPr>
                <w:sz w:val="22"/>
                <w:szCs w:val="22"/>
              </w:rPr>
              <w:t>Consumer Perceptions of Modified and Reduced Risk (</w:t>
            </w:r>
            <w:r w:rsidRPr="16044B4F">
              <w:rPr>
                <w:sz w:val="22"/>
                <w:szCs w:val="22"/>
              </w:rPr>
              <w:t>MoRR</w:t>
            </w:r>
            <w:r w:rsidRPr="16044B4F">
              <w:rPr>
                <w:sz w:val="22"/>
                <w:szCs w:val="22"/>
              </w:rPr>
              <w:t>)</w:t>
            </w:r>
          </w:p>
        </w:tc>
        <w:tc>
          <w:tcPr>
            <w:tcW w:w="814" w:type="pct"/>
            <w:vAlign w:val="center"/>
          </w:tcPr>
          <w:p w:rsidR="0004628A" w:rsidP="0004628A" w14:paraId="59A0DA51" w14:textId="59A76735">
            <w:pPr>
              <w:autoSpaceDE w:val="0"/>
              <w:autoSpaceDN w:val="0"/>
              <w:adjustRightInd w:val="0"/>
              <w:jc w:val="center"/>
              <w:rPr>
                <w:sz w:val="22"/>
                <w:szCs w:val="22"/>
              </w:rPr>
            </w:pPr>
            <w:r w:rsidRPr="7E4517DA">
              <w:rPr>
                <w:sz w:val="22"/>
                <w:szCs w:val="22"/>
              </w:rPr>
              <w:t>April 10</w:t>
            </w:r>
            <w:r w:rsidRPr="36FAB527" w:rsidR="0062388B">
              <w:rPr>
                <w:sz w:val="22"/>
                <w:szCs w:val="22"/>
              </w:rPr>
              <w:t xml:space="preserve"> – </w:t>
            </w:r>
            <w:r w:rsidR="0062388B">
              <w:rPr>
                <w:sz w:val="22"/>
                <w:szCs w:val="22"/>
              </w:rPr>
              <w:br/>
            </w:r>
            <w:r w:rsidRPr="7E4517DA">
              <w:rPr>
                <w:sz w:val="22"/>
                <w:szCs w:val="22"/>
              </w:rPr>
              <w:t>June 4, 2024</w:t>
            </w:r>
          </w:p>
        </w:tc>
        <w:tc>
          <w:tcPr>
            <w:tcW w:w="643" w:type="pct"/>
            <w:shd w:val="clear" w:color="auto" w:fill="auto"/>
            <w:vAlign w:val="center"/>
          </w:tcPr>
          <w:p w:rsidR="0004628A" w:rsidP="0004628A" w14:paraId="0AE42CA5" w14:textId="2E1F6A91">
            <w:pPr>
              <w:autoSpaceDE w:val="0"/>
              <w:autoSpaceDN w:val="0"/>
              <w:adjustRightInd w:val="0"/>
              <w:jc w:val="center"/>
              <w:rPr>
                <w:sz w:val="22"/>
                <w:szCs w:val="22"/>
              </w:rPr>
            </w:pPr>
            <w:r w:rsidRPr="21530807">
              <w:rPr>
                <w:sz w:val="22"/>
                <w:szCs w:val="22"/>
              </w:rPr>
              <w:t>7</w:t>
            </w:r>
            <w:r w:rsidRPr="21530807" w:rsidR="172561A1">
              <w:rPr>
                <w:sz w:val="22"/>
                <w:szCs w:val="22"/>
              </w:rPr>
              <w:t>9</w:t>
            </w:r>
          </w:p>
        </w:tc>
        <w:tc>
          <w:tcPr>
            <w:tcW w:w="1542" w:type="pct"/>
            <w:vAlign w:val="center"/>
          </w:tcPr>
          <w:p w:rsidR="0004628A" w:rsidRPr="00F90910" w:rsidP="008A43F8" w14:paraId="6E9179E6" w14:textId="36C377D7">
            <w:pPr>
              <w:jc w:val="center"/>
              <w:rPr>
                <w:sz w:val="22"/>
                <w:szCs w:val="22"/>
              </w:rPr>
            </w:pPr>
            <w:r w:rsidRPr="00773925">
              <w:rPr>
                <w:sz w:val="22"/>
                <w:szCs w:val="22"/>
              </w:rPr>
              <w:t xml:space="preserve">Information obtained through this qualitative study </w:t>
            </w:r>
            <w:r>
              <w:rPr>
                <w:sz w:val="22"/>
                <w:szCs w:val="22"/>
              </w:rPr>
              <w:t xml:space="preserve">informed </w:t>
            </w:r>
            <w:r w:rsidRPr="00EB7006">
              <w:rPr>
                <w:sz w:val="22"/>
                <w:szCs w:val="22"/>
              </w:rPr>
              <w:t>FDA CTP web content and other consumer-facing health communication materials (e.g., webinars, presentations) that define modified risk tobacco products and explain in plain language the concepts of modified risk and the continuum of risk.</w:t>
            </w:r>
          </w:p>
        </w:tc>
        <w:tc>
          <w:tcPr>
            <w:tcW w:w="675" w:type="pct"/>
            <w:vAlign w:val="center"/>
          </w:tcPr>
          <w:p w:rsidR="0004628A" w:rsidP="0004628A" w14:paraId="5DFE6317" w14:textId="22B1F6D1">
            <w:pPr>
              <w:jc w:val="center"/>
              <w:rPr>
                <w:sz w:val="22"/>
                <w:szCs w:val="22"/>
              </w:rPr>
            </w:pPr>
            <w:r w:rsidRPr="21530807">
              <w:rPr>
                <w:sz w:val="22"/>
                <w:szCs w:val="22"/>
              </w:rPr>
              <w:t>3</w:t>
            </w:r>
            <w:r w:rsidRPr="21530807" w:rsidR="37B557D1">
              <w:rPr>
                <w:sz w:val="22"/>
                <w:szCs w:val="22"/>
              </w:rPr>
              <w:t>5</w:t>
            </w:r>
            <w:r w:rsidRPr="21530807">
              <w:rPr>
                <w:sz w:val="22"/>
                <w:szCs w:val="22"/>
              </w:rPr>
              <w:t>8</w:t>
            </w:r>
          </w:p>
        </w:tc>
      </w:tr>
      <w:tr w14:paraId="4150CE1D" w14:textId="77777777" w:rsidTr="0062388B">
        <w:tblPrEx>
          <w:tblW w:w="5000" w:type="pct"/>
          <w:jc w:val="center"/>
          <w:tblLayout w:type="fixed"/>
          <w:tblLook w:val="01E0"/>
        </w:tblPrEx>
        <w:trPr>
          <w:cantSplit/>
          <w:trHeight w:val="3600"/>
          <w:jc w:val="center"/>
        </w:trPr>
        <w:tc>
          <w:tcPr>
            <w:tcW w:w="1325" w:type="pct"/>
            <w:shd w:val="clear" w:color="auto" w:fill="auto"/>
            <w:vAlign w:val="center"/>
          </w:tcPr>
          <w:p w:rsidR="0004628A" w:rsidRPr="00F90910" w:rsidP="008A43F8" w14:paraId="6384D70B" w14:textId="362FD2D4">
            <w:pPr>
              <w:keepLines/>
              <w:ind w:right="-17"/>
              <w:jc w:val="center"/>
              <w:rPr>
                <w:sz w:val="22"/>
                <w:szCs w:val="22"/>
              </w:rPr>
            </w:pPr>
            <w:r w:rsidRPr="36FAB527">
              <w:rPr>
                <w:sz w:val="22"/>
                <w:szCs w:val="22"/>
              </w:rPr>
              <w:t xml:space="preserve">Qualitative Study of Product Category Comparison Statements </w:t>
            </w:r>
            <w:r w:rsidR="008A43F8">
              <w:rPr>
                <w:sz w:val="22"/>
                <w:szCs w:val="22"/>
              </w:rPr>
              <w:br/>
            </w:r>
            <w:r w:rsidRPr="36FAB527">
              <w:rPr>
                <w:sz w:val="22"/>
                <w:szCs w:val="22"/>
              </w:rPr>
              <w:t>(MRTPs and HPHCs)</w:t>
            </w:r>
          </w:p>
        </w:tc>
        <w:tc>
          <w:tcPr>
            <w:tcW w:w="814" w:type="pct"/>
            <w:vAlign w:val="center"/>
          </w:tcPr>
          <w:p w:rsidR="0004628A" w:rsidRPr="00F90910" w:rsidP="0004628A" w14:paraId="7A3AA4F2" w14:textId="23785562">
            <w:pPr>
              <w:autoSpaceDE w:val="0"/>
              <w:autoSpaceDN w:val="0"/>
              <w:adjustRightInd w:val="0"/>
              <w:jc w:val="center"/>
              <w:rPr>
                <w:sz w:val="22"/>
                <w:szCs w:val="22"/>
              </w:rPr>
            </w:pPr>
            <w:r w:rsidRPr="36FAB527">
              <w:rPr>
                <w:sz w:val="22"/>
                <w:szCs w:val="22"/>
              </w:rPr>
              <w:t>June 17 – August 1, 2024 (</w:t>
            </w:r>
            <w:r w:rsidR="0062388B">
              <w:rPr>
                <w:sz w:val="22"/>
                <w:szCs w:val="22"/>
              </w:rPr>
              <w:t>E</w:t>
            </w:r>
            <w:r w:rsidRPr="36FAB527">
              <w:rPr>
                <w:sz w:val="22"/>
                <w:szCs w:val="22"/>
              </w:rPr>
              <w:t>stimated)</w:t>
            </w:r>
          </w:p>
        </w:tc>
        <w:tc>
          <w:tcPr>
            <w:tcW w:w="643" w:type="pct"/>
            <w:shd w:val="clear" w:color="auto" w:fill="auto"/>
            <w:vAlign w:val="center"/>
          </w:tcPr>
          <w:p w:rsidR="0062388B" w:rsidP="36FAB527" w14:paraId="2E949D7E" w14:textId="77777777">
            <w:pPr>
              <w:autoSpaceDE w:val="0"/>
              <w:autoSpaceDN w:val="0"/>
              <w:adjustRightInd w:val="0"/>
              <w:jc w:val="center"/>
              <w:rPr>
                <w:sz w:val="22"/>
                <w:szCs w:val="22"/>
              </w:rPr>
            </w:pPr>
            <w:r w:rsidRPr="36FAB527">
              <w:rPr>
                <w:sz w:val="22"/>
                <w:szCs w:val="22"/>
              </w:rPr>
              <w:t xml:space="preserve">160 </w:t>
            </w:r>
            <w:r>
              <w:rPr>
                <w:sz w:val="22"/>
                <w:szCs w:val="22"/>
              </w:rPr>
              <w:t>P</w:t>
            </w:r>
            <w:r w:rsidRPr="36FAB527">
              <w:rPr>
                <w:sz w:val="22"/>
                <w:szCs w:val="22"/>
              </w:rPr>
              <w:t>articipants (</w:t>
            </w:r>
            <w:r>
              <w:rPr>
                <w:sz w:val="22"/>
                <w:szCs w:val="22"/>
              </w:rPr>
              <w:t>E</w:t>
            </w:r>
            <w:r w:rsidRPr="36FAB527">
              <w:rPr>
                <w:sz w:val="22"/>
                <w:szCs w:val="22"/>
              </w:rPr>
              <w:t>stimated</w:t>
            </w:r>
            <w:r w:rsidRPr="36FAB527" w:rsidR="013487B5">
              <w:rPr>
                <w:sz w:val="22"/>
                <w:szCs w:val="22"/>
              </w:rPr>
              <w:t>)</w:t>
            </w:r>
          </w:p>
          <w:p w:rsidR="0062388B" w:rsidP="36FAB527" w14:paraId="153B685B" w14:textId="77777777">
            <w:pPr>
              <w:autoSpaceDE w:val="0"/>
              <w:autoSpaceDN w:val="0"/>
              <w:adjustRightInd w:val="0"/>
              <w:jc w:val="center"/>
              <w:rPr>
                <w:sz w:val="22"/>
                <w:szCs w:val="22"/>
              </w:rPr>
            </w:pPr>
          </w:p>
          <w:p w:rsidR="0062388B" w:rsidP="36FAB527" w14:paraId="63DABEF8" w14:textId="77777777">
            <w:pPr>
              <w:autoSpaceDE w:val="0"/>
              <w:autoSpaceDN w:val="0"/>
              <w:adjustRightInd w:val="0"/>
              <w:jc w:val="center"/>
              <w:rPr>
                <w:sz w:val="22"/>
                <w:szCs w:val="22"/>
              </w:rPr>
            </w:pPr>
            <w:r w:rsidRPr="36FAB527">
              <w:rPr>
                <w:sz w:val="22"/>
                <w:szCs w:val="22"/>
              </w:rPr>
              <w:t xml:space="preserve">200 </w:t>
            </w:r>
            <w:r>
              <w:rPr>
                <w:sz w:val="22"/>
                <w:szCs w:val="22"/>
              </w:rPr>
              <w:t>R</w:t>
            </w:r>
            <w:r w:rsidRPr="36FAB527">
              <w:rPr>
                <w:sz w:val="22"/>
                <w:szCs w:val="22"/>
              </w:rPr>
              <w:t>ecruited (</w:t>
            </w:r>
            <w:r>
              <w:rPr>
                <w:sz w:val="22"/>
                <w:szCs w:val="22"/>
              </w:rPr>
              <w:t>E</w:t>
            </w:r>
            <w:r w:rsidRPr="36FAB527">
              <w:rPr>
                <w:sz w:val="22"/>
                <w:szCs w:val="22"/>
              </w:rPr>
              <w:t>stimated)</w:t>
            </w:r>
          </w:p>
          <w:p w:rsidR="0062388B" w:rsidP="36FAB527" w14:paraId="13CC79B8" w14:textId="77777777">
            <w:pPr>
              <w:autoSpaceDE w:val="0"/>
              <w:autoSpaceDN w:val="0"/>
              <w:adjustRightInd w:val="0"/>
              <w:jc w:val="center"/>
              <w:rPr>
                <w:sz w:val="22"/>
                <w:szCs w:val="22"/>
              </w:rPr>
            </w:pPr>
          </w:p>
          <w:p w:rsidR="0004628A" w:rsidRPr="00F90910" w:rsidP="36FAB527" w14:paraId="67473D18" w14:textId="6F243025">
            <w:pPr>
              <w:autoSpaceDE w:val="0"/>
              <w:autoSpaceDN w:val="0"/>
              <w:adjustRightInd w:val="0"/>
              <w:jc w:val="center"/>
              <w:rPr>
                <w:sz w:val="22"/>
                <w:szCs w:val="22"/>
              </w:rPr>
            </w:pPr>
            <w:r w:rsidRPr="36FAB527">
              <w:rPr>
                <w:sz w:val="22"/>
                <w:szCs w:val="22"/>
              </w:rPr>
              <w:t xml:space="preserve">550 </w:t>
            </w:r>
            <w:r w:rsidR="0062388B">
              <w:rPr>
                <w:sz w:val="22"/>
                <w:szCs w:val="22"/>
              </w:rPr>
              <w:t>S</w:t>
            </w:r>
            <w:r w:rsidRPr="36FAB527">
              <w:rPr>
                <w:sz w:val="22"/>
                <w:szCs w:val="22"/>
              </w:rPr>
              <w:t>creened (</w:t>
            </w:r>
            <w:r w:rsidR="0062388B">
              <w:rPr>
                <w:sz w:val="22"/>
                <w:szCs w:val="22"/>
              </w:rPr>
              <w:t>E</w:t>
            </w:r>
            <w:r w:rsidRPr="36FAB527">
              <w:rPr>
                <w:sz w:val="22"/>
                <w:szCs w:val="22"/>
              </w:rPr>
              <w:t>stimated)</w:t>
            </w:r>
          </w:p>
          <w:p w:rsidR="0004628A" w:rsidRPr="00F90910" w:rsidP="36FAB527" w14:paraId="36D6E3F5" w14:textId="6081D88A">
            <w:pPr>
              <w:autoSpaceDE w:val="0"/>
              <w:autoSpaceDN w:val="0"/>
              <w:adjustRightInd w:val="0"/>
              <w:jc w:val="center"/>
              <w:rPr>
                <w:sz w:val="22"/>
                <w:szCs w:val="22"/>
              </w:rPr>
            </w:pPr>
          </w:p>
        </w:tc>
        <w:tc>
          <w:tcPr>
            <w:tcW w:w="1542" w:type="pct"/>
            <w:vAlign w:val="center"/>
          </w:tcPr>
          <w:p w:rsidR="0004628A" w:rsidRPr="00F90910" w:rsidP="008A43F8" w14:paraId="6CF3F436" w14:textId="245A78C6">
            <w:pPr>
              <w:jc w:val="center"/>
              <w:rPr>
                <w:sz w:val="22"/>
                <w:szCs w:val="22"/>
              </w:rPr>
            </w:pPr>
            <w:r w:rsidRPr="00F90910">
              <w:rPr>
                <w:sz w:val="22"/>
                <w:szCs w:val="22"/>
              </w:rPr>
              <w:t xml:space="preserve">The purpose of this information collection </w:t>
            </w:r>
            <w:r w:rsidR="00583D16">
              <w:rPr>
                <w:sz w:val="22"/>
                <w:szCs w:val="22"/>
              </w:rPr>
              <w:t>is</w:t>
            </w:r>
            <w:r w:rsidRPr="00F90910">
              <w:rPr>
                <w:sz w:val="22"/>
                <w:szCs w:val="22"/>
              </w:rPr>
              <w:t xml:space="preserve"> to explore how adults who use tobacco products and young adults who do not use tobacco products perceive and react to different types of tobacco products (i.e., cigarettes, cigars, ENDS, smokeless, and nicotine pouches) when presented with tobacco-related information.</w:t>
            </w:r>
          </w:p>
        </w:tc>
        <w:tc>
          <w:tcPr>
            <w:tcW w:w="675" w:type="pct"/>
            <w:vAlign w:val="center"/>
          </w:tcPr>
          <w:p w:rsidR="0062388B" w:rsidP="0004628A" w14:paraId="6BD0EF2E" w14:textId="77777777">
            <w:pPr>
              <w:jc w:val="center"/>
              <w:rPr>
                <w:sz w:val="22"/>
                <w:szCs w:val="22"/>
              </w:rPr>
            </w:pPr>
            <w:r w:rsidRPr="36FAB527">
              <w:rPr>
                <w:sz w:val="22"/>
                <w:szCs w:val="22"/>
              </w:rPr>
              <w:t xml:space="preserve">528 </w:t>
            </w:r>
          </w:p>
          <w:p w:rsidR="0004628A" w:rsidRPr="00F90910" w:rsidP="0004628A" w14:paraId="65EC9D06" w14:textId="5E25D107">
            <w:pPr>
              <w:jc w:val="center"/>
              <w:rPr>
                <w:sz w:val="22"/>
                <w:szCs w:val="22"/>
              </w:rPr>
            </w:pPr>
            <w:r w:rsidRPr="36FAB527">
              <w:rPr>
                <w:sz w:val="22"/>
                <w:szCs w:val="22"/>
              </w:rPr>
              <w:t>(</w:t>
            </w:r>
            <w:r w:rsidR="0062388B">
              <w:rPr>
                <w:sz w:val="22"/>
                <w:szCs w:val="22"/>
              </w:rPr>
              <w:t>E</w:t>
            </w:r>
            <w:r w:rsidRPr="36FAB527">
              <w:rPr>
                <w:sz w:val="22"/>
                <w:szCs w:val="22"/>
              </w:rPr>
              <w:t>stimated)</w:t>
            </w:r>
          </w:p>
        </w:tc>
      </w:tr>
      <w:tr w14:paraId="50D789A6" w14:textId="77777777" w:rsidTr="0062388B">
        <w:tblPrEx>
          <w:tblW w:w="5000" w:type="pct"/>
          <w:jc w:val="center"/>
          <w:tblLayout w:type="fixed"/>
          <w:tblLook w:val="01E0"/>
        </w:tblPrEx>
        <w:trPr>
          <w:cantSplit/>
          <w:trHeight w:val="3600"/>
          <w:jc w:val="center"/>
        </w:trPr>
        <w:tc>
          <w:tcPr>
            <w:tcW w:w="1325" w:type="pct"/>
            <w:shd w:val="clear" w:color="auto" w:fill="auto"/>
            <w:vAlign w:val="center"/>
          </w:tcPr>
          <w:p w:rsidR="0004628A" w:rsidRPr="00F90910" w:rsidP="008A43F8" w14:paraId="4D26C43D" w14:textId="39BBAA95">
            <w:pPr>
              <w:keepLines/>
              <w:ind w:right="-17"/>
              <w:jc w:val="center"/>
              <w:rPr>
                <w:sz w:val="22"/>
                <w:szCs w:val="22"/>
              </w:rPr>
            </w:pPr>
            <w:r w:rsidRPr="16044B4F">
              <w:rPr>
                <w:sz w:val="22"/>
                <w:szCs w:val="22"/>
              </w:rPr>
              <w:t>Creative Concept Testing Designed to Prevent Youth and Young Adult ENDS Use (Wave 4B)</w:t>
            </w:r>
          </w:p>
        </w:tc>
        <w:tc>
          <w:tcPr>
            <w:tcW w:w="814" w:type="pct"/>
            <w:vAlign w:val="center"/>
          </w:tcPr>
          <w:p w:rsidR="0004628A" w:rsidP="0004628A" w14:paraId="02925B3D" w14:textId="0119E65E">
            <w:pPr>
              <w:autoSpaceDE w:val="0"/>
              <w:autoSpaceDN w:val="0"/>
              <w:adjustRightInd w:val="0"/>
              <w:jc w:val="center"/>
              <w:rPr>
                <w:sz w:val="22"/>
                <w:szCs w:val="22"/>
              </w:rPr>
            </w:pPr>
            <w:r w:rsidRPr="7E4517DA">
              <w:rPr>
                <w:sz w:val="22"/>
                <w:szCs w:val="22"/>
              </w:rPr>
              <w:t>July 8</w:t>
            </w:r>
            <w:r w:rsidRPr="36FAB527" w:rsidR="0062388B">
              <w:rPr>
                <w:sz w:val="22"/>
                <w:szCs w:val="22"/>
              </w:rPr>
              <w:t xml:space="preserve"> – </w:t>
            </w:r>
            <w:r w:rsidR="0062388B">
              <w:rPr>
                <w:sz w:val="22"/>
                <w:szCs w:val="22"/>
              </w:rPr>
              <w:br/>
            </w:r>
            <w:r w:rsidRPr="7E4517DA">
              <w:rPr>
                <w:sz w:val="22"/>
                <w:szCs w:val="22"/>
              </w:rPr>
              <w:t>August 13, 2024</w:t>
            </w:r>
          </w:p>
          <w:p w:rsidR="0062388B" w:rsidRPr="00F90910" w:rsidP="0004628A" w14:paraId="63432496" w14:textId="43C2DC72">
            <w:pPr>
              <w:autoSpaceDE w:val="0"/>
              <w:autoSpaceDN w:val="0"/>
              <w:adjustRightInd w:val="0"/>
              <w:jc w:val="center"/>
              <w:rPr>
                <w:sz w:val="22"/>
                <w:szCs w:val="22"/>
              </w:rPr>
            </w:pPr>
            <w:r w:rsidRPr="7E4517DA">
              <w:rPr>
                <w:sz w:val="22"/>
                <w:szCs w:val="22"/>
              </w:rPr>
              <w:t>(Estimated)</w:t>
            </w:r>
          </w:p>
        </w:tc>
        <w:tc>
          <w:tcPr>
            <w:tcW w:w="643" w:type="pct"/>
            <w:shd w:val="clear" w:color="auto" w:fill="auto"/>
            <w:vAlign w:val="center"/>
          </w:tcPr>
          <w:p w:rsidR="0062388B" w:rsidRPr="00F90910" w:rsidP="0004628A" w14:paraId="21DF72D3" w14:textId="10BBAC5F">
            <w:pPr>
              <w:autoSpaceDE w:val="0"/>
              <w:autoSpaceDN w:val="0"/>
              <w:adjustRightInd w:val="0"/>
              <w:jc w:val="center"/>
              <w:rPr>
                <w:sz w:val="22"/>
                <w:szCs w:val="22"/>
              </w:rPr>
            </w:pPr>
            <w:r>
              <w:rPr>
                <w:sz w:val="22"/>
                <w:szCs w:val="22"/>
              </w:rPr>
              <w:t>8,610</w:t>
            </w:r>
            <w:r w:rsidRPr="7E4517DA">
              <w:rPr>
                <w:sz w:val="22"/>
                <w:szCs w:val="22"/>
              </w:rPr>
              <w:t xml:space="preserve"> </w:t>
            </w:r>
            <w:r w:rsidRPr="7E4517DA">
              <w:rPr>
                <w:sz w:val="22"/>
                <w:szCs w:val="22"/>
              </w:rPr>
              <w:t>(Estimated)</w:t>
            </w:r>
          </w:p>
        </w:tc>
        <w:tc>
          <w:tcPr>
            <w:tcW w:w="1542" w:type="pct"/>
            <w:vAlign w:val="center"/>
          </w:tcPr>
          <w:p w:rsidR="0004628A" w:rsidRPr="00F90910" w:rsidP="008A43F8" w14:paraId="1444C473" w14:textId="6E874A5A">
            <w:pPr>
              <w:jc w:val="center"/>
              <w:rPr>
                <w:sz w:val="22"/>
                <w:szCs w:val="22"/>
              </w:rPr>
            </w:pPr>
            <w:r w:rsidRPr="00F90910">
              <w:rPr>
                <w:sz w:val="22"/>
                <w:szCs w:val="22"/>
              </w:rPr>
              <w:t xml:space="preserve">The purpose of this </w:t>
            </w:r>
            <w:r>
              <w:rPr>
                <w:sz w:val="22"/>
                <w:szCs w:val="22"/>
              </w:rPr>
              <w:t xml:space="preserve">information collection </w:t>
            </w:r>
            <w:r w:rsidRPr="00F90910">
              <w:rPr>
                <w:sz w:val="22"/>
                <w:szCs w:val="22"/>
              </w:rPr>
              <w:t xml:space="preserve">is to support Food and Drug Administration’s (FDA) efforts to develop and refine campaign messaging for FDA’s The Real Cost Campaign. </w:t>
            </w:r>
            <w:r w:rsidRPr="006E39D1" w:rsidR="006E39D1">
              <w:rPr>
                <w:sz w:val="22"/>
                <w:szCs w:val="22"/>
              </w:rPr>
              <w:t>Information obtained through this study will be used to identify and refine advertising for The Real Cost campaign about e-cigarette and nicotine use for young people.</w:t>
            </w:r>
          </w:p>
        </w:tc>
        <w:tc>
          <w:tcPr>
            <w:tcW w:w="675" w:type="pct"/>
            <w:vAlign w:val="center"/>
          </w:tcPr>
          <w:p w:rsidR="0004628A" w:rsidRPr="00F90910" w:rsidP="0004628A" w14:paraId="2D31214E" w14:textId="5CF3D972">
            <w:pPr>
              <w:jc w:val="center"/>
              <w:rPr>
                <w:sz w:val="22"/>
                <w:szCs w:val="22"/>
              </w:rPr>
            </w:pPr>
            <w:r w:rsidRPr="7E4517DA">
              <w:rPr>
                <w:sz w:val="22"/>
                <w:szCs w:val="22"/>
              </w:rPr>
              <w:t>866</w:t>
            </w:r>
            <w:r w:rsidR="0062388B">
              <w:rPr>
                <w:sz w:val="22"/>
                <w:szCs w:val="22"/>
              </w:rPr>
              <w:br/>
            </w:r>
            <w:r w:rsidRPr="7E4517DA" w:rsidR="0062388B">
              <w:rPr>
                <w:sz w:val="22"/>
                <w:szCs w:val="22"/>
              </w:rPr>
              <w:t>(Estimated)</w:t>
            </w:r>
          </w:p>
        </w:tc>
      </w:tr>
      <w:tr w14:paraId="66013A10" w14:textId="77777777" w:rsidTr="0062388B">
        <w:tblPrEx>
          <w:tblW w:w="5000" w:type="pct"/>
          <w:jc w:val="center"/>
          <w:tblLayout w:type="fixed"/>
          <w:tblLook w:val="01E0"/>
        </w:tblPrEx>
        <w:trPr>
          <w:cantSplit/>
          <w:trHeight w:val="3600"/>
          <w:jc w:val="center"/>
        </w:trPr>
        <w:tc>
          <w:tcPr>
            <w:tcW w:w="1325" w:type="pct"/>
            <w:shd w:val="clear" w:color="auto" w:fill="auto"/>
            <w:vAlign w:val="center"/>
          </w:tcPr>
          <w:p w:rsidR="0034189A" w:rsidRPr="16044B4F" w:rsidP="008A43F8" w14:paraId="28ACCF53" w14:textId="56A636B8">
            <w:pPr>
              <w:keepLines/>
              <w:ind w:right="-17"/>
              <w:jc w:val="center"/>
              <w:rPr>
                <w:sz w:val="22"/>
                <w:szCs w:val="22"/>
              </w:rPr>
            </w:pPr>
            <w:r w:rsidRPr="00011051">
              <w:rPr>
                <w:sz w:val="22"/>
                <w:szCs w:val="22"/>
              </w:rPr>
              <w:t>Creative Concept Testing Designed to Prevent Youth and Young Adult Cigarette Smoking (Wave 7)</w:t>
            </w:r>
          </w:p>
        </w:tc>
        <w:tc>
          <w:tcPr>
            <w:tcW w:w="814" w:type="pct"/>
            <w:vAlign w:val="center"/>
          </w:tcPr>
          <w:p w:rsidR="0034189A" w:rsidRPr="7E4517DA" w:rsidP="0004628A" w14:paraId="089A6EFC" w14:textId="20800943">
            <w:pPr>
              <w:autoSpaceDE w:val="0"/>
              <w:autoSpaceDN w:val="0"/>
              <w:adjustRightInd w:val="0"/>
              <w:jc w:val="center"/>
              <w:rPr>
                <w:sz w:val="22"/>
                <w:szCs w:val="22"/>
              </w:rPr>
            </w:pPr>
            <w:r>
              <w:rPr>
                <w:sz w:val="22"/>
                <w:szCs w:val="22"/>
              </w:rPr>
              <w:t xml:space="preserve">July – </w:t>
            </w:r>
            <w:r>
              <w:rPr>
                <w:sz w:val="22"/>
                <w:szCs w:val="22"/>
              </w:rPr>
              <w:br/>
              <w:t>August 2024 (Estimated)</w:t>
            </w:r>
          </w:p>
        </w:tc>
        <w:tc>
          <w:tcPr>
            <w:tcW w:w="643" w:type="pct"/>
            <w:shd w:val="clear" w:color="auto" w:fill="auto"/>
            <w:vAlign w:val="center"/>
          </w:tcPr>
          <w:p w:rsidR="0034189A" w:rsidP="0004628A" w14:paraId="2E1C4616" w14:textId="77777777">
            <w:pPr>
              <w:autoSpaceDE w:val="0"/>
              <w:autoSpaceDN w:val="0"/>
              <w:adjustRightInd w:val="0"/>
              <w:jc w:val="center"/>
              <w:rPr>
                <w:sz w:val="22"/>
                <w:szCs w:val="22"/>
              </w:rPr>
            </w:pPr>
            <w:r>
              <w:rPr>
                <w:sz w:val="22"/>
                <w:szCs w:val="22"/>
              </w:rPr>
              <w:t>8,610</w:t>
            </w:r>
          </w:p>
          <w:p w:rsidR="00011051" w:rsidRPr="7E4517DA" w:rsidP="0004628A" w14:paraId="27A06622" w14:textId="12413582">
            <w:pPr>
              <w:autoSpaceDE w:val="0"/>
              <w:autoSpaceDN w:val="0"/>
              <w:adjustRightInd w:val="0"/>
              <w:jc w:val="center"/>
              <w:rPr>
                <w:sz w:val="22"/>
                <w:szCs w:val="22"/>
              </w:rPr>
            </w:pPr>
            <w:r>
              <w:rPr>
                <w:sz w:val="22"/>
                <w:szCs w:val="22"/>
              </w:rPr>
              <w:t>(Estimated)</w:t>
            </w:r>
          </w:p>
        </w:tc>
        <w:tc>
          <w:tcPr>
            <w:tcW w:w="1542" w:type="pct"/>
            <w:vAlign w:val="center"/>
          </w:tcPr>
          <w:p w:rsidR="0034189A" w:rsidRPr="00F90910" w:rsidP="008A43F8" w14:paraId="4F7ADCC0" w14:textId="68526F97">
            <w:pPr>
              <w:jc w:val="center"/>
              <w:rPr>
                <w:sz w:val="22"/>
                <w:szCs w:val="22"/>
              </w:rPr>
            </w:pPr>
            <w:r>
              <w:rPr>
                <w:sz w:val="22"/>
                <w:szCs w:val="22"/>
              </w:rPr>
              <w:t>The purpose of this information collection</w:t>
            </w:r>
            <w:r w:rsidR="006E39D1">
              <w:rPr>
                <w:sz w:val="22"/>
                <w:szCs w:val="22"/>
              </w:rPr>
              <w:t xml:space="preserve"> is to support </w:t>
            </w:r>
            <w:r w:rsidRPr="00F90910" w:rsidR="006E39D1">
              <w:rPr>
                <w:sz w:val="22"/>
                <w:szCs w:val="22"/>
              </w:rPr>
              <w:t xml:space="preserve">Food and Drug Administration’s (FDA) efforts to develop and refine campaign messaging for FDA’s The Real Cost Campaign. </w:t>
            </w:r>
            <w:r>
              <w:rPr>
                <w:sz w:val="22"/>
                <w:szCs w:val="22"/>
              </w:rPr>
              <w:t xml:space="preserve"> </w:t>
            </w:r>
            <w:r w:rsidRPr="006E39D1" w:rsidR="006E39D1">
              <w:rPr>
                <w:sz w:val="22"/>
                <w:szCs w:val="22"/>
              </w:rPr>
              <w:t>Information obtained through this study will be used to identify and refine advertising for The Real Cost campaign about cigarette and nicotine use for young people.</w:t>
            </w:r>
          </w:p>
        </w:tc>
        <w:tc>
          <w:tcPr>
            <w:tcW w:w="675" w:type="pct"/>
            <w:vAlign w:val="center"/>
          </w:tcPr>
          <w:p w:rsidR="0034189A" w:rsidP="0004628A" w14:paraId="6B8C36AC" w14:textId="77777777">
            <w:pPr>
              <w:jc w:val="center"/>
              <w:rPr>
                <w:sz w:val="22"/>
                <w:szCs w:val="22"/>
              </w:rPr>
            </w:pPr>
            <w:r>
              <w:rPr>
                <w:sz w:val="22"/>
                <w:szCs w:val="22"/>
              </w:rPr>
              <w:t>866</w:t>
            </w:r>
          </w:p>
          <w:p w:rsidR="00011051" w:rsidRPr="7E4517DA" w:rsidP="0004628A" w14:paraId="377386A5" w14:textId="56C950ED">
            <w:pPr>
              <w:jc w:val="center"/>
              <w:rPr>
                <w:sz w:val="22"/>
                <w:szCs w:val="22"/>
              </w:rPr>
            </w:pPr>
            <w:r>
              <w:rPr>
                <w:sz w:val="22"/>
                <w:szCs w:val="22"/>
              </w:rPr>
              <w:t>(Estimated)</w:t>
            </w:r>
          </w:p>
        </w:tc>
      </w:tr>
    </w:tbl>
    <w:p w:rsidR="00513E90" w:rsidP="00F90910" w14:paraId="3F5FC47E" w14:textId="69A60A5C">
      <w:pPr>
        <w:spacing w:after="160" w:line="259" w:lineRule="auto"/>
      </w:pPr>
    </w:p>
    <w:p w:rsidR="0034189A" w:rsidP="00F90910" w14:paraId="21E85E4A" w14:textId="77777777">
      <w:pPr>
        <w:spacing w:after="160" w:line="259" w:lineRule="auto"/>
      </w:pPr>
    </w:p>
    <w:sectPr w:rsidSect="000E04F6">
      <w:pgSz w:w="12240" w:h="15840"/>
      <w:pgMar w:top="1440"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0A1"/>
    <w:rsid w:val="00011051"/>
    <w:rsid w:val="0004628A"/>
    <w:rsid w:val="000770A1"/>
    <w:rsid w:val="00090E3A"/>
    <w:rsid w:val="000A5A14"/>
    <w:rsid w:val="000E04F6"/>
    <w:rsid w:val="00147B41"/>
    <w:rsid w:val="0017198D"/>
    <w:rsid w:val="00177E3E"/>
    <w:rsid w:val="00180393"/>
    <w:rsid w:val="001A4388"/>
    <w:rsid w:val="001D2000"/>
    <w:rsid w:val="001D5B36"/>
    <w:rsid w:val="001E525C"/>
    <w:rsid w:val="00202B88"/>
    <w:rsid w:val="00216A22"/>
    <w:rsid w:val="00220777"/>
    <w:rsid w:val="0028551F"/>
    <w:rsid w:val="0029600F"/>
    <w:rsid w:val="002F50FF"/>
    <w:rsid w:val="0034189A"/>
    <w:rsid w:val="003425B7"/>
    <w:rsid w:val="00357C8A"/>
    <w:rsid w:val="003B2B29"/>
    <w:rsid w:val="003F2D17"/>
    <w:rsid w:val="0040098A"/>
    <w:rsid w:val="00413589"/>
    <w:rsid w:val="004B6435"/>
    <w:rsid w:val="00513E90"/>
    <w:rsid w:val="0053086F"/>
    <w:rsid w:val="0056067A"/>
    <w:rsid w:val="00562D79"/>
    <w:rsid w:val="005654E2"/>
    <w:rsid w:val="00577E37"/>
    <w:rsid w:val="00583D16"/>
    <w:rsid w:val="00592262"/>
    <w:rsid w:val="005B7A52"/>
    <w:rsid w:val="005C37F1"/>
    <w:rsid w:val="00607911"/>
    <w:rsid w:val="0062388B"/>
    <w:rsid w:val="00655B7F"/>
    <w:rsid w:val="00660B93"/>
    <w:rsid w:val="006E39D1"/>
    <w:rsid w:val="006F1797"/>
    <w:rsid w:val="00734364"/>
    <w:rsid w:val="00773925"/>
    <w:rsid w:val="00792637"/>
    <w:rsid w:val="007A0C06"/>
    <w:rsid w:val="007D7EB2"/>
    <w:rsid w:val="007F61D3"/>
    <w:rsid w:val="00806401"/>
    <w:rsid w:val="00820958"/>
    <w:rsid w:val="008502C5"/>
    <w:rsid w:val="008909C5"/>
    <w:rsid w:val="00897790"/>
    <w:rsid w:val="008A43F8"/>
    <w:rsid w:val="008B214D"/>
    <w:rsid w:val="008B4F34"/>
    <w:rsid w:val="008F42EC"/>
    <w:rsid w:val="009336D1"/>
    <w:rsid w:val="009465F2"/>
    <w:rsid w:val="009B21FA"/>
    <w:rsid w:val="009D1A81"/>
    <w:rsid w:val="009E1AFB"/>
    <w:rsid w:val="00A513EC"/>
    <w:rsid w:val="00A610D3"/>
    <w:rsid w:val="00A84456"/>
    <w:rsid w:val="00AC5313"/>
    <w:rsid w:val="00AE0C00"/>
    <w:rsid w:val="00B33182"/>
    <w:rsid w:val="00B37443"/>
    <w:rsid w:val="00B67D21"/>
    <w:rsid w:val="00B71431"/>
    <w:rsid w:val="00B733F0"/>
    <w:rsid w:val="00B97C8E"/>
    <w:rsid w:val="00BA45A4"/>
    <w:rsid w:val="00BB212D"/>
    <w:rsid w:val="00BC6505"/>
    <w:rsid w:val="00BF45E1"/>
    <w:rsid w:val="00C01153"/>
    <w:rsid w:val="00C4388C"/>
    <w:rsid w:val="00C5177C"/>
    <w:rsid w:val="00C54851"/>
    <w:rsid w:val="00C65193"/>
    <w:rsid w:val="00CE1A7D"/>
    <w:rsid w:val="00D2098B"/>
    <w:rsid w:val="00D42EAD"/>
    <w:rsid w:val="00D543D8"/>
    <w:rsid w:val="00D80200"/>
    <w:rsid w:val="00D9208F"/>
    <w:rsid w:val="00D92E4E"/>
    <w:rsid w:val="00DA0E99"/>
    <w:rsid w:val="00DC1ED2"/>
    <w:rsid w:val="00DD30E4"/>
    <w:rsid w:val="00DD4754"/>
    <w:rsid w:val="00E536D3"/>
    <w:rsid w:val="00E706FF"/>
    <w:rsid w:val="00E90D31"/>
    <w:rsid w:val="00E91BC0"/>
    <w:rsid w:val="00EB2A39"/>
    <w:rsid w:val="00EB7006"/>
    <w:rsid w:val="00ED1A59"/>
    <w:rsid w:val="00EE66BF"/>
    <w:rsid w:val="00F03270"/>
    <w:rsid w:val="00F6404E"/>
    <w:rsid w:val="00F77A7E"/>
    <w:rsid w:val="00F82BD9"/>
    <w:rsid w:val="00F90910"/>
    <w:rsid w:val="00F93B97"/>
    <w:rsid w:val="00FB58F8"/>
    <w:rsid w:val="00FE1DEC"/>
    <w:rsid w:val="00FF1D9C"/>
    <w:rsid w:val="013487B5"/>
    <w:rsid w:val="037FEA90"/>
    <w:rsid w:val="04C0525A"/>
    <w:rsid w:val="065C22BB"/>
    <w:rsid w:val="16044B4F"/>
    <w:rsid w:val="172561A1"/>
    <w:rsid w:val="1CE9758F"/>
    <w:rsid w:val="206D6253"/>
    <w:rsid w:val="21530807"/>
    <w:rsid w:val="24388EF9"/>
    <w:rsid w:val="24F6EF6E"/>
    <w:rsid w:val="2863CE28"/>
    <w:rsid w:val="2DB6FBC2"/>
    <w:rsid w:val="2FF3DEFD"/>
    <w:rsid w:val="32261514"/>
    <w:rsid w:val="339F5788"/>
    <w:rsid w:val="36FAB527"/>
    <w:rsid w:val="37B557D1"/>
    <w:rsid w:val="387FDBB6"/>
    <w:rsid w:val="3D4E7DCC"/>
    <w:rsid w:val="445A243A"/>
    <w:rsid w:val="4AF4C317"/>
    <w:rsid w:val="4B231449"/>
    <w:rsid w:val="5127B4E8"/>
    <w:rsid w:val="514AF36A"/>
    <w:rsid w:val="51C2B561"/>
    <w:rsid w:val="5899AEA8"/>
    <w:rsid w:val="5B89E4CB"/>
    <w:rsid w:val="5EFF2769"/>
    <w:rsid w:val="611A11B7"/>
    <w:rsid w:val="69A250A5"/>
    <w:rsid w:val="6C61D877"/>
    <w:rsid w:val="6D32FF8C"/>
    <w:rsid w:val="71925225"/>
    <w:rsid w:val="71CC58D2"/>
    <w:rsid w:val="7E4517DA"/>
    <w:rsid w:val="7EB6853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925C"/>
  <w15:chartTrackingRefBased/>
  <w15:docId w15:val="{D5150823-BBB5-4A15-83A0-4AF5ED2FE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0A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E706FF"/>
    <w:rPr>
      <w:color w:val="0000FF"/>
      <w:u w:val="single"/>
    </w:rPr>
  </w:style>
  <w:style w:type="paragraph" w:styleId="FootnoteText">
    <w:name w:val="footnote text"/>
    <w:basedOn w:val="Normal"/>
    <w:link w:val="FootnoteTextChar"/>
    <w:semiHidden/>
    <w:unhideWhenUsed/>
    <w:rsid w:val="00B733F0"/>
    <w:rPr>
      <w:sz w:val="20"/>
      <w:szCs w:val="20"/>
    </w:rPr>
  </w:style>
  <w:style w:type="character" w:customStyle="1" w:styleId="FootnoteTextChar">
    <w:name w:val="Footnote Text Char"/>
    <w:basedOn w:val="DefaultParagraphFont"/>
    <w:link w:val="FootnoteText"/>
    <w:semiHidden/>
    <w:rsid w:val="00B733F0"/>
    <w:rPr>
      <w:rFonts w:ascii="Times New Roman" w:eastAsia="Times New Roman" w:hAnsi="Times New Roman" w:cs="Times New Roman"/>
      <w:sz w:val="20"/>
      <w:szCs w:val="20"/>
    </w:rPr>
  </w:style>
  <w:style w:type="character" w:styleId="FootnoteReference">
    <w:name w:val="footnote reference"/>
    <w:semiHidden/>
    <w:unhideWhenUsed/>
    <w:rsid w:val="00B733F0"/>
    <w:rPr>
      <w:vertAlign w:val="superscript"/>
    </w:rPr>
  </w:style>
  <w:style w:type="character" w:styleId="CommentReference">
    <w:name w:val="annotation reference"/>
    <w:basedOn w:val="DefaultParagraphFont"/>
    <w:uiPriority w:val="99"/>
    <w:semiHidden/>
    <w:unhideWhenUsed/>
    <w:rsid w:val="006F1797"/>
    <w:rPr>
      <w:sz w:val="16"/>
      <w:szCs w:val="16"/>
    </w:rPr>
  </w:style>
  <w:style w:type="paragraph" w:styleId="CommentText">
    <w:name w:val="annotation text"/>
    <w:basedOn w:val="Normal"/>
    <w:link w:val="CommentTextChar"/>
    <w:uiPriority w:val="99"/>
    <w:unhideWhenUsed/>
    <w:rsid w:val="006F1797"/>
    <w:rPr>
      <w:sz w:val="20"/>
      <w:szCs w:val="20"/>
    </w:rPr>
  </w:style>
  <w:style w:type="character" w:customStyle="1" w:styleId="CommentTextChar">
    <w:name w:val="Comment Text Char"/>
    <w:basedOn w:val="DefaultParagraphFont"/>
    <w:link w:val="CommentText"/>
    <w:uiPriority w:val="99"/>
    <w:rsid w:val="006F1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1797"/>
    <w:rPr>
      <w:b/>
      <w:bCs/>
    </w:rPr>
  </w:style>
  <w:style w:type="character" w:customStyle="1" w:styleId="CommentSubjectChar">
    <w:name w:val="Comment Subject Char"/>
    <w:basedOn w:val="CommentTextChar"/>
    <w:link w:val="CommentSubject"/>
    <w:uiPriority w:val="99"/>
    <w:semiHidden/>
    <w:rsid w:val="006F1797"/>
    <w:rPr>
      <w:rFonts w:ascii="Times New Roman" w:eastAsia="Times New Roman" w:hAnsi="Times New Roman" w:cs="Times New Roman"/>
      <w:b/>
      <w:bCs/>
      <w:sz w:val="20"/>
      <w:szCs w:val="20"/>
    </w:rPr>
  </w:style>
  <w:style w:type="character" w:styleId="Mention">
    <w:name w:val="Mention"/>
    <w:basedOn w:val="DefaultParagraphFont"/>
    <w:uiPriority w:val="99"/>
    <w:unhideWhenUsed/>
    <w:rsid w:val="006F1797"/>
    <w:rPr>
      <w:color w:val="2B579A"/>
      <w:shd w:val="clear" w:color="auto" w:fill="E1DFDD"/>
    </w:rPr>
  </w:style>
  <w:style w:type="paragraph" w:styleId="Revision">
    <w:name w:val="Revision"/>
    <w:hidden/>
    <w:uiPriority w:val="99"/>
    <w:semiHidden/>
    <w:rsid w:val="007D7E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6" ma:contentTypeDescription="Create a new document." ma:contentTypeScope="" ma:versionID="2791e6acc960ef74af4a5c353dd3059b">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97445ca36682085d8adc13b72589916"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E3EE5-3A0A-4F61-9B7E-E153E0883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EAC5D2-3463-413E-939B-A90D5FC3DAD5}">
  <ds:schemaRefs>
    <ds:schemaRef ds:uri="http://schemas.microsoft.com/sharepoint/v3/contenttype/forms"/>
  </ds:schemaRefs>
</ds:datastoreItem>
</file>

<file path=customXml/itemProps3.xml><?xml version="1.0" encoding="utf-8"?>
<ds:datastoreItem xmlns:ds="http://schemas.openxmlformats.org/officeDocument/2006/customXml" ds:itemID="{B13AEFCF-8423-4D83-9246-F0F8DB9F14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Capezzuto, JonnaLynn</cp:lastModifiedBy>
  <cp:revision>2</cp:revision>
  <dcterms:created xsi:type="dcterms:W3CDTF">2024-07-03T12:57:00Z</dcterms:created>
  <dcterms:modified xsi:type="dcterms:W3CDTF">2024-07-03T12:57:00Z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