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4711" w:rsidRPr="00794EAA" w:rsidP="00514711" w14:paraId="685C94EA" w14:textId="77777777">
      <w:pPr>
        <w:pStyle w:val="TitlePage1"/>
      </w:pPr>
      <w:r w:rsidRPr="00794EAA">
        <w:t xml:space="preserve">DEPARTMENT OF HEALTH AND HUMAN SERVICES </w:t>
      </w:r>
    </w:p>
    <w:p w:rsidR="00514711" w:rsidRPr="00794EAA" w:rsidP="00514711" w14:paraId="42C9C52D" w14:textId="77777777">
      <w:pPr>
        <w:pStyle w:val="TitlePage1"/>
      </w:pPr>
      <w:r w:rsidRPr="00794EAA">
        <w:t xml:space="preserve">Food and Drug Administration </w:t>
      </w:r>
    </w:p>
    <w:p w:rsidR="00514711" w:rsidRPr="00794EAA" w:rsidP="00514711" w14:paraId="519E25F7" w14:textId="77777777">
      <w:pPr>
        <w:pStyle w:val="TitlePage1"/>
      </w:pPr>
    </w:p>
    <w:p w:rsidR="00514711" w:rsidRPr="00794EAA" w:rsidP="00514711" w14:paraId="3B234DAC" w14:textId="77777777">
      <w:pPr>
        <w:pStyle w:val="TitlePage1"/>
      </w:pPr>
    </w:p>
    <w:p w:rsidR="00514711" w:rsidP="00514711" w14:paraId="54678A43" w14:textId="77777777">
      <w:pPr>
        <w:pStyle w:val="TitlePage1"/>
      </w:pPr>
    </w:p>
    <w:p w:rsidR="00514711" w:rsidP="00514711" w14:paraId="233010D2" w14:textId="77777777">
      <w:pPr>
        <w:pStyle w:val="TitlePage1"/>
      </w:pPr>
    </w:p>
    <w:p w:rsidR="00514711" w:rsidP="00514711" w14:paraId="06021206" w14:textId="77777777">
      <w:pPr>
        <w:pStyle w:val="TitlePage1"/>
      </w:pPr>
    </w:p>
    <w:p w:rsidR="00514711" w:rsidP="00514711" w14:paraId="187A1978" w14:textId="77777777">
      <w:pPr>
        <w:pStyle w:val="TitlePage1"/>
      </w:pPr>
    </w:p>
    <w:p w:rsidR="00514711" w:rsidP="00514711" w14:paraId="1F2FC74B" w14:textId="77777777">
      <w:pPr>
        <w:pStyle w:val="TitlePage1"/>
      </w:pPr>
    </w:p>
    <w:p w:rsidR="00514711" w:rsidP="00514711" w14:paraId="06FD52A7" w14:textId="77777777">
      <w:pPr>
        <w:pStyle w:val="TitlePage1"/>
      </w:pPr>
    </w:p>
    <w:p w:rsidR="00514711" w:rsidRPr="00794EAA" w:rsidP="00514711" w14:paraId="3F58924E" w14:textId="77777777">
      <w:pPr>
        <w:pStyle w:val="TitlePage1"/>
      </w:pPr>
    </w:p>
    <w:p w:rsidR="00773677" w:rsidRPr="00773677" w:rsidP="00773677" w14:paraId="43F198AC" w14:textId="77777777">
      <w:pPr>
        <w:widowControl w:val="0"/>
        <w:spacing w:after="0"/>
        <w:jc w:val="center"/>
        <w:rPr>
          <w:rFonts w:eastAsia="Times New Roman"/>
          <w:snapToGrid w:val="0"/>
          <w:sz w:val="36"/>
          <w:szCs w:val="36"/>
        </w:rPr>
      </w:pPr>
      <w:bookmarkStart w:id="0" w:name="_Hlk1114484"/>
      <w:r w:rsidRPr="00773677">
        <w:rPr>
          <w:rFonts w:eastAsia="Times New Roman"/>
          <w:snapToGrid w:val="0"/>
          <w:spacing w:val="4"/>
          <w:sz w:val="36"/>
          <w:szCs w:val="36"/>
        </w:rPr>
        <w:t>Current Good Manufacturing Practice, Certification, Postmarketing Safety Reporting, and Labeling Requirements</w:t>
      </w:r>
      <w:bookmarkEnd w:id="0"/>
      <w:r w:rsidRPr="00773677">
        <w:rPr>
          <w:rFonts w:eastAsia="Times New Roman"/>
          <w:snapToGrid w:val="0"/>
          <w:spacing w:val="4"/>
          <w:sz w:val="36"/>
          <w:szCs w:val="36"/>
        </w:rPr>
        <w:t xml:space="preserve"> for Certain Medical Gases</w:t>
      </w:r>
    </w:p>
    <w:p w:rsidR="00773677" w:rsidRPr="00773677" w:rsidP="00773677" w14:paraId="267ACC43" w14:textId="77777777">
      <w:pPr>
        <w:widowControl w:val="0"/>
        <w:spacing w:after="0"/>
        <w:jc w:val="center"/>
        <w:rPr>
          <w:rFonts w:eastAsia="Times New Roman"/>
          <w:snapToGrid w:val="0"/>
          <w:sz w:val="32"/>
          <w:szCs w:val="32"/>
        </w:rPr>
      </w:pPr>
    </w:p>
    <w:p w:rsidR="00514711" w:rsidRPr="00794EAA" w:rsidP="00514711" w14:paraId="4FFAEEA5" w14:textId="77777777">
      <w:pPr>
        <w:pStyle w:val="TitlePage1"/>
      </w:pPr>
    </w:p>
    <w:p w:rsidR="00514711" w:rsidRPr="00794EAA" w:rsidP="00514711" w14:paraId="68A214A5" w14:textId="77777777">
      <w:pPr>
        <w:pStyle w:val="TitlePage1"/>
      </w:pPr>
    </w:p>
    <w:p w:rsidR="00514711" w:rsidRPr="00794EAA" w:rsidP="00514711" w14:paraId="2CFEDC94" w14:textId="36A697A5">
      <w:pPr>
        <w:pStyle w:val="TitlePage1"/>
        <w:jc w:val="center"/>
      </w:pPr>
      <w:r w:rsidRPr="00794EAA">
        <w:t xml:space="preserve">Docket No. </w:t>
      </w:r>
      <w:r w:rsidRPr="000905BA">
        <w:t>FDA-</w:t>
      </w:r>
      <w:r w:rsidRPr="00086141" w:rsidR="00250419">
        <w:rPr>
          <w:rFonts w:eastAsia="Times New Roman"/>
        </w:rPr>
        <w:t>2021-N-1333</w:t>
      </w:r>
    </w:p>
    <w:p w:rsidR="00514711" w:rsidRPr="00794EAA" w:rsidP="00514711" w14:paraId="4860DD0D" w14:textId="77777777">
      <w:pPr>
        <w:rPr>
          <w:lang w:eastAsia="ja-JP"/>
        </w:rPr>
      </w:pPr>
    </w:p>
    <w:p w:rsidR="00514711" w:rsidRPr="00794EAA" w:rsidP="00514711" w14:paraId="470D19E8" w14:textId="77777777">
      <w:pPr>
        <w:rPr>
          <w:lang w:eastAsia="ja-JP"/>
        </w:rPr>
      </w:pPr>
    </w:p>
    <w:p w:rsidR="00514711" w:rsidRPr="00794EAA" w:rsidP="00514711" w14:paraId="5CA7BF7B" w14:textId="77777777">
      <w:pPr>
        <w:rPr>
          <w:lang w:eastAsia="ja-JP"/>
        </w:rPr>
      </w:pPr>
    </w:p>
    <w:p w:rsidR="00514711" w:rsidRPr="00794EAA" w:rsidP="00514711" w14:paraId="2A69C899" w14:textId="77777777">
      <w:pPr>
        <w:rPr>
          <w:lang w:eastAsia="ja-JP"/>
        </w:rPr>
      </w:pPr>
    </w:p>
    <w:p w:rsidR="00514711" w:rsidRPr="00794EAA" w:rsidP="00514711" w14:paraId="3741532D" w14:textId="77777777">
      <w:pPr>
        <w:rPr>
          <w:lang w:eastAsia="ja-JP"/>
        </w:rPr>
      </w:pPr>
    </w:p>
    <w:p w:rsidR="00514711" w:rsidRPr="00514711" w:rsidP="00514711" w14:paraId="6020A4A9" w14:textId="0F6978B1">
      <w:pPr>
        <w:pStyle w:val="TitlePage3"/>
      </w:pPr>
      <w:r>
        <w:t>Final</w:t>
      </w:r>
      <w:r w:rsidRPr="00514711">
        <w:t xml:space="preserve"> Regulatory Impact Analysis</w:t>
      </w:r>
    </w:p>
    <w:p w:rsidR="00514711" w:rsidRPr="00514711" w:rsidP="00514711" w14:paraId="5F59D3E4" w14:textId="5C47E6AE">
      <w:pPr>
        <w:pStyle w:val="TitlePage3"/>
      </w:pPr>
      <w:r>
        <w:t>Final</w:t>
      </w:r>
      <w:r w:rsidRPr="00514711">
        <w:t xml:space="preserve"> Regulatory Flexibility Analysis</w:t>
      </w:r>
    </w:p>
    <w:p w:rsidR="00514711" w:rsidRPr="00514711" w:rsidP="00514711" w14:paraId="1422AC45" w14:textId="77777777">
      <w:pPr>
        <w:pStyle w:val="TitlePage3"/>
      </w:pPr>
      <w:r w:rsidRPr="00514711">
        <w:t>Unfunded Mandates Reform Act Analysis</w:t>
      </w:r>
    </w:p>
    <w:p w:rsidR="00514711" w:rsidRPr="00794EAA" w:rsidP="00514711" w14:paraId="11378FC3" w14:textId="77777777">
      <w:pPr>
        <w:rPr>
          <w:lang w:eastAsia="ja-JP"/>
        </w:rPr>
      </w:pPr>
    </w:p>
    <w:p w:rsidR="00514711" w:rsidRPr="00794EAA" w:rsidP="00514711" w14:paraId="1B92E443" w14:textId="77777777">
      <w:pPr>
        <w:rPr>
          <w:lang w:eastAsia="ja-JP"/>
        </w:rPr>
      </w:pPr>
    </w:p>
    <w:p w:rsidR="00514711" w:rsidRPr="00794EAA" w:rsidP="00514711" w14:paraId="6D4BAF8F" w14:textId="77777777">
      <w:pPr>
        <w:rPr>
          <w:lang w:eastAsia="ja-JP"/>
        </w:rPr>
      </w:pPr>
    </w:p>
    <w:p w:rsidR="00514711" w:rsidRPr="00794EAA" w:rsidP="00514711" w14:paraId="0B9AFD42" w14:textId="77777777">
      <w:pPr>
        <w:rPr>
          <w:lang w:eastAsia="ja-JP"/>
        </w:rPr>
      </w:pPr>
    </w:p>
    <w:p w:rsidR="00514711" w:rsidRPr="00514711" w:rsidP="00514711" w14:paraId="53F28DA4" w14:textId="77777777">
      <w:pPr>
        <w:pStyle w:val="TitlePage4"/>
      </w:pPr>
      <w:r w:rsidRPr="00514711">
        <w:t>Economics Staff</w:t>
      </w:r>
    </w:p>
    <w:p w:rsidR="00514711" w:rsidRPr="00514711" w:rsidP="00514711" w14:paraId="1B309D0E" w14:textId="77777777">
      <w:pPr>
        <w:pStyle w:val="TitlePage4"/>
      </w:pPr>
      <w:r w:rsidRPr="00514711">
        <w:t xml:space="preserve">Office of </w:t>
      </w:r>
      <w:r w:rsidR="00773677">
        <w:t>Economics and Analysis</w:t>
      </w:r>
    </w:p>
    <w:p w:rsidR="00514711" w:rsidRPr="00514711" w:rsidP="00514711" w14:paraId="3305D8B6" w14:textId="5E5407E3">
      <w:pPr>
        <w:pStyle w:val="TitlePage4"/>
      </w:pPr>
      <w:r w:rsidRPr="00514711">
        <w:t>Office of Policy</w:t>
      </w:r>
      <w:r w:rsidR="00773677">
        <w:t>,</w:t>
      </w:r>
      <w:r w:rsidRPr="00514711">
        <w:t xml:space="preserve"> Legislation</w:t>
      </w:r>
      <w:r w:rsidR="0068205E">
        <w:t>,</w:t>
      </w:r>
      <w:r w:rsidR="00773677">
        <w:t xml:space="preserve"> and International Affairs</w:t>
      </w:r>
    </w:p>
    <w:p w:rsidR="00514711" w:rsidP="00773677" w14:paraId="0257818F" w14:textId="77777777">
      <w:pPr>
        <w:pStyle w:val="TitlePage4"/>
      </w:pPr>
      <w:r w:rsidRPr="00514711">
        <w:t>Office of the Commissioner</w:t>
      </w:r>
      <w:r>
        <w:br w:type="page"/>
      </w:r>
    </w:p>
    <w:p w:rsidR="00514711" w:rsidP="00382303" w14:paraId="7211EA57" w14:textId="77777777">
      <w:pPr>
        <w:pStyle w:val="TableofContentsTitle"/>
        <w:spacing w:after="240"/>
      </w:pPr>
      <w:r>
        <w:t>Table of Contents</w:t>
      </w:r>
    </w:p>
    <w:sdt>
      <w:sdtPr>
        <w:id w:val="67783463"/>
        <w:docPartObj>
          <w:docPartGallery w:val="Table of Contents"/>
          <w:docPartUnique/>
        </w:docPartObj>
      </w:sdtPr>
      <w:sdtEndPr>
        <w:rPr>
          <w:noProof/>
        </w:rPr>
      </w:sdtEndPr>
      <w:sdtContent>
        <w:p w:rsidR="000B4DF7" w14:paraId="0DEE8617" w14:textId="511D2ED6">
          <w:pPr>
            <w:pStyle w:val="TOC1"/>
            <w:rPr>
              <w:rFonts w:asciiTheme="minorHAnsi" w:eastAsiaTheme="minorEastAsia" w:hAnsiTheme="minorHAnsi" w:cstheme="minorBidi"/>
              <w:noProof/>
              <w:szCs w:val="22"/>
            </w:rPr>
          </w:pPr>
          <w:r>
            <w:rPr>
              <w:noProof/>
            </w:rPr>
            <w:fldChar w:fldCharType="begin"/>
          </w:r>
          <w:r>
            <w:rPr>
              <w:noProof/>
            </w:rPr>
            <w:instrText xml:space="preserve"> TOC \o "1-4" \h \z \u </w:instrText>
          </w:r>
          <w:r>
            <w:rPr>
              <w:noProof/>
            </w:rPr>
            <w:fldChar w:fldCharType="separate"/>
          </w:r>
          <w:hyperlink w:anchor="_Toc148515704" w:history="1">
            <w:r w:rsidRPr="00173A7B">
              <w:rPr>
                <w:rStyle w:val="Hyperlink"/>
                <w:noProof/>
              </w:rPr>
              <w:t>I.</w:t>
            </w:r>
            <w:r>
              <w:rPr>
                <w:rFonts w:asciiTheme="minorHAnsi" w:eastAsiaTheme="minorEastAsia" w:hAnsiTheme="minorHAnsi" w:cstheme="minorBidi"/>
                <w:noProof/>
                <w:szCs w:val="22"/>
              </w:rPr>
              <w:tab/>
            </w:r>
            <w:r w:rsidRPr="00173A7B">
              <w:rPr>
                <w:rStyle w:val="Hyperlink"/>
                <w:noProof/>
              </w:rPr>
              <w:t>Introduction and Summary</w:t>
            </w:r>
            <w:r>
              <w:rPr>
                <w:noProof/>
                <w:webHidden/>
              </w:rPr>
              <w:tab/>
            </w:r>
            <w:r>
              <w:rPr>
                <w:noProof/>
                <w:webHidden/>
              </w:rPr>
              <w:fldChar w:fldCharType="begin"/>
            </w:r>
            <w:r>
              <w:rPr>
                <w:noProof/>
                <w:webHidden/>
              </w:rPr>
              <w:instrText xml:space="preserve"> PAGEREF _Toc148515704 \h </w:instrText>
            </w:r>
            <w:r>
              <w:rPr>
                <w:noProof/>
                <w:webHidden/>
              </w:rPr>
              <w:fldChar w:fldCharType="separate"/>
            </w:r>
            <w:r w:rsidR="001C71DE">
              <w:rPr>
                <w:noProof/>
                <w:webHidden/>
              </w:rPr>
              <w:t>5</w:t>
            </w:r>
            <w:r>
              <w:rPr>
                <w:noProof/>
                <w:webHidden/>
              </w:rPr>
              <w:fldChar w:fldCharType="end"/>
            </w:r>
          </w:hyperlink>
        </w:p>
        <w:p w:rsidR="000B4DF7" w14:paraId="129AE48B" w14:textId="448BAB11">
          <w:pPr>
            <w:pStyle w:val="TOC2"/>
            <w:rPr>
              <w:rFonts w:asciiTheme="minorHAnsi" w:eastAsiaTheme="minorEastAsia" w:hAnsiTheme="minorHAnsi" w:cstheme="minorBidi"/>
              <w:noProof/>
              <w:szCs w:val="22"/>
            </w:rPr>
          </w:pPr>
          <w:hyperlink w:anchor="_Toc148515705"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Introduction</w:t>
            </w:r>
            <w:r>
              <w:rPr>
                <w:noProof/>
                <w:webHidden/>
              </w:rPr>
              <w:tab/>
            </w:r>
            <w:r>
              <w:rPr>
                <w:noProof/>
                <w:webHidden/>
              </w:rPr>
              <w:fldChar w:fldCharType="begin"/>
            </w:r>
            <w:r>
              <w:rPr>
                <w:noProof/>
                <w:webHidden/>
              </w:rPr>
              <w:instrText xml:space="preserve"> PAGEREF _Toc148515705 \h </w:instrText>
            </w:r>
            <w:r>
              <w:rPr>
                <w:noProof/>
                <w:webHidden/>
              </w:rPr>
              <w:fldChar w:fldCharType="separate"/>
            </w:r>
            <w:r w:rsidR="001C71DE">
              <w:rPr>
                <w:noProof/>
                <w:webHidden/>
              </w:rPr>
              <w:t>5</w:t>
            </w:r>
            <w:r>
              <w:rPr>
                <w:noProof/>
                <w:webHidden/>
              </w:rPr>
              <w:fldChar w:fldCharType="end"/>
            </w:r>
          </w:hyperlink>
        </w:p>
        <w:p w:rsidR="000B4DF7" w14:paraId="5B3E6736" w14:textId="4F3055EE">
          <w:pPr>
            <w:pStyle w:val="TOC2"/>
            <w:rPr>
              <w:rFonts w:asciiTheme="minorHAnsi" w:eastAsiaTheme="minorEastAsia" w:hAnsiTheme="minorHAnsi" w:cstheme="minorBidi"/>
              <w:noProof/>
              <w:szCs w:val="22"/>
            </w:rPr>
          </w:pPr>
          <w:hyperlink w:anchor="_Toc148515706"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Summary of Costs and Benefits</w:t>
            </w:r>
            <w:r>
              <w:rPr>
                <w:noProof/>
                <w:webHidden/>
              </w:rPr>
              <w:tab/>
            </w:r>
            <w:r>
              <w:rPr>
                <w:noProof/>
                <w:webHidden/>
              </w:rPr>
              <w:fldChar w:fldCharType="begin"/>
            </w:r>
            <w:r>
              <w:rPr>
                <w:noProof/>
                <w:webHidden/>
              </w:rPr>
              <w:instrText xml:space="preserve"> PAGEREF _Toc148515706 \h </w:instrText>
            </w:r>
            <w:r>
              <w:rPr>
                <w:noProof/>
                <w:webHidden/>
              </w:rPr>
              <w:fldChar w:fldCharType="separate"/>
            </w:r>
            <w:r w:rsidR="001C71DE">
              <w:rPr>
                <w:noProof/>
                <w:webHidden/>
              </w:rPr>
              <w:t>6</w:t>
            </w:r>
            <w:r>
              <w:rPr>
                <w:noProof/>
                <w:webHidden/>
              </w:rPr>
              <w:fldChar w:fldCharType="end"/>
            </w:r>
          </w:hyperlink>
        </w:p>
        <w:p w:rsidR="000B4DF7" w14:paraId="040A5DBC" w14:textId="75D81A32">
          <w:pPr>
            <w:pStyle w:val="TOC2"/>
            <w:rPr>
              <w:rFonts w:asciiTheme="minorHAnsi" w:eastAsiaTheme="minorEastAsia" w:hAnsiTheme="minorHAnsi" w:cstheme="minorBidi"/>
              <w:noProof/>
              <w:szCs w:val="22"/>
            </w:rPr>
          </w:pPr>
          <w:hyperlink w:anchor="_Toc148515707"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Terminology</w:t>
            </w:r>
            <w:r>
              <w:rPr>
                <w:noProof/>
                <w:webHidden/>
              </w:rPr>
              <w:tab/>
            </w:r>
            <w:r>
              <w:rPr>
                <w:noProof/>
                <w:webHidden/>
              </w:rPr>
              <w:fldChar w:fldCharType="begin"/>
            </w:r>
            <w:r>
              <w:rPr>
                <w:noProof/>
                <w:webHidden/>
              </w:rPr>
              <w:instrText xml:space="preserve"> PAGEREF _Toc148515707 \h </w:instrText>
            </w:r>
            <w:r>
              <w:rPr>
                <w:noProof/>
                <w:webHidden/>
              </w:rPr>
              <w:fldChar w:fldCharType="separate"/>
            </w:r>
            <w:r w:rsidR="001C71DE">
              <w:rPr>
                <w:noProof/>
                <w:webHidden/>
              </w:rPr>
              <w:t>8</w:t>
            </w:r>
            <w:r>
              <w:rPr>
                <w:noProof/>
                <w:webHidden/>
              </w:rPr>
              <w:fldChar w:fldCharType="end"/>
            </w:r>
          </w:hyperlink>
        </w:p>
        <w:p w:rsidR="000B4DF7" w14:paraId="1CBAA3FB" w14:textId="7C1FE846">
          <w:pPr>
            <w:pStyle w:val="TOC2"/>
            <w:rPr>
              <w:rFonts w:asciiTheme="minorHAnsi" w:eastAsiaTheme="minorEastAsia" w:hAnsiTheme="minorHAnsi" w:cstheme="minorBidi"/>
              <w:noProof/>
              <w:szCs w:val="22"/>
            </w:rPr>
          </w:pPr>
          <w:hyperlink w:anchor="_Toc148515708" w:history="1">
            <w:r w:rsidRPr="00173A7B">
              <w:rPr>
                <w:rStyle w:val="Hyperlink"/>
                <w:noProof/>
              </w:rPr>
              <w:t>D.</w:t>
            </w:r>
            <w:r>
              <w:rPr>
                <w:rFonts w:asciiTheme="minorHAnsi" w:eastAsiaTheme="minorEastAsia" w:hAnsiTheme="minorHAnsi" w:cstheme="minorBidi"/>
                <w:noProof/>
                <w:szCs w:val="22"/>
              </w:rPr>
              <w:tab/>
            </w:r>
            <w:r w:rsidRPr="00173A7B">
              <w:rPr>
                <w:rStyle w:val="Hyperlink"/>
                <w:noProof/>
              </w:rPr>
              <w:t>Comments on the Preliminary Economic Analysis of Impacts and Our Responses</w:t>
            </w:r>
            <w:r>
              <w:rPr>
                <w:noProof/>
                <w:webHidden/>
              </w:rPr>
              <w:tab/>
            </w:r>
            <w:r>
              <w:rPr>
                <w:noProof/>
                <w:webHidden/>
              </w:rPr>
              <w:fldChar w:fldCharType="begin"/>
            </w:r>
            <w:r>
              <w:rPr>
                <w:noProof/>
                <w:webHidden/>
              </w:rPr>
              <w:instrText xml:space="preserve"> PAGEREF _Toc148515708 \h </w:instrText>
            </w:r>
            <w:r>
              <w:rPr>
                <w:noProof/>
                <w:webHidden/>
              </w:rPr>
              <w:fldChar w:fldCharType="separate"/>
            </w:r>
            <w:r w:rsidR="001C71DE">
              <w:rPr>
                <w:noProof/>
                <w:webHidden/>
              </w:rPr>
              <w:t>9</w:t>
            </w:r>
            <w:r>
              <w:rPr>
                <w:noProof/>
                <w:webHidden/>
              </w:rPr>
              <w:fldChar w:fldCharType="end"/>
            </w:r>
          </w:hyperlink>
        </w:p>
        <w:p w:rsidR="000B4DF7" w14:paraId="3F318DE1" w14:textId="22D8181E">
          <w:pPr>
            <w:pStyle w:val="TOC2"/>
            <w:rPr>
              <w:rFonts w:asciiTheme="minorHAnsi" w:eastAsiaTheme="minorEastAsia" w:hAnsiTheme="minorHAnsi" w:cstheme="minorBidi"/>
              <w:noProof/>
              <w:szCs w:val="22"/>
            </w:rPr>
          </w:pPr>
          <w:hyperlink w:anchor="_Toc148515709" w:history="1">
            <w:r w:rsidRPr="00173A7B">
              <w:rPr>
                <w:rStyle w:val="Hyperlink"/>
                <w:noProof/>
              </w:rPr>
              <w:t>E.</w:t>
            </w:r>
            <w:r>
              <w:rPr>
                <w:rFonts w:asciiTheme="minorHAnsi" w:eastAsiaTheme="minorEastAsia" w:hAnsiTheme="minorHAnsi" w:cstheme="minorBidi"/>
                <w:noProof/>
                <w:szCs w:val="22"/>
              </w:rPr>
              <w:tab/>
            </w:r>
            <w:r w:rsidRPr="00173A7B">
              <w:rPr>
                <w:rStyle w:val="Hyperlink"/>
                <w:noProof/>
              </w:rPr>
              <w:t>Summary of Changes</w:t>
            </w:r>
            <w:r>
              <w:rPr>
                <w:noProof/>
                <w:webHidden/>
              </w:rPr>
              <w:tab/>
            </w:r>
            <w:r>
              <w:rPr>
                <w:noProof/>
                <w:webHidden/>
              </w:rPr>
              <w:fldChar w:fldCharType="begin"/>
            </w:r>
            <w:r>
              <w:rPr>
                <w:noProof/>
                <w:webHidden/>
              </w:rPr>
              <w:instrText xml:space="preserve"> PAGEREF _Toc148515709 \h </w:instrText>
            </w:r>
            <w:r>
              <w:rPr>
                <w:noProof/>
                <w:webHidden/>
              </w:rPr>
              <w:fldChar w:fldCharType="separate"/>
            </w:r>
            <w:r w:rsidR="001C71DE">
              <w:rPr>
                <w:noProof/>
                <w:webHidden/>
              </w:rPr>
              <w:t>10</w:t>
            </w:r>
            <w:r>
              <w:rPr>
                <w:noProof/>
                <w:webHidden/>
              </w:rPr>
              <w:fldChar w:fldCharType="end"/>
            </w:r>
          </w:hyperlink>
        </w:p>
        <w:p w:rsidR="000B4DF7" w14:paraId="6B1CC554" w14:textId="501DDFC5">
          <w:pPr>
            <w:pStyle w:val="TOC1"/>
            <w:rPr>
              <w:rFonts w:asciiTheme="minorHAnsi" w:eastAsiaTheme="minorEastAsia" w:hAnsiTheme="minorHAnsi" w:cstheme="minorBidi"/>
              <w:noProof/>
              <w:szCs w:val="22"/>
            </w:rPr>
          </w:pPr>
          <w:hyperlink w:anchor="_Toc148515710" w:history="1">
            <w:r w:rsidRPr="00173A7B">
              <w:rPr>
                <w:rStyle w:val="Hyperlink"/>
                <w:noProof/>
              </w:rPr>
              <w:t>II.</w:t>
            </w:r>
            <w:r>
              <w:rPr>
                <w:rFonts w:asciiTheme="minorHAnsi" w:eastAsiaTheme="minorEastAsia" w:hAnsiTheme="minorHAnsi" w:cstheme="minorBidi"/>
                <w:noProof/>
                <w:szCs w:val="22"/>
              </w:rPr>
              <w:tab/>
            </w:r>
            <w:r w:rsidRPr="00173A7B">
              <w:rPr>
                <w:rStyle w:val="Hyperlink"/>
                <w:noProof/>
              </w:rPr>
              <w:t>Final Regulatory Impact Analysis</w:t>
            </w:r>
            <w:r>
              <w:rPr>
                <w:noProof/>
                <w:webHidden/>
              </w:rPr>
              <w:tab/>
            </w:r>
            <w:r>
              <w:rPr>
                <w:noProof/>
                <w:webHidden/>
              </w:rPr>
              <w:fldChar w:fldCharType="begin"/>
            </w:r>
            <w:r>
              <w:rPr>
                <w:noProof/>
                <w:webHidden/>
              </w:rPr>
              <w:instrText xml:space="preserve"> PAGEREF _Toc148515710 \h </w:instrText>
            </w:r>
            <w:r>
              <w:rPr>
                <w:noProof/>
                <w:webHidden/>
              </w:rPr>
              <w:fldChar w:fldCharType="separate"/>
            </w:r>
            <w:r w:rsidR="001C71DE">
              <w:rPr>
                <w:noProof/>
                <w:webHidden/>
              </w:rPr>
              <w:t>11</w:t>
            </w:r>
            <w:r>
              <w:rPr>
                <w:noProof/>
                <w:webHidden/>
              </w:rPr>
              <w:fldChar w:fldCharType="end"/>
            </w:r>
          </w:hyperlink>
        </w:p>
        <w:p w:rsidR="000B4DF7" w14:paraId="49CB2A7D" w14:textId="234B84D5">
          <w:pPr>
            <w:pStyle w:val="TOC2"/>
            <w:rPr>
              <w:rFonts w:asciiTheme="minorHAnsi" w:eastAsiaTheme="minorEastAsia" w:hAnsiTheme="minorHAnsi" w:cstheme="minorBidi"/>
              <w:noProof/>
              <w:szCs w:val="22"/>
            </w:rPr>
          </w:pPr>
          <w:hyperlink w:anchor="_Toc148515711"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Background</w:t>
            </w:r>
            <w:r>
              <w:rPr>
                <w:noProof/>
                <w:webHidden/>
              </w:rPr>
              <w:tab/>
            </w:r>
            <w:r>
              <w:rPr>
                <w:noProof/>
                <w:webHidden/>
              </w:rPr>
              <w:fldChar w:fldCharType="begin"/>
            </w:r>
            <w:r>
              <w:rPr>
                <w:noProof/>
                <w:webHidden/>
              </w:rPr>
              <w:instrText xml:space="preserve"> PAGEREF _Toc148515711 \h </w:instrText>
            </w:r>
            <w:r>
              <w:rPr>
                <w:noProof/>
                <w:webHidden/>
              </w:rPr>
              <w:fldChar w:fldCharType="separate"/>
            </w:r>
            <w:r w:rsidR="001C71DE">
              <w:rPr>
                <w:noProof/>
                <w:webHidden/>
              </w:rPr>
              <w:t>11</w:t>
            </w:r>
            <w:r>
              <w:rPr>
                <w:noProof/>
                <w:webHidden/>
              </w:rPr>
              <w:fldChar w:fldCharType="end"/>
            </w:r>
          </w:hyperlink>
        </w:p>
        <w:p w:rsidR="000B4DF7" w14:paraId="1229EABC" w14:textId="5A9D9CDD">
          <w:pPr>
            <w:pStyle w:val="TOC2"/>
            <w:rPr>
              <w:rFonts w:asciiTheme="minorHAnsi" w:eastAsiaTheme="minorEastAsia" w:hAnsiTheme="minorHAnsi" w:cstheme="minorBidi"/>
              <w:noProof/>
              <w:szCs w:val="22"/>
            </w:rPr>
          </w:pPr>
          <w:hyperlink w:anchor="_Toc148515712"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Market Failure Requiring Federal Regulatory Action</w:t>
            </w:r>
            <w:r>
              <w:rPr>
                <w:noProof/>
                <w:webHidden/>
              </w:rPr>
              <w:tab/>
            </w:r>
            <w:r>
              <w:rPr>
                <w:noProof/>
                <w:webHidden/>
              </w:rPr>
              <w:fldChar w:fldCharType="begin"/>
            </w:r>
            <w:r>
              <w:rPr>
                <w:noProof/>
                <w:webHidden/>
              </w:rPr>
              <w:instrText xml:space="preserve"> PAGEREF _Toc148515712 \h </w:instrText>
            </w:r>
            <w:r>
              <w:rPr>
                <w:noProof/>
                <w:webHidden/>
              </w:rPr>
              <w:fldChar w:fldCharType="separate"/>
            </w:r>
            <w:r w:rsidR="001C71DE">
              <w:rPr>
                <w:noProof/>
                <w:webHidden/>
              </w:rPr>
              <w:t>11</w:t>
            </w:r>
            <w:r>
              <w:rPr>
                <w:noProof/>
                <w:webHidden/>
              </w:rPr>
              <w:fldChar w:fldCharType="end"/>
            </w:r>
          </w:hyperlink>
        </w:p>
        <w:p w:rsidR="000B4DF7" w14:paraId="6D1EE24B" w14:textId="50FDC1CF">
          <w:pPr>
            <w:pStyle w:val="TOC2"/>
            <w:rPr>
              <w:rFonts w:asciiTheme="minorHAnsi" w:eastAsiaTheme="minorEastAsia" w:hAnsiTheme="minorHAnsi" w:cstheme="minorBidi"/>
              <w:noProof/>
              <w:szCs w:val="22"/>
            </w:rPr>
          </w:pPr>
          <w:hyperlink w:anchor="_Toc148515713"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Purpose of the Rule</w:t>
            </w:r>
            <w:r>
              <w:rPr>
                <w:noProof/>
                <w:webHidden/>
              </w:rPr>
              <w:tab/>
            </w:r>
            <w:r>
              <w:rPr>
                <w:noProof/>
                <w:webHidden/>
              </w:rPr>
              <w:fldChar w:fldCharType="begin"/>
            </w:r>
            <w:r>
              <w:rPr>
                <w:noProof/>
                <w:webHidden/>
              </w:rPr>
              <w:instrText xml:space="preserve"> PAGEREF _Toc148515713 \h </w:instrText>
            </w:r>
            <w:r>
              <w:rPr>
                <w:noProof/>
                <w:webHidden/>
              </w:rPr>
              <w:fldChar w:fldCharType="separate"/>
            </w:r>
            <w:r w:rsidR="001C71DE">
              <w:rPr>
                <w:noProof/>
                <w:webHidden/>
              </w:rPr>
              <w:t>12</w:t>
            </w:r>
            <w:r>
              <w:rPr>
                <w:noProof/>
                <w:webHidden/>
              </w:rPr>
              <w:fldChar w:fldCharType="end"/>
            </w:r>
          </w:hyperlink>
        </w:p>
        <w:p w:rsidR="000B4DF7" w14:paraId="54DC59B2" w14:textId="07367B28">
          <w:pPr>
            <w:pStyle w:val="TOC2"/>
            <w:rPr>
              <w:rFonts w:asciiTheme="minorHAnsi" w:eastAsiaTheme="minorEastAsia" w:hAnsiTheme="minorHAnsi" w:cstheme="minorBidi"/>
              <w:noProof/>
              <w:szCs w:val="22"/>
            </w:rPr>
          </w:pPr>
          <w:hyperlink w:anchor="_Toc148515714" w:history="1">
            <w:r w:rsidRPr="00173A7B">
              <w:rPr>
                <w:rStyle w:val="Hyperlink"/>
                <w:noProof/>
              </w:rPr>
              <w:t>D.</w:t>
            </w:r>
            <w:r>
              <w:rPr>
                <w:rFonts w:asciiTheme="minorHAnsi" w:eastAsiaTheme="minorEastAsia" w:hAnsiTheme="minorHAnsi" w:cstheme="minorBidi"/>
                <w:noProof/>
                <w:szCs w:val="22"/>
              </w:rPr>
              <w:tab/>
            </w:r>
            <w:r w:rsidRPr="00173A7B">
              <w:rPr>
                <w:rStyle w:val="Hyperlink"/>
                <w:noProof/>
              </w:rPr>
              <w:t>Baseline Conditions</w:t>
            </w:r>
            <w:r>
              <w:rPr>
                <w:noProof/>
                <w:webHidden/>
              </w:rPr>
              <w:tab/>
            </w:r>
            <w:r>
              <w:rPr>
                <w:noProof/>
                <w:webHidden/>
              </w:rPr>
              <w:fldChar w:fldCharType="begin"/>
            </w:r>
            <w:r>
              <w:rPr>
                <w:noProof/>
                <w:webHidden/>
              </w:rPr>
              <w:instrText xml:space="preserve"> PAGEREF _Toc148515714 \h </w:instrText>
            </w:r>
            <w:r>
              <w:rPr>
                <w:noProof/>
                <w:webHidden/>
              </w:rPr>
              <w:fldChar w:fldCharType="separate"/>
            </w:r>
            <w:r w:rsidR="001C71DE">
              <w:rPr>
                <w:noProof/>
                <w:webHidden/>
              </w:rPr>
              <w:t>13</w:t>
            </w:r>
            <w:r>
              <w:rPr>
                <w:noProof/>
                <w:webHidden/>
              </w:rPr>
              <w:fldChar w:fldCharType="end"/>
            </w:r>
          </w:hyperlink>
        </w:p>
        <w:p w:rsidR="000B4DF7" w14:paraId="2469E4A5" w14:textId="6C145036">
          <w:pPr>
            <w:pStyle w:val="TOC2"/>
            <w:rPr>
              <w:rFonts w:asciiTheme="minorHAnsi" w:eastAsiaTheme="minorEastAsia" w:hAnsiTheme="minorHAnsi" w:cstheme="minorBidi"/>
              <w:noProof/>
              <w:szCs w:val="22"/>
            </w:rPr>
          </w:pPr>
          <w:hyperlink w:anchor="_Toc148515715" w:history="1">
            <w:r w:rsidRPr="00173A7B">
              <w:rPr>
                <w:rStyle w:val="Hyperlink"/>
                <w:noProof/>
              </w:rPr>
              <w:t>E.</w:t>
            </w:r>
            <w:r>
              <w:rPr>
                <w:rFonts w:asciiTheme="minorHAnsi" w:eastAsiaTheme="minorEastAsia" w:hAnsiTheme="minorHAnsi" w:cstheme="minorBidi"/>
                <w:noProof/>
                <w:szCs w:val="22"/>
              </w:rPr>
              <w:tab/>
            </w:r>
            <w:r w:rsidRPr="00173A7B">
              <w:rPr>
                <w:rStyle w:val="Hyperlink"/>
                <w:noProof/>
              </w:rPr>
              <w:t>Benefits of the Rule</w:t>
            </w:r>
            <w:r>
              <w:rPr>
                <w:noProof/>
                <w:webHidden/>
              </w:rPr>
              <w:tab/>
            </w:r>
            <w:r>
              <w:rPr>
                <w:noProof/>
                <w:webHidden/>
              </w:rPr>
              <w:fldChar w:fldCharType="begin"/>
            </w:r>
            <w:r>
              <w:rPr>
                <w:noProof/>
                <w:webHidden/>
              </w:rPr>
              <w:instrText xml:space="preserve"> PAGEREF _Toc148515715 \h </w:instrText>
            </w:r>
            <w:r>
              <w:rPr>
                <w:noProof/>
                <w:webHidden/>
              </w:rPr>
              <w:fldChar w:fldCharType="separate"/>
            </w:r>
            <w:r w:rsidR="001C71DE">
              <w:rPr>
                <w:noProof/>
                <w:webHidden/>
              </w:rPr>
              <w:t>17</w:t>
            </w:r>
            <w:r>
              <w:rPr>
                <w:noProof/>
                <w:webHidden/>
              </w:rPr>
              <w:fldChar w:fldCharType="end"/>
            </w:r>
          </w:hyperlink>
        </w:p>
        <w:p w:rsidR="000B4DF7" w:rsidP="002E2444" w14:paraId="0D7565C3" w14:textId="200FC3E5">
          <w:pPr>
            <w:pStyle w:val="TOC3"/>
            <w:rPr>
              <w:rFonts w:asciiTheme="minorHAnsi" w:eastAsiaTheme="minorEastAsia" w:hAnsiTheme="minorHAnsi" w:cstheme="minorBidi"/>
              <w:noProof/>
              <w:szCs w:val="22"/>
            </w:rPr>
          </w:pPr>
          <w:hyperlink w:anchor="_Toc148515716" w:history="1">
            <w:r w:rsidRPr="00173A7B">
              <w:rPr>
                <w:rStyle w:val="Hyperlink"/>
                <w:noProof/>
              </w:rPr>
              <w:t>1.</w:t>
            </w:r>
            <w:r>
              <w:rPr>
                <w:rFonts w:asciiTheme="minorHAnsi" w:eastAsiaTheme="minorEastAsia" w:hAnsiTheme="minorHAnsi" w:cstheme="minorBidi"/>
                <w:noProof/>
                <w:szCs w:val="22"/>
              </w:rPr>
              <w:tab/>
            </w:r>
            <w:r w:rsidRPr="00173A7B">
              <w:rPr>
                <w:rStyle w:val="Hyperlink"/>
                <w:noProof/>
              </w:rPr>
              <w:t>CGMP Requirements Cost Savings</w:t>
            </w:r>
            <w:r>
              <w:rPr>
                <w:noProof/>
                <w:webHidden/>
              </w:rPr>
              <w:tab/>
            </w:r>
            <w:r>
              <w:rPr>
                <w:noProof/>
                <w:webHidden/>
              </w:rPr>
              <w:fldChar w:fldCharType="begin"/>
            </w:r>
            <w:r>
              <w:rPr>
                <w:noProof/>
                <w:webHidden/>
              </w:rPr>
              <w:instrText xml:space="preserve"> PAGEREF _Toc148515716 \h </w:instrText>
            </w:r>
            <w:r>
              <w:rPr>
                <w:noProof/>
                <w:webHidden/>
              </w:rPr>
              <w:fldChar w:fldCharType="separate"/>
            </w:r>
            <w:r w:rsidR="001C71DE">
              <w:rPr>
                <w:noProof/>
                <w:webHidden/>
              </w:rPr>
              <w:t>17</w:t>
            </w:r>
            <w:r>
              <w:rPr>
                <w:noProof/>
                <w:webHidden/>
              </w:rPr>
              <w:fldChar w:fldCharType="end"/>
            </w:r>
          </w:hyperlink>
        </w:p>
        <w:p w:rsidR="000B4DF7" w14:paraId="6BCD98D1" w14:textId="18E0A139">
          <w:pPr>
            <w:pStyle w:val="TOC4"/>
            <w:rPr>
              <w:rFonts w:asciiTheme="minorHAnsi" w:eastAsiaTheme="minorEastAsia" w:hAnsiTheme="minorHAnsi" w:cstheme="minorBidi"/>
              <w:noProof/>
              <w:szCs w:val="22"/>
            </w:rPr>
          </w:pPr>
          <w:hyperlink w:anchor="_Toc148515717"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Streamlined Inspection Due to Better Tailored Requirements</w:t>
            </w:r>
            <w:r>
              <w:rPr>
                <w:noProof/>
                <w:webHidden/>
              </w:rPr>
              <w:tab/>
            </w:r>
            <w:r>
              <w:rPr>
                <w:noProof/>
                <w:webHidden/>
              </w:rPr>
              <w:fldChar w:fldCharType="begin"/>
            </w:r>
            <w:r>
              <w:rPr>
                <w:noProof/>
                <w:webHidden/>
              </w:rPr>
              <w:instrText xml:space="preserve"> PAGEREF _Toc148515717 \h </w:instrText>
            </w:r>
            <w:r>
              <w:rPr>
                <w:noProof/>
                <w:webHidden/>
              </w:rPr>
              <w:fldChar w:fldCharType="separate"/>
            </w:r>
            <w:r w:rsidR="001C71DE">
              <w:rPr>
                <w:noProof/>
                <w:webHidden/>
              </w:rPr>
              <w:t>17</w:t>
            </w:r>
            <w:r>
              <w:rPr>
                <w:noProof/>
                <w:webHidden/>
              </w:rPr>
              <w:fldChar w:fldCharType="end"/>
            </w:r>
          </w:hyperlink>
        </w:p>
        <w:p w:rsidR="000B4DF7" w14:paraId="496C85DB" w14:textId="15D5800E">
          <w:pPr>
            <w:pStyle w:val="TOC4"/>
            <w:rPr>
              <w:rFonts w:asciiTheme="minorHAnsi" w:eastAsiaTheme="minorEastAsia" w:hAnsiTheme="minorHAnsi" w:cstheme="minorBidi"/>
              <w:noProof/>
              <w:szCs w:val="22"/>
            </w:rPr>
          </w:pPr>
          <w:hyperlink w:anchor="_Toc148515718"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Removes First-in, First-out Requirement for Medical Gases</w:t>
            </w:r>
            <w:r>
              <w:rPr>
                <w:noProof/>
                <w:webHidden/>
              </w:rPr>
              <w:tab/>
            </w:r>
            <w:r>
              <w:rPr>
                <w:noProof/>
                <w:webHidden/>
              </w:rPr>
              <w:fldChar w:fldCharType="begin"/>
            </w:r>
            <w:r>
              <w:rPr>
                <w:noProof/>
                <w:webHidden/>
              </w:rPr>
              <w:instrText xml:space="preserve"> PAGEREF _Toc148515718 \h </w:instrText>
            </w:r>
            <w:r>
              <w:rPr>
                <w:noProof/>
                <w:webHidden/>
              </w:rPr>
              <w:fldChar w:fldCharType="separate"/>
            </w:r>
            <w:r w:rsidR="001C71DE">
              <w:rPr>
                <w:noProof/>
                <w:webHidden/>
              </w:rPr>
              <w:t>18</w:t>
            </w:r>
            <w:r>
              <w:rPr>
                <w:noProof/>
                <w:webHidden/>
              </w:rPr>
              <w:fldChar w:fldCharType="end"/>
            </w:r>
          </w:hyperlink>
        </w:p>
        <w:p w:rsidR="000B4DF7" w14:paraId="63580D2E" w14:textId="002E5946">
          <w:pPr>
            <w:pStyle w:val="TOC4"/>
            <w:rPr>
              <w:rFonts w:asciiTheme="minorHAnsi" w:eastAsiaTheme="minorEastAsia" w:hAnsiTheme="minorHAnsi" w:cstheme="minorBidi"/>
              <w:noProof/>
              <w:szCs w:val="22"/>
            </w:rPr>
          </w:pPr>
          <w:hyperlink w:anchor="_Toc148515719"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Allows Reuse of Labels</w:t>
            </w:r>
            <w:r>
              <w:rPr>
                <w:noProof/>
                <w:webHidden/>
              </w:rPr>
              <w:tab/>
            </w:r>
            <w:r>
              <w:rPr>
                <w:noProof/>
                <w:webHidden/>
              </w:rPr>
              <w:fldChar w:fldCharType="begin"/>
            </w:r>
            <w:r>
              <w:rPr>
                <w:noProof/>
                <w:webHidden/>
              </w:rPr>
              <w:instrText xml:space="preserve"> PAGEREF _Toc148515719 \h </w:instrText>
            </w:r>
            <w:r>
              <w:rPr>
                <w:noProof/>
                <w:webHidden/>
              </w:rPr>
              <w:fldChar w:fldCharType="separate"/>
            </w:r>
            <w:r w:rsidR="001C71DE">
              <w:rPr>
                <w:noProof/>
                <w:webHidden/>
              </w:rPr>
              <w:t>19</w:t>
            </w:r>
            <w:r>
              <w:rPr>
                <w:noProof/>
                <w:webHidden/>
              </w:rPr>
              <w:fldChar w:fldCharType="end"/>
            </w:r>
          </w:hyperlink>
        </w:p>
        <w:p w:rsidR="000B4DF7" w14:paraId="43FE89C2" w14:textId="41AFD693">
          <w:pPr>
            <w:pStyle w:val="TOC4"/>
            <w:rPr>
              <w:rFonts w:asciiTheme="minorHAnsi" w:eastAsiaTheme="minorEastAsia" w:hAnsiTheme="minorHAnsi" w:cstheme="minorBidi"/>
              <w:noProof/>
              <w:szCs w:val="22"/>
            </w:rPr>
          </w:pPr>
          <w:hyperlink w:anchor="_Toc148515720" w:history="1">
            <w:r w:rsidRPr="00173A7B">
              <w:rPr>
                <w:rStyle w:val="Hyperlink"/>
                <w:noProof/>
              </w:rPr>
              <w:t>d.</w:t>
            </w:r>
            <w:r>
              <w:rPr>
                <w:rFonts w:asciiTheme="minorHAnsi" w:eastAsiaTheme="minorEastAsia" w:hAnsiTheme="minorHAnsi" w:cstheme="minorBidi"/>
                <w:noProof/>
                <w:szCs w:val="22"/>
              </w:rPr>
              <w:tab/>
            </w:r>
            <w:r w:rsidRPr="00173A7B">
              <w:rPr>
                <w:rStyle w:val="Hyperlink"/>
                <w:noProof/>
              </w:rPr>
              <w:t>Flexibility in Curbside Filling Written Permission</w:t>
            </w:r>
            <w:r>
              <w:rPr>
                <w:noProof/>
                <w:webHidden/>
              </w:rPr>
              <w:tab/>
            </w:r>
            <w:r>
              <w:rPr>
                <w:noProof/>
                <w:webHidden/>
              </w:rPr>
              <w:fldChar w:fldCharType="begin"/>
            </w:r>
            <w:r>
              <w:rPr>
                <w:noProof/>
                <w:webHidden/>
              </w:rPr>
              <w:instrText xml:space="preserve"> PAGEREF _Toc148515720 \h </w:instrText>
            </w:r>
            <w:r>
              <w:rPr>
                <w:noProof/>
                <w:webHidden/>
              </w:rPr>
              <w:fldChar w:fldCharType="separate"/>
            </w:r>
            <w:r w:rsidR="001C71DE">
              <w:rPr>
                <w:noProof/>
                <w:webHidden/>
              </w:rPr>
              <w:t>20</w:t>
            </w:r>
            <w:r>
              <w:rPr>
                <w:noProof/>
                <w:webHidden/>
              </w:rPr>
              <w:fldChar w:fldCharType="end"/>
            </w:r>
          </w:hyperlink>
        </w:p>
        <w:p w:rsidR="000B4DF7" w:rsidP="002E2444" w14:paraId="16F7AE79" w14:textId="3105D82B">
          <w:pPr>
            <w:pStyle w:val="TOC3"/>
            <w:rPr>
              <w:rFonts w:asciiTheme="minorHAnsi" w:eastAsiaTheme="minorEastAsia" w:hAnsiTheme="minorHAnsi" w:cstheme="minorBidi"/>
              <w:noProof/>
              <w:szCs w:val="22"/>
            </w:rPr>
          </w:pPr>
          <w:hyperlink w:anchor="_Toc148515721" w:history="1">
            <w:r w:rsidRPr="00173A7B">
              <w:rPr>
                <w:rStyle w:val="Hyperlink"/>
                <w:noProof/>
              </w:rPr>
              <w:t>2.</w:t>
            </w:r>
            <w:r>
              <w:rPr>
                <w:rFonts w:asciiTheme="minorHAnsi" w:eastAsiaTheme="minorEastAsia" w:hAnsiTheme="minorHAnsi" w:cstheme="minorBidi"/>
                <w:noProof/>
                <w:szCs w:val="22"/>
              </w:rPr>
              <w:tab/>
            </w:r>
            <w:r w:rsidRPr="00173A7B">
              <w:rPr>
                <w:rStyle w:val="Hyperlink"/>
                <w:noProof/>
              </w:rPr>
              <w:t>Summary of Quantitative Cost Savings</w:t>
            </w:r>
            <w:r>
              <w:rPr>
                <w:noProof/>
                <w:webHidden/>
              </w:rPr>
              <w:tab/>
            </w:r>
            <w:r>
              <w:rPr>
                <w:noProof/>
                <w:webHidden/>
              </w:rPr>
              <w:fldChar w:fldCharType="begin"/>
            </w:r>
            <w:r>
              <w:rPr>
                <w:noProof/>
                <w:webHidden/>
              </w:rPr>
              <w:instrText xml:space="preserve"> PAGEREF _Toc148515721 \h </w:instrText>
            </w:r>
            <w:r>
              <w:rPr>
                <w:noProof/>
                <w:webHidden/>
              </w:rPr>
              <w:fldChar w:fldCharType="separate"/>
            </w:r>
            <w:r w:rsidR="001C71DE">
              <w:rPr>
                <w:noProof/>
                <w:webHidden/>
              </w:rPr>
              <w:t>21</w:t>
            </w:r>
            <w:r>
              <w:rPr>
                <w:noProof/>
                <w:webHidden/>
              </w:rPr>
              <w:fldChar w:fldCharType="end"/>
            </w:r>
          </w:hyperlink>
        </w:p>
        <w:p w:rsidR="000B4DF7" w:rsidP="002E2444" w14:paraId="36ED0703" w14:textId="5DDBBB35">
          <w:pPr>
            <w:pStyle w:val="TOC3"/>
            <w:rPr>
              <w:rFonts w:asciiTheme="minorHAnsi" w:eastAsiaTheme="minorEastAsia" w:hAnsiTheme="minorHAnsi" w:cstheme="minorBidi"/>
              <w:noProof/>
              <w:szCs w:val="22"/>
            </w:rPr>
          </w:pPr>
          <w:hyperlink w:anchor="_Toc148515722" w:history="1">
            <w:r w:rsidRPr="00173A7B">
              <w:rPr>
                <w:rStyle w:val="Hyperlink"/>
                <w:noProof/>
              </w:rPr>
              <w:t>3.</w:t>
            </w:r>
            <w:r>
              <w:rPr>
                <w:rFonts w:asciiTheme="minorHAnsi" w:eastAsiaTheme="minorEastAsia" w:hAnsiTheme="minorHAnsi" w:cstheme="minorBidi"/>
                <w:noProof/>
                <w:szCs w:val="22"/>
              </w:rPr>
              <w:tab/>
            </w:r>
            <w:r w:rsidRPr="00173A7B">
              <w:rPr>
                <w:rStyle w:val="Hyperlink"/>
                <w:noProof/>
              </w:rPr>
              <w:t>Qualitative Benefits: Labeling</w:t>
            </w:r>
            <w:r>
              <w:rPr>
                <w:noProof/>
                <w:webHidden/>
              </w:rPr>
              <w:tab/>
            </w:r>
            <w:r>
              <w:rPr>
                <w:noProof/>
                <w:webHidden/>
              </w:rPr>
              <w:fldChar w:fldCharType="begin"/>
            </w:r>
            <w:r>
              <w:rPr>
                <w:noProof/>
                <w:webHidden/>
              </w:rPr>
              <w:instrText xml:space="preserve"> PAGEREF _Toc148515722 \h </w:instrText>
            </w:r>
            <w:r>
              <w:rPr>
                <w:noProof/>
                <w:webHidden/>
              </w:rPr>
              <w:fldChar w:fldCharType="separate"/>
            </w:r>
            <w:r w:rsidR="001C71DE">
              <w:rPr>
                <w:noProof/>
                <w:webHidden/>
              </w:rPr>
              <w:t>22</w:t>
            </w:r>
            <w:r>
              <w:rPr>
                <w:noProof/>
                <w:webHidden/>
              </w:rPr>
              <w:fldChar w:fldCharType="end"/>
            </w:r>
          </w:hyperlink>
        </w:p>
        <w:p w:rsidR="000B4DF7" w:rsidP="002E2444" w14:paraId="3E32DAA0" w14:textId="02E4C514">
          <w:pPr>
            <w:pStyle w:val="TOC3"/>
            <w:rPr>
              <w:rFonts w:asciiTheme="minorHAnsi" w:eastAsiaTheme="minorEastAsia" w:hAnsiTheme="minorHAnsi" w:cstheme="minorBidi"/>
              <w:noProof/>
              <w:szCs w:val="22"/>
            </w:rPr>
          </w:pPr>
          <w:hyperlink w:anchor="_Toc148515723" w:history="1">
            <w:r w:rsidRPr="00173A7B">
              <w:rPr>
                <w:rStyle w:val="Hyperlink"/>
                <w:noProof/>
              </w:rPr>
              <w:t>4.</w:t>
            </w:r>
            <w:r>
              <w:rPr>
                <w:rFonts w:asciiTheme="minorHAnsi" w:eastAsiaTheme="minorEastAsia" w:hAnsiTheme="minorHAnsi" w:cstheme="minorBidi"/>
                <w:noProof/>
                <w:szCs w:val="22"/>
              </w:rPr>
              <w:tab/>
            </w:r>
            <w:r w:rsidRPr="00173A7B">
              <w:rPr>
                <w:rStyle w:val="Hyperlink"/>
                <w:noProof/>
              </w:rPr>
              <w:t>Qualitative Cost Savings: CGMP Requirements</w:t>
            </w:r>
            <w:r>
              <w:rPr>
                <w:noProof/>
                <w:webHidden/>
              </w:rPr>
              <w:tab/>
            </w:r>
            <w:r>
              <w:rPr>
                <w:noProof/>
                <w:webHidden/>
              </w:rPr>
              <w:fldChar w:fldCharType="begin"/>
            </w:r>
            <w:r>
              <w:rPr>
                <w:noProof/>
                <w:webHidden/>
              </w:rPr>
              <w:instrText xml:space="preserve"> PAGEREF _Toc148515723 \h </w:instrText>
            </w:r>
            <w:r>
              <w:rPr>
                <w:noProof/>
                <w:webHidden/>
              </w:rPr>
              <w:fldChar w:fldCharType="separate"/>
            </w:r>
            <w:r w:rsidR="001C71DE">
              <w:rPr>
                <w:noProof/>
                <w:webHidden/>
              </w:rPr>
              <w:t>22</w:t>
            </w:r>
            <w:r>
              <w:rPr>
                <w:noProof/>
                <w:webHidden/>
              </w:rPr>
              <w:fldChar w:fldCharType="end"/>
            </w:r>
          </w:hyperlink>
        </w:p>
        <w:p w:rsidR="000B4DF7" w14:paraId="3FFA127A" w14:textId="271EDA5A">
          <w:pPr>
            <w:pStyle w:val="TOC4"/>
            <w:rPr>
              <w:rFonts w:asciiTheme="minorHAnsi" w:eastAsiaTheme="minorEastAsia" w:hAnsiTheme="minorHAnsi" w:cstheme="minorBidi"/>
              <w:noProof/>
              <w:szCs w:val="22"/>
            </w:rPr>
          </w:pPr>
          <w:hyperlink w:anchor="_Toc148515724"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Increased Flexibility in Testing of Components, Containers, and Closures</w:t>
            </w:r>
            <w:r>
              <w:rPr>
                <w:noProof/>
                <w:webHidden/>
              </w:rPr>
              <w:tab/>
            </w:r>
            <w:r>
              <w:rPr>
                <w:noProof/>
                <w:webHidden/>
              </w:rPr>
              <w:fldChar w:fldCharType="begin"/>
            </w:r>
            <w:r>
              <w:rPr>
                <w:noProof/>
                <w:webHidden/>
              </w:rPr>
              <w:instrText xml:space="preserve"> PAGEREF _Toc148515724 \h </w:instrText>
            </w:r>
            <w:r>
              <w:rPr>
                <w:noProof/>
                <w:webHidden/>
              </w:rPr>
              <w:fldChar w:fldCharType="separate"/>
            </w:r>
            <w:r w:rsidR="001C71DE">
              <w:rPr>
                <w:noProof/>
                <w:webHidden/>
              </w:rPr>
              <w:t>22</w:t>
            </w:r>
            <w:r>
              <w:rPr>
                <w:noProof/>
                <w:webHidden/>
              </w:rPr>
              <w:fldChar w:fldCharType="end"/>
            </w:r>
          </w:hyperlink>
        </w:p>
        <w:p w:rsidR="000B4DF7" w14:paraId="77A3B0CD" w14:textId="56ADF72E">
          <w:pPr>
            <w:pStyle w:val="TOC4"/>
            <w:rPr>
              <w:rFonts w:asciiTheme="minorHAnsi" w:eastAsiaTheme="minorEastAsia" w:hAnsiTheme="minorHAnsi" w:cstheme="minorBidi"/>
              <w:noProof/>
              <w:szCs w:val="22"/>
            </w:rPr>
          </w:pPr>
          <w:hyperlink w:anchor="_Toc148515725"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Removes Calculation of Yield Requirement</w:t>
            </w:r>
            <w:r>
              <w:rPr>
                <w:noProof/>
                <w:webHidden/>
              </w:rPr>
              <w:tab/>
            </w:r>
            <w:r>
              <w:rPr>
                <w:noProof/>
                <w:webHidden/>
              </w:rPr>
              <w:fldChar w:fldCharType="begin"/>
            </w:r>
            <w:r>
              <w:rPr>
                <w:noProof/>
                <w:webHidden/>
              </w:rPr>
              <w:instrText xml:space="preserve"> PAGEREF _Toc148515725 \h </w:instrText>
            </w:r>
            <w:r>
              <w:rPr>
                <w:noProof/>
                <w:webHidden/>
              </w:rPr>
              <w:fldChar w:fldCharType="separate"/>
            </w:r>
            <w:r w:rsidR="001C71DE">
              <w:rPr>
                <w:noProof/>
                <w:webHidden/>
              </w:rPr>
              <w:t>22</w:t>
            </w:r>
            <w:r>
              <w:rPr>
                <w:noProof/>
                <w:webHidden/>
              </w:rPr>
              <w:fldChar w:fldCharType="end"/>
            </w:r>
          </w:hyperlink>
        </w:p>
        <w:p w:rsidR="000B4DF7" w14:paraId="5DC2AA8C" w14:textId="0BBF0A24">
          <w:pPr>
            <w:pStyle w:val="TOC4"/>
            <w:rPr>
              <w:rFonts w:asciiTheme="minorHAnsi" w:eastAsiaTheme="minorEastAsia" w:hAnsiTheme="minorHAnsi" w:cstheme="minorBidi"/>
              <w:noProof/>
              <w:szCs w:val="22"/>
            </w:rPr>
          </w:pPr>
          <w:hyperlink w:anchor="_Toc148515726"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Allows Salvaging of Medical Gases</w:t>
            </w:r>
            <w:r>
              <w:rPr>
                <w:noProof/>
                <w:webHidden/>
              </w:rPr>
              <w:tab/>
            </w:r>
            <w:r>
              <w:rPr>
                <w:noProof/>
                <w:webHidden/>
              </w:rPr>
              <w:fldChar w:fldCharType="begin"/>
            </w:r>
            <w:r>
              <w:rPr>
                <w:noProof/>
                <w:webHidden/>
              </w:rPr>
              <w:instrText xml:space="preserve"> PAGEREF _Toc148515726 \h </w:instrText>
            </w:r>
            <w:r>
              <w:rPr>
                <w:noProof/>
                <w:webHidden/>
              </w:rPr>
              <w:fldChar w:fldCharType="separate"/>
            </w:r>
            <w:r w:rsidR="001C71DE">
              <w:rPr>
                <w:noProof/>
                <w:webHidden/>
              </w:rPr>
              <w:t>23</w:t>
            </w:r>
            <w:r>
              <w:rPr>
                <w:noProof/>
                <w:webHidden/>
              </w:rPr>
              <w:fldChar w:fldCharType="end"/>
            </w:r>
          </w:hyperlink>
        </w:p>
        <w:p w:rsidR="000B4DF7" w:rsidP="002E2444" w14:paraId="1015A34A" w14:textId="2196E099">
          <w:pPr>
            <w:pStyle w:val="TOC3"/>
            <w:rPr>
              <w:rFonts w:asciiTheme="minorHAnsi" w:eastAsiaTheme="minorEastAsia" w:hAnsiTheme="minorHAnsi" w:cstheme="minorBidi"/>
              <w:noProof/>
              <w:szCs w:val="22"/>
            </w:rPr>
          </w:pPr>
          <w:hyperlink w:anchor="_Toc148515727" w:history="1">
            <w:r w:rsidRPr="00173A7B">
              <w:rPr>
                <w:rStyle w:val="Hyperlink"/>
                <w:rFonts w:eastAsia="Times New Roman"/>
                <w:noProof/>
              </w:rPr>
              <w:t>5.</w:t>
            </w:r>
            <w:r>
              <w:rPr>
                <w:rFonts w:asciiTheme="minorHAnsi" w:eastAsiaTheme="minorEastAsia" w:hAnsiTheme="minorHAnsi" w:cstheme="minorBidi"/>
                <w:noProof/>
                <w:szCs w:val="22"/>
              </w:rPr>
              <w:tab/>
            </w:r>
            <w:r w:rsidRPr="00173A7B">
              <w:rPr>
                <w:rStyle w:val="Hyperlink"/>
                <w:noProof/>
              </w:rPr>
              <w:t>Potential Additional Cost Savings</w:t>
            </w:r>
            <w:r>
              <w:rPr>
                <w:noProof/>
                <w:webHidden/>
              </w:rPr>
              <w:tab/>
            </w:r>
            <w:r>
              <w:rPr>
                <w:noProof/>
                <w:webHidden/>
              </w:rPr>
              <w:fldChar w:fldCharType="begin"/>
            </w:r>
            <w:r>
              <w:rPr>
                <w:noProof/>
                <w:webHidden/>
              </w:rPr>
              <w:instrText xml:space="preserve"> PAGEREF _Toc148515727 \h </w:instrText>
            </w:r>
            <w:r>
              <w:rPr>
                <w:noProof/>
                <w:webHidden/>
              </w:rPr>
              <w:fldChar w:fldCharType="separate"/>
            </w:r>
            <w:r w:rsidR="001C71DE">
              <w:rPr>
                <w:noProof/>
                <w:webHidden/>
              </w:rPr>
              <w:t>23</w:t>
            </w:r>
            <w:r>
              <w:rPr>
                <w:noProof/>
                <w:webHidden/>
              </w:rPr>
              <w:fldChar w:fldCharType="end"/>
            </w:r>
          </w:hyperlink>
        </w:p>
        <w:p w:rsidR="000B4DF7" w14:paraId="29260CF9" w14:textId="37726D84">
          <w:pPr>
            <w:pStyle w:val="TOC4"/>
            <w:rPr>
              <w:rFonts w:asciiTheme="minorHAnsi" w:eastAsiaTheme="minorEastAsia" w:hAnsiTheme="minorHAnsi" w:cstheme="minorBidi"/>
              <w:noProof/>
              <w:szCs w:val="22"/>
            </w:rPr>
          </w:pPr>
          <w:hyperlink w:anchor="_Toc148515728"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 xml:space="preserve">Removes Requirement that Labels </w:t>
            </w:r>
            <w:r w:rsidR="002E2444">
              <w:rPr>
                <w:rStyle w:val="Hyperlink"/>
                <w:noProof/>
              </w:rPr>
              <w:t>N</w:t>
            </w:r>
            <w:r w:rsidRPr="00173A7B">
              <w:rPr>
                <w:rStyle w:val="Hyperlink"/>
                <w:noProof/>
              </w:rPr>
              <w:t xml:space="preserve">ot </w:t>
            </w:r>
            <w:r w:rsidR="002E2444">
              <w:rPr>
                <w:rStyle w:val="Hyperlink"/>
                <w:noProof/>
              </w:rPr>
              <w:t>B</w:t>
            </w:r>
            <w:r w:rsidRPr="00173A7B">
              <w:rPr>
                <w:rStyle w:val="Hyperlink"/>
                <w:noProof/>
              </w:rPr>
              <w:t>e Susceptible to Becoming Worn or Detached</w:t>
            </w:r>
            <w:r>
              <w:rPr>
                <w:noProof/>
                <w:webHidden/>
              </w:rPr>
              <w:tab/>
            </w:r>
            <w:r>
              <w:rPr>
                <w:noProof/>
                <w:webHidden/>
              </w:rPr>
              <w:fldChar w:fldCharType="begin"/>
            </w:r>
            <w:r>
              <w:rPr>
                <w:noProof/>
                <w:webHidden/>
              </w:rPr>
              <w:instrText xml:space="preserve"> PAGEREF _Toc148515728 \h </w:instrText>
            </w:r>
            <w:r>
              <w:rPr>
                <w:noProof/>
                <w:webHidden/>
              </w:rPr>
              <w:fldChar w:fldCharType="separate"/>
            </w:r>
            <w:r w:rsidR="001C71DE">
              <w:rPr>
                <w:noProof/>
                <w:webHidden/>
              </w:rPr>
              <w:t>23</w:t>
            </w:r>
            <w:r>
              <w:rPr>
                <w:noProof/>
                <w:webHidden/>
              </w:rPr>
              <w:fldChar w:fldCharType="end"/>
            </w:r>
          </w:hyperlink>
        </w:p>
        <w:p w:rsidR="000B4DF7" w14:paraId="33CC840D" w14:textId="3302DD42">
          <w:pPr>
            <w:pStyle w:val="TOC4"/>
            <w:rPr>
              <w:rFonts w:asciiTheme="minorHAnsi" w:eastAsiaTheme="minorEastAsia" w:hAnsiTheme="minorHAnsi" w:cstheme="minorBidi"/>
              <w:noProof/>
              <w:szCs w:val="22"/>
            </w:rPr>
          </w:pPr>
          <w:hyperlink w:anchor="_Toc148515729"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Clarifications for the Certification Request Process</w:t>
            </w:r>
            <w:r>
              <w:rPr>
                <w:noProof/>
                <w:webHidden/>
              </w:rPr>
              <w:tab/>
            </w:r>
            <w:r>
              <w:rPr>
                <w:noProof/>
                <w:webHidden/>
              </w:rPr>
              <w:fldChar w:fldCharType="begin"/>
            </w:r>
            <w:r>
              <w:rPr>
                <w:noProof/>
                <w:webHidden/>
              </w:rPr>
              <w:instrText xml:space="preserve"> PAGEREF _Toc148515729 \h </w:instrText>
            </w:r>
            <w:r>
              <w:rPr>
                <w:noProof/>
                <w:webHidden/>
              </w:rPr>
              <w:fldChar w:fldCharType="separate"/>
            </w:r>
            <w:r w:rsidR="001C71DE">
              <w:rPr>
                <w:noProof/>
                <w:webHidden/>
              </w:rPr>
              <w:t>23</w:t>
            </w:r>
            <w:r>
              <w:rPr>
                <w:noProof/>
                <w:webHidden/>
              </w:rPr>
              <w:fldChar w:fldCharType="end"/>
            </w:r>
          </w:hyperlink>
        </w:p>
        <w:p w:rsidR="000B4DF7" w14:paraId="47F2A729" w14:textId="69EA87A9">
          <w:pPr>
            <w:pStyle w:val="TOC4"/>
            <w:rPr>
              <w:rFonts w:asciiTheme="minorHAnsi" w:eastAsiaTheme="minorEastAsia" w:hAnsiTheme="minorHAnsi" w:cstheme="minorBidi"/>
              <w:noProof/>
              <w:szCs w:val="22"/>
            </w:rPr>
          </w:pPr>
          <w:hyperlink w:anchor="_Toc148515730"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 xml:space="preserve">Clarification of Events that </w:t>
            </w:r>
            <w:r w:rsidR="002E2444">
              <w:rPr>
                <w:rStyle w:val="Hyperlink"/>
                <w:noProof/>
              </w:rPr>
              <w:t>D</w:t>
            </w:r>
            <w:r w:rsidRPr="00173A7B">
              <w:rPr>
                <w:rStyle w:val="Hyperlink"/>
                <w:noProof/>
              </w:rPr>
              <w:t xml:space="preserve">o </w:t>
            </w:r>
            <w:r w:rsidR="002E2444">
              <w:rPr>
                <w:rStyle w:val="Hyperlink"/>
                <w:noProof/>
              </w:rPr>
              <w:t>N</w:t>
            </w:r>
            <w:r w:rsidRPr="00173A7B">
              <w:rPr>
                <w:rStyle w:val="Hyperlink"/>
                <w:noProof/>
              </w:rPr>
              <w:t>ot Require Adverse Event Reports</w:t>
            </w:r>
            <w:r>
              <w:rPr>
                <w:noProof/>
                <w:webHidden/>
              </w:rPr>
              <w:tab/>
            </w:r>
            <w:r>
              <w:rPr>
                <w:noProof/>
                <w:webHidden/>
              </w:rPr>
              <w:fldChar w:fldCharType="begin"/>
            </w:r>
            <w:r>
              <w:rPr>
                <w:noProof/>
                <w:webHidden/>
              </w:rPr>
              <w:instrText xml:space="preserve"> PAGEREF _Toc148515730 \h </w:instrText>
            </w:r>
            <w:r>
              <w:rPr>
                <w:noProof/>
                <w:webHidden/>
              </w:rPr>
              <w:fldChar w:fldCharType="separate"/>
            </w:r>
            <w:r w:rsidR="001C71DE">
              <w:rPr>
                <w:noProof/>
                <w:webHidden/>
              </w:rPr>
              <w:t>24</w:t>
            </w:r>
            <w:r>
              <w:rPr>
                <w:noProof/>
                <w:webHidden/>
              </w:rPr>
              <w:fldChar w:fldCharType="end"/>
            </w:r>
          </w:hyperlink>
        </w:p>
        <w:p w:rsidR="000B4DF7" w14:paraId="4303B1D3" w14:textId="2F44FE01">
          <w:pPr>
            <w:pStyle w:val="TOC2"/>
            <w:rPr>
              <w:rFonts w:asciiTheme="minorHAnsi" w:eastAsiaTheme="minorEastAsia" w:hAnsiTheme="minorHAnsi" w:cstheme="minorBidi"/>
              <w:noProof/>
              <w:szCs w:val="22"/>
            </w:rPr>
          </w:pPr>
          <w:hyperlink w:anchor="_Toc148515731" w:history="1">
            <w:r w:rsidRPr="00173A7B">
              <w:rPr>
                <w:rStyle w:val="Hyperlink"/>
                <w:noProof/>
              </w:rPr>
              <w:t>F.</w:t>
            </w:r>
            <w:r>
              <w:rPr>
                <w:rFonts w:asciiTheme="minorHAnsi" w:eastAsiaTheme="minorEastAsia" w:hAnsiTheme="minorHAnsi" w:cstheme="minorBidi"/>
                <w:noProof/>
                <w:szCs w:val="22"/>
              </w:rPr>
              <w:tab/>
            </w:r>
            <w:r w:rsidRPr="00173A7B">
              <w:rPr>
                <w:rStyle w:val="Hyperlink"/>
                <w:noProof/>
              </w:rPr>
              <w:t>Costs of the Rule</w:t>
            </w:r>
            <w:r>
              <w:rPr>
                <w:noProof/>
                <w:webHidden/>
              </w:rPr>
              <w:tab/>
            </w:r>
            <w:r>
              <w:rPr>
                <w:noProof/>
                <w:webHidden/>
              </w:rPr>
              <w:fldChar w:fldCharType="begin"/>
            </w:r>
            <w:r>
              <w:rPr>
                <w:noProof/>
                <w:webHidden/>
              </w:rPr>
              <w:instrText xml:space="preserve"> PAGEREF _Toc148515731 \h </w:instrText>
            </w:r>
            <w:r>
              <w:rPr>
                <w:noProof/>
                <w:webHidden/>
              </w:rPr>
              <w:fldChar w:fldCharType="separate"/>
            </w:r>
            <w:r w:rsidR="001C71DE">
              <w:rPr>
                <w:noProof/>
                <w:webHidden/>
              </w:rPr>
              <w:t>24</w:t>
            </w:r>
            <w:r>
              <w:rPr>
                <w:noProof/>
                <w:webHidden/>
              </w:rPr>
              <w:fldChar w:fldCharType="end"/>
            </w:r>
          </w:hyperlink>
        </w:p>
        <w:p w:rsidR="000B4DF7" w:rsidP="002E2444" w14:paraId="7FC9D4FF" w14:textId="30B381FE">
          <w:pPr>
            <w:pStyle w:val="TOC3"/>
            <w:rPr>
              <w:rFonts w:asciiTheme="minorHAnsi" w:eastAsiaTheme="minorEastAsia" w:hAnsiTheme="minorHAnsi" w:cstheme="minorBidi"/>
              <w:noProof/>
              <w:szCs w:val="22"/>
            </w:rPr>
          </w:pPr>
          <w:hyperlink w:anchor="_Toc148515732" w:history="1">
            <w:r w:rsidRPr="00173A7B">
              <w:rPr>
                <w:rStyle w:val="Hyperlink"/>
                <w:noProof/>
              </w:rPr>
              <w:t>1.</w:t>
            </w:r>
            <w:r>
              <w:rPr>
                <w:rFonts w:asciiTheme="minorHAnsi" w:eastAsiaTheme="minorEastAsia" w:hAnsiTheme="minorHAnsi" w:cstheme="minorBidi"/>
                <w:noProof/>
                <w:szCs w:val="22"/>
              </w:rPr>
              <w:tab/>
            </w:r>
            <w:r w:rsidRPr="00173A7B">
              <w:rPr>
                <w:rStyle w:val="Hyperlink"/>
                <w:noProof/>
              </w:rPr>
              <w:t>Administrative Costs</w:t>
            </w:r>
            <w:r>
              <w:rPr>
                <w:noProof/>
                <w:webHidden/>
              </w:rPr>
              <w:tab/>
            </w:r>
            <w:r>
              <w:rPr>
                <w:noProof/>
                <w:webHidden/>
              </w:rPr>
              <w:fldChar w:fldCharType="begin"/>
            </w:r>
            <w:r>
              <w:rPr>
                <w:noProof/>
                <w:webHidden/>
              </w:rPr>
              <w:instrText xml:space="preserve"> PAGEREF _Toc148515732 \h </w:instrText>
            </w:r>
            <w:r>
              <w:rPr>
                <w:noProof/>
                <w:webHidden/>
              </w:rPr>
              <w:fldChar w:fldCharType="separate"/>
            </w:r>
            <w:r w:rsidR="001C71DE">
              <w:rPr>
                <w:noProof/>
                <w:webHidden/>
              </w:rPr>
              <w:t>24</w:t>
            </w:r>
            <w:r>
              <w:rPr>
                <w:noProof/>
                <w:webHidden/>
              </w:rPr>
              <w:fldChar w:fldCharType="end"/>
            </w:r>
          </w:hyperlink>
        </w:p>
        <w:p w:rsidR="000B4DF7" w:rsidP="002E2444" w14:paraId="7CFD49AC" w14:textId="569D0424">
          <w:pPr>
            <w:pStyle w:val="TOC3"/>
            <w:rPr>
              <w:rFonts w:asciiTheme="minorHAnsi" w:eastAsiaTheme="minorEastAsia" w:hAnsiTheme="minorHAnsi" w:cstheme="minorBidi"/>
              <w:noProof/>
              <w:szCs w:val="22"/>
            </w:rPr>
          </w:pPr>
          <w:hyperlink w:anchor="_Toc148515733" w:history="1">
            <w:r w:rsidRPr="00173A7B">
              <w:rPr>
                <w:rStyle w:val="Hyperlink"/>
                <w:noProof/>
              </w:rPr>
              <w:t>2.</w:t>
            </w:r>
            <w:r>
              <w:rPr>
                <w:rFonts w:asciiTheme="minorHAnsi" w:eastAsiaTheme="minorEastAsia" w:hAnsiTheme="minorHAnsi" w:cstheme="minorBidi"/>
                <w:noProof/>
                <w:szCs w:val="22"/>
              </w:rPr>
              <w:tab/>
            </w:r>
            <w:r w:rsidRPr="00173A7B">
              <w:rPr>
                <w:rStyle w:val="Hyperlink"/>
                <w:noProof/>
              </w:rPr>
              <w:t>Labeling Costs</w:t>
            </w:r>
            <w:r>
              <w:rPr>
                <w:noProof/>
                <w:webHidden/>
              </w:rPr>
              <w:tab/>
            </w:r>
            <w:r>
              <w:rPr>
                <w:noProof/>
                <w:webHidden/>
              </w:rPr>
              <w:fldChar w:fldCharType="begin"/>
            </w:r>
            <w:r>
              <w:rPr>
                <w:noProof/>
                <w:webHidden/>
              </w:rPr>
              <w:instrText xml:space="preserve"> PAGEREF _Toc148515733 \h </w:instrText>
            </w:r>
            <w:r>
              <w:rPr>
                <w:noProof/>
                <w:webHidden/>
              </w:rPr>
              <w:fldChar w:fldCharType="separate"/>
            </w:r>
            <w:r w:rsidR="001C71DE">
              <w:rPr>
                <w:noProof/>
                <w:webHidden/>
              </w:rPr>
              <w:t>25</w:t>
            </w:r>
            <w:r>
              <w:rPr>
                <w:noProof/>
                <w:webHidden/>
              </w:rPr>
              <w:fldChar w:fldCharType="end"/>
            </w:r>
          </w:hyperlink>
        </w:p>
        <w:p w:rsidR="000B4DF7" w:rsidP="002E2444" w14:paraId="1C004240" w14:textId="1DA02CFF">
          <w:pPr>
            <w:pStyle w:val="TOC3"/>
            <w:rPr>
              <w:rFonts w:asciiTheme="minorHAnsi" w:eastAsiaTheme="minorEastAsia" w:hAnsiTheme="minorHAnsi" w:cstheme="minorBidi"/>
              <w:noProof/>
              <w:szCs w:val="22"/>
            </w:rPr>
          </w:pPr>
          <w:hyperlink w:anchor="_Toc148515734" w:history="1">
            <w:r w:rsidRPr="00173A7B">
              <w:rPr>
                <w:rStyle w:val="Hyperlink"/>
                <w:noProof/>
              </w:rPr>
              <w:t>3.</w:t>
            </w:r>
            <w:r>
              <w:rPr>
                <w:rFonts w:asciiTheme="minorHAnsi" w:eastAsiaTheme="minorEastAsia" w:hAnsiTheme="minorHAnsi" w:cstheme="minorBidi"/>
                <w:noProof/>
                <w:szCs w:val="22"/>
              </w:rPr>
              <w:tab/>
            </w:r>
            <w:r w:rsidRPr="00173A7B">
              <w:rPr>
                <w:rStyle w:val="Hyperlink"/>
                <w:noProof/>
              </w:rPr>
              <w:t>Full Compliance CGMP Requirements Costs</w:t>
            </w:r>
            <w:r>
              <w:rPr>
                <w:noProof/>
                <w:webHidden/>
              </w:rPr>
              <w:tab/>
            </w:r>
            <w:r>
              <w:rPr>
                <w:noProof/>
                <w:webHidden/>
              </w:rPr>
              <w:fldChar w:fldCharType="begin"/>
            </w:r>
            <w:r>
              <w:rPr>
                <w:noProof/>
                <w:webHidden/>
              </w:rPr>
              <w:instrText xml:space="preserve"> PAGEREF _Toc148515734 \h </w:instrText>
            </w:r>
            <w:r>
              <w:rPr>
                <w:noProof/>
                <w:webHidden/>
              </w:rPr>
              <w:fldChar w:fldCharType="separate"/>
            </w:r>
            <w:r w:rsidR="001C71DE">
              <w:rPr>
                <w:noProof/>
                <w:webHidden/>
              </w:rPr>
              <w:t>27</w:t>
            </w:r>
            <w:r>
              <w:rPr>
                <w:noProof/>
                <w:webHidden/>
              </w:rPr>
              <w:fldChar w:fldCharType="end"/>
            </w:r>
          </w:hyperlink>
        </w:p>
        <w:p w:rsidR="000B4DF7" w14:paraId="50FA40FB" w14:textId="2C3B4362">
          <w:pPr>
            <w:pStyle w:val="TOC4"/>
            <w:rPr>
              <w:rFonts w:asciiTheme="minorHAnsi" w:eastAsiaTheme="minorEastAsia" w:hAnsiTheme="minorHAnsi" w:cstheme="minorBidi"/>
              <w:noProof/>
              <w:szCs w:val="22"/>
            </w:rPr>
          </w:pPr>
          <w:hyperlink w:anchor="_Toc148515735"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Full Compliance Quality Units</w:t>
            </w:r>
            <w:r>
              <w:rPr>
                <w:noProof/>
                <w:webHidden/>
              </w:rPr>
              <w:tab/>
            </w:r>
            <w:r>
              <w:rPr>
                <w:noProof/>
                <w:webHidden/>
              </w:rPr>
              <w:fldChar w:fldCharType="begin"/>
            </w:r>
            <w:r>
              <w:rPr>
                <w:noProof/>
                <w:webHidden/>
              </w:rPr>
              <w:instrText xml:space="preserve"> PAGEREF _Toc148515735 \h </w:instrText>
            </w:r>
            <w:r>
              <w:rPr>
                <w:noProof/>
                <w:webHidden/>
              </w:rPr>
              <w:fldChar w:fldCharType="separate"/>
            </w:r>
            <w:r w:rsidR="001C71DE">
              <w:rPr>
                <w:noProof/>
                <w:webHidden/>
              </w:rPr>
              <w:t>27</w:t>
            </w:r>
            <w:r>
              <w:rPr>
                <w:noProof/>
                <w:webHidden/>
              </w:rPr>
              <w:fldChar w:fldCharType="end"/>
            </w:r>
          </w:hyperlink>
        </w:p>
        <w:p w:rsidR="000B4DF7" w14:paraId="2B9BABB6" w14:textId="54160E53">
          <w:pPr>
            <w:pStyle w:val="TOC4"/>
            <w:rPr>
              <w:rFonts w:asciiTheme="minorHAnsi" w:eastAsiaTheme="minorEastAsia" w:hAnsiTheme="minorHAnsi" w:cstheme="minorBidi"/>
              <w:noProof/>
              <w:szCs w:val="22"/>
            </w:rPr>
          </w:pPr>
          <w:hyperlink w:anchor="_Toc148515736"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Full Compliance Personnel Qualifications and Responsibilities</w:t>
            </w:r>
            <w:r>
              <w:rPr>
                <w:noProof/>
                <w:webHidden/>
              </w:rPr>
              <w:tab/>
            </w:r>
            <w:r>
              <w:rPr>
                <w:noProof/>
                <w:webHidden/>
              </w:rPr>
              <w:fldChar w:fldCharType="begin"/>
            </w:r>
            <w:r>
              <w:rPr>
                <w:noProof/>
                <w:webHidden/>
              </w:rPr>
              <w:instrText xml:space="preserve"> PAGEREF _Toc148515736 \h </w:instrText>
            </w:r>
            <w:r>
              <w:rPr>
                <w:noProof/>
                <w:webHidden/>
              </w:rPr>
              <w:fldChar w:fldCharType="separate"/>
            </w:r>
            <w:r w:rsidR="001C71DE">
              <w:rPr>
                <w:noProof/>
                <w:webHidden/>
              </w:rPr>
              <w:t>29</w:t>
            </w:r>
            <w:r>
              <w:rPr>
                <w:noProof/>
                <w:webHidden/>
              </w:rPr>
              <w:fldChar w:fldCharType="end"/>
            </w:r>
          </w:hyperlink>
        </w:p>
        <w:p w:rsidR="000B4DF7" w:rsidP="002E2444" w14:paraId="0E172662" w14:textId="4602E2A4">
          <w:pPr>
            <w:pStyle w:val="TOC3"/>
            <w:rPr>
              <w:rFonts w:asciiTheme="minorHAnsi" w:eastAsiaTheme="minorEastAsia" w:hAnsiTheme="minorHAnsi" w:cstheme="minorBidi"/>
              <w:noProof/>
              <w:szCs w:val="22"/>
            </w:rPr>
          </w:pPr>
          <w:hyperlink w:anchor="_Toc148515737" w:history="1">
            <w:r w:rsidRPr="00173A7B">
              <w:rPr>
                <w:rStyle w:val="Hyperlink"/>
                <w:noProof/>
              </w:rPr>
              <w:t>4.</w:t>
            </w:r>
            <w:r>
              <w:rPr>
                <w:rFonts w:asciiTheme="minorHAnsi" w:eastAsiaTheme="minorEastAsia" w:hAnsiTheme="minorHAnsi" w:cstheme="minorBidi"/>
                <w:noProof/>
                <w:szCs w:val="22"/>
              </w:rPr>
              <w:tab/>
            </w:r>
            <w:r w:rsidRPr="00173A7B">
              <w:rPr>
                <w:rStyle w:val="Hyperlink"/>
                <w:noProof/>
              </w:rPr>
              <w:t>CGMP Requirements Costs</w:t>
            </w:r>
            <w:r>
              <w:rPr>
                <w:noProof/>
                <w:webHidden/>
              </w:rPr>
              <w:tab/>
            </w:r>
            <w:r>
              <w:rPr>
                <w:noProof/>
                <w:webHidden/>
              </w:rPr>
              <w:fldChar w:fldCharType="begin"/>
            </w:r>
            <w:r>
              <w:rPr>
                <w:noProof/>
                <w:webHidden/>
              </w:rPr>
              <w:instrText xml:space="preserve"> PAGEREF _Toc148515737 \h </w:instrText>
            </w:r>
            <w:r>
              <w:rPr>
                <w:noProof/>
                <w:webHidden/>
              </w:rPr>
              <w:fldChar w:fldCharType="separate"/>
            </w:r>
            <w:r w:rsidR="001C71DE">
              <w:rPr>
                <w:noProof/>
                <w:webHidden/>
              </w:rPr>
              <w:t>30</w:t>
            </w:r>
            <w:r>
              <w:rPr>
                <w:noProof/>
                <w:webHidden/>
              </w:rPr>
              <w:fldChar w:fldCharType="end"/>
            </w:r>
          </w:hyperlink>
        </w:p>
        <w:p w:rsidR="000B4DF7" w14:paraId="29283919" w14:textId="52B1F79F">
          <w:pPr>
            <w:pStyle w:val="TOC4"/>
            <w:rPr>
              <w:rFonts w:asciiTheme="minorHAnsi" w:eastAsiaTheme="minorEastAsia" w:hAnsiTheme="minorHAnsi" w:cstheme="minorBidi"/>
              <w:noProof/>
              <w:szCs w:val="22"/>
            </w:rPr>
          </w:pPr>
          <w:hyperlink w:anchor="_Toc148515738"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Written Procedures for Personnel Qualifications and Responsibilities</w:t>
            </w:r>
            <w:r>
              <w:rPr>
                <w:noProof/>
                <w:webHidden/>
              </w:rPr>
              <w:tab/>
            </w:r>
            <w:r>
              <w:rPr>
                <w:noProof/>
                <w:webHidden/>
              </w:rPr>
              <w:fldChar w:fldCharType="begin"/>
            </w:r>
            <w:r>
              <w:rPr>
                <w:noProof/>
                <w:webHidden/>
              </w:rPr>
              <w:instrText xml:space="preserve"> PAGEREF _Toc148515738 \h </w:instrText>
            </w:r>
            <w:r>
              <w:rPr>
                <w:noProof/>
                <w:webHidden/>
              </w:rPr>
              <w:fldChar w:fldCharType="separate"/>
            </w:r>
            <w:r w:rsidR="001C71DE">
              <w:rPr>
                <w:noProof/>
                <w:webHidden/>
              </w:rPr>
              <w:t>30</w:t>
            </w:r>
            <w:r>
              <w:rPr>
                <w:noProof/>
                <w:webHidden/>
              </w:rPr>
              <w:fldChar w:fldCharType="end"/>
            </w:r>
          </w:hyperlink>
        </w:p>
        <w:p w:rsidR="000B4DF7" w14:paraId="0723301A" w14:textId="2E65E68B">
          <w:pPr>
            <w:pStyle w:val="TOC4"/>
            <w:rPr>
              <w:rFonts w:asciiTheme="minorHAnsi" w:eastAsiaTheme="minorEastAsia" w:hAnsiTheme="minorHAnsi" w:cstheme="minorBidi"/>
              <w:noProof/>
              <w:szCs w:val="22"/>
            </w:rPr>
          </w:pPr>
          <w:hyperlink w:anchor="_Toc148515739"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 xml:space="preserve">Rejected Containers Must </w:t>
            </w:r>
            <w:r w:rsidR="002E2444">
              <w:rPr>
                <w:rStyle w:val="Hyperlink"/>
                <w:noProof/>
              </w:rPr>
              <w:t>B</w:t>
            </w:r>
            <w:r w:rsidRPr="00173A7B">
              <w:rPr>
                <w:rStyle w:val="Hyperlink"/>
                <w:noProof/>
              </w:rPr>
              <w:t>e Documented and Assessed</w:t>
            </w:r>
            <w:r>
              <w:rPr>
                <w:noProof/>
                <w:webHidden/>
              </w:rPr>
              <w:tab/>
            </w:r>
            <w:r>
              <w:rPr>
                <w:noProof/>
                <w:webHidden/>
              </w:rPr>
              <w:fldChar w:fldCharType="begin"/>
            </w:r>
            <w:r>
              <w:rPr>
                <w:noProof/>
                <w:webHidden/>
              </w:rPr>
              <w:instrText xml:space="preserve"> PAGEREF _Toc148515739 \h </w:instrText>
            </w:r>
            <w:r>
              <w:rPr>
                <w:noProof/>
                <w:webHidden/>
              </w:rPr>
              <w:fldChar w:fldCharType="separate"/>
            </w:r>
            <w:r w:rsidR="001C71DE">
              <w:rPr>
                <w:noProof/>
                <w:webHidden/>
              </w:rPr>
              <w:t>31</w:t>
            </w:r>
            <w:r>
              <w:rPr>
                <w:noProof/>
                <w:webHidden/>
              </w:rPr>
              <w:fldChar w:fldCharType="end"/>
            </w:r>
          </w:hyperlink>
        </w:p>
        <w:p w:rsidR="000B4DF7" w14:paraId="6BF91BE0" w14:textId="19A128E6">
          <w:pPr>
            <w:pStyle w:val="TOC4"/>
            <w:rPr>
              <w:rFonts w:asciiTheme="minorHAnsi" w:eastAsiaTheme="minorEastAsia" w:hAnsiTheme="minorHAnsi" w:cstheme="minorBidi"/>
              <w:noProof/>
              <w:szCs w:val="22"/>
            </w:rPr>
          </w:pPr>
          <w:hyperlink w:anchor="_Toc148515740"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Portable Cryogenic Containers Working Gauge Requirement</w:t>
            </w:r>
            <w:r>
              <w:rPr>
                <w:noProof/>
                <w:webHidden/>
              </w:rPr>
              <w:tab/>
            </w:r>
            <w:r>
              <w:rPr>
                <w:noProof/>
                <w:webHidden/>
              </w:rPr>
              <w:fldChar w:fldCharType="begin"/>
            </w:r>
            <w:r>
              <w:rPr>
                <w:noProof/>
                <w:webHidden/>
              </w:rPr>
              <w:instrText xml:space="preserve"> PAGEREF _Toc148515740 \h </w:instrText>
            </w:r>
            <w:r>
              <w:rPr>
                <w:noProof/>
                <w:webHidden/>
              </w:rPr>
              <w:fldChar w:fldCharType="separate"/>
            </w:r>
            <w:r w:rsidR="001C71DE">
              <w:rPr>
                <w:noProof/>
                <w:webHidden/>
              </w:rPr>
              <w:t>32</w:t>
            </w:r>
            <w:r>
              <w:rPr>
                <w:noProof/>
                <w:webHidden/>
              </w:rPr>
              <w:fldChar w:fldCharType="end"/>
            </w:r>
          </w:hyperlink>
        </w:p>
        <w:p w:rsidR="000B4DF7" w:rsidP="002E2444" w14:paraId="4EAF56B0" w14:textId="019A5CD8">
          <w:pPr>
            <w:pStyle w:val="TOC3"/>
            <w:rPr>
              <w:rFonts w:asciiTheme="minorHAnsi" w:eastAsiaTheme="minorEastAsia" w:hAnsiTheme="minorHAnsi" w:cstheme="minorBidi"/>
              <w:noProof/>
              <w:szCs w:val="22"/>
            </w:rPr>
          </w:pPr>
          <w:hyperlink w:anchor="_Toc148515741" w:history="1">
            <w:r w:rsidRPr="00173A7B">
              <w:rPr>
                <w:rStyle w:val="Hyperlink"/>
                <w:noProof/>
              </w:rPr>
              <w:t>5.</w:t>
            </w:r>
            <w:r>
              <w:rPr>
                <w:rFonts w:asciiTheme="minorHAnsi" w:eastAsiaTheme="minorEastAsia" w:hAnsiTheme="minorHAnsi" w:cstheme="minorBidi"/>
                <w:noProof/>
                <w:szCs w:val="22"/>
              </w:rPr>
              <w:tab/>
            </w:r>
            <w:r w:rsidRPr="00173A7B">
              <w:rPr>
                <w:rStyle w:val="Hyperlink"/>
                <w:noProof/>
              </w:rPr>
              <w:t>Postmarketing Safety Reporting Costs</w:t>
            </w:r>
            <w:r>
              <w:rPr>
                <w:noProof/>
                <w:webHidden/>
              </w:rPr>
              <w:tab/>
            </w:r>
            <w:r>
              <w:rPr>
                <w:noProof/>
                <w:webHidden/>
              </w:rPr>
              <w:fldChar w:fldCharType="begin"/>
            </w:r>
            <w:r>
              <w:rPr>
                <w:noProof/>
                <w:webHidden/>
              </w:rPr>
              <w:instrText xml:space="preserve"> PAGEREF _Toc148515741 \h </w:instrText>
            </w:r>
            <w:r>
              <w:rPr>
                <w:noProof/>
                <w:webHidden/>
              </w:rPr>
              <w:fldChar w:fldCharType="separate"/>
            </w:r>
            <w:r w:rsidR="001C71DE">
              <w:rPr>
                <w:noProof/>
                <w:webHidden/>
              </w:rPr>
              <w:t>33</w:t>
            </w:r>
            <w:r>
              <w:rPr>
                <w:noProof/>
                <w:webHidden/>
              </w:rPr>
              <w:fldChar w:fldCharType="end"/>
            </w:r>
          </w:hyperlink>
        </w:p>
        <w:p w:rsidR="000B4DF7" w:rsidP="002E2444" w14:paraId="379D7096" w14:textId="5D096937">
          <w:pPr>
            <w:pStyle w:val="TOC3"/>
            <w:rPr>
              <w:rFonts w:asciiTheme="minorHAnsi" w:eastAsiaTheme="minorEastAsia" w:hAnsiTheme="minorHAnsi" w:cstheme="minorBidi"/>
              <w:noProof/>
              <w:szCs w:val="22"/>
            </w:rPr>
          </w:pPr>
          <w:hyperlink w:anchor="_Toc148515742" w:history="1">
            <w:r w:rsidRPr="00173A7B">
              <w:rPr>
                <w:rStyle w:val="Hyperlink"/>
                <w:noProof/>
              </w:rPr>
              <w:t>6.</w:t>
            </w:r>
            <w:r>
              <w:rPr>
                <w:rFonts w:asciiTheme="minorHAnsi" w:eastAsiaTheme="minorEastAsia" w:hAnsiTheme="minorHAnsi" w:cstheme="minorBidi"/>
                <w:noProof/>
                <w:szCs w:val="22"/>
              </w:rPr>
              <w:tab/>
            </w:r>
            <w:r w:rsidRPr="00173A7B">
              <w:rPr>
                <w:rStyle w:val="Hyperlink"/>
                <w:noProof/>
              </w:rPr>
              <w:t>Certification Costs</w:t>
            </w:r>
            <w:r>
              <w:rPr>
                <w:noProof/>
                <w:webHidden/>
              </w:rPr>
              <w:tab/>
            </w:r>
            <w:r>
              <w:rPr>
                <w:noProof/>
                <w:webHidden/>
              </w:rPr>
              <w:fldChar w:fldCharType="begin"/>
            </w:r>
            <w:r>
              <w:rPr>
                <w:noProof/>
                <w:webHidden/>
              </w:rPr>
              <w:instrText xml:space="preserve"> PAGEREF _Toc148515742 \h </w:instrText>
            </w:r>
            <w:r>
              <w:rPr>
                <w:noProof/>
                <w:webHidden/>
              </w:rPr>
              <w:fldChar w:fldCharType="separate"/>
            </w:r>
            <w:r w:rsidR="001C71DE">
              <w:rPr>
                <w:noProof/>
                <w:webHidden/>
              </w:rPr>
              <w:t>34</w:t>
            </w:r>
            <w:r>
              <w:rPr>
                <w:noProof/>
                <w:webHidden/>
              </w:rPr>
              <w:fldChar w:fldCharType="end"/>
            </w:r>
          </w:hyperlink>
        </w:p>
        <w:p w:rsidR="000B4DF7" w14:paraId="2DF4EB62" w14:textId="79DA9763">
          <w:pPr>
            <w:pStyle w:val="TOC4"/>
            <w:rPr>
              <w:rFonts w:asciiTheme="minorHAnsi" w:eastAsiaTheme="minorEastAsia" w:hAnsiTheme="minorHAnsi" w:cstheme="minorBidi"/>
              <w:noProof/>
              <w:szCs w:val="22"/>
            </w:rPr>
          </w:pPr>
          <w:hyperlink w:anchor="_Toc148515743"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Submission for a Certification Request</w:t>
            </w:r>
            <w:r>
              <w:rPr>
                <w:noProof/>
                <w:webHidden/>
              </w:rPr>
              <w:tab/>
            </w:r>
            <w:r>
              <w:rPr>
                <w:noProof/>
                <w:webHidden/>
              </w:rPr>
              <w:fldChar w:fldCharType="begin"/>
            </w:r>
            <w:r>
              <w:rPr>
                <w:noProof/>
                <w:webHidden/>
              </w:rPr>
              <w:instrText xml:space="preserve"> PAGEREF _Toc148515743 \h </w:instrText>
            </w:r>
            <w:r>
              <w:rPr>
                <w:noProof/>
                <w:webHidden/>
              </w:rPr>
              <w:fldChar w:fldCharType="separate"/>
            </w:r>
            <w:r w:rsidR="001C71DE">
              <w:rPr>
                <w:noProof/>
                <w:webHidden/>
              </w:rPr>
              <w:t>34</w:t>
            </w:r>
            <w:r>
              <w:rPr>
                <w:noProof/>
                <w:webHidden/>
              </w:rPr>
              <w:fldChar w:fldCharType="end"/>
            </w:r>
          </w:hyperlink>
        </w:p>
        <w:p w:rsidR="000B4DF7" w14:paraId="27F6CD9E" w14:textId="2BB63B2D">
          <w:pPr>
            <w:pStyle w:val="TOC4"/>
            <w:rPr>
              <w:rFonts w:asciiTheme="minorHAnsi" w:eastAsiaTheme="minorEastAsia" w:hAnsiTheme="minorHAnsi" w:cstheme="minorBidi"/>
              <w:noProof/>
              <w:szCs w:val="22"/>
            </w:rPr>
          </w:pPr>
          <w:hyperlink w:anchor="_Toc148515744"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FDA Must Create Certification Request Form</w:t>
            </w:r>
            <w:r>
              <w:rPr>
                <w:noProof/>
                <w:webHidden/>
              </w:rPr>
              <w:tab/>
            </w:r>
            <w:r>
              <w:rPr>
                <w:noProof/>
                <w:webHidden/>
              </w:rPr>
              <w:fldChar w:fldCharType="begin"/>
            </w:r>
            <w:r>
              <w:rPr>
                <w:noProof/>
                <w:webHidden/>
              </w:rPr>
              <w:instrText xml:space="preserve"> PAGEREF _Toc148515744 \h </w:instrText>
            </w:r>
            <w:r>
              <w:rPr>
                <w:noProof/>
                <w:webHidden/>
              </w:rPr>
              <w:fldChar w:fldCharType="separate"/>
            </w:r>
            <w:r w:rsidR="001C71DE">
              <w:rPr>
                <w:noProof/>
                <w:webHidden/>
              </w:rPr>
              <w:t>35</w:t>
            </w:r>
            <w:r>
              <w:rPr>
                <w:noProof/>
                <w:webHidden/>
              </w:rPr>
              <w:fldChar w:fldCharType="end"/>
            </w:r>
          </w:hyperlink>
        </w:p>
        <w:p w:rsidR="000B4DF7" w14:paraId="423AF705" w14:textId="11675D17">
          <w:pPr>
            <w:pStyle w:val="TOC4"/>
            <w:rPr>
              <w:rFonts w:asciiTheme="minorHAnsi" w:eastAsiaTheme="minorEastAsia" w:hAnsiTheme="minorHAnsi" w:cstheme="minorBidi"/>
              <w:noProof/>
              <w:szCs w:val="22"/>
            </w:rPr>
          </w:pPr>
          <w:hyperlink w:anchor="_Toc148515745" w:history="1">
            <w:r w:rsidRPr="00173A7B">
              <w:rPr>
                <w:rStyle w:val="Hyperlink"/>
                <w:noProof/>
              </w:rPr>
              <w:t>c.</w:t>
            </w:r>
            <w:r>
              <w:rPr>
                <w:rFonts w:asciiTheme="minorHAnsi" w:eastAsiaTheme="minorEastAsia" w:hAnsiTheme="minorHAnsi" w:cstheme="minorBidi"/>
                <w:noProof/>
                <w:szCs w:val="22"/>
              </w:rPr>
              <w:tab/>
            </w:r>
            <w:r w:rsidRPr="00173A7B">
              <w:rPr>
                <w:rStyle w:val="Hyperlink"/>
                <w:noProof/>
              </w:rPr>
              <w:t>Annual Report for Granted Certifications</w:t>
            </w:r>
            <w:r>
              <w:rPr>
                <w:noProof/>
                <w:webHidden/>
              </w:rPr>
              <w:tab/>
            </w:r>
            <w:r>
              <w:rPr>
                <w:noProof/>
                <w:webHidden/>
              </w:rPr>
              <w:fldChar w:fldCharType="begin"/>
            </w:r>
            <w:r>
              <w:rPr>
                <w:noProof/>
                <w:webHidden/>
              </w:rPr>
              <w:instrText xml:space="preserve"> PAGEREF _Toc148515745 \h </w:instrText>
            </w:r>
            <w:r>
              <w:rPr>
                <w:noProof/>
                <w:webHidden/>
              </w:rPr>
              <w:fldChar w:fldCharType="separate"/>
            </w:r>
            <w:r w:rsidR="001C71DE">
              <w:rPr>
                <w:noProof/>
                <w:webHidden/>
              </w:rPr>
              <w:t>35</w:t>
            </w:r>
            <w:r>
              <w:rPr>
                <w:noProof/>
                <w:webHidden/>
              </w:rPr>
              <w:fldChar w:fldCharType="end"/>
            </w:r>
          </w:hyperlink>
        </w:p>
        <w:p w:rsidR="000B4DF7" w14:paraId="6B2365BD" w14:textId="7A531C56">
          <w:pPr>
            <w:pStyle w:val="TOC4"/>
            <w:rPr>
              <w:rFonts w:asciiTheme="minorHAnsi" w:eastAsiaTheme="minorEastAsia" w:hAnsiTheme="minorHAnsi" w:cstheme="minorBidi"/>
              <w:noProof/>
              <w:szCs w:val="22"/>
            </w:rPr>
          </w:pPr>
          <w:hyperlink w:anchor="_Toc148515746" w:history="1">
            <w:r w:rsidRPr="00173A7B">
              <w:rPr>
                <w:rStyle w:val="Hyperlink"/>
                <w:noProof/>
              </w:rPr>
              <w:t>d.</w:t>
            </w:r>
            <w:r>
              <w:rPr>
                <w:rFonts w:asciiTheme="minorHAnsi" w:eastAsiaTheme="minorEastAsia" w:hAnsiTheme="minorHAnsi" w:cstheme="minorBidi"/>
                <w:noProof/>
                <w:szCs w:val="22"/>
              </w:rPr>
              <w:tab/>
            </w:r>
            <w:r w:rsidRPr="00173A7B">
              <w:rPr>
                <w:rStyle w:val="Hyperlink"/>
                <w:noProof/>
              </w:rPr>
              <w:t>FDA Must Create Annual Report Form for Granted Certifications</w:t>
            </w:r>
            <w:r>
              <w:rPr>
                <w:noProof/>
                <w:webHidden/>
              </w:rPr>
              <w:tab/>
            </w:r>
            <w:r>
              <w:rPr>
                <w:noProof/>
                <w:webHidden/>
              </w:rPr>
              <w:fldChar w:fldCharType="begin"/>
            </w:r>
            <w:r>
              <w:rPr>
                <w:noProof/>
                <w:webHidden/>
              </w:rPr>
              <w:instrText xml:space="preserve"> PAGEREF _Toc148515746 \h </w:instrText>
            </w:r>
            <w:r>
              <w:rPr>
                <w:noProof/>
                <w:webHidden/>
              </w:rPr>
              <w:fldChar w:fldCharType="separate"/>
            </w:r>
            <w:r w:rsidR="001C71DE">
              <w:rPr>
                <w:noProof/>
                <w:webHidden/>
              </w:rPr>
              <w:t>36</w:t>
            </w:r>
            <w:r>
              <w:rPr>
                <w:noProof/>
                <w:webHidden/>
              </w:rPr>
              <w:fldChar w:fldCharType="end"/>
            </w:r>
          </w:hyperlink>
        </w:p>
        <w:p w:rsidR="000B4DF7" w:rsidP="002E2444" w14:paraId="4802E537" w14:textId="057BC56C">
          <w:pPr>
            <w:pStyle w:val="TOC3"/>
            <w:rPr>
              <w:rFonts w:asciiTheme="minorHAnsi" w:eastAsiaTheme="minorEastAsia" w:hAnsiTheme="minorHAnsi" w:cstheme="minorBidi"/>
              <w:noProof/>
              <w:szCs w:val="22"/>
            </w:rPr>
          </w:pPr>
          <w:hyperlink w:anchor="_Toc148515747" w:history="1">
            <w:r w:rsidRPr="00173A7B">
              <w:rPr>
                <w:rStyle w:val="Hyperlink"/>
                <w:noProof/>
              </w:rPr>
              <w:t>7.</w:t>
            </w:r>
            <w:r>
              <w:rPr>
                <w:rFonts w:asciiTheme="minorHAnsi" w:eastAsiaTheme="minorEastAsia" w:hAnsiTheme="minorHAnsi" w:cstheme="minorBidi"/>
                <w:noProof/>
                <w:szCs w:val="22"/>
              </w:rPr>
              <w:tab/>
            </w:r>
            <w:r w:rsidRPr="00173A7B">
              <w:rPr>
                <w:rStyle w:val="Hyperlink"/>
                <w:noProof/>
              </w:rPr>
              <w:t>Potential Costs</w:t>
            </w:r>
            <w:r>
              <w:rPr>
                <w:noProof/>
                <w:webHidden/>
              </w:rPr>
              <w:tab/>
            </w:r>
            <w:r>
              <w:rPr>
                <w:noProof/>
                <w:webHidden/>
              </w:rPr>
              <w:fldChar w:fldCharType="begin"/>
            </w:r>
            <w:r>
              <w:rPr>
                <w:noProof/>
                <w:webHidden/>
              </w:rPr>
              <w:instrText xml:space="preserve"> PAGEREF _Toc148515747 \h </w:instrText>
            </w:r>
            <w:r>
              <w:rPr>
                <w:noProof/>
                <w:webHidden/>
              </w:rPr>
              <w:fldChar w:fldCharType="separate"/>
            </w:r>
            <w:r w:rsidR="001C71DE">
              <w:rPr>
                <w:noProof/>
                <w:webHidden/>
              </w:rPr>
              <w:t>37</w:t>
            </w:r>
            <w:r>
              <w:rPr>
                <w:noProof/>
                <w:webHidden/>
              </w:rPr>
              <w:fldChar w:fldCharType="end"/>
            </w:r>
          </w:hyperlink>
        </w:p>
        <w:p w:rsidR="000B4DF7" w14:paraId="32205C01" w14:textId="2CC9BDCA">
          <w:pPr>
            <w:pStyle w:val="TOC4"/>
            <w:rPr>
              <w:rFonts w:asciiTheme="minorHAnsi" w:eastAsiaTheme="minorEastAsia" w:hAnsiTheme="minorHAnsi" w:cstheme="minorBidi"/>
              <w:noProof/>
              <w:szCs w:val="22"/>
            </w:rPr>
          </w:pPr>
          <w:hyperlink w:anchor="_Toc148515748"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Full Compliance Consultants</w:t>
            </w:r>
            <w:r>
              <w:rPr>
                <w:noProof/>
                <w:webHidden/>
              </w:rPr>
              <w:tab/>
            </w:r>
            <w:r>
              <w:rPr>
                <w:noProof/>
                <w:webHidden/>
              </w:rPr>
              <w:fldChar w:fldCharType="begin"/>
            </w:r>
            <w:r>
              <w:rPr>
                <w:noProof/>
                <w:webHidden/>
              </w:rPr>
              <w:instrText xml:space="preserve"> PAGEREF _Toc148515748 \h </w:instrText>
            </w:r>
            <w:r>
              <w:rPr>
                <w:noProof/>
                <w:webHidden/>
              </w:rPr>
              <w:fldChar w:fldCharType="separate"/>
            </w:r>
            <w:r w:rsidR="001C71DE">
              <w:rPr>
                <w:noProof/>
                <w:webHidden/>
              </w:rPr>
              <w:t>37</w:t>
            </w:r>
            <w:r>
              <w:rPr>
                <w:noProof/>
                <w:webHidden/>
              </w:rPr>
              <w:fldChar w:fldCharType="end"/>
            </w:r>
          </w:hyperlink>
        </w:p>
        <w:p w:rsidR="000B4DF7" w14:paraId="1E7650DB" w14:textId="05FDB18C">
          <w:pPr>
            <w:pStyle w:val="TOC4"/>
            <w:rPr>
              <w:rFonts w:asciiTheme="minorHAnsi" w:eastAsiaTheme="minorEastAsia" w:hAnsiTheme="minorHAnsi" w:cstheme="minorBidi"/>
              <w:noProof/>
              <w:szCs w:val="22"/>
            </w:rPr>
          </w:pPr>
          <w:hyperlink w:anchor="_Toc148515749"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Qualitative Cost of Relabeling Medical Air Containers</w:t>
            </w:r>
            <w:r>
              <w:rPr>
                <w:noProof/>
                <w:webHidden/>
              </w:rPr>
              <w:tab/>
            </w:r>
            <w:r>
              <w:rPr>
                <w:noProof/>
                <w:webHidden/>
              </w:rPr>
              <w:fldChar w:fldCharType="begin"/>
            </w:r>
            <w:r>
              <w:rPr>
                <w:noProof/>
                <w:webHidden/>
              </w:rPr>
              <w:instrText xml:space="preserve"> PAGEREF _Toc148515749 \h </w:instrText>
            </w:r>
            <w:r>
              <w:rPr>
                <w:noProof/>
                <w:webHidden/>
              </w:rPr>
              <w:fldChar w:fldCharType="separate"/>
            </w:r>
            <w:r w:rsidR="001C71DE">
              <w:rPr>
                <w:noProof/>
                <w:webHidden/>
              </w:rPr>
              <w:t>37</w:t>
            </w:r>
            <w:r>
              <w:rPr>
                <w:noProof/>
                <w:webHidden/>
              </w:rPr>
              <w:fldChar w:fldCharType="end"/>
            </w:r>
          </w:hyperlink>
        </w:p>
        <w:p w:rsidR="000B4DF7" w:rsidP="002E2444" w14:paraId="3C08A7C4" w14:textId="4D09F0ED">
          <w:pPr>
            <w:pStyle w:val="TOC3"/>
            <w:rPr>
              <w:rFonts w:asciiTheme="minorHAnsi" w:eastAsiaTheme="minorEastAsia" w:hAnsiTheme="minorHAnsi" w:cstheme="minorBidi"/>
              <w:noProof/>
              <w:szCs w:val="22"/>
            </w:rPr>
          </w:pPr>
          <w:hyperlink w:anchor="_Toc148515750" w:history="1">
            <w:r w:rsidRPr="00173A7B">
              <w:rPr>
                <w:rStyle w:val="Hyperlink"/>
                <w:noProof/>
              </w:rPr>
              <w:t>8.</w:t>
            </w:r>
            <w:r>
              <w:rPr>
                <w:rFonts w:asciiTheme="minorHAnsi" w:eastAsiaTheme="minorEastAsia" w:hAnsiTheme="minorHAnsi" w:cstheme="minorBidi"/>
                <w:noProof/>
                <w:szCs w:val="22"/>
              </w:rPr>
              <w:tab/>
            </w:r>
            <w:r w:rsidRPr="00173A7B">
              <w:rPr>
                <w:rStyle w:val="Hyperlink"/>
                <w:noProof/>
              </w:rPr>
              <w:t>Summary of Quantitative Costs</w:t>
            </w:r>
            <w:r>
              <w:rPr>
                <w:noProof/>
                <w:webHidden/>
              </w:rPr>
              <w:tab/>
            </w:r>
            <w:r>
              <w:rPr>
                <w:noProof/>
                <w:webHidden/>
              </w:rPr>
              <w:fldChar w:fldCharType="begin"/>
            </w:r>
            <w:r>
              <w:rPr>
                <w:noProof/>
                <w:webHidden/>
              </w:rPr>
              <w:instrText xml:space="preserve"> PAGEREF _Toc148515750 \h </w:instrText>
            </w:r>
            <w:r>
              <w:rPr>
                <w:noProof/>
                <w:webHidden/>
              </w:rPr>
              <w:fldChar w:fldCharType="separate"/>
            </w:r>
            <w:r w:rsidR="001C71DE">
              <w:rPr>
                <w:noProof/>
                <w:webHidden/>
              </w:rPr>
              <w:t>37</w:t>
            </w:r>
            <w:r>
              <w:rPr>
                <w:noProof/>
                <w:webHidden/>
              </w:rPr>
              <w:fldChar w:fldCharType="end"/>
            </w:r>
          </w:hyperlink>
        </w:p>
        <w:p w:rsidR="000B4DF7" w14:paraId="3318EB9C" w14:textId="05A62687">
          <w:pPr>
            <w:pStyle w:val="TOC2"/>
            <w:rPr>
              <w:rFonts w:asciiTheme="minorHAnsi" w:eastAsiaTheme="minorEastAsia" w:hAnsiTheme="minorHAnsi" w:cstheme="minorBidi"/>
              <w:noProof/>
              <w:szCs w:val="22"/>
            </w:rPr>
          </w:pPr>
          <w:hyperlink w:anchor="_Toc148515751" w:history="1">
            <w:r w:rsidRPr="00173A7B">
              <w:rPr>
                <w:rStyle w:val="Hyperlink"/>
                <w:noProof/>
              </w:rPr>
              <w:t>G.</w:t>
            </w:r>
            <w:r>
              <w:rPr>
                <w:rFonts w:asciiTheme="minorHAnsi" w:eastAsiaTheme="minorEastAsia" w:hAnsiTheme="minorHAnsi" w:cstheme="minorBidi"/>
                <w:noProof/>
                <w:szCs w:val="22"/>
              </w:rPr>
              <w:tab/>
            </w:r>
            <w:r w:rsidRPr="00173A7B">
              <w:rPr>
                <w:rStyle w:val="Hyperlink"/>
                <w:noProof/>
              </w:rPr>
              <w:t>Summary of Costs and Benefits</w:t>
            </w:r>
            <w:r>
              <w:rPr>
                <w:noProof/>
                <w:webHidden/>
              </w:rPr>
              <w:tab/>
            </w:r>
            <w:r>
              <w:rPr>
                <w:noProof/>
                <w:webHidden/>
              </w:rPr>
              <w:fldChar w:fldCharType="begin"/>
            </w:r>
            <w:r>
              <w:rPr>
                <w:noProof/>
                <w:webHidden/>
              </w:rPr>
              <w:instrText xml:space="preserve"> PAGEREF _Toc148515751 \h </w:instrText>
            </w:r>
            <w:r>
              <w:rPr>
                <w:noProof/>
                <w:webHidden/>
              </w:rPr>
              <w:fldChar w:fldCharType="separate"/>
            </w:r>
            <w:r w:rsidR="001C71DE">
              <w:rPr>
                <w:noProof/>
                <w:webHidden/>
              </w:rPr>
              <w:t>38</w:t>
            </w:r>
            <w:r>
              <w:rPr>
                <w:noProof/>
                <w:webHidden/>
              </w:rPr>
              <w:fldChar w:fldCharType="end"/>
            </w:r>
          </w:hyperlink>
        </w:p>
        <w:p w:rsidR="000B4DF7" w14:paraId="5E139E9B" w14:textId="7B8FB83E">
          <w:pPr>
            <w:pStyle w:val="TOC2"/>
            <w:rPr>
              <w:rFonts w:asciiTheme="minorHAnsi" w:eastAsiaTheme="minorEastAsia" w:hAnsiTheme="minorHAnsi" w:cstheme="minorBidi"/>
              <w:noProof/>
              <w:szCs w:val="22"/>
            </w:rPr>
          </w:pPr>
          <w:hyperlink w:anchor="_Toc148515752" w:history="1">
            <w:r w:rsidRPr="00173A7B">
              <w:rPr>
                <w:rStyle w:val="Hyperlink"/>
                <w:noProof/>
              </w:rPr>
              <w:t>H.</w:t>
            </w:r>
            <w:r>
              <w:rPr>
                <w:rFonts w:asciiTheme="minorHAnsi" w:eastAsiaTheme="minorEastAsia" w:hAnsiTheme="minorHAnsi" w:cstheme="minorBidi"/>
                <w:noProof/>
                <w:szCs w:val="22"/>
              </w:rPr>
              <w:tab/>
            </w:r>
            <w:r w:rsidRPr="00173A7B">
              <w:rPr>
                <w:rStyle w:val="Hyperlink"/>
                <w:noProof/>
              </w:rPr>
              <w:t>Uncertainty Analysis</w:t>
            </w:r>
            <w:r>
              <w:rPr>
                <w:noProof/>
                <w:webHidden/>
              </w:rPr>
              <w:tab/>
            </w:r>
            <w:r>
              <w:rPr>
                <w:noProof/>
                <w:webHidden/>
              </w:rPr>
              <w:fldChar w:fldCharType="begin"/>
            </w:r>
            <w:r>
              <w:rPr>
                <w:noProof/>
                <w:webHidden/>
              </w:rPr>
              <w:instrText xml:space="preserve"> PAGEREF _Toc148515752 \h </w:instrText>
            </w:r>
            <w:r>
              <w:rPr>
                <w:noProof/>
                <w:webHidden/>
              </w:rPr>
              <w:fldChar w:fldCharType="separate"/>
            </w:r>
            <w:r w:rsidR="001C71DE">
              <w:rPr>
                <w:noProof/>
                <w:webHidden/>
              </w:rPr>
              <w:t>39</w:t>
            </w:r>
            <w:r>
              <w:rPr>
                <w:noProof/>
                <w:webHidden/>
              </w:rPr>
              <w:fldChar w:fldCharType="end"/>
            </w:r>
          </w:hyperlink>
        </w:p>
        <w:p w:rsidR="000B4DF7" w14:paraId="31B87F78" w14:textId="26BCA30D">
          <w:pPr>
            <w:pStyle w:val="TOC2"/>
            <w:rPr>
              <w:rFonts w:asciiTheme="minorHAnsi" w:eastAsiaTheme="minorEastAsia" w:hAnsiTheme="minorHAnsi" w:cstheme="minorBidi"/>
              <w:noProof/>
              <w:szCs w:val="22"/>
            </w:rPr>
          </w:pPr>
          <w:hyperlink w:anchor="_Toc148515753" w:history="1">
            <w:r w:rsidRPr="00173A7B">
              <w:rPr>
                <w:rStyle w:val="Hyperlink"/>
                <w:noProof/>
              </w:rPr>
              <w:t>I.</w:t>
            </w:r>
            <w:r>
              <w:rPr>
                <w:rFonts w:asciiTheme="minorHAnsi" w:eastAsiaTheme="minorEastAsia" w:hAnsiTheme="minorHAnsi" w:cstheme="minorBidi"/>
                <w:noProof/>
                <w:szCs w:val="22"/>
              </w:rPr>
              <w:tab/>
            </w:r>
            <w:r w:rsidRPr="00173A7B">
              <w:rPr>
                <w:rStyle w:val="Hyperlink"/>
                <w:noProof/>
              </w:rPr>
              <w:t>Distributional Effects</w:t>
            </w:r>
            <w:r>
              <w:rPr>
                <w:noProof/>
                <w:webHidden/>
              </w:rPr>
              <w:tab/>
            </w:r>
            <w:r>
              <w:rPr>
                <w:noProof/>
                <w:webHidden/>
              </w:rPr>
              <w:fldChar w:fldCharType="begin"/>
            </w:r>
            <w:r>
              <w:rPr>
                <w:noProof/>
                <w:webHidden/>
              </w:rPr>
              <w:instrText xml:space="preserve"> PAGEREF _Toc148515753 \h </w:instrText>
            </w:r>
            <w:r>
              <w:rPr>
                <w:noProof/>
                <w:webHidden/>
              </w:rPr>
              <w:fldChar w:fldCharType="separate"/>
            </w:r>
            <w:r w:rsidR="001C71DE">
              <w:rPr>
                <w:noProof/>
                <w:webHidden/>
              </w:rPr>
              <w:t>40</w:t>
            </w:r>
            <w:r>
              <w:rPr>
                <w:noProof/>
                <w:webHidden/>
              </w:rPr>
              <w:fldChar w:fldCharType="end"/>
            </w:r>
          </w:hyperlink>
        </w:p>
        <w:p w:rsidR="000B4DF7" w14:paraId="0DFEEC4C" w14:textId="5F31B944">
          <w:pPr>
            <w:pStyle w:val="TOC2"/>
            <w:rPr>
              <w:rFonts w:asciiTheme="minorHAnsi" w:eastAsiaTheme="minorEastAsia" w:hAnsiTheme="minorHAnsi" w:cstheme="minorBidi"/>
              <w:noProof/>
              <w:szCs w:val="22"/>
            </w:rPr>
          </w:pPr>
          <w:hyperlink w:anchor="_Toc148515754" w:history="1">
            <w:r w:rsidRPr="00173A7B">
              <w:rPr>
                <w:rStyle w:val="Hyperlink"/>
                <w:noProof/>
              </w:rPr>
              <w:t>J.</w:t>
            </w:r>
            <w:r>
              <w:rPr>
                <w:rFonts w:asciiTheme="minorHAnsi" w:eastAsiaTheme="minorEastAsia" w:hAnsiTheme="minorHAnsi" w:cstheme="minorBidi"/>
                <w:noProof/>
                <w:szCs w:val="22"/>
              </w:rPr>
              <w:tab/>
            </w:r>
            <w:r w:rsidRPr="00173A7B">
              <w:rPr>
                <w:rStyle w:val="Hyperlink"/>
                <w:noProof/>
              </w:rPr>
              <w:t>International Effects</w:t>
            </w:r>
            <w:r>
              <w:rPr>
                <w:noProof/>
                <w:webHidden/>
              </w:rPr>
              <w:tab/>
            </w:r>
            <w:r>
              <w:rPr>
                <w:noProof/>
                <w:webHidden/>
              </w:rPr>
              <w:fldChar w:fldCharType="begin"/>
            </w:r>
            <w:r>
              <w:rPr>
                <w:noProof/>
                <w:webHidden/>
              </w:rPr>
              <w:instrText xml:space="preserve"> PAGEREF _Toc148515754 \h </w:instrText>
            </w:r>
            <w:r>
              <w:rPr>
                <w:noProof/>
                <w:webHidden/>
              </w:rPr>
              <w:fldChar w:fldCharType="separate"/>
            </w:r>
            <w:r w:rsidR="001C71DE">
              <w:rPr>
                <w:noProof/>
                <w:webHidden/>
              </w:rPr>
              <w:t>40</w:t>
            </w:r>
            <w:r>
              <w:rPr>
                <w:noProof/>
                <w:webHidden/>
              </w:rPr>
              <w:fldChar w:fldCharType="end"/>
            </w:r>
          </w:hyperlink>
        </w:p>
        <w:p w:rsidR="000B4DF7" w14:paraId="07BBE0F3" w14:textId="3DBDADB9">
          <w:pPr>
            <w:pStyle w:val="TOC2"/>
            <w:rPr>
              <w:rFonts w:asciiTheme="minorHAnsi" w:eastAsiaTheme="minorEastAsia" w:hAnsiTheme="minorHAnsi" w:cstheme="minorBidi"/>
              <w:noProof/>
              <w:szCs w:val="22"/>
            </w:rPr>
          </w:pPr>
          <w:hyperlink w:anchor="_Toc148515755" w:history="1">
            <w:r w:rsidRPr="00173A7B">
              <w:rPr>
                <w:rStyle w:val="Hyperlink"/>
                <w:noProof/>
              </w:rPr>
              <w:t>K.</w:t>
            </w:r>
            <w:r>
              <w:rPr>
                <w:rFonts w:asciiTheme="minorHAnsi" w:eastAsiaTheme="minorEastAsia" w:hAnsiTheme="minorHAnsi" w:cstheme="minorBidi"/>
                <w:noProof/>
                <w:szCs w:val="22"/>
              </w:rPr>
              <w:tab/>
            </w:r>
            <w:r w:rsidRPr="00173A7B">
              <w:rPr>
                <w:rStyle w:val="Hyperlink"/>
                <w:noProof/>
              </w:rPr>
              <w:t>Sensitivity Analysis</w:t>
            </w:r>
            <w:r>
              <w:rPr>
                <w:noProof/>
                <w:webHidden/>
              </w:rPr>
              <w:tab/>
            </w:r>
            <w:r>
              <w:rPr>
                <w:noProof/>
                <w:webHidden/>
              </w:rPr>
              <w:fldChar w:fldCharType="begin"/>
            </w:r>
            <w:r>
              <w:rPr>
                <w:noProof/>
                <w:webHidden/>
              </w:rPr>
              <w:instrText xml:space="preserve"> PAGEREF _Toc148515755 \h </w:instrText>
            </w:r>
            <w:r>
              <w:rPr>
                <w:noProof/>
                <w:webHidden/>
              </w:rPr>
              <w:fldChar w:fldCharType="separate"/>
            </w:r>
            <w:r w:rsidR="001C71DE">
              <w:rPr>
                <w:noProof/>
                <w:webHidden/>
              </w:rPr>
              <w:t>40</w:t>
            </w:r>
            <w:r>
              <w:rPr>
                <w:noProof/>
                <w:webHidden/>
              </w:rPr>
              <w:fldChar w:fldCharType="end"/>
            </w:r>
          </w:hyperlink>
        </w:p>
        <w:p w:rsidR="000B4DF7" w14:paraId="4DB18CBD" w14:textId="115B36F9">
          <w:pPr>
            <w:pStyle w:val="TOC2"/>
            <w:rPr>
              <w:rFonts w:asciiTheme="minorHAnsi" w:eastAsiaTheme="minorEastAsia" w:hAnsiTheme="minorHAnsi" w:cstheme="minorBidi"/>
              <w:noProof/>
              <w:szCs w:val="22"/>
            </w:rPr>
          </w:pPr>
          <w:hyperlink w:anchor="_Toc148515756" w:history="1">
            <w:r w:rsidRPr="00173A7B">
              <w:rPr>
                <w:rStyle w:val="Hyperlink"/>
                <w:noProof/>
              </w:rPr>
              <w:t>L.</w:t>
            </w:r>
            <w:r>
              <w:rPr>
                <w:rFonts w:asciiTheme="minorHAnsi" w:eastAsiaTheme="minorEastAsia" w:hAnsiTheme="minorHAnsi" w:cstheme="minorBidi"/>
                <w:noProof/>
                <w:szCs w:val="22"/>
              </w:rPr>
              <w:tab/>
            </w:r>
            <w:r w:rsidRPr="00173A7B">
              <w:rPr>
                <w:rStyle w:val="Hyperlink"/>
                <w:noProof/>
              </w:rPr>
              <w:t>Analysis of Regulatory Alternatives to the Rule</w:t>
            </w:r>
            <w:r>
              <w:rPr>
                <w:noProof/>
                <w:webHidden/>
              </w:rPr>
              <w:tab/>
            </w:r>
            <w:r>
              <w:rPr>
                <w:noProof/>
                <w:webHidden/>
              </w:rPr>
              <w:fldChar w:fldCharType="begin"/>
            </w:r>
            <w:r>
              <w:rPr>
                <w:noProof/>
                <w:webHidden/>
              </w:rPr>
              <w:instrText xml:space="preserve"> PAGEREF _Toc148515756 \h </w:instrText>
            </w:r>
            <w:r>
              <w:rPr>
                <w:noProof/>
                <w:webHidden/>
              </w:rPr>
              <w:fldChar w:fldCharType="separate"/>
            </w:r>
            <w:r w:rsidR="001C71DE">
              <w:rPr>
                <w:noProof/>
                <w:webHidden/>
              </w:rPr>
              <w:t>41</w:t>
            </w:r>
            <w:r>
              <w:rPr>
                <w:noProof/>
                <w:webHidden/>
              </w:rPr>
              <w:fldChar w:fldCharType="end"/>
            </w:r>
          </w:hyperlink>
        </w:p>
        <w:p w:rsidR="000B4DF7" w:rsidP="002E2444" w14:paraId="2F710CEC" w14:textId="5DF2774E">
          <w:pPr>
            <w:pStyle w:val="TOC3"/>
            <w:rPr>
              <w:rFonts w:asciiTheme="minorHAnsi" w:eastAsiaTheme="minorEastAsia" w:hAnsiTheme="minorHAnsi" w:cstheme="minorBidi"/>
              <w:noProof/>
              <w:szCs w:val="22"/>
            </w:rPr>
          </w:pPr>
          <w:hyperlink w:anchor="_Toc148515757" w:history="1">
            <w:r w:rsidRPr="00173A7B">
              <w:rPr>
                <w:rStyle w:val="Hyperlink"/>
                <w:noProof/>
              </w:rPr>
              <w:t>1.</w:t>
            </w:r>
            <w:r>
              <w:rPr>
                <w:rFonts w:asciiTheme="minorHAnsi" w:eastAsiaTheme="minorEastAsia" w:hAnsiTheme="minorHAnsi" w:cstheme="minorBidi"/>
                <w:noProof/>
                <w:szCs w:val="22"/>
              </w:rPr>
              <w:tab/>
            </w:r>
            <w:r w:rsidRPr="00173A7B">
              <w:rPr>
                <w:rStyle w:val="Hyperlink"/>
                <w:noProof/>
              </w:rPr>
              <w:t xml:space="preserve">Delayed </w:t>
            </w:r>
            <w:r w:rsidR="00DB4BD1">
              <w:rPr>
                <w:rStyle w:val="Hyperlink"/>
                <w:noProof/>
              </w:rPr>
              <w:t xml:space="preserve">Effective </w:t>
            </w:r>
            <w:r w:rsidRPr="00173A7B">
              <w:rPr>
                <w:rStyle w:val="Hyperlink"/>
                <w:noProof/>
              </w:rPr>
              <w:t>Date for Working Gauge</w:t>
            </w:r>
            <w:r>
              <w:rPr>
                <w:noProof/>
                <w:webHidden/>
              </w:rPr>
              <w:tab/>
            </w:r>
            <w:r>
              <w:rPr>
                <w:noProof/>
                <w:webHidden/>
              </w:rPr>
              <w:fldChar w:fldCharType="begin"/>
            </w:r>
            <w:r>
              <w:rPr>
                <w:noProof/>
                <w:webHidden/>
              </w:rPr>
              <w:instrText xml:space="preserve"> PAGEREF _Toc148515757 \h </w:instrText>
            </w:r>
            <w:r>
              <w:rPr>
                <w:noProof/>
                <w:webHidden/>
              </w:rPr>
              <w:fldChar w:fldCharType="separate"/>
            </w:r>
            <w:r w:rsidR="001C71DE">
              <w:rPr>
                <w:noProof/>
                <w:webHidden/>
              </w:rPr>
              <w:t>41</w:t>
            </w:r>
            <w:r>
              <w:rPr>
                <w:noProof/>
                <w:webHidden/>
              </w:rPr>
              <w:fldChar w:fldCharType="end"/>
            </w:r>
          </w:hyperlink>
        </w:p>
        <w:p w:rsidR="000B4DF7" w:rsidP="002E2444" w14:paraId="1F09808B" w14:textId="39D7DA15">
          <w:pPr>
            <w:pStyle w:val="TOC3"/>
            <w:rPr>
              <w:rFonts w:asciiTheme="minorHAnsi" w:eastAsiaTheme="minorEastAsia" w:hAnsiTheme="minorHAnsi" w:cstheme="minorBidi"/>
              <w:noProof/>
              <w:szCs w:val="22"/>
            </w:rPr>
          </w:pPr>
          <w:hyperlink w:anchor="_Toc148515758" w:history="1">
            <w:r w:rsidRPr="00173A7B">
              <w:rPr>
                <w:rStyle w:val="Hyperlink"/>
                <w:noProof/>
              </w:rPr>
              <w:t>2.</w:t>
            </w:r>
            <w:r>
              <w:rPr>
                <w:rFonts w:asciiTheme="minorHAnsi" w:eastAsiaTheme="minorEastAsia" w:hAnsiTheme="minorHAnsi" w:cstheme="minorBidi"/>
                <w:noProof/>
                <w:szCs w:val="22"/>
              </w:rPr>
              <w:tab/>
            </w:r>
            <w:r w:rsidRPr="00173A7B">
              <w:rPr>
                <w:rStyle w:val="Hyperlink"/>
                <w:noProof/>
              </w:rPr>
              <w:t xml:space="preserve">One Year Earlier and One Year Later </w:t>
            </w:r>
            <w:r w:rsidR="00DB4BD1">
              <w:rPr>
                <w:rStyle w:val="Hyperlink"/>
                <w:noProof/>
              </w:rPr>
              <w:t xml:space="preserve">Effective </w:t>
            </w:r>
            <w:r w:rsidRPr="00173A7B">
              <w:rPr>
                <w:rStyle w:val="Hyperlink"/>
                <w:noProof/>
              </w:rPr>
              <w:t>Dates</w:t>
            </w:r>
            <w:r>
              <w:rPr>
                <w:noProof/>
                <w:webHidden/>
              </w:rPr>
              <w:tab/>
            </w:r>
            <w:r>
              <w:rPr>
                <w:noProof/>
                <w:webHidden/>
              </w:rPr>
              <w:fldChar w:fldCharType="begin"/>
            </w:r>
            <w:r>
              <w:rPr>
                <w:noProof/>
                <w:webHidden/>
              </w:rPr>
              <w:instrText xml:space="preserve"> PAGEREF _Toc148515758 \h </w:instrText>
            </w:r>
            <w:r>
              <w:rPr>
                <w:noProof/>
                <w:webHidden/>
              </w:rPr>
              <w:fldChar w:fldCharType="separate"/>
            </w:r>
            <w:r w:rsidR="001C71DE">
              <w:rPr>
                <w:noProof/>
                <w:webHidden/>
              </w:rPr>
              <w:t>42</w:t>
            </w:r>
            <w:r>
              <w:rPr>
                <w:noProof/>
                <w:webHidden/>
              </w:rPr>
              <w:fldChar w:fldCharType="end"/>
            </w:r>
          </w:hyperlink>
        </w:p>
        <w:p w:rsidR="000B4DF7" w14:paraId="4A9520EC" w14:textId="5309DFB6">
          <w:pPr>
            <w:pStyle w:val="TOC1"/>
            <w:rPr>
              <w:rFonts w:asciiTheme="minorHAnsi" w:eastAsiaTheme="minorEastAsia" w:hAnsiTheme="minorHAnsi" w:cstheme="minorBidi"/>
              <w:noProof/>
              <w:szCs w:val="22"/>
            </w:rPr>
          </w:pPr>
          <w:hyperlink w:anchor="_Toc148515759" w:history="1">
            <w:r w:rsidRPr="00173A7B">
              <w:rPr>
                <w:rStyle w:val="Hyperlink"/>
                <w:noProof/>
              </w:rPr>
              <w:t>III.</w:t>
            </w:r>
            <w:r>
              <w:rPr>
                <w:rFonts w:asciiTheme="minorHAnsi" w:eastAsiaTheme="minorEastAsia" w:hAnsiTheme="minorHAnsi" w:cstheme="minorBidi"/>
                <w:noProof/>
                <w:szCs w:val="22"/>
              </w:rPr>
              <w:tab/>
            </w:r>
            <w:r w:rsidRPr="00173A7B">
              <w:rPr>
                <w:rStyle w:val="Hyperlink"/>
                <w:noProof/>
              </w:rPr>
              <w:t>Initial Small Entity Analysis</w:t>
            </w:r>
            <w:r>
              <w:rPr>
                <w:noProof/>
                <w:webHidden/>
              </w:rPr>
              <w:tab/>
            </w:r>
            <w:r>
              <w:rPr>
                <w:noProof/>
                <w:webHidden/>
              </w:rPr>
              <w:fldChar w:fldCharType="begin"/>
            </w:r>
            <w:r>
              <w:rPr>
                <w:noProof/>
                <w:webHidden/>
              </w:rPr>
              <w:instrText xml:space="preserve"> PAGEREF _Toc148515759 \h </w:instrText>
            </w:r>
            <w:r>
              <w:rPr>
                <w:noProof/>
                <w:webHidden/>
              </w:rPr>
              <w:fldChar w:fldCharType="separate"/>
            </w:r>
            <w:r w:rsidR="001C71DE">
              <w:rPr>
                <w:noProof/>
                <w:webHidden/>
              </w:rPr>
              <w:t>43</w:t>
            </w:r>
            <w:r>
              <w:rPr>
                <w:noProof/>
                <w:webHidden/>
              </w:rPr>
              <w:fldChar w:fldCharType="end"/>
            </w:r>
          </w:hyperlink>
        </w:p>
        <w:p w:rsidR="000B4DF7" w14:paraId="561CE210" w14:textId="74F2C707">
          <w:pPr>
            <w:pStyle w:val="TOC2"/>
            <w:rPr>
              <w:rFonts w:asciiTheme="minorHAnsi" w:eastAsiaTheme="minorEastAsia" w:hAnsiTheme="minorHAnsi" w:cstheme="minorBidi"/>
              <w:noProof/>
              <w:szCs w:val="22"/>
            </w:rPr>
          </w:pPr>
          <w:hyperlink w:anchor="_Toc148515760" w:history="1">
            <w:r w:rsidRPr="00173A7B">
              <w:rPr>
                <w:rStyle w:val="Hyperlink"/>
                <w:noProof/>
              </w:rPr>
              <w:t>A.</w:t>
            </w:r>
            <w:r>
              <w:rPr>
                <w:rFonts w:asciiTheme="minorHAnsi" w:eastAsiaTheme="minorEastAsia" w:hAnsiTheme="minorHAnsi" w:cstheme="minorBidi"/>
                <w:noProof/>
                <w:szCs w:val="22"/>
              </w:rPr>
              <w:tab/>
            </w:r>
            <w:r w:rsidRPr="00173A7B">
              <w:rPr>
                <w:rStyle w:val="Hyperlink"/>
                <w:noProof/>
              </w:rPr>
              <w:t>Description and Number of Affected Small Entities</w:t>
            </w:r>
            <w:r>
              <w:rPr>
                <w:noProof/>
                <w:webHidden/>
              </w:rPr>
              <w:tab/>
            </w:r>
            <w:r>
              <w:rPr>
                <w:noProof/>
                <w:webHidden/>
              </w:rPr>
              <w:fldChar w:fldCharType="begin"/>
            </w:r>
            <w:r>
              <w:rPr>
                <w:noProof/>
                <w:webHidden/>
              </w:rPr>
              <w:instrText xml:space="preserve"> PAGEREF _Toc148515760 \h </w:instrText>
            </w:r>
            <w:r>
              <w:rPr>
                <w:noProof/>
                <w:webHidden/>
              </w:rPr>
              <w:fldChar w:fldCharType="separate"/>
            </w:r>
            <w:r w:rsidR="001C71DE">
              <w:rPr>
                <w:noProof/>
                <w:webHidden/>
              </w:rPr>
              <w:t>43</w:t>
            </w:r>
            <w:r>
              <w:rPr>
                <w:noProof/>
                <w:webHidden/>
              </w:rPr>
              <w:fldChar w:fldCharType="end"/>
            </w:r>
          </w:hyperlink>
        </w:p>
        <w:p w:rsidR="000B4DF7" w14:paraId="2D1961F8" w14:textId="44CD3CB3">
          <w:pPr>
            <w:pStyle w:val="TOC2"/>
            <w:rPr>
              <w:rFonts w:asciiTheme="minorHAnsi" w:eastAsiaTheme="minorEastAsia" w:hAnsiTheme="minorHAnsi" w:cstheme="minorBidi"/>
              <w:noProof/>
              <w:szCs w:val="22"/>
            </w:rPr>
          </w:pPr>
          <w:hyperlink w:anchor="_Toc148515761" w:history="1">
            <w:r w:rsidRPr="00173A7B">
              <w:rPr>
                <w:rStyle w:val="Hyperlink"/>
                <w:noProof/>
              </w:rPr>
              <w:t>B.</w:t>
            </w:r>
            <w:r>
              <w:rPr>
                <w:rFonts w:asciiTheme="minorHAnsi" w:eastAsiaTheme="minorEastAsia" w:hAnsiTheme="minorHAnsi" w:cstheme="minorBidi"/>
                <w:noProof/>
                <w:szCs w:val="22"/>
              </w:rPr>
              <w:tab/>
            </w:r>
            <w:r w:rsidRPr="00173A7B">
              <w:rPr>
                <w:rStyle w:val="Hyperlink"/>
                <w:noProof/>
              </w:rPr>
              <w:t>Description of the Potential Impacts of the Rule on Small Entities</w:t>
            </w:r>
            <w:r>
              <w:rPr>
                <w:noProof/>
                <w:webHidden/>
              </w:rPr>
              <w:tab/>
            </w:r>
            <w:r>
              <w:rPr>
                <w:noProof/>
                <w:webHidden/>
              </w:rPr>
              <w:fldChar w:fldCharType="begin"/>
            </w:r>
            <w:r>
              <w:rPr>
                <w:noProof/>
                <w:webHidden/>
              </w:rPr>
              <w:instrText xml:space="preserve"> PAGEREF _Toc148515761 \h </w:instrText>
            </w:r>
            <w:r>
              <w:rPr>
                <w:noProof/>
                <w:webHidden/>
              </w:rPr>
              <w:fldChar w:fldCharType="separate"/>
            </w:r>
            <w:r w:rsidR="001C71DE">
              <w:rPr>
                <w:noProof/>
                <w:webHidden/>
              </w:rPr>
              <w:t>44</w:t>
            </w:r>
            <w:r>
              <w:rPr>
                <w:noProof/>
                <w:webHidden/>
              </w:rPr>
              <w:fldChar w:fldCharType="end"/>
            </w:r>
          </w:hyperlink>
        </w:p>
        <w:p w:rsidR="000B4DF7" w14:paraId="41D03EFC" w14:textId="6A17B625">
          <w:pPr>
            <w:pStyle w:val="TOC1"/>
            <w:rPr>
              <w:rFonts w:asciiTheme="minorHAnsi" w:eastAsiaTheme="minorEastAsia" w:hAnsiTheme="minorHAnsi" w:cstheme="minorBidi"/>
              <w:noProof/>
              <w:szCs w:val="22"/>
            </w:rPr>
          </w:pPr>
          <w:hyperlink w:anchor="_Toc148515762" w:history="1">
            <w:r w:rsidRPr="00173A7B">
              <w:rPr>
                <w:rStyle w:val="Hyperlink"/>
                <w:noProof/>
              </w:rPr>
              <w:t>IV.</w:t>
            </w:r>
            <w:r>
              <w:rPr>
                <w:rFonts w:asciiTheme="minorHAnsi" w:eastAsiaTheme="minorEastAsia" w:hAnsiTheme="minorHAnsi" w:cstheme="minorBidi"/>
                <w:noProof/>
                <w:szCs w:val="22"/>
              </w:rPr>
              <w:tab/>
            </w:r>
            <w:r w:rsidRPr="00173A7B">
              <w:rPr>
                <w:rStyle w:val="Hyperlink"/>
                <w:noProof/>
              </w:rPr>
              <w:t>References</w:t>
            </w:r>
            <w:r>
              <w:rPr>
                <w:noProof/>
                <w:webHidden/>
              </w:rPr>
              <w:tab/>
            </w:r>
            <w:r>
              <w:rPr>
                <w:noProof/>
                <w:webHidden/>
              </w:rPr>
              <w:fldChar w:fldCharType="begin"/>
            </w:r>
            <w:r>
              <w:rPr>
                <w:noProof/>
                <w:webHidden/>
              </w:rPr>
              <w:instrText xml:space="preserve"> PAGEREF _Toc148515762 \h </w:instrText>
            </w:r>
            <w:r>
              <w:rPr>
                <w:noProof/>
                <w:webHidden/>
              </w:rPr>
              <w:fldChar w:fldCharType="separate"/>
            </w:r>
            <w:r w:rsidR="001C71DE">
              <w:rPr>
                <w:noProof/>
                <w:webHidden/>
              </w:rPr>
              <w:t>47</w:t>
            </w:r>
            <w:r>
              <w:rPr>
                <w:noProof/>
                <w:webHidden/>
              </w:rPr>
              <w:fldChar w:fldCharType="end"/>
            </w:r>
          </w:hyperlink>
        </w:p>
        <w:p w:rsidR="00514711" w:rsidP="00E32557" w14:paraId="59898975" w14:textId="6D0D25DB">
          <w:pPr>
            <w:pStyle w:val="TOC1"/>
          </w:pPr>
          <w:r>
            <w:rPr>
              <w:noProof/>
            </w:rPr>
            <w:fldChar w:fldCharType="end"/>
          </w:r>
        </w:p>
      </w:sdtContent>
    </w:sdt>
    <w:p w:rsidR="0062724E" w:rsidP="000E6DD7" w14:paraId="7253C15D" w14:textId="4BA8E794">
      <w:pPr>
        <w:spacing w:line="276" w:lineRule="auto"/>
        <w:rPr>
          <w:b/>
          <w:u w:val="single"/>
        </w:rPr>
      </w:pPr>
      <w:r>
        <w:br w:type="page"/>
      </w:r>
    </w:p>
    <w:p w:rsidR="00AD3120" w:rsidRPr="003B7C3D" w:rsidP="00F1521B" w14:paraId="47A7550C" w14:textId="322FE43D">
      <w:pPr>
        <w:spacing w:after="240" w:line="276" w:lineRule="auto"/>
        <w:jc w:val="center"/>
        <w:rPr>
          <w:bCs/>
          <w:sz w:val="23"/>
          <w:szCs w:val="23"/>
          <w:u w:val="single"/>
        </w:rPr>
      </w:pPr>
      <w:r w:rsidRPr="003B7C3D">
        <w:rPr>
          <w:bCs/>
          <w:sz w:val="23"/>
          <w:szCs w:val="23"/>
          <w:u w:val="single"/>
        </w:rPr>
        <w:t>Table of Tables</w:t>
      </w:r>
    </w:p>
    <w:p w:rsidR="000659AD" w:rsidRPr="000659AD" w14:paraId="013C029A" w14:textId="10A758FA">
      <w:pPr>
        <w:pStyle w:val="TableofFigures"/>
        <w:tabs>
          <w:tab w:val="right" w:leader="dot" w:pos="9350"/>
        </w:tabs>
        <w:rPr>
          <w:rFonts w:asciiTheme="minorHAnsi" w:eastAsiaTheme="minorEastAsia" w:hAnsiTheme="minorHAnsi" w:cstheme="minorBidi"/>
          <w:noProof/>
          <w:szCs w:val="22"/>
        </w:rPr>
      </w:pPr>
      <w:r w:rsidRPr="00E15D08">
        <w:rPr>
          <w:bCs/>
          <w:sz w:val="23"/>
          <w:szCs w:val="23"/>
        </w:rPr>
        <w:fldChar w:fldCharType="begin"/>
      </w:r>
      <w:r w:rsidRPr="00E15D08">
        <w:rPr>
          <w:bCs/>
          <w:sz w:val="23"/>
          <w:szCs w:val="23"/>
        </w:rPr>
        <w:instrText xml:space="preserve"> TOC \h \z \c "Table" </w:instrText>
      </w:r>
      <w:r w:rsidRPr="00E15D08">
        <w:rPr>
          <w:bCs/>
          <w:sz w:val="23"/>
          <w:szCs w:val="23"/>
        </w:rPr>
        <w:fldChar w:fldCharType="separate"/>
      </w:r>
      <w:hyperlink w:anchor="_Toc147238745" w:history="1">
        <w:r w:rsidRPr="000659AD">
          <w:rPr>
            <w:rStyle w:val="Hyperlink"/>
            <w:noProof/>
          </w:rPr>
          <w:t>Table 1. Summary of Benefits, Costs, and Distributional Effects of the Final Rule (millions of 2022 dollars)</w:t>
        </w:r>
        <w:r w:rsidRPr="000659AD">
          <w:rPr>
            <w:noProof/>
            <w:webHidden/>
          </w:rPr>
          <w:tab/>
        </w:r>
        <w:r w:rsidRPr="000659AD">
          <w:rPr>
            <w:noProof/>
            <w:webHidden/>
          </w:rPr>
          <w:fldChar w:fldCharType="begin"/>
        </w:r>
        <w:r w:rsidRPr="000659AD">
          <w:rPr>
            <w:noProof/>
            <w:webHidden/>
          </w:rPr>
          <w:instrText xml:space="preserve"> PAGEREF _Toc147238745 \h </w:instrText>
        </w:r>
        <w:r w:rsidRPr="000659AD">
          <w:rPr>
            <w:noProof/>
            <w:webHidden/>
          </w:rPr>
          <w:fldChar w:fldCharType="separate"/>
        </w:r>
        <w:r w:rsidR="005F0CF0">
          <w:rPr>
            <w:noProof/>
            <w:webHidden/>
          </w:rPr>
          <w:t>7</w:t>
        </w:r>
        <w:r w:rsidRPr="000659AD">
          <w:rPr>
            <w:noProof/>
            <w:webHidden/>
          </w:rPr>
          <w:fldChar w:fldCharType="end"/>
        </w:r>
      </w:hyperlink>
    </w:p>
    <w:p w:rsidR="000659AD" w:rsidRPr="000659AD" w14:paraId="763C8AEF" w14:textId="170C0525">
      <w:pPr>
        <w:pStyle w:val="TableofFigures"/>
        <w:tabs>
          <w:tab w:val="right" w:leader="dot" w:pos="9350"/>
        </w:tabs>
        <w:rPr>
          <w:rFonts w:asciiTheme="minorHAnsi" w:eastAsiaTheme="minorEastAsia" w:hAnsiTheme="minorHAnsi" w:cstheme="minorBidi"/>
          <w:noProof/>
          <w:szCs w:val="22"/>
        </w:rPr>
      </w:pPr>
      <w:hyperlink w:anchor="_Toc147238746" w:history="1">
        <w:r w:rsidRPr="000659AD">
          <w:rPr>
            <w:rStyle w:val="Hyperlink"/>
            <w:noProof/>
          </w:rPr>
          <w:t>Table 2. Key Terms in the Regulatory Impact Analysis</w:t>
        </w:r>
        <w:r w:rsidRPr="000659AD">
          <w:rPr>
            <w:noProof/>
            <w:webHidden/>
          </w:rPr>
          <w:tab/>
        </w:r>
        <w:r w:rsidRPr="000659AD">
          <w:rPr>
            <w:noProof/>
            <w:webHidden/>
          </w:rPr>
          <w:fldChar w:fldCharType="begin"/>
        </w:r>
        <w:r w:rsidRPr="000659AD">
          <w:rPr>
            <w:noProof/>
            <w:webHidden/>
          </w:rPr>
          <w:instrText xml:space="preserve"> PAGEREF _Toc147238746 \h </w:instrText>
        </w:r>
        <w:r w:rsidRPr="000659AD">
          <w:rPr>
            <w:noProof/>
            <w:webHidden/>
          </w:rPr>
          <w:fldChar w:fldCharType="separate"/>
        </w:r>
        <w:r w:rsidR="005F0CF0">
          <w:rPr>
            <w:noProof/>
            <w:webHidden/>
          </w:rPr>
          <w:t>8</w:t>
        </w:r>
        <w:r w:rsidRPr="000659AD">
          <w:rPr>
            <w:noProof/>
            <w:webHidden/>
          </w:rPr>
          <w:fldChar w:fldCharType="end"/>
        </w:r>
      </w:hyperlink>
    </w:p>
    <w:p w:rsidR="000659AD" w:rsidRPr="000659AD" w14:paraId="0BAAED7D" w14:textId="729A46BE">
      <w:pPr>
        <w:pStyle w:val="TableofFigures"/>
        <w:tabs>
          <w:tab w:val="right" w:leader="dot" w:pos="9350"/>
        </w:tabs>
        <w:rPr>
          <w:rFonts w:asciiTheme="minorHAnsi" w:eastAsiaTheme="minorEastAsia" w:hAnsiTheme="minorHAnsi" w:cstheme="minorBidi"/>
          <w:noProof/>
          <w:szCs w:val="22"/>
        </w:rPr>
      </w:pPr>
      <w:hyperlink w:anchor="_Toc147238747" w:history="1">
        <w:r w:rsidRPr="000659AD">
          <w:rPr>
            <w:rStyle w:val="Hyperlink"/>
            <w:noProof/>
          </w:rPr>
          <w:t>Table 3. The Cost of Labor</w:t>
        </w:r>
        <w:r w:rsidRPr="000659AD">
          <w:rPr>
            <w:noProof/>
            <w:webHidden/>
          </w:rPr>
          <w:tab/>
        </w:r>
        <w:r w:rsidRPr="000659AD">
          <w:rPr>
            <w:noProof/>
            <w:webHidden/>
          </w:rPr>
          <w:fldChar w:fldCharType="begin"/>
        </w:r>
        <w:r w:rsidRPr="000659AD">
          <w:rPr>
            <w:noProof/>
            <w:webHidden/>
          </w:rPr>
          <w:instrText xml:space="preserve"> PAGEREF _Toc147238747 \h </w:instrText>
        </w:r>
        <w:r w:rsidRPr="000659AD">
          <w:rPr>
            <w:noProof/>
            <w:webHidden/>
          </w:rPr>
          <w:fldChar w:fldCharType="separate"/>
        </w:r>
        <w:r w:rsidR="005F0CF0">
          <w:rPr>
            <w:noProof/>
            <w:webHidden/>
          </w:rPr>
          <w:t>15</w:t>
        </w:r>
        <w:r w:rsidRPr="000659AD">
          <w:rPr>
            <w:noProof/>
            <w:webHidden/>
          </w:rPr>
          <w:fldChar w:fldCharType="end"/>
        </w:r>
      </w:hyperlink>
    </w:p>
    <w:p w:rsidR="000659AD" w:rsidRPr="000659AD" w14:paraId="37657A66" w14:textId="03DB5706">
      <w:pPr>
        <w:pStyle w:val="TableofFigures"/>
        <w:tabs>
          <w:tab w:val="right" w:leader="dot" w:pos="9350"/>
        </w:tabs>
        <w:rPr>
          <w:rFonts w:asciiTheme="minorHAnsi" w:eastAsiaTheme="minorEastAsia" w:hAnsiTheme="minorHAnsi" w:cstheme="minorBidi"/>
          <w:noProof/>
          <w:szCs w:val="22"/>
        </w:rPr>
      </w:pPr>
      <w:hyperlink w:anchor="_Toc147238748" w:history="1">
        <w:r w:rsidRPr="000659AD">
          <w:rPr>
            <w:rStyle w:val="Hyperlink"/>
            <w:noProof/>
          </w:rPr>
          <w:t>Table 4. Facility Count (ERG Table 2-26)</w:t>
        </w:r>
        <w:r w:rsidRPr="000659AD">
          <w:rPr>
            <w:noProof/>
            <w:webHidden/>
          </w:rPr>
          <w:tab/>
        </w:r>
        <w:r w:rsidRPr="000659AD">
          <w:rPr>
            <w:noProof/>
            <w:webHidden/>
          </w:rPr>
          <w:fldChar w:fldCharType="begin"/>
        </w:r>
        <w:r w:rsidRPr="000659AD">
          <w:rPr>
            <w:noProof/>
            <w:webHidden/>
          </w:rPr>
          <w:instrText xml:space="preserve"> PAGEREF _Toc147238748 \h </w:instrText>
        </w:r>
        <w:r w:rsidRPr="000659AD">
          <w:rPr>
            <w:noProof/>
            <w:webHidden/>
          </w:rPr>
          <w:fldChar w:fldCharType="separate"/>
        </w:r>
        <w:r w:rsidR="005F0CF0">
          <w:rPr>
            <w:noProof/>
            <w:webHidden/>
          </w:rPr>
          <w:t>16</w:t>
        </w:r>
        <w:r w:rsidRPr="000659AD">
          <w:rPr>
            <w:noProof/>
            <w:webHidden/>
          </w:rPr>
          <w:fldChar w:fldCharType="end"/>
        </w:r>
      </w:hyperlink>
    </w:p>
    <w:p w:rsidR="000659AD" w:rsidRPr="000659AD" w14:paraId="4B15786A" w14:textId="65FCEA7E">
      <w:pPr>
        <w:pStyle w:val="TableofFigures"/>
        <w:tabs>
          <w:tab w:val="right" w:leader="dot" w:pos="9350"/>
        </w:tabs>
        <w:rPr>
          <w:rFonts w:asciiTheme="minorHAnsi" w:eastAsiaTheme="minorEastAsia" w:hAnsiTheme="minorHAnsi" w:cstheme="minorBidi"/>
          <w:noProof/>
          <w:szCs w:val="22"/>
        </w:rPr>
      </w:pPr>
      <w:hyperlink w:anchor="_Toc147238749" w:history="1">
        <w:r w:rsidRPr="000659AD">
          <w:rPr>
            <w:rStyle w:val="Hyperlink"/>
            <w:noProof/>
          </w:rPr>
          <w:t>Table 5. Quantity of Medical Gas Containers in Thousands (ERG Table 4-4)</w:t>
        </w:r>
        <w:r w:rsidRPr="000659AD">
          <w:rPr>
            <w:noProof/>
            <w:webHidden/>
          </w:rPr>
          <w:tab/>
        </w:r>
        <w:r w:rsidRPr="000659AD">
          <w:rPr>
            <w:noProof/>
            <w:webHidden/>
          </w:rPr>
          <w:fldChar w:fldCharType="begin"/>
        </w:r>
        <w:r w:rsidRPr="000659AD">
          <w:rPr>
            <w:noProof/>
            <w:webHidden/>
          </w:rPr>
          <w:instrText xml:space="preserve"> PAGEREF _Toc147238749 \h </w:instrText>
        </w:r>
        <w:r w:rsidRPr="000659AD">
          <w:rPr>
            <w:noProof/>
            <w:webHidden/>
          </w:rPr>
          <w:fldChar w:fldCharType="separate"/>
        </w:r>
        <w:r w:rsidR="005F0CF0">
          <w:rPr>
            <w:noProof/>
            <w:webHidden/>
          </w:rPr>
          <w:t>16</w:t>
        </w:r>
        <w:r w:rsidRPr="000659AD">
          <w:rPr>
            <w:noProof/>
            <w:webHidden/>
          </w:rPr>
          <w:fldChar w:fldCharType="end"/>
        </w:r>
      </w:hyperlink>
    </w:p>
    <w:p w:rsidR="000659AD" w:rsidRPr="000659AD" w14:paraId="11B960CA" w14:textId="775FBDB0">
      <w:pPr>
        <w:pStyle w:val="TableofFigures"/>
        <w:tabs>
          <w:tab w:val="right" w:leader="dot" w:pos="9350"/>
        </w:tabs>
        <w:rPr>
          <w:rFonts w:asciiTheme="minorHAnsi" w:eastAsiaTheme="minorEastAsia" w:hAnsiTheme="minorHAnsi" w:cstheme="minorBidi"/>
          <w:noProof/>
          <w:szCs w:val="22"/>
        </w:rPr>
      </w:pPr>
      <w:hyperlink w:anchor="_Toc147238750" w:history="1">
        <w:r w:rsidRPr="000659AD">
          <w:rPr>
            <w:rStyle w:val="Hyperlink"/>
            <w:noProof/>
          </w:rPr>
          <w:t>Table 6. Cost Savings Streamlining the Inspection Process</w:t>
        </w:r>
        <w:r w:rsidRPr="000659AD">
          <w:rPr>
            <w:noProof/>
            <w:webHidden/>
          </w:rPr>
          <w:tab/>
        </w:r>
        <w:r w:rsidRPr="000659AD">
          <w:rPr>
            <w:noProof/>
            <w:webHidden/>
          </w:rPr>
          <w:fldChar w:fldCharType="begin"/>
        </w:r>
        <w:r w:rsidRPr="000659AD">
          <w:rPr>
            <w:noProof/>
            <w:webHidden/>
          </w:rPr>
          <w:instrText xml:space="preserve"> PAGEREF _Toc147238750 \h </w:instrText>
        </w:r>
        <w:r w:rsidRPr="000659AD">
          <w:rPr>
            <w:noProof/>
            <w:webHidden/>
          </w:rPr>
          <w:fldChar w:fldCharType="separate"/>
        </w:r>
        <w:r w:rsidR="005F0CF0">
          <w:rPr>
            <w:noProof/>
            <w:webHidden/>
          </w:rPr>
          <w:t>18</w:t>
        </w:r>
        <w:r w:rsidRPr="000659AD">
          <w:rPr>
            <w:noProof/>
            <w:webHidden/>
          </w:rPr>
          <w:fldChar w:fldCharType="end"/>
        </w:r>
      </w:hyperlink>
    </w:p>
    <w:p w:rsidR="000659AD" w:rsidRPr="000659AD" w14:paraId="0FC2D68A" w14:textId="5EA116B4">
      <w:pPr>
        <w:pStyle w:val="TableofFigures"/>
        <w:tabs>
          <w:tab w:val="right" w:leader="dot" w:pos="9350"/>
        </w:tabs>
        <w:rPr>
          <w:rFonts w:asciiTheme="minorHAnsi" w:eastAsiaTheme="minorEastAsia" w:hAnsiTheme="minorHAnsi" w:cstheme="minorBidi"/>
          <w:noProof/>
          <w:szCs w:val="22"/>
        </w:rPr>
      </w:pPr>
      <w:hyperlink w:anchor="_Toc147238751" w:history="1">
        <w:r w:rsidRPr="000659AD">
          <w:rPr>
            <w:rStyle w:val="Hyperlink"/>
            <w:noProof/>
          </w:rPr>
          <w:t xml:space="preserve">Table 7. </w:t>
        </w:r>
        <w:r w:rsidRPr="000659AD">
          <w:rPr>
            <w:rStyle w:val="Hyperlink"/>
            <w:rFonts w:eastAsia="Times New Roman"/>
            <w:noProof/>
          </w:rPr>
          <w:t>Cost Savings Removing First-in, First-Out Requirement</w:t>
        </w:r>
        <w:r w:rsidRPr="000659AD">
          <w:rPr>
            <w:noProof/>
            <w:webHidden/>
          </w:rPr>
          <w:tab/>
        </w:r>
        <w:r w:rsidRPr="000659AD">
          <w:rPr>
            <w:noProof/>
            <w:webHidden/>
          </w:rPr>
          <w:fldChar w:fldCharType="begin"/>
        </w:r>
        <w:r w:rsidRPr="000659AD">
          <w:rPr>
            <w:noProof/>
            <w:webHidden/>
          </w:rPr>
          <w:instrText xml:space="preserve"> PAGEREF _Toc147238751 \h </w:instrText>
        </w:r>
        <w:r w:rsidRPr="000659AD">
          <w:rPr>
            <w:noProof/>
            <w:webHidden/>
          </w:rPr>
          <w:fldChar w:fldCharType="separate"/>
        </w:r>
        <w:r w:rsidR="005F0CF0">
          <w:rPr>
            <w:noProof/>
            <w:webHidden/>
          </w:rPr>
          <w:t>19</w:t>
        </w:r>
        <w:r w:rsidRPr="000659AD">
          <w:rPr>
            <w:noProof/>
            <w:webHidden/>
          </w:rPr>
          <w:fldChar w:fldCharType="end"/>
        </w:r>
      </w:hyperlink>
    </w:p>
    <w:p w:rsidR="000659AD" w:rsidRPr="000659AD" w14:paraId="40AD259A" w14:textId="2959499B">
      <w:pPr>
        <w:pStyle w:val="TableofFigures"/>
        <w:tabs>
          <w:tab w:val="right" w:leader="dot" w:pos="9350"/>
        </w:tabs>
        <w:rPr>
          <w:rFonts w:asciiTheme="minorHAnsi" w:eastAsiaTheme="minorEastAsia" w:hAnsiTheme="minorHAnsi" w:cstheme="minorBidi"/>
          <w:noProof/>
          <w:szCs w:val="22"/>
        </w:rPr>
      </w:pPr>
      <w:hyperlink w:anchor="_Toc147238752" w:history="1">
        <w:r w:rsidRPr="000659AD">
          <w:rPr>
            <w:rStyle w:val="Hyperlink"/>
            <w:noProof/>
          </w:rPr>
          <w:t>Table 8. Cost Savings from Allowing the Reuse of Labels</w:t>
        </w:r>
        <w:r w:rsidRPr="000659AD">
          <w:rPr>
            <w:noProof/>
            <w:webHidden/>
          </w:rPr>
          <w:tab/>
        </w:r>
        <w:r w:rsidRPr="000659AD">
          <w:rPr>
            <w:noProof/>
            <w:webHidden/>
          </w:rPr>
          <w:fldChar w:fldCharType="begin"/>
        </w:r>
        <w:r w:rsidRPr="000659AD">
          <w:rPr>
            <w:noProof/>
            <w:webHidden/>
          </w:rPr>
          <w:instrText xml:space="preserve"> PAGEREF _Toc147238752 \h </w:instrText>
        </w:r>
        <w:r w:rsidRPr="000659AD">
          <w:rPr>
            <w:noProof/>
            <w:webHidden/>
          </w:rPr>
          <w:fldChar w:fldCharType="separate"/>
        </w:r>
        <w:r w:rsidR="005F0CF0">
          <w:rPr>
            <w:noProof/>
            <w:webHidden/>
          </w:rPr>
          <w:t>20</w:t>
        </w:r>
        <w:r w:rsidRPr="000659AD">
          <w:rPr>
            <w:noProof/>
            <w:webHidden/>
          </w:rPr>
          <w:fldChar w:fldCharType="end"/>
        </w:r>
      </w:hyperlink>
    </w:p>
    <w:p w:rsidR="000659AD" w:rsidRPr="000659AD" w14:paraId="4D886AFF" w14:textId="22453CB0">
      <w:pPr>
        <w:pStyle w:val="TableofFigures"/>
        <w:tabs>
          <w:tab w:val="right" w:leader="dot" w:pos="9350"/>
        </w:tabs>
        <w:rPr>
          <w:rFonts w:asciiTheme="minorHAnsi" w:eastAsiaTheme="minorEastAsia" w:hAnsiTheme="minorHAnsi" w:cstheme="minorBidi"/>
          <w:noProof/>
          <w:szCs w:val="22"/>
        </w:rPr>
      </w:pPr>
      <w:hyperlink w:anchor="_Toc147238753" w:history="1">
        <w:r w:rsidRPr="000659AD">
          <w:rPr>
            <w:rStyle w:val="Hyperlink"/>
            <w:noProof/>
          </w:rPr>
          <w:t xml:space="preserve">Table 9. </w:t>
        </w:r>
        <w:r w:rsidRPr="000659AD">
          <w:rPr>
            <w:rStyle w:val="Hyperlink"/>
            <w:rFonts w:eastAsia="Times New Roman"/>
            <w:noProof/>
          </w:rPr>
          <w:t>Cost Savings from Flexibility in Curbside Filling Written Permission</w:t>
        </w:r>
        <w:r w:rsidRPr="000659AD">
          <w:rPr>
            <w:noProof/>
            <w:webHidden/>
          </w:rPr>
          <w:tab/>
        </w:r>
        <w:r w:rsidRPr="000659AD">
          <w:rPr>
            <w:noProof/>
            <w:webHidden/>
          </w:rPr>
          <w:fldChar w:fldCharType="begin"/>
        </w:r>
        <w:r w:rsidRPr="000659AD">
          <w:rPr>
            <w:noProof/>
            <w:webHidden/>
          </w:rPr>
          <w:instrText xml:space="preserve"> PAGEREF _Toc147238753 \h </w:instrText>
        </w:r>
        <w:r w:rsidRPr="000659AD">
          <w:rPr>
            <w:noProof/>
            <w:webHidden/>
          </w:rPr>
          <w:fldChar w:fldCharType="separate"/>
        </w:r>
        <w:r w:rsidR="005F0CF0">
          <w:rPr>
            <w:noProof/>
            <w:webHidden/>
          </w:rPr>
          <w:t>21</w:t>
        </w:r>
        <w:r w:rsidRPr="000659AD">
          <w:rPr>
            <w:noProof/>
            <w:webHidden/>
          </w:rPr>
          <w:fldChar w:fldCharType="end"/>
        </w:r>
      </w:hyperlink>
    </w:p>
    <w:p w:rsidR="000659AD" w:rsidRPr="000659AD" w14:paraId="057DA19D" w14:textId="648F62FA">
      <w:pPr>
        <w:pStyle w:val="TableofFigures"/>
        <w:tabs>
          <w:tab w:val="right" w:leader="dot" w:pos="9350"/>
        </w:tabs>
        <w:rPr>
          <w:rFonts w:asciiTheme="minorHAnsi" w:eastAsiaTheme="minorEastAsia" w:hAnsiTheme="minorHAnsi" w:cstheme="minorBidi"/>
          <w:noProof/>
          <w:szCs w:val="22"/>
        </w:rPr>
      </w:pPr>
      <w:hyperlink w:anchor="_Toc147238754" w:history="1">
        <w:r w:rsidRPr="000659AD">
          <w:rPr>
            <w:rStyle w:val="Hyperlink"/>
            <w:noProof/>
          </w:rPr>
          <w:t>Table 10. Summary of Quantitative Cost Savings (in $ Millions)</w:t>
        </w:r>
        <w:r w:rsidRPr="000659AD">
          <w:rPr>
            <w:noProof/>
            <w:webHidden/>
          </w:rPr>
          <w:tab/>
        </w:r>
        <w:r w:rsidRPr="000659AD">
          <w:rPr>
            <w:noProof/>
            <w:webHidden/>
          </w:rPr>
          <w:fldChar w:fldCharType="begin"/>
        </w:r>
        <w:r w:rsidRPr="000659AD">
          <w:rPr>
            <w:noProof/>
            <w:webHidden/>
          </w:rPr>
          <w:instrText xml:space="preserve"> PAGEREF _Toc147238754 \h </w:instrText>
        </w:r>
        <w:r w:rsidRPr="000659AD">
          <w:rPr>
            <w:noProof/>
            <w:webHidden/>
          </w:rPr>
          <w:fldChar w:fldCharType="separate"/>
        </w:r>
        <w:r w:rsidR="005F0CF0">
          <w:rPr>
            <w:noProof/>
            <w:webHidden/>
          </w:rPr>
          <w:t>21</w:t>
        </w:r>
        <w:r w:rsidRPr="000659AD">
          <w:rPr>
            <w:noProof/>
            <w:webHidden/>
          </w:rPr>
          <w:fldChar w:fldCharType="end"/>
        </w:r>
      </w:hyperlink>
    </w:p>
    <w:p w:rsidR="000659AD" w:rsidRPr="000659AD" w14:paraId="3FADC9DE" w14:textId="6AB844F9">
      <w:pPr>
        <w:pStyle w:val="TableofFigures"/>
        <w:tabs>
          <w:tab w:val="right" w:leader="dot" w:pos="9350"/>
        </w:tabs>
        <w:rPr>
          <w:rFonts w:asciiTheme="minorHAnsi" w:eastAsiaTheme="minorEastAsia" w:hAnsiTheme="minorHAnsi" w:cstheme="minorBidi"/>
          <w:noProof/>
          <w:szCs w:val="22"/>
        </w:rPr>
      </w:pPr>
      <w:hyperlink w:anchor="_Toc147238755" w:history="1">
        <w:r w:rsidRPr="000659AD">
          <w:rPr>
            <w:rStyle w:val="Hyperlink"/>
            <w:noProof/>
          </w:rPr>
          <w:t>Table 11. One-Time Costs for Reading and Understanding the Rule</w:t>
        </w:r>
        <w:r w:rsidRPr="000659AD">
          <w:rPr>
            <w:noProof/>
            <w:webHidden/>
          </w:rPr>
          <w:tab/>
        </w:r>
        <w:r w:rsidRPr="000659AD">
          <w:rPr>
            <w:noProof/>
            <w:webHidden/>
          </w:rPr>
          <w:fldChar w:fldCharType="begin"/>
        </w:r>
        <w:r w:rsidRPr="000659AD">
          <w:rPr>
            <w:noProof/>
            <w:webHidden/>
          </w:rPr>
          <w:instrText xml:space="preserve"> PAGEREF _Toc147238755 \h </w:instrText>
        </w:r>
        <w:r w:rsidRPr="000659AD">
          <w:rPr>
            <w:noProof/>
            <w:webHidden/>
          </w:rPr>
          <w:fldChar w:fldCharType="separate"/>
        </w:r>
        <w:r w:rsidR="005F0CF0">
          <w:rPr>
            <w:noProof/>
            <w:webHidden/>
          </w:rPr>
          <w:t>25</w:t>
        </w:r>
        <w:r w:rsidRPr="000659AD">
          <w:rPr>
            <w:noProof/>
            <w:webHidden/>
          </w:rPr>
          <w:fldChar w:fldCharType="end"/>
        </w:r>
      </w:hyperlink>
    </w:p>
    <w:p w:rsidR="000659AD" w:rsidRPr="000659AD" w14:paraId="09262E95" w14:textId="52E64AF8">
      <w:pPr>
        <w:pStyle w:val="TableofFigures"/>
        <w:tabs>
          <w:tab w:val="right" w:leader="dot" w:pos="9350"/>
        </w:tabs>
        <w:rPr>
          <w:rFonts w:asciiTheme="minorHAnsi" w:eastAsiaTheme="minorEastAsia" w:hAnsiTheme="minorHAnsi" w:cstheme="minorBidi"/>
          <w:noProof/>
          <w:szCs w:val="22"/>
        </w:rPr>
      </w:pPr>
      <w:hyperlink w:anchor="_Toc147238756" w:history="1">
        <w:r w:rsidRPr="000659AD">
          <w:rPr>
            <w:rStyle w:val="Hyperlink"/>
            <w:noProof/>
          </w:rPr>
          <w:t>Table 12. Per Label Cost</w:t>
        </w:r>
        <w:r w:rsidRPr="000659AD">
          <w:rPr>
            <w:noProof/>
            <w:webHidden/>
          </w:rPr>
          <w:tab/>
        </w:r>
        <w:r w:rsidRPr="000659AD">
          <w:rPr>
            <w:noProof/>
            <w:webHidden/>
          </w:rPr>
          <w:fldChar w:fldCharType="begin"/>
        </w:r>
        <w:r w:rsidRPr="000659AD">
          <w:rPr>
            <w:noProof/>
            <w:webHidden/>
          </w:rPr>
          <w:instrText xml:space="preserve"> PAGEREF _Toc147238756 \h </w:instrText>
        </w:r>
        <w:r w:rsidRPr="000659AD">
          <w:rPr>
            <w:noProof/>
            <w:webHidden/>
          </w:rPr>
          <w:fldChar w:fldCharType="separate"/>
        </w:r>
        <w:r w:rsidR="005F0CF0">
          <w:rPr>
            <w:noProof/>
            <w:webHidden/>
          </w:rPr>
          <w:t>26</w:t>
        </w:r>
        <w:r w:rsidRPr="000659AD">
          <w:rPr>
            <w:noProof/>
            <w:webHidden/>
          </w:rPr>
          <w:fldChar w:fldCharType="end"/>
        </w:r>
      </w:hyperlink>
    </w:p>
    <w:p w:rsidR="000659AD" w:rsidRPr="000659AD" w14:paraId="18D5B0F2" w14:textId="5336ADAB">
      <w:pPr>
        <w:pStyle w:val="TableofFigures"/>
        <w:tabs>
          <w:tab w:val="right" w:leader="dot" w:pos="9350"/>
        </w:tabs>
        <w:rPr>
          <w:rFonts w:asciiTheme="minorHAnsi" w:eastAsiaTheme="minorEastAsia" w:hAnsiTheme="minorHAnsi" w:cstheme="minorBidi"/>
          <w:noProof/>
          <w:szCs w:val="22"/>
        </w:rPr>
      </w:pPr>
      <w:hyperlink w:anchor="_Toc147238757" w:history="1">
        <w:r w:rsidRPr="000659AD">
          <w:rPr>
            <w:rStyle w:val="Hyperlink"/>
            <w:noProof/>
          </w:rPr>
          <w:t>Table 13. Costs from Adding No Smoking and No Vaping Label</w:t>
        </w:r>
        <w:r w:rsidRPr="000659AD">
          <w:rPr>
            <w:noProof/>
            <w:webHidden/>
          </w:rPr>
          <w:tab/>
        </w:r>
        <w:r w:rsidRPr="000659AD">
          <w:rPr>
            <w:noProof/>
            <w:webHidden/>
          </w:rPr>
          <w:fldChar w:fldCharType="begin"/>
        </w:r>
        <w:r w:rsidRPr="000659AD">
          <w:rPr>
            <w:noProof/>
            <w:webHidden/>
          </w:rPr>
          <w:instrText xml:space="preserve"> PAGEREF _Toc147238757 \h </w:instrText>
        </w:r>
        <w:r w:rsidRPr="000659AD">
          <w:rPr>
            <w:noProof/>
            <w:webHidden/>
          </w:rPr>
          <w:fldChar w:fldCharType="separate"/>
        </w:r>
        <w:r w:rsidR="005F0CF0">
          <w:rPr>
            <w:noProof/>
            <w:webHidden/>
          </w:rPr>
          <w:t>27</w:t>
        </w:r>
        <w:r w:rsidRPr="000659AD">
          <w:rPr>
            <w:noProof/>
            <w:webHidden/>
          </w:rPr>
          <w:fldChar w:fldCharType="end"/>
        </w:r>
      </w:hyperlink>
    </w:p>
    <w:p w:rsidR="000659AD" w:rsidRPr="000659AD" w14:paraId="58F1EAD6" w14:textId="59CA1D2C">
      <w:pPr>
        <w:pStyle w:val="TableofFigures"/>
        <w:tabs>
          <w:tab w:val="right" w:leader="dot" w:pos="9350"/>
        </w:tabs>
        <w:rPr>
          <w:rFonts w:asciiTheme="minorHAnsi" w:eastAsiaTheme="minorEastAsia" w:hAnsiTheme="minorHAnsi" w:cstheme="minorBidi"/>
          <w:noProof/>
          <w:szCs w:val="22"/>
        </w:rPr>
      </w:pPr>
      <w:hyperlink w:anchor="_Toc147238758" w:history="1">
        <w:r w:rsidRPr="000659AD">
          <w:rPr>
            <w:rStyle w:val="Hyperlink"/>
            <w:noProof/>
          </w:rPr>
          <w:t>Table 14. Quality Unit Costs (ERG Table 6-2)</w:t>
        </w:r>
        <w:r w:rsidRPr="000659AD">
          <w:rPr>
            <w:noProof/>
            <w:webHidden/>
          </w:rPr>
          <w:tab/>
        </w:r>
        <w:r w:rsidRPr="000659AD">
          <w:rPr>
            <w:noProof/>
            <w:webHidden/>
          </w:rPr>
          <w:fldChar w:fldCharType="begin"/>
        </w:r>
        <w:r w:rsidRPr="000659AD">
          <w:rPr>
            <w:noProof/>
            <w:webHidden/>
          </w:rPr>
          <w:instrText xml:space="preserve"> PAGEREF _Toc147238758 \h </w:instrText>
        </w:r>
        <w:r w:rsidRPr="000659AD">
          <w:rPr>
            <w:noProof/>
            <w:webHidden/>
          </w:rPr>
          <w:fldChar w:fldCharType="separate"/>
        </w:r>
        <w:r w:rsidR="005F0CF0">
          <w:rPr>
            <w:noProof/>
            <w:webHidden/>
          </w:rPr>
          <w:t>28</w:t>
        </w:r>
        <w:r w:rsidRPr="000659AD">
          <w:rPr>
            <w:noProof/>
            <w:webHidden/>
          </w:rPr>
          <w:fldChar w:fldCharType="end"/>
        </w:r>
      </w:hyperlink>
    </w:p>
    <w:p w:rsidR="000659AD" w:rsidRPr="000659AD" w14:paraId="53CAF30D" w14:textId="202E2C2F">
      <w:pPr>
        <w:pStyle w:val="TableofFigures"/>
        <w:tabs>
          <w:tab w:val="right" w:leader="dot" w:pos="9350"/>
        </w:tabs>
        <w:rPr>
          <w:rFonts w:asciiTheme="minorHAnsi" w:eastAsiaTheme="minorEastAsia" w:hAnsiTheme="minorHAnsi" w:cstheme="minorBidi"/>
          <w:noProof/>
          <w:szCs w:val="22"/>
        </w:rPr>
      </w:pPr>
      <w:hyperlink w:anchor="_Toc147238759" w:history="1">
        <w:r w:rsidRPr="000659AD">
          <w:rPr>
            <w:rStyle w:val="Hyperlink"/>
            <w:noProof/>
          </w:rPr>
          <w:t>Table 15. Costs of Full Compliance with the Quality Unit Requirement</w:t>
        </w:r>
        <w:r w:rsidRPr="000659AD">
          <w:rPr>
            <w:noProof/>
            <w:webHidden/>
          </w:rPr>
          <w:tab/>
        </w:r>
        <w:r w:rsidRPr="000659AD">
          <w:rPr>
            <w:noProof/>
            <w:webHidden/>
          </w:rPr>
          <w:fldChar w:fldCharType="begin"/>
        </w:r>
        <w:r w:rsidRPr="000659AD">
          <w:rPr>
            <w:noProof/>
            <w:webHidden/>
          </w:rPr>
          <w:instrText xml:space="preserve"> PAGEREF _Toc147238759 \h </w:instrText>
        </w:r>
        <w:r w:rsidRPr="000659AD">
          <w:rPr>
            <w:noProof/>
            <w:webHidden/>
          </w:rPr>
          <w:fldChar w:fldCharType="separate"/>
        </w:r>
        <w:r w:rsidR="005F0CF0">
          <w:rPr>
            <w:noProof/>
            <w:webHidden/>
          </w:rPr>
          <w:t>29</w:t>
        </w:r>
        <w:r w:rsidRPr="000659AD">
          <w:rPr>
            <w:noProof/>
            <w:webHidden/>
          </w:rPr>
          <w:fldChar w:fldCharType="end"/>
        </w:r>
      </w:hyperlink>
    </w:p>
    <w:p w:rsidR="000659AD" w:rsidRPr="000659AD" w14:paraId="2BDB155D" w14:textId="037834AB">
      <w:pPr>
        <w:pStyle w:val="TableofFigures"/>
        <w:tabs>
          <w:tab w:val="right" w:leader="dot" w:pos="9350"/>
        </w:tabs>
        <w:rPr>
          <w:rFonts w:asciiTheme="minorHAnsi" w:eastAsiaTheme="minorEastAsia" w:hAnsiTheme="minorHAnsi" w:cstheme="minorBidi"/>
          <w:noProof/>
          <w:szCs w:val="22"/>
        </w:rPr>
      </w:pPr>
      <w:hyperlink w:anchor="_Toc147238760" w:history="1">
        <w:r w:rsidRPr="000659AD">
          <w:rPr>
            <w:rStyle w:val="Hyperlink"/>
            <w:noProof/>
          </w:rPr>
          <w:t>Table 16. Per Firm Cost of Training for Personnel Qualifications and Responsibilities</w:t>
        </w:r>
        <w:r w:rsidRPr="000659AD">
          <w:rPr>
            <w:noProof/>
            <w:webHidden/>
          </w:rPr>
          <w:tab/>
        </w:r>
        <w:r w:rsidRPr="000659AD">
          <w:rPr>
            <w:noProof/>
            <w:webHidden/>
          </w:rPr>
          <w:fldChar w:fldCharType="begin"/>
        </w:r>
        <w:r w:rsidRPr="000659AD">
          <w:rPr>
            <w:noProof/>
            <w:webHidden/>
          </w:rPr>
          <w:instrText xml:space="preserve"> PAGEREF _Toc147238760 \h </w:instrText>
        </w:r>
        <w:r w:rsidRPr="000659AD">
          <w:rPr>
            <w:noProof/>
            <w:webHidden/>
          </w:rPr>
          <w:fldChar w:fldCharType="separate"/>
        </w:r>
        <w:r w:rsidR="005F0CF0">
          <w:rPr>
            <w:noProof/>
            <w:webHidden/>
          </w:rPr>
          <w:t>30</w:t>
        </w:r>
        <w:r w:rsidRPr="000659AD">
          <w:rPr>
            <w:noProof/>
            <w:webHidden/>
          </w:rPr>
          <w:fldChar w:fldCharType="end"/>
        </w:r>
      </w:hyperlink>
    </w:p>
    <w:p w:rsidR="000659AD" w:rsidRPr="000659AD" w14:paraId="0ECF49E2" w14:textId="1735B258">
      <w:pPr>
        <w:pStyle w:val="TableofFigures"/>
        <w:tabs>
          <w:tab w:val="right" w:leader="dot" w:pos="9350"/>
        </w:tabs>
        <w:rPr>
          <w:rFonts w:asciiTheme="minorHAnsi" w:eastAsiaTheme="minorEastAsia" w:hAnsiTheme="minorHAnsi" w:cstheme="minorBidi"/>
          <w:noProof/>
          <w:szCs w:val="22"/>
        </w:rPr>
      </w:pPr>
      <w:hyperlink w:anchor="_Toc147238761" w:history="1">
        <w:r w:rsidRPr="000659AD">
          <w:rPr>
            <w:rStyle w:val="Hyperlink"/>
            <w:noProof/>
          </w:rPr>
          <w:t>Table 17. Cost of Full Compliance with Personnel Qualifications and Responsibilities</w:t>
        </w:r>
        <w:r w:rsidRPr="000659AD">
          <w:rPr>
            <w:noProof/>
            <w:webHidden/>
          </w:rPr>
          <w:tab/>
        </w:r>
        <w:r w:rsidRPr="000659AD">
          <w:rPr>
            <w:noProof/>
            <w:webHidden/>
          </w:rPr>
          <w:fldChar w:fldCharType="begin"/>
        </w:r>
        <w:r w:rsidRPr="000659AD">
          <w:rPr>
            <w:noProof/>
            <w:webHidden/>
          </w:rPr>
          <w:instrText xml:space="preserve"> PAGEREF _Toc147238761 \h </w:instrText>
        </w:r>
        <w:r w:rsidRPr="000659AD">
          <w:rPr>
            <w:noProof/>
            <w:webHidden/>
          </w:rPr>
          <w:fldChar w:fldCharType="separate"/>
        </w:r>
        <w:r w:rsidR="005F0CF0">
          <w:rPr>
            <w:noProof/>
            <w:webHidden/>
          </w:rPr>
          <w:t>30</w:t>
        </w:r>
        <w:r w:rsidRPr="000659AD">
          <w:rPr>
            <w:noProof/>
            <w:webHidden/>
          </w:rPr>
          <w:fldChar w:fldCharType="end"/>
        </w:r>
      </w:hyperlink>
    </w:p>
    <w:p w:rsidR="000659AD" w:rsidRPr="000659AD" w14:paraId="41522650" w14:textId="42C150F5">
      <w:pPr>
        <w:pStyle w:val="TableofFigures"/>
        <w:tabs>
          <w:tab w:val="right" w:leader="dot" w:pos="9350"/>
        </w:tabs>
        <w:rPr>
          <w:rFonts w:asciiTheme="minorHAnsi" w:eastAsiaTheme="minorEastAsia" w:hAnsiTheme="minorHAnsi" w:cstheme="minorBidi"/>
          <w:noProof/>
          <w:szCs w:val="22"/>
        </w:rPr>
      </w:pPr>
      <w:hyperlink w:anchor="_Toc147238762" w:history="1">
        <w:r w:rsidRPr="000659AD">
          <w:rPr>
            <w:rStyle w:val="Hyperlink"/>
            <w:noProof/>
          </w:rPr>
          <w:t xml:space="preserve">Table 18. </w:t>
        </w:r>
        <w:r w:rsidRPr="000659AD">
          <w:rPr>
            <w:rStyle w:val="Hyperlink"/>
            <w:rFonts w:eastAsia="Times New Roman"/>
            <w:noProof/>
          </w:rPr>
          <w:t xml:space="preserve">Costs of </w:t>
        </w:r>
        <w:r w:rsidRPr="000659AD">
          <w:rPr>
            <w:rStyle w:val="Hyperlink"/>
            <w:noProof/>
          </w:rPr>
          <w:t xml:space="preserve">Written Procedures for </w:t>
        </w:r>
        <w:r w:rsidRPr="000659AD">
          <w:rPr>
            <w:rStyle w:val="Hyperlink"/>
            <w:rFonts w:eastAsia="Times New Roman"/>
            <w:noProof/>
          </w:rPr>
          <w:t>Personnel Qualifications and Responsibilities</w:t>
        </w:r>
        <w:r w:rsidRPr="000659AD">
          <w:rPr>
            <w:noProof/>
            <w:webHidden/>
          </w:rPr>
          <w:tab/>
        </w:r>
        <w:r w:rsidRPr="000659AD">
          <w:rPr>
            <w:noProof/>
            <w:webHidden/>
          </w:rPr>
          <w:fldChar w:fldCharType="begin"/>
        </w:r>
        <w:r w:rsidRPr="000659AD">
          <w:rPr>
            <w:noProof/>
            <w:webHidden/>
          </w:rPr>
          <w:instrText xml:space="preserve"> PAGEREF _Toc147238762 \h </w:instrText>
        </w:r>
        <w:r w:rsidRPr="000659AD">
          <w:rPr>
            <w:noProof/>
            <w:webHidden/>
          </w:rPr>
          <w:fldChar w:fldCharType="separate"/>
        </w:r>
        <w:r w:rsidR="005F0CF0">
          <w:rPr>
            <w:noProof/>
            <w:webHidden/>
          </w:rPr>
          <w:t>31</w:t>
        </w:r>
        <w:r w:rsidRPr="000659AD">
          <w:rPr>
            <w:noProof/>
            <w:webHidden/>
          </w:rPr>
          <w:fldChar w:fldCharType="end"/>
        </w:r>
      </w:hyperlink>
    </w:p>
    <w:p w:rsidR="000659AD" w:rsidRPr="000659AD" w14:paraId="0794A248" w14:textId="26028FA7">
      <w:pPr>
        <w:pStyle w:val="TableofFigures"/>
        <w:tabs>
          <w:tab w:val="right" w:leader="dot" w:pos="9350"/>
        </w:tabs>
        <w:rPr>
          <w:rFonts w:asciiTheme="minorHAnsi" w:eastAsiaTheme="minorEastAsia" w:hAnsiTheme="minorHAnsi" w:cstheme="minorBidi"/>
          <w:noProof/>
          <w:szCs w:val="22"/>
        </w:rPr>
      </w:pPr>
      <w:hyperlink w:anchor="_Toc147238763" w:history="1">
        <w:r w:rsidRPr="000659AD">
          <w:rPr>
            <w:rStyle w:val="Hyperlink"/>
            <w:noProof/>
          </w:rPr>
          <w:t>Table 19. Costs from Documenting and Assessing Rejected Containers</w:t>
        </w:r>
        <w:r w:rsidRPr="000659AD">
          <w:rPr>
            <w:noProof/>
            <w:webHidden/>
          </w:rPr>
          <w:tab/>
        </w:r>
        <w:r w:rsidRPr="000659AD">
          <w:rPr>
            <w:noProof/>
            <w:webHidden/>
          </w:rPr>
          <w:fldChar w:fldCharType="begin"/>
        </w:r>
        <w:r w:rsidRPr="000659AD">
          <w:rPr>
            <w:noProof/>
            <w:webHidden/>
          </w:rPr>
          <w:instrText xml:space="preserve"> PAGEREF _Toc147238763 \h </w:instrText>
        </w:r>
        <w:r w:rsidRPr="000659AD">
          <w:rPr>
            <w:noProof/>
            <w:webHidden/>
          </w:rPr>
          <w:fldChar w:fldCharType="separate"/>
        </w:r>
        <w:r w:rsidR="005F0CF0">
          <w:rPr>
            <w:noProof/>
            <w:webHidden/>
          </w:rPr>
          <w:t>32</w:t>
        </w:r>
        <w:r w:rsidRPr="000659AD">
          <w:rPr>
            <w:noProof/>
            <w:webHidden/>
          </w:rPr>
          <w:fldChar w:fldCharType="end"/>
        </w:r>
      </w:hyperlink>
    </w:p>
    <w:p w:rsidR="000659AD" w:rsidRPr="000659AD" w14:paraId="6C22681D" w14:textId="1FC088D6">
      <w:pPr>
        <w:pStyle w:val="TableofFigures"/>
        <w:tabs>
          <w:tab w:val="right" w:leader="dot" w:pos="9350"/>
        </w:tabs>
        <w:rPr>
          <w:rFonts w:asciiTheme="minorHAnsi" w:eastAsiaTheme="minorEastAsia" w:hAnsiTheme="minorHAnsi" w:cstheme="minorBidi"/>
          <w:noProof/>
          <w:szCs w:val="22"/>
        </w:rPr>
      </w:pPr>
      <w:hyperlink w:anchor="_Toc147238764" w:history="1">
        <w:r w:rsidRPr="000659AD">
          <w:rPr>
            <w:rStyle w:val="Hyperlink"/>
            <w:noProof/>
          </w:rPr>
          <w:t>Table 20. Costs of Adding Working Gauges</w:t>
        </w:r>
        <w:r w:rsidRPr="000659AD">
          <w:rPr>
            <w:noProof/>
            <w:webHidden/>
          </w:rPr>
          <w:tab/>
        </w:r>
        <w:r w:rsidRPr="000659AD">
          <w:rPr>
            <w:noProof/>
            <w:webHidden/>
          </w:rPr>
          <w:fldChar w:fldCharType="begin"/>
        </w:r>
        <w:r w:rsidRPr="000659AD">
          <w:rPr>
            <w:noProof/>
            <w:webHidden/>
          </w:rPr>
          <w:instrText xml:space="preserve"> PAGEREF _Toc147238764 \h </w:instrText>
        </w:r>
        <w:r w:rsidRPr="000659AD">
          <w:rPr>
            <w:noProof/>
            <w:webHidden/>
          </w:rPr>
          <w:fldChar w:fldCharType="separate"/>
        </w:r>
        <w:r w:rsidR="005F0CF0">
          <w:rPr>
            <w:noProof/>
            <w:webHidden/>
          </w:rPr>
          <w:t>33</w:t>
        </w:r>
        <w:r w:rsidRPr="000659AD">
          <w:rPr>
            <w:noProof/>
            <w:webHidden/>
          </w:rPr>
          <w:fldChar w:fldCharType="end"/>
        </w:r>
      </w:hyperlink>
    </w:p>
    <w:p w:rsidR="000659AD" w:rsidRPr="000659AD" w14:paraId="7F011711" w14:textId="32603D8C">
      <w:pPr>
        <w:pStyle w:val="TableofFigures"/>
        <w:tabs>
          <w:tab w:val="right" w:leader="dot" w:pos="9350"/>
        </w:tabs>
        <w:rPr>
          <w:rFonts w:asciiTheme="minorHAnsi" w:eastAsiaTheme="minorEastAsia" w:hAnsiTheme="minorHAnsi" w:cstheme="minorBidi"/>
          <w:noProof/>
          <w:szCs w:val="22"/>
        </w:rPr>
      </w:pPr>
      <w:hyperlink w:anchor="_Toc147238765" w:history="1">
        <w:r w:rsidRPr="000659AD">
          <w:rPr>
            <w:rStyle w:val="Hyperlink"/>
            <w:noProof/>
          </w:rPr>
          <w:t>Table 21. Adverse Event Reports for Animals</w:t>
        </w:r>
        <w:r w:rsidRPr="000659AD">
          <w:rPr>
            <w:noProof/>
            <w:webHidden/>
          </w:rPr>
          <w:tab/>
        </w:r>
        <w:r w:rsidRPr="000659AD">
          <w:rPr>
            <w:noProof/>
            <w:webHidden/>
          </w:rPr>
          <w:fldChar w:fldCharType="begin"/>
        </w:r>
        <w:r w:rsidRPr="000659AD">
          <w:rPr>
            <w:noProof/>
            <w:webHidden/>
          </w:rPr>
          <w:instrText xml:space="preserve"> PAGEREF _Toc147238765 \h </w:instrText>
        </w:r>
        <w:r w:rsidRPr="000659AD">
          <w:rPr>
            <w:noProof/>
            <w:webHidden/>
          </w:rPr>
          <w:fldChar w:fldCharType="separate"/>
        </w:r>
        <w:r w:rsidR="005F0CF0">
          <w:rPr>
            <w:noProof/>
            <w:webHidden/>
          </w:rPr>
          <w:t>34</w:t>
        </w:r>
        <w:r w:rsidRPr="000659AD">
          <w:rPr>
            <w:noProof/>
            <w:webHidden/>
          </w:rPr>
          <w:fldChar w:fldCharType="end"/>
        </w:r>
      </w:hyperlink>
    </w:p>
    <w:p w:rsidR="000659AD" w:rsidRPr="000659AD" w14:paraId="67DEF52A" w14:textId="2EAA3234">
      <w:pPr>
        <w:pStyle w:val="TableofFigures"/>
        <w:tabs>
          <w:tab w:val="right" w:leader="dot" w:pos="9350"/>
        </w:tabs>
        <w:rPr>
          <w:rFonts w:asciiTheme="minorHAnsi" w:eastAsiaTheme="minorEastAsia" w:hAnsiTheme="minorHAnsi" w:cstheme="minorBidi"/>
          <w:noProof/>
          <w:szCs w:val="22"/>
        </w:rPr>
      </w:pPr>
      <w:hyperlink w:anchor="_Toc147238766" w:history="1">
        <w:r w:rsidRPr="000659AD">
          <w:rPr>
            <w:rStyle w:val="Hyperlink"/>
            <w:noProof/>
          </w:rPr>
          <w:t xml:space="preserve">Table 22. </w:t>
        </w:r>
        <w:r w:rsidRPr="000659AD">
          <w:rPr>
            <w:rStyle w:val="Hyperlink"/>
            <w:rFonts w:eastAsia="Times New Roman"/>
            <w:noProof/>
          </w:rPr>
          <w:t>Costs of Submitting Certification Requests</w:t>
        </w:r>
        <w:r w:rsidRPr="000659AD">
          <w:rPr>
            <w:noProof/>
            <w:webHidden/>
          </w:rPr>
          <w:tab/>
        </w:r>
        <w:r w:rsidRPr="000659AD">
          <w:rPr>
            <w:noProof/>
            <w:webHidden/>
          </w:rPr>
          <w:fldChar w:fldCharType="begin"/>
        </w:r>
        <w:r w:rsidRPr="000659AD">
          <w:rPr>
            <w:noProof/>
            <w:webHidden/>
          </w:rPr>
          <w:instrText xml:space="preserve"> PAGEREF _Toc147238766 \h </w:instrText>
        </w:r>
        <w:r w:rsidRPr="000659AD">
          <w:rPr>
            <w:noProof/>
            <w:webHidden/>
          </w:rPr>
          <w:fldChar w:fldCharType="separate"/>
        </w:r>
        <w:r w:rsidR="005F0CF0">
          <w:rPr>
            <w:noProof/>
            <w:webHidden/>
          </w:rPr>
          <w:t>34</w:t>
        </w:r>
        <w:r w:rsidRPr="000659AD">
          <w:rPr>
            <w:noProof/>
            <w:webHidden/>
          </w:rPr>
          <w:fldChar w:fldCharType="end"/>
        </w:r>
      </w:hyperlink>
    </w:p>
    <w:p w:rsidR="000659AD" w:rsidRPr="000659AD" w14:paraId="6F702E30" w14:textId="50DE878B">
      <w:pPr>
        <w:pStyle w:val="TableofFigures"/>
        <w:tabs>
          <w:tab w:val="right" w:leader="dot" w:pos="9350"/>
        </w:tabs>
        <w:rPr>
          <w:rFonts w:asciiTheme="minorHAnsi" w:eastAsiaTheme="minorEastAsia" w:hAnsiTheme="minorHAnsi" w:cstheme="minorBidi"/>
          <w:noProof/>
          <w:szCs w:val="22"/>
        </w:rPr>
      </w:pPr>
      <w:hyperlink w:anchor="_Toc147238767" w:history="1">
        <w:r w:rsidRPr="000659AD">
          <w:rPr>
            <w:rStyle w:val="Hyperlink"/>
            <w:noProof/>
          </w:rPr>
          <w:t>Table 23. Cost of Creating Certification Request Form</w:t>
        </w:r>
        <w:r w:rsidRPr="000659AD">
          <w:rPr>
            <w:noProof/>
            <w:webHidden/>
          </w:rPr>
          <w:tab/>
        </w:r>
        <w:r w:rsidRPr="000659AD">
          <w:rPr>
            <w:noProof/>
            <w:webHidden/>
          </w:rPr>
          <w:fldChar w:fldCharType="begin"/>
        </w:r>
        <w:r w:rsidRPr="000659AD">
          <w:rPr>
            <w:noProof/>
            <w:webHidden/>
          </w:rPr>
          <w:instrText xml:space="preserve"> PAGEREF _Toc147238767 \h </w:instrText>
        </w:r>
        <w:r w:rsidRPr="000659AD">
          <w:rPr>
            <w:noProof/>
            <w:webHidden/>
          </w:rPr>
          <w:fldChar w:fldCharType="separate"/>
        </w:r>
        <w:r w:rsidR="005F0CF0">
          <w:rPr>
            <w:noProof/>
            <w:webHidden/>
          </w:rPr>
          <w:t>35</w:t>
        </w:r>
        <w:r w:rsidRPr="000659AD">
          <w:rPr>
            <w:noProof/>
            <w:webHidden/>
          </w:rPr>
          <w:fldChar w:fldCharType="end"/>
        </w:r>
      </w:hyperlink>
    </w:p>
    <w:p w:rsidR="000659AD" w:rsidRPr="000659AD" w14:paraId="3DA8D0CA" w14:textId="0D2C98A9">
      <w:pPr>
        <w:pStyle w:val="TableofFigures"/>
        <w:tabs>
          <w:tab w:val="right" w:leader="dot" w:pos="9350"/>
        </w:tabs>
        <w:rPr>
          <w:rFonts w:asciiTheme="minorHAnsi" w:eastAsiaTheme="minorEastAsia" w:hAnsiTheme="minorHAnsi" w:cstheme="minorBidi"/>
          <w:noProof/>
          <w:szCs w:val="22"/>
        </w:rPr>
      </w:pPr>
      <w:hyperlink w:anchor="_Toc147238768" w:history="1">
        <w:r w:rsidRPr="000659AD">
          <w:rPr>
            <w:rStyle w:val="Hyperlink"/>
            <w:noProof/>
          </w:rPr>
          <w:t>Table 24. Cost of Submitting Annual Reports</w:t>
        </w:r>
        <w:r w:rsidRPr="000659AD">
          <w:rPr>
            <w:noProof/>
            <w:webHidden/>
          </w:rPr>
          <w:tab/>
        </w:r>
        <w:r w:rsidRPr="000659AD">
          <w:rPr>
            <w:noProof/>
            <w:webHidden/>
          </w:rPr>
          <w:fldChar w:fldCharType="begin"/>
        </w:r>
        <w:r w:rsidRPr="000659AD">
          <w:rPr>
            <w:noProof/>
            <w:webHidden/>
          </w:rPr>
          <w:instrText xml:space="preserve"> PAGEREF _Toc147238768 \h </w:instrText>
        </w:r>
        <w:r w:rsidRPr="000659AD">
          <w:rPr>
            <w:noProof/>
            <w:webHidden/>
          </w:rPr>
          <w:fldChar w:fldCharType="separate"/>
        </w:r>
        <w:r w:rsidR="005F0CF0">
          <w:rPr>
            <w:noProof/>
            <w:webHidden/>
          </w:rPr>
          <w:t>36</w:t>
        </w:r>
        <w:r w:rsidRPr="000659AD">
          <w:rPr>
            <w:noProof/>
            <w:webHidden/>
          </w:rPr>
          <w:fldChar w:fldCharType="end"/>
        </w:r>
      </w:hyperlink>
    </w:p>
    <w:p w:rsidR="000659AD" w:rsidRPr="000659AD" w14:paraId="105E97D9" w14:textId="23CD780E">
      <w:pPr>
        <w:pStyle w:val="TableofFigures"/>
        <w:tabs>
          <w:tab w:val="right" w:leader="dot" w:pos="9350"/>
        </w:tabs>
        <w:rPr>
          <w:rFonts w:asciiTheme="minorHAnsi" w:eastAsiaTheme="minorEastAsia" w:hAnsiTheme="minorHAnsi" w:cstheme="minorBidi"/>
          <w:noProof/>
          <w:szCs w:val="22"/>
        </w:rPr>
      </w:pPr>
      <w:hyperlink w:anchor="_Toc147238769" w:history="1">
        <w:r w:rsidRPr="000659AD">
          <w:rPr>
            <w:rStyle w:val="Hyperlink"/>
            <w:noProof/>
          </w:rPr>
          <w:t>Table 25. Cost of Creating Annual Report for Granting Certification Form</w:t>
        </w:r>
        <w:r w:rsidRPr="000659AD">
          <w:rPr>
            <w:noProof/>
            <w:webHidden/>
          </w:rPr>
          <w:tab/>
        </w:r>
        <w:r w:rsidRPr="000659AD">
          <w:rPr>
            <w:noProof/>
            <w:webHidden/>
          </w:rPr>
          <w:fldChar w:fldCharType="begin"/>
        </w:r>
        <w:r w:rsidRPr="000659AD">
          <w:rPr>
            <w:noProof/>
            <w:webHidden/>
          </w:rPr>
          <w:instrText xml:space="preserve"> PAGEREF _Toc147238769 \h </w:instrText>
        </w:r>
        <w:r w:rsidRPr="000659AD">
          <w:rPr>
            <w:noProof/>
            <w:webHidden/>
          </w:rPr>
          <w:fldChar w:fldCharType="separate"/>
        </w:r>
        <w:r w:rsidR="005F0CF0">
          <w:rPr>
            <w:noProof/>
            <w:webHidden/>
          </w:rPr>
          <w:t>36</w:t>
        </w:r>
        <w:r w:rsidRPr="000659AD">
          <w:rPr>
            <w:noProof/>
            <w:webHidden/>
          </w:rPr>
          <w:fldChar w:fldCharType="end"/>
        </w:r>
      </w:hyperlink>
    </w:p>
    <w:p w:rsidR="000659AD" w:rsidRPr="000659AD" w14:paraId="17F417BB" w14:textId="6B59D8CC">
      <w:pPr>
        <w:pStyle w:val="TableofFigures"/>
        <w:tabs>
          <w:tab w:val="right" w:leader="dot" w:pos="9350"/>
        </w:tabs>
        <w:rPr>
          <w:rFonts w:asciiTheme="minorHAnsi" w:eastAsiaTheme="minorEastAsia" w:hAnsiTheme="minorHAnsi" w:cstheme="minorBidi"/>
          <w:noProof/>
          <w:szCs w:val="22"/>
        </w:rPr>
      </w:pPr>
      <w:hyperlink w:anchor="_Toc147238770" w:history="1">
        <w:r w:rsidRPr="000659AD">
          <w:rPr>
            <w:rStyle w:val="Hyperlink"/>
            <w:noProof/>
          </w:rPr>
          <w:t>Table 26. Summary of Quantitative Costs (in $ Millions)</w:t>
        </w:r>
        <w:r w:rsidRPr="000659AD">
          <w:rPr>
            <w:noProof/>
            <w:webHidden/>
          </w:rPr>
          <w:tab/>
        </w:r>
        <w:r w:rsidRPr="000659AD">
          <w:rPr>
            <w:noProof/>
            <w:webHidden/>
          </w:rPr>
          <w:fldChar w:fldCharType="begin"/>
        </w:r>
        <w:r w:rsidRPr="000659AD">
          <w:rPr>
            <w:noProof/>
            <w:webHidden/>
          </w:rPr>
          <w:instrText xml:space="preserve"> PAGEREF _Toc147238770 \h </w:instrText>
        </w:r>
        <w:r w:rsidRPr="000659AD">
          <w:rPr>
            <w:noProof/>
            <w:webHidden/>
          </w:rPr>
          <w:fldChar w:fldCharType="separate"/>
        </w:r>
        <w:r w:rsidR="005F0CF0">
          <w:rPr>
            <w:noProof/>
            <w:webHidden/>
          </w:rPr>
          <w:t>37</w:t>
        </w:r>
        <w:r w:rsidRPr="000659AD">
          <w:rPr>
            <w:noProof/>
            <w:webHidden/>
          </w:rPr>
          <w:fldChar w:fldCharType="end"/>
        </w:r>
      </w:hyperlink>
    </w:p>
    <w:p w:rsidR="000659AD" w:rsidRPr="000659AD" w14:paraId="0A3F27BF" w14:textId="0B261CB0">
      <w:pPr>
        <w:pStyle w:val="TableofFigures"/>
        <w:tabs>
          <w:tab w:val="right" w:leader="dot" w:pos="9350"/>
        </w:tabs>
        <w:rPr>
          <w:rFonts w:asciiTheme="minorHAnsi" w:eastAsiaTheme="minorEastAsia" w:hAnsiTheme="minorHAnsi" w:cstheme="minorBidi"/>
          <w:noProof/>
          <w:szCs w:val="22"/>
        </w:rPr>
      </w:pPr>
      <w:hyperlink w:anchor="_Toc147238771" w:history="1">
        <w:r w:rsidRPr="000659AD">
          <w:rPr>
            <w:rStyle w:val="Hyperlink"/>
            <w:noProof/>
          </w:rPr>
          <w:t>Table 27. Summary of Costs and Benefits (in $ Millions)</w:t>
        </w:r>
        <w:r w:rsidRPr="000659AD">
          <w:rPr>
            <w:noProof/>
            <w:webHidden/>
          </w:rPr>
          <w:tab/>
        </w:r>
        <w:r w:rsidRPr="000659AD">
          <w:rPr>
            <w:noProof/>
            <w:webHidden/>
          </w:rPr>
          <w:fldChar w:fldCharType="begin"/>
        </w:r>
        <w:r w:rsidRPr="000659AD">
          <w:rPr>
            <w:noProof/>
            <w:webHidden/>
          </w:rPr>
          <w:instrText xml:space="preserve"> PAGEREF _Toc147238771 \h </w:instrText>
        </w:r>
        <w:r w:rsidRPr="000659AD">
          <w:rPr>
            <w:noProof/>
            <w:webHidden/>
          </w:rPr>
          <w:fldChar w:fldCharType="separate"/>
        </w:r>
        <w:r w:rsidR="005F0CF0">
          <w:rPr>
            <w:noProof/>
            <w:webHidden/>
          </w:rPr>
          <w:t>38</w:t>
        </w:r>
        <w:r w:rsidRPr="000659AD">
          <w:rPr>
            <w:noProof/>
            <w:webHidden/>
          </w:rPr>
          <w:fldChar w:fldCharType="end"/>
        </w:r>
      </w:hyperlink>
    </w:p>
    <w:p w:rsidR="000659AD" w:rsidRPr="000659AD" w14:paraId="33E47074" w14:textId="32462F36">
      <w:pPr>
        <w:pStyle w:val="TableofFigures"/>
        <w:tabs>
          <w:tab w:val="right" w:leader="dot" w:pos="9350"/>
        </w:tabs>
        <w:rPr>
          <w:rFonts w:asciiTheme="minorHAnsi" w:eastAsiaTheme="minorEastAsia" w:hAnsiTheme="minorHAnsi" w:cstheme="minorBidi"/>
          <w:noProof/>
          <w:szCs w:val="22"/>
        </w:rPr>
      </w:pPr>
      <w:hyperlink w:anchor="_Toc147238772" w:history="1">
        <w:r w:rsidRPr="000659AD">
          <w:rPr>
            <w:rStyle w:val="Hyperlink"/>
            <w:noProof/>
          </w:rPr>
          <w:t>Table 28. Monte Carlo Simulation Costs (in $ Millions)</w:t>
        </w:r>
        <w:r w:rsidRPr="000659AD">
          <w:rPr>
            <w:noProof/>
            <w:webHidden/>
          </w:rPr>
          <w:tab/>
        </w:r>
        <w:r w:rsidRPr="000659AD">
          <w:rPr>
            <w:noProof/>
            <w:webHidden/>
          </w:rPr>
          <w:fldChar w:fldCharType="begin"/>
        </w:r>
        <w:r w:rsidRPr="000659AD">
          <w:rPr>
            <w:noProof/>
            <w:webHidden/>
          </w:rPr>
          <w:instrText xml:space="preserve"> PAGEREF _Toc147238772 \h </w:instrText>
        </w:r>
        <w:r w:rsidRPr="000659AD">
          <w:rPr>
            <w:noProof/>
            <w:webHidden/>
          </w:rPr>
          <w:fldChar w:fldCharType="separate"/>
        </w:r>
        <w:r w:rsidR="005F0CF0">
          <w:rPr>
            <w:noProof/>
            <w:webHidden/>
          </w:rPr>
          <w:t>39</w:t>
        </w:r>
        <w:r w:rsidRPr="000659AD">
          <w:rPr>
            <w:noProof/>
            <w:webHidden/>
          </w:rPr>
          <w:fldChar w:fldCharType="end"/>
        </w:r>
      </w:hyperlink>
    </w:p>
    <w:p w:rsidR="000659AD" w:rsidRPr="000659AD" w14:paraId="5DBAD01B" w14:textId="645944A5">
      <w:pPr>
        <w:pStyle w:val="TableofFigures"/>
        <w:tabs>
          <w:tab w:val="right" w:leader="dot" w:pos="9350"/>
        </w:tabs>
        <w:rPr>
          <w:rFonts w:asciiTheme="minorHAnsi" w:eastAsiaTheme="minorEastAsia" w:hAnsiTheme="minorHAnsi" w:cstheme="minorBidi"/>
          <w:noProof/>
          <w:szCs w:val="22"/>
        </w:rPr>
      </w:pPr>
      <w:hyperlink w:anchor="_Toc147238773" w:history="1">
        <w:r w:rsidRPr="000659AD">
          <w:rPr>
            <w:rStyle w:val="Hyperlink"/>
            <w:noProof/>
          </w:rPr>
          <w:t>Table 29. Monte Carlo Simulation Cost Saving (in $ Millions)</w:t>
        </w:r>
        <w:r w:rsidRPr="000659AD">
          <w:rPr>
            <w:noProof/>
            <w:webHidden/>
          </w:rPr>
          <w:tab/>
        </w:r>
        <w:r w:rsidRPr="000659AD">
          <w:rPr>
            <w:noProof/>
            <w:webHidden/>
          </w:rPr>
          <w:fldChar w:fldCharType="begin"/>
        </w:r>
        <w:r w:rsidRPr="000659AD">
          <w:rPr>
            <w:noProof/>
            <w:webHidden/>
          </w:rPr>
          <w:instrText xml:space="preserve"> PAGEREF _Toc147238773 \h </w:instrText>
        </w:r>
        <w:r w:rsidRPr="000659AD">
          <w:rPr>
            <w:noProof/>
            <w:webHidden/>
          </w:rPr>
          <w:fldChar w:fldCharType="separate"/>
        </w:r>
        <w:r w:rsidR="005F0CF0">
          <w:rPr>
            <w:noProof/>
            <w:webHidden/>
          </w:rPr>
          <w:t>40</w:t>
        </w:r>
        <w:r w:rsidRPr="000659AD">
          <w:rPr>
            <w:noProof/>
            <w:webHidden/>
          </w:rPr>
          <w:fldChar w:fldCharType="end"/>
        </w:r>
      </w:hyperlink>
    </w:p>
    <w:p w:rsidR="000659AD" w:rsidRPr="000659AD" w14:paraId="62CE7DF6" w14:textId="37F37690">
      <w:pPr>
        <w:pStyle w:val="TableofFigures"/>
        <w:tabs>
          <w:tab w:val="right" w:leader="dot" w:pos="9350"/>
        </w:tabs>
        <w:rPr>
          <w:rFonts w:asciiTheme="minorHAnsi" w:eastAsiaTheme="minorEastAsia" w:hAnsiTheme="minorHAnsi" w:cstheme="minorBidi"/>
          <w:noProof/>
          <w:szCs w:val="22"/>
        </w:rPr>
      </w:pPr>
      <w:hyperlink w:anchor="_Toc147238774" w:history="1">
        <w:r w:rsidRPr="000659AD">
          <w:rPr>
            <w:rStyle w:val="Hyperlink"/>
            <w:noProof/>
          </w:rPr>
          <w:t xml:space="preserve">Table 30. Cost Savings Under Alternative </w:t>
        </w:r>
        <w:r w:rsidR="00DB4BD1">
          <w:rPr>
            <w:rStyle w:val="Hyperlink"/>
            <w:noProof/>
          </w:rPr>
          <w:t>Effective</w:t>
        </w:r>
        <w:r w:rsidRPr="000659AD" w:rsidR="00DB4BD1">
          <w:rPr>
            <w:rStyle w:val="Hyperlink"/>
            <w:noProof/>
          </w:rPr>
          <w:t xml:space="preserve"> </w:t>
        </w:r>
        <w:r w:rsidRPr="000659AD">
          <w:rPr>
            <w:rStyle w:val="Hyperlink"/>
            <w:noProof/>
          </w:rPr>
          <w:t>Dates (in $ Millions)</w:t>
        </w:r>
        <w:r w:rsidRPr="000659AD">
          <w:rPr>
            <w:noProof/>
            <w:webHidden/>
          </w:rPr>
          <w:tab/>
        </w:r>
        <w:r w:rsidRPr="000659AD">
          <w:rPr>
            <w:noProof/>
            <w:webHidden/>
          </w:rPr>
          <w:fldChar w:fldCharType="begin"/>
        </w:r>
        <w:r w:rsidRPr="000659AD">
          <w:rPr>
            <w:noProof/>
            <w:webHidden/>
          </w:rPr>
          <w:instrText xml:space="preserve"> PAGEREF _Toc147238774 \h </w:instrText>
        </w:r>
        <w:r w:rsidRPr="000659AD">
          <w:rPr>
            <w:noProof/>
            <w:webHidden/>
          </w:rPr>
          <w:fldChar w:fldCharType="separate"/>
        </w:r>
        <w:r w:rsidR="005F0CF0">
          <w:rPr>
            <w:noProof/>
            <w:webHidden/>
          </w:rPr>
          <w:t>42</w:t>
        </w:r>
        <w:r w:rsidRPr="000659AD">
          <w:rPr>
            <w:noProof/>
            <w:webHidden/>
          </w:rPr>
          <w:fldChar w:fldCharType="end"/>
        </w:r>
      </w:hyperlink>
    </w:p>
    <w:p w:rsidR="000659AD" w:rsidRPr="000659AD" w14:paraId="26C344A0" w14:textId="121844BD">
      <w:pPr>
        <w:pStyle w:val="TableofFigures"/>
        <w:tabs>
          <w:tab w:val="right" w:leader="dot" w:pos="9350"/>
        </w:tabs>
        <w:rPr>
          <w:rFonts w:asciiTheme="minorHAnsi" w:eastAsiaTheme="minorEastAsia" w:hAnsiTheme="minorHAnsi" w:cstheme="minorBidi"/>
          <w:noProof/>
          <w:szCs w:val="22"/>
        </w:rPr>
      </w:pPr>
      <w:hyperlink w:anchor="_Toc147238775" w:history="1">
        <w:r w:rsidRPr="000659AD">
          <w:rPr>
            <w:rStyle w:val="Hyperlink"/>
            <w:noProof/>
          </w:rPr>
          <w:t xml:space="preserve">Table 31. Costs Under Alternative </w:t>
        </w:r>
        <w:r w:rsidR="00DB4BD1">
          <w:rPr>
            <w:rStyle w:val="Hyperlink"/>
            <w:noProof/>
          </w:rPr>
          <w:t>Effective</w:t>
        </w:r>
        <w:r w:rsidRPr="000659AD" w:rsidR="00DB4BD1">
          <w:rPr>
            <w:rStyle w:val="Hyperlink"/>
            <w:noProof/>
          </w:rPr>
          <w:t xml:space="preserve"> </w:t>
        </w:r>
        <w:r w:rsidRPr="000659AD">
          <w:rPr>
            <w:rStyle w:val="Hyperlink"/>
            <w:noProof/>
          </w:rPr>
          <w:t>Dates (in $ Millions)</w:t>
        </w:r>
        <w:r w:rsidRPr="000659AD">
          <w:rPr>
            <w:noProof/>
            <w:webHidden/>
          </w:rPr>
          <w:tab/>
        </w:r>
        <w:r w:rsidRPr="000659AD">
          <w:rPr>
            <w:noProof/>
            <w:webHidden/>
          </w:rPr>
          <w:fldChar w:fldCharType="begin"/>
        </w:r>
        <w:r w:rsidRPr="000659AD">
          <w:rPr>
            <w:noProof/>
            <w:webHidden/>
          </w:rPr>
          <w:instrText xml:space="preserve"> PAGEREF _Toc147238775 \h </w:instrText>
        </w:r>
        <w:r w:rsidRPr="000659AD">
          <w:rPr>
            <w:noProof/>
            <w:webHidden/>
          </w:rPr>
          <w:fldChar w:fldCharType="separate"/>
        </w:r>
        <w:r w:rsidR="005F0CF0">
          <w:rPr>
            <w:noProof/>
            <w:webHidden/>
          </w:rPr>
          <w:t>42</w:t>
        </w:r>
        <w:r w:rsidRPr="000659AD">
          <w:rPr>
            <w:noProof/>
            <w:webHidden/>
          </w:rPr>
          <w:fldChar w:fldCharType="end"/>
        </w:r>
      </w:hyperlink>
    </w:p>
    <w:p w:rsidR="000659AD" w:rsidRPr="000659AD" w14:paraId="2C2C6413" w14:textId="2BC03B95">
      <w:pPr>
        <w:pStyle w:val="TableofFigures"/>
        <w:tabs>
          <w:tab w:val="right" w:leader="dot" w:pos="9350"/>
        </w:tabs>
        <w:rPr>
          <w:rFonts w:asciiTheme="minorHAnsi" w:eastAsiaTheme="minorEastAsia" w:hAnsiTheme="minorHAnsi" w:cstheme="minorBidi"/>
          <w:noProof/>
          <w:szCs w:val="22"/>
        </w:rPr>
      </w:pPr>
      <w:hyperlink w:anchor="_Toc147238776" w:history="1">
        <w:r w:rsidRPr="000659AD">
          <w:rPr>
            <w:rStyle w:val="Hyperlink"/>
            <w:noProof/>
          </w:rPr>
          <w:t>Table 32.</w:t>
        </w:r>
        <w:r w:rsidRPr="000659AD">
          <w:rPr>
            <w:rStyle w:val="Hyperlink"/>
            <w:rFonts w:eastAsiaTheme="minorHAnsi"/>
            <w:noProof/>
          </w:rPr>
          <w:t xml:space="preserve"> Small Business Administration Size Standards for Industries Affected by the Final Rule</w:t>
        </w:r>
        <w:r w:rsidRPr="000659AD">
          <w:rPr>
            <w:noProof/>
            <w:webHidden/>
          </w:rPr>
          <w:tab/>
        </w:r>
        <w:r w:rsidRPr="000659AD">
          <w:rPr>
            <w:noProof/>
            <w:webHidden/>
          </w:rPr>
          <w:fldChar w:fldCharType="begin"/>
        </w:r>
        <w:r w:rsidRPr="000659AD">
          <w:rPr>
            <w:noProof/>
            <w:webHidden/>
          </w:rPr>
          <w:instrText xml:space="preserve"> PAGEREF _Toc147238776 \h </w:instrText>
        </w:r>
        <w:r w:rsidRPr="000659AD">
          <w:rPr>
            <w:noProof/>
            <w:webHidden/>
          </w:rPr>
          <w:fldChar w:fldCharType="separate"/>
        </w:r>
        <w:r w:rsidR="005F0CF0">
          <w:rPr>
            <w:noProof/>
            <w:webHidden/>
          </w:rPr>
          <w:t>44</w:t>
        </w:r>
        <w:r w:rsidRPr="000659AD">
          <w:rPr>
            <w:noProof/>
            <w:webHidden/>
          </w:rPr>
          <w:fldChar w:fldCharType="end"/>
        </w:r>
      </w:hyperlink>
    </w:p>
    <w:p w:rsidR="000659AD" w:rsidRPr="000659AD" w14:paraId="3E07FE5A" w14:textId="4FAB4CBA">
      <w:pPr>
        <w:pStyle w:val="TableofFigures"/>
        <w:tabs>
          <w:tab w:val="right" w:leader="dot" w:pos="9350"/>
        </w:tabs>
        <w:rPr>
          <w:rFonts w:asciiTheme="minorHAnsi" w:eastAsiaTheme="minorEastAsia" w:hAnsiTheme="minorHAnsi" w:cstheme="minorBidi"/>
          <w:noProof/>
          <w:szCs w:val="22"/>
        </w:rPr>
      </w:pPr>
      <w:hyperlink w:anchor="_Toc147238777" w:history="1">
        <w:r w:rsidRPr="000659AD">
          <w:rPr>
            <w:rStyle w:val="Hyperlink"/>
            <w:noProof/>
          </w:rPr>
          <w:t>Table 33. Costs Per Small Entity by Entity Type</w:t>
        </w:r>
        <w:r w:rsidRPr="000659AD">
          <w:rPr>
            <w:noProof/>
            <w:webHidden/>
          </w:rPr>
          <w:tab/>
        </w:r>
        <w:r w:rsidRPr="000659AD">
          <w:rPr>
            <w:noProof/>
            <w:webHidden/>
          </w:rPr>
          <w:fldChar w:fldCharType="begin"/>
        </w:r>
        <w:r w:rsidRPr="000659AD">
          <w:rPr>
            <w:noProof/>
            <w:webHidden/>
          </w:rPr>
          <w:instrText xml:space="preserve"> PAGEREF _Toc147238777 \h </w:instrText>
        </w:r>
        <w:r w:rsidRPr="000659AD">
          <w:rPr>
            <w:noProof/>
            <w:webHidden/>
          </w:rPr>
          <w:fldChar w:fldCharType="separate"/>
        </w:r>
        <w:r w:rsidR="005F0CF0">
          <w:rPr>
            <w:noProof/>
            <w:webHidden/>
          </w:rPr>
          <w:t>45</w:t>
        </w:r>
        <w:r w:rsidRPr="000659AD">
          <w:rPr>
            <w:noProof/>
            <w:webHidden/>
          </w:rPr>
          <w:fldChar w:fldCharType="end"/>
        </w:r>
      </w:hyperlink>
    </w:p>
    <w:p w:rsidR="000659AD" w:rsidRPr="000659AD" w14:paraId="53B5872E" w14:textId="3E64C249">
      <w:pPr>
        <w:pStyle w:val="TableofFigures"/>
        <w:tabs>
          <w:tab w:val="right" w:leader="dot" w:pos="9350"/>
        </w:tabs>
        <w:rPr>
          <w:rFonts w:asciiTheme="minorHAnsi" w:eastAsiaTheme="minorEastAsia" w:hAnsiTheme="minorHAnsi" w:cstheme="minorBidi"/>
          <w:noProof/>
          <w:szCs w:val="22"/>
        </w:rPr>
      </w:pPr>
      <w:hyperlink w:anchor="_Toc147238778" w:history="1">
        <w:r w:rsidRPr="000659AD">
          <w:rPr>
            <w:rStyle w:val="Hyperlink"/>
            <w:noProof/>
          </w:rPr>
          <w:t>Table 34. Percent of Single Year Highest Costs Relative to Annual Receipts for Compliant and Non-complaint Firms</w:t>
        </w:r>
        <w:r w:rsidRPr="000659AD">
          <w:rPr>
            <w:noProof/>
            <w:webHidden/>
          </w:rPr>
          <w:tab/>
        </w:r>
        <w:r w:rsidRPr="000659AD">
          <w:rPr>
            <w:noProof/>
            <w:webHidden/>
          </w:rPr>
          <w:fldChar w:fldCharType="begin"/>
        </w:r>
        <w:r w:rsidRPr="000659AD">
          <w:rPr>
            <w:noProof/>
            <w:webHidden/>
          </w:rPr>
          <w:instrText xml:space="preserve"> PAGEREF _Toc147238778 \h </w:instrText>
        </w:r>
        <w:r w:rsidRPr="000659AD">
          <w:rPr>
            <w:noProof/>
            <w:webHidden/>
          </w:rPr>
          <w:fldChar w:fldCharType="separate"/>
        </w:r>
        <w:r w:rsidR="005F0CF0">
          <w:rPr>
            <w:noProof/>
            <w:webHidden/>
          </w:rPr>
          <w:t>45</w:t>
        </w:r>
        <w:r w:rsidRPr="000659AD">
          <w:rPr>
            <w:noProof/>
            <w:webHidden/>
          </w:rPr>
          <w:fldChar w:fldCharType="end"/>
        </w:r>
      </w:hyperlink>
    </w:p>
    <w:p w:rsidR="002763E0" w:rsidRPr="003B7C3D" w14:paraId="6275A3F3" w14:textId="760FCA4C">
      <w:pPr>
        <w:spacing w:line="276" w:lineRule="auto"/>
        <w:rPr>
          <w:bCs/>
          <w:sz w:val="23"/>
          <w:szCs w:val="23"/>
        </w:rPr>
      </w:pPr>
      <w:r w:rsidRPr="00E15D08">
        <w:rPr>
          <w:bCs/>
          <w:sz w:val="23"/>
          <w:szCs w:val="23"/>
        </w:rPr>
        <w:fldChar w:fldCharType="end"/>
      </w:r>
    </w:p>
    <w:p w:rsidR="0035101C" w14:paraId="7F782516" w14:textId="77777777">
      <w:pPr>
        <w:spacing w:line="276" w:lineRule="auto"/>
        <w:rPr>
          <w:sz w:val="23"/>
          <w:szCs w:val="23"/>
        </w:rPr>
      </w:pPr>
    </w:p>
    <w:p w:rsidR="00304703" w14:paraId="2FA3FE01" w14:textId="4E93612E">
      <w:pPr>
        <w:spacing w:line="276" w:lineRule="auto"/>
        <w:rPr>
          <w:sz w:val="23"/>
          <w:szCs w:val="23"/>
        </w:rPr>
      </w:pPr>
    </w:p>
    <w:p w:rsidR="00DB3DC6" w14:paraId="07040046" w14:textId="577294DD">
      <w:pPr>
        <w:spacing w:line="276" w:lineRule="auto"/>
        <w:rPr>
          <w:sz w:val="23"/>
          <w:szCs w:val="23"/>
        </w:rPr>
      </w:pPr>
    </w:p>
    <w:p w:rsidR="00E32557" w14:paraId="61C5CCC2" w14:textId="21072E14">
      <w:pPr>
        <w:spacing w:line="276" w:lineRule="auto"/>
        <w:rPr>
          <w:sz w:val="23"/>
          <w:szCs w:val="23"/>
        </w:rPr>
      </w:pPr>
    </w:p>
    <w:p w:rsidR="00E32557" w14:paraId="2B7F8B82" w14:textId="77777777">
      <w:pPr>
        <w:spacing w:line="276" w:lineRule="auto"/>
        <w:rPr>
          <w:sz w:val="23"/>
          <w:szCs w:val="23"/>
        </w:rPr>
      </w:pPr>
    </w:p>
    <w:p w:rsidR="00E01968" w:rsidRPr="00F96ECF" w14:paraId="3FD06C9C" w14:textId="77777777">
      <w:pPr>
        <w:spacing w:line="276" w:lineRule="auto"/>
        <w:rPr>
          <w:sz w:val="23"/>
          <w:szCs w:val="23"/>
        </w:rPr>
      </w:pPr>
    </w:p>
    <w:p w:rsidR="00514711" w:rsidP="00006C8F" w14:paraId="0771F9E4" w14:textId="3A30E228">
      <w:pPr>
        <w:pStyle w:val="Heading1"/>
      </w:pPr>
      <w:bookmarkStart w:id="1" w:name="_Toc148515704"/>
      <w:r w:rsidRPr="00006C8F">
        <w:t>Introduction</w:t>
      </w:r>
      <w:r>
        <w:t xml:space="preserve"> and Summary</w:t>
      </w:r>
      <w:bookmarkEnd w:id="1"/>
    </w:p>
    <w:p w:rsidR="004B7F21" w:rsidRPr="004B7F21" w:rsidP="004B7F21" w14:paraId="4E6FA6C8" w14:textId="77777777"/>
    <w:p w:rsidR="00514711" w:rsidP="00006C8F" w14:paraId="3A8C631D" w14:textId="7C10D957">
      <w:pPr>
        <w:pStyle w:val="Heading2"/>
      </w:pPr>
      <w:bookmarkStart w:id="2" w:name="_Toc148515705"/>
      <w:r>
        <w:t>Introduction</w:t>
      </w:r>
      <w:bookmarkEnd w:id="2"/>
    </w:p>
    <w:p w:rsidR="00FE100C" w:rsidRPr="003A065D" w:rsidP="00382303" w14:paraId="1D73FBF4" w14:textId="77777777"/>
    <w:p w:rsidR="00996405" w:rsidP="000659AD" w14:paraId="58EBEB24" w14:textId="77777777">
      <w:pPr>
        <w:ind w:firstLine="720"/>
      </w:pPr>
      <w:bookmarkStart w:id="3" w:name="_Hlk137035962"/>
      <w:r w:rsidRPr="0073331E">
        <w:t xml:space="preserve">We have examined the impacts of the </w:t>
      </w:r>
      <w:r>
        <w:t>final</w:t>
      </w:r>
      <w:r w:rsidRPr="0073331E">
        <w:t xml:space="preserve"> rule under </w:t>
      </w:r>
      <w:r>
        <w:t>Executive Order 12866, Executive Order 13563, Executive Order 14094, the Regulatory Flexibility Act (5 U.S.C. 601-612), the Congressional Review Act/Small Business Regulatory Enforcement Fairness Act (5 U.S.C. 801, Pub. L. 104-121), and the Unfunded Mandates Reform Act of 1995 (Pub. L. 104-4)</w:t>
      </w:r>
      <w:r w:rsidRPr="0073331E">
        <w:t>.</w:t>
      </w:r>
    </w:p>
    <w:p w:rsidR="00996405" w:rsidP="000659AD" w14:paraId="6DA8BC56" w14:textId="4811B2A5">
      <w:pPr>
        <w:ind w:firstLine="720"/>
      </w:pPr>
      <w:r>
        <w:t xml:space="preserve">Executive Orders 12866, 13563, and 14094 direct us to assess all benefits, costs, and transfers of available regulatory alternatives and, when regulation is necessary, to select regulatory approaches that maximize net benefits (including potential economic, environmental, public health and safety, and other advantages; distributive impacts; and equity). Rules are </w:t>
      </w:r>
      <w:r w:rsidR="001A7A12">
        <w:t>“</w:t>
      </w:r>
      <w:r>
        <w:t>significant</w:t>
      </w:r>
      <w:r w:rsidR="001A7A12">
        <w:t>”</w:t>
      </w:r>
      <w:r>
        <w:t xml:space="preserve"> under Executive Order 12866 Section 3(f)(1) (as amended by Executive Order 14094) if they “have an annual effect on the economy of $200 million or more (adjusted every 3 years by the Administrator of </w:t>
      </w:r>
      <w:r w:rsidR="001A7A12">
        <w:t>[</w:t>
      </w:r>
      <w:r>
        <w:t xml:space="preserve">the Office of Information and Regulatory Affairs </w:t>
      </w:r>
      <w:r w:rsidR="001A7A12">
        <w:t>(</w:t>
      </w:r>
      <w:r>
        <w:t>OIRA</w:t>
      </w:r>
      <w:r w:rsidR="001A7A12">
        <w:t>)</w:t>
      </w:r>
      <w:r>
        <w:t xml:space="preserve">] for changes in gross domestic product); or adversely affect in a material way the economy, a sector of the economy, productivity, competition, jobs, the environment, public health or safety, or State, local, territorial, or tribal governments or communities.” OIRA has determined that this final rule is not a significant regulatory action under </w:t>
      </w:r>
      <w:r w:rsidRPr="00FE7306" w:rsidR="005A1A6B">
        <w:t>Executive Order 12866</w:t>
      </w:r>
      <w:r w:rsidR="005A1A6B">
        <w:t xml:space="preserve"> </w:t>
      </w:r>
      <w:r>
        <w:t>Section 3(f)(1).</w:t>
      </w:r>
    </w:p>
    <w:p w:rsidR="00996405" w:rsidP="00A06760" w14:paraId="266DE5B1" w14:textId="1635B2F8">
      <w:pPr>
        <w:ind w:firstLine="720"/>
      </w:pPr>
      <w:r>
        <w:rPr>
          <w:rStyle w:val="normaltextrun"/>
          <w:color w:val="000000"/>
          <w:shd w:val="clear" w:color="auto" w:fill="FFFFFF"/>
        </w:rPr>
        <w:t>Because this rule is not likely to result in an annual effect on the economy of $100 million or more or meets other criteria specified in the Congressional Review Act/Small Business Regulatory Enforcement Fairness Act, OIRA has determined that this rule does not fall within the scope of 5 U.S.C. 804(2).</w:t>
      </w:r>
      <w:r>
        <w:t xml:space="preserve"> </w:t>
      </w:r>
    </w:p>
    <w:p w:rsidR="0092168B" w:rsidRPr="0092168B" w:rsidP="0092168B" w14:paraId="43D82F7F" w14:textId="2F25AE72">
      <w:pPr>
        <w:ind w:firstLine="720"/>
      </w:pPr>
      <w:r w:rsidRPr="0092168B">
        <w:t>The Regulatory Flexibility Act requires us to analyze regulatory options that would minimize any significant impact of a rule on small entities. Because this</w:t>
      </w:r>
      <w:r w:rsidR="004C3C70">
        <w:t xml:space="preserve"> </w:t>
      </w:r>
      <w:r w:rsidR="00627A01">
        <w:t>final</w:t>
      </w:r>
      <w:r w:rsidRPr="0092168B">
        <w:t xml:space="preserve"> rule </w:t>
      </w:r>
      <w:r w:rsidR="00737037">
        <w:t>will</w:t>
      </w:r>
      <w:r w:rsidR="004C3C70">
        <w:t xml:space="preserve"> </w:t>
      </w:r>
      <w:r w:rsidRPr="0092168B">
        <w:t xml:space="preserve">better tailor the current good manufacturing practice </w:t>
      </w:r>
      <w:r w:rsidR="007728D6">
        <w:t xml:space="preserve">requirements </w:t>
      </w:r>
      <w:r w:rsidRPr="0092168B">
        <w:t>for medical gases</w:t>
      </w:r>
      <w:r w:rsidR="00C21502">
        <w:t xml:space="preserve"> and medically appropriate combinations of such gases</w:t>
      </w:r>
      <w:r w:rsidRPr="0092168B">
        <w:t xml:space="preserve"> and creates small net cost</w:t>
      </w:r>
      <w:r w:rsidR="00B227E9">
        <w:t xml:space="preserve"> savings</w:t>
      </w:r>
      <w:r w:rsidRPr="0092168B">
        <w:t xml:space="preserve"> for small entities, we certify that the </w:t>
      </w:r>
      <w:r w:rsidR="00395075">
        <w:t>final</w:t>
      </w:r>
      <w:r w:rsidRPr="0092168B">
        <w:t xml:space="preserve"> rule will not have a significant economic impact on a substantial number of small entities. </w:t>
      </w:r>
    </w:p>
    <w:p w:rsidR="0092168B" w:rsidRPr="0092168B" w:rsidP="0092168B" w14:paraId="57A2E132" w14:textId="37025FAF">
      <w:pPr>
        <w:ind w:firstLine="720"/>
      </w:pPr>
      <w:r w:rsidRPr="0092168B">
        <w:t xml:space="preserve">The Unfunded Mandates Reform Act of 1995 (section 202(a)) requires us to prepare a written statement, which includes </w:t>
      </w:r>
      <w:r w:rsidR="001A7A12">
        <w:rPr>
          <w:rStyle w:val="normaltextrun"/>
          <w:color w:val="000000"/>
          <w:shd w:val="clear" w:color="auto" w:fill="FFFFFF"/>
        </w:rPr>
        <w:t>estimates of anticipated impacts, before issuing</w:t>
      </w:r>
      <w:r w:rsidRPr="0092168B">
        <w:t xml:space="preserve"> “any rule that includes any Federal mandate that may result in the expenditure by State, local, and tribal governments, in the aggregate, or by the private sector, of $100,000,000 or more (adjusted annually for inflation) in any one year.” The </w:t>
      </w:r>
      <w:r w:rsidR="001A7A12">
        <w:t>2022</w:t>
      </w:r>
      <w:r w:rsidRPr="0092168B" w:rsidR="001A7A12">
        <w:t xml:space="preserve"> </w:t>
      </w:r>
      <w:r w:rsidRPr="0092168B">
        <w:t>threshold after adjustment for inflation is $1</w:t>
      </w:r>
      <w:r w:rsidR="00552FAF">
        <w:t>77</w:t>
      </w:r>
      <w:r w:rsidRPr="0092168B">
        <w:t xml:space="preserve"> million, using the (20</w:t>
      </w:r>
      <w:r w:rsidR="00D743E9">
        <w:t>2</w:t>
      </w:r>
      <w:r w:rsidR="00552FAF">
        <w:t>2</w:t>
      </w:r>
      <w:r w:rsidRPr="0092168B">
        <w:t xml:space="preserve">) Implicit Price Deflator for the Gross Domestic Product. This </w:t>
      </w:r>
      <w:r w:rsidR="00395075">
        <w:t>final</w:t>
      </w:r>
      <w:r w:rsidRPr="0092168B">
        <w:t xml:space="preserve"> rule w</w:t>
      </w:r>
      <w:r w:rsidR="001A7A12">
        <w:t>ill</w:t>
      </w:r>
      <w:r w:rsidRPr="0092168B">
        <w:t xml:space="preserve"> not result in an expenditure in any year that meets or exceeds this amount.</w:t>
      </w:r>
    </w:p>
    <w:p w:rsidR="00B41AA3" w:rsidP="00006C8F" w14:paraId="6D5080A7" w14:textId="77777777">
      <w:pPr>
        <w:ind w:firstLine="720"/>
      </w:pPr>
    </w:p>
    <w:p w:rsidR="00006C8F" w:rsidP="00006C8F" w14:paraId="39BA3650" w14:textId="6A3744CC">
      <w:pPr>
        <w:pStyle w:val="Heading2"/>
      </w:pPr>
      <w:bookmarkStart w:id="4" w:name="_Toc148515706"/>
      <w:r>
        <w:t>Summary of Costs and Benefits</w:t>
      </w:r>
      <w:bookmarkEnd w:id="4"/>
    </w:p>
    <w:p w:rsidR="009E17AA" w:rsidP="00085505" w14:paraId="7FD478B4" w14:textId="77777777">
      <w:pPr>
        <w:ind w:firstLine="720"/>
      </w:pPr>
    </w:p>
    <w:p w:rsidR="00006C8F" w:rsidP="00085505" w14:paraId="37C26159" w14:textId="0AFB0E41">
      <w:pPr>
        <w:ind w:firstLine="720"/>
      </w:pPr>
      <w:r>
        <w:t>This</w:t>
      </w:r>
      <w:r w:rsidR="00395075">
        <w:t xml:space="preserve"> final</w:t>
      </w:r>
      <w:r>
        <w:t xml:space="preserve"> rule </w:t>
      </w:r>
      <w:r w:rsidR="00085505">
        <w:t>establish</w:t>
      </w:r>
      <w:r w:rsidR="001777E5">
        <w:t>es</w:t>
      </w:r>
      <w:r w:rsidR="00085505">
        <w:t xml:space="preserve">, within </w:t>
      </w:r>
      <w:r w:rsidR="0057174C">
        <w:t>21</w:t>
      </w:r>
      <w:r w:rsidR="005A5F9D">
        <w:t xml:space="preserve"> Code of Federal Regulations</w:t>
      </w:r>
      <w:r w:rsidR="0057174C">
        <w:t xml:space="preserve"> </w:t>
      </w:r>
      <w:r w:rsidR="005A5F9D">
        <w:t>(</w:t>
      </w:r>
      <w:r w:rsidR="0057174C">
        <w:t>CFR</w:t>
      </w:r>
      <w:r w:rsidR="005A5F9D">
        <w:t>)</w:t>
      </w:r>
      <w:r w:rsidR="0057174C">
        <w:t xml:space="preserve"> </w:t>
      </w:r>
      <w:r w:rsidR="00F50007">
        <w:t>P</w:t>
      </w:r>
      <w:r w:rsidR="00085505">
        <w:t>art 213, current good manufacturing practice (CGMP) regulations specific to medical gas</w:t>
      </w:r>
      <w:r w:rsidR="008B7619">
        <w:t>es</w:t>
      </w:r>
      <w:r w:rsidR="00B7603A">
        <w:t>.</w:t>
      </w:r>
      <w:r w:rsidR="00085505">
        <w:t xml:space="preserve"> These regulations include many of the same categories of requirements as the </w:t>
      </w:r>
      <w:r w:rsidR="008B7619">
        <w:t xml:space="preserve">general </w:t>
      </w:r>
      <w:r w:rsidR="00085505">
        <w:t xml:space="preserve">drug </w:t>
      </w:r>
      <w:r w:rsidR="008B7619">
        <w:t xml:space="preserve">product </w:t>
      </w:r>
      <w:r w:rsidR="00085505">
        <w:t xml:space="preserve">CGMP regulations but are tailored to reflect differences in how </w:t>
      </w:r>
      <w:r w:rsidR="003C3EC0">
        <w:t>medical gases</w:t>
      </w:r>
      <w:r w:rsidR="00502E31">
        <w:t xml:space="preserve"> </w:t>
      </w:r>
      <w:r w:rsidR="00085505">
        <w:t>are manufactured, packaged, labeled, stored, and distributed. This rule make</w:t>
      </w:r>
      <w:r w:rsidR="001777E5">
        <w:t>s</w:t>
      </w:r>
      <w:r w:rsidR="00085505">
        <w:t xml:space="preserve"> </w:t>
      </w:r>
      <w:r w:rsidR="00CF490C">
        <w:t xml:space="preserve">limited </w:t>
      </w:r>
      <w:r w:rsidR="00085505">
        <w:t xml:space="preserve">changes to the labeling </w:t>
      </w:r>
      <w:r w:rsidR="00D86363">
        <w:t>requirements</w:t>
      </w:r>
      <w:r w:rsidR="00085505">
        <w:t xml:space="preserve"> </w:t>
      </w:r>
      <w:r w:rsidR="00D86363">
        <w:t xml:space="preserve">of </w:t>
      </w:r>
      <w:r w:rsidR="001777E5">
        <w:t>p</w:t>
      </w:r>
      <w:r w:rsidR="00D86363">
        <w:t>art 201 including requiring</w:t>
      </w:r>
      <w:r w:rsidR="009F44FD">
        <w:t xml:space="preserve"> </w:t>
      </w:r>
      <w:r w:rsidR="67B3218F">
        <w:t xml:space="preserve">that a </w:t>
      </w:r>
      <w:r w:rsidR="00D86363">
        <w:t>“no smoking”</w:t>
      </w:r>
      <w:r w:rsidR="003543B3">
        <w:t xml:space="preserve"> statement</w:t>
      </w:r>
      <w:r w:rsidR="00395C1E">
        <w:t>, a “no vaping” statement,</w:t>
      </w:r>
      <w:r w:rsidR="00D86363">
        <w:t xml:space="preserve"> </w:t>
      </w:r>
      <w:r w:rsidR="003543B3">
        <w:t xml:space="preserve">and graphic warning symbol </w:t>
      </w:r>
      <w:r w:rsidR="00D86363">
        <w:t>be added to oxygen containers to reduce the risk of fire. This rule codif</w:t>
      </w:r>
      <w:r w:rsidR="001777E5">
        <w:t>ies</w:t>
      </w:r>
      <w:r w:rsidR="00D86363">
        <w:t xml:space="preserve"> and clarif</w:t>
      </w:r>
      <w:r w:rsidR="001777E5">
        <w:t>ies</w:t>
      </w:r>
      <w:r w:rsidR="00D86363">
        <w:t xml:space="preserve"> the process for obtaining a certification to </w:t>
      </w:r>
      <w:r w:rsidR="008B7619">
        <w:t>market</w:t>
      </w:r>
      <w:r w:rsidR="00D86363">
        <w:t xml:space="preserve"> </w:t>
      </w:r>
      <w:r w:rsidR="00A74BA4">
        <w:t>designated medical gases (</w:t>
      </w:r>
      <w:r w:rsidR="00D86363">
        <w:t>DMGs</w:t>
      </w:r>
      <w:r w:rsidR="00A74BA4">
        <w:t>)</w:t>
      </w:r>
      <w:r w:rsidR="00D86363">
        <w:t xml:space="preserve">. </w:t>
      </w:r>
      <w:r w:rsidR="00CF490C">
        <w:t>Recommendations for how to request a c</w:t>
      </w:r>
      <w:r w:rsidR="00D86363">
        <w:t xml:space="preserve">ertification for DMGs are currently </w:t>
      </w:r>
      <w:r w:rsidR="00CF490C">
        <w:t xml:space="preserve">included </w:t>
      </w:r>
      <w:r w:rsidR="34DB4EE3">
        <w:t xml:space="preserve">in </w:t>
      </w:r>
      <w:r w:rsidR="00D86363">
        <w:t xml:space="preserve">a </w:t>
      </w:r>
      <w:r w:rsidR="2F5F7C29">
        <w:t xml:space="preserve">draft </w:t>
      </w:r>
      <w:r w:rsidR="00D86363">
        <w:t>guidance. This rule</w:t>
      </w:r>
      <w:r w:rsidR="00070D72">
        <w:t xml:space="preserve"> </w:t>
      </w:r>
      <w:r w:rsidR="00D86363">
        <w:t>make</w:t>
      </w:r>
      <w:r w:rsidR="001777E5">
        <w:t>s</w:t>
      </w:r>
      <w:r w:rsidR="00D86363">
        <w:t xml:space="preserve"> changes to postmarketing safety </w:t>
      </w:r>
      <w:r w:rsidRPr="0092472E" w:rsidR="00011001">
        <w:t xml:space="preserve">reporting regulations for </w:t>
      </w:r>
      <w:r w:rsidR="003576E5">
        <w:t>DMGs</w:t>
      </w:r>
      <w:r w:rsidRPr="0092472E" w:rsidR="00011001">
        <w:t xml:space="preserve"> that address human and animal use and </w:t>
      </w:r>
      <w:r w:rsidR="00411866">
        <w:t xml:space="preserve">more specifically </w:t>
      </w:r>
      <w:r w:rsidRPr="0092472E" w:rsidR="00011001">
        <w:t xml:space="preserve">reflect the development, manufacturing, and distribution of </w:t>
      </w:r>
      <w:r w:rsidR="003576E5">
        <w:t>DMGs</w:t>
      </w:r>
      <w:r w:rsidRPr="0092472E" w:rsidR="00011001">
        <w:t>.</w:t>
      </w:r>
    </w:p>
    <w:p w:rsidR="003D5D3A" w:rsidP="00085505" w14:paraId="5D892006" w14:textId="7BCF2319">
      <w:pPr>
        <w:ind w:firstLine="720"/>
      </w:pPr>
      <w:r>
        <w:t xml:space="preserve">The costs </w:t>
      </w:r>
      <w:r w:rsidR="001C508A">
        <w:t xml:space="preserve">of this </w:t>
      </w:r>
      <w:r w:rsidR="00395075">
        <w:t>final</w:t>
      </w:r>
      <w:r w:rsidR="001C508A">
        <w:t xml:space="preserve"> rule </w:t>
      </w:r>
      <w:r w:rsidR="001777E5">
        <w:t>are</w:t>
      </w:r>
      <w:r>
        <w:t xml:space="preserve"> primarily driven by</w:t>
      </w:r>
      <w:r w:rsidR="002D28FC">
        <w:t xml:space="preserve"> </w:t>
      </w:r>
      <w:r w:rsidR="00164EEE">
        <w:t xml:space="preserve">new labeling </w:t>
      </w:r>
      <w:r w:rsidR="00510AB9">
        <w:t>requirements, clarification</w:t>
      </w:r>
      <w:r w:rsidR="00164EEE">
        <w:t xml:space="preserve"> leading to firms becoming compliant with existing requirements, and added CGMP requirements including a requirement for portable cryogenic container</w:t>
      </w:r>
      <w:r w:rsidR="001922D8">
        <w:t>s</w:t>
      </w:r>
      <w:r w:rsidR="00164EEE">
        <w:t xml:space="preserve"> to have a working gauge.</w:t>
      </w:r>
    </w:p>
    <w:p w:rsidR="002C1752" w:rsidP="002C1752" w14:paraId="02CC28EF" w14:textId="275DA8CA">
      <w:pPr>
        <w:ind w:firstLine="720"/>
      </w:pPr>
      <w:r>
        <w:t xml:space="preserve">The </w:t>
      </w:r>
      <w:r w:rsidR="002F59DA">
        <w:t xml:space="preserve">cost </w:t>
      </w:r>
      <w:r w:rsidR="00070D72">
        <w:t xml:space="preserve">savings </w:t>
      </w:r>
      <w:r w:rsidR="004F2A08">
        <w:t xml:space="preserve">of this </w:t>
      </w:r>
      <w:r w:rsidR="00395075">
        <w:t>final</w:t>
      </w:r>
      <w:r w:rsidR="004F2A08">
        <w:t xml:space="preserve"> rule </w:t>
      </w:r>
      <w:r w:rsidR="001777E5">
        <w:t>are</w:t>
      </w:r>
      <w:r>
        <w:t xml:space="preserve"> primarily d</w:t>
      </w:r>
      <w:r w:rsidR="006B1E22">
        <w:t xml:space="preserve">riven </w:t>
      </w:r>
      <w:r w:rsidR="002F59DA">
        <w:t>by removing or relaxing CGMP</w:t>
      </w:r>
      <w:r w:rsidR="000B4DF7">
        <w:t xml:space="preserve"> requirement</w:t>
      </w:r>
      <w:r w:rsidR="00650FED">
        <w:t>s</w:t>
      </w:r>
      <w:r w:rsidR="002F59DA">
        <w:t xml:space="preserve"> that do not apply to </w:t>
      </w:r>
      <w:r w:rsidR="00A74BA4">
        <w:t>medical gases</w:t>
      </w:r>
      <w:r w:rsidR="00650FED">
        <w:t>,</w:t>
      </w:r>
      <w:r w:rsidR="002F59DA">
        <w:t xml:space="preserve"> such as removing</w:t>
      </w:r>
      <w:r w:rsidR="008D0AA6">
        <w:t xml:space="preserve"> certain</w:t>
      </w:r>
      <w:r w:rsidR="002F59DA">
        <w:t xml:space="preserve"> building and facility requirements</w:t>
      </w:r>
      <w:r w:rsidR="00AB0A21">
        <w:t>,</w:t>
      </w:r>
      <w:r w:rsidR="002F59DA">
        <w:t xml:space="preserve"> </w:t>
      </w:r>
      <w:r w:rsidR="00917214">
        <w:t xml:space="preserve">which may </w:t>
      </w:r>
      <w:r w:rsidR="00D44203">
        <w:t>streamline inspections</w:t>
      </w:r>
      <w:r w:rsidR="00AD36D4">
        <w:t>.</w:t>
      </w:r>
      <w:r w:rsidR="006B1E22">
        <w:t xml:space="preserve"> </w:t>
      </w:r>
    </w:p>
    <w:p w:rsidR="008630CA" w:rsidRPr="008630CA" w:rsidP="002C1752" w14:paraId="551F7B10" w14:textId="5066B773">
      <w:pPr>
        <w:ind w:firstLine="720"/>
      </w:pPr>
      <w:r w:rsidRPr="003D17BD">
        <w:fldChar w:fldCharType="begin"/>
      </w:r>
      <w:r w:rsidRPr="003D17BD">
        <w:instrText xml:space="preserve"> REF _Ref132015473 \h </w:instrText>
      </w:r>
      <w:r w:rsidRPr="004848C7">
        <w:instrText xml:space="preserve"> \* MERGEFORMAT </w:instrText>
      </w:r>
      <w:r w:rsidRPr="003D17BD">
        <w:fldChar w:fldCharType="separate"/>
      </w:r>
      <w:r w:rsidRPr="004848C7">
        <w:t xml:space="preserve">Table </w:t>
      </w:r>
      <w:r w:rsidRPr="004848C7">
        <w:rPr>
          <w:noProof/>
        </w:rPr>
        <w:t>1</w:t>
      </w:r>
      <w:r w:rsidRPr="003D17BD">
        <w:fldChar w:fldCharType="end"/>
      </w:r>
      <w:r w:rsidRPr="003D17BD" w:rsidR="002C1752">
        <w:t xml:space="preserve"> </w:t>
      </w:r>
      <w:r w:rsidRPr="003D17BD">
        <w:t xml:space="preserve">summarizes the estimated benefits and costs of the </w:t>
      </w:r>
      <w:r w:rsidRPr="003D17BD" w:rsidR="007650FE">
        <w:t>final</w:t>
      </w:r>
      <w:r w:rsidRPr="003D17BD">
        <w:t xml:space="preserve"> rule. </w:t>
      </w:r>
      <w:bookmarkStart w:id="5" w:name="_Hlk16861949"/>
      <w:r w:rsidRPr="003D17BD" w:rsidR="00C658E7">
        <w:t>The annualized</w:t>
      </w:r>
      <w:r w:rsidRPr="008630CA" w:rsidR="00C658E7">
        <w:t xml:space="preserve"> </w:t>
      </w:r>
      <w:r w:rsidR="00C658E7">
        <w:t>benefits</w:t>
      </w:r>
      <w:r w:rsidRPr="008630CA" w:rsidR="00C658E7">
        <w:t xml:space="preserve"> </w:t>
      </w:r>
      <w:r w:rsidR="00737037">
        <w:t>will</w:t>
      </w:r>
      <w:r w:rsidRPr="008630CA" w:rsidR="00C658E7">
        <w:t xml:space="preserve"> range from $</w:t>
      </w:r>
      <w:r w:rsidR="00C658E7">
        <w:t>0.00</w:t>
      </w:r>
      <w:r w:rsidRPr="008630CA" w:rsidR="00C658E7">
        <w:t xml:space="preserve"> million to $</w:t>
      </w:r>
      <w:r w:rsidR="00350C97">
        <w:t>7.02</w:t>
      </w:r>
      <w:r w:rsidRPr="008630CA" w:rsidR="00C658E7">
        <w:t xml:space="preserve"> million with a primary estimate of $</w:t>
      </w:r>
      <w:r w:rsidR="00A3682F">
        <w:t>3.</w:t>
      </w:r>
      <w:r w:rsidR="00350C97">
        <w:t>51</w:t>
      </w:r>
      <w:r w:rsidRPr="008630CA" w:rsidR="00C658E7">
        <w:t xml:space="preserve"> million </w:t>
      </w:r>
      <w:r w:rsidR="002D162B">
        <w:t xml:space="preserve">over a 10-year span </w:t>
      </w:r>
      <w:r w:rsidRPr="008630CA" w:rsidR="00C658E7">
        <w:t xml:space="preserve">at a 7 percent discount rate. Annualized at a 3 percent discount rate these </w:t>
      </w:r>
      <w:r w:rsidR="002D162B">
        <w:t>benefits</w:t>
      </w:r>
      <w:r w:rsidRPr="008630CA" w:rsidR="00C658E7">
        <w:t xml:space="preserve"> </w:t>
      </w:r>
      <w:r w:rsidR="00737037">
        <w:t>will</w:t>
      </w:r>
      <w:r w:rsidRPr="008630CA" w:rsidR="00C658E7">
        <w:t xml:space="preserve"> range from </w:t>
      </w:r>
      <w:r w:rsidRPr="008630CA">
        <w:t>$</w:t>
      </w:r>
      <w:r w:rsidR="00570FFB">
        <w:t>0.00</w:t>
      </w:r>
      <w:r w:rsidRPr="008630CA">
        <w:t xml:space="preserve"> million to $</w:t>
      </w:r>
      <w:r w:rsidR="00932E1D">
        <w:t>7.</w:t>
      </w:r>
      <w:r w:rsidR="00A86A5B">
        <w:t>43</w:t>
      </w:r>
      <w:r w:rsidRPr="008630CA">
        <w:t xml:space="preserve"> million with a primary estimate of $</w:t>
      </w:r>
      <w:r w:rsidR="00095425">
        <w:t>3.</w:t>
      </w:r>
      <w:r w:rsidR="00932E1D">
        <w:t>7</w:t>
      </w:r>
      <w:r w:rsidR="00144C42">
        <w:t>2</w:t>
      </w:r>
      <w:r w:rsidRPr="008630CA">
        <w:t xml:space="preserve"> millio</w:t>
      </w:r>
      <w:r w:rsidR="002D162B">
        <w:t>n</w:t>
      </w:r>
      <w:r w:rsidRPr="008630CA">
        <w:t xml:space="preserve">. </w:t>
      </w:r>
      <w:bookmarkStart w:id="6" w:name="_Hlk43904373"/>
      <w:r w:rsidRPr="008630CA">
        <w:t xml:space="preserve">The annualized costs </w:t>
      </w:r>
      <w:r w:rsidR="00737037">
        <w:t>will</w:t>
      </w:r>
      <w:r w:rsidRPr="008630CA">
        <w:t xml:space="preserve"> range from $</w:t>
      </w:r>
      <w:r w:rsidR="00A3682F">
        <w:t>1.</w:t>
      </w:r>
      <w:r w:rsidR="007D5531">
        <w:t>5</w:t>
      </w:r>
      <w:r w:rsidR="00024FC5">
        <w:t>2</w:t>
      </w:r>
      <w:r w:rsidRPr="008630CA">
        <w:t xml:space="preserve"> million to $</w:t>
      </w:r>
      <w:r w:rsidR="007D5531">
        <w:t>5.</w:t>
      </w:r>
      <w:r w:rsidR="004C7A6D">
        <w:t>30</w:t>
      </w:r>
      <w:r w:rsidRPr="008630CA">
        <w:t xml:space="preserve"> million with a primary estimate of $</w:t>
      </w:r>
      <w:r w:rsidR="003D1201">
        <w:t>3.</w:t>
      </w:r>
      <w:r w:rsidR="007D5531">
        <w:t>2</w:t>
      </w:r>
      <w:r w:rsidR="004C7A6D">
        <w:t>4</w:t>
      </w:r>
      <w:r w:rsidRPr="008630CA">
        <w:t xml:space="preserve"> million at a 7 percent discount rate. Annualized at a 3 percent discount rate these costs </w:t>
      </w:r>
      <w:r w:rsidR="00737037">
        <w:t>will</w:t>
      </w:r>
      <w:r w:rsidRPr="008630CA">
        <w:t xml:space="preserve"> range from $</w:t>
      </w:r>
      <w:r w:rsidR="00095425">
        <w:t>1.</w:t>
      </w:r>
      <w:r w:rsidR="00450987">
        <w:t>36</w:t>
      </w:r>
      <w:r w:rsidRPr="008630CA">
        <w:t xml:space="preserve"> million to $</w:t>
      </w:r>
      <w:r w:rsidR="00450987">
        <w:t>5.11</w:t>
      </w:r>
      <w:r w:rsidRPr="008630CA">
        <w:t xml:space="preserve"> million with a primary estimate of $</w:t>
      </w:r>
      <w:r w:rsidR="00437938">
        <w:t>3.07</w:t>
      </w:r>
      <w:r w:rsidRPr="008630CA">
        <w:t xml:space="preserve"> million.</w:t>
      </w:r>
      <w:bookmarkEnd w:id="5"/>
      <w:bookmarkEnd w:id="6"/>
    </w:p>
    <w:p w:rsidR="008630CA" w:rsidP="00D25186" w14:paraId="55906AA7" w14:textId="53706B72">
      <w:pPr>
        <w:ind w:firstLine="720"/>
      </w:pPr>
      <w:bookmarkStart w:id="7" w:name="_Hlk17816362"/>
      <w:r w:rsidRPr="008630CA">
        <w:t xml:space="preserve">The present value of the estimated benefits </w:t>
      </w:r>
      <w:r w:rsidR="00737037">
        <w:t>will</w:t>
      </w:r>
      <w:r w:rsidRPr="008630CA">
        <w:t xml:space="preserve"> range from $</w:t>
      </w:r>
      <w:r w:rsidR="00570FFB">
        <w:t>0.00</w:t>
      </w:r>
      <w:r w:rsidRPr="008630CA">
        <w:t xml:space="preserve"> million to $</w:t>
      </w:r>
      <w:r w:rsidR="00583BF5">
        <w:t>5</w:t>
      </w:r>
      <w:r w:rsidR="000E4575">
        <w:t>6.</w:t>
      </w:r>
      <w:r w:rsidR="00350C97">
        <w:t>3</w:t>
      </w:r>
      <w:r w:rsidR="000E4575">
        <w:t>3</w:t>
      </w:r>
      <w:r w:rsidR="002D162B">
        <w:t xml:space="preserve"> </w:t>
      </w:r>
      <w:r w:rsidRPr="008630CA">
        <w:t>million with a primary estimate of $</w:t>
      </w:r>
      <w:r w:rsidR="00583BF5">
        <w:t>2</w:t>
      </w:r>
      <w:r w:rsidR="008458B9">
        <w:t>8.</w:t>
      </w:r>
      <w:r w:rsidR="00350C97">
        <w:t>17</w:t>
      </w:r>
      <w:r w:rsidRPr="008630CA">
        <w:t xml:space="preserve"> million at a 7 percent discount rate and from $</w:t>
      </w:r>
      <w:r w:rsidR="00570FFB">
        <w:t>0.00</w:t>
      </w:r>
      <w:r w:rsidRPr="008630CA">
        <w:t xml:space="preserve"> million to $</w:t>
      </w:r>
      <w:r w:rsidR="008B7135">
        <w:t>59.64</w:t>
      </w:r>
      <w:r w:rsidRPr="008630CA">
        <w:t xml:space="preserve"> million with a primary estimate of $</w:t>
      </w:r>
      <w:r w:rsidR="0023282B">
        <w:t>29.82</w:t>
      </w:r>
      <w:r w:rsidRPr="008630CA">
        <w:t xml:space="preserve"> million at a 3 percent discount rate. The present value of the estimated costs </w:t>
      </w:r>
      <w:r w:rsidR="00737037">
        <w:t>will</w:t>
      </w:r>
      <w:r w:rsidRPr="008630CA">
        <w:t xml:space="preserve"> range from $</w:t>
      </w:r>
      <w:r w:rsidR="00A3682F">
        <w:t>1</w:t>
      </w:r>
      <w:r w:rsidR="00C64155">
        <w:t>2.</w:t>
      </w:r>
      <w:r w:rsidR="00024FC5">
        <w:t>2</w:t>
      </w:r>
      <w:r w:rsidR="00CC6752">
        <w:t>3</w:t>
      </w:r>
      <w:r w:rsidRPr="008630CA">
        <w:t xml:space="preserve"> million to $</w:t>
      </w:r>
      <w:r w:rsidR="00BD7845">
        <w:t>4</w:t>
      </w:r>
      <w:r w:rsidR="008F5C92">
        <w:t>2.4</w:t>
      </w:r>
      <w:r w:rsidR="0024724E">
        <w:t>9</w:t>
      </w:r>
      <w:r w:rsidRPr="008630CA">
        <w:t xml:space="preserve"> million with a primary estimate of $</w:t>
      </w:r>
      <w:r w:rsidR="00A3682F">
        <w:t>2</w:t>
      </w:r>
      <w:r w:rsidR="008F5C92">
        <w:t>5.9</w:t>
      </w:r>
      <w:r w:rsidR="00AE64BB">
        <w:t>6</w:t>
      </w:r>
      <w:r w:rsidRPr="008630CA">
        <w:t xml:space="preserve"> million at a 7 percent discount rate and from $</w:t>
      </w:r>
      <w:r w:rsidR="00305476">
        <w:t>1</w:t>
      </w:r>
      <w:r w:rsidR="00603400">
        <w:t>2.9</w:t>
      </w:r>
      <w:r w:rsidR="003E45DB">
        <w:t>8</w:t>
      </w:r>
      <w:r w:rsidRPr="008630CA">
        <w:t xml:space="preserve"> million to $</w:t>
      </w:r>
      <w:r w:rsidR="00095425">
        <w:t>4</w:t>
      </w:r>
      <w:r w:rsidR="00603400">
        <w:t>8.</w:t>
      </w:r>
      <w:r w:rsidR="003E45DB">
        <w:t>7</w:t>
      </w:r>
      <w:r w:rsidR="00686C3A">
        <w:t>2</w:t>
      </w:r>
      <w:r w:rsidRPr="008630CA">
        <w:t xml:space="preserve"> million with a primary estimate of $</w:t>
      </w:r>
      <w:r w:rsidR="00095425">
        <w:t>2</w:t>
      </w:r>
      <w:r w:rsidR="004759F6">
        <w:t>9.2</w:t>
      </w:r>
      <w:r w:rsidR="0066505F">
        <w:t>8</w:t>
      </w:r>
      <w:r w:rsidRPr="008630CA">
        <w:t xml:space="preserve"> million at a 3 percent discount rate. </w:t>
      </w:r>
      <w:bookmarkEnd w:id="7"/>
    </w:p>
    <w:p w:rsidR="008630CA" w:rsidP="00006C8F" w14:paraId="7A631FE9" w14:textId="77777777"/>
    <w:p w:rsidR="00C2294E" w14:paraId="61CD55C7" w14:textId="653FC1FE">
      <w:pPr>
        <w:spacing w:line="276" w:lineRule="auto"/>
        <w:rPr>
          <w:b/>
        </w:rPr>
      </w:pPr>
      <w:bookmarkStart w:id="8" w:name="_Ref36641447"/>
      <w:bookmarkStart w:id="9" w:name="_Toc33693344"/>
    </w:p>
    <w:p w:rsidR="00D630EE" w14:paraId="6EF311BB" w14:textId="77777777">
      <w:pPr>
        <w:spacing w:line="276" w:lineRule="auto"/>
        <w:rPr>
          <w:b/>
        </w:rPr>
      </w:pPr>
      <w:bookmarkStart w:id="10" w:name="_Ref132015473"/>
      <w:r>
        <w:rPr>
          <w:b/>
        </w:rPr>
        <w:br w:type="page"/>
      </w:r>
    </w:p>
    <w:p w:rsidR="00AC09F1" w:rsidP="00DC2332" w14:paraId="371D5558" w14:textId="765CCE97">
      <w:pPr>
        <w:pStyle w:val="Caption"/>
        <w:rPr>
          <w:b/>
        </w:rPr>
      </w:pPr>
      <w:bookmarkStart w:id="11" w:name="_Toc147238745"/>
      <w:r w:rsidRPr="008F3C32">
        <w:rPr>
          <w:b/>
        </w:rPr>
        <w:t xml:space="preserve">Table </w:t>
      </w:r>
      <w:r w:rsidRPr="008F3C32" w:rsidR="00ED1A66">
        <w:rPr>
          <w:b/>
          <w:noProof/>
        </w:rPr>
        <w:fldChar w:fldCharType="begin"/>
      </w:r>
      <w:r w:rsidRPr="008F3C32" w:rsidR="00ED1A66">
        <w:rPr>
          <w:b/>
          <w:noProof/>
        </w:rPr>
        <w:instrText xml:space="preserve"> SEQ Table \* ARABIC </w:instrText>
      </w:r>
      <w:r w:rsidRPr="008F3C32" w:rsidR="00ED1A66">
        <w:rPr>
          <w:b/>
          <w:noProof/>
        </w:rPr>
        <w:fldChar w:fldCharType="separate"/>
      </w:r>
      <w:r w:rsidR="00D36765">
        <w:rPr>
          <w:b/>
          <w:noProof/>
        </w:rPr>
        <w:t>1</w:t>
      </w:r>
      <w:r w:rsidRPr="008F3C32" w:rsidR="00ED1A66">
        <w:rPr>
          <w:b/>
          <w:noProof/>
        </w:rPr>
        <w:fldChar w:fldCharType="end"/>
      </w:r>
      <w:bookmarkEnd w:id="8"/>
      <w:bookmarkEnd w:id="10"/>
      <w:r w:rsidRPr="008F3C32">
        <w:rPr>
          <w:b/>
        </w:rPr>
        <w:t>.</w:t>
      </w:r>
      <w:r w:rsidR="00F67A8D">
        <w:rPr>
          <w:b/>
        </w:rPr>
        <w:t xml:space="preserve"> </w:t>
      </w:r>
      <w:r w:rsidRPr="00552FAF">
        <w:rPr>
          <w:b/>
        </w:rPr>
        <w:t xml:space="preserve">Summary of Benefits, Costs, and Distributional Effects of the </w:t>
      </w:r>
      <w:r w:rsidRPr="00552FAF" w:rsidR="00395075">
        <w:rPr>
          <w:b/>
        </w:rPr>
        <w:t>Final</w:t>
      </w:r>
      <w:r w:rsidRPr="00552FAF">
        <w:rPr>
          <w:b/>
        </w:rPr>
        <w:t xml:space="preserve"> Rule</w:t>
      </w:r>
      <w:bookmarkEnd w:id="9"/>
      <w:r w:rsidRPr="00552FAF" w:rsidR="00552FAF">
        <w:rPr>
          <w:b/>
        </w:rPr>
        <w:t xml:space="preserve"> </w:t>
      </w:r>
      <w:r w:rsidRPr="004848C7" w:rsidR="00552FAF">
        <w:rPr>
          <w:b/>
        </w:rPr>
        <w:t>(millions of 202</w:t>
      </w:r>
      <w:r w:rsidR="00E92923">
        <w:rPr>
          <w:b/>
        </w:rPr>
        <w:t>2</w:t>
      </w:r>
      <w:r w:rsidRPr="004848C7" w:rsidR="00552FAF">
        <w:rPr>
          <w:b/>
        </w:rPr>
        <w:t xml:space="preserve"> dollars)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1842"/>
        <w:gridCol w:w="916"/>
        <w:gridCol w:w="916"/>
        <w:gridCol w:w="916"/>
        <w:gridCol w:w="805"/>
        <w:gridCol w:w="939"/>
        <w:gridCol w:w="894"/>
        <w:gridCol w:w="1150"/>
      </w:tblGrid>
      <w:tr w14:paraId="364065DD" w14:textId="77777777" w:rsidTr="008102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693" w:type="pct"/>
            <w:gridSpan w:val="2"/>
            <w:vMerge w:val="restart"/>
            <w:tcBorders>
              <w:top w:val="single" w:sz="4" w:space="0" w:color="auto"/>
              <w:left w:val="single" w:sz="4" w:space="0" w:color="auto"/>
              <w:bottom w:val="single" w:sz="4" w:space="0" w:color="auto"/>
              <w:right w:val="single" w:sz="4" w:space="0" w:color="auto"/>
            </w:tcBorders>
            <w:vAlign w:val="center"/>
          </w:tcPr>
          <w:p w:rsidR="0032327C" w:rsidRPr="00810248" w:rsidP="00D86363" w14:paraId="186AF093" w14:textId="77777777">
            <w:pPr>
              <w:pStyle w:val="NoSpacing"/>
              <w:jc w:val="center"/>
              <w:rPr>
                <w:sz w:val="20"/>
                <w:szCs w:val="20"/>
              </w:rPr>
            </w:pPr>
            <w:r w:rsidRPr="00810248">
              <w:rPr>
                <w:sz w:val="20"/>
                <w:szCs w:val="20"/>
              </w:rPr>
              <w:t>Category</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32327C" w:rsidRPr="00810248" w:rsidP="00D86363" w14:paraId="599BF4D8" w14:textId="77777777">
            <w:pPr>
              <w:pStyle w:val="NoSpacing"/>
              <w:jc w:val="center"/>
              <w:rPr>
                <w:sz w:val="20"/>
                <w:szCs w:val="20"/>
              </w:rPr>
            </w:pPr>
            <w:r w:rsidRPr="00810248">
              <w:rPr>
                <w:sz w:val="20"/>
                <w:szCs w:val="20"/>
              </w:rPr>
              <w:t>Primary Estimate</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32327C" w:rsidRPr="00810248" w:rsidP="00D86363" w14:paraId="4F0CDA36" w14:textId="77777777">
            <w:pPr>
              <w:pStyle w:val="NoSpacing"/>
              <w:jc w:val="center"/>
              <w:rPr>
                <w:sz w:val="20"/>
                <w:szCs w:val="20"/>
              </w:rPr>
            </w:pPr>
            <w:r w:rsidRPr="00810248">
              <w:rPr>
                <w:sz w:val="20"/>
                <w:szCs w:val="20"/>
              </w:rPr>
              <w:t>Low Estimate</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32327C" w:rsidRPr="00810248" w:rsidP="00D86363" w14:paraId="3B1C17FE" w14:textId="77777777">
            <w:pPr>
              <w:pStyle w:val="NoSpacing"/>
              <w:jc w:val="center"/>
              <w:rPr>
                <w:sz w:val="20"/>
                <w:szCs w:val="20"/>
              </w:rPr>
            </w:pPr>
            <w:r w:rsidRPr="00810248">
              <w:rPr>
                <w:sz w:val="20"/>
                <w:szCs w:val="20"/>
              </w:rPr>
              <w:t>High Estimate</w:t>
            </w:r>
          </w:p>
        </w:tc>
        <w:tc>
          <w:tcPr>
            <w:tcW w:w="1424" w:type="pct"/>
            <w:gridSpan w:val="3"/>
            <w:tcBorders>
              <w:top w:val="single" w:sz="4" w:space="0" w:color="auto"/>
              <w:left w:val="single" w:sz="4" w:space="0" w:color="auto"/>
              <w:bottom w:val="single" w:sz="4" w:space="0" w:color="auto"/>
              <w:right w:val="single" w:sz="4" w:space="0" w:color="auto"/>
            </w:tcBorders>
            <w:vAlign w:val="center"/>
          </w:tcPr>
          <w:p w:rsidR="0032327C" w:rsidRPr="00810248" w:rsidP="00D86363" w14:paraId="3FD144F7" w14:textId="77777777">
            <w:pPr>
              <w:pStyle w:val="NoSpacing"/>
              <w:jc w:val="center"/>
              <w:rPr>
                <w:sz w:val="20"/>
                <w:szCs w:val="20"/>
              </w:rPr>
            </w:pPr>
            <w:r w:rsidRPr="00810248">
              <w:rPr>
                <w:sz w:val="20"/>
                <w:szCs w:val="20"/>
              </w:rPr>
              <w:t>Units</w:t>
            </w:r>
          </w:p>
        </w:tc>
        <w:tc>
          <w:tcPr>
            <w:tcW w:w="553" w:type="pct"/>
            <w:vMerge w:val="restart"/>
            <w:tcBorders>
              <w:top w:val="single" w:sz="4" w:space="0" w:color="auto"/>
              <w:left w:val="single" w:sz="4" w:space="0" w:color="auto"/>
              <w:bottom w:val="single" w:sz="4" w:space="0" w:color="auto"/>
              <w:right w:val="single" w:sz="4" w:space="0" w:color="auto"/>
            </w:tcBorders>
            <w:vAlign w:val="center"/>
          </w:tcPr>
          <w:p w:rsidR="0032327C" w:rsidRPr="00810248" w:rsidP="00D86363" w14:paraId="5A4F7B77" w14:textId="77777777">
            <w:pPr>
              <w:pStyle w:val="NoSpacing"/>
              <w:jc w:val="center"/>
              <w:rPr>
                <w:sz w:val="20"/>
                <w:szCs w:val="20"/>
              </w:rPr>
            </w:pPr>
            <w:r w:rsidRPr="00810248">
              <w:rPr>
                <w:sz w:val="20"/>
                <w:szCs w:val="20"/>
              </w:rPr>
              <w:t>Notes</w:t>
            </w:r>
          </w:p>
        </w:tc>
      </w:tr>
      <w:tr w14:paraId="1596650F" w14:textId="77777777" w:rsidTr="00810248">
        <w:tblPrEx>
          <w:tblW w:w="5000" w:type="pct"/>
          <w:tblLook w:val="01E0"/>
        </w:tblPrEx>
        <w:trPr>
          <w:tblHeader/>
        </w:trPr>
        <w:tc>
          <w:tcPr>
            <w:tcW w:w="1693" w:type="pct"/>
            <w:gridSpan w:val="2"/>
            <w:vMerge/>
            <w:tcBorders>
              <w:top w:val="single" w:sz="4" w:space="0" w:color="auto"/>
            </w:tcBorders>
          </w:tcPr>
          <w:p w:rsidR="0032327C" w:rsidRPr="00810248" w:rsidP="00D86363" w14:paraId="5F909CC2" w14:textId="77777777">
            <w:pPr>
              <w:pStyle w:val="NoSpacing"/>
              <w:rPr>
                <w:sz w:val="20"/>
                <w:szCs w:val="20"/>
              </w:rPr>
            </w:pPr>
          </w:p>
        </w:tc>
        <w:tc>
          <w:tcPr>
            <w:tcW w:w="443" w:type="pct"/>
            <w:vMerge/>
            <w:tcBorders>
              <w:top w:val="single" w:sz="4" w:space="0" w:color="auto"/>
            </w:tcBorders>
          </w:tcPr>
          <w:p w:rsidR="0032327C" w:rsidRPr="00810248" w:rsidP="00D86363" w14:paraId="49DAB7A3" w14:textId="77777777">
            <w:pPr>
              <w:pStyle w:val="NoSpacing"/>
              <w:rPr>
                <w:sz w:val="20"/>
                <w:szCs w:val="20"/>
              </w:rPr>
            </w:pPr>
          </w:p>
        </w:tc>
        <w:tc>
          <w:tcPr>
            <w:tcW w:w="443" w:type="pct"/>
            <w:vMerge/>
            <w:tcBorders>
              <w:top w:val="single" w:sz="4" w:space="0" w:color="auto"/>
            </w:tcBorders>
          </w:tcPr>
          <w:p w:rsidR="0032327C" w:rsidRPr="00810248" w:rsidP="00D86363" w14:paraId="66C3B70A" w14:textId="77777777">
            <w:pPr>
              <w:pStyle w:val="NoSpacing"/>
              <w:rPr>
                <w:sz w:val="20"/>
                <w:szCs w:val="20"/>
              </w:rPr>
            </w:pPr>
          </w:p>
        </w:tc>
        <w:tc>
          <w:tcPr>
            <w:tcW w:w="443" w:type="pct"/>
            <w:vMerge/>
            <w:tcBorders>
              <w:top w:val="single" w:sz="4" w:space="0" w:color="auto"/>
            </w:tcBorders>
          </w:tcPr>
          <w:p w:rsidR="0032327C" w:rsidRPr="00810248" w:rsidP="00D86363" w14:paraId="7D51D7C4" w14:textId="77777777">
            <w:pPr>
              <w:pStyle w:val="NoSpacing"/>
              <w:rPr>
                <w:sz w:val="20"/>
                <w:szCs w:val="20"/>
              </w:rPr>
            </w:pPr>
          </w:p>
        </w:tc>
        <w:tc>
          <w:tcPr>
            <w:tcW w:w="537" w:type="pct"/>
            <w:tcBorders>
              <w:top w:val="single" w:sz="4" w:space="0" w:color="auto"/>
            </w:tcBorders>
            <w:vAlign w:val="center"/>
          </w:tcPr>
          <w:p w:rsidR="0032327C" w:rsidRPr="00810248" w:rsidP="00D86363" w14:paraId="47CF71F0" w14:textId="77777777">
            <w:pPr>
              <w:pStyle w:val="NoSpacing"/>
              <w:jc w:val="center"/>
              <w:rPr>
                <w:sz w:val="20"/>
                <w:szCs w:val="20"/>
              </w:rPr>
            </w:pPr>
            <w:r w:rsidRPr="00810248">
              <w:rPr>
                <w:sz w:val="20"/>
                <w:szCs w:val="20"/>
              </w:rPr>
              <w:t>Year Dollars</w:t>
            </w:r>
          </w:p>
        </w:tc>
        <w:tc>
          <w:tcPr>
            <w:tcW w:w="454" w:type="pct"/>
            <w:tcBorders>
              <w:top w:val="single" w:sz="4" w:space="0" w:color="auto"/>
            </w:tcBorders>
            <w:vAlign w:val="center"/>
          </w:tcPr>
          <w:p w:rsidR="0032327C" w:rsidRPr="00810248" w:rsidP="00D86363" w14:paraId="7C52E837" w14:textId="77777777">
            <w:pPr>
              <w:pStyle w:val="NoSpacing"/>
              <w:jc w:val="center"/>
              <w:rPr>
                <w:sz w:val="20"/>
                <w:szCs w:val="20"/>
              </w:rPr>
            </w:pPr>
            <w:r w:rsidRPr="00810248">
              <w:rPr>
                <w:sz w:val="20"/>
                <w:szCs w:val="20"/>
              </w:rPr>
              <w:t>Discount Rate</w:t>
            </w:r>
          </w:p>
        </w:tc>
        <w:tc>
          <w:tcPr>
            <w:tcW w:w="433" w:type="pct"/>
            <w:tcBorders>
              <w:top w:val="single" w:sz="4" w:space="0" w:color="auto"/>
            </w:tcBorders>
            <w:vAlign w:val="center"/>
          </w:tcPr>
          <w:p w:rsidR="0032327C" w:rsidRPr="00810248" w:rsidP="00D86363" w14:paraId="13A372A1" w14:textId="77777777">
            <w:pPr>
              <w:pStyle w:val="NoSpacing"/>
              <w:jc w:val="center"/>
              <w:rPr>
                <w:sz w:val="20"/>
                <w:szCs w:val="20"/>
              </w:rPr>
            </w:pPr>
            <w:r w:rsidRPr="00810248">
              <w:rPr>
                <w:sz w:val="20"/>
                <w:szCs w:val="20"/>
              </w:rPr>
              <w:t>Period Covered</w:t>
            </w:r>
          </w:p>
        </w:tc>
        <w:tc>
          <w:tcPr>
            <w:tcW w:w="553" w:type="pct"/>
            <w:vMerge/>
            <w:tcBorders>
              <w:top w:val="single" w:sz="4" w:space="0" w:color="auto"/>
            </w:tcBorders>
          </w:tcPr>
          <w:p w:rsidR="0032327C" w:rsidRPr="00810248" w:rsidP="00D86363" w14:paraId="00714CA7" w14:textId="77777777">
            <w:pPr>
              <w:pStyle w:val="NoSpacing"/>
              <w:rPr>
                <w:sz w:val="20"/>
                <w:szCs w:val="20"/>
              </w:rPr>
            </w:pPr>
          </w:p>
        </w:tc>
      </w:tr>
      <w:tr w14:paraId="1ADC1D25" w14:textId="77777777" w:rsidTr="004848C7">
        <w:tblPrEx>
          <w:tblW w:w="5000" w:type="pct"/>
          <w:tblLook w:val="01E0"/>
        </w:tblPrEx>
        <w:trPr>
          <w:trHeight w:val="1754"/>
        </w:trPr>
        <w:tc>
          <w:tcPr>
            <w:tcW w:w="469" w:type="pct"/>
            <w:vMerge w:val="restart"/>
            <w:tcBorders>
              <w:top w:val="single" w:sz="4" w:space="0" w:color="auto"/>
              <w:bottom w:val="single" w:sz="4" w:space="0" w:color="auto"/>
              <w:right w:val="single" w:sz="4" w:space="0" w:color="auto"/>
            </w:tcBorders>
            <w:vAlign w:val="center"/>
          </w:tcPr>
          <w:p w:rsidR="0078400E" w:rsidRPr="00810248" w:rsidP="0032327C" w14:paraId="45AFA161" w14:textId="77777777">
            <w:pPr>
              <w:pStyle w:val="NoSpacing"/>
              <w:rPr>
                <w:sz w:val="20"/>
                <w:szCs w:val="20"/>
              </w:rPr>
            </w:pPr>
            <w:r w:rsidRPr="00810248">
              <w:rPr>
                <w:sz w:val="20"/>
                <w:szCs w:val="20"/>
              </w:rPr>
              <w:t>Benefits</w:t>
            </w:r>
          </w:p>
        </w:tc>
        <w:tc>
          <w:tcPr>
            <w:tcW w:w="1224" w:type="pct"/>
            <w:vMerge w:val="restart"/>
            <w:tcBorders>
              <w:top w:val="single" w:sz="4" w:space="0" w:color="auto"/>
              <w:left w:val="single" w:sz="4" w:space="0" w:color="auto"/>
              <w:bottom w:val="single" w:sz="4" w:space="0" w:color="auto"/>
              <w:right w:val="single" w:sz="4" w:space="0" w:color="auto"/>
            </w:tcBorders>
            <w:vAlign w:val="center"/>
          </w:tcPr>
          <w:p w:rsidR="0078400E" w:rsidRPr="00810248" w:rsidP="00145996" w14:paraId="7DCEDCAA" w14:textId="77777777">
            <w:pPr>
              <w:pStyle w:val="NoSpacing"/>
              <w:rPr>
                <w:sz w:val="20"/>
                <w:szCs w:val="20"/>
              </w:rPr>
            </w:pPr>
            <w:r w:rsidRPr="00810248">
              <w:rPr>
                <w:sz w:val="20"/>
                <w:szCs w:val="20"/>
              </w:rPr>
              <w:t>Annualized Monetized $millions/year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03F466CA" w14:textId="66C041D9">
            <w:pPr>
              <w:pStyle w:val="NoSpacing"/>
              <w:jc w:val="center"/>
              <w:rPr>
                <w:sz w:val="20"/>
                <w:szCs w:val="20"/>
              </w:rPr>
            </w:pPr>
            <w:r w:rsidRPr="00810248">
              <w:rPr>
                <w:color w:val="000000"/>
                <w:sz w:val="20"/>
                <w:szCs w:val="20"/>
              </w:rPr>
              <w:t>$</w:t>
            </w:r>
            <w:r w:rsidR="00E421D2">
              <w:rPr>
                <w:color w:val="000000"/>
                <w:sz w:val="20"/>
                <w:szCs w:val="20"/>
              </w:rPr>
              <w:t>3.</w:t>
            </w:r>
            <w:r w:rsidR="00350C97">
              <w:rPr>
                <w:color w:val="000000"/>
                <w:sz w:val="20"/>
                <w:szCs w:val="20"/>
              </w:rPr>
              <w:t>51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5217FEC4" w14:textId="7B113C3B">
            <w:pPr>
              <w:pStyle w:val="NoSpacing"/>
              <w:jc w:val="center"/>
              <w:rPr>
                <w:sz w:val="20"/>
                <w:szCs w:val="20"/>
              </w:rPr>
            </w:pPr>
            <w:r w:rsidRPr="00810248">
              <w:rPr>
                <w:color w:val="000000"/>
                <w:sz w:val="20"/>
                <w:szCs w:val="20"/>
              </w:rPr>
              <w:t>$</w:t>
            </w:r>
            <w:r w:rsidRPr="00810248" w:rsidR="00CA456B">
              <w:rPr>
                <w:color w:val="000000"/>
                <w:sz w:val="20"/>
                <w:szCs w:val="20"/>
              </w:rPr>
              <w:t>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7D95858F" w14:textId="045A28BF">
            <w:pPr>
              <w:pStyle w:val="NoSpacing"/>
              <w:jc w:val="center"/>
              <w:rPr>
                <w:sz w:val="20"/>
                <w:szCs w:val="20"/>
              </w:rPr>
            </w:pPr>
            <w:r w:rsidRPr="00810248">
              <w:rPr>
                <w:color w:val="000000"/>
                <w:sz w:val="20"/>
                <w:szCs w:val="20"/>
              </w:rPr>
              <w:t>$</w:t>
            </w:r>
            <w:r w:rsidR="00350C97">
              <w:rPr>
                <w:color w:val="000000"/>
                <w:sz w:val="20"/>
                <w:szCs w:val="20"/>
              </w:rPr>
              <w:t>7.02</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6C31AF6A" w14:textId="11D9D1A6">
            <w:pPr>
              <w:pStyle w:val="NoSpacing"/>
              <w:jc w:val="center"/>
              <w:rPr>
                <w:sz w:val="20"/>
                <w:szCs w:val="20"/>
              </w:rPr>
            </w:pPr>
            <w:r w:rsidRPr="00810248">
              <w:rPr>
                <w:color w:val="000000"/>
                <w:sz w:val="20"/>
                <w:szCs w:val="20"/>
              </w:rPr>
              <w:t>20</w:t>
            </w:r>
            <w:r w:rsidRPr="00810248" w:rsidR="008A6403">
              <w:rPr>
                <w:color w:val="000000"/>
                <w:sz w:val="20"/>
                <w:szCs w:val="20"/>
              </w:rPr>
              <w:t>2</w:t>
            </w:r>
            <w:r w:rsidR="003153D7">
              <w:rPr>
                <w:color w:val="000000"/>
                <w:sz w:val="20"/>
                <w:szCs w:val="20"/>
              </w:rPr>
              <w:t>2</w:t>
            </w:r>
          </w:p>
        </w:tc>
        <w:tc>
          <w:tcPr>
            <w:tcW w:w="454" w:type="pct"/>
            <w:tcBorders>
              <w:top w:val="single" w:sz="4" w:space="0" w:color="auto"/>
              <w:left w:val="single" w:sz="4" w:space="0" w:color="auto"/>
              <w:bottom w:val="single" w:sz="4" w:space="0" w:color="auto"/>
              <w:right w:val="single" w:sz="4" w:space="0" w:color="auto"/>
            </w:tcBorders>
            <w:vAlign w:val="center"/>
          </w:tcPr>
          <w:p w:rsidR="0078400E" w:rsidRPr="00810248" w:rsidP="00810248" w14:paraId="49236813" w14:textId="6725B326">
            <w:pPr>
              <w:pStyle w:val="NoSpacing"/>
              <w:jc w:val="center"/>
              <w:rPr>
                <w:sz w:val="20"/>
                <w:szCs w:val="20"/>
              </w:rPr>
            </w:pPr>
            <w:r w:rsidRPr="00810248">
              <w:rPr>
                <w:sz w:val="20"/>
                <w:szCs w:val="20"/>
              </w:rPr>
              <w:t>7%</w:t>
            </w:r>
          </w:p>
        </w:tc>
        <w:tc>
          <w:tcPr>
            <w:tcW w:w="433" w:type="pct"/>
            <w:tcBorders>
              <w:top w:val="single" w:sz="4" w:space="0" w:color="auto"/>
              <w:left w:val="single" w:sz="4" w:space="0" w:color="auto"/>
              <w:bottom w:val="single" w:sz="4" w:space="0" w:color="auto"/>
              <w:right w:val="single" w:sz="4" w:space="0" w:color="auto"/>
            </w:tcBorders>
            <w:vAlign w:val="center"/>
          </w:tcPr>
          <w:p w:rsidR="0078400E" w:rsidRPr="00810248" w:rsidP="004848C7" w14:paraId="6E5C7066" w14:textId="46291C3F">
            <w:pPr>
              <w:pStyle w:val="NoSpacing"/>
              <w:jc w:val="center"/>
              <w:rPr>
                <w:sz w:val="20"/>
                <w:szCs w:val="20"/>
              </w:rPr>
            </w:pPr>
            <w:r w:rsidRPr="00810248">
              <w:rPr>
                <w:sz w:val="20"/>
                <w:szCs w:val="20"/>
              </w:rPr>
              <w:t>10</w:t>
            </w:r>
          </w:p>
        </w:tc>
        <w:tc>
          <w:tcPr>
            <w:tcW w:w="553" w:type="pct"/>
            <w:vMerge w:val="restart"/>
            <w:tcBorders>
              <w:top w:val="single" w:sz="4" w:space="0" w:color="auto"/>
              <w:left w:val="single" w:sz="4" w:space="0" w:color="auto"/>
              <w:bottom w:val="single" w:sz="4" w:space="0" w:color="auto"/>
            </w:tcBorders>
          </w:tcPr>
          <w:p w:rsidR="0078400E" w:rsidRPr="00810248" w:rsidP="0032327C" w14:paraId="6B50EE8A" w14:textId="4DEA23D6">
            <w:pPr>
              <w:pStyle w:val="NoSpacing"/>
              <w:rPr>
                <w:sz w:val="20"/>
                <w:szCs w:val="20"/>
              </w:rPr>
            </w:pPr>
            <w:r w:rsidRPr="00810248">
              <w:rPr>
                <w:sz w:val="20"/>
                <w:szCs w:val="20"/>
              </w:rPr>
              <w:t xml:space="preserve">Most benefits are cost savings to industry while </w:t>
            </w:r>
            <w:r w:rsidRPr="00810248" w:rsidR="00557240">
              <w:rPr>
                <w:sz w:val="20"/>
                <w:szCs w:val="20"/>
              </w:rPr>
              <w:t>the remaining</w:t>
            </w:r>
            <w:r w:rsidRPr="00810248">
              <w:rPr>
                <w:sz w:val="20"/>
                <w:szCs w:val="20"/>
              </w:rPr>
              <w:t xml:space="preserve"> are cost savings for FDA due to a more streamlined inspection process.</w:t>
            </w:r>
          </w:p>
        </w:tc>
      </w:tr>
      <w:tr w14:paraId="5BB7175D" w14:textId="77777777" w:rsidTr="004848C7">
        <w:tblPrEx>
          <w:tblW w:w="5000" w:type="pct"/>
          <w:tblLook w:val="01E0"/>
        </w:tblPrEx>
        <w:tc>
          <w:tcPr>
            <w:tcW w:w="469" w:type="pct"/>
            <w:vMerge/>
            <w:tcBorders>
              <w:top w:val="single" w:sz="4" w:space="0" w:color="auto"/>
              <w:bottom w:val="single" w:sz="4" w:space="0" w:color="auto"/>
              <w:right w:val="single" w:sz="4" w:space="0" w:color="auto"/>
            </w:tcBorders>
          </w:tcPr>
          <w:p w:rsidR="0078400E" w:rsidRPr="00810248" w:rsidP="0032327C" w14:paraId="0956D568" w14:textId="77777777">
            <w:pPr>
              <w:pStyle w:val="NoSpacing"/>
              <w:rPr>
                <w:sz w:val="20"/>
                <w:szCs w:val="20"/>
              </w:rPr>
            </w:pPr>
          </w:p>
        </w:tc>
        <w:tc>
          <w:tcPr>
            <w:tcW w:w="1224" w:type="pct"/>
            <w:vMerge/>
            <w:tcBorders>
              <w:top w:val="single" w:sz="4" w:space="0" w:color="auto"/>
              <w:left w:val="single" w:sz="4" w:space="0" w:color="auto"/>
              <w:bottom w:val="single" w:sz="4" w:space="0" w:color="auto"/>
              <w:right w:val="single" w:sz="4" w:space="0" w:color="auto"/>
            </w:tcBorders>
          </w:tcPr>
          <w:p w:rsidR="0078400E" w:rsidRPr="00810248" w:rsidP="0032327C" w14:paraId="6345BCC3" w14:textId="77777777">
            <w:pPr>
              <w:pStyle w:val="NoSpacing"/>
              <w:rPr>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056777B5" w14:textId="6C4C91DD">
            <w:pPr>
              <w:pStyle w:val="NoSpacing"/>
              <w:jc w:val="center"/>
              <w:rPr>
                <w:sz w:val="20"/>
                <w:szCs w:val="20"/>
              </w:rPr>
            </w:pPr>
            <w:r w:rsidRPr="00810248">
              <w:rPr>
                <w:color w:val="000000"/>
                <w:sz w:val="20"/>
                <w:szCs w:val="20"/>
              </w:rPr>
              <w:t>$</w:t>
            </w:r>
            <w:r w:rsidRPr="00810248" w:rsidR="00095425">
              <w:rPr>
                <w:color w:val="000000"/>
                <w:sz w:val="20"/>
                <w:szCs w:val="20"/>
              </w:rPr>
              <w:t>3.</w:t>
            </w:r>
            <w:r w:rsidR="00A35BBB">
              <w:rPr>
                <w:color w:val="000000"/>
                <w:sz w:val="20"/>
                <w:szCs w:val="20"/>
              </w:rPr>
              <w:t>7</w:t>
            </w:r>
            <w:r w:rsidR="00A86A5B">
              <w:rPr>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6D681FAF" w14:textId="4EFA88B7">
            <w:pPr>
              <w:pStyle w:val="NoSpacing"/>
              <w:jc w:val="center"/>
              <w:rPr>
                <w:sz w:val="20"/>
                <w:szCs w:val="20"/>
              </w:rPr>
            </w:pPr>
            <w:r w:rsidRPr="00810248">
              <w:rPr>
                <w:color w:val="000000"/>
                <w:sz w:val="20"/>
                <w:szCs w:val="20"/>
              </w:rPr>
              <w:t>$</w:t>
            </w:r>
            <w:r w:rsidRPr="00810248" w:rsidR="00CA456B">
              <w:rPr>
                <w:color w:val="000000"/>
                <w:sz w:val="20"/>
                <w:szCs w:val="20"/>
              </w:rPr>
              <w:t>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4E9480F9" w14:textId="0CE7A121">
            <w:pPr>
              <w:pStyle w:val="NoSpacing"/>
              <w:jc w:val="center"/>
              <w:rPr>
                <w:sz w:val="20"/>
                <w:szCs w:val="20"/>
              </w:rPr>
            </w:pPr>
            <w:r w:rsidRPr="00810248">
              <w:rPr>
                <w:color w:val="000000"/>
                <w:sz w:val="20"/>
                <w:szCs w:val="20"/>
              </w:rPr>
              <w:t>$</w:t>
            </w:r>
            <w:r w:rsidR="00F56D9B">
              <w:rPr>
                <w:color w:val="000000"/>
                <w:sz w:val="20"/>
                <w:szCs w:val="20"/>
              </w:rPr>
              <w:t>7.</w:t>
            </w:r>
            <w:r w:rsidR="00A86A5B">
              <w:rPr>
                <w:color w:val="000000"/>
                <w:sz w:val="20"/>
                <w:szCs w:val="20"/>
              </w:rPr>
              <w:t>43</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78400E" w:rsidRPr="00810248" w:rsidP="004848C7" w14:paraId="3224A8CC" w14:textId="2D1D2D7B">
            <w:pPr>
              <w:pStyle w:val="NoSpacing"/>
              <w:jc w:val="center"/>
              <w:rPr>
                <w:sz w:val="20"/>
                <w:szCs w:val="20"/>
              </w:rPr>
            </w:pPr>
            <w:r w:rsidRPr="00810248">
              <w:rPr>
                <w:color w:val="000000"/>
                <w:sz w:val="20"/>
                <w:szCs w:val="20"/>
              </w:rPr>
              <w:t>20</w:t>
            </w:r>
            <w:r w:rsidRPr="00810248" w:rsidR="008A6403">
              <w:rPr>
                <w:color w:val="000000"/>
                <w:sz w:val="20"/>
                <w:szCs w:val="20"/>
              </w:rPr>
              <w:t>2</w:t>
            </w:r>
            <w:r w:rsidR="003153D7">
              <w:rPr>
                <w:color w:val="000000"/>
                <w:sz w:val="20"/>
                <w:szCs w:val="20"/>
              </w:rPr>
              <w:t>2</w:t>
            </w:r>
          </w:p>
        </w:tc>
        <w:tc>
          <w:tcPr>
            <w:tcW w:w="454" w:type="pct"/>
            <w:tcBorders>
              <w:top w:val="single" w:sz="4" w:space="0" w:color="auto"/>
              <w:left w:val="single" w:sz="4" w:space="0" w:color="auto"/>
              <w:bottom w:val="single" w:sz="4" w:space="0" w:color="auto"/>
              <w:right w:val="single" w:sz="4" w:space="0" w:color="auto"/>
            </w:tcBorders>
            <w:vAlign w:val="center"/>
          </w:tcPr>
          <w:p w:rsidR="0078400E" w:rsidRPr="00810248" w:rsidP="00810248" w14:paraId="436C79DE" w14:textId="2D4B6738">
            <w:pPr>
              <w:pStyle w:val="NoSpacing"/>
              <w:jc w:val="center"/>
              <w:rPr>
                <w:sz w:val="20"/>
                <w:szCs w:val="20"/>
              </w:rPr>
            </w:pPr>
            <w:r w:rsidRPr="00810248">
              <w:rPr>
                <w:sz w:val="20"/>
                <w:szCs w:val="20"/>
              </w:rPr>
              <w:t>3%</w:t>
            </w:r>
          </w:p>
        </w:tc>
        <w:tc>
          <w:tcPr>
            <w:tcW w:w="433" w:type="pct"/>
            <w:tcBorders>
              <w:top w:val="single" w:sz="4" w:space="0" w:color="auto"/>
              <w:left w:val="single" w:sz="4" w:space="0" w:color="auto"/>
              <w:bottom w:val="single" w:sz="4" w:space="0" w:color="auto"/>
              <w:right w:val="single" w:sz="4" w:space="0" w:color="auto"/>
            </w:tcBorders>
            <w:vAlign w:val="center"/>
          </w:tcPr>
          <w:p w:rsidR="0078400E" w:rsidRPr="00810248" w:rsidP="004848C7" w14:paraId="338C18BC" w14:textId="2CF3851C">
            <w:pPr>
              <w:pStyle w:val="NoSpacing"/>
              <w:jc w:val="center"/>
              <w:rPr>
                <w:sz w:val="20"/>
                <w:szCs w:val="20"/>
              </w:rPr>
            </w:pPr>
            <w:r w:rsidRPr="00810248">
              <w:rPr>
                <w:sz w:val="20"/>
                <w:szCs w:val="20"/>
              </w:rPr>
              <w:t>10</w:t>
            </w:r>
          </w:p>
        </w:tc>
        <w:tc>
          <w:tcPr>
            <w:tcW w:w="553" w:type="pct"/>
            <w:vMerge/>
            <w:tcBorders>
              <w:top w:val="single" w:sz="4" w:space="0" w:color="auto"/>
              <w:left w:val="single" w:sz="4" w:space="0" w:color="auto"/>
              <w:bottom w:val="single" w:sz="4" w:space="0" w:color="auto"/>
            </w:tcBorders>
          </w:tcPr>
          <w:p w:rsidR="0078400E" w:rsidRPr="00810248" w:rsidP="0032327C" w14:paraId="209DAB08" w14:textId="77777777">
            <w:pPr>
              <w:pStyle w:val="NoSpacing"/>
              <w:rPr>
                <w:sz w:val="20"/>
                <w:szCs w:val="20"/>
              </w:rPr>
            </w:pPr>
          </w:p>
        </w:tc>
      </w:tr>
      <w:tr w14:paraId="3523F782" w14:textId="77777777" w:rsidTr="00810248">
        <w:tblPrEx>
          <w:tblW w:w="5000" w:type="pct"/>
          <w:tblLook w:val="01E0"/>
        </w:tblPrEx>
        <w:tc>
          <w:tcPr>
            <w:tcW w:w="469" w:type="pct"/>
            <w:vMerge/>
          </w:tcPr>
          <w:p w:rsidR="0032327C" w:rsidRPr="00810248" w:rsidP="0032327C" w14:paraId="1A08333D" w14:textId="77777777">
            <w:pPr>
              <w:pStyle w:val="NoSpacing"/>
              <w:rPr>
                <w:sz w:val="20"/>
                <w:szCs w:val="20"/>
              </w:rPr>
            </w:pPr>
          </w:p>
        </w:tc>
        <w:tc>
          <w:tcPr>
            <w:tcW w:w="1224" w:type="pct"/>
            <w:vMerge w:val="restart"/>
          </w:tcPr>
          <w:p w:rsidR="0032327C" w:rsidRPr="00810248" w:rsidP="0032327C" w14:paraId="47A26694" w14:textId="77777777">
            <w:pPr>
              <w:pStyle w:val="NoSpacing"/>
              <w:rPr>
                <w:sz w:val="20"/>
                <w:szCs w:val="20"/>
              </w:rPr>
            </w:pPr>
            <w:r w:rsidRPr="00810248">
              <w:rPr>
                <w:sz w:val="20"/>
                <w:szCs w:val="20"/>
              </w:rPr>
              <w:t>Annualized Quantified</w:t>
            </w:r>
          </w:p>
        </w:tc>
        <w:tc>
          <w:tcPr>
            <w:tcW w:w="443" w:type="pct"/>
          </w:tcPr>
          <w:p w:rsidR="0032327C" w:rsidRPr="00810248" w:rsidP="0032327C" w14:paraId="3C46172E" w14:textId="77777777">
            <w:pPr>
              <w:pStyle w:val="NoSpacing"/>
              <w:rPr>
                <w:sz w:val="20"/>
                <w:szCs w:val="20"/>
              </w:rPr>
            </w:pPr>
          </w:p>
        </w:tc>
        <w:tc>
          <w:tcPr>
            <w:tcW w:w="443" w:type="pct"/>
          </w:tcPr>
          <w:p w:rsidR="0032327C" w:rsidRPr="00810248" w:rsidP="0032327C" w14:paraId="67F40A43" w14:textId="77777777">
            <w:pPr>
              <w:pStyle w:val="NoSpacing"/>
              <w:rPr>
                <w:sz w:val="20"/>
                <w:szCs w:val="20"/>
              </w:rPr>
            </w:pPr>
          </w:p>
        </w:tc>
        <w:tc>
          <w:tcPr>
            <w:tcW w:w="443" w:type="pct"/>
          </w:tcPr>
          <w:p w:rsidR="0032327C" w:rsidRPr="00810248" w:rsidP="0032327C" w14:paraId="183AA248" w14:textId="77777777">
            <w:pPr>
              <w:pStyle w:val="NoSpacing"/>
              <w:rPr>
                <w:sz w:val="20"/>
                <w:szCs w:val="20"/>
              </w:rPr>
            </w:pPr>
          </w:p>
        </w:tc>
        <w:tc>
          <w:tcPr>
            <w:tcW w:w="537" w:type="pct"/>
          </w:tcPr>
          <w:p w:rsidR="0032327C" w:rsidRPr="00810248" w:rsidP="0032327C" w14:paraId="1C7053E3" w14:textId="77777777">
            <w:pPr>
              <w:pStyle w:val="NoSpacing"/>
              <w:rPr>
                <w:sz w:val="20"/>
                <w:szCs w:val="20"/>
              </w:rPr>
            </w:pPr>
          </w:p>
        </w:tc>
        <w:tc>
          <w:tcPr>
            <w:tcW w:w="454" w:type="pct"/>
          </w:tcPr>
          <w:p w:rsidR="0032327C" w:rsidRPr="00810248" w:rsidP="0032327C" w14:paraId="1C4EF9FE" w14:textId="77777777">
            <w:pPr>
              <w:pStyle w:val="NoSpacing"/>
              <w:jc w:val="center"/>
              <w:rPr>
                <w:sz w:val="20"/>
                <w:szCs w:val="20"/>
              </w:rPr>
            </w:pPr>
            <w:r w:rsidRPr="00810248">
              <w:rPr>
                <w:sz w:val="20"/>
                <w:szCs w:val="20"/>
              </w:rPr>
              <w:t>7%</w:t>
            </w:r>
          </w:p>
        </w:tc>
        <w:tc>
          <w:tcPr>
            <w:tcW w:w="433" w:type="pct"/>
          </w:tcPr>
          <w:p w:rsidR="0032327C" w:rsidRPr="00810248" w:rsidP="0032327C" w14:paraId="1CD9468A" w14:textId="77777777">
            <w:pPr>
              <w:pStyle w:val="NoSpacing"/>
              <w:rPr>
                <w:sz w:val="20"/>
                <w:szCs w:val="20"/>
              </w:rPr>
            </w:pPr>
          </w:p>
        </w:tc>
        <w:tc>
          <w:tcPr>
            <w:tcW w:w="553" w:type="pct"/>
          </w:tcPr>
          <w:p w:rsidR="0032327C" w:rsidRPr="00810248" w:rsidP="0032327C" w14:paraId="5673D7A0" w14:textId="77777777">
            <w:pPr>
              <w:pStyle w:val="NoSpacing"/>
              <w:rPr>
                <w:sz w:val="20"/>
                <w:szCs w:val="20"/>
              </w:rPr>
            </w:pPr>
          </w:p>
        </w:tc>
      </w:tr>
      <w:tr w14:paraId="7BC18044" w14:textId="77777777" w:rsidTr="00810248">
        <w:tblPrEx>
          <w:tblW w:w="5000" w:type="pct"/>
          <w:tblLook w:val="01E0"/>
        </w:tblPrEx>
        <w:tc>
          <w:tcPr>
            <w:tcW w:w="469" w:type="pct"/>
            <w:vMerge/>
          </w:tcPr>
          <w:p w:rsidR="0032327C" w:rsidRPr="00810248" w:rsidP="0032327C" w14:paraId="3FDAFCA9" w14:textId="77777777">
            <w:pPr>
              <w:pStyle w:val="NoSpacing"/>
              <w:rPr>
                <w:sz w:val="20"/>
                <w:szCs w:val="20"/>
              </w:rPr>
            </w:pPr>
          </w:p>
        </w:tc>
        <w:tc>
          <w:tcPr>
            <w:tcW w:w="1224" w:type="pct"/>
            <w:vMerge/>
          </w:tcPr>
          <w:p w:rsidR="0032327C" w:rsidRPr="00810248" w:rsidP="0032327C" w14:paraId="4F1BAF58" w14:textId="77777777">
            <w:pPr>
              <w:pStyle w:val="NoSpacing"/>
              <w:rPr>
                <w:sz w:val="20"/>
                <w:szCs w:val="20"/>
              </w:rPr>
            </w:pPr>
          </w:p>
        </w:tc>
        <w:tc>
          <w:tcPr>
            <w:tcW w:w="443" w:type="pct"/>
          </w:tcPr>
          <w:p w:rsidR="0032327C" w:rsidRPr="00810248" w:rsidP="0032327C" w14:paraId="74229589" w14:textId="77777777">
            <w:pPr>
              <w:pStyle w:val="NoSpacing"/>
              <w:rPr>
                <w:sz w:val="20"/>
                <w:szCs w:val="20"/>
              </w:rPr>
            </w:pPr>
          </w:p>
        </w:tc>
        <w:tc>
          <w:tcPr>
            <w:tcW w:w="443" w:type="pct"/>
          </w:tcPr>
          <w:p w:rsidR="0032327C" w:rsidRPr="00810248" w:rsidP="0032327C" w14:paraId="6DCFAF6A" w14:textId="77777777">
            <w:pPr>
              <w:pStyle w:val="NoSpacing"/>
              <w:rPr>
                <w:sz w:val="20"/>
                <w:szCs w:val="20"/>
              </w:rPr>
            </w:pPr>
          </w:p>
        </w:tc>
        <w:tc>
          <w:tcPr>
            <w:tcW w:w="443" w:type="pct"/>
          </w:tcPr>
          <w:p w:rsidR="0032327C" w:rsidRPr="00810248" w:rsidP="0032327C" w14:paraId="53895F15" w14:textId="77777777">
            <w:pPr>
              <w:pStyle w:val="NoSpacing"/>
              <w:rPr>
                <w:sz w:val="20"/>
                <w:szCs w:val="20"/>
              </w:rPr>
            </w:pPr>
          </w:p>
        </w:tc>
        <w:tc>
          <w:tcPr>
            <w:tcW w:w="537" w:type="pct"/>
          </w:tcPr>
          <w:p w:rsidR="0032327C" w:rsidRPr="00810248" w:rsidP="0032327C" w14:paraId="58117FEB" w14:textId="77777777">
            <w:pPr>
              <w:pStyle w:val="NoSpacing"/>
              <w:rPr>
                <w:sz w:val="20"/>
                <w:szCs w:val="20"/>
              </w:rPr>
            </w:pPr>
          </w:p>
        </w:tc>
        <w:tc>
          <w:tcPr>
            <w:tcW w:w="454" w:type="pct"/>
          </w:tcPr>
          <w:p w:rsidR="0032327C" w:rsidRPr="00810248" w:rsidP="0032327C" w14:paraId="32654BAA" w14:textId="77777777">
            <w:pPr>
              <w:pStyle w:val="NoSpacing"/>
              <w:jc w:val="center"/>
              <w:rPr>
                <w:sz w:val="20"/>
                <w:szCs w:val="20"/>
              </w:rPr>
            </w:pPr>
            <w:r w:rsidRPr="00810248">
              <w:rPr>
                <w:sz w:val="20"/>
                <w:szCs w:val="20"/>
              </w:rPr>
              <w:t>3%</w:t>
            </w:r>
          </w:p>
        </w:tc>
        <w:tc>
          <w:tcPr>
            <w:tcW w:w="433" w:type="pct"/>
          </w:tcPr>
          <w:p w:rsidR="0032327C" w:rsidRPr="00810248" w:rsidP="0032327C" w14:paraId="731484CF" w14:textId="77777777">
            <w:pPr>
              <w:pStyle w:val="NoSpacing"/>
              <w:rPr>
                <w:sz w:val="20"/>
                <w:szCs w:val="20"/>
              </w:rPr>
            </w:pPr>
          </w:p>
        </w:tc>
        <w:tc>
          <w:tcPr>
            <w:tcW w:w="553" w:type="pct"/>
          </w:tcPr>
          <w:p w:rsidR="0032327C" w:rsidRPr="00810248" w:rsidP="0032327C" w14:paraId="7537E10C" w14:textId="77777777">
            <w:pPr>
              <w:pStyle w:val="NoSpacing"/>
              <w:rPr>
                <w:sz w:val="20"/>
                <w:szCs w:val="20"/>
              </w:rPr>
            </w:pPr>
          </w:p>
        </w:tc>
      </w:tr>
      <w:tr w14:paraId="5B96E513" w14:textId="77777777" w:rsidTr="00810248">
        <w:tblPrEx>
          <w:tblW w:w="5000" w:type="pct"/>
          <w:tblLook w:val="01E0"/>
        </w:tblPrEx>
        <w:tc>
          <w:tcPr>
            <w:tcW w:w="469" w:type="pct"/>
            <w:vMerge/>
          </w:tcPr>
          <w:p w:rsidR="00811B1D" w:rsidRPr="00810248" w:rsidP="0032327C" w14:paraId="4962BB18" w14:textId="77777777">
            <w:pPr>
              <w:pStyle w:val="NoSpacing"/>
              <w:rPr>
                <w:sz w:val="20"/>
                <w:szCs w:val="20"/>
              </w:rPr>
            </w:pPr>
          </w:p>
        </w:tc>
        <w:tc>
          <w:tcPr>
            <w:tcW w:w="1224" w:type="pct"/>
          </w:tcPr>
          <w:p w:rsidR="00811B1D" w:rsidRPr="00810248" w:rsidP="0032327C" w14:paraId="6BB07470" w14:textId="4D82599F">
            <w:pPr>
              <w:pStyle w:val="NoSpacing"/>
              <w:rPr>
                <w:sz w:val="20"/>
                <w:szCs w:val="20"/>
              </w:rPr>
            </w:pPr>
            <w:r w:rsidRPr="00810248">
              <w:rPr>
                <w:sz w:val="20"/>
                <w:szCs w:val="20"/>
              </w:rPr>
              <w:t>Qualitative</w:t>
            </w:r>
          </w:p>
        </w:tc>
        <w:tc>
          <w:tcPr>
            <w:tcW w:w="2754" w:type="pct"/>
            <w:gridSpan w:val="6"/>
          </w:tcPr>
          <w:p w:rsidR="00811B1D" w:rsidRPr="00810248" w:rsidP="0032327C" w14:paraId="46D83215" w14:textId="2476EF5D">
            <w:pPr>
              <w:pStyle w:val="NoSpacing"/>
              <w:rPr>
                <w:sz w:val="20"/>
                <w:szCs w:val="20"/>
              </w:rPr>
            </w:pPr>
            <w:r w:rsidRPr="00810248">
              <w:rPr>
                <w:sz w:val="20"/>
                <w:szCs w:val="20"/>
              </w:rPr>
              <w:t xml:space="preserve">Potential small increase in safety </w:t>
            </w:r>
            <w:r w:rsidR="00745145">
              <w:rPr>
                <w:sz w:val="20"/>
                <w:szCs w:val="20"/>
              </w:rPr>
              <w:t xml:space="preserve">from a reduction in fire </w:t>
            </w:r>
            <w:r w:rsidR="00347481">
              <w:rPr>
                <w:sz w:val="20"/>
                <w:szCs w:val="20"/>
              </w:rPr>
              <w:t xml:space="preserve">risk </w:t>
            </w:r>
            <w:r w:rsidRPr="00810248">
              <w:rPr>
                <w:sz w:val="20"/>
                <w:szCs w:val="20"/>
              </w:rPr>
              <w:t xml:space="preserve">from graphic warning labels on oxygen containers; flexibility in testing of components, containers, and closures; clarifies calculations of yield requirement does not apply to medical gases; clarifies medical </w:t>
            </w:r>
            <w:r w:rsidR="00BA0D0B">
              <w:rPr>
                <w:sz w:val="20"/>
                <w:szCs w:val="20"/>
              </w:rPr>
              <w:t xml:space="preserve">gas </w:t>
            </w:r>
            <w:r w:rsidRPr="00810248">
              <w:rPr>
                <w:sz w:val="20"/>
                <w:szCs w:val="20"/>
              </w:rPr>
              <w:t>salvage is allowed under certain conditions; removes requirement that labels not be susceptible to becoming worn or detached; outlines the certification request process; and clarifies adverse event</w:t>
            </w:r>
            <w:r w:rsidR="00830E64">
              <w:rPr>
                <w:sz w:val="20"/>
                <w:szCs w:val="20"/>
              </w:rPr>
              <w:t xml:space="preserve"> reports</w:t>
            </w:r>
            <w:r w:rsidRPr="00810248">
              <w:rPr>
                <w:sz w:val="20"/>
                <w:szCs w:val="20"/>
              </w:rPr>
              <w:t xml:space="preserve"> are not </w:t>
            </w:r>
            <w:r w:rsidR="00830E64">
              <w:rPr>
                <w:sz w:val="20"/>
                <w:szCs w:val="20"/>
              </w:rPr>
              <w:t xml:space="preserve">generally </w:t>
            </w:r>
            <w:r w:rsidRPr="00810248">
              <w:rPr>
                <w:sz w:val="20"/>
                <w:szCs w:val="20"/>
              </w:rPr>
              <w:t xml:space="preserve">required </w:t>
            </w:r>
            <w:r w:rsidR="00BA0D0B">
              <w:rPr>
                <w:sz w:val="20"/>
                <w:szCs w:val="20"/>
              </w:rPr>
              <w:t xml:space="preserve">for </w:t>
            </w:r>
            <w:r w:rsidRPr="00810248">
              <w:rPr>
                <w:iCs/>
                <w:sz w:val="20"/>
                <w:szCs w:val="20"/>
              </w:rPr>
              <w:t>reports of the death of a patient or animal who was administered oxygen and</w:t>
            </w:r>
            <w:r w:rsidRPr="00810248">
              <w:rPr>
                <w:sz w:val="20"/>
                <w:szCs w:val="20"/>
              </w:rPr>
              <w:t xml:space="preserve"> fires </w:t>
            </w:r>
            <w:r w:rsidRPr="00810248">
              <w:rPr>
                <w:iCs/>
                <w:sz w:val="20"/>
                <w:szCs w:val="20"/>
              </w:rPr>
              <w:t>associated with the administration of oxygen that do not include an adverse event</w:t>
            </w:r>
            <w:r w:rsidR="00C6788E">
              <w:rPr>
                <w:iCs/>
                <w:sz w:val="20"/>
                <w:szCs w:val="20"/>
              </w:rPr>
              <w:t xml:space="preserve"> experienced by the patient or animal</w:t>
            </w:r>
            <w:r w:rsidRPr="00810248">
              <w:rPr>
                <w:iCs/>
                <w:sz w:val="20"/>
                <w:szCs w:val="20"/>
              </w:rPr>
              <w:t>.</w:t>
            </w:r>
          </w:p>
        </w:tc>
        <w:tc>
          <w:tcPr>
            <w:tcW w:w="553" w:type="pct"/>
          </w:tcPr>
          <w:p w:rsidR="00811B1D" w:rsidRPr="00810248" w:rsidP="0032327C" w14:paraId="6F06311C" w14:textId="77777777">
            <w:pPr>
              <w:pStyle w:val="NoSpacing"/>
              <w:rPr>
                <w:sz w:val="20"/>
                <w:szCs w:val="20"/>
              </w:rPr>
            </w:pPr>
          </w:p>
        </w:tc>
      </w:tr>
      <w:tr w14:paraId="49514ACA" w14:textId="77777777" w:rsidTr="00810248">
        <w:tblPrEx>
          <w:tblW w:w="5000" w:type="pct"/>
          <w:tblLook w:val="01E0"/>
        </w:tblPrEx>
        <w:tc>
          <w:tcPr>
            <w:tcW w:w="469" w:type="pct"/>
            <w:vMerge w:val="restart"/>
            <w:tcBorders>
              <w:top w:val="single" w:sz="4" w:space="0" w:color="auto"/>
              <w:bottom w:val="single" w:sz="4" w:space="0" w:color="auto"/>
              <w:right w:val="single" w:sz="4" w:space="0" w:color="auto"/>
            </w:tcBorders>
            <w:vAlign w:val="center"/>
          </w:tcPr>
          <w:p w:rsidR="0032327C" w:rsidRPr="00810248" w:rsidP="0032327C" w14:paraId="46DEE4F1" w14:textId="77777777">
            <w:pPr>
              <w:pStyle w:val="NoSpacing"/>
              <w:rPr>
                <w:sz w:val="20"/>
                <w:szCs w:val="20"/>
              </w:rPr>
            </w:pPr>
            <w:r w:rsidRPr="00810248">
              <w:rPr>
                <w:sz w:val="20"/>
                <w:szCs w:val="20"/>
              </w:rPr>
              <w:t>Costs</w:t>
            </w:r>
          </w:p>
        </w:tc>
        <w:tc>
          <w:tcPr>
            <w:tcW w:w="1224" w:type="pct"/>
            <w:vMerge w:val="restart"/>
            <w:tcBorders>
              <w:top w:val="single" w:sz="4" w:space="0" w:color="auto"/>
              <w:left w:val="single" w:sz="4" w:space="0" w:color="auto"/>
              <w:bottom w:val="single" w:sz="4" w:space="0" w:color="auto"/>
              <w:right w:val="single" w:sz="4" w:space="0" w:color="auto"/>
            </w:tcBorders>
          </w:tcPr>
          <w:p w:rsidR="0032327C" w:rsidRPr="00810248" w:rsidP="0032327C" w14:paraId="7001BFA0" w14:textId="77777777">
            <w:pPr>
              <w:pStyle w:val="NoSpacing"/>
              <w:rPr>
                <w:sz w:val="20"/>
                <w:szCs w:val="20"/>
              </w:rPr>
            </w:pPr>
            <w:r w:rsidRPr="00810248">
              <w:rPr>
                <w:sz w:val="20"/>
                <w:szCs w:val="20"/>
              </w:rPr>
              <w:t xml:space="preserve">Annualized </w:t>
            </w:r>
          </w:p>
          <w:p w:rsidR="0032327C" w:rsidRPr="00810248" w:rsidP="0032327C" w14:paraId="0E21414F" w14:textId="77777777">
            <w:pPr>
              <w:pStyle w:val="NoSpacing"/>
              <w:rPr>
                <w:sz w:val="20"/>
                <w:szCs w:val="20"/>
              </w:rPr>
            </w:pPr>
            <w:r w:rsidRPr="00810248">
              <w:rPr>
                <w:sz w:val="20"/>
                <w:szCs w:val="20"/>
              </w:rPr>
              <w:t>Monetized $millions/year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2CD321A2" w14:textId="47B637DA">
            <w:pPr>
              <w:pStyle w:val="NoSpacing"/>
              <w:rPr>
                <w:sz w:val="20"/>
                <w:szCs w:val="20"/>
              </w:rPr>
            </w:pPr>
            <w:r w:rsidRPr="00810248">
              <w:rPr>
                <w:color w:val="000000"/>
                <w:sz w:val="20"/>
                <w:szCs w:val="20"/>
              </w:rPr>
              <w:t>$</w:t>
            </w:r>
            <w:r w:rsidRPr="00810248" w:rsidR="003D1201">
              <w:rPr>
                <w:color w:val="000000"/>
                <w:sz w:val="20"/>
                <w:szCs w:val="20"/>
              </w:rPr>
              <w:t>3.</w:t>
            </w:r>
            <w:r w:rsidR="00E421D2">
              <w:rPr>
                <w:color w:val="000000"/>
                <w:sz w:val="20"/>
                <w:szCs w:val="20"/>
              </w:rPr>
              <w:t>2</w:t>
            </w:r>
            <w:r w:rsidR="00B924EC">
              <w:rPr>
                <w:color w:val="000000"/>
                <w:sz w:val="20"/>
                <w:szCs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3ABE0497" w14:textId="3D3EAC6B">
            <w:pPr>
              <w:pStyle w:val="NoSpacing"/>
              <w:rPr>
                <w:sz w:val="20"/>
                <w:szCs w:val="20"/>
              </w:rPr>
            </w:pPr>
            <w:r w:rsidRPr="00810248">
              <w:rPr>
                <w:color w:val="000000"/>
                <w:sz w:val="20"/>
                <w:szCs w:val="20"/>
              </w:rPr>
              <w:t>$</w:t>
            </w:r>
            <w:r w:rsidRPr="00810248" w:rsidR="00583BF5">
              <w:rPr>
                <w:color w:val="000000"/>
                <w:sz w:val="20"/>
                <w:szCs w:val="20"/>
              </w:rPr>
              <w:t>1.</w:t>
            </w:r>
            <w:r w:rsidR="00E421D2">
              <w:rPr>
                <w:color w:val="000000"/>
                <w:sz w:val="20"/>
                <w:szCs w:val="20"/>
              </w:rPr>
              <w:t>5</w:t>
            </w:r>
            <w:r w:rsidR="00024FC5">
              <w:rPr>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26C2EC4C" w14:textId="780E7003">
            <w:pPr>
              <w:pStyle w:val="NoSpacing"/>
              <w:rPr>
                <w:sz w:val="20"/>
                <w:szCs w:val="20"/>
              </w:rPr>
            </w:pPr>
            <w:r w:rsidRPr="00810248">
              <w:rPr>
                <w:color w:val="000000"/>
                <w:sz w:val="20"/>
                <w:szCs w:val="20"/>
              </w:rPr>
              <w:t>$</w:t>
            </w:r>
            <w:r w:rsidR="00E421D2">
              <w:rPr>
                <w:color w:val="000000"/>
                <w:sz w:val="20"/>
                <w:szCs w:val="20"/>
              </w:rPr>
              <w:t>5.</w:t>
            </w:r>
            <w:r w:rsidR="00B924EC">
              <w:rPr>
                <w:color w:val="000000"/>
                <w:sz w:val="20"/>
                <w:szCs w:val="20"/>
              </w:rPr>
              <w:t>30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1EEFF87A" w14:textId="4428CD8C">
            <w:pPr>
              <w:pStyle w:val="NoSpacing"/>
              <w:rPr>
                <w:sz w:val="20"/>
                <w:szCs w:val="20"/>
              </w:rPr>
            </w:pPr>
            <w:r w:rsidRPr="00810248">
              <w:rPr>
                <w:color w:val="000000"/>
                <w:sz w:val="20"/>
                <w:szCs w:val="20"/>
              </w:rPr>
              <w:t>20</w:t>
            </w:r>
            <w:r w:rsidRPr="00810248" w:rsidR="008A6403">
              <w:rPr>
                <w:color w:val="000000"/>
                <w:sz w:val="20"/>
                <w:szCs w:val="20"/>
              </w:rPr>
              <w:t>2</w:t>
            </w:r>
            <w:r w:rsidR="003153D7">
              <w:rPr>
                <w:color w:val="000000"/>
                <w:sz w:val="20"/>
                <w:szCs w:val="20"/>
              </w:rPr>
              <w:t>2</w:t>
            </w:r>
          </w:p>
        </w:tc>
        <w:tc>
          <w:tcPr>
            <w:tcW w:w="454" w:type="pct"/>
            <w:tcBorders>
              <w:top w:val="single" w:sz="4" w:space="0" w:color="auto"/>
              <w:left w:val="single" w:sz="4" w:space="0" w:color="auto"/>
              <w:bottom w:val="single" w:sz="4" w:space="0" w:color="auto"/>
              <w:right w:val="single" w:sz="4" w:space="0" w:color="auto"/>
            </w:tcBorders>
          </w:tcPr>
          <w:p w:rsidR="0032327C" w:rsidRPr="00810248" w:rsidP="0032327C" w14:paraId="771C2421" w14:textId="77777777">
            <w:pPr>
              <w:pStyle w:val="NoSpacing"/>
              <w:jc w:val="center"/>
              <w:rPr>
                <w:sz w:val="20"/>
                <w:szCs w:val="20"/>
              </w:rPr>
            </w:pPr>
            <w:r w:rsidRPr="00810248">
              <w:rPr>
                <w:sz w:val="20"/>
                <w:szCs w:val="20"/>
              </w:rPr>
              <w:t>7%</w:t>
            </w:r>
          </w:p>
        </w:tc>
        <w:tc>
          <w:tcPr>
            <w:tcW w:w="433" w:type="pct"/>
            <w:tcBorders>
              <w:top w:val="single" w:sz="4" w:space="0" w:color="auto"/>
              <w:left w:val="single" w:sz="4" w:space="0" w:color="auto"/>
              <w:bottom w:val="single" w:sz="4" w:space="0" w:color="auto"/>
              <w:right w:val="single" w:sz="4" w:space="0" w:color="auto"/>
            </w:tcBorders>
          </w:tcPr>
          <w:p w:rsidR="0032327C" w:rsidRPr="00810248" w:rsidP="0032327C" w14:paraId="0DA2EE97" w14:textId="7D0598F3">
            <w:pPr>
              <w:pStyle w:val="NoSpacing"/>
              <w:rPr>
                <w:sz w:val="20"/>
                <w:szCs w:val="20"/>
              </w:rPr>
            </w:pPr>
            <w:r w:rsidRPr="00810248">
              <w:rPr>
                <w:sz w:val="20"/>
                <w:szCs w:val="20"/>
              </w:rPr>
              <w:t>10</w:t>
            </w:r>
          </w:p>
        </w:tc>
        <w:tc>
          <w:tcPr>
            <w:tcW w:w="553" w:type="pct"/>
            <w:vMerge w:val="restart"/>
            <w:tcBorders>
              <w:top w:val="single" w:sz="4" w:space="0" w:color="auto"/>
              <w:left w:val="single" w:sz="4" w:space="0" w:color="auto"/>
              <w:bottom w:val="single" w:sz="4" w:space="0" w:color="auto"/>
            </w:tcBorders>
          </w:tcPr>
          <w:p w:rsidR="0032327C" w:rsidRPr="00810248" w:rsidP="0032327C" w14:paraId="3EA7E036" w14:textId="438313DB">
            <w:pPr>
              <w:pStyle w:val="NoSpacing"/>
              <w:rPr>
                <w:sz w:val="20"/>
                <w:szCs w:val="20"/>
              </w:rPr>
            </w:pPr>
          </w:p>
        </w:tc>
      </w:tr>
      <w:tr w14:paraId="7EEDD146" w14:textId="77777777" w:rsidTr="00810248">
        <w:tblPrEx>
          <w:tblW w:w="5000" w:type="pct"/>
          <w:tblLook w:val="01E0"/>
        </w:tblPrEx>
        <w:tc>
          <w:tcPr>
            <w:tcW w:w="469" w:type="pct"/>
            <w:vMerge/>
            <w:tcBorders>
              <w:top w:val="single" w:sz="4" w:space="0" w:color="auto"/>
              <w:bottom w:val="single" w:sz="4" w:space="0" w:color="auto"/>
              <w:right w:val="single" w:sz="4" w:space="0" w:color="auto"/>
            </w:tcBorders>
          </w:tcPr>
          <w:p w:rsidR="0032327C" w:rsidRPr="00810248" w:rsidP="0032327C" w14:paraId="4EAEF2AF" w14:textId="77777777">
            <w:pPr>
              <w:pStyle w:val="NoSpacing"/>
              <w:rPr>
                <w:sz w:val="20"/>
                <w:szCs w:val="20"/>
              </w:rPr>
            </w:pPr>
          </w:p>
        </w:tc>
        <w:tc>
          <w:tcPr>
            <w:tcW w:w="1224" w:type="pct"/>
            <w:vMerge/>
            <w:tcBorders>
              <w:top w:val="single" w:sz="4" w:space="0" w:color="auto"/>
              <w:left w:val="single" w:sz="4" w:space="0" w:color="auto"/>
              <w:bottom w:val="single" w:sz="4" w:space="0" w:color="auto"/>
              <w:right w:val="single" w:sz="4" w:space="0" w:color="auto"/>
            </w:tcBorders>
          </w:tcPr>
          <w:p w:rsidR="0032327C" w:rsidRPr="00810248" w:rsidP="0032327C" w14:paraId="28A11278" w14:textId="77777777">
            <w:pPr>
              <w:pStyle w:val="NoSpacing"/>
              <w:rPr>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464E58D7" w14:textId="0F773E4B">
            <w:pPr>
              <w:pStyle w:val="NoSpacing"/>
              <w:rPr>
                <w:sz w:val="20"/>
                <w:szCs w:val="20"/>
              </w:rPr>
            </w:pPr>
            <w:r w:rsidRPr="00810248">
              <w:rPr>
                <w:color w:val="000000"/>
                <w:sz w:val="20"/>
                <w:szCs w:val="20"/>
              </w:rPr>
              <w:t>$</w:t>
            </w:r>
            <w:r w:rsidR="00A0663F">
              <w:rPr>
                <w:color w:val="000000"/>
                <w:sz w:val="20"/>
                <w:szCs w:val="20"/>
              </w:rPr>
              <w:t>3.07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46B30260" w14:textId="703C64BD">
            <w:pPr>
              <w:pStyle w:val="NoSpacing"/>
              <w:rPr>
                <w:sz w:val="20"/>
                <w:szCs w:val="20"/>
              </w:rPr>
            </w:pPr>
            <w:r w:rsidRPr="00810248">
              <w:rPr>
                <w:color w:val="000000"/>
                <w:sz w:val="20"/>
                <w:szCs w:val="20"/>
              </w:rPr>
              <w:t>$</w:t>
            </w:r>
            <w:r w:rsidR="00A0663F">
              <w:rPr>
                <w:color w:val="000000"/>
                <w:sz w:val="20"/>
                <w:szCs w:val="20"/>
              </w:rPr>
              <w:t>1.36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5C6F07A5" w14:textId="6A0BDB84">
            <w:pPr>
              <w:pStyle w:val="NoSpacing"/>
              <w:rPr>
                <w:sz w:val="20"/>
                <w:szCs w:val="20"/>
              </w:rPr>
            </w:pPr>
            <w:r w:rsidRPr="00810248">
              <w:rPr>
                <w:color w:val="000000"/>
                <w:sz w:val="20"/>
                <w:szCs w:val="20"/>
              </w:rPr>
              <w:t>$</w:t>
            </w:r>
            <w:r w:rsidR="00A0663F">
              <w:rPr>
                <w:color w:val="000000"/>
                <w:sz w:val="20"/>
                <w:szCs w:val="20"/>
              </w:rPr>
              <w:t>5.11</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32327C" w:rsidRPr="00810248" w:rsidP="0032327C" w14:paraId="2A853EED" w14:textId="63F14A31">
            <w:pPr>
              <w:pStyle w:val="NoSpacing"/>
              <w:rPr>
                <w:sz w:val="20"/>
                <w:szCs w:val="20"/>
              </w:rPr>
            </w:pPr>
            <w:r w:rsidRPr="00810248">
              <w:rPr>
                <w:color w:val="000000"/>
                <w:sz w:val="20"/>
                <w:szCs w:val="20"/>
              </w:rPr>
              <w:t>20</w:t>
            </w:r>
            <w:r w:rsidRPr="00810248" w:rsidR="008A6403">
              <w:rPr>
                <w:color w:val="000000"/>
                <w:sz w:val="20"/>
                <w:szCs w:val="20"/>
              </w:rPr>
              <w:t>2</w:t>
            </w:r>
            <w:r w:rsidR="003153D7">
              <w:rPr>
                <w:color w:val="000000"/>
                <w:sz w:val="20"/>
                <w:szCs w:val="20"/>
              </w:rPr>
              <w:t>2</w:t>
            </w:r>
          </w:p>
        </w:tc>
        <w:tc>
          <w:tcPr>
            <w:tcW w:w="454" w:type="pct"/>
            <w:tcBorders>
              <w:top w:val="single" w:sz="4" w:space="0" w:color="auto"/>
              <w:left w:val="single" w:sz="4" w:space="0" w:color="auto"/>
              <w:bottom w:val="single" w:sz="4" w:space="0" w:color="auto"/>
              <w:right w:val="single" w:sz="4" w:space="0" w:color="auto"/>
            </w:tcBorders>
          </w:tcPr>
          <w:p w:rsidR="0032327C" w:rsidRPr="00810248" w:rsidP="0032327C" w14:paraId="54CBD8D9" w14:textId="77777777">
            <w:pPr>
              <w:pStyle w:val="NoSpacing"/>
              <w:jc w:val="center"/>
              <w:rPr>
                <w:sz w:val="20"/>
                <w:szCs w:val="20"/>
              </w:rPr>
            </w:pPr>
            <w:r w:rsidRPr="00810248">
              <w:rPr>
                <w:sz w:val="20"/>
                <w:szCs w:val="20"/>
              </w:rPr>
              <w:t>3%</w:t>
            </w:r>
          </w:p>
        </w:tc>
        <w:tc>
          <w:tcPr>
            <w:tcW w:w="433" w:type="pct"/>
            <w:tcBorders>
              <w:top w:val="single" w:sz="4" w:space="0" w:color="auto"/>
              <w:left w:val="single" w:sz="4" w:space="0" w:color="auto"/>
              <w:bottom w:val="single" w:sz="4" w:space="0" w:color="auto"/>
              <w:right w:val="single" w:sz="4" w:space="0" w:color="auto"/>
            </w:tcBorders>
          </w:tcPr>
          <w:p w:rsidR="0032327C" w:rsidRPr="00810248" w:rsidP="0032327C" w14:paraId="2B4AD300" w14:textId="05D82A16">
            <w:pPr>
              <w:pStyle w:val="NoSpacing"/>
              <w:rPr>
                <w:sz w:val="20"/>
                <w:szCs w:val="20"/>
              </w:rPr>
            </w:pPr>
            <w:r w:rsidRPr="00810248">
              <w:rPr>
                <w:sz w:val="20"/>
                <w:szCs w:val="20"/>
              </w:rPr>
              <w:t>10</w:t>
            </w:r>
          </w:p>
        </w:tc>
        <w:tc>
          <w:tcPr>
            <w:tcW w:w="553" w:type="pct"/>
            <w:vMerge/>
            <w:tcBorders>
              <w:top w:val="single" w:sz="4" w:space="0" w:color="auto"/>
              <w:left w:val="single" w:sz="4" w:space="0" w:color="auto"/>
              <w:bottom w:val="single" w:sz="4" w:space="0" w:color="auto"/>
            </w:tcBorders>
          </w:tcPr>
          <w:p w:rsidR="0032327C" w:rsidRPr="00810248" w:rsidP="0032327C" w14:paraId="708D7C7E" w14:textId="77777777">
            <w:pPr>
              <w:pStyle w:val="NoSpacing"/>
              <w:rPr>
                <w:sz w:val="20"/>
                <w:szCs w:val="20"/>
              </w:rPr>
            </w:pPr>
          </w:p>
        </w:tc>
      </w:tr>
      <w:tr w14:paraId="69DB8A85" w14:textId="77777777" w:rsidTr="00810248">
        <w:tblPrEx>
          <w:tblW w:w="5000" w:type="pct"/>
          <w:tblLook w:val="01E0"/>
        </w:tblPrEx>
        <w:tc>
          <w:tcPr>
            <w:tcW w:w="469" w:type="pct"/>
            <w:vMerge/>
          </w:tcPr>
          <w:p w:rsidR="0032327C" w:rsidRPr="00810248" w:rsidP="0032327C" w14:paraId="04827307" w14:textId="77777777">
            <w:pPr>
              <w:pStyle w:val="NoSpacing"/>
              <w:rPr>
                <w:sz w:val="20"/>
                <w:szCs w:val="20"/>
              </w:rPr>
            </w:pPr>
          </w:p>
        </w:tc>
        <w:tc>
          <w:tcPr>
            <w:tcW w:w="1224" w:type="pct"/>
            <w:vMerge w:val="restart"/>
          </w:tcPr>
          <w:p w:rsidR="0032327C" w:rsidRPr="00810248" w:rsidP="0032327C" w14:paraId="1B838C1E" w14:textId="77777777">
            <w:pPr>
              <w:pStyle w:val="NoSpacing"/>
              <w:rPr>
                <w:sz w:val="20"/>
                <w:szCs w:val="20"/>
              </w:rPr>
            </w:pPr>
            <w:r w:rsidRPr="00810248">
              <w:rPr>
                <w:sz w:val="20"/>
                <w:szCs w:val="20"/>
              </w:rPr>
              <w:t xml:space="preserve">Annualized </w:t>
            </w:r>
          </w:p>
          <w:p w:rsidR="0032327C" w:rsidRPr="00810248" w:rsidP="0032327C" w14:paraId="20A313B2" w14:textId="77777777">
            <w:pPr>
              <w:pStyle w:val="NoSpacing"/>
              <w:rPr>
                <w:sz w:val="20"/>
                <w:szCs w:val="20"/>
              </w:rPr>
            </w:pPr>
            <w:r w:rsidRPr="00810248">
              <w:rPr>
                <w:sz w:val="20"/>
                <w:szCs w:val="20"/>
              </w:rPr>
              <w:t>Quantified</w:t>
            </w:r>
          </w:p>
        </w:tc>
        <w:tc>
          <w:tcPr>
            <w:tcW w:w="443" w:type="pct"/>
          </w:tcPr>
          <w:p w:rsidR="0032327C" w:rsidRPr="00810248" w:rsidP="0032327C" w14:paraId="2B37615E" w14:textId="77777777">
            <w:pPr>
              <w:pStyle w:val="NoSpacing"/>
              <w:rPr>
                <w:sz w:val="20"/>
                <w:szCs w:val="20"/>
              </w:rPr>
            </w:pPr>
          </w:p>
        </w:tc>
        <w:tc>
          <w:tcPr>
            <w:tcW w:w="443" w:type="pct"/>
          </w:tcPr>
          <w:p w:rsidR="0032327C" w:rsidRPr="00810248" w:rsidP="0032327C" w14:paraId="069F147D" w14:textId="77777777">
            <w:pPr>
              <w:pStyle w:val="NoSpacing"/>
              <w:rPr>
                <w:sz w:val="20"/>
                <w:szCs w:val="20"/>
              </w:rPr>
            </w:pPr>
          </w:p>
        </w:tc>
        <w:tc>
          <w:tcPr>
            <w:tcW w:w="443" w:type="pct"/>
          </w:tcPr>
          <w:p w:rsidR="0032327C" w:rsidRPr="00810248" w:rsidP="0032327C" w14:paraId="1FE1C1E0" w14:textId="77777777">
            <w:pPr>
              <w:pStyle w:val="NoSpacing"/>
              <w:rPr>
                <w:sz w:val="20"/>
                <w:szCs w:val="20"/>
              </w:rPr>
            </w:pPr>
          </w:p>
        </w:tc>
        <w:tc>
          <w:tcPr>
            <w:tcW w:w="537" w:type="pct"/>
          </w:tcPr>
          <w:p w:rsidR="0032327C" w:rsidRPr="00810248" w:rsidP="0032327C" w14:paraId="32D76646" w14:textId="77777777">
            <w:pPr>
              <w:pStyle w:val="NoSpacing"/>
              <w:rPr>
                <w:sz w:val="20"/>
                <w:szCs w:val="20"/>
              </w:rPr>
            </w:pPr>
          </w:p>
        </w:tc>
        <w:tc>
          <w:tcPr>
            <w:tcW w:w="454" w:type="pct"/>
          </w:tcPr>
          <w:p w:rsidR="0032327C" w:rsidRPr="00810248" w:rsidP="0032327C" w14:paraId="0C7B523E" w14:textId="77777777">
            <w:pPr>
              <w:pStyle w:val="NoSpacing"/>
              <w:jc w:val="center"/>
              <w:rPr>
                <w:sz w:val="20"/>
                <w:szCs w:val="20"/>
              </w:rPr>
            </w:pPr>
            <w:r w:rsidRPr="00810248">
              <w:rPr>
                <w:sz w:val="20"/>
                <w:szCs w:val="20"/>
              </w:rPr>
              <w:t>7%</w:t>
            </w:r>
          </w:p>
        </w:tc>
        <w:tc>
          <w:tcPr>
            <w:tcW w:w="433" w:type="pct"/>
          </w:tcPr>
          <w:p w:rsidR="0032327C" w:rsidRPr="00810248" w:rsidP="0032327C" w14:paraId="720EBA96" w14:textId="77777777">
            <w:pPr>
              <w:pStyle w:val="NoSpacing"/>
              <w:rPr>
                <w:sz w:val="20"/>
                <w:szCs w:val="20"/>
              </w:rPr>
            </w:pPr>
          </w:p>
        </w:tc>
        <w:tc>
          <w:tcPr>
            <w:tcW w:w="553" w:type="pct"/>
          </w:tcPr>
          <w:p w:rsidR="0032327C" w:rsidRPr="00810248" w:rsidP="0032327C" w14:paraId="3A18F0D2" w14:textId="77777777">
            <w:pPr>
              <w:pStyle w:val="NoSpacing"/>
              <w:rPr>
                <w:sz w:val="20"/>
                <w:szCs w:val="20"/>
              </w:rPr>
            </w:pPr>
          </w:p>
        </w:tc>
      </w:tr>
      <w:tr w14:paraId="2542CDEF" w14:textId="77777777" w:rsidTr="00810248">
        <w:tblPrEx>
          <w:tblW w:w="5000" w:type="pct"/>
          <w:tblLook w:val="01E0"/>
        </w:tblPrEx>
        <w:tc>
          <w:tcPr>
            <w:tcW w:w="469" w:type="pct"/>
            <w:vMerge/>
          </w:tcPr>
          <w:p w:rsidR="0032327C" w:rsidRPr="00810248" w:rsidP="0032327C" w14:paraId="265DEF2D" w14:textId="77777777">
            <w:pPr>
              <w:pStyle w:val="NoSpacing"/>
              <w:rPr>
                <w:sz w:val="20"/>
                <w:szCs w:val="20"/>
              </w:rPr>
            </w:pPr>
          </w:p>
        </w:tc>
        <w:tc>
          <w:tcPr>
            <w:tcW w:w="1224" w:type="pct"/>
            <w:vMerge/>
          </w:tcPr>
          <w:p w:rsidR="0032327C" w:rsidRPr="00810248" w:rsidP="0032327C" w14:paraId="7CAD6989" w14:textId="77777777">
            <w:pPr>
              <w:pStyle w:val="NoSpacing"/>
              <w:rPr>
                <w:sz w:val="20"/>
                <w:szCs w:val="20"/>
              </w:rPr>
            </w:pPr>
          </w:p>
        </w:tc>
        <w:tc>
          <w:tcPr>
            <w:tcW w:w="443" w:type="pct"/>
          </w:tcPr>
          <w:p w:rsidR="0032327C" w:rsidRPr="00810248" w:rsidP="0032327C" w14:paraId="23B6A4F5" w14:textId="77777777">
            <w:pPr>
              <w:pStyle w:val="NoSpacing"/>
              <w:rPr>
                <w:sz w:val="20"/>
                <w:szCs w:val="20"/>
              </w:rPr>
            </w:pPr>
          </w:p>
        </w:tc>
        <w:tc>
          <w:tcPr>
            <w:tcW w:w="443" w:type="pct"/>
          </w:tcPr>
          <w:p w:rsidR="0032327C" w:rsidRPr="00810248" w:rsidP="0032327C" w14:paraId="30E30BF8" w14:textId="77777777">
            <w:pPr>
              <w:pStyle w:val="NoSpacing"/>
              <w:rPr>
                <w:sz w:val="20"/>
                <w:szCs w:val="20"/>
              </w:rPr>
            </w:pPr>
          </w:p>
        </w:tc>
        <w:tc>
          <w:tcPr>
            <w:tcW w:w="443" w:type="pct"/>
          </w:tcPr>
          <w:p w:rsidR="0032327C" w:rsidRPr="00810248" w:rsidP="0032327C" w14:paraId="114EEF14" w14:textId="77777777">
            <w:pPr>
              <w:pStyle w:val="NoSpacing"/>
              <w:rPr>
                <w:sz w:val="20"/>
                <w:szCs w:val="20"/>
              </w:rPr>
            </w:pPr>
          </w:p>
        </w:tc>
        <w:tc>
          <w:tcPr>
            <w:tcW w:w="537" w:type="pct"/>
          </w:tcPr>
          <w:p w:rsidR="0032327C" w:rsidRPr="00810248" w:rsidP="0032327C" w14:paraId="1C369EC5" w14:textId="77777777">
            <w:pPr>
              <w:pStyle w:val="NoSpacing"/>
              <w:rPr>
                <w:sz w:val="20"/>
                <w:szCs w:val="20"/>
              </w:rPr>
            </w:pPr>
          </w:p>
        </w:tc>
        <w:tc>
          <w:tcPr>
            <w:tcW w:w="454" w:type="pct"/>
          </w:tcPr>
          <w:p w:rsidR="0032327C" w:rsidRPr="00810248" w:rsidP="0032327C" w14:paraId="7675B07F" w14:textId="77777777">
            <w:pPr>
              <w:pStyle w:val="NoSpacing"/>
              <w:jc w:val="center"/>
              <w:rPr>
                <w:sz w:val="20"/>
                <w:szCs w:val="20"/>
              </w:rPr>
            </w:pPr>
            <w:r w:rsidRPr="00810248">
              <w:rPr>
                <w:sz w:val="20"/>
                <w:szCs w:val="20"/>
              </w:rPr>
              <w:t>3%</w:t>
            </w:r>
          </w:p>
        </w:tc>
        <w:tc>
          <w:tcPr>
            <w:tcW w:w="433" w:type="pct"/>
          </w:tcPr>
          <w:p w:rsidR="0032327C" w:rsidRPr="00810248" w:rsidP="0032327C" w14:paraId="1C00FC8A" w14:textId="77777777">
            <w:pPr>
              <w:pStyle w:val="NoSpacing"/>
              <w:rPr>
                <w:sz w:val="20"/>
                <w:szCs w:val="20"/>
              </w:rPr>
            </w:pPr>
          </w:p>
        </w:tc>
        <w:tc>
          <w:tcPr>
            <w:tcW w:w="553" w:type="pct"/>
          </w:tcPr>
          <w:p w:rsidR="0032327C" w:rsidRPr="00810248" w:rsidP="0032327C" w14:paraId="6CE4EC1C" w14:textId="77777777">
            <w:pPr>
              <w:pStyle w:val="NoSpacing"/>
              <w:rPr>
                <w:sz w:val="20"/>
                <w:szCs w:val="20"/>
              </w:rPr>
            </w:pPr>
          </w:p>
        </w:tc>
      </w:tr>
      <w:tr w14:paraId="14DC5A8F" w14:textId="77777777" w:rsidTr="00810248">
        <w:tblPrEx>
          <w:tblW w:w="5000" w:type="pct"/>
          <w:tblLook w:val="01E0"/>
        </w:tblPrEx>
        <w:tc>
          <w:tcPr>
            <w:tcW w:w="469" w:type="pct"/>
            <w:vMerge/>
          </w:tcPr>
          <w:p w:rsidR="00810248" w:rsidRPr="00810248" w:rsidP="0032327C" w14:paraId="0EE302B3" w14:textId="77777777">
            <w:pPr>
              <w:pStyle w:val="NoSpacing"/>
              <w:rPr>
                <w:sz w:val="20"/>
                <w:szCs w:val="20"/>
              </w:rPr>
            </w:pPr>
          </w:p>
        </w:tc>
        <w:tc>
          <w:tcPr>
            <w:tcW w:w="1224" w:type="pct"/>
          </w:tcPr>
          <w:p w:rsidR="00810248" w:rsidRPr="00810248" w:rsidP="0032327C" w14:paraId="35EB3B55" w14:textId="77777777">
            <w:pPr>
              <w:pStyle w:val="NoSpacing"/>
              <w:rPr>
                <w:sz w:val="20"/>
                <w:szCs w:val="20"/>
              </w:rPr>
            </w:pPr>
            <w:r w:rsidRPr="00810248">
              <w:rPr>
                <w:sz w:val="20"/>
                <w:szCs w:val="20"/>
              </w:rPr>
              <w:t>Qualitative</w:t>
            </w:r>
          </w:p>
        </w:tc>
        <w:tc>
          <w:tcPr>
            <w:tcW w:w="2754" w:type="pct"/>
            <w:gridSpan w:val="6"/>
          </w:tcPr>
          <w:p w:rsidR="00810248" w:rsidRPr="00810248" w:rsidP="0032327C" w14:paraId="36A265CD" w14:textId="2CFF716D">
            <w:pPr>
              <w:pStyle w:val="NoSpacing"/>
              <w:rPr>
                <w:sz w:val="20"/>
                <w:szCs w:val="20"/>
              </w:rPr>
            </w:pPr>
            <w:r w:rsidRPr="00810248">
              <w:rPr>
                <w:sz w:val="20"/>
                <w:szCs w:val="20"/>
              </w:rPr>
              <w:t>Maintaining resumes for consultants, and potential cost of relabeling medical air containers.</w:t>
            </w:r>
          </w:p>
        </w:tc>
        <w:tc>
          <w:tcPr>
            <w:tcW w:w="553" w:type="pct"/>
          </w:tcPr>
          <w:p w:rsidR="00810248" w:rsidRPr="00810248" w:rsidP="0032327C" w14:paraId="0F283740" w14:textId="77777777">
            <w:pPr>
              <w:pStyle w:val="NoSpacing"/>
              <w:rPr>
                <w:sz w:val="20"/>
                <w:szCs w:val="20"/>
              </w:rPr>
            </w:pPr>
          </w:p>
        </w:tc>
      </w:tr>
      <w:tr w14:paraId="0811E370" w14:textId="77777777" w:rsidTr="00810248">
        <w:tblPrEx>
          <w:tblW w:w="5000" w:type="pct"/>
          <w:tblLook w:val="01E0"/>
        </w:tblPrEx>
        <w:tc>
          <w:tcPr>
            <w:tcW w:w="469" w:type="pct"/>
            <w:vMerge w:val="restart"/>
            <w:vAlign w:val="center"/>
          </w:tcPr>
          <w:p w:rsidR="0032327C" w:rsidRPr="00810248" w:rsidP="0032327C" w14:paraId="648ADE4A" w14:textId="77777777">
            <w:pPr>
              <w:pStyle w:val="NoSpacing"/>
              <w:rPr>
                <w:sz w:val="20"/>
                <w:szCs w:val="20"/>
              </w:rPr>
            </w:pPr>
            <w:r w:rsidRPr="00810248">
              <w:rPr>
                <w:sz w:val="20"/>
                <w:szCs w:val="20"/>
              </w:rPr>
              <w:t>Transfers</w:t>
            </w:r>
          </w:p>
        </w:tc>
        <w:tc>
          <w:tcPr>
            <w:tcW w:w="1224" w:type="pct"/>
            <w:vMerge w:val="restart"/>
          </w:tcPr>
          <w:p w:rsidR="0032327C" w:rsidRPr="00810248" w:rsidP="0032327C" w14:paraId="3E7E9B85" w14:textId="77777777">
            <w:pPr>
              <w:pStyle w:val="NoSpacing"/>
              <w:rPr>
                <w:sz w:val="20"/>
                <w:szCs w:val="20"/>
              </w:rPr>
            </w:pPr>
            <w:r w:rsidRPr="00810248">
              <w:rPr>
                <w:sz w:val="20"/>
                <w:szCs w:val="20"/>
              </w:rPr>
              <w:t xml:space="preserve">Federal Annualized </w:t>
            </w:r>
          </w:p>
          <w:p w:rsidR="0032327C" w:rsidRPr="00810248" w:rsidP="0032327C" w14:paraId="1A21009B" w14:textId="77777777">
            <w:pPr>
              <w:pStyle w:val="NoSpacing"/>
              <w:rPr>
                <w:sz w:val="20"/>
                <w:szCs w:val="20"/>
              </w:rPr>
            </w:pPr>
            <w:r w:rsidRPr="00810248">
              <w:rPr>
                <w:sz w:val="20"/>
                <w:szCs w:val="20"/>
              </w:rPr>
              <w:t>Monetized $millions/year</w:t>
            </w:r>
          </w:p>
        </w:tc>
        <w:tc>
          <w:tcPr>
            <w:tcW w:w="443" w:type="pct"/>
          </w:tcPr>
          <w:p w:rsidR="0032327C" w:rsidRPr="00810248" w:rsidP="0032327C" w14:paraId="7F20F220" w14:textId="77777777">
            <w:pPr>
              <w:pStyle w:val="NoSpacing"/>
              <w:rPr>
                <w:sz w:val="20"/>
                <w:szCs w:val="20"/>
              </w:rPr>
            </w:pPr>
          </w:p>
        </w:tc>
        <w:tc>
          <w:tcPr>
            <w:tcW w:w="443" w:type="pct"/>
          </w:tcPr>
          <w:p w:rsidR="0032327C" w:rsidRPr="00810248" w:rsidP="0032327C" w14:paraId="2DF5C231" w14:textId="77777777">
            <w:pPr>
              <w:pStyle w:val="NoSpacing"/>
              <w:rPr>
                <w:sz w:val="20"/>
                <w:szCs w:val="20"/>
              </w:rPr>
            </w:pPr>
          </w:p>
        </w:tc>
        <w:tc>
          <w:tcPr>
            <w:tcW w:w="443" w:type="pct"/>
          </w:tcPr>
          <w:p w:rsidR="0032327C" w:rsidRPr="00810248" w:rsidP="0032327C" w14:paraId="4827A259" w14:textId="77777777">
            <w:pPr>
              <w:pStyle w:val="NoSpacing"/>
              <w:rPr>
                <w:sz w:val="20"/>
                <w:szCs w:val="20"/>
              </w:rPr>
            </w:pPr>
          </w:p>
        </w:tc>
        <w:tc>
          <w:tcPr>
            <w:tcW w:w="537" w:type="pct"/>
          </w:tcPr>
          <w:p w:rsidR="0032327C" w:rsidRPr="00810248" w:rsidP="0032327C" w14:paraId="338C144A" w14:textId="77777777">
            <w:pPr>
              <w:pStyle w:val="NoSpacing"/>
              <w:rPr>
                <w:sz w:val="20"/>
                <w:szCs w:val="20"/>
              </w:rPr>
            </w:pPr>
          </w:p>
        </w:tc>
        <w:tc>
          <w:tcPr>
            <w:tcW w:w="454" w:type="pct"/>
          </w:tcPr>
          <w:p w:rsidR="0032327C" w:rsidRPr="00810248" w:rsidP="0032327C" w14:paraId="1FF31A33" w14:textId="77777777">
            <w:pPr>
              <w:pStyle w:val="NoSpacing"/>
              <w:jc w:val="center"/>
              <w:rPr>
                <w:sz w:val="20"/>
                <w:szCs w:val="20"/>
              </w:rPr>
            </w:pPr>
            <w:r w:rsidRPr="00810248">
              <w:rPr>
                <w:sz w:val="20"/>
                <w:szCs w:val="20"/>
              </w:rPr>
              <w:t>7%</w:t>
            </w:r>
          </w:p>
        </w:tc>
        <w:tc>
          <w:tcPr>
            <w:tcW w:w="433" w:type="pct"/>
          </w:tcPr>
          <w:p w:rsidR="0032327C" w:rsidRPr="00810248" w:rsidP="0032327C" w14:paraId="4C40DCA9" w14:textId="77777777">
            <w:pPr>
              <w:pStyle w:val="NoSpacing"/>
              <w:rPr>
                <w:sz w:val="20"/>
                <w:szCs w:val="20"/>
              </w:rPr>
            </w:pPr>
          </w:p>
        </w:tc>
        <w:tc>
          <w:tcPr>
            <w:tcW w:w="553" w:type="pct"/>
          </w:tcPr>
          <w:p w:rsidR="0032327C" w:rsidRPr="00810248" w:rsidP="0032327C" w14:paraId="6F5E19D5" w14:textId="77777777">
            <w:pPr>
              <w:pStyle w:val="NoSpacing"/>
              <w:rPr>
                <w:sz w:val="20"/>
                <w:szCs w:val="20"/>
              </w:rPr>
            </w:pPr>
          </w:p>
        </w:tc>
      </w:tr>
      <w:tr w14:paraId="54BC5083" w14:textId="77777777" w:rsidTr="00810248">
        <w:tblPrEx>
          <w:tblW w:w="5000" w:type="pct"/>
          <w:tblLook w:val="01E0"/>
        </w:tblPrEx>
        <w:tc>
          <w:tcPr>
            <w:tcW w:w="469" w:type="pct"/>
            <w:vMerge/>
          </w:tcPr>
          <w:p w:rsidR="0032327C" w:rsidRPr="00810248" w:rsidP="0032327C" w14:paraId="314EF842" w14:textId="77777777">
            <w:pPr>
              <w:pStyle w:val="NoSpacing"/>
              <w:rPr>
                <w:sz w:val="20"/>
                <w:szCs w:val="20"/>
              </w:rPr>
            </w:pPr>
          </w:p>
        </w:tc>
        <w:tc>
          <w:tcPr>
            <w:tcW w:w="1224" w:type="pct"/>
            <w:vMerge/>
          </w:tcPr>
          <w:p w:rsidR="0032327C" w:rsidRPr="00810248" w:rsidP="0032327C" w14:paraId="3D96DB23" w14:textId="77777777">
            <w:pPr>
              <w:pStyle w:val="NoSpacing"/>
              <w:rPr>
                <w:sz w:val="20"/>
                <w:szCs w:val="20"/>
              </w:rPr>
            </w:pPr>
          </w:p>
        </w:tc>
        <w:tc>
          <w:tcPr>
            <w:tcW w:w="443" w:type="pct"/>
          </w:tcPr>
          <w:p w:rsidR="0032327C" w:rsidRPr="00810248" w:rsidP="0032327C" w14:paraId="5F619B6A" w14:textId="77777777">
            <w:pPr>
              <w:pStyle w:val="NoSpacing"/>
              <w:rPr>
                <w:sz w:val="20"/>
                <w:szCs w:val="20"/>
              </w:rPr>
            </w:pPr>
          </w:p>
        </w:tc>
        <w:tc>
          <w:tcPr>
            <w:tcW w:w="443" w:type="pct"/>
          </w:tcPr>
          <w:p w:rsidR="0032327C" w:rsidRPr="00810248" w:rsidP="0032327C" w14:paraId="3E941935" w14:textId="77777777">
            <w:pPr>
              <w:pStyle w:val="NoSpacing"/>
              <w:rPr>
                <w:sz w:val="20"/>
                <w:szCs w:val="20"/>
              </w:rPr>
            </w:pPr>
          </w:p>
        </w:tc>
        <w:tc>
          <w:tcPr>
            <w:tcW w:w="443" w:type="pct"/>
          </w:tcPr>
          <w:p w:rsidR="0032327C" w:rsidRPr="00810248" w:rsidP="0032327C" w14:paraId="5297EF14" w14:textId="77777777">
            <w:pPr>
              <w:pStyle w:val="NoSpacing"/>
              <w:rPr>
                <w:sz w:val="20"/>
                <w:szCs w:val="20"/>
              </w:rPr>
            </w:pPr>
          </w:p>
        </w:tc>
        <w:tc>
          <w:tcPr>
            <w:tcW w:w="537" w:type="pct"/>
          </w:tcPr>
          <w:p w:rsidR="0032327C" w:rsidRPr="00810248" w:rsidP="0032327C" w14:paraId="29BBB087" w14:textId="77777777">
            <w:pPr>
              <w:pStyle w:val="NoSpacing"/>
              <w:rPr>
                <w:sz w:val="20"/>
                <w:szCs w:val="20"/>
              </w:rPr>
            </w:pPr>
          </w:p>
        </w:tc>
        <w:tc>
          <w:tcPr>
            <w:tcW w:w="454" w:type="pct"/>
          </w:tcPr>
          <w:p w:rsidR="0032327C" w:rsidRPr="00810248" w:rsidP="0032327C" w14:paraId="206FF1DA" w14:textId="77777777">
            <w:pPr>
              <w:pStyle w:val="NoSpacing"/>
              <w:jc w:val="center"/>
              <w:rPr>
                <w:sz w:val="20"/>
                <w:szCs w:val="20"/>
              </w:rPr>
            </w:pPr>
            <w:r w:rsidRPr="00810248">
              <w:rPr>
                <w:sz w:val="20"/>
                <w:szCs w:val="20"/>
              </w:rPr>
              <w:t>3%</w:t>
            </w:r>
          </w:p>
        </w:tc>
        <w:tc>
          <w:tcPr>
            <w:tcW w:w="433" w:type="pct"/>
          </w:tcPr>
          <w:p w:rsidR="0032327C" w:rsidRPr="00810248" w:rsidP="0032327C" w14:paraId="019E04A0" w14:textId="77777777">
            <w:pPr>
              <w:pStyle w:val="NoSpacing"/>
              <w:rPr>
                <w:sz w:val="20"/>
                <w:szCs w:val="20"/>
              </w:rPr>
            </w:pPr>
          </w:p>
        </w:tc>
        <w:tc>
          <w:tcPr>
            <w:tcW w:w="553" w:type="pct"/>
          </w:tcPr>
          <w:p w:rsidR="0032327C" w:rsidRPr="00810248" w:rsidP="0032327C" w14:paraId="26242C18" w14:textId="77777777">
            <w:pPr>
              <w:pStyle w:val="NoSpacing"/>
              <w:rPr>
                <w:sz w:val="20"/>
                <w:szCs w:val="20"/>
              </w:rPr>
            </w:pPr>
          </w:p>
        </w:tc>
      </w:tr>
      <w:tr w14:paraId="117F4FD7" w14:textId="77777777" w:rsidTr="00810248">
        <w:tblPrEx>
          <w:tblW w:w="5000" w:type="pct"/>
          <w:tblLook w:val="01E0"/>
        </w:tblPrEx>
        <w:tc>
          <w:tcPr>
            <w:tcW w:w="469" w:type="pct"/>
            <w:vMerge/>
          </w:tcPr>
          <w:p w:rsidR="0032327C" w:rsidRPr="00810248" w:rsidP="0032327C" w14:paraId="576994FB" w14:textId="77777777">
            <w:pPr>
              <w:pStyle w:val="NoSpacing"/>
              <w:rPr>
                <w:sz w:val="20"/>
                <w:szCs w:val="20"/>
              </w:rPr>
            </w:pPr>
          </w:p>
        </w:tc>
        <w:tc>
          <w:tcPr>
            <w:tcW w:w="1224" w:type="pct"/>
          </w:tcPr>
          <w:p w:rsidR="0032327C" w:rsidRPr="00810248" w:rsidP="0032327C" w14:paraId="08854C2F" w14:textId="77777777">
            <w:pPr>
              <w:pStyle w:val="NoSpacing"/>
              <w:rPr>
                <w:sz w:val="20"/>
                <w:szCs w:val="20"/>
              </w:rPr>
            </w:pPr>
            <w:r w:rsidRPr="00810248">
              <w:rPr>
                <w:sz w:val="20"/>
                <w:szCs w:val="20"/>
              </w:rPr>
              <w:t>From/ To</w:t>
            </w:r>
          </w:p>
        </w:tc>
        <w:tc>
          <w:tcPr>
            <w:tcW w:w="1330" w:type="pct"/>
            <w:gridSpan w:val="3"/>
          </w:tcPr>
          <w:p w:rsidR="0032327C" w:rsidRPr="00810248" w:rsidP="0032327C" w14:paraId="7CC8693C" w14:textId="77777777">
            <w:pPr>
              <w:pStyle w:val="NoSpacing"/>
              <w:rPr>
                <w:sz w:val="20"/>
                <w:szCs w:val="20"/>
              </w:rPr>
            </w:pPr>
            <w:r w:rsidRPr="00810248">
              <w:rPr>
                <w:sz w:val="20"/>
                <w:szCs w:val="20"/>
              </w:rPr>
              <w:t>From:</w:t>
            </w:r>
          </w:p>
        </w:tc>
        <w:tc>
          <w:tcPr>
            <w:tcW w:w="1424" w:type="pct"/>
            <w:gridSpan w:val="3"/>
          </w:tcPr>
          <w:p w:rsidR="0032327C" w:rsidRPr="00810248" w:rsidP="0032327C" w14:paraId="2F7A0B8C" w14:textId="77777777">
            <w:pPr>
              <w:pStyle w:val="NoSpacing"/>
              <w:rPr>
                <w:sz w:val="20"/>
                <w:szCs w:val="20"/>
              </w:rPr>
            </w:pPr>
            <w:r w:rsidRPr="00810248">
              <w:rPr>
                <w:sz w:val="20"/>
                <w:szCs w:val="20"/>
              </w:rPr>
              <w:t>To:</w:t>
            </w:r>
          </w:p>
        </w:tc>
        <w:tc>
          <w:tcPr>
            <w:tcW w:w="553" w:type="pct"/>
          </w:tcPr>
          <w:p w:rsidR="0032327C" w:rsidRPr="00810248" w:rsidP="0032327C" w14:paraId="7819D14C" w14:textId="77777777">
            <w:pPr>
              <w:pStyle w:val="NoSpacing"/>
              <w:rPr>
                <w:sz w:val="20"/>
                <w:szCs w:val="20"/>
              </w:rPr>
            </w:pPr>
          </w:p>
        </w:tc>
      </w:tr>
      <w:tr w14:paraId="2C9D222C" w14:textId="77777777" w:rsidTr="00810248">
        <w:tblPrEx>
          <w:tblW w:w="5000" w:type="pct"/>
          <w:tblLook w:val="01E0"/>
        </w:tblPrEx>
        <w:tc>
          <w:tcPr>
            <w:tcW w:w="469" w:type="pct"/>
            <w:vMerge/>
          </w:tcPr>
          <w:p w:rsidR="0032327C" w:rsidRPr="00810248" w:rsidP="0032327C" w14:paraId="5C26AF10" w14:textId="77777777">
            <w:pPr>
              <w:pStyle w:val="NoSpacing"/>
              <w:rPr>
                <w:sz w:val="20"/>
                <w:szCs w:val="20"/>
              </w:rPr>
            </w:pPr>
          </w:p>
        </w:tc>
        <w:tc>
          <w:tcPr>
            <w:tcW w:w="1224" w:type="pct"/>
            <w:vMerge w:val="restart"/>
          </w:tcPr>
          <w:p w:rsidR="0032327C" w:rsidRPr="00810248" w:rsidP="0032327C" w14:paraId="5316EF59" w14:textId="77777777">
            <w:pPr>
              <w:pStyle w:val="NoSpacing"/>
              <w:rPr>
                <w:sz w:val="20"/>
                <w:szCs w:val="20"/>
              </w:rPr>
            </w:pPr>
            <w:r w:rsidRPr="00810248">
              <w:rPr>
                <w:sz w:val="20"/>
                <w:szCs w:val="20"/>
              </w:rPr>
              <w:t xml:space="preserve">Other Annualized </w:t>
            </w:r>
          </w:p>
          <w:p w:rsidR="0032327C" w:rsidRPr="00810248" w:rsidP="0032327C" w14:paraId="31E910CF" w14:textId="77777777">
            <w:pPr>
              <w:pStyle w:val="NoSpacing"/>
              <w:rPr>
                <w:sz w:val="20"/>
                <w:szCs w:val="20"/>
              </w:rPr>
            </w:pPr>
            <w:r w:rsidRPr="00810248">
              <w:rPr>
                <w:sz w:val="20"/>
                <w:szCs w:val="20"/>
              </w:rPr>
              <w:t>Monetized $millions/year</w:t>
            </w:r>
          </w:p>
        </w:tc>
        <w:tc>
          <w:tcPr>
            <w:tcW w:w="443" w:type="pct"/>
          </w:tcPr>
          <w:p w:rsidR="0032327C" w:rsidRPr="00810248" w:rsidP="0032327C" w14:paraId="5536A91E" w14:textId="77777777">
            <w:pPr>
              <w:pStyle w:val="NoSpacing"/>
              <w:rPr>
                <w:sz w:val="20"/>
                <w:szCs w:val="20"/>
              </w:rPr>
            </w:pPr>
          </w:p>
        </w:tc>
        <w:tc>
          <w:tcPr>
            <w:tcW w:w="443" w:type="pct"/>
          </w:tcPr>
          <w:p w:rsidR="0032327C" w:rsidRPr="00810248" w:rsidP="0032327C" w14:paraId="2D02CE86" w14:textId="77777777">
            <w:pPr>
              <w:pStyle w:val="NoSpacing"/>
              <w:rPr>
                <w:sz w:val="20"/>
                <w:szCs w:val="20"/>
              </w:rPr>
            </w:pPr>
          </w:p>
        </w:tc>
        <w:tc>
          <w:tcPr>
            <w:tcW w:w="443" w:type="pct"/>
          </w:tcPr>
          <w:p w:rsidR="0032327C" w:rsidRPr="00810248" w:rsidP="0032327C" w14:paraId="5FB9B05D" w14:textId="77777777">
            <w:pPr>
              <w:pStyle w:val="NoSpacing"/>
              <w:rPr>
                <w:sz w:val="20"/>
                <w:szCs w:val="20"/>
              </w:rPr>
            </w:pPr>
          </w:p>
        </w:tc>
        <w:tc>
          <w:tcPr>
            <w:tcW w:w="537" w:type="pct"/>
          </w:tcPr>
          <w:p w:rsidR="0032327C" w:rsidRPr="00810248" w:rsidP="0032327C" w14:paraId="71AFB6C6" w14:textId="77777777">
            <w:pPr>
              <w:pStyle w:val="NoSpacing"/>
              <w:rPr>
                <w:sz w:val="20"/>
                <w:szCs w:val="20"/>
              </w:rPr>
            </w:pPr>
          </w:p>
        </w:tc>
        <w:tc>
          <w:tcPr>
            <w:tcW w:w="454" w:type="pct"/>
          </w:tcPr>
          <w:p w:rsidR="0032327C" w:rsidRPr="00810248" w:rsidP="0032327C" w14:paraId="7D03C5B5" w14:textId="77777777">
            <w:pPr>
              <w:pStyle w:val="NoSpacing"/>
              <w:jc w:val="center"/>
              <w:rPr>
                <w:sz w:val="20"/>
                <w:szCs w:val="20"/>
              </w:rPr>
            </w:pPr>
            <w:r w:rsidRPr="00810248">
              <w:rPr>
                <w:sz w:val="20"/>
                <w:szCs w:val="20"/>
              </w:rPr>
              <w:t>7%</w:t>
            </w:r>
          </w:p>
        </w:tc>
        <w:tc>
          <w:tcPr>
            <w:tcW w:w="433" w:type="pct"/>
          </w:tcPr>
          <w:p w:rsidR="0032327C" w:rsidRPr="00810248" w:rsidP="0032327C" w14:paraId="14C4B3A8" w14:textId="77777777">
            <w:pPr>
              <w:pStyle w:val="NoSpacing"/>
              <w:rPr>
                <w:sz w:val="20"/>
                <w:szCs w:val="20"/>
              </w:rPr>
            </w:pPr>
          </w:p>
        </w:tc>
        <w:tc>
          <w:tcPr>
            <w:tcW w:w="553" w:type="pct"/>
          </w:tcPr>
          <w:p w:rsidR="0032327C" w:rsidRPr="00810248" w:rsidP="0032327C" w14:paraId="592CF418" w14:textId="77777777">
            <w:pPr>
              <w:pStyle w:val="NoSpacing"/>
              <w:rPr>
                <w:sz w:val="20"/>
                <w:szCs w:val="20"/>
              </w:rPr>
            </w:pPr>
          </w:p>
        </w:tc>
      </w:tr>
      <w:tr w14:paraId="078F75DE" w14:textId="77777777" w:rsidTr="00810248">
        <w:tblPrEx>
          <w:tblW w:w="5000" w:type="pct"/>
          <w:tblLook w:val="01E0"/>
        </w:tblPrEx>
        <w:tc>
          <w:tcPr>
            <w:tcW w:w="469" w:type="pct"/>
            <w:vMerge/>
          </w:tcPr>
          <w:p w:rsidR="0032327C" w:rsidRPr="00810248" w:rsidP="0032327C" w14:paraId="2334C994" w14:textId="77777777">
            <w:pPr>
              <w:pStyle w:val="NoSpacing"/>
              <w:rPr>
                <w:sz w:val="20"/>
                <w:szCs w:val="20"/>
              </w:rPr>
            </w:pPr>
          </w:p>
        </w:tc>
        <w:tc>
          <w:tcPr>
            <w:tcW w:w="1224" w:type="pct"/>
            <w:vMerge/>
          </w:tcPr>
          <w:p w:rsidR="0032327C" w:rsidRPr="00810248" w:rsidP="0032327C" w14:paraId="3B25F334" w14:textId="77777777">
            <w:pPr>
              <w:pStyle w:val="NoSpacing"/>
              <w:rPr>
                <w:sz w:val="20"/>
                <w:szCs w:val="20"/>
              </w:rPr>
            </w:pPr>
          </w:p>
        </w:tc>
        <w:tc>
          <w:tcPr>
            <w:tcW w:w="443" w:type="pct"/>
          </w:tcPr>
          <w:p w:rsidR="0032327C" w:rsidRPr="00810248" w:rsidP="0032327C" w14:paraId="39EFF3D3" w14:textId="77777777">
            <w:pPr>
              <w:pStyle w:val="NoSpacing"/>
              <w:rPr>
                <w:sz w:val="20"/>
                <w:szCs w:val="20"/>
              </w:rPr>
            </w:pPr>
          </w:p>
        </w:tc>
        <w:tc>
          <w:tcPr>
            <w:tcW w:w="443" w:type="pct"/>
          </w:tcPr>
          <w:p w:rsidR="0032327C" w:rsidRPr="00810248" w:rsidP="0032327C" w14:paraId="4569A8A3" w14:textId="77777777">
            <w:pPr>
              <w:pStyle w:val="NoSpacing"/>
              <w:rPr>
                <w:sz w:val="20"/>
                <w:szCs w:val="20"/>
              </w:rPr>
            </w:pPr>
          </w:p>
        </w:tc>
        <w:tc>
          <w:tcPr>
            <w:tcW w:w="443" w:type="pct"/>
          </w:tcPr>
          <w:p w:rsidR="0032327C" w:rsidRPr="00810248" w:rsidP="0032327C" w14:paraId="01775DE5" w14:textId="77777777">
            <w:pPr>
              <w:pStyle w:val="NoSpacing"/>
              <w:rPr>
                <w:sz w:val="20"/>
                <w:szCs w:val="20"/>
              </w:rPr>
            </w:pPr>
          </w:p>
        </w:tc>
        <w:tc>
          <w:tcPr>
            <w:tcW w:w="537" w:type="pct"/>
          </w:tcPr>
          <w:p w:rsidR="0032327C" w:rsidRPr="00810248" w:rsidP="0032327C" w14:paraId="5B59C426" w14:textId="77777777">
            <w:pPr>
              <w:pStyle w:val="NoSpacing"/>
              <w:rPr>
                <w:sz w:val="20"/>
                <w:szCs w:val="20"/>
              </w:rPr>
            </w:pPr>
          </w:p>
        </w:tc>
        <w:tc>
          <w:tcPr>
            <w:tcW w:w="454" w:type="pct"/>
          </w:tcPr>
          <w:p w:rsidR="0032327C" w:rsidRPr="00810248" w:rsidP="0032327C" w14:paraId="1DC6DB39" w14:textId="77777777">
            <w:pPr>
              <w:pStyle w:val="NoSpacing"/>
              <w:jc w:val="center"/>
              <w:rPr>
                <w:sz w:val="20"/>
                <w:szCs w:val="20"/>
              </w:rPr>
            </w:pPr>
            <w:r w:rsidRPr="00810248">
              <w:rPr>
                <w:sz w:val="20"/>
                <w:szCs w:val="20"/>
              </w:rPr>
              <w:t>3%</w:t>
            </w:r>
          </w:p>
        </w:tc>
        <w:tc>
          <w:tcPr>
            <w:tcW w:w="433" w:type="pct"/>
          </w:tcPr>
          <w:p w:rsidR="0032327C" w:rsidRPr="00810248" w:rsidP="0032327C" w14:paraId="70D4CA7C" w14:textId="77777777">
            <w:pPr>
              <w:pStyle w:val="NoSpacing"/>
              <w:rPr>
                <w:sz w:val="20"/>
                <w:szCs w:val="20"/>
              </w:rPr>
            </w:pPr>
          </w:p>
        </w:tc>
        <w:tc>
          <w:tcPr>
            <w:tcW w:w="553" w:type="pct"/>
          </w:tcPr>
          <w:p w:rsidR="0032327C" w:rsidRPr="00810248" w:rsidP="0032327C" w14:paraId="2E68DA67" w14:textId="77777777">
            <w:pPr>
              <w:pStyle w:val="NoSpacing"/>
              <w:rPr>
                <w:sz w:val="20"/>
                <w:szCs w:val="20"/>
              </w:rPr>
            </w:pPr>
          </w:p>
        </w:tc>
      </w:tr>
      <w:tr w14:paraId="006FA693" w14:textId="77777777" w:rsidTr="00810248">
        <w:tblPrEx>
          <w:tblW w:w="5000" w:type="pct"/>
          <w:tblLook w:val="01E0"/>
        </w:tblPrEx>
        <w:tc>
          <w:tcPr>
            <w:tcW w:w="469" w:type="pct"/>
            <w:vMerge/>
          </w:tcPr>
          <w:p w:rsidR="0032327C" w:rsidRPr="00810248" w:rsidP="0032327C" w14:paraId="25A96DF6" w14:textId="77777777">
            <w:pPr>
              <w:pStyle w:val="NoSpacing"/>
              <w:rPr>
                <w:sz w:val="20"/>
                <w:szCs w:val="20"/>
              </w:rPr>
            </w:pPr>
          </w:p>
        </w:tc>
        <w:tc>
          <w:tcPr>
            <w:tcW w:w="1224" w:type="pct"/>
          </w:tcPr>
          <w:p w:rsidR="0032327C" w:rsidRPr="00810248" w:rsidP="0032327C" w14:paraId="6FEC4590" w14:textId="77777777">
            <w:pPr>
              <w:pStyle w:val="NoSpacing"/>
              <w:rPr>
                <w:sz w:val="20"/>
                <w:szCs w:val="20"/>
              </w:rPr>
            </w:pPr>
            <w:r w:rsidRPr="00810248">
              <w:rPr>
                <w:sz w:val="20"/>
                <w:szCs w:val="20"/>
              </w:rPr>
              <w:t>From/To</w:t>
            </w:r>
          </w:p>
        </w:tc>
        <w:tc>
          <w:tcPr>
            <w:tcW w:w="1330" w:type="pct"/>
            <w:gridSpan w:val="3"/>
          </w:tcPr>
          <w:p w:rsidR="0032327C" w:rsidRPr="00810248" w:rsidP="0032327C" w14:paraId="5635A54A" w14:textId="77777777">
            <w:pPr>
              <w:pStyle w:val="NoSpacing"/>
              <w:rPr>
                <w:sz w:val="20"/>
                <w:szCs w:val="20"/>
              </w:rPr>
            </w:pPr>
            <w:r w:rsidRPr="00810248">
              <w:rPr>
                <w:sz w:val="20"/>
                <w:szCs w:val="20"/>
              </w:rPr>
              <w:t>From:</w:t>
            </w:r>
          </w:p>
        </w:tc>
        <w:tc>
          <w:tcPr>
            <w:tcW w:w="1424" w:type="pct"/>
            <w:gridSpan w:val="3"/>
          </w:tcPr>
          <w:p w:rsidR="0032327C" w:rsidRPr="00810248" w:rsidP="0032327C" w14:paraId="6312EB03" w14:textId="77777777">
            <w:pPr>
              <w:pStyle w:val="NoSpacing"/>
              <w:rPr>
                <w:sz w:val="20"/>
                <w:szCs w:val="20"/>
              </w:rPr>
            </w:pPr>
            <w:r w:rsidRPr="00810248">
              <w:rPr>
                <w:sz w:val="20"/>
                <w:szCs w:val="20"/>
              </w:rPr>
              <w:t>To:</w:t>
            </w:r>
          </w:p>
        </w:tc>
        <w:tc>
          <w:tcPr>
            <w:tcW w:w="553" w:type="pct"/>
          </w:tcPr>
          <w:p w:rsidR="0032327C" w:rsidRPr="00810248" w:rsidP="0032327C" w14:paraId="67CEB7D7" w14:textId="77777777">
            <w:pPr>
              <w:pStyle w:val="NoSpacing"/>
              <w:rPr>
                <w:sz w:val="20"/>
                <w:szCs w:val="20"/>
              </w:rPr>
            </w:pPr>
          </w:p>
        </w:tc>
      </w:tr>
      <w:tr w14:paraId="514B0FBA" w14:textId="77777777" w:rsidTr="00810248">
        <w:tblPrEx>
          <w:tblW w:w="5000" w:type="pct"/>
          <w:tblLook w:val="01E0"/>
        </w:tblPrEx>
        <w:trPr>
          <w:trHeight w:val="926"/>
        </w:trPr>
        <w:tc>
          <w:tcPr>
            <w:tcW w:w="469" w:type="pct"/>
            <w:vAlign w:val="center"/>
          </w:tcPr>
          <w:p w:rsidR="0032327C" w:rsidRPr="00810248" w:rsidP="0032327C" w14:paraId="5656055B" w14:textId="77777777">
            <w:pPr>
              <w:pStyle w:val="NoSpacing"/>
              <w:rPr>
                <w:sz w:val="20"/>
                <w:szCs w:val="20"/>
              </w:rPr>
            </w:pPr>
            <w:r w:rsidRPr="00810248">
              <w:rPr>
                <w:sz w:val="20"/>
                <w:szCs w:val="20"/>
              </w:rPr>
              <w:t>Effects</w:t>
            </w:r>
          </w:p>
        </w:tc>
        <w:tc>
          <w:tcPr>
            <w:tcW w:w="4531" w:type="pct"/>
            <w:gridSpan w:val="8"/>
          </w:tcPr>
          <w:p w:rsidR="0032327C" w:rsidRPr="00810248" w:rsidP="0032327C" w14:paraId="3D18577D" w14:textId="0FA48323">
            <w:pPr>
              <w:pStyle w:val="NoSpacing"/>
              <w:rPr>
                <w:sz w:val="20"/>
                <w:szCs w:val="20"/>
              </w:rPr>
            </w:pPr>
            <w:r w:rsidRPr="00810248">
              <w:rPr>
                <w:sz w:val="20"/>
                <w:szCs w:val="20"/>
              </w:rPr>
              <w:t xml:space="preserve">State, Local or Tribal Government: </w:t>
            </w:r>
            <w:r w:rsidRPr="00810248" w:rsidR="0022449F">
              <w:rPr>
                <w:sz w:val="20"/>
                <w:szCs w:val="20"/>
              </w:rPr>
              <w:t>None</w:t>
            </w:r>
          </w:p>
          <w:p w:rsidR="0032327C" w:rsidRPr="00810248" w:rsidP="0032327C" w14:paraId="69E13D22" w14:textId="31C34B72">
            <w:pPr>
              <w:pStyle w:val="NoSpacing"/>
              <w:rPr>
                <w:sz w:val="20"/>
                <w:szCs w:val="20"/>
              </w:rPr>
            </w:pPr>
            <w:r w:rsidRPr="00810248">
              <w:rPr>
                <w:sz w:val="20"/>
                <w:szCs w:val="20"/>
              </w:rPr>
              <w:t xml:space="preserve">Small Business: </w:t>
            </w:r>
            <w:r w:rsidRPr="00810248" w:rsidR="0022449F">
              <w:rPr>
                <w:sz w:val="20"/>
                <w:szCs w:val="20"/>
              </w:rPr>
              <w:t>Not significant</w:t>
            </w:r>
          </w:p>
          <w:p w:rsidR="0032327C" w:rsidRPr="00810248" w:rsidP="0032327C" w14:paraId="00F342AF" w14:textId="46627E4C">
            <w:pPr>
              <w:pStyle w:val="NoSpacing"/>
              <w:rPr>
                <w:sz w:val="20"/>
                <w:szCs w:val="20"/>
              </w:rPr>
            </w:pPr>
            <w:r w:rsidRPr="00810248">
              <w:rPr>
                <w:sz w:val="20"/>
                <w:szCs w:val="20"/>
              </w:rPr>
              <w:t xml:space="preserve">Wages: </w:t>
            </w:r>
            <w:r w:rsidRPr="00810248" w:rsidR="0022449F">
              <w:rPr>
                <w:sz w:val="20"/>
                <w:szCs w:val="20"/>
              </w:rPr>
              <w:t>None</w:t>
            </w:r>
          </w:p>
          <w:p w:rsidR="0032327C" w:rsidRPr="00810248" w:rsidP="0032327C" w14:paraId="0F51D452" w14:textId="52082681">
            <w:pPr>
              <w:pStyle w:val="NoSpacing"/>
              <w:rPr>
                <w:sz w:val="20"/>
                <w:szCs w:val="20"/>
              </w:rPr>
            </w:pPr>
            <w:r w:rsidRPr="00810248">
              <w:rPr>
                <w:sz w:val="20"/>
                <w:szCs w:val="20"/>
              </w:rPr>
              <w:t xml:space="preserve">Growth: </w:t>
            </w:r>
            <w:r w:rsidRPr="00810248" w:rsidR="0022449F">
              <w:rPr>
                <w:sz w:val="20"/>
                <w:szCs w:val="20"/>
              </w:rPr>
              <w:t>None</w:t>
            </w:r>
          </w:p>
        </w:tc>
      </w:tr>
      <w:bookmarkEnd w:id="3"/>
    </w:tbl>
    <w:p w:rsidR="002C1752" w:rsidP="00152433" w14:paraId="1236F242" w14:textId="4C292043"/>
    <w:p w:rsidR="000659AD" w:rsidP="00152433" w14:paraId="60C78813" w14:textId="77777777"/>
    <w:p w:rsidR="00EB4456" w:rsidRPr="0053265D" w:rsidP="00152433" w14:paraId="19DD6DE8" w14:textId="17948751">
      <w:pPr>
        <w:pStyle w:val="Heading2"/>
      </w:pPr>
      <w:bookmarkStart w:id="12" w:name="_Toc18611087"/>
      <w:bookmarkStart w:id="13" w:name="_Toc33792458"/>
      <w:bookmarkStart w:id="14" w:name="_Toc148515707"/>
      <w:r w:rsidRPr="0053265D">
        <w:t>Terminology</w:t>
      </w:r>
      <w:bookmarkEnd w:id="12"/>
      <w:bookmarkEnd w:id="13"/>
      <w:bookmarkEnd w:id="14"/>
      <w:r w:rsidRPr="0053265D">
        <w:t xml:space="preserve"> </w:t>
      </w:r>
    </w:p>
    <w:p w:rsidR="001830CE" w:rsidP="00152433" w14:paraId="683B8E16" w14:textId="77777777">
      <w:pPr>
        <w:ind w:firstLine="720"/>
      </w:pPr>
    </w:p>
    <w:p w:rsidR="00EB4456" w:rsidP="00152433" w14:paraId="5ECE0FEE" w14:textId="5CC3FE9F">
      <w:pPr>
        <w:ind w:firstLine="720"/>
        <w:rPr>
          <w:rFonts w:eastAsia="Times New Roman"/>
        </w:rPr>
      </w:pPr>
      <w:r w:rsidRPr="0046739F">
        <w:t>In</w:t>
      </w:r>
      <w:r w:rsidR="002C1752">
        <w:t xml:space="preserve"> </w:t>
      </w:r>
      <w:r w:rsidRPr="00484BA0" w:rsidR="00484BA0">
        <w:fldChar w:fldCharType="begin"/>
      </w:r>
      <w:r w:rsidRPr="00484BA0" w:rsidR="00484BA0">
        <w:instrText xml:space="preserve"> REF _Ref132015499 \h </w:instrText>
      </w:r>
      <w:r w:rsidRPr="004848C7" w:rsidR="00484BA0">
        <w:instrText xml:space="preserve"> \* MERGEFORMAT </w:instrText>
      </w:r>
      <w:r w:rsidRPr="00484BA0" w:rsidR="00484BA0">
        <w:fldChar w:fldCharType="separate"/>
      </w:r>
      <w:r w:rsidRPr="004848C7" w:rsidR="00484BA0">
        <w:t xml:space="preserve">Table </w:t>
      </w:r>
      <w:r w:rsidRPr="004848C7" w:rsidR="00484BA0">
        <w:rPr>
          <w:noProof/>
        </w:rPr>
        <w:t>2</w:t>
      </w:r>
      <w:r w:rsidRPr="00484BA0" w:rsidR="00484BA0">
        <w:fldChar w:fldCharType="end"/>
      </w:r>
      <w:r w:rsidRPr="0046739F">
        <w:t xml:space="preserve">, we describe the key terms we use in this document. </w:t>
      </w:r>
      <w:r w:rsidRPr="0039110E">
        <w:t>We note that these definitions only apply to this document</w:t>
      </w:r>
      <w:r w:rsidR="00793DEC">
        <w:t>.</w:t>
      </w:r>
    </w:p>
    <w:p w:rsidR="00793DEC" w:rsidP="00152433" w14:paraId="0468EB04" w14:textId="172FA08A">
      <w:pPr>
        <w:rPr>
          <w:rFonts w:eastAsia="Times New Roman"/>
        </w:rPr>
      </w:pPr>
    </w:p>
    <w:p w:rsidR="00EB4456" w:rsidRPr="00382303" w:rsidP="00D36765" w14:paraId="22461593" w14:textId="5D2507AE">
      <w:pPr>
        <w:spacing w:after="0"/>
        <w:rPr>
          <w:b/>
        </w:rPr>
      </w:pPr>
      <w:bookmarkStart w:id="15" w:name="_Ref36641482"/>
      <w:bookmarkStart w:id="16" w:name="_Ref132015499"/>
      <w:bookmarkStart w:id="17" w:name="_Toc20386208"/>
      <w:bookmarkStart w:id="18" w:name="_Toc23712187"/>
      <w:bookmarkStart w:id="19" w:name="_Toc147238746"/>
      <w:r w:rsidRPr="00382303">
        <w:rPr>
          <w:b/>
        </w:rPr>
        <w:t xml:space="preserve">Table </w:t>
      </w:r>
      <w:r w:rsidRPr="00382303">
        <w:rPr>
          <w:b/>
        </w:rPr>
        <w:fldChar w:fldCharType="begin"/>
      </w:r>
      <w:r w:rsidRPr="00382303">
        <w:rPr>
          <w:b/>
        </w:rPr>
        <w:instrText xml:space="preserve"> SEQ Table \* ARABIC </w:instrText>
      </w:r>
      <w:r w:rsidRPr="00382303">
        <w:rPr>
          <w:b/>
        </w:rPr>
        <w:fldChar w:fldCharType="separate"/>
      </w:r>
      <w:r w:rsidR="00D36765">
        <w:rPr>
          <w:b/>
          <w:noProof/>
        </w:rPr>
        <w:t>2</w:t>
      </w:r>
      <w:r w:rsidRPr="00382303">
        <w:rPr>
          <w:b/>
        </w:rPr>
        <w:fldChar w:fldCharType="end"/>
      </w:r>
      <w:bookmarkEnd w:id="15"/>
      <w:bookmarkEnd w:id="16"/>
      <w:r w:rsidRPr="00382303">
        <w:rPr>
          <w:b/>
        </w:rPr>
        <w:t xml:space="preserve">. </w:t>
      </w:r>
      <w:r w:rsidRPr="00382303">
        <w:rPr>
          <w:b/>
        </w:rPr>
        <w:t>Key Terms in the Regulatory Impact Analysis</w:t>
      </w:r>
      <w:bookmarkEnd w:id="17"/>
      <w:bookmarkEnd w:id="18"/>
      <w:bookmarkEnd w:id="19"/>
    </w:p>
    <w:tbl>
      <w:tblPr>
        <w:tblStyle w:val="TableGrid"/>
        <w:tblW w:w="5000" w:type="pct"/>
        <w:tblLayout w:type="fixed"/>
        <w:tblLook w:val="04A0"/>
      </w:tblPr>
      <w:tblGrid>
        <w:gridCol w:w="1701"/>
        <w:gridCol w:w="7649"/>
      </w:tblGrid>
      <w:tr w14:paraId="4FA4CA19" w14:textId="77777777" w:rsidTr="004848C7">
        <w:tblPrEx>
          <w:tblW w:w="5000" w:type="pct"/>
          <w:tblLayout w:type="fixed"/>
          <w:tblLook w:val="04A0"/>
        </w:tblPrEx>
        <w:trPr>
          <w:tblHeader/>
        </w:trPr>
        <w:tc>
          <w:tcPr>
            <w:tcW w:w="1615" w:type="dxa"/>
            <w:shd w:val="clear" w:color="auto" w:fill="D9D9D9" w:themeFill="background1" w:themeFillShade="D9"/>
            <w:hideMark/>
          </w:tcPr>
          <w:p w:rsidR="00EB4456" w:rsidRPr="00714FC0" w:rsidP="003A065D" w14:paraId="75B66265" w14:textId="28D5AE34">
            <w:pPr>
              <w:rPr>
                <w:b/>
                <w:sz w:val="22"/>
                <w:szCs w:val="22"/>
              </w:rPr>
            </w:pPr>
            <w:r w:rsidRPr="00714FC0">
              <w:rPr>
                <w:b/>
                <w:sz w:val="22"/>
                <w:szCs w:val="22"/>
              </w:rPr>
              <w:t>Term</w:t>
            </w:r>
          </w:p>
        </w:tc>
        <w:tc>
          <w:tcPr>
            <w:tcW w:w="7260" w:type="dxa"/>
            <w:shd w:val="clear" w:color="auto" w:fill="D9D9D9" w:themeFill="background1" w:themeFillShade="D9"/>
            <w:hideMark/>
          </w:tcPr>
          <w:p w:rsidR="00EB4456" w:rsidRPr="00714FC0" w:rsidP="003A065D" w14:paraId="70E9AD28" w14:textId="77777777">
            <w:pPr>
              <w:rPr>
                <w:b/>
                <w:sz w:val="22"/>
                <w:szCs w:val="22"/>
              </w:rPr>
            </w:pPr>
            <w:r w:rsidRPr="00714FC0">
              <w:rPr>
                <w:b/>
                <w:sz w:val="22"/>
                <w:szCs w:val="22"/>
              </w:rPr>
              <w:t>Description</w:t>
            </w:r>
          </w:p>
        </w:tc>
      </w:tr>
      <w:tr w14:paraId="3A201DC0" w14:textId="77777777" w:rsidTr="004848C7">
        <w:tblPrEx>
          <w:tblW w:w="5000" w:type="pct"/>
          <w:tblLayout w:type="fixed"/>
          <w:tblLook w:val="04A0"/>
        </w:tblPrEx>
        <w:tc>
          <w:tcPr>
            <w:tcW w:w="1615" w:type="dxa"/>
          </w:tcPr>
          <w:p w:rsidR="00E16F37" w:rsidRPr="00714FC0" w:rsidP="00557240" w14:paraId="06A25EBB" w14:textId="2793D9E7">
            <w:pPr>
              <w:rPr>
                <w:sz w:val="22"/>
                <w:szCs w:val="22"/>
              </w:rPr>
            </w:pPr>
            <w:r w:rsidRPr="00714FC0">
              <w:rPr>
                <w:sz w:val="22"/>
                <w:szCs w:val="22"/>
              </w:rPr>
              <w:t>Adverse Event</w:t>
            </w:r>
          </w:p>
        </w:tc>
        <w:tc>
          <w:tcPr>
            <w:tcW w:w="7260" w:type="dxa"/>
          </w:tcPr>
          <w:p w:rsidR="00E16F37" w:rsidRPr="000C0D0D" w:rsidP="26F15A4F" w14:paraId="1E18D7EB" w14:textId="105D56F4">
            <w:pPr>
              <w:rPr>
                <w:sz w:val="22"/>
                <w:szCs w:val="22"/>
              </w:rPr>
            </w:pPr>
            <w:r>
              <w:rPr>
                <w:rFonts w:eastAsia="Times New Roman"/>
                <w:spacing w:val="-1"/>
                <w:sz w:val="22"/>
                <w:szCs w:val="22"/>
              </w:rPr>
              <w:t>A</w:t>
            </w:r>
            <w:r w:rsidRPr="00CF581F" w:rsidR="000C0D0D">
              <w:rPr>
                <w:rFonts w:eastAsia="Times New Roman"/>
                <w:spacing w:val="-1"/>
                <w:sz w:val="22"/>
                <w:szCs w:val="22"/>
              </w:rPr>
              <w:t>ny untoward medical occurrence associated with the use of a designated medical gas in humans or animals, whether or not it is considered related to the designated medical gas.</w:t>
            </w:r>
            <w:r w:rsidR="00B21D6B">
              <w:rPr>
                <w:rFonts w:eastAsia="Times New Roman"/>
                <w:spacing w:val="-1"/>
                <w:sz w:val="22"/>
                <w:szCs w:val="22"/>
              </w:rPr>
              <w:t xml:space="preserve"> </w:t>
            </w:r>
            <w:r w:rsidRPr="00CF581F" w:rsidR="000C0D0D">
              <w:rPr>
                <w:rFonts w:eastAsia="Times New Roman"/>
                <w:spacing w:val="-1"/>
                <w:sz w:val="22"/>
                <w:szCs w:val="22"/>
              </w:rPr>
              <w:t>An adverse event can occur in the course of the use of a designated medical gas; from overdose of a designated medical gas, whether accidental or intentional; from abuse of a designated medical gas; from discontinuation of the designated medical gas (e.g., physiological withdrawal); and it includes any failure of expected pharmacological action.</w:t>
            </w:r>
          </w:p>
        </w:tc>
      </w:tr>
      <w:tr w14:paraId="5A7E5163" w14:textId="77777777" w:rsidTr="004848C7">
        <w:tblPrEx>
          <w:tblW w:w="5000" w:type="pct"/>
          <w:tblLayout w:type="fixed"/>
          <w:tblLook w:val="04A0"/>
        </w:tblPrEx>
        <w:tc>
          <w:tcPr>
            <w:tcW w:w="1615" w:type="dxa"/>
          </w:tcPr>
          <w:p w:rsidR="00E16F37" w:rsidRPr="00714FC0" w:rsidP="00557240" w14:paraId="50ECCB62" w14:textId="50094BB9">
            <w:pPr>
              <w:rPr>
                <w:sz w:val="22"/>
                <w:szCs w:val="22"/>
              </w:rPr>
            </w:pPr>
            <w:r w:rsidRPr="00714FC0">
              <w:rPr>
                <w:sz w:val="22"/>
                <w:szCs w:val="22"/>
              </w:rPr>
              <w:t>Applicant</w:t>
            </w:r>
          </w:p>
        </w:tc>
        <w:tc>
          <w:tcPr>
            <w:tcW w:w="7260" w:type="dxa"/>
          </w:tcPr>
          <w:p w:rsidR="00E16F37" w:rsidRPr="00714FC0" w:rsidP="00557240" w14:paraId="2743436C" w14:textId="383FE5C9">
            <w:pPr>
              <w:rPr>
                <w:sz w:val="22"/>
                <w:szCs w:val="22"/>
              </w:rPr>
            </w:pPr>
            <w:r w:rsidRPr="00714FC0">
              <w:rPr>
                <w:sz w:val="22"/>
                <w:szCs w:val="22"/>
              </w:rPr>
              <w:t xml:space="preserve">Any person who submits a </w:t>
            </w:r>
            <w:r w:rsidRPr="00714FC0" w:rsidR="00081539">
              <w:rPr>
                <w:sz w:val="22"/>
                <w:szCs w:val="22"/>
              </w:rPr>
              <w:t xml:space="preserve">certification </w:t>
            </w:r>
            <w:r w:rsidRPr="00714FC0">
              <w:rPr>
                <w:sz w:val="22"/>
                <w:szCs w:val="22"/>
              </w:rPr>
              <w:t xml:space="preserve">request for a </w:t>
            </w:r>
            <w:r w:rsidRPr="00714FC0">
              <w:rPr>
                <w:bCs/>
                <w:iCs/>
                <w:sz w:val="22"/>
                <w:szCs w:val="22"/>
              </w:rPr>
              <w:t>designated medical gas under this part</w:t>
            </w:r>
            <w:r w:rsidRPr="00714FC0" w:rsidR="003C09AE">
              <w:rPr>
                <w:bCs/>
                <w:iCs/>
                <w:sz w:val="22"/>
                <w:szCs w:val="22"/>
              </w:rPr>
              <w:t>, including a supplement,</w:t>
            </w:r>
            <w:r w:rsidRPr="00714FC0">
              <w:rPr>
                <w:sz w:val="22"/>
                <w:szCs w:val="22"/>
              </w:rPr>
              <w:t xml:space="preserve"> and any person who owns a granted certification for a designated medical gas under this part.</w:t>
            </w:r>
          </w:p>
        </w:tc>
      </w:tr>
      <w:tr w14:paraId="611850BD" w14:textId="77777777" w:rsidTr="004848C7">
        <w:tblPrEx>
          <w:tblW w:w="5000" w:type="pct"/>
          <w:tblLayout w:type="fixed"/>
          <w:tblLook w:val="04A0"/>
        </w:tblPrEx>
        <w:tc>
          <w:tcPr>
            <w:tcW w:w="1615" w:type="dxa"/>
          </w:tcPr>
          <w:p w:rsidR="00E16F37" w:rsidRPr="00714FC0" w:rsidP="00557240" w14:paraId="3AC129A5" w14:textId="0F5B32F1">
            <w:pPr>
              <w:rPr>
                <w:sz w:val="22"/>
                <w:szCs w:val="22"/>
              </w:rPr>
            </w:pPr>
            <w:r w:rsidRPr="00714FC0">
              <w:rPr>
                <w:sz w:val="22"/>
                <w:szCs w:val="22"/>
              </w:rPr>
              <w:t>Certification Request</w:t>
            </w:r>
          </w:p>
        </w:tc>
        <w:tc>
          <w:tcPr>
            <w:tcW w:w="7260" w:type="dxa"/>
          </w:tcPr>
          <w:p w:rsidR="00E16F37" w:rsidRPr="00714FC0" w:rsidP="00557240" w14:paraId="1F6782F9" w14:textId="065F2A63">
            <w:pPr>
              <w:rPr>
                <w:sz w:val="22"/>
                <w:szCs w:val="22"/>
              </w:rPr>
            </w:pPr>
            <w:r w:rsidRPr="00714FC0">
              <w:rPr>
                <w:sz w:val="22"/>
                <w:szCs w:val="22"/>
              </w:rPr>
              <w:t xml:space="preserve">A submission under </w:t>
            </w:r>
            <w:r w:rsidR="007552F7">
              <w:rPr>
                <w:sz w:val="22"/>
                <w:szCs w:val="22"/>
              </w:rPr>
              <w:t>Section</w:t>
            </w:r>
            <w:r w:rsidRPr="00714FC0">
              <w:rPr>
                <w:sz w:val="22"/>
                <w:szCs w:val="22"/>
              </w:rPr>
              <w:t xml:space="preserve"> 576 of the </w:t>
            </w:r>
            <w:r w:rsidR="007552F7">
              <w:rPr>
                <w:sz w:val="22"/>
                <w:szCs w:val="22"/>
              </w:rPr>
              <w:t xml:space="preserve">Federal Food, Drug, and Cosmetic </w:t>
            </w:r>
            <w:r w:rsidRPr="00714FC0">
              <w:rPr>
                <w:sz w:val="22"/>
                <w:szCs w:val="22"/>
              </w:rPr>
              <w:t xml:space="preserve">Act requesting </w:t>
            </w:r>
            <w:r w:rsidRPr="00714FC0" w:rsidR="09C21722">
              <w:rPr>
                <w:sz w:val="22"/>
                <w:szCs w:val="22"/>
              </w:rPr>
              <w:t xml:space="preserve">certification of a medical gas as </w:t>
            </w:r>
            <w:r w:rsidRPr="00714FC0">
              <w:rPr>
                <w:sz w:val="22"/>
                <w:szCs w:val="22"/>
              </w:rPr>
              <w:t>a designated medical gas.</w:t>
            </w:r>
            <w:r w:rsidRPr="00714FC0" w:rsidR="00F67A8D">
              <w:rPr>
                <w:sz w:val="22"/>
                <w:szCs w:val="22"/>
              </w:rPr>
              <w:t xml:space="preserve"> </w:t>
            </w:r>
          </w:p>
        </w:tc>
      </w:tr>
      <w:tr w14:paraId="647AA5B5" w14:textId="77777777" w:rsidTr="004848C7">
        <w:tblPrEx>
          <w:tblW w:w="5000" w:type="pct"/>
          <w:tblLayout w:type="fixed"/>
          <w:tblLook w:val="04A0"/>
        </w:tblPrEx>
        <w:tc>
          <w:tcPr>
            <w:tcW w:w="1615" w:type="dxa"/>
          </w:tcPr>
          <w:p w:rsidR="00502E31" w:rsidRPr="00714FC0" w:rsidP="00557240" w14:paraId="7F24E18A" w14:textId="786E8C45">
            <w:pPr>
              <w:rPr>
                <w:sz w:val="22"/>
                <w:szCs w:val="22"/>
              </w:rPr>
            </w:pPr>
            <w:r w:rsidRPr="00714FC0">
              <w:rPr>
                <w:sz w:val="22"/>
                <w:szCs w:val="22"/>
              </w:rPr>
              <w:t>CVM</w:t>
            </w:r>
          </w:p>
        </w:tc>
        <w:tc>
          <w:tcPr>
            <w:tcW w:w="7260" w:type="dxa"/>
          </w:tcPr>
          <w:p w:rsidR="00502E31" w:rsidRPr="00714FC0" w:rsidP="00557240" w14:paraId="44ED73A7" w14:textId="7DEF97EE">
            <w:pPr>
              <w:rPr>
                <w:i/>
                <w:sz w:val="22"/>
                <w:szCs w:val="22"/>
              </w:rPr>
            </w:pPr>
            <w:r w:rsidRPr="00714FC0">
              <w:rPr>
                <w:i/>
                <w:sz w:val="22"/>
                <w:szCs w:val="22"/>
              </w:rPr>
              <w:t>Center for Veterinary Medicine</w:t>
            </w:r>
          </w:p>
        </w:tc>
      </w:tr>
      <w:tr w14:paraId="2387744F" w14:textId="77777777" w:rsidTr="004848C7">
        <w:tblPrEx>
          <w:tblW w:w="5000" w:type="pct"/>
          <w:tblLayout w:type="fixed"/>
          <w:tblLook w:val="04A0"/>
        </w:tblPrEx>
        <w:tc>
          <w:tcPr>
            <w:tcW w:w="1615" w:type="dxa"/>
          </w:tcPr>
          <w:p w:rsidR="0001402D" w:rsidRPr="00714FC0" w:rsidP="0001402D" w14:paraId="2E3DE678" w14:textId="0E03D4E1">
            <w:pPr>
              <w:rPr>
                <w:sz w:val="22"/>
                <w:szCs w:val="22"/>
              </w:rPr>
            </w:pPr>
            <w:r w:rsidRPr="00714FC0">
              <w:rPr>
                <w:sz w:val="22"/>
                <w:szCs w:val="22"/>
              </w:rPr>
              <w:t>CDER</w:t>
            </w:r>
          </w:p>
        </w:tc>
        <w:tc>
          <w:tcPr>
            <w:tcW w:w="7260" w:type="dxa"/>
          </w:tcPr>
          <w:p w:rsidR="0001402D" w:rsidRPr="00714FC0" w:rsidP="0001402D" w14:paraId="17BF5E0A" w14:textId="625BBFFE">
            <w:pPr>
              <w:rPr>
                <w:sz w:val="22"/>
                <w:szCs w:val="22"/>
              </w:rPr>
            </w:pPr>
            <w:r w:rsidRPr="00714FC0">
              <w:rPr>
                <w:i/>
                <w:sz w:val="22"/>
                <w:szCs w:val="22"/>
              </w:rPr>
              <w:t xml:space="preserve">Center for Drug Evaluation and Research </w:t>
            </w:r>
          </w:p>
        </w:tc>
      </w:tr>
      <w:tr w14:paraId="5363BE44" w14:textId="77777777" w:rsidTr="004848C7">
        <w:tblPrEx>
          <w:tblW w:w="5000" w:type="pct"/>
          <w:tblLayout w:type="fixed"/>
          <w:tblLook w:val="04A0"/>
        </w:tblPrEx>
        <w:tc>
          <w:tcPr>
            <w:tcW w:w="1615" w:type="dxa"/>
          </w:tcPr>
          <w:p w:rsidR="00D0360B" w:rsidRPr="00714FC0" w:rsidP="0001402D" w14:paraId="054F10CA" w14:textId="0EFED699">
            <w:pPr>
              <w:rPr>
                <w:sz w:val="22"/>
                <w:szCs w:val="22"/>
              </w:rPr>
            </w:pPr>
            <w:r w:rsidRPr="00714FC0">
              <w:rPr>
                <w:sz w:val="22"/>
                <w:szCs w:val="22"/>
              </w:rPr>
              <w:t>CFR</w:t>
            </w:r>
          </w:p>
        </w:tc>
        <w:tc>
          <w:tcPr>
            <w:tcW w:w="7260" w:type="dxa"/>
          </w:tcPr>
          <w:p w:rsidR="00D0360B" w:rsidRPr="00714FC0" w:rsidP="0001402D" w14:paraId="4543C184" w14:textId="49F6C5D8">
            <w:pPr>
              <w:rPr>
                <w:i/>
                <w:sz w:val="22"/>
                <w:szCs w:val="22"/>
              </w:rPr>
            </w:pPr>
            <w:r w:rsidRPr="00714FC0">
              <w:rPr>
                <w:i/>
                <w:sz w:val="22"/>
                <w:szCs w:val="22"/>
              </w:rPr>
              <w:t>Code of Federal Regulations</w:t>
            </w:r>
          </w:p>
        </w:tc>
      </w:tr>
      <w:tr w14:paraId="11503BA3" w14:textId="77777777" w:rsidTr="004848C7">
        <w:tblPrEx>
          <w:tblW w:w="5000" w:type="pct"/>
          <w:tblLayout w:type="fixed"/>
          <w:tblLook w:val="04A0"/>
        </w:tblPrEx>
        <w:tc>
          <w:tcPr>
            <w:tcW w:w="1615" w:type="dxa"/>
          </w:tcPr>
          <w:p w:rsidR="0001402D" w:rsidRPr="00714FC0" w:rsidP="0001402D" w14:paraId="6B6EBFCD" w14:textId="3BE08D2E">
            <w:pPr>
              <w:rPr>
                <w:sz w:val="22"/>
                <w:szCs w:val="22"/>
              </w:rPr>
            </w:pPr>
            <w:r w:rsidRPr="00714FC0">
              <w:rPr>
                <w:sz w:val="22"/>
                <w:szCs w:val="22"/>
              </w:rPr>
              <w:t>CGMP</w:t>
            </w:r>
          </w:p>
        </w:tc>
        <w:tc>
          <w:tcPr>
            <w:tcW w:w="7260" w:type="dxa"/>
          </w:tcPr>
          <w:p w:rsidR="0001402D" w:rsidRPr="00714FC0" w:rsidP="0001402D" w14:paraId="12C10101" w14:textId="3094FD19">
            <w:pPr>
              <w:rPr>
                <w:i/>
                <w:sz w:val="22"/>
                <w:szCs w:val="22"/>
              </w:rPr>
            </w:pPr>
            <w:r w:rsidRPr="00714FC0">
              <w:rPr>
                <w:i/>
                <w:sz w:val="22"/>
                <w:szCs w:val="22"/>
              </w:rPr>
              <w:t>Current good manufacturing practice</w:t>
            </w:r>
          </w:p>
        </w:tc>
      </w:tr>
      <w:tr w14:paraId="61297FF5" w14:textId="77777777" w:rsidTr="004848C7">
        <w:tblPrEx>
          <w:tblW w:w="5000" w:type="pct"/>
          <w:tblLayout w:type="fixed"/>
          <w:tblLook w:val="04A0"/>
        </w:tblPrEx>
        <w:tc>
          <w:tcPr>
            <w:tcW w:w="1615" w:type="dxa"/>
          </w:tcPr>
          <w:p w:rsidR="0001402D" w:rsidRPr="00714FC0" w:rsidP="0001402D" w14:paraId="06510DE2" w14:textId="421569AB">
            <w:pPr>
              <w:rPr>
                <w:sz w:val="22"/>
                <w:szCs w:val="22"/>
              </w:rPr>
            </w:pPr>
            <w:r w:rsidRPr="00714FC0">
              <w:rPr>
                <w:sz w:val="22"/>
                <w:szCs w:val="22"/>
              </w:rPr>
              <w:t>D&amp;B</w:t>
            </w:r>
          </w:p>
        </w:tc>
        <w:tc>
          <w:tcPr>
            <w:tcW w:w="7260" w:type="dxa"/>
          </w:tcPr>
          <w:p w:rsidR="0001402D" w:rsidRPr="00714FC0" w:rsidP="0001402D" w14:paraId="6E8E38E4" w14:textId="4A838FD3">
            <w:pPr>
              <w:rPr>
                <w:sz w:val="22"/>
                <w:szCs w:val="22"/>
              </w:rPr>
            </w:pPr>
            <w:r w:rsidRPr="00714FC0">
              <w:rPr>
                <w:i/>
                <w:sz w:val="22"/>
                <w:szCs w:val="22"/>
              </w:rPr>
              <w:t>Dun &amp; Bradstreet</w:t>
            </w:r>
          </w:p>
        </w:tc>
      </w:tr>
      <w:tr w14:paraId="0D8E4867" w14:textId="77777777" w:rsidTr="004848C7">
        <w:tblPrEx>
          <w:tblW w:w="5000" w:type="pct"/>
          <w:tblLayout w:type="fixed"/>
          <w:tblLook w:val="04A0"/>
        </w:tblPrEx>
        <w:tc>
          <w:tcPr>
            <w:tcW w:w="1615" w:type="dxa"/>
          </w:tcPr>
          <w:p w:rsidR="0001402D" w:rsidRPr="00714FC0" w:rsidP="0001402D" w14:paraId="3035B2DB" w14:textId="67826C1B">
            <w:pPr>
              <w:rPr>
                <w:sz w:val="22"/>
                <w:szCs w:val="22"/>
              </w:rPr>
            </w:pPr>
            <w:r w:rsidRPr="00714FC0">
              <w:rPr>
                <w:sz w:val="22"/>
                <w:szCs w:val="22"/>
              </w:rPr>
              <w:t>DMG</w:t>
            </w:r>
          </w:p>
        </w:tc>
        <w:tc>
          <w:tcPr>
            <w:tcW w:w="7260" w:type="dxa"/>
          </w:tcPr>
          <w:p w:rsidR="0001402D" w:rsidRPr="00714FC0" w:rsidP="0001402D" w14:paraId="171B4E0F" w14:textId="6090EAB1">
            <w:pPr>
              <w:rPr>
                <w:sz w:val="22"/>
                <w:szCs w:val="22"/>
              </w:rPr>
            </w:pPr>
            <w:r w:rsidRPr="00714FC0">
              <w:rPr>
                <w:rFonts w:eastAsia="Times New Roman"/>
                <w:i/>
                <w:sz w:val="22"/>
                <w:szCs w:val="22"/>
              </w:rPr>
              <w:t>Designated medical gas</w:t>
            </w:r>
            <w:r w:rsidRPr="00714FC0">
              <w:rPr>
                <w:rFonts w:eastAsia="Times New Roman"/>
                <w:sz w:val="22"/>
                <w:szCs w:val="22"/>
              </w:rPr>
              <w:t xml:space="preserve">; a drug that is manufactured or stored in a liquefied, </w:t>
            </w:r>
            <w:r w:rsidRPr="00714FC0">
              <w:rPr>
                <w:rFonts w:eastAsia="Times New Roman"/>
                <w:sz w:val="22"/>
                <w:szCs w:val="22"/>
              </w:rPr>
              <w:t>nonliquified</w:t>
            </w:r>
            <w:r w:rsidRPr="00714FC0">
              <w:rPr>
                <w:rFonts w:eastAsia="Times New Roman"/>
                <w:sz w:val="22"/>
                <w:szCs w:val="22"/>
              </w:rPr>
              <w:t xml:space="preserve">, or cryogenic state; is administered as a gas; and is defined in </w:t>
            </w:r>
            <w:r w:rsidR="009D0877">
              <w:rPr>
                <w:rFonts w:eastAsia="Times New Roman"/>
                <w:sz w:val="22"/>
                <w:szCs w:val="22"/>
              </w:rPr>
              <w:t>S</w:t>
            </w:r>
            <w:r w:rsidRPr="00714FC0">
              <w:rPr>
                <w:rFonts w:eastAsia="Times New Roman"/>
                <w:sz w:val="22"/>
                <w:szCs w:val="22"/>
              </w:rPr>
              <w:t xml:space="preserve">ection 575(1) of the </w:t>
            </w:r>
            <w:r w:rsidR="0017598B">
              <w:rPr>
                <w:rFonts w:eastAsia="Times New Roman"/>
                <w:sz w:val="22"/>
                <w:szCs w:val="22"/>
              </w:rPr>
              <w:t>Federal Food, Drug, and Cosmetic</w:t>
            </w:r>
            <w:r w:rsidRPr="00714FC0">
              <w:rPr>
                <w:rFonts w:eastAsia="Times New Roman"/>
                <w:sz w:val="22"/>
                <w:szCs w:val="22"/>
              </w:rPr>
              <w:t xml:space="preserve"> Act.</w:t>
            </w:r>
          </w:p>
        </w:tc>
      </w:tr>
      <w:tr w14:paraId="4CCBEA7D" w14:textId="77777777" w:rsidTr="004848C7">
        <w:tblPrEx>
          <w:tblW w:w="5000" w:type="pct"/>
          <w:tblLayout w:type="fixed"/>
          <w:tblLook w:val="04A0"/>
        </w:tblPrEx>
        <w:tc>
          <w:tcPr>
            <w:tcW w:w="1615" w:type="dxa"/>
          </w:tcPr>
          <w:p w:rsidR="0001402D" w:rsidRPr="00714FC0" w:rsidP="0001402D" w14:paraId="3C9AB3A1" w14:textId="6343CF11">
            <w:pPr>
              <w:rPr>
                <w:sz w:val="22"/>
                <w:szCs w:val="22"/>
              </w:rPr>
            </w:pPr>
            <w:r w:rsidRPr="00714FC0">
              <w:rPr>
                <w:sz w:val="22"/>
                <w:szCs w:val="22"/>
              </w:rPr>
              <w:t>ERG</w:t>
            </w:r>
          </w:p>
        </w:tc>
        <w:tc>
          <w:tcPr>
            <w:tcW w:w="7260" w:type="dxa"/>
          </w:tcPr>
          <w:p w:rsidR="0001402D" w:rsidRPr="00714FC0" w:rsidP="0001402D" w14:paraId="15E9FE42" w14:textId="2D29F9FA">
            <w:pPr>
              <w:rPr>
                <w:i/>
                <w:sz w:val="22"/>
                <w:szCs w:val="22"/>
              </w:rPr>
            </w:pPr>
            <w:r w:rsidRPr="00714FC0">
              <w:rPr>
                <w:i/>
                <w:sz w:val="22"/>
                <w:szCs w:val="22"/>
              </w:rPr>
              <w:t>Eastern Research Group</w:t>
            </w:r>
          </w:p>
        </w:tc>
      </w:tr>
      <w:tr w14:paraId="615B6AE1" w14:textId="77777777" w:rsidTr="004848C7">
        <w:tblPrEx>
          <w:tblW w:w="5000" w:type="pct"/>
          <w:tblLayout w:type="fixed"/>
          <w:tblLook w:val="04A0"/>
        </w:tblPrEx>
        <w:tc>
          <w:tcPr>
            <w:tcW w:w="1615" w:type="dxa"/>
          </w:tcPr>
          <w:p w:rsidR="0001402D" w:rsidRPr="00714FC0" w:rsidP="0001402D" w14:paraId="6E10F65B" w14:textId="2A0EC47F">
            <w:pPr>
              <w:rPr>
                <w:sz w:val="22"/>
                <w:szCs w:val="22"/>
              </w:rPr>
            </w:pPr>
            <w:r w:rsidRPr="00714FC0">
              <w:rPr>
                <w:sz w:val="22"/>
                <w:szCs w:val="22"/>
              </w:rPr>
              <w:t>FAERS</w:t>
            </w:r>
          </w:p>
        </w:tc>
        <w:tc>
          <w:tcPr>
            <w:tcW w:w="7260" w:type="dxa"/>
          </w:tcPr>
          <w:p w:rsidR="0001402D" w:rsidRPr="00714FC0" w:rsidP="0001402D" w14:paraId="1BC7F700" w14:textId="7C84BDBB">
            <w:pPr>
              <w:rPr>
                <w:sz w:val="22"/>
                <w:szCs w:val="22"/>
              </w:rPr>
            </w:pPr>
            <w:r w:rsidRPr="00714FC0">
              <w:rPr>
                <w:i/>
                <w:sz w:val="22"/>
                <w:szCs w:val="22"/>
              </w:rPr>
              <w:t xml:space="preserve">FDA Adverse Event Reporting System </w:t>
            </w:r>
          </w:p>
        </w:tc>
      </w:tr>
      <w:tr w14:paraId="0F5B4308" w14:textId="77777777" w:rsidTr="004848C7">
        <w:tblPrEx>
          <w:tblW w:w="5000" w:type="pct"/>
          <w:tblLayout w:type="fixed"/>
          <w:tblLook w:val="04A0"/>
        </w:tblPrEx>
        <w:tc>
          <w:tcPr>
            <w:tcW w:w="1615" w:type="dxa"/>
          </w:tcPr>
          <w:p w:rsidR="0001402D" w:rsidRPr="00714FC0" w:rsidP="0001402D" w14:paraId="0CE36AE5" w14:textId="130C3B0D">
            <w:pPr>
              <w:rPr>
                <w:sz w:val="22"/>
                <w:szCs w:val="22"/>
              </w:rPr>
            </w:pPr>
            <w:r w:rsidRPr="00714FC0">
              <w:rPr>
                <w:sz w:val="22"/>
                <w:szCs w:val="22"/>
              </w:rPr>
              <w:t>FDASIA</w:t>
            </w:r>
          </w:p>
        </w:tc>
        <w:tc>
          <w:tcPr>
            <w:tcW w:w="7260" w:type="dxa"/>
          </w:tcPr>
          <w:p w:rsidR="0001402D" w:rsidRPr="00714FC0" w:rsidP="0001402D" w14:paraId="0B8884CC" w14:textId="20F70BE1">
            <w:pPr>
              <w:rPr>
                <w:sz w:val="22"/>
                <w:szCs w:val="22"/>
              </w:rPr>
            </w:pPr>
            <w:r w:rsidRPr="00714FC0">
              <w:rPr>
                <w:i/>
                <w:sz w:val="22"/>
                <w:szCs w:val="22"/>
              </w:rPr>
              <w:t>Food and Drug Administration Safety and Innovation Act of 2012</w:t>
            </w:r>
          </w:p>
        </w:tc>
      </w:tr>
      <w:tr w14:paraId="4DD589D7" w14:textId="77777777" w:rsidTr="004848C7">
        <w:tblPrEx>
          <w:tblW w:w="5000" w:type="pct"/>
          <w:tblLayout w:type="fixed"/>
          <w:tblLook w:val="04A0"/>
        </w:tblPrEx>
        <w:tc>
          <w:tcPr>
            <w:tcW w:w="1615" w:type="dxa"/>
          </w:tcPr>
          <w:p w:rsidR="0001402D" w:rsidRPr="00714FC0" w:rsidP="0001402D" w14:paraId="41968EAC" w14:textId="0B386F69">
            <w:pPr>
              <w:rPr>
                <w:sz w:val="22"/>
                <w:szCs w:val="22"/>
              </w:rPr>
            </w:pPr>
            <w:r w:rsidRPr="00714FC0">
              <w:rPr>
                <w:sz w:val="22"/>
                <w:szCs w:val="22"/>
              </w:rPr>
              <w:t>FD&amp;C</w:t>
            </w:r>
            <w:r w:rsidRPr="00714FC0" w:rsidR="004D2108">
              <w:rPr>
                <w:sz w:val="22"/>
                <w:szCs w:val="22"/>
              </w:rPr>
              <w:t xml:space="preserve"> Act</w:t>
            </w:r>
          </w:p>
        </w:tc>
        <w:tc>
          <w:tcPr>
            <w:tcW w:w="7260" w:type="dxa"/>
          </w:tcPr>
          <w:p w:rsidR="0001402D" w:rsidRPr="00714FC0" w:rsidP="0001402D" w14:paraId="47EC4310" w14:textId="0E35965C">
            <w:pPr>
              <w:rPr>
                <w:i/>
                <w:sz w:val="22"/>
                <w:szCs w:val="22"/>
              </w:rPr>
            </w:pPr>
            <w:r w:rsidRPr="00714FC0">
              <w:rPr>
                <w:i/>
                <w:sz w:val="22"/>
                <w:szCs w:val="22"/>
              </w:rPr>
              <w:t>Federal Food, Drug, and Cosmetic Act</w:t>
            </w:r>
          </w:p>
        </w:tc>
      </w:tr>
      <w:tr w14:paraId="39FEA00C" w14:textId="77777777" w:rsidTr="004848C7">
        <w:tblPrEx>
          <w:tblW w:w="5000" w:type="pct"/>
          <w:tblLayout w:type="fixed"/>
          <w:tblLook w:val="04A0"/>
        </w:tblPrEx>
        <w:tc>
          <w:tcPr>
            <w:tcW w:w="1615" w:type="dxa"/>
          </w:tcPr>
          <w:p w:rsidR="0001402D" w:rsidRPr="00714FC0" w:rsidP="0001402D" w14:paraId="3C6AF683" w14:textId="77B185E0">
            <w:pPr>
              <w:rPr>
                <w:sz w:val="22"/>
                <w:szCs w:val="22"/>
              </w:rPr>
            </w:pPr>
            <w:r w:rsidRPr="00714FC0">
              <w:rPr>
                <w:sz w:val="22"/>
                <w:szCs w:val="22"/>
              </w:rPr>
              <w:t>NAICS</w:t>
            </w:r>
          </w:p>
        </w:tc>
        <w:tc>
          <w:tcPr>
            <w:tcW w:w="7260" w:type="dxa"/>
          </w:tcPr>
          <w:p w:rsidR="0001402D" w:rsidRPr="00714FC0" w:rsidP="0001402D" w14:paraId="6E7FDAED" w14:textId="26DBB3E6">
            <w:pPr>
              <w:rPr>
                <w:sz w:val="22"/>
                <w:szCs w:val="22"/>
              </w:rPr>
            </w:pPr>
            <w:r w:rsidRPr="00714FC0">
              <w:rPr>
                <w:i/>
                <w:sz w:val="22"/>
                <w:szCs w:val="22"/>
              </w:rPr>
              <w:t>North American Industry Classification System</w:t>
            </w:r>
          </w:p>
        </w:tc>
      </w:tr>
      <w:tr w14:paraId="3914DA44" w14:textId="77777777" w:rsidTr="004848C7">
        <w:tblPrEx>
          <w:tblW w:w="5000" w:type="pct"/>
          <w:tblLayout w:type="fixed"/>
          <w:tblLook w:val="04A0"/>
        </w:tblPrEx>
        <w:tc>
          <w:tcPr>
            <w:tcW w:w="1615" w:type="dxa"/>
          </w:tcPr>
          <w:p w:rsidR="0001402D" w:rsidRPr="00714FC0" w:rsidP="0001402D" w14:paraId="03494816" w14:textId="3EB7A8E3">
            <w:pPr>
              <w:rPr>
                <w:sz w:val="22"/>
                <w:szCs w:val="22"/>
              </w:rPr>
            </w:pPr>
            <w:r w:rsidRPr="00714FC0">
              <w:rPr>
                <w:sz w:val="22"/>
                <w:szCs w:val="22"/>
              </w:rPr>
              <w:t>Nonapplicant</w:t>
            </w:r>
          </w:p>
        </w:tc>
        <w:tc>
          <w:tcPr>
            <w:tcW w:w="7260" w:type="dxa"/>
          </w:tcPr>
          <w:p w:rsidR="0001402D" w:rsidRPr="00714FC0" w:rsidP="0001402D" w14:paraId="2D5F38DA" w14:textId="1ECF3EAE">
            <w:pPr>
              <w:rPr>
                <w:i/>
                <w:sz w:val="22"/>
                <w:szCs w:val="22"/>
              </w:rPr>
            </w:pPr>
            <w:r w:rsidRPr="00714FC0">
              <w:rPr>
                <w:sz w:val="22"/>
                <w:szCs w:val="22"/>
              </w:rPr>
              <w:t xml:space="preserve">Any person other than the </w:t>
            </w:r>
            <w:r w:rsidRPr="00714FC0">
              <w:rPr>
                <w:iCs/>
                <w:sz w:val="22"/>
                <w:szCs w:val="22"/>
              </w:rPr>
              <w:t>applicant</w:t>
            </w:r>
            <w:r w:rsidRPr="00714FC0">
              <w:rPr>
                <w:sz w:val="22"/>
                <w:szCs w:val="22"/>
              </w:rPr>
              <w:t xml:space="preserve"> whose name appears on the label of a designated medical gas container as a manufacturer, packer, or distributor.</w:t>
            </w:r>
          </w:p>
        </w:tc>
      </w:tr>
      <w:tr w14:paraId="5AC32BE1" w14:textId="77777777" w:rsidTr="004848C7">
        <w:tblPrEx>
          <w:tblW w:w="5000" w:type="pct"/>
          <w:tblLayout w:type="fixed"/>
          <w:tblLook w:val="04A0"/>
        </w:tblPrEx>
        <w:tc>
          <w:tcPr>
            <w:tcW w:w="1615" w:type="dxa"/>
          </w:tcPr>
          <w:p w:rsidR="00502E31" w:rsidRPr="00714FC0" w:rsidP="0001402D" w14:paraId="2204CA19" w14:textId="4FCAF87B">
            <w:pPr>
              <w:rPr>
                <w:sz w:val="22"/>
                <w:szCs w:val="22"/>
              </w:rPr>
            </w:pPr>
            <w:r w:rsidRPr="00714FC0">
              <w:rPr>
                <w:sz w:val="22"/>
                <w:szCs w:val="22"/>
              </w:rPr>
              <w:t>ORA</w:t>
            </w:r>
          </w:p>
        </w:tc>
        <w:tc>
          <w:tcPr>
            <w:tcW w:w="7260" w:type="dxa"/>
          </w:tcPr>
          <w:p w:rsidR="00502E31" w:rsidRPr="00714FC0" w:rsidP="0001402D" w14:paraId="2CC9F4DA" w14:textId="24D99163">
            <w:pPr>
              <w:rPr>
                <w:i/>
                <w:sz w:val="22"/>
                <w:szCs w:val="22"/>
              </w:rPr>
            </w:pPr>
            <w:r w:rsidRPr="00714FC0">
              <w:rPr>
                <w:i/>
                <w:sz w:val="22"/>
                <w:szCs w:val="22"/>
              </w:rPr>
              <w:t>Office of Regulatory Affairs</w:t>
            </w:r>
          </w:p>
        </w:tc>
      </w:tr>
      <w:tr w14:paraId="5D8002E8" w14:textId="77777777" w:rsidTr="004848C7">
        <w:tblPrEx>
          <w:tblW w:w="5000" w:type="pct"/>
          <w:tblLayout w:type="fixed"/>
          <w:tblLook w:val="04A0"/>
        </w:tblPrEx>
        <w:tc>
          <w:tcPr>
            <w:tcW w:w="1615" w:type="dxa"/>
          </w:tcPr>
          <w:p w:rsidR="0001402D" w:rsidRPr="00714FC0" w:rsidP="0001402D" w14:paraId="39615FBC" w14:textId="3088A64C">
            <w:pPr>
              <w:rPr>
                <w:sz w:val="22"/>
                <w:szCs w:val="22"/>
              </w:rPr>
            </w:pPr>
            <w:r w:rsidRPr="00714FC0">
              <w:rPr>
                <w:sz w:val="22"/>
                <w:szCs w:val="22"/>
              </w:rPr>
              <w:t>Quality Unit</w:t>
            </w:r>
          </w:p>
        </w:tc>
        <w:tc>
          <w:tcPr>
            <w:tcW w:w="7260" w:type="dxa"/>
          </w:tcPr>
          <w:p w:rsidR="0001402D" w:rsidRPr="00714FC0" w:rsidP="26F15A4F" w14:paraId="67A26EC2" w14:textId="50498185">
            <w:pPr>
              <w:rPr>
                <w:i/>
                <w:iCs/>
                <w:sz w:val="22"/>
                <w:szCs w:val="22"/>
              </w:rPr>
            </w:pPr>
            <w:r w:rsidRPr="00714FC0">
              <w:rPr>
                <w:sz w:val="22"/>
                <w:szCs w:val="22"/>
              </w:rPr>
              <w:t xml:space="preserve">Any person or </w:t>
            </w:r>
            <w:r w:rsidRPr="00714FC0" w:rsidR="2707ABF9">
              <w:rPr>
                <w:rFonts w:eastAsia="Times New Roman"/>
                <w:sz w:val="22"/>
                <w:szCs w:val="22"/>
              </w:rPr>
              <w:t>persons designated with the authority and responsibility for overall quality management and other responsibilities as defined in § 213.22</w:t>
            </w:r>
            <w:r w:rsidR="000C0D0D">
              <w:rPr>
                <w:rFonts w:eastAsia="Times New Roman"/>
                <w:sz w:val="22"/>
                <w:szCs w:val="22"/>
              </w:rPr>
              <w:t>.</w:t>
            </w:r>
            <w:r w:rsidRPr="00714FC0">
              <w:rPr>
                <w:sz w:val="22"/>
                <w:szCs w:val="22"/>
              </w:rPr>
              <w:t xml:space="preserve"> </w:t>
            </w:r>
          </w:p>
        </w:tc>
      </w:tr>
      <w:tr w14:paraId="3B666092" w14:textId="77777777" w:rsidTr="004848C7">
        <w:tblPrEx>
          <w:tblW w:w="5000" w:type="pct"/>
          <w:tblLayout w:type="fixed"/>
          <w:tblLook w:val="04A0"/>
        </w:tblPrEx>
        <w:tc>
          <w:tcPr>
            <w:tcW w:w="1615" w:type="dxa"/>
          </w:tcPr>
          <w:p w:rsidR="0001402D" w:rsidRPr="00714FC0" w:rsidP="0001402D" w14:paraId="359B5EC7" w14:textId="49D7A780">
            <w:pPr>
              <w:rPr>
                <w:sz w:val="22"/>
                <w:szCs w:val="22"/>
              </w:rPr>
            </w:pPr>
            <w:r w:rsidRPr="00714FC0">
              <w:rPr>
                <w:sz w:val="22"/>
                <w:szCs w:val="22"/>
              </w:rPr>
              <w:t>SBA</w:t>
            </w:r>
          </w:p>
        </w:tc>
        <w:tc>
          <w:tcPr>
            <w:tcW w:w="7260" w:type="dxa"/>
          </w:tcPr>
          <w:p w:rsidR="0001402D" w:rsidRPr="00714FC0" w:rsidP="0001402D" w14:paraId="248FCADE" w14:textId="00B22079">
            <w:pPr>
              <w:rPr>
                <w:sz w:val="22"/>
                <w:szCs w:val="22"/>
              </w:rPr>
            </w:pPr>
            <w:r w:rsidRPr="00714FC0">
              <w:rPr>
                <w:i/>
                <w:sz w:val="22"/>
                <w:szCs w:val="22"/>
              </w:rPr>
              <w:t>Small Business Administration</w:t>
            </w:r>
          </w:p>
        </w:tc>
      </w:tr>
      <w:tr w14:paraId="78DE8100" w14:textId="77777777" w:rsidTr="004848C7">
        <w:tblPrEx>
          <w:tblW w:w="5000" w:type="pct"/>
          <w:tblLayout w:type="fixed"/>
          <w:tblLook w:val="04A0"/>
        </w:tblPrEx>
        <w:tc>
          <w:tcPr>
            <w:tcW w:w="1615" w:type="dxa"/>
          </w:tcPr>
          <w:p w:rsidR="0001402D" w:rsidRPr="00714FC0" w:rsidP="0001402D" w14:paraId="288EC2D0" w14:textId="73731723">
            <w:pPr>
              <w:rPr>
                <w:sz w:val="22"/>
                <w:szCs w:val="22"/>
              </w:rPr>
            </w:pPr>
            <w:r w:rsidRPr="00714FC0">
              <w:rPr>
                <w:sz w:val="22"/>
                <w:szCs w:val="22"/>
              </w:rPr>
              <w:t>SIC</w:t>
            </w:r>
          </w:p>
        </w:tc>
        <w:tc>
          <w:tcPr>
            <w:tcW w:w="7260" w:type="dxa"/>
          </w:tcPr>
          <w:p w:rsidR="0001402D" w:rsidRPr="00714FC0" w:rsidP="0001402D" w14:paraId="07D45C1D" w14:textId="6A545599">
            <w:pPr>
              <w:rPr>
                <w:i/>
                <w:sz w:val="22"/>
                <w:szCs w:val="22"/>
              </w:rPr>
            </w:pPr>
            <w:r w:rsidRPr="00714FC0">
              <w:rPr>
                <w:i/>
                <w:sz w:val="22"/>
                <w:szCs w:val="22"/>
              </w:rPr>
              <w:t>Standard Industrial Classification</w:t>
            </w:r>
          </w:p>
        </w:tc>
      </w:tr>
      <w:tr w14:paraId="444A2923" w14:textId="77777777" w:rsidTr="004848C7">
        <w:tblPrEx>
          <w:tblW w:w="5000" w:type="pct"/>
          <w:tblLayout w:type="fixed"/>
          <w:tblLook w:val="04A0"/>
        </w:tblPrEx>
        <w:tc>
          <w:tcPr>
            <w:tcW w:w="1615" w:type="dxa"/>
          </w:tcPr>
          <w:p w:rsidR="0001402D" w:rsidRPr="00714FC0" w:rsidP="0001402D" w14:paraId="46E42563" w14:textId="752FF445">
            <w:pPr>
              <w:rPr>
                <w:sz w:val="22"/>
                <w:szCs w:val="22"/>
              </w:rPr>
            </w:pPr>
            <w:r w:rsidRPr="00714FC0">
              <w:rPr>
                <w:sz w:val="22"/>
                <w:szCs w:val="22"/>
              </w:rPr>
              <w:t>SME</w:t>
            </w:r>
          </w:p>
        </w:tc>
        <w:tc>
          <w:tcPr>
            <w:tcW w:w="7260" w:type="dxa"/>
          </w:tcPr>
          <w:p w:rsidR="0001402D" w:rsidRPr="00714FC0" w:rsidP="0001402D" w14:paraId="397B2513" w14:textId="5B10683C">
            <w:pPr>
              <w:rPr>
                <w:i/>
                <w:sz w:val="22"/>
                <w:szCs w:val="22"/>
              </w:rPr>
            </w:pPr>
            <w:r w:rsidRPr="00714FC0">
              <w:rPr>
                <w:i/>
                <w:sz w:val="22"/>
                <w:szCs w:val="22"/>
              </w:rPr>
              <w:t>Subject matter experts</w:t>
            </w:r>
          </w:p>
        </w:tc>
      </w:tr>
      <w:tr w14:paraId="77FB4602" w14:textId="77777777" w:rsidTr="004848C7">
        <w:tblPrEx>
          <w:tblW w:w="5000" w:type="pct"/>
          <w:tblLayout w:type="fixed"/>
          <w:tblLook w:val="04A0"/>
        </w:tblPrEx>
        <w:tc>
          <w:tcPr>
            <w:tcW w:w="1615" w:type="dxa"/>
          </w:tcPr>
          <w:p w:rsidR="0001402D" w:rsidRPr="00714FC0" w:rsidP="0001402D" w14:paraId="0FB2B25D" w14:textId="66378FE9">
            <w:pPr>
              <w:rPr>
                <w:sz w:val="22"/>
                <w:szCs w:val="22"/>
              </w:rPr>
            </w:pPr>
            <w:r w:rsidRPr="00714FC0">
              <w:rPr>
                <w:sz w:val="22"/>
                <w:szCs w:val="22"/>
              </w:rPr>
              <w:t>SOC</w:t>
            </w:r>
          </w:p>
        </w:tc>
        <w:tc>
          <w:tcPr>
            <w:tcW w:w="7260" w:type="dxa"/>
          </w:tcPr>
          <w:p w:rsidR="0001402D" w:rsidRPr="00714FC0" w:rsidP="0001402D" w14:paraId="557155F4" w14:textId="0A173DF9">
            <w:pPr>
              <w:rPr>
                <w:i/>
                <w:sz w:val="22"/>
                <w:szCs w:val="22"/>
              </w:rPr>
            </w:pPr>
            <w:r w:rsidRPr="00714FC0">
              <w:rPr>
                <w:i/>
                <w:sz w:val="22"/>
                <w:szCs w:val="22"/>
              </w:rPr>
              <w:t>Standard Occupation Classification System</w:t>
            </w:r>
          </w:p>
        </w:tc>
      </w:tr>
      <w:tr w14:paraId="6435D701" w14:textId="77777777" w:rsidTr="004848C7">
        <w:tblPrEx>
          <w:tblW w:w="5000" w:type="pct"/>
          <w:tblLayout w:type="fixed"/>
          <w:tblLook w:val="04A0"/>
        </w:tblPrEx>
        <w:tc>
          <w:tcPr>
            <w:tcW w:w="1615" w:type="dxa"/>
          </w:tcPr>
          <w:p w:rsidR="0001402D" w:rsidRPr="00714FC0" w:rsidP="0001402D" w14:paraId="0900B4A4" w14:textId="7F5DA6C5">
            <w:pPr>
              <w:rPr>
                <w:sz w:val="22"/>
                <w:szCs w:val="22"/>
              </w:rPr>
            </w:pPr>
            <w:r w:rsidRPr="00714FC0">
              <w:rPr>
                <w:sz w:val="22"/>
                <w:szCs w:val="22"/>
              </w:rPr>
              <w:t>We, our, us</w:t>
            </w:r>
          </w:p>
        </w:tc>
        <w:tc>
          <w:tcPr>
            <w:tcW w:w="7260" w:type="dxa"/>
          </w:tcPr>
          <w:p w:rsidR="0001402D" w:rsidRPr="00714FC0" w:rsidP="0001402D" w14:paraId="7B1EB5EA" w14:textId="46A6C75E">
            <w:pPr>
              <w:rPr>
                <w:sz w:val="22"/>
                <w:szCs w:val="22"/>
              </w:rPr>
            </w:pPr>
            <w:r w:rsidRPr="00714FC0">
              <w:rPr>
                <w:sz w:val="22"/>
                <w:szCs w:val="22"/>
              </w:rPr>
              <w:t>We use these terms to refer to the United States Food and Drug Administration.</w:t>
            </w:r>
          </w:p>
        </w:tc>
      </w:tr>
    </w:tbl>
    <w:p w:rsidR="00395075" w:rsidP="00152433" w14:paraId="450D2280" w14:textId="77777777"/>
    <w:p w:rsidR="0062375A" w:rsidRPr="00152433" w:rsidP="00152433" w14:paraId="10EF6AA8" w14:textId="77777777"/>
    <w:p w:rsidR="00395075" w:rsidRPr="004848C7" w:rsidP="004848C7" w14:paraId="33DAA2A5" w14:textId="66F21530">
      <w:pPr>
        <w:pStyle w:val="Heading2"/>
      </w:pPr>
      <w:bookmarkStart w:id="20" w:name="_Toc148515708"/>
      <w:r w:rsidRPr="004E39A0">
        <w:rPr>
          <w:rStyle w:val="normaltextrun"/>
        </w:rPr>
        <w:t>Comments on the Preliminary Economic Analysis of Impacts and Our Responses</w:t>
      </w:r>
      <w:bookmarkEnd w:id="20"/>
      <w:r w:rsidRPr="004E39A0">
        <w:rPr>
          <w:rStyle w:val="eop"/>
        </w:rPr>
        <w:t> </w:t>
      </w:r>
    </w:p>
    <w:p w:rsidR="004E39A0" w14:paraId="0661BF1B" w14:textId="77777777">
      <w:pPr>
        <w:pStyle w:val="paragraph"/>
        <w:spacing w:before="0" w:beforeAutospacing="0" w:after="200" w:afterAutospacing="0"/>
        <w:ind w:firstLine="720"/>
        <w:textAlignment w:val="baseline"/>
        <w:rPr>
          <w:rStyle w:val="normaltextrun"/>
          <w:rFonts w:eastAsia="Calibri"/>
        </w:rPr>
      </w:pPr>
    </w:p>
    <w:p w:rsidR="00012593" w:rsidRPr="00152433" w:rsidP="004848C7" w14:paraId="4CBFDECD" w14:textId="38AE4612">
      <w:pPr>
        <w:pStyle w:val="paragraph"/>
        <w:spacing w:before="0" w:beforeAutospacing="0" w:after="200" w:afterAutospacing="0"/>
        <w:ind w:firstLine="720"/>
        <w:textAlignment w:val="baseline"/>
        <w:rPr>
          <w:rStyle w:val="normaltextrun"/>
          <w:rFonts w:eastAsia="Calibri"/>
        </w:rPr>
      </w:pPr>
      <w:r w:rsidRPr="00152433">
        <w:rPr>
          <w:rStyle w:val="normaltextrun"/>
          <w:rFonts w:eastAsia="Calibri"/>
        </w:rPr>
        <w:t>On May 23, 2022, we published the proposed rule “Current Good Manufacturing Practice, Certification, Postmarketing Safety Reporting, and Labeling Requirements for Certain Medical Gases” (87 FR 31302). Accompanying the proposed rule was a preliminary regulatory impact analysis</w:t>
      </w:r>
      <w:r w:rsidR="006C62E2">
        <w:rPr>
          <w:rStyle w:val="normaltextrun"/>
          <w:rFonts w:eastAsia="Calibri"/>
        </w:rPr>
        <w:t xml:space="preserve"> (PRIA)</w:t>
      </w:r>
      <w:r w:rsidRPr="00152433">
        <w:rPr>
          <w:rStyle w:val="normaltextrun"/>
          <w:rFonts w:eastAsia="Calibri"/>
        </w:rPr>
        <w:t xml:space="preserve"> (Ref. </w:t>
      </w:r>
      <w:r w:rsidR="006844FE">
        <w:rPr>
          <w:rStyle w:val="normaltextrun"/>
          <w:rFonts w:eastAsia="Calibri"/>
        </w:rPr>
        <w:t>1</w:t>
      </w:r>
      <w:r w:rsidRPr="00152433">
        <w:rPr>
          <w:rStyle w:val="normaltextrun"/>
          <w:rFonts w:eastAsia="Calibri"/>
        </w:rPr>
        <w:t xml:space="preserve">). We received </w:t>
      </w:r>
      <w:r w:rsidRPr="00152433" w:rsidR="00E2504A">
        <w:rPr>
          <w:rStyle w:val="normaltextrun"/>
          <w:rFonts w:eastAsia="Calibri"/>
        </w:rPr>
        <w:t>one comment direct</w:t>
      </w:r>
      <w:r w:rsidR="007C5C6A">
        <w:rPr>
          <w:rStyle w:val="normaltextrun"/>
          <w:rFonts w:eastAsia="Calibri"/>
        </w:rPr>
        <w:t>ed</w:t>
      </w:r>
      <w:r w:rsidRPr="00152433" w:rsidR="00E2504A">
        <w:rPr>
          <w:rStyle w:val="normaltextrun"/>
          <w:rFonts w:eastAsia="Calibri"/>
        </w:rPr>
        <w:t xml:space="preserve"> </w:t>
      </w:r>
      <w:r w:rsidR="007C5C6A">
        <w:rPr>
          <w:rStyle w:val="normaltextrun"/>
          <w:rFonts w:eastAsia="Calibri"/>
        </w:rPr>
        <w:t>at</w:t>
      </w:r>
      <w:r w:rsidRPr="00152433" w:rsidR="00E2504A">
        <w:rPr>
          <w:rStyle w:val="normaltextrun"/>
          <w:rFonts w:eastAsia="Calibri"/>
        </w:rPr>
        <w:t xml:space="preserve"> the </w:t>
      </w:r>
      <w:r w:rsidR="007C5C6A">
        <w:rPr>
          <w:rStyle w:val="normaltextrun"/>
          <w:rFonts w:eastAsia="Calibri"/>
        </w:rPr>
        <w:t>PRIA</w:t>
      </w:r>
      <w:r w:rsidRPr="00152433" w:rsidR="00E2504A">
        <w:rPr>
          <w:rStyle w:val="normaltextrun"/>
          <w:rFonts w:eastAsia="Calibri"/>
        </w:rPr>
        <w:t xml:space="preserve"> and a few comments on the rule </w:t>
      </w:r>
      <w:r w:rsidR="007C5C6A">
        <w:rPr>
          <w:rStyle w:val="normaltextrun"/>
          <w:rFonts w:eastAsia="Calibri"/>
        </w:rPr>
        <w:t>that</w:t>
      </w:r>
      <w:r w:rsidRPr="00152433" w:rsidR="00E2504A">
        <w:rPr>
          <w:rStyle w:val="normaltextrun"/>
          <w:rFonts w:eastAsia="Calibri"/>
        </w:rPr>
        <w:t xml:space="preserve"> were relevant to the economic analysis.</w:t>
      </w:r>
      <w:r w:rsidRPr="00152433">
        <w:rPr>
          <w:rStyle w:val="normaltextrun"/>
          <w:rFonts w:eastAsia="Calibri"/>
        </w:rPr>
        <w:t xml:space="preserve"> The number assigned to each comment is purely for organizational purposes and does not signify the comment’s value, importance, or the order in which it was received.</w:t>
      </w:r>
    </w:p>
    <w:p w:rsidR="00152433" w:rsidP="00152433" w14:paraId="30329008" w14:textId="77777777">
      <w:pPr>
        <w:pStyle w:val="paragraph"/>
        <w:spacing w:before="0" w:beforeAutospacing="0" w:after="200" w:afterAutospacing="0"/>
        <w:textAlignment w:val="baseline"/>
        <w:rPr>
          <w:rStyle w:val="normaltextrun"/>
          <w:rFonts w:eastAsia="Calibri"/>
          <w:i/>
          <w:iCs/>
        </w:rPr>
      </w:pPr>
    </w:p>
    <w:p w:rsidR="00EE03CB" w:rsidRPr="004848C7" w:rsidP="00152433" w14:paraId="23925DB2" w14:textId="063812B6">
      <w:pPr>
        <w:pStyle w:val="paragraph"/>
        <w:spacing w:before="0" w:beforeAutospacing="0" w:after="200" w:afterAutospacing="0"/>
        <w:textAlignment w:val="baseline"/>
        <w:rPr>
          <w:rStyle w:val="normaltextrun"/>
          <w:rFonts w:eastAsia="Calibri"/>
          <w:i/>
          <w:iCs/>
        </w:rPr>
      </w:pPr>
      <w:r w:rsidRPr="004848C7">
        <w:rPr>
          <w:rStyle w:val="normaltextrun"/>
          <w:rFonts w:eastAsia="Calibri"/>
          <w:i/>
          <w:iCs/>
        </w:rPr>
        <w:t>Comment 1</w:t>
      </w:r>
      <w:r w:rsidRPr="004848C7">
        <w:rPr>
          <w:rStyle w:val="normaltextrun"/>
          <w:rFonts w:eastAsia="Calibri"/>
          <w:i/>
          <w:iCs/>
        </w:rPr>
        <w:t xml:space="preserve"> (</w:t>
      </w:r>
      <w:r w:rsidRPr="00152433" w:rsidR="00543E01">
        <w:rPr>
          <w:rStyle w:val="normaltextrun"/>
          <w:rFonts w:eastAsia="Calibri"/>
          <w:i/>
          <w:iCs/>
        </w:rPr>
        <w:t>Distribution records burden)</w:t>
      </w:r>
    </w:p>
    <w:p w:rsidR="00180FC6" w:rsidRPr="00152433" w:rsidP="00152433" w14:paraId="3011BBEE" w14:textId="25C44E90">
      <w:pPr>
        <w:pStyle w:val="paragraph"/>
        <w:spacing w:before="0" w:beforeAutospacing="0" w:after="200" w:afterAutospacing="0"/>
        <w:textAlignment w:val="baseline"/>
        <w:rPr>
          <w:rFonts w:eastAsia="Calibri"/>
        </w:rPr>
      </w:pPr>
      <w:r w:rsidRPr="00152433">
        <w:t>One commenter stated</w:t>
      </w:r>
      <w:r w:rsidRPr="00152433">
        <w:t xml:space="preserve"> </w:t>
      </w:r>
      <w:r w:rsidR="00F06045">
        <w:t xml:space="preserve">that </w:t>
      </w:r>
      <w:r w:rsidRPr="00152433">
        <w:rPr>
          <w:rFonts w:eastAsia="Calibri"/>
        </w:rPr>
        <w:t xml:space="preserve">entering a specific percentage of oxygen </w:t>
      </w:r>
      <w:r w:rsidR="005E348D">
        <w:rPr>
          <w:rFonts w:eastAsia="Calibri"/>
        </w:rPr>
        <w:t>in the dist</w:t>
      </w:r>
      <w:r w:rsidR="000A4BC3">
        <w:rPr>
          <w:rFonts w:eastAsia="Calibri"/>
        </w:rPr>
        <w:t xml:space="preserve">ribution records </w:t>
      </w:r>
      <w:r w:rsidRPr="00152433">
        <w:rPr>
          <w:rFonts w:eastAsia="Calibri"/>
        </w:rPr>
        <w:t>for each medical air cylinder is</w:t>
      </w:r>
      <w:r w:rsidRPr="00152433">
        <w:rPr>
          <w:rFonts w:eastAsia="Calibri"/>
        </w:rPr>
        <w:t xml:space="preserve"> not necessary, because medical air contains a range of oxygen in nitrogen.</w:t>
      </w:r>
    </w:p>
    <w:p w:rsidR="006A48E7" w:rsidRPr="00152433" w:rsidP="00152433" w14:paraId="497A499F" w14:textId="10C30073">
      <w:pPr>
        <w:pStyle w:val="paragraph"/>
        <w:spacing w:before="0" w:beforeAutospacing="0" w:after="200" w:afterAutospacing="0"/>
        <w:textAlignment w:val="baseline"/>
      </w:pPr>
      <w:r w:rsidRPr="00152433">
        <w:rPr>
          <w:rStyle w:val="normaltextrun"/>
          <w:rFonts w:eastAsia="Calibri"/>
        </w:rPr>
        <w:t>Response</w:t>
      </w:r>
      <w:r w:rsidR="00327A11">
        <w:rPr>
          <w:rStyle w:val="normaltextrun"/>
          <w:rFonts w:eastAsia="Calibri"/>
        </w:rPr>
        <w:t xml:space="preserve"> 1</w:t>
      </w:r>
      <w:r w:rsidRPr="00152433">
        <w:rPr>
          <w:rStyle w:val="normaltextrun"/>
          <w:rFonts w:eastAsia="Calibri"/>
        </w:rPr>
        <w:t xml:space="preserve">: </w:t>
      </w:r>
      <w:r w:rsidRPr="00152433">
        <w:t xml:space="preserve">FDA agrees. </w:t>
      </w:r>
      <w:r w:rsidRPr="00152433" w:rsidR="00EE03CB">
        <w:t>We removed</w:t>
      </w:r>
      <w:r w:rsidRPr="00152433">
        <w:t xml:space="preserve"> “medical air and” from the </w:t>
      </w:r>
      <w:r w:rsidRPr="00152433" w:rsidR="00EE03CB">
        <w:t>distribution records section to clarify.</w:t>
      </w:r>
      <w:r w:rsidRPr="00152433" w:rsidR="009F204C">
        <w:t xml:space="preserve"> This clarification </w:t>
      </w:r>
      <w:r w:rsidR="00830E64">
        <w:t>e</w:t>
      </w:r>
      <w:r w:rsidRPr="00152433" w:rsidR="009F204C">
        <w:t>nsures no additional burden for distribution records.</w:t>
      </w:r>
      <w:r w:rsidRPr="00152433" w:rsidR="00BD2C05">
        <w:t xml:space="preserve"> </w:t>
      </w:r>
    </w:p>
    <w:p w:rsidR="00152433" w:rsidP="00152433" w14:paraId="20B5C112" w14:textId="77777777">
      <w:pPr>
        <w:pStyle w:val="paragraph"/>
        <w:spacing w:before="0" w:beforeAutospacing="0" w:after="200" w:afterAutospacing="0"/>
        <w:textAlignment w:val="baseline"/>
        <w:rPr>
          <w:rStyle w:val="normaltextrun"/>
          <w:rFonts w:eastAsia="Calibri"/>
          <w:i/>
          <w:iCs/>
        </w:rPr>
      </w:pPr>
    </w:p>
    <w:p w:rsidR="00EE03CB" w:rsidRPr="004848C7" w:rsidP="00152433" w14:paraId="252D78C6" w14:textId="1ECC5A6D">
      <w:pPr>
        <w:pStyle w:val="paragraph"/>
        <w:spacing w:before="0" w:beforeAutospacing="0" w:after="200" w:afterAutospacing="0"/>
        <w:textAlignment w:val="baseline"/>
        <w:rPr>
          <w:rStyle w:val="normaltextrun"/>
          <w:rFonts w:eastAsia="Calibri"/>
          <w:i/>
          <w:iCs/>
        </w:rPr>
      </w:pPr>
      <w:r w:rsidRPr="004848C7">
        <w:rPr>
          <w:rStyle w:val="normaltextrun"/>
          <w:rFonts w:eastAsia="Calibri"/>
          <w:i/>
          <w:iCs/>
        </w:rPr>
        <w:t>Comment 2</w:t>
      </w:r>
      <w:r w:rsidRPr="004848C7">
        <w:rPr>
          <w:rStyle w:val="normaltextrun"/>
          <w:rFonts w:eastAsia="Calibri"/>
          <w:i/>
          <w:iCs/>
        </w:rPr>
        <w:t xml:space="preserve"> (</w:t>
      </w:r>
      <w:r w:rsidRPr="00152433" w:rsidR="00543E01">
        <w:rPr>
          <w:rStyle w:val="normaltextrun"/>
          <w:rFonts w:eastAsia="Calibri"/>
          <w:i/>
          <w:iCs/>
        </w:rPr>
        <w:t>Transfilling recording burden)</w:t>
      </w:r>
    </w:p>
    <w:p w:rsidR="00180FC6" w:rsidRPr="00152433" w:rsidP="00152433" w14:paraId="1E4E4111" w14:textId="28D0A794">
      <w:pPr>
        <w:pStyle w:val="paragraph"/>
        <w:spacing w:before="0" w:beforeAutospacing="0" w:after="200" w:afterAutospacing="0"/>
        <w:textAlignment w:val="baseline"/>
        <w:rPr>
          <w:rFonts w:eastAsia="Calibri"/>
        </w:rPr>
      </w:pPr>
      <w:r>
        <w:t>One commenter stated</w:t>
      </w:r>
      <w:r w:rsidR="00D33C94">
        <w:t xml:space="preserve"> that</w:t>
      </w:r>
      <w:r>
        <w:t xml:space="preserve"> transfilling should be included in the distribution records and tracked, including which lots of gas material </w:t>
      </w:r>
      <w:r w:rsidR="002B43FA">
        <w:t xml:space="preserve">were added </w:t>
      </w:r>
      <w:r>
        <w:t xml:space="preserve">and </w:t>
      </w:r>
      <w:r w:rsidR="002B43FA">
        <w:t xml:space="preserve">on which </w:t>
      </w:r>
      <w:r>
        <w:t>date</w:t>
      </w:r>
      <w:r w:rsidRPr="00152433" w:rsidR="00543E01">
        <w:rPr>
          <w:rFonts w:eastAsia="Calibri"/>
        </w:rPr>
        <w:t xml:space="preserve">. </w:t>
      </w:r>
    </w:p>
    <w:p w:rsidR="00A431B1" w:rsidRPr="00152433" w:rsidP="00152433" w14:paraId="08AE98BD" w14:textId="6DF15D97">
      <w:pPr>
        <w:pStyle w:val="paragraph"/>
        <w:spacing w:before="0" w:beforeAutospacing="0" w:after="200" w:afterAutospacing="0"/>
        <w:textAlignment w:val="baseline"/>
        <w:rPr>
          <w:rFonts w:eastAsia="Calibri"/>
        </w:rPr>
      </w:pPr>
      <w:r w:rsidRPr="00152433">
        <w:rPr>
          <w:rFonts w:eastAsia="Calibri"/>
        </w:rPr>
        <w:t>Response</w:t>
      </w:r>
      <w:r w:rsidR="00327A11">
        <w:rPr>
          <w:rFonts w:eastAsia="Calibri"/>
        </w:rPr>
        <w:t xml:space="preserve"> 2</w:t>
      </w:r>
      <w:r w:rsidRPr="00152433">
        <w:rPr>
          <w:rFonts w:eastAsia="Calibri"/>
        </w:rPr>
        <w:t xml:space="preserve">: </w:t>
      </w:r>
      <w:r w:rsidRPr="00152433" w:rsidR="00BD2C05">
        <w:rPr>
          <w:rFonts w:eastAsia="Calibri"/>
        </w:rPr>
        <w:t xml:space="preserve">Including transfilling in the distribution records would be burdensome. However, </w:t>
      </w:r>
      <w:r w:rsidRPr="00152433">
        <w:t>FDA does not believe that changes are needed to address this issue. T</w:t>
      </w:r>
      <w:r w:rsidRPr="00152433" w:rsidR="00F01E50">
        <w:t>he</w:t>
      </w:r>
      <w:r w:rsidRPr="00152433">
        <w:t xml:space="preserve"> tracking information </w:t>
      </w:r>
      <w:r w:rsidRPr="00152433" w:rsidR="00F01E50">
        <w:t>may be of limited use for</w:t>
      </w:r>
      <w:r w:rsidRPr="00152433">
        <w:t xml:space="preserve"> </w:t>
      </w:r>
      <w:r w:rsidRPr="00152433" w:rsidR="00BD2C05">
        <w:t xml:space="preserve">traceability </w:t>
      </w:r>
      <w:r w:rsidR="00502D57">
        <w:t>due to</w:t>
      </w:r>
      <w:r w:rsidRPr="00152433" w:rsidR="00F01E50">
        <w:t xml:space="preserve"> the use of multiple batches and commingling. Additionally, we</w:t>
      </w:r>
      <w:r w:rsidRPr="00152433">
        <w:t xml:space="preserve"> </w:t>
      </w:r>
      <w:r w:rsidRPr="00152433" w:rsidR="00BD2C05">
        <w:t>expect</w:t>
      </w:r>
      <w:r w:rsidRPr="00152433">
        <w:t xml:space="preserve"> that the benefits would be minimal while the added burden of tracking this information would be significant. </w:t>
      </w:r>
    </w:p>
    <w:p w:rsidR="00152433" w:rsidP="00152433" w14:paraId="17CF8D0C" w14:textId="77777777">
      <w:pPr>
        <w:pStyle w:val="paragraph"/>
        <w:spacing w:before="0" w:beforeAutospacing="0" w:after="200" w:afterAutospacing="0"/>
        <w:textAlignment w:val="baseline"/>
        <w:rPr>
          <w:rFonts w:eastAsia="Calibri"/>
          <w:i/>
          <w:iCs/>
        </w:rPr>
      </w:pPr>
    </w:p>
    <w:p w:rsidR="009F204C" w:rsidRPr="004848C7" w:rsidP="00152433" w14:paraId="6FAEDDA1" w14:textId="77BC8F3A">
      <w:pPr>
        <w:pStyle w:val="paragraph"/>
        <w:spacing w:before="0" w:beforeAutospacing="0" w:after="200" w:afterAutospacing="0"/>
        <w:textAlignment w:val="baseline"/>
        <w:rPr>
          <w:rFonts w:eastAsia="Calibri"/>
          <w:i/>
          <w:iCs/>
        </w:rPr>
      </w:pPr>
      <w:r w:rsidRPr="004848C7">
        <w:rPr>
          <w:rFonts w:eastAsia="Calibri"/>
          <w:i/>
          <w:iCs/>
        </w:rPr>
        <w:t xml:space="preserve">Comment </w:t>
      </w:r>
      <w:r w:rsidRPr="004848C7">
        <w:rPr>
          <w:rFonts w:eastAsia="Calibri"/>
          <w:i/>
          <w:iCs/>
        </w:rPr>
        <w:t>3 (Adverse event reporting burden)</w:t>
      </w:r>
    </w:p>
    <w:p w:rsidR="00A9182F" w:rsidRPr="00152433" w:rsidP="004848C7" w14:paraId="790299C1" w14:textId="0F669143">
      <w:pPr>
        <w:pStyle w:val="paragraph"/>
        <w:spacing w:before="0" w:beforeAutospacing="0" w:after="200" w:afterAutospacing="0"/>
        <w:textAlignment w:val="baseline"/>
        <w:rPr>
          <w:rFonts w:eastAsia="Calibri"/>
        </w:rPr>
      </w:pPr>
      <w:r w:rsidRPr="00152433">
        <w:rPr>
          <w:rFonts w:eastAsia="Calibri"/>
        </w:rPr>
        <w:t>One</w:t>
      </w:r>
      <w:r w:rsidRPr="00152433" w:rsidR="000509E7">
        <w:rPr>
          <w:rFonts w:eastAsia="Calibri"/>
        </w:rPr>
        <w:t xml:space="preserve"> commenter state</w:t>
      </w:r>
      <w:r w:rsidR="00685912">
        <w:rPr>
          <w:rFonts w:eastAsia="Calibri"/>
        </w:rPr>
        <w:t>s</w:t>
      </w:r>
      <w:r w:rsidRPr="00152433" w:rsidR="000509E7">
        <w:rPr>
          <w:rFonts w:eastAsia="Calibri"/>
        </w:rPr>
        <w:t xml:space="preserve"> generally </w:t>
      </w:r>
      <w:r w:rsidR="00502D57">
        <w:rPr>
          <w:rFonts w:eastAsia="Calibri"/>
        </w:rPr>
        <w:t xml:space="preserve">that </w:t>
      </w:r>
      <w:r w:rsidRPr="00152433" w:rsidR="000509E7">
        <w:rPr>
          <w:rFonts w:eastAsia="Calibri"/>
        </w:rPr>
        <w:t xml:space="preserve">the </w:t>
      </w:r>
      <w:r w:rsidR="00F3167F">
        <w:rPr>
          <w:rFonts w:eastAsia="Calibri"/>
        </w:rPr>
        <w:t xml:space="preserve">potential </w:t>
      </w:r>
      <w:r w:rsidRPr="00152433" w:rsidR="00180FC6">
        <w:rPr>
          <w:rFonts w:eastAsia="Calibri"/>
        </w:rPr>
        <w:t xml:space="preserve">burden </w:t>
      </w:r>
      <w:r w:rsidRPr="000659AD" w:rsidR="00F61F94">
        <w:t>associated with the proposed minimum data set requirements for human postmarketing safety reporting</w:t>
      </w:r>
      <w:r w:rsidRPr="00152433" w:rsidR="00F61F94">
        <w:rPr>
          <w:rFonts w:eastAsia="Calibri"/>
        </w:rPr>
        <w:t xml:space="preserve"> </w:t>
      </w:r>
      <w:r w:rsidRPr="00152433" w:rsidR="00180FC6">
        <w:rPr>
          <w:rFonts w:eastAsia="Calibri"/>
        </w:rPr>
        <w:t xml:space="preserve">on medical gas firms could be significant based on the number of </w:t>
      </w:r>
      <w:r w:rsidRPr="00152433" w:rsidR="000509E7">
        <w:rPr>
          <w:rFonts w:eastAsia="Calibri"/>
        </w:rPr>
        <w:t>adverse event reports</w:t>
      </w:r>
      <w:r w:rsidR="00C73CDB">
        <w:rPr>
          <w:rFonts w:eastAsia="Calibri"/>
        </w:rPr>
        <w:t xml:space="preserve"> received and the specific information required for </w:t>
      </w:r>
      <w:r w:rsidR="00015ABB">
        <w:rPr>
          <w:rFonts w:eastAsia="Calibri"/>
        </w:rPr>
        <w:t>individual case safety reports</w:t>
      </w:r>
      <w:r w:rsidRPr="00152433" w:rsidR="000509E7">
        <w:rPr>
          <w:rFonts w:eastAsia="Calibri"/>
        </w:rPr>
        <w:t xml:space="preserve">. The commenter </w:t>
      </w:r>
      <w:r w:rsidR="007F5146">
        <w:rPr>
          <w:rFonts w:eastAsia="Calibri"/>
        </w:rPr>
        <w:t>asserts</w:t>
      </w:r>
      <w:r w:rsidRPr="00152433" w:rsidR="007F5146">
        <w:rPr>
          <w:rFonts w:eastAsia="Calibri"/>
        </w:rPr>
        <w:t xml:space="preserve"> </w:t>
      </w:r>
      <w:r w:rsidRPr="00152433" w:rsidR="000509E7">
        <w:rPr>
          <w:rFonts w:eastAsia="Calibri"/>
        </w:rPr>
        <w:t>th</w:t>
      </w:r>
      <w:r w:rsidR="0029150A">
        <w:rPr>
          <w:rFonts w:eastAsia="Calibri"/>
        </w:rPr>
        <w:t>at</w:t>
      </w:r>
      <w:r w:rsidRPr="00152433" w:rsidR="000509E7">
        <w:rPr>
          <w:rFonts w:eastAsia="Calibri"/>
        </w:rPr>
        <w:t xml:space="preserve"> adverse event reporting would require all</w:t>
      </w:r>
      <w:r w:rsidRPr="00152433" w:rsidR="00180FC6">
        <w:rPr>
          <w:rFonts w:eastAsia="Calibri"/>
        </w:rPr>
        <w:t xml:space="preserve"> registered medical gas firms to hire or have available medical professionals or contractors to evaluate potential </w:t>
      </w:r>
      <w:r w:rsidRPr="00152433" w:rsidR="000509E7">
        <w:rPr>
          <w:rFonts w:eastAsia="Calibri"/>
        </w:rPr>
        <w:t>adverse events</w:t>
      </w:r>
      <w:r w:rsidRPr="00152433" w:rsidR="00180FC6">
        <w:rPr>
          <w:rFonts w:eastAsia="Calibri"/>
        </w:rPr>
        <w:t xml:space="preserve">. </w:t>
      </w:r>
    </w:p>
    <w:p w:rsidR="000D7BA9" w:rsidP="004848C7" w14:paraId="4ACB1E05" w14:textId="10D006F5">
      <w:pPr>
        <w:pStyle w:val="paragraph"/>
        <w:spacing w:before="0" w:beforeAutospacing="0" w:after="200" w:afterAutospacing="0"/>
        <w:textAlignment w:val="baseline"/>
        <w:rPr>
          <w:rFonts w:eastAsia="Calibri"/>
        </w:rPr>
      </w:pPr>
      <w:r w:rsidRPr="00152433">
        <w:rPr>
          <w:rFonts w:eastAsia="Calibri"/>
        </w:rPr>
        <w:t>Response</w:t>
      </w:r>
      <w:r w:rsidR="00327A11">
        <w:rPr>
          <w:rFonts w:eastAsia="Calibri"/>
        </w:rPr>
        <w:t xml:space="preserve"> 3</w:t>
      </w:r>
      <w:r w:rsidRPr="00152433">
        <w:rPr>
          <w:rFonts w:eastAsia="Calibri"/>
        </w:rPr>
        <w:t>:</w:t>
      </w:r>
      <w:r w:rsidRPr="00152433">
        <w:rPr>
          <w:rFonts w:eastAsia="Calibri"/>
        </w:rPr>
        <w:t xml:space="preserve"> Adverse event reporting is already required for applicants and nonapplicants. </w:t>
      </w:r>
      <w:r w:rsidR="00942F5D">
        <w:rPr>
          <w:rFonts w:eastAsia="Calibri"/>
        </w:rPr>
        <w:t>Th</w:t>
      </w:r>
      <w:r w:rsidR="001848FF">
        <w:rPr>
          <w:rFonts w:eastAsia="Calibri"/>
        </w:rPr>
        <w:t>e</w:t>
      </w:r>
      <w:r w:rsidR="00942F5D">
        <w:rPr>
          <w:rFonts w:eastAsia="Calibri"/>
        </w:rPr>
        <w:t xml:space="preserve"> </w:t>
      </w:r>
      <w:r w:rsidR="001848FF">
        <w:rPr>
          <w:rFonts w:eastAsia="Calibri"/>
        </w:rPr>
        <w:t>final</w:t>
      </w:r>
      <w:r w:rsidR="00942F5D">
        <w:rPr>
          <w:rFonts w:eastAsia="Calibri"/>
        </w:rPr>
        <w:t xml:space="preserve"> rule requires nonapplicants to report adverse events directly to FDA rather than report</w:t>
      </w:r>
      <w:r w:rsidR="00E13A6A">
        <w:rPr>
          <w:rFonts w:eastAsia="Calibri"/>
        </w:rPr>
        <w:t>ing</w:t>
      </w:r>
      <w:r w:rsidR="00942F5D">
        <w:rPr>
          <w:rFonts w:eastAsia="Calibri"/>
        </w:rPr>
        <w:t xml:space="preserve"> to </w:t>
      </w:r>
      <w:r w:rsidR="00942F5D">
        <w:rPr>
          <w:rFonts w:eastAsia="Calibri"/>
        </w:rPr>
        <w:t>the applicant</w:t>
      </w:r>
      <w:r w:rsidR="00BF791F">
        <w:rPr>
          <w:rFonts w:eastAsia="Calibri"/>
        </w:rPr>
        <w:t xml:space="preserve"> who in turn</w:t>
      </w:r>
      <w:r w:rsidR="00727347">
        <w:rPr>
          <w:rFonts w:eastAsia="Calibri"/>
        </w:rPr>
        <w:t xml:space="preserve"> would</w:t>
      </w:r>
      <w:r w:rsidR="00BF791F">
        <w:rPr>
          <w:rFonts w:eastAsia="Calibri"/>
        </w:rPr>
        <w:t xml:space="preserve"> report the adverse event to FDA</w:t>
      </w:r>
      <w:r w:rsidR="00942F5D">
        <w:rPr>
          <w:rFonts w:eastAsia="Calibri"/>
        </w:rPr>
        <w:t>. FDA believes this will be less burdensome</w:t>
      </w:r>
      <w:r w:rsidR="00E13A6A">
        <w:rPr>
          <w:rFonts w:eastAsia="Calibri"/>
        </w:rPr>
        <w:t xml:space="preserve"> in the context of medical gases</w:t>
      </w:r>
      <w:r w:rsidR="00942F5D">
        <w:rPr>
          <w:rFonts w:eastAsia="Calibri"/>
        </w:rPr>
        <w:t xml:space="preserve">. </w:t>
      </w:r>
      <w:r w:rsidRPr="00152433">
        <w:rPr>
          <w:rFonts w:eastAsia="Calibri"/>
        </w:rPr>
        <w:t>Our analysis does anticipate a small increase in adverse event reporting for animals as a result of clarif</w:t>
      </w:r>
      <w:r w:rsidR="0073583D">
        <w:rPr>
          <w:rFonts w:eastAsia="Calibri"/>
        </w:rPr>
        <w:t>ication</w:t>
      </w:r>
      <w:r w:rsidR="00E437DA">
        <w:rPr>
          <w:rFonts w:eastAsia="Calibri"/>
        </w:rPr>
        <w:t xml:space="preserve"> </w:t>
      </w:r>
      <w:r w:rsidR="0073583D">
        <w:rPr>
          <w:rFonts w:eastAsia="Calibri"/>
        </w:rPr>
        <w:t>of the requirements applicable to industry</w:t>
      </w:r>
      <w:r w:rsidRPr="00152433">
        <w:rPr>
          <w:rFonts w:eastAsia="Calibri"/>
        </w:rPr>
        <w:t>. However, because this is not a new requirement</w:t>
      </w:r>
      <w:r w:rsidRPr="00152433" w:rsidR="00C56DC1">
        <w:rPr>
          <w:rFonts w:eastAsia="Calibri"/>
        </w:rPr>
        <w:t>,</w:t>
      </w:r>
      <w:r w:rsidRPr="00152433">
        <w:rPr>
          <w:rFonts w:eastAsia="Calibri"/>
        </w:rPr>
        <w:t xml:space="preserve"> we believe that the small increase is an accurate estimate of the additional burden for adverse event reports.</w:t>
      </w:r>
    </w:p>
    <w:p w:rsidR="00CF57FA" w:rsidRPr="00152433" w:rsidP="00CF57FA" w14:paraId="15229772" w14:textId="17A7A9F1">
      <w:pPr>
        <w:pStyle w:val="paragraph"/>
        <w:spacing w:before="0" w:beforeAutospacing="0" w:after="200" w:afterAutospacing="0"/>
        <w:textAlignment w:val="baseline"/>
        <w:rPr>
          <w:rFonts w:eastAsia="Calibri"/>
        </w:rPr>
      </w:pPr>
      <w:r>
        <w:rPr>
          <w:rFonts w:eastAsia="Calibri"/>
        </w:rPr>
        <w:t>We do not anticipate an additional burden per adverse event report as a result of the  minimum data set requirements</w:t>
      </w:r>
      <w:r w:rsidR="001848FF">
        <w:rPr>
          <w:rFonts w:eastAsia="Calibri"/>
        </w:rPr>
        <w:t xml:space="preserve"> established in the final rule</w:t>
      </w:r>
      <w:r>
        <w:rPr>
          <w:rFonts w:eastAsia="Calibri"/>
        </w:rPr>
        <w:t xml:space="preserve">. </w:t>
      </w:r>
      <w:r w:rsidR="00007804">
        <w:rPr>
          <w:rFonts w:eastAsia="Calibri"/>
        </w:rPr>
        <w:t>Collection of t</w:t>
      </w:r>
      <w:r>
        <w:rPr>
          <w:rFonts w:eastAsia="Calibri"/>
        </w:rPr>
        <w:t xml:space="preserve">he minimum data set requirements </w:t>
      </w:r>
      <w:r w:rsidR="00186742">
        <w:rPr>
          <w:rFonts w:eastAsia="Calibri"/>
        </w:rPr>
        <w:t xml:space="preserve">is </w:t>
      </w:r>
      <w:r>
        <w:rPr>
          <w:rFonts w:eastAsia="Calibri"/>
        </w:rPr>
        <w:t xml:space="preserve">already included in </w:t>
      </w:r>
      <w:r w:rsidR="00F2151E">
        <w:rPr>
          <w:rFonts w:eastAsia="Calibri"/>
        </w:rPr>
        <w:t xml:space="preserve">FDA’s </w:t>
      </w:r>
      <w:r w:rsidR="007209A1">
        <w:rPr>
          <w:rFonts w:eastAsia="Calibri"/>
        </w:rPr>
        <w:t>g</w:t>
      </w:r>
      <w:r>
        <w:rPr>
          <w:rFonts w:eastAsia="Calibri"/>
        </w:rPr>
        <w:t xml:space="preserve">uidance for </w:t>
      </w:r>
      <w:r w:rsidR="007209A1">
        <w:rPr>
          <w:rFonts w:eastAsia="Calibri"/>
        </w:rPr>
        <w:t>i</w:t>
      </w:r>
      <w:r>
        <w:rPr>
          <w:rFonts w:eastAsia="Calibri"/>
        </w:rPr>
        <w:t>n</w:t>
      </w:r>
      <w:r w:rsidRPr="00CD1EFF">
        <w:rPr>
          <w:rFonts w:eastAsia="Calibri"/>
        </w:rPr>
        <w:t>dustry Postmarketing Adverse Event Reporting for Nonprescription Human Drug Products Marketed Without an Approved Application</w:t>
      </w:r>
      <w:r>
        <w:rPr>
          <w:rStyle w:val="FootnoteReference"/>
          <w:rFonts w:eastAsia="Calibri"/>
        </w:rPr>
        <w:footnoteReference w:id="3"/>
      </w:r>
      <w:r w:rsidR="007209A1">
        <w:rPr>
          <w:rFonts w:eastAsia="Calibri"/>
        </w:rPr>
        <w:t xml:space="preserve"> </w:t>
      </w:r>
      <w:r w:rsidRPr="002A6B8C" w:rsidR="002A6B8C">
        <w:rPr>
          <w:rFonts w:eastAsia="Calibri"/>
        </w:rPr>
        <w:t xml:space="preserve">and draft guidance for industry Postmarketing Safety Reporting for Human Drug and Biological Products Including </w:t>
      </w:r>
      <w:r w:rsidRPr="002A6B8C" w:rsidR="009E4637">
        <w:rPr>
          <w:rFonts w:eastAsia="Calibri"/>
        </w:rPr>
        <w:t>Vaccines</w:t>
      </w:r>
      <w:r>
        <w:rPr>
          <w:rStyle w:val="FootnoteReference"/>
          <w:rFonts w:eastAsia="Calibri"/>
        </w:rPr>
        <w:footnoteReference w:id="4"/>
      </w:r>
      <w:r w:rsidRPr="002A6B8C" w:rsidR="009E4637">
        <w:rPr>
          <w:rFonts w:eastAsia="Calibri"/>
        </w:rPr>
        <w:t xml:space="preserve"> and</w:t>
      </w:r>
      <w:r>
        <w:rPr>
          <w:rFonts w:eastAsia="Calibri"/>
        </w:rPr>
        <w:t xml:space="preserve"> </w:t>
      </w:r>
      <w:r w:rsidR="00007804">
        <w:rPr>
          <w:rFonts w:eastAsia="Calibri"/>
        </w:rPr>
        <w:t>is</w:t>
      </w:r>
      <w:r>
        <w:rPr>
          <w:rFonts w:eastAsia="Calibri"/>
        </w:rPr>
        <w:t xml:space="preserve"> industry practice.</w:t>
      </w:r>
    </w:p>
    <w:p w:rsidR="00DE4442" w:rsidRPr="00152433" w:rsidP="00152433" w14:paraId="51C4DB9D" w14:textId="3241D52F">
      <w:pPr>
        <w:pStyle w:val="paragraph"/>
        <w:spacing w:before="0" w:beforeAutospacing="0" w:after="200" w:afterAutospacing="0"/>
        <w:textAlignment w:val="baseline"/>
        <w:rPr>
          <w:iCs/>
        </w:rPr>
      </w:pPr>
      <w:r w:rsidRPr="00152433">
        <w:rPr>
          <w:iCs/>
        </w:rPr>
        <w:t xml:space="preserve">FDA does not believe that firms will need to hire medical professionals. </w:t>
      </w:r>
      <w:r w:rsidRPr="00152433" w:rsidR="00C56DC1">
        <w:rPr>
          <w:iCs/>
        </w:rPr>
        <w:t>Reporters are not required to determin</w:t>
      </w:r>
      <w:r w:rsidR="00007804">
        <w:rPr>
          <w:iCs/>
        </w:rPr>
        <w:t>e</w:t>
      </w:r>
      <w:r w:rsidRPr="00152433" w:rsidR="00C56DC1">
        <w:rPr>
          <w:iCs/>
        </w:rPr>
        <w:t xml:space="preserve"> causality</w:t>
      </w:r>
      <w:r w:rsidR="00156BF6">
        <w:rPr>
          <w:iCs/>
        </w:rPr>
        <w:t xml:space="preserve"> but</w:t>
      </w:r>
      <w:r w:rsidRPr="00152433" w:rsidR="00C56DC1">
        <w:rPr>
          <w:iCs/>
        </w:rPr>
        <w:t xml:space="preserve"> only</w:t>
      </w:r>
      <w:r w:rsidR="00156BF6">
        <w:rPr>
          <w:iCs/>
        </w:rPr>
        <w:t xml:space="preserve"> to</w:t>
      </w:r>
      <w:r w:rsidRPr="00152433" w:rsidR="00C56DC1">
        <w:rPr>
          <w:iCs/>
        </w:rPr>
        <w:t xml:space="preserve"> report that an adverse event did occur. </w:t>
      </w:r>
      <w:r w:rsidR="008451F1">
        <w:rPr>
          <w:iCs/>
        </w:rPr>
        <w:t xml:space="preserve"> </w:t>
      </w:r>
      <w:r w:rsidRPr="00152433" w:rsidR="00FE1926">
        <w:rPr>
          <w:iCs/>
        </w:rPr>
        <w:t xml:space="preserve">Additionally, adverse event reporting is not a new requirement. </w:t>
      </w:r>
    </w:p>
    <w:p w:rsidR="00EB3BC1" w:rsidRPr="004848C7" w:rsidP="00152433" w14:paraId="7816539D" w14:textId="77777777">
      <w:pPr>
        <w:pStyle w:val="paragraph"/>
        <w:spacing w:before="0" w:beforeAutospacing="0" w:after="200" w:afterAutospacing="0"/>
        <w:textAlignment w:val="baseline"/>
        <w:rPr>
          <w:iCs/>
        </w:rPr>
      </w:pPr>
    </w:p>
    <w:p w:rsidR="00A22196" w:rsidRPr="004848C7" w:rsidP="00152433" w14:paraId="2909AAC4" w14:textId="6E2E2499">
      <w:pPr>
        <w:pStyle w:val="paragraph"/>
        <w:spacing w:before="0" w:beforeAutospacing="0" w:after="200" w:afterAutospacing="0"/>
        <w:textAlignment w:val="baseline"/>
        <w:rPr>
          <w:rFonts w:eastAsia="Calibri"/>
          <w:i/>
          <w:iCs/>
        </w:rPr>
      </w:pPr>
      <w:r w:rsidRPr="004848C7">
        <w:rPr>
          <w:rFonts w:eastAsia="Calibri"/>
          <w:i/>
          <w:iCs/>
        </w:rPr>
        <w:t xml:space="preserve">Comment </w:t>
      </w:r>
      <w:r w:rsidRPr="00152433" w:rsidR="00B94A03">
        <w:rPr>
          <w:rFonts w:eastAsia="Calibri"/>
          <w:i/>
          <w:iCs/>
        </w:rPr>
        <w:t>4</w:t>
      </w:r>
      <w:r w:rsidRPr="004848C7">
        <w:rPr>
          <w:rFonts w:eastAsia="Calibri"/>
          <w:i/>
          <w:iCs/>
        </w:rPr>
        <w:t xml:space="preserve"> (General comment, burden may be higher)</w:t>
      </w:r>
    </w:p>
    <w:p w:rsidR="00DE4442" w:rsidRPr="00152433" w:rsidP="00152433" w14:paraId="4A39FDDD" w14:textId="7A40BBC9">
      <w:pPr>
        <w:pStyle w:val="paragraph"/>
        <w:spacing w:before="0" w:beforeAutospacing="0" w:after="200" w:afterAutospacing="0"/>
        <w:textAlignment w:val="baseline"/>
        <w:rPr>
          <w:rFonts w:eastAsia="Calibri"/>
        </w:rPr>
      </w:pPr>
      <w:r w:rsidRPr="00152433">
        <w:rPr>
          <w:rFonts w:eastAsia="Calibri"/>
        </w:rPr>
        <w:t xml:space="preserve">One commenter stated </w:t>
      </w:r>
      <w:r w:rsidR="00E4022B">
        <w:rPr>
          <w:rFonts w:eastAsia="Calibri"/>
        </w:rPr>
        <w:t xml:space="preserve">that </w:t>
      </w:r>
      <w:r w:rsidRPr="00152433">
        <w:rPr>
          <w:rFonts w:eastAsia="Calibri"/>
        </w:rPr>
        <w:t xml:space="preserve">the </w:t>
      </w:r>
      <w:r w:rsidRPr="00152433">
        <w:t>requirements do not reflect current industry practice</w:t>
      </w:r>
      <w:r w:rsidR="006C0B40">
        <w:t xml:space="preserve"> and</w:t>
      </w:r>
      <w:r w:rsidRPr="00152433">
        <w:t xml:space="preserve"> there may be additional economic burden on the industry that is not included in FDA’s summary.</w:t>
      </w:r>
    </w:p>
    <w:p w:rsidR="00395075" w:rsidRPr="00152433" w:rsidP="00152433" w14:paraId="06F54537" w14:textId="0BB06A69">
      <w:pPr>
        <w:pStyle w:val="paragraph"/>
        <w:spacing w:before="0" w:beforeAutospacing="0" w:after="200" w:afterAutospacing="0"/>
        <w:textAlignment w:val="baseline"/>
      </w:pPr>
      <w:r w:rsidRPr="00152433">
        <w:rPr>
          <w:rStyle w:val="normaltextrun"/>
          <w:rFonts w:eastAsia="Calibri"/>
        </w:rPr>
        <w:t>Response</w:t>
      </w:r>
      <w:r w:rsidR="00327A11">
        <w:rPr>
          <w:rStyle w:val="normaltextrun"/>
          <w:rFonts w:eastAsia="Calibri"/>
        </w:rPr>
        <w:t xml:space="preserve"> 4</w:t>
      </w:r>
      <w:r w:rsidRPr="00152433" w:rsidR="00B94A03">
        <w:rPr>
          <w:rStyle w:val="normaltextrun"/>
          <w:rFonts w:eastAsia="Calibri"/>
        </w:rPr>
        <w:t xml:space="preserve">: </w:t>
      </w:r>
      <w:r w:rsidRPr="00152433" w:rsidR="00EE4DB5">
        <w:rPr>
          <w:rStyle w:val="normaltextrun"/>
          <w:rFonts w:eastAsia="Calibri"/>
        </w:rPr>
        <w:t xml:space="preserve">We appreciate the comment, but we </w:t>
      </w:r>
      <w:r w:rsidRPr="00152433" w:rsidR="00BC4244">
        <w:rPr>
          <w:rStyle w:val="normaltextrun"/>
          <w:rFonts w:eastAsia="Calibri"/>
        </w:rPr>
        <w:t xml:space="preserve">believe </w:t>
      </w:r>
      <w:r w:rsidRPr="00152433" w:rsidR="00BD2C05">
        <w:rPr>
          <w:rStyle w:val="normaltextrun"/>
          <w:rFonts w:eastAsia="Calibri"/>
        </w:rPr>
        <w:t xml:space="preserve">we </w:t>
      </w:r>
      <w:r w:rsidRPr="00152433" w:rsidR="00EE4DB5">
        <w:rPr>
          <w:rStyle w:val="normaltextrun"/>
          <w:rFonts w:eastAsia="Calibri"/>
        </w:rPr>
        <w:t xml:space="preserve">have </w:t>
      </w:r>
      <w:r w:rsidRPr="00152433" w:rsidR="00BC4244">
        <w:rPr>
          <w:rStyle w:val="normaltextrun"/>
          <w:rFonts w:eastAsia="Calibri"/>
        </w:rPr>
        <w:t xml:space="preserve">sufficiently </w:t>
      </w:r>
      <w:r w:rsidRPr="00152433" w:rsidR="00EE4DB5">
        <w:rPr>
          <w:rStyle w:val="normaltextrun"/>
          <w:rFonts w:eastAsia="Calibri"/>
        </w:rPr>
        <w:t xml:space="preserve">estimated </w:t>
      </w:r>
      <w:r w:rsidR="000D47BB">
        <w:rPr>
          <w:rStyle w:val="normaltextrun"/>
          <w:rFonts w:eastAsia="Calibri"/>
        </w:rPr>
        <w:t xml:space="preserve">all direct </w:t>
      </w:r>
      <w:r w:rsidRPr="00152433" w:rsidR="00EE4DB5">
        <w:rPr>
          <w:rStyle w:val="normaltextrun"/>
          <w:rFonts w:eastAsia="Calibri"/>
        </w:rPr>
        <w:t>additional costs for new requirements not determined to be de minimis</w:t>
      </w:r>
      <w:r w:rsidR="00F06045">
        <w:rPr>
          <w:rStyle w:val="normaltextrun"/>
          <w:rFonts w:eastAsia="Calibri"/>
        </w:rPr>
        <w:t>. We</w:t>
      </w:r>
      <w:r w:rsidRPr="00152433" w:rsidR="00EE4DB5">
        <w:rPr>
          <w:rStyle w:val="normaltextrun"/>
          <w:rFonts w:eastAsia="Calibri"/>
        </w:rPr>
        <w:t xml:space="preserve"> </w:t>
      </w:r>
      <w:r w:rsidR="00F06045">
        <w:rPr>
          <w:rStyle w:val="normaltextrun"/>
          <w:rFonts w:eastAsia="Calibri"/>
        </w:rPr>
        <w:t xml:space="preserve">also </w:t>
      </w:r>
      <w:r w:rsidRPr="00152433" w:rsidR="00EE4DB5">
        <w:rPr>
          <w:rStyle w:val="normaltextrun"/>
          <w:rFonts w:eastAsia="Calibri"/>
        </w:rPr>
        <w:t xml:space="preserve">acknowledge additional potential costs and </w:t>
      </w:r>
      <w:r w:rsidRPr="00152433" w:rsidR="00BD2C05">
        <w:rPr>
          <w:rStyle w:val="normaltextrun"/>
          <w:rFonts w:eastAsia="Calibri"/>
        </w:rPr>
        <w:t>possible</w:t>
      </w:r>
      <w:r w:rsidRPr="00152433" w:rsidR="00EE4DB5">
        <w:rPr>
          <w:rStyle w:val="normaltextrun"/>
          <w:rFonts w:eastAsia="Calibri"/>
        </w:rPr>
        <w:t xml:space="preserve"> sensitivities in the </w:t>
      </w:r>
      <w:r w:rsidRPr="00152433" w:rsidR="00BC4244">
        <w:rPr>
          <w:rStyle w:val="normaltextrun"/>
          <w:rFonts w:eastAsia="Calibri"/>
        </w:rPr>
        <w:t>sensitivity</w:t>
      </w:r>
      <w:r w:rsidRPr="00152433" w:rsidR="00EE4DB5">
        <w:rPr>
          <w:rStyle w:val="normaltextrun"/>
          <w:rFonts w:eastAsia="Calibri"/>
        </w:rPr>
        <w:t xml:space="preserve"> analysis</w:t>
      </w:r>
      <w:r w:rsidR="00F06045">
        <w:rPr>
          <w:rStyle w:val="normaltextrun"/>
          <w:rFonts w:eastAsia="Calibri"/>
        </w:rPr>
        <w:t xml:space="preserve"> of the PRIA</w:t>
      </w:r>
      <w:r w:rsidRPr="00152433" w:rsidR="00EE4DB5">
        <w:rPr>
          <w:rStyle w:val="normaltextrun"/>
          <w:rFonts w:eastAsia="Calibri"/>
        </w:rPr>
        <w:t xml:space="preserve">. </w:t>
      </w:r>
    </w:p>
    <w:p w:rsidR="00395075" w:rsidRPr="00152433" w:rsidP="00152433" w14:paraId="7023B7AA" w14:textId="77777777"/>
    <w:p w:rsidR="00395075" w:rsidRPr="004848C7" w:rsidP="004848C7" w14:paraId="0A6D078E" w14:textId="162F3A3A">
      <w:pPr>
        <w:pStyle w:val="Heading2"/>
      </w:pPr>
      <w:bookmarkStart w:id="21" w:name="_Toc148515709"/>
      <w:r w:rsidRPr="00152433">
        <w:rPr>
          <w:rStyle w:val="normaltextrun"/>
        </w:rPr>
        <w:t>Summary of Changes</w:t>
      </w:r>
      <w:bookmarkEnd w:id="21"/>
    </w:p>
    <w:p w:rsidR="00152433" w:rsidRPr="00152433" w:rsidP="000659AD" w14:paraId="55E4B93E" w14:textId="77777777">
      <w:pPr>
        <w:pStyle w:val="paragraph"/>
        <w:spacing w:before="0" w:beforeAutospacing="0" w:after="200" w:afterAutospacing="0"/>
        <w:textAlignment w:val="baseline"/>
        <w:rPr>
          <w:rStyle w:val="normaltextrun"/>
          <w:rFonts w:eastAsia="Calibri"/>
          <w:u w:val="single"/>
        </w:rPr>
      </w:pPr>
    </w:p>
    <w:p w:rsidR="00E121E4" w:rsidP="000659AD" w14:paraId="0272553F" w14:textId="0170A808">
      <w:pPr>
        <w:ind w:firstLine="720"/>
        <w:rPr>
          <w:rFonts w:eastAsia="Times New Roman"/>
        </w:rPr>
      </w:pPr>
      <w:r>
        <w:rPr>
          <w:rStyle w:val="normaltextrun"/>
        </w:rPr>
        <w:t xml:space="preserve">We </w:t>
      </w:r>
      <w:r w:rsidR="00F02E0F">
        <w:rPr>
          <w:rStyle w:val="normaltextrun"/>
        </w:rPr>
        <w:t>updated</w:t>
      </w:r>
      <w:r>
        <w:rPr>
          <w:rStyle w:val="normaltextrun"/>
        </w:rPr>
        <w:t xml:space="preserve"> the per adverse event report</w:t>
      </w:r>
      <w:r w:rsidR="001459DE">
        <w:rPr>
          <w:rStyle w:val="normaltextrun"/>
        </w:rPr>
        <w:t xml:space="preserve"> for </w:t>
      </w:r>
      <w:r w:rsidR="003576E5">
        <w:rPr>
          <w:rStyle w:val="normaltextrun"/>
        </w:rPr>
        <w:t>DMG</w:t>
      </w:r>
      <w:r>
        <w:rPr>
          <w:rStyle w:val="normaltextrun"/>
        </w:rPr>
        <w:t xml:space="preserve"> burden estimates. We removed the 1 hour of </w:t>
      </w:r>
      <w:r w:rsidR="001459DE">
        <w:rPr>
          <w:rStyle w:val="normaltextrun"/>
        </w:rPr>
        <w:t>practitioners’</w:t>
      </w:r>
      <w:r>
        <w:rPr>
          <w:rStyle w:val="normaltextrun"/>
        </w:rPr>
        <w:t xml:space="preserve"> time because </w:t>
      </w:r>
      <w:r>
        <w:t>we do not believe that firms will need to hire medical professionals to comply with postmarketing safety reporting requirements</w:t>
      </w:r>
      <w:r w:rsidR="001459DE">
        <w:t>.</w:t>
      </w:r>
      <w:r>
        <w:rPr>
          <w:color w:val="FF0000"/>
        </w:rPr>
        <w:t xml:space="preserve"> </w:t>
      </w:r>
      <w:r w:rsidR="001459DE">
        <w:rPr>
          <w:color w:val="000000" w:themeColor="text1"/>
        </w:rPr>
        <w:t>A</w:t>
      </w:r>
      <w:r w:rsidRPr="00507248">
        <w:rPr>
          <w:color w:val="000000" w:themeColor="text1"/>
        </w:rPr>
        <w:t xml:space="preserve">dverse event reports for </w:t>
      </w:r>
      <w:r w:rsidR="003576E5">
        <w:rPr>
          <w:color w:val="000000" w:themeColor="text1"/>
        </w:rPr>
        <w:t>DMGs</w:t>
      </w:r>
      <w:r w:rsidRPr="00507248">
        <w:rPr>
          <w:color w:val="000000" w:themeColor="text1"/>
        </w:rPr>
        <w:t xml:space="preserve"> generally do not require an evaluation of </w:t>
      </w:r>
      <w:r w:rsidRPr="00507248" w:rsidR="001459DE">
        <w:rPr>
          <w:color w:val="000000" w:themeColor="text1"/>
        </w:rPr>
        <w:t>expectedness</w:t>
      </w:r>
      <w:r w:rsidR="005D190B">
        <w:rPr>
          <w:color w:val="000000" w:themeColor="text1"/>
        </w:rPr>
        <w:t>,</w:t>
      </w:r>
      <w:r w:rsidRPr="00507248" w:rsidR="001459DE">
        <w:rPr>
          <w:color w:val="000000" w:themeColor="text1"/>
        </w:rPr>
        <w:t xml:space="preserve"> and</w:t>
      </w:r>
      <w:r w:rsidR="005D190B">
        <w:rPr>
          <w:color w:val="000000" w:themeColor="text1"/>
        </w:rPr>
        <w:t>,</w:t>
      </w:r>
      <w:r w:rsidRPr="00507248">
        <w:rPr>
          <w:color w:val="000000" w:themeColor="text1"/>
        </w:rPr>
        <w:t xml:space="preserve"> </w:t>
      </w:r>
      <w:r w:rsidRPr="00507248" w:rsidR="001459DE">
        <w:rPr>
          <w:color w:val="000000" w:themeColor="text1"/>
        </w:rPr>
        <w:t>considering</w:t>
      </w:r>
      <w:r w:rsidRPr="00507248">
        <w:rPr>
          <w:color w:val="000000" w:themeColor="text1"/>
        </w:rPr>
        <w:t xml:space="preserve"> the differences in how </w:t>
      </w:r>
      <w:r w:rsidR="003576E5">
        <w:rPr>
          <w:color w:val="000000" w:themeColor="text1"/>
        </w:rPr>
        <w:t>DMGs</w:t>
      </w:r>
      <w:r w:rsidRPr="00507248">
        <w:rPr>
          <w:color w:val="000000" w:themeColor="text1"/>
        </w:rPr>
        <w:t xml:space="preserve"> come to market compared to other drugs, it is not necessary for applicants or nonapplicants to utilize staff with medical expertise in preparing </w:t>
      </w:r>
      <w:r w:rsidR="000A1AFB">
        <w:rPr>
          <w:color w:val="000000" w:themeColor="text1"/>
        </w:rPr>
        <w:t>adverse event reports</w:t>
      </w:r>
      <w:r w:rsidRPr="00507248">
        <w:rPr>
          <w:color w:val="000000" w:themeColor="text1"/>
        </w:rPr>
        <w:t>. </w:t>
      </w:r>
      <w:r w:rsidR="001459DE">
        <w:rPr>
          <w:color w:val="000000" w:themeColor="text1"/>
        </w:rPr>
        <w:t>W</w:t>
      </w:r>
      <w:r>
        <w:rPr>
          <w:color w:val="000000" w:themeColor="text1"/>
        </w:rPr>
        <w:t xml:space="preserve">e </w:t>
      </w:r>
      <w:r w:rsidR="001459DE">
        <w:rPr>
          <w:color w:val="000000" w:themeColor="text1"/>
        </w:rPr>
        <w:t xml:space="preserve">updated the professional time to include the full range </w:t>
      </w:r>
      <w:r w:rsidR="000A1AFB">
        <w:rPr>
          <w:color w:val="000000" w:themeColor="text1"/>
        </w:rPr>
        <w:t xml:space="preserve">from the 2019 </w:t>
      </w:r>
      <w:r w:rsidR="007263CF">
        <w:rPr>
          <w:color w:val="000000" w:themeColor="text1"/>
        </w:rPr>
        <w:t>Eastern Research Group (</w:t>
      </w:r>
      <w:r w:rsidR="000A1AFB">
        <w:rPr>
          <w:color w:val="000000" w:themeColor="text1"/>
        </w:rPr>
        <w:t>ERG</w:t>
      </w:r>
      <w:r w:rsidR="007263CF">
        <w:rPr>
          <w:color w:val="000000" w:themeColor="text1"/>
        </w:rPr>
        <w:t>)</w:t>
      </w:r>
      <w:r w:rsidR="000A1AFB">
        <w:rPr>
          <w:color w:val="000000" w:themeColor="text1"/>
        </w:rPr>
        <w:t xml:space="preserve"> report summarized by the </w:t>
      </w:r>
      <w:r w:rsidR="000A1AFB">
        <w:rPr>
          <w:rFonts w:eastAsia="Times New Roman"/>
        </w:rPr>
        <w:t>2023 memorandum to file (Ref. 6) for an estimate of 2 to 4 hours of professional time.</w:t>
      </w:r>
      <w:r w:rsidR="00C56714">
        <w:rPr>
          <w:rFonts w:eastAsia="Times New Roman"/>
        </w:rPr>
        <w:t xml:space="preserve"> </w:t>
      </w:r>
    </w:p>
    <w:p w:rsidR="00395075" w:rsidRPr="00152433" w:rsidP="000659AD" w14:paraId="13C78B62" w14:textId="7DC64BAF">
      <w:pPr>
        <w:ind w:firstLine="720"/>
      </w:pPr>
      <w:r>
        <w:rPr>
          <w:rFonts w:eastAsia="Times New Roman"/>
        </w:rPr>
        <w:t>We updated the count of</w:t>
      </w:r>
      <w:r w:rsidR="00D55BEF">
        <w:rPr>
          <w:rFonts w:eastAsia="Times New Roman"/>
        </w:rPr>
        <w:t xml:space="preserve"> DMG certification requests from 94</w:t>
      </w:r>
      <w:r w:rsidR="001D5B32">
        <w:rPr>
          <w:rFonts w:eastAsia="Times New Roman"/>
        </w:rPr>
        <w:t xml:space="preserve">, the count as of </w:t>
      </w:r>
      <w:r w:rsidR="00AC20E8">
        <w:rPr>
          <w:rFonts w:eastAsia="Times New Roman"/>
        </w:rPr>
        <w:t>April</w:t>
      </w:r>
      <w:r w:rsidR="001D5B32">
        <w:rPr>
          <w:rFonts w:eastAsia="Times New Roman"/>
        </w:rPr>
        <w:t xml:space="preserve"> </w:t>
      </w:r>
      <w:r w:rsidR="00AC20E8">
        <w:rPr>
          <w:rFonts w:eastAsia="Times New Roman"/>
        </w:rPr>
        <w:t>24</w:t>
      </w:r>
      <w:r w:rsidRPr="00510AB9" w:rsidR="00AC20E8">
        <w:rPr>
          <w:rFonts w:eastAsia="Times New Roman"/>
          <w:vertAlign w:val="superscript"/>
        </w:rPr>
        <w:t>th</w:t>
      </w:r>
      <w:r w:rsidR="00025ACD">
        <w:rPr>
          <w:rFonts w:eastAsia="Times New Roman"/>
        </w:rPr>
        <w:t>, 2023,</w:t>
      </w:r>
      <w:r w:rsidR="001D5B32">
        <w:rPr>
          <w:rFonts w:eastAsia="Times New Roman"/>
        </w:rPr>
        <w:t xml:space="preserve"> to 98, the count as of December 31</w:t>
      </w:r>
      <w:r w:rsidRPr="00510AB9" w:rsidR="001D5B32">
        <w:rPr>
          <w:rFonts w:eastAsia="Times New Roman"/>
          <w:vertAlign w:val="superscript"/>
        </w:rPr>
        <w:t>st</w:t>
      </w:r>
      <w:r w:rsidR="00C1177E">
        <w:rPr>
          <w:rFonts w:eastAsia="Times New Roman"/>
        </w:rPr>
        <w:t xml:space="preserve">, </w:t>
      </w:r>
      <w:r w:rsidR="001D5B32">
        <w:rPr>
          <w:rFonts w:eastAsia="Times New Roman"/>
        </w:rPr>
        <w:t>2023.</w:t>
      </w:r>
      <w:r>
        <w:rPr>
          <w:rFonts w:eastAsia="Times New Roman"/>
        </w:rPr>
        <w:t xml:space="preserve"> </w:t>
      </w:r>
      <w:r w:rsidR="00C56714">
        <w:rPr>
          <w:rFonts w:eastAsia="Times New Roman"/>
        </w:rPr>
        <w:t>We update</w:t>
      </w:r>
      <w:r w:rsidR="00B86DBF">
        <w:rPr>
          <w:rFonts w:eastAsia="Times New Roman"/>
        </w:rPr>
        <w:t>d</w:t>
      </w:r>
      <w:r w:rsidR="00C56714">
        <w:rPr>
          <w:rFonts w:eastAsia="Times New Roman"/>
        </w:rPr>
        <w:t xml:space="preserve"> the wage rate from General and Operations Managers to Business Operations Specialist </w:t>
      </w:r>
      <w:r w:rsidR="00F02E0F">
        <w:rPr>
          <w:rFonts w:eastAsia="Times New Roman"/>
        </w:rPr>
        <w:t xml:space="preserve">to represent </w:t>
      </w:r>
      <w:r w:rsidR="00A00F5F">
        <w:rPr>
          <w:rFonts w:eastAsia="Times New Roman"/>
        </w:rPr>
        <w:t>the</w:t>
      </w:r>
      <w:r w:rsidR="00C56714">
        <w:rPr>
          <w:rFonts w:eastAsia="Times New Roman"/>
        </w:rPr>
        <w:t xml:space="preserve"> non-medical professional</w:t>
      </w:r>
      <w:r w:rsidR="00A00F5F">
        <w:rPr>
          <w:rFonts w:eastAsia="Times New Roman"/>
        </w:rPr>
        <w:t xml:space="preserve"> wage rate</w:t>
      </w:r>
      <w:r w:rsidR="00C56714">
        <w:rPr>
          <w:rFonts w:eastAsia="Times New Roman"/>
        </w:rPr>
        <w:t>.</w:t>
      </w:r>
      <w:r w:rsidR="00DB392C">
        <w:rPr>
          <w:rFonts w:eastAsia="Times New Roman"/>
        </w:rPr>
        <w:t xml:space="preserve"> </w:t>
      </w:r>
      <w:r w:rsidRPr="004848C7" w:rsidR="00DB392C">
        <w:rPr>
          <w:rStyle w:val="normaltextrun"/>
        </w:rPr>
        <w:t>A</w:t>
      </w:r>
      <w:r w:rsidR="00DB392C">
        <w:rPr>
          <w:rStyle w:val="normaltextrun"/>
        </w:rPr>
        <w:t xml:space="preserve">dditionally, we </w:t>
      </w:r>
      <w:r w:rsidRPr="004848C7" w:rsidR="006A48E7">
        <w:rPr>
          <w:rStyle w:val="normaltextrun"/>
        </w:rPr>
        <w:t>updat</w:t>
      </w:r>
      <w:r w:rsidR="00DB392C">
        <w:rPr>
          <w:rStyle w:val="normaltextrun"/>
        </w:rPr>
        <w:t>ed</w:t>
      </w:r>
      <w:r w:rsidRPr="004848C7" w:rsidR="006A48E7">
        <w:rPr>
          <w:rStyle w:val="normaltextrun"/>
        </w:rPr>
        <w:t xml:space="preserve"> the data to provide estimates in 202</w:t>
      </w:r>
      <w:r w:rsidR="00CD6CD6">
        <w:rPr>
          <w:rStyle w:val="normaltextrun"/>
        </w:rPr>
        <w:t>2</w:t>
      </w:r>
      <w:r w:rsidRPr="004848C7" w:rsidR="006A48E7">
        <w:rPr>
          <w:rStyle w:val="normaltextrun"/>
        </w:rPr>
        <w:t xml:space="preserve"> dollars</w:t>
      </w:r>
      <w:r w:rsidR="00DB392C">
        <w:rPr>
          <w:rStyle w:val="normaltextrun"/>
        </w:rPr>
        <w:t>.</w:t>
      </w:r>
    </w:p>
    <w:p w:rsidR="00C2294E" w:rsidRPr="00152433" w:rsidP="00152433" w14:paraId="122FDC53" w14:textId="476503E6"/>
    <w:p w:rsidR="00F47D86" w:rsidP="00F47D86" w14:paraId="0A482CB7" w14:textId="18B4EC30">
      <w:pPr>
        <w:pStyle w:val="Heading1"/>
      </w:pPr>
      <w:bookmarkStart w:id="22" w:name="_Toc148515710"/>
      <w:r>
        <w:t>Final</w:t>
      </w:r>
      <w:r>
        <w:t xml:space="preserve"> Regulatory Impact Analysis</w:t>
      </w:r>
      <w:bookmarkEnd w:id="22"/>
    </w:p>
    <w:p w:rsidR="00F47D86" w:rsidRPr="00F47D86" w:rsidP="00F47D86" w14:paraId="0DE80E2D" w14:textId="77777777"/>
    <w:p w:rsidR="00F47D86" w:rsidP="00F47D86" w14:paraId="1A747D21" w14:textId="2DEEA600">
      <w:pPr>
        <w:pStyle w:val="Heading2"/>
        <w:numPr>
          <w:ilvl w:val="0"/>
          <w:numId w:val="6"/>
        </w:numPr>
        <w:ind w:left="360"/>
      </w:pPr>
      <w:bookmarkStart w:id="23" w:name="_Toc148515711"/>
      <w:r>
        <w:t>Background</w:t>
      </w:r>
      <w:bookmarkEnd w:id="23"/>
    </w:p>
    <w:p w:rsidR="004B7F21" w:rsidP="00EB367D" w14:paraId="32D21125" w14:textId="77777777">
      <w:pPr>
        <w:ind w:firstLine="720"/>
      </w:pPr>
    </w:p>
    <w:p w:rsidR="0090189C" w:rsidP="00EB367D" w14:paraId="1CFDDD05" w14:textId="113F839A">
      <w:pPr>
        <w:ind w:firstLine="720"/>
      </w:pPr>
      <w:r>
        <w:t>T</w:t>
      </w:r>
      <w:r w:rsidR="006932D6">
        <w:t>he Food and Drug Administration Safety and Innovation Act (FDASIA, Pub. L. 112-144) was signed into law</w:t>
      </w:r>
      <w:r w:rsidRPr="00070D72">
        <w:t xml:space="preserve"> </w:t>
      </w:r>
      <w:r>
        <w:t>on July 9, 2012</w:t>
      </w:r>
      <w:r w:rsidR="00102E81">
        <w:t xml:space="preserve">, </w:t>
      </w:r>
      <w:r w:rsidRPr="00DE7390" w:rsidR="00102E81">
        <w:rPr>
          <w:rFonts w:eastAsia="Times New Roman"/>
        </w:rPr>
        <w:t xml:space="preserve">establishing a new marketing pathway and specific requirements for the regulation of </w:t>
      </w:r>
      <w:r w:rsidR="00A1022D">
        <w:rPr>
          <w:rFonts w:eastAsia="Times New Roman"/>
        </w:rPr>
        <w:t>DMG</w:t>
      </w:r>
      <w:r w:rsidR="008E1912">
        <w:rPr>
          <w:rFonts w:eastAsia="Times New Roman"/>
        </w:rPr>
        <w:t>s</w:t>
      </w:r>
      <w:r w:rsidRPr="00DE7390" w:rsidR="00102E81">
        <w:rPr>
          <w:rFonts w:eastAsia="Times New Roman"/>
        </w:rPr>
        <w:t xml:space="preserve">. Section 756 of the </w:t>
      </w:r>
      <w:r w:rsidRPr="00DE7390" w:rsidR="00102E81">
        <w:t>Consolidated Appropriations Act, 2017</w:t>
      </w:r>
      <w:r w:rsidR="00C92326">
        <w:t xml:space="preserve"> (Pub. L. 115-31)</w:t>
      </w:r>
      <w:r w:rsidRPr="00DE7390" w:rsidR="00102E81">
        <w:t xml:space="preserve"> requires </w:t>
      </w:r>
      <w:r w:rsidR="00805CA6">
        <w:t>the Food and Drug Administration (</w:t>
      </w:r>
      <w:r w:rsidRPr="00DE7390" w:rsidR="00102E81">
        <w:t>FDA</w:t>
      </w:r>
      <w:r w:rsidR="00805CA6">
        <w:t>)</w:t>
      </w:r>
      <w:r w:rsidRPr="00DE7390" w:rsidR="00102E81">
        <w:t xml:space="preserve"> to issue final regulations revising the Federal drug regulations with respect to medical gases by July 15, 2017.</w:t>
      </w:r>
      <w:r w:rsidR="0006308C">
        <w:t xml:space="preserve"> </w:t>
      </w:r>
    </w:p>
    <w:p w:rsidR="006932D6" w:rsidRPr="00EB367D" w:rsidP="00655F4B" w14:paraId="2337FDBF" w14:textId="1AD82BF5">
      <w:pPr>
        <w:ind w:firstLine="720"/>
      </w:pPr>
      <w:r>
        <w:t>The Agency has engaged with stakeholders and Congress to evaluate the need for regulatory changes</w:t>
      </w:r>
      <w:r w:rsidR="00581FE4">
        <w:t xml:space="preserve"> within the medical gas industry</w:t>
      </w:r>
      <w:r>
        <w:t xml:space="preserve">. This </w:t>
      </w:r>
      <w:r w:rsidR="007650FE">
        <w:t>final</w:t>
      </w:r>
      <w:r>
        <w:t xml:space="preserve"> rule is being published to address the areas for which FDA has determined regulatory changes are needed.</w:t>
      </w:r>
      <w:r w:rsidR="006A6261">
        <w:t xml:space="preserve"> </w:t>
      </w:r>
      <w:r>
        <w:t xml:space="preserve">We </w:t>
      </w:r>
      <w:r w:rsidR="00AA6216">
        <w:t xml:space="preserve">(1) </w:t>
      </w:r>
      <w:r>
        <w:t xml:space="preserve">establish </w:t>
      </w:r>
      <w:r w:rsidR="00AA6216">
        <w:t xml:space="preserve">regulations regarding the certification of </w:t>
      </w:r>
      <w:r w:rsidR="00A91F0F">
        <w:t>DMGs</w:t>
      </w:r>
      <w:r w:rsidR="00CC2D4C">
        <w:t>;</w:t>
      </w:r>
      <w:r>
        <w:rPr>
          <w:rStyle w:val="FootnoteReference"/>
        </w:rPr>
        <w:footnoteReference w:id="5"/>
      </w:r>
      <w:r>
        <w:t xml:space="preserve"> </w:t>
      </w:r>
      <w:r w:rsidR="00CC2D4C">
        <w:t>(2) amend the requirements for CGMP</w:t>
      </w:r>
      <w:r w:rsidR="00745D6D">
        <w:t>, postmarketing safety reporting, and</w:t>
      </w:r>
      <w:r w:rsidR="003331A7">
        <w:t xml:space="preserve"> labeling</w:t>
      </w:r>
      <w:r>
        <w:t xml:space="preserve"> </w:t>
      </w:r>
      <w:r w:rsidR="00740A64">
        <w:t>that apply to certain medical gases</w:t>
      </w:r>
      <w:r w:rsidR="003331A7">
        <w:t>; and (3)</w:t>
      </w:r>
      <w:r>
        <w:t xml:space="preserve"> clarify the regulatory obligations of </w:t>
      </w:r>
      <w:r w:rsidR="003331A7">
        <w:t>entit</w:t>
      </w:r>
      <w:r w:rsidR="00D63574">
        <w:t>i</w:t>
      </w:r>
      <w:r w:rsidR="003331A7">
        <w:t xml:space="preserve">es that </w:t>
      </w:r>
      <w:r>
        <w:t>manufacture</w:t>
      </w:r>
      <w:r w:rsidR="00FF20D4">
        <w:t>, process, pack, label, or distribute certain</w:t>
      </w:r>
      <w:r>
        <w:t xml:space="preserve"> </w:t>
      </w:r>
      <w:r w:rsidR="001E0AA5">
        <w:t>medical gases</w:t>
      </w:r>
      <w:r>
        <w:t xml:space="preserve">. We recognize the differences in how </w:t>
      </w:r>
      <w:r w:rsidR="001E0AA5">
        <w:t>medical gases</w:t>
      </w:r>
      <w:r>
        <w:t xml:space="preserve"> are manufactured, packaged, labeled, and distributed</w:t>
      </w:r>
      <w:r w:rsidR="003207F9">
        <w:t xml:space="preserve"> compared to other drugs</w:t>
      </w:r>
      <w:r>
        <w:t xml:space="preserve">. This </w:t>
      </w:r>
      <w:r w:rsidR="007650FE">
        <w:t>final</w:t>
      </w:r>
      <w:r>
        <w:t xml:space="preserve"> rule reflects that recognition.</w:t>
      </w:r>
    </w:p>
    <w:p w:rsidR="00A36E2C" w:rsidP="00F47D86" w14:paraId="22A9A432" w14:textId="77777777"/>
    <w:p w:rsidR="00F47D86" w:rsidP="00F47D86" w14:paraId="04B624ED" w14:textId="4804C072">
      <w:pPr>
        <w:pStyle w:val="Heading2"/>
      </w:pPr>
      <w:bookmarkStart w:id="32" w:name="_Toc148515712"/>
      <w:r>
        <w:t>Market Failure Requiring Federal Regulatory Action</w:t>
      </w:r>
      <w:bookmarkEnd w:id="32"/>
    </w:p>
    <w:p w:rsidR="00AD3120" w:rsidRPr="001E6831" w:rsidP="001E6831" w14:paraId="495BCC11" w14:textId="5B5CAA3A">
      <w:pPr>
        <w:ind w:firstLine="720"/>
        <w:rPr>
          <w:highlight w:val="green"/>
        </w:rPr>
      </w:pPr>
    </w:p>
    <w:p w:rsidR="00617FA7" w:rsidP="003D383C" w14:paraId="4BAC88AE" w14:textId="70EDFD2F">
      <w:pPr>
        <w:pStyle w:val="Default"/>
        <w:spacing w:after="200"/>
      </w:pPr>
      <w:r w:rsidRPr="001E6831">
        <w:tab/>
      </w:r>
      <w:r w:rsidR="00AA6375">
        <w:t>M</w:t>
      </w:r>
      <w:r w:rsidRPr="003D383C">
        <w:t xml:space="preserve">edical gases </w:t>
      </w:r>
      <w:r w:rsidR="00AA6375">
        <w:t>need to be regulated</w:t>
      </w:r>
      <w:r w:rsidRPr="003D383C">
        <w:t xml:space="preserve"> because producers and consumers, acting in the unregulated </w:t>
      </w:r>
      <w:r w:rsidRPr="003D383C" w:rsidR="002E48B1">
        <w:t>marketplace</w:t>
      </w:r>
      <w:r w:rsidRPr="003D383C">
        <w:t xml:space="preserve">, are unable to observe the health risks of potentially injurious hazards that </w:t>
      </w:r>
      <w:r w:rsidR="000F03FD">
        <w:t>are</w:t>
      </w:r>
      <w:r w:rsidRPr="003D383C">
        <w:t xml:space="preserve"> necessary to make well informed choices about the processing, distribution, sale</w:t>
      </w:r>
      <w:r w:rsidR="0008082C">
        <w:t>,</w:t>
      </w:r>
      <w:r w:rsidRPr="003D383C">
        <w:t xml:space="preserve"> and final consumption of potentially hazardous medical gases. The absence of observable risk information reduces the incentives for producers to invest in the socially optimal level of </w:t>
      </w:r>
      <w:r w:rsidR="003D383C">
        <w:t>drug</w:t>
      </w:r>
      <w:r w:rsidRPr="003D383C">
        <w:t xml:space="preserve"> safety across the supply chain</w:t>
      </w:r>
      <w:r w:rsidR="00197B1D">
        <w:t>.</w:t>
      </w:r>
      <w:r w:rsidRPr="003D383C">
        <w:t xml:space="preserve"> </w:t>
      </w:r>
    </w:p>
    <w:p w:rsidR="004137F5" w:rsidRPr="000F4998" w:rsidP="003D383C" w14:paraId="5537E63D" w14:textId="349BEC3E">
      <w:pPr>
        <w:pStyle w:val="Default"/>
        <w:spacing w:after="200"/>
        <w:ind w:firstLine="720"/>
      </w:pPr>
      <w:r>
        <w:t xml:space="preserve">The entities </w:t>
      </w:r>
      <w:r w:rsidR="00B36104">
        <w:t xml:space="preserve">manufacturing, processing, and handling </w:t>
      </w:r>
      <w:r w:rsidR="005D3C8D">
        <w:t>medical gases</w:t>
      </w:r>
      <w:r w:rsidR="00B36104">
        <w:t xml:space="preserve"> </w:t>
      </w:r>
      <w:r>
        <w:t xml:space="preserve">make many decisions about what </w:t>
      </w:r>
      <w:r w:rsidRPr="000F4998">
        <w:t xml:space="preserve">investments to make to reduce medical gas safety risk for their consumers. When doing so, they </w:t>
      </w:r>
      <w:r w:rsidRPr="000F4998" w:rsidR="00E41857">
        <w:t>consider</w:t>
      </w:r>
      <w:r w:rsidRPr="000F4998">
        <w:t xml:space="preserve"> the probability of their practices causing a</w:t>
      </w:r>
      <w:r w:rsidRPr="000F4998" w:rsidR="00197B1D">
        <w:t xml:space="preserve"> </w:t>
      </w:r>
      <w:r w:rsidRPr="000F4998" w:rsidR="0048048E">
        <w:t xml:space="preserve">medical </w:t>
      </w:r>
      <w:r w:rsidRPr="000F4998" w:rsidR="000C0D0D">
        <w:t xml:space="preserve">gas </w:t>
      </w:r>
      <w:r w:rsidRPr="000F4998" w:rsidR="0048048E">
        <w:t>safety risk</w:t>
      </w:r>
      <w:r w:rsidRPr="000F4998">
        <w:t xml:space="preserve">, the probability that they will be found legally responsible for causing the </w:t>
      </w:r>
      <w:r w:rsidRPr="000F4998" w:rsidR="0048048E">
        <w:t xml:space="preserve">medical </w:t>
      </w:r>
      <w:r w:rsidRPr="000F4998" w:rsidR="000C0D0D">
        <w:t xml:space="preserve">gas </w:t>
      </w:r>
      <w:r w:rsidRPr="000F4998" w:rsidR="0048048E">
        <w:t>safety risk</w:t>
      </w:r>
      <w:r w:rsidRPr="000F4998">
        <w:t xml:space="preserve">, and the damage the </w:t>
      </w:r>
      <w:r w:rsidRPr="000F4998" w:rsidR="0048048E">
        <w:t xml:space="preserve">medical </w:t>
      </w:r>
      <w:r w:rsidRPr="000F4998" w:rsidR="000C0D0D">
        <w:t xml:space="preserve">gas </w:t>
      </w:r>
      <w:r w:rsidRPr="000F4998" w:rsidR="0048048E">
        <w:t>safety risk</w:t>
      </w:r>
      <w:r w:rsidRPr="000F4998">
        <w:t xml:space="preserve"> would cause to their firm if they </w:t>
      </w:r>
      <w:r w:rsidRPr="000F4998">
        <w:t>are</w:t>
      </w:r>
      <w:r w:rsidRPr="000F4998">
        <w:t xml:space="preserve"> discovered to be responsible. If the probability of </w:t>
      </w:r>
      <w:r w:rsidRPr="000F4998" w:rsidR="007F005E">
        <w:t xml:space="preserve">the </w:t>
      </w:r>
      <w:r w:rsidRPr="000F4998" w:rsidR="0048048E">
        <w:t xml:space="preserve">medical </w:t>
      </w:r>
      <w:r w:rsidRPr="000F4998" w:rsidR="000C0D0D">
        <w:t xml:space="preserve">gas </w:t>
      </w:r>
      <w:r w:rsidRPr="000F4998" w:rsidR="0048048E">
        <w:t>safety risk</w:t>
      </w:r>
      <w:r w:rsidRPr="000F4998">
        <w:t xml:space="preserve">, multiplied by the probability of detection, multiplied by the damage to the firm, is equal to or greater than the cost of </w:t>
      </w:r>
      <w:r w:rsidRPr="000F4998" w:rsidR="00F557C8">
        <w:t xml:space="preserve">preventing the </w:t>
      </w:r>
      <w:r w:rsidRPr="000F4998" w:rsidR="0048048E">
        <w:t xml:space="preserve">medical </w:t>
      </w:r>
      <w:r w:rsidRPr="000F4998" w:rsidR="000C0D0D">
        <w:t xml:space="preserve">gas </w:t>
      </w:r>
      <w:r w:rsidRPr="000F4998" w:rsidR="0048048E">
        <w:t>safety risk</w:t>
      </w:r>
      <w:r w:rsidRPr="000F4998">
        <w:t xml:space="preserve">, then </w:t>
      </w:r>
      <w:r w:rsidRPr="000F4998" w:rsidR="00F557C8">
        <w:t xml:space="preserve">medical gas producers </w:t>
      </w:r>
      <w:r w:rsidRPr="000F4998">
        <w:t xml:space="preserve">will invest </w:t>
      </w:r>
      <w:r w:rsidRPr="000F4998" w:rsidR="00F557C8">
        <w:t xml:space="preserve">more </w:t>
      </w:r>
      <w:r w:rsidRPr="000F4998">
        <w:t>in prevention</w:t>
      </w:r>
      <w:r w:rsidRPr="000F4998">
        <w:t xml:space="preserve"> of a </w:t>
      </w:r>
      <w:r w:rsidRPr="000F4998" w:rsidR="0048048E">
        <w:t xml:space="preserve">medical </w:t>
      </w:r>
      <w:r w:rsidRPr="000F4998" w:rsidR="000C0D0D">
        <w:t xml:space="preserve">gas </w:t>
      </w:r>
      <w:r w:rsidRPr="000F4998" w:rsidR="0048048E">
        <w:t>safety risk</w:t>
      </w:r>
      <w:r w:rsidRPr="000F4998">
        <w:t>.</w:t>
      </w:r>
      <w:r w:rsidRPr="000F4998">
        <w:t xml:space="preserve"> </w:t>
      </w:r>
      <w:r w:rsidRPr="000F4998">
        <w:t xml:space="preserve">If the probability of detection is lower than 100 percent, and the private damages are approximately equal to the social damages, then </w:t>
      </w:r>
      <w:r w:rsidRPr="000F4998" w:rsidR="008A1B04">
        <w:t xml:space="preserve">owners </w:t>
      </w:r>
      <w:r w:rsidRPr="000F4998">
        <w:t xml:space="preserve">will invest less in prevention </w:t>
      </w:r>
      <w:r w:rsidRPr="000F4998">
        <w:t>of a</w:t>
      </w:r>
      <w:r w:rsidRPr="000F4998" w:rsidR="00197B1D">
        <w:t xml:space="preserve"> </w:t>
      </w:r>
      <w:r w:rsidRPr="000F4998" w:rsidR="0048048E">
        <w:t xml:space="preserve">medical </w:t>
      </w:r>
      <w:r w:rsidRPr="000F4998" w:rsidR="000C0D0D">
        <w:t xml:space="preserve">gas </w:t>
      </w:r>
      <w:r w:rsidRPr="000F4998" w:rsidR="0048048E">
        <w:t>safety risk</w:t>
      </w:r>
      <w:r w:rsidRPr="000F4998">
        <w:t xml:space="preserve"> </w:t>
      </w:r>
      <w:r w:rsidRPr="000F4998">
        <w:t xml:space="preserve">than the social optimum. </w:t>
      </w:r>
    </w:p>
    <w:p w:rsidR="00617FA7" w:rsidRPr="003D383C" w:rsidP="0015165C" w14:paraId="6A324FF2" w14:textId="420834A3">
      <w:pPr>
        <w:pStyle w:val="Default"/>
        <w:spacing w:after="200"/>
        <w:ind w:firstLine="720"/>
      </w:pPr>
      <w:r w:rsidRPr="000F4998">
        <w:t xml:space="preserve">Many provisions of this </w:t>
      </w:r>
      <w:r w:rsidR="007650FE">
        <w:t>final</w:t>
      </w:r>
      <w:r w:rsidRPr="000F4998" w:rsidR="004137F5">
        <w:t xml:space="preserve"> </w:t>
      </w:r>
      <w:r w:rsidRPr="000F4998">
        <w:t xml:space="preserve">rule, such as recordkeeping requirements, increase the probability of detection of defective medical gases. </w:t>
      </w:r>
      <w:r w:rsidRPr="000F4998" w:rsidR="004137F5">
        <w:t>I</w:t>
      </w:r>
      <w:r w:rsidRPr="000F4998">
        <w:t>t is not feasible to increase the probability of detection to 100 percent</w:t>
      </w:r>
      <w:r w:rsidRPr="000F4998" w:rsidR="004137F5">
        <w:t>; therefore</w:t>
      </w:r>
      <w:r w:rsidRPr="000F4998">
        <w:t>, the</w:t>
      </w:r>
      <w:r w:rsidRPr="000F4998" w:rsidR="004137F5">
        <w:t xml:space="preserve"> </w:t>
      </w:r>
      <w:r w:rsidRPr="000F4998">
        <w:t xml:space="preserve">rule mandates that </w:t>
      </w:r>
      <w:r w:rsidRPr="000F4998" w:rsidR="008A1B04">
        <w:t xml:space="preserve">owners </w:t>
      </w:r>
      <w:r w:rsidRPr="000F4998">
        <w:t xml:space="preserve">do what they would do </w:t>
      </w:r>
      <w:r w:rsidRPr="000F4998" w:rsidR="004137F5">
        <w:t xml:space="preserve">in many cases </w:t>
      </w:r>
      <w:r w:rsidRPr="000F4998">
        <w:t>if they knew that the probability of detection was 100 percent.</w:t>
      </w:r>
      <w:r w:rsidRPr="000F4998" w:rsidR="0015165C">
        <w:t xml:space="preserve"> </w:t>
      </w:r>
    </w:p>
    <w:p w:rsidR="00F47D86" w:rsidP="002F0A07" w14:paraId="3E171CD7" w14:textId="0EE917DF">
      <w:pPr>
        <w:ind w:firstLine="720"/>
      </w:pPr>
      <w:r w:rsidRPr="00A36E2C">
        <w:t xml:space="preserve">Government action through regulation may improve social welfare because neither the legal system nor the marketplace may provide adequate economic incentives </w:t>
      </w:r>
      <w:r w:rsidRPr="00A36E2C" w:rsidR="00DE51ED">
        <w:t>to produce</w:t>
      </w:r>
      <w:r w:rsidRPr="00A36E2C">
        <w:t xml:space="preserve"> safe medical gases. Consumers are unable to distinguish between firms and products that have invested in safe medical gas production at socially desirable levels from those that have not because the information is not easily available to consumers. Firms that invest in socially desirable levels of medical gas safety might incur higher production costs causing them to compete at a disadvantage with firms that do not. Consequently, firms may not voluntarily invest sufficiently in medical gas safety</w:t>
      </w:r>
      <w:r>
        <w:t>.</w:t>
      </w:r>
      <w:r w:rsidR="00617FA7">
        <w:tab/>
      </w:r>
    </w:p>
    <w:p w:rsidR="00A36E2C" w:rsidRPr="00786DCD" w:rsidP="000E6DD7" w14:paraId="76B611C6" w14:textId="77777777"/>
    <w:p w:rsidR="00F47D86" w:rsidP="00F47D86" w14:paraId="17BA2DD6" w14:textId="52FAF6F0">
      <w:pPr>
        <w:pStyle w:val="Heading2"/>
      </w:pPr>
      <w:bookmarkStart w:id="33" w:name="_Toc148515713"/>
      <w:r>
        <w:t>Purpose of the Rule</w:t>
      </w:r>
      <w:bookmarkEnd w:id="33"/>
    </w:p>
    <w:p w:rsidR="00A36E2C" w:rsidP="008F3C32" w14:paraId="1B7B779E" w14:textId="77777777">
      <w:pPr>
        <w:ind w:firstLine="720"/>
      </w:pPr>
    </w:p>
    <w:p w:rsidR="009F6AA4" w:rsidP="008F3C32" w14:paraId="7314D34C" w14:textId="6A4D746A">
      <w:pPr>
        <w:ind w:firstLine="720"/>
      </w:pPr>
      <w:r>
        <w:t xml:space="preserve">This </w:t>
      </w:r>
      <w:r w:rsidR="007650FE">
        <w:t>final</w:t>
      </w:r>
      <w:r>
        <w:t xml:space="preserve"> rule </w:t>
      </w:r>
      <w:r w:rsidR="00737037">
        <w:t>will</w:t>
      </w:r>
      <w:r>
        <w:t xml:space="preserve"> implement </w:t>
      </w:r>
      <w:r w:rsidR="00102E81">
        <w:t xml:space="preserve">Section 756 of the Consolidated Appropriations Act, 2017 (Pub. L. 115-31), </w:t>
      </w:r>
      <w:r w:rsidR="4284F667">
        <w:t xml:space="preserve">which </w:t>
      </w:r>
      <w:r w:rsidR="00102E81">
        <w:t xml:space="preserve">requires FDA to issue final regulations revising the Federal drug regulations with respect to medical gases by July 15, 2017. </w:t>
      </w:r>
      <w:r>
        <w:t xml:space="preserve">We recognize that </w:t>
      </w:r>
      <w:r w:rsidR="00F16640">
        <w:t>medical gases</w:t>
      </w:r>
      <w:r>
        <w:t xml:space="preserve"> are manufactured, labeled, distributed, and authorized for marketing differently than most other drugs. The rule is intended to reflect these differences and decrease regulatory burden where appropriate.</w:t>
      </w:r>
    </w:p>
    <w:p w:rsidR="003547B4" w:rsidRPr="003547B4" w:rsidP="008F3C32" w14:paraId="0C070F12" w14:textId="2D12EB82">
      <w:pPr>
        <w:ind w:firstLine="720"/>
      </w:pPr>
      <w:r w:rsidRPr="00D92EF4">
        <w:t>A short description of the</w:t>
      </w:r>
      <w:r w:rsidR="00884B03">
        <w:t xml:space="preserve"> </w:t>
      </w:r>
      <w:r w:rsidRPr="00D92EF4">
        <w:t>major changes to</w:t>
      </w:r>
      <w:r w:rsidR="00D0360B">
        <w:t xml:space="preserve"> </w:t>
      </w:r>
      <w:r w:rsidR="00AB5212">
        <w:t>21</w:t>
      </w:r>
      <w:r w:rsidRPr="00D92EF4">
        <w:t xml:space="preserve">CFR </w:t>
      </w:r>
      <w:r w:rsidR="00035B1A">
        <w:t>P</w:t>
      </w:r>
      <w:r w:rsidRPr="00D92EF4">
        <w:t xml:space="preserve">arts </w:t>
      </w:r>
      <w:r w:rsidR="00884B03">
        <w:t>201, 21</w:t>
      </w:r>
      <w:r w:rsidR="00FC5952">
        <w:t>3</w:t>
      </w:r>
      <w:r w:rsidR="00884B03">
        <w:t>, 230, 314, and 514</w:t>
      </w:r>
      <w:r w:rsidRPr="00D92EF4">
        <w:t xml:space="preserve"> follows. See the</w:t>
      </w:r>
      <w:r w:rsidR="00400A2D">
        <w:t xml:space="preserve"> final</w:t>
      </w:r>
      <w:r w:rsidRPr="00D92EF4">
        <w:t xml:space="preserve"> rule for a more complete discussion of all provisions and the corresponding sections of the CFR </w:t>
      </w:r>
      <w:r w:rsidR="00546A4F">
        <w:t xml:space="preserve">that </w:t>
      </w:r>
      <w:r w:rsidR="00737037">
        <w:t>will</w:t>
      </w:r>
      <w:r w:rsidR="00546A4F">
        <w:t xml:space="preserve"> be </w:t>
      </w:r>
      <w:r w:rsidRPr="00D92EF4">
        <w:t>directly affected by the rule</w:t>
      </w:r>
      <w:r w:rsidR="004A516F">
        <w:t xml:space="preserve"> </w:t>
      </w:r>
      <w:r w:rsidR="002A413C">
        <w:t>(</w:t>
      </w:r>
      <w:r w:rsidRPr="002A413C" w:rsidR="002A413C">
        <w:t>87 FR 31302).</w:t>
      </w:r>
    </w:p>
    <w:p w:rsidR="005F1A11" w:rsidP="005F1A11" w14:paraId="5953F2C6" w14:textId="2DEBD40F">
      <w:pPr>
        <w:ind w:firstLine="720"/>
      </w:pPr>
      <w:r>
        <w:t xml:space="preserve">This </w:t>
      </w:r>
      <w:r w:rsidR="003402F9">
        <w:t>final</w:t>
      </w:r>
      <w:r>
        <w:t xml:space="preserve"> rule is being issued for several reasons. First, this rule </w:t>
      </w:r>
      <w:r w:rsidR="00737037">
        <w:t>will</w:t>
      </w:r>
      <w:r>
        <w:t xml:space="preserve"> </w:t>
      </w:r>
      <w:r w:rsidR="00782E34">
        <w:t xml:space="preserve">amend the requirements for </w:t>
      </w:r>
      <w:r>
        <w:t xml:space="preserve">CGMP </w:t>
      </w:r>
      <w:r w:rsidR="00782E34">
        <w:t xml:space="preserve">that apply to </w:t>
      </w:r>
      <w:r w:rsidR="001A7B73">
        <w:t>medical gases</w:t>
      </w:r>
      <w:r>
        <w:t xml:space="preserve"> to address the </w:t>
      </w:r>
      <w:r w:rsidR="000B3A8B">
        <w:t>differences</w:t>
      </w:r>
      <w:r>
        <w:t xml:space="preserve"> between </w:t>
      </w:r>
      <w:r w:rsidR="00DC450E">
        <w:t>the production, labeling, handling</w:t>
      </w:r>
      <w:r w:rsidR="00976AF6">
        <w:t>,</w:t>
      </w:r>
      <w:r w:rsidR="00DC450E">
        <w:t xml:space="preserve"> and distribution of</w:t>
      </w:r>
      <w:r>
        <w:t xml:space="preserve"> </w:t>
      </w:r>
      <w:r w:rsidR="001A7B73">
        <w:t>medical gases</w:t>
      </w:r>
      <w:r>
        <w:t xml:space="preserve"> and </w:t>
      </w:r>
      <w:r w:rsidR="002226BC">
        <w:t xml:space="preserve">other </w:t>
      </w:r>
      <w:r w:rsidR="00DC450E">
        <w:t>finished drug products</w:t>
      </w:r>
      <w:r>
        <w:t>.</w:t>
      </w:r>
      <w:r w:rsidRPr="00E95657">
        <w:rPr>
          <w:rFonts w:eastAsiaTheme="minorHAnsi"/>
        </w:rPr>
        <w:t xml:space="preserve"> </w:t>
      </w:r>
      <w:r w:rsidRPr="00E95657">
        <w:t xml:space="preserve">These regulations include many of the same categories of requirements as the </w:t>
      </w:r>
      <w:r w:rsidR="002226BC">
        <w:t>general</w:t>
      </w:r>
      <w:r w:rsidRPr="00E95657">
        <w:t xml:space="preserve"> drug </w:t>
      </w:r>
      <w:r w:rsidR="002226BC">
        <w:t xml:space="preserve">product </w:t>
      </w:r>
      <w:r w:rsidRPr="00E95657">
        <w:t>CGMP</w:t>
      </w:r>
      <w:r w:rsidR="00DC450E">
        <w:t xml:space="preserve"> </w:t>
      </w:r>
      <w:r w:rsidR="002226BC">
        <w:t xml:space="preserve">regulations </w:t>
      </w:r>
      <w:r w:rsidR="00DC450E">
        <w:t>(Part 211</w:t>
      </w:r>
      <w:r w:rsidR="00AC7169">
        <w:t>)</w:t>
      </w:r>
      <w:r w:rsidR="00DC450E">
        <w:t>, but</w:t>
      </w:r>
      <w:r w:rsidRPr="00E95657">
        <w:t xml:space="preserve"> are tailored to reflect differences in manufactur</w:t>
      </w:r>
      <w:r w:rsidR="00DC450E">
        <w:t>ing</w:t>
      </w:r>
      <w:r w:rsidRPr="00E95657">
        <w:t>, packag</w:t>
      </w:r>
      <w:r w:rsidR="00DC450E">
        <w:t>ing</w:t>
      </w:r>
      <w:r w:rsidRPr="00E95657">
        <w:t>, label</w:t>
      </w:r>
      <w:r w:rsidR="00DC450E">
        <w:t>ing</w:t>
      </w:r>
      <w:r w:rsidRPr="00E95657">
        <w:t>, stor</w:t>
      </w:r>
      <w:r w:rsidR="00DC450E">
        <w:t>age</w:t>
      </w:r>
      <w:r w:rsidRPr="00E95657">
        <w:t>, and distribut</w:t>
      </w:r>
      <w:r w:rsidR="00DC450E">
        <w:t xml:space="preserve">ion of </w:t>
      </w:r>
      <w:r w:rsidR="001A7B73">
        <w:t>medical gases</w:t>
      </w:r>
      <w:r w:rsidR="00AC7169">
        <w:t>. Examples i</w:t>
      </w:r>
      <w:r>
        <w:t>nclud</w:t>
      </w:r>
      <w:r w:rsidR="00AC7169">
        <w:t>e</w:t>
      </w:r>
      <w:r>
        <w:t xml:space="preserve"> </w:t>
      </w:r>
      <w:r w:rsidR="004710C6">
        <w:t xml:space="preserve">certain </w:t>
      </w:r>
      <w:r>
        <w:t>building and facility requirements, sanitation</w:t>
      </w:r>
      <w:r w:rsidR="00AC7169">
        <w:t xml:space="preserve"> </w:t>
      </w:r>
      <w:r w:rsidR="000F7B70">
        <w:t>requirements</w:t>
      </w:r>
      <w:r>
        <w:t>, and equipment maintenance and cleaning</w:t>
      </w:r>
      <w:r w:rsidR="00AC7169">
        <w:t xml:space="preserve"> requirements</w:t>
      </w:r>
      <w:r>
        <w:t xml:space="preserve">. </w:t>
      </w:r>
      <w:r w:rsidR="000F7B70">
        <w:t>Further, Part</w:t>
      </w:r>
      <w:r w:rsidR="00AC7169">
        <w:t xml:space="preserve"> 211 includes limitations on the </w:t>
      </w:r>
      <w:r>
        <w:t>reuse of labels, intensive laboratory testing requirement</w:t>
      </w:r>
      <w:r w:rsidR="001E6831">
        <w:t>s</w:t>
      </w:r>
      <w:r>
        <w:t xml:space="preserve">, </w:t>
      </w:r>
      <w:r w:rsidR="00AC7169">
        <w:t>and</w:t>
      </w:r>
      <w:r>
        <w:t xml:space="preserve"> restrictions on salvaging</w:t>
      </w:r>
      <w:r w:rsidR="00AC7169">
        <w:t xml:space="preserve"> which are not</w:t>
      </w:r>
      <w:r w:rsidR="003B7CF6">
        <w:t xml:space="preserve"> appropriate to </w:t>
      </w:r>
      <w:r w:rsidR="001A7B73">
        <w:t>medical gases</w:t>
      </w:r>
      <w:r w:rsidR="000F7B70">
        <w:t>.</w:t>
      </w:r>
      <w:r>
        <w:t xml:space="preserve"> This mismatch between</w:t>
      </w:r>
      <w:r w:rsidR="001E6831">
        <w:t xml:space="preserve"> suitable government regulations concerning </w:t>
      </w:r>
      <w:r w:rsidRPr="00E95657" w:rsidR="001E6831">
        <w:t>manufactur</w:t>
      </w:r>
      <w:r w:rsidR="001E6831">
        <w:t>ing</w:t>
      </w:r>
      <w:r w:rsidRPr="00E95657" w:rsidR="001E6831">
        <w:t>, packag</w:t>
      </w:r>
      <w:r w:rsidR="001E6831">
        <w:t>ing</w:t>
      </w:r>
      <w:r w:rsidRPr="00E95657" w:rsidR="001E6831">
        <w:t>, label</w:t>
      </w:r>
      <w:r w:rsidR="001E6831">
        <w:t>ing</w:t>
      </w:r>
      <w:r w:rsidRPr="00E95657" w:rsidR="001E6831">
        <w:t>, stor</w:t>
      </w:r>
      <w:r w:rsidR="001E6831">
        <w:t>age</w:t>
      </w:r>
      <w:r w:rsidRPr="00E95657" w:rsidR="001E6831">
        <w:t>, and distribut</w:t>
      </w:r>
      <w:r w:rsidR="001E6831">
        <w:t xml:space="preserve">ion of </w:t>
      </w:r>
      <w:r w:rsidR="007E512D">
        <w:t>medical gases</w:t>
      </w:r>
      <w:r w:rsidR="001E6831">
        <w:t xml:space="preserve"> </w:t>
      </w:r>
      <w:r>
        <w:t xml:space="preserve">and current regulations under </w:t>
      </w:r>
      <w:r w:rsidR="00F50007">
        <w:t>P</w:t>
      </w:r>
      <w:r>
        <w:t xml:space="preserve">art 211 </w:t>
      </w:r>
      <w:r w:rsidR="001E6831">
        <w:t>represents</w:t>
      </w:r>
      <w:r>
        <w:t xml:space="preserve"> a market inefficiency. M</w:t>
      </w:r>
      <w:r w:rsidRPr="00A56905">
        <w:t xml:space="preserve">arket forces cannot correct this inefficiency without FDA conducting </w:t>
      </w:r>
      <w:r w:rsidR="001E6831">
        <w:t xml:space="preserve">further </w:t>
      </w:r>
      <w:r w:rsidRPr="00A56905">
        <w:t xml:space="preserve">rulemaking to </w:t>
      </w:r>
      <w:r>
        <w:t xml:space="preserve">tailor these CGMP requirements </w:t>
      </w:r>
      <w:r w:rsidR="004710C6">
        <w:t xml:space="preserve">for </w:t>
      </w:r>
      <w:r w:rsidR="007E512D">
        <w:t>medical gases</w:t>
      </w:r>
      <w:r>
        <w:t>.</w:t>
      </w:r>
    </w:p>
    <w:p w:rsidR="00D21E12" w:rsidP="005F1A11" w14:paraId="1297E354" w14:textId="53628F7B">
      <w:pPr>
        <w:ind w:firstLine="720"/>
      </w:pPr>
      <w:r>
        <w:t xml:space="preserve">Second, this </w:t>
      </w:r>
      <w:r w:rsidR="003402F9">
        <w:t>final</w:t>
      </w:r>
      <w:r>
        <w:t xml:space="preserve"> rule</w:t>
      </w:r>
      <w:r w:rsidR="00417102">
        <w:t xml:space="preserve"> </w:t>
      </w:r>
      <w:r w:rsidR="00737037">
        <w:t>will</w:t>
      </w:r>
      <w:r>
        <w:t xml:space="preserve"> modif</w:t>
      </w:r>
      <w:r w:rsidR="00417102">
        <w:t>y</w:t>
      </w:r>
      <w:r>
        <w:t xml:space="preserve"> the labeling requirements in </w:t>
      </w:r>
      <w:r w:rsidR="00F50007">
        <w:t>P</w:t>
      </w:r>
      <w:r>
        <w:t xml:space="preserve">art 201. This </w:t>
      </w:r>
      <w:r w:rsidRPr="3AE1EA29">
        <w:rPr>
          <w:color w:val="000000" w:themeColor="text1"/>
        </w:rPr>
        <w:t xml:space="preserve">rule </w:t>
      </w:r>
      <w:r w:rsidR="00737037">
        <w:rPr>
          <w:color w:val="000000" w:themeColor="text1"/>
        </w:rPr>
        <w:t>will</w:t>
      </w:r>
      <w:r w:rsidRPr="3AE1EA29">
        <w:rPr>
          <w:color w:val="000000" w:themeColor="text1"/>
        </w:rPr>
        <w:t xml:space="preserve"> require </w:t>
      </w:r>
      <w:r w:rsidRPr="3AE1EA29" w:rsidR="0031342A">
        <w:rPr>
          <w:color w:val="000000" w:themeColor="text1"/>
        </w:rPr>
        <w:t>medical oxygen containers</w:t>
      </w:r>
      <w:r w:rsidRPr="3AE1EA29">
        <w:rPr>
          <w:color w:val="000000" w:themeColor="text1"/>
        </w:rPr>
        <w:t xml:space="preserve"> </w:t>
      </w:r>
      <w:r w:rsidRPr="3AE1EA29" w:rsidR="004710C6">
        <w:rPr>
          <w:color w:val="000000" w:themeColor="text1"/>
        </w:rPr>
        <w:t xml:space="preserve">to </w:t>
      </w:r>
      <w:r w:rsidRPr="3AE1EA29">
        <w:rPr>
          <w:color w:val="000000" w:themeColor="text1"/>
        </w:rPr>
        <w:t xml:space="preserve">have a “no smoking” </w:t>
      </w:r>
      <w:r w:rsidRPr="3AE1EA29" w:rsidR="003543B3">
        <w:rPr>
          <w:color w:val="000000" w:themeColor="text1"/>
        </w:rPr>
        <w:t>statement</w:t>
      </w:r>
      <w:r w:rsidR="00395C1E">
        <w:rPr>
          <w:color w:val="000000" w:themeColor="text1"/>
        </w:rPr>
        <w:t>, a “no vaping” statement,</w:t>
      </w:r>
      <w:r w:rsidRPr="3AE1EA29" w:rsidR="003543B3">
        <w:rPr>
          <w:color w:val="000000" w:themeColor="text1"/>
        </w:rPr>
        <w:t xml:space="preserve"> and a </w:t>
      </w:r>
      <w:r w:rsidRPr="3AE1EA29" w:rsidR="0070097A">
        <w:rPr>
          <w:color w:val="000000" w:themeColor="text1"/>
        </w:rPr>
        <w:t xml:space="preserve">graphic warning </w:t>
      </w:r>
      <w:r w:rsidRPr="3AE1EA29" w:rsidR="003543B3">
        <w:rPr>
          <w:color w:val="000000" w:themeColor="text1"/>
        </w:rPr>
        <w:t>symbol</w:t>
      </w:r>
      <w:r w:rsidRPr="3AE1EA29">
        <w:rPr>
          <w:color w:val="000000" w:themeColor="text1"/>
        </w:rPr>
        <w:t xml:space="preserve"> to reduce the risk of fires caused by smoking</w:t>
      </w:r>
      <w:r w:rsidR="0066204B">
        <w:rPr>
          <w:color w:val="000000" w:themeColor="text1"/>
        </w:rPr>
        <w:t xml:space="preserve"> or vaping</w:t>
      </w:r>
      <w:r w:rsidRPr="3AE1EA29">
        <w:rPr>
          <w:color w:val="000000" w:themeColor="text1"/>
        </w:rPr>
        <w:t xml:space="preserve"> near an oxygen tank. This</w:t>
      </w:r>
      <w:r w:rsidRPr="3AE1EA29" w:rsidR="00417102">
        <w:rPr>
          <w:color w:val="000000" w:themeColor="text1"/>
        </w:rPr>
        <w:t xml:space="preserve"> </w:t>
      </w:r>
      <w:r w:rsidRPr="3AE1EA29">
        <w:rPr>
          <w:color w:val="000000" w:themeColor="text1"/>
        </w:rPr>
        <w:t>rule</w:t>
      </w:r>
      <w:r w:rsidRPr="3AE1EA29" w:rsidR="00417102">
        <w:rPr>
          <w:color w:val="000000" w:themeColor="text1"/>
        </w:rPr>
        <w:t xml:space="preserve"> </w:t>
      </w:r>
      <w:r w:rsidR="00737037">
        <w:rPr>
          <w:color w:val="000000" w:themeColor="text1"/>
        </w:rPr>
        <w:t>will</w:t>
      </w:r>
      <w:r w:rsidRPr="3AE1EA29">
        <w:rPr>
          <w:color w:val="000000" w:themeColor="text1"/>
        </w:rPr>
        <w:t xml:space="preserve"> </w:t>
      </w:r>
      <w:r w:rsidRPr="3AE1EA29">
        <w:rPr>
          <w:color w:val="000000" w:themeColor="text1"/>
        </w:rPr>
        <w:t xml:space="preserve">specify the format for </w:t>
      </w:r>
      <w:r w:rsidRPr="3AE1EA29" w:rsidR="2B6CF79C">
        <w:rPr>
          <w:color w:val="000000" w:themeColor="text1"/>
        </w:rPr>
        <w:t>the</w:t>
      </w:r>
      <w:r w:rsidRPr="3AE1EA29">
        <w:rPr>
          <w:color w:val="000000" w:themeColor="text1"/>
        </w:rPr>
        <w:t xml:space="preserve"> statement of ingredients for </w:t>
      </w:r>
      <w:r w:rsidR="003576E5">
        <w:rPr>
          <w:color w:val="000000" w:themeColor="text1"/>
        </w:rPr>
        <w:t>DMGs</w:t>
      </w:r>
      <w:r w:rsidRPr="3AE1EA29">
        <w:rPr>
          <w:color w:val="000000" w:themeColor="text1"/>
        </w:rPr>
        <w:t xml:space="preserve"> and establish separate requirements for the declaration of net quantity of contents for DMGs.</w:t>
      </w:r>
    </w:p>
    <w:p w:rsidR="005F1A11" w:rsidP="005F1A11" w14:paraId="74B9C10E" w14:textId="535A35BF">
      <w:pPr>
        <w:ind w:firstLine="720"/>
      </w:pPr>
      <w:r>
        <w:t>Third, this</w:t>
      </w:r>
      <w:r w:rsidR="003402F9">
        <w:t xml:space="preserve"> final</w:t>
      </w:r>
      <w:r>
        <w:t xml:space="preserve"> rule</w:t>
      </w:r>
      <w:r w:rsidR="003B1330">
        <w:t xml:space="preserve"> </w:t>
      </w:r>
      <w:r w:rsidR="00737037">
        <w:t>will</w:t>
      </w:r>
      <w:r>
        <w:t xml:space="preserve"> establish the process and requirements for obtaining certification of a DMG</w:t>
      </w:r>
      <w:r w:rsidR="00AC36B2">
        <w:t>.</w:t>
      </w:r>
      <w:r>
        <w:t xml:space="preserve"> Since the passage of FDASIA, many applicants have sought marketing authorization for a DMG under § 576 of </w:t>
      </w:r>
      <w:r w:rsidR="003A168A">
        <w:t>Federal Food, Drug, and Cosmetic Act (</w:t>
      </w:r>
      <w:r>
        <w:t>FD&amp;C Act</w:t>
      </w:r>
      <w:r w:rsidR="003A168A">
        <w:t>)</w:t>
      </w:r>
      <w:r>
        <w:t>, and this rule is intended to codify th</w:t>
      </w:r>
      <w:r w:rsidR="00785999">
        <w:t>at</w:t>
      </w:r>
      <w:r>
        <w:t xml:space="preserve"> process while also providing additional clarity where necessary. </w:t>
      </w:r>
      <w:r w:rsidR="00F50007">
        <w:t>P</w:t>
      </w:r>
      <w:r>
        <w:t xml:space="preserve">art 230 </w:t>
      </w:r>
      <w:r w:rsidR="00737037">
        <w:t>will</w:t>
      </w:r>
      <w:r>
        <w:t xml:space="preserve"> contain the requirements for </w:t>
      </w:r>
      <w:r w:rsidR="00785999">
        <w:t>fil</w:t>
      </w:r>
      <w:r>
        <w:t xml:space="preserve">ing a certification request for a DMG for human use, animal use, or both. Because certain provisions within 21 CFR </w:t>
      </w:r>
      <w:r w:rsidR="00035B1A">
        <w:t>P</w:t>
      </w:r>
      <w:r>
        <w:t xml:space="preserve">arts 314 and 514 </w:t>
      </w:r>
      <w:r w:rsidR="008429F0">
        <w:t xml:space="preserve">will </w:t>
      </w:r>
      <w:r>
        <w:t>no longer be applicable to DMGs</w:t>
      </w:r>
      <w:r w:rsidR="1C2F13E3">
        <w:t xml:space="preserve"> or would require revisions to better reflect the certification process</w:t>
      </w:r>
      <w:r>
        <w:t xml:space="preserve">, FDA </w:t>
      </w:r>
      <w:r w:rsidR="00627A01">
        <w:t>includes</w:t>
      </w:r>
      <w:r>
        <w:t xml:space="preserve"> conforming edits to </w:t>
      </w:r>
      <w:r w:rsidR="00035B1A">
        <w:t>P</w:t>
      </w:r>
      <w:r>
        <w:t>arts 314 and 514 as well.</w:t>
      </w:r>
      <w:bookmarkStart w:id="34" w:name="_Hlk15891658"/>
      <w:bookmarkEnd w:id="34"/>
    </w:p>
    <w:p w:rsidR="005F1A11" w:rsidRPr="009F6AA4" w:rsidP="005F1A11" w14:paraId="1B1D97C4" w14:textId="45236DE5">
      <w:pPr>
        <w:ind w:firstLine="720"/>
      </w:pPr>
      <w:r>
        <w:t xml:space="preserve">Fourth, this </w:t>
      </w:r>
      <w:r w:rsidR="003402F9">
        <w:t>final</w:t>
      </w:r>
      <w:r w:rsidR="0066229A">
        <w:t xml:space="preserve"> </w:t>
      </w:r>
      <w:r>
        <w:t xml:space="preserve">rule </w:t>
      </w:r>
      <w:r w:rsidR="00737037">
        <w:t>will</w:t>
      </w:r>
      <w:r w:rsidR="0066229A">
        <w:t xml:space="preserve"> </w:t>
      </w:r>
      <w:r>
        <w:t>modify the requirements for postmarket</w:t>
      </w:r>
      <w:r w:rsidR="00AA2D97">
        <w:t>ing</w:t>
      </w:r>
      <w:r>
        <w:t xml:space="preserve"> safety reporting</w:t>
      </w:r>
      <w:r w:rsidR="004F151F">
        <w:t xml:space="preserve"> for DMGs</w:t>
      </w:r>
      <w:r>
        <w:t>. This</w:t>
      </w:r>
      <w:r w:rsidR="00785999">
        <w:t xml:space="preserve"> </w:t>
      </w:r>
      <w:r>
        <w:t xml:space="preserve">rule </w:t>
      </w:r>
      <w:r w:rsidR="00737037">
        <w:t>will</w:t>
      </w:r>
      <w:r>
        <w:t xml:space="preserve"> clarify </w:t>
      </w:r>
      <w:r w:rsidR="2E8733E4">
        <w:t>w</w:t>
      </w:r>
      <w:r>
        <w:t xml:space="preserve">hat </w:t>
      </w:r>
      <w:r w:rsidR="00F0316E">
        <w:t>adverse event</w:t>
      </w:r>
      <w:r w:rsidR="004F151F">
        <w:t>s</w:t>
      </w:r>
      <w:r>
        <w:t xml:space="preserve"> must be reported</w:t>
      </w:r>
      <w:r w:rsidR="00B57FBF">
        <w:t>. For example</w:t>
      </w:r>
      <w:r>
        <w:t xml:space="preserve">, </w:t>
      </w:r>
      <w:r w:rsidR="00AB5212">
        <w:t xml:space="preserve">the final rule clarifies </w:t>
      </w:r>
      <w:r w:rsidR="332929FC">
        <w:t xml:space="preserve">that </w:t>
      </w:r>
      <w:r w:rsidR="009F0AE7">
        <w:t xml:space="preserve">reports of death of a patient or animal </w:t>
      </w:r>
      <w:r w:rsidR="6A6668D9">
        <w:t xml:space="preserve">who was administered oxygen </w:t>
      </w:r>
      <w:r w:rsidR="009F0AE7">
        <w:t>are not required</w:t>
      </w:r>
      <w:r>
        <w:t xml:space="preserve"> </w:t>
      </w:r>
      <w:r w:rsidR="694823E2">
        <w:t xml:space="preserve">to be submitted </w:t>
      </w:r>
      <w:r>
        <w:t>unless</w:t>
      </w:r>
      <w:r w:rsidR="403A8AE6">
        <w:t xml:space="preserve"> the applicant or nonapplicant becomes aware of evidence that</w:t>
      </w:r>
      <w:r>
        <w:t xml:space="preserve"> the administration of the oxygen was the cause of death, and that fires </w:t>
      </w:r>
      <w:r w:rsidR="002D29A6">
        <w:t>associated with</w:t>
      </w:r>
      <w:r w:rsidR="00016753">
        <w:t xml:space="preserve"> </w:t>
      </w:r>
      <w:r>
        <w:t xml:space="preserve">oxygen </w:t>
      </w:r>
      <w:r w:rsidR="005E234A">
        <w:t>use</w:t>
      </w:r>
      <w:r>
        <w:t xml:space="preserve"> only require an </w:t>
      </w:r>
      <w:r w:rsidR="00F0316E">
        <w:t>adverse event</w:t>
      </w:r>
      <w:r>
        <w:t xml:space="preserve"> report if a</w:t>
      </w:r>
      <w:r w:rsidR="00991A03">
        <w:t xml:space="preserve"> patient</w:t>
      </w:r>
      <w:r>
        <w:t xml:space="preserve"> or animal is injured. </w:t>
      </w:r>
    </w:p>
    <w:p w:rsidR="00844293" w:rsidRPr="00844293" w:rsidP="00A20D24" w14:paraId="58DED528" w14:textId="77777777"/>
    <w:p w:rsidR="00F47D86" w:rsidP="00F47D86" w14:paraId="77A453AB" w14:textId="21166EFD">
      <w:pPr>
        <w:pStyle w:val="Heading2"/>
      </w:pPr>
      <w:bookmarkStart w:id="35" w:name="_Toc148515714"/>
      <w:r>
        <w:t>Baseline Conditions</w:t>
      </w:r>
      <w:bookmarkEnd w:id="35"/>
    </w:p>
    <w:p w:rsidR="009A5DC4" w:rsidP="004B2F48" w14:paraId="55D25630" w14:textId="77777777"/>
    <w:p w:rsidR="00710C3E" w:rsidP="004B2F48" w14:paraId="762AB5CA" w14:textId="38CA1D30">
      <w:pPr>
        <w:ind w:firstLine="720"/>
      </w:pPr>
      <w:r>
        <w:t>In our analysis, we use the 2020 DMGs market to characterize the baseline DMG</w:t>
      </w:r>
      <w:r w:rsidR="00517A96">
        <w:t>s</w:t>
      </w:r>
      <w:r>
        <w:t xml:space="preserve"> market. </w:t>
      </w:r>
      <w:r>
        <w:t xml:space="preserve">We contracted with Eastern Research Group </w:t>
      </w:r>
      <w:r w:rsidR="00385042">
        <w:t xml:space="preserve">(ERG) </w:t>
      </w:r>
      <w:r>
        <w:t>to update the medical gas industry profile that they had developed for us in 2014, and to collect data on practices in the medical gas industry as they relate to the current federal drug regulations.</w:t>
      </w:r>
      <w:r w:rsidR="00385042">
        <w:t xml:space="preserve"> Additionally, ERG researched the possibility that government inspections</w:t>
      </w:r>
      <w:r w:rsidR="00F443A0">
        <w:t xml:space="preserve">, based on a direct application of our regulations that </w:t>
      </w:r>
      <w:r w:rsidR="00F443A0">
        <w:t>apply to typical drug products, could result in industry expending sizable resources to address inspection results that could have been avoided with regulations that are more finely tuned to the specific attributes of the medical gas industry.</w:t>
      </w:r>
    </w:p>
    <w:p w:rsidR="00E45D30" w:rsidP="004B2F48" w14:paraId="3CCE7F26" w14:textId="38AC2DD3">
      <w:pPr>
        <w:ind w:firstLine="720"/>
      </w:pPr>
      <w:r w:rsidRPr="00A85C28">
        <w:t xml:space="preserve">In this analysis, we use </w:t>
      </w:r>
      <w:r>
        <w:t>average (mean)</w:t>
      </w:r>
      <w:r w:rsidRPr="00A85C28">
        <w:t xml:space="preserve"> wage data from the </w:t>
      </w:r>
      <w:r>
        <w:t>20</w:t>
      </w:r>
      <w:r w:rsidR="008A6403">
        <w:t>2</w:t>
      </w:r>
      <w:r w:rsidR="003153D7">
        <w:t>2</w:t>
      </w:r>
      <w:r>
        <w:t xml:space="preserve"> </w:t>
      </w:r>
      <w:r w:rsidRPr="00A85C28">
        <w:t xml:space="preserve">Bureau of Labor Statistics </w:t>
      </w:r>
      <w:r w:rsidRPr="007432B9">
        <w:t xml:space="preserve">NAICS code 325400 – Pharmaceutical and Medicine Manufacturing </w:t>
      </w:r>
      <w:r w:rsidRPr="00A85C28">
        <w:t>to estimate labor costs to industry</w:t>
      </w:r>
      <w:r>
        <w:t>.</w:t>
      </w:r>
      <w:r w:rsidRPr="00A85C28">
        <w:t xml:space="preserve"> </w:t>
      </w:r>
      <w:r>
        <w:t>We use 20</w:t>
      </w:r>
      <w:r w:rsidR="008A6403">
        <w:t>2</w:t>
      </w:r>
      <w:r w:rsidR="003153D7">
        <w:t>2</w:t>
      </w:r>
      <w:r>
        <w:t xml:space="preserve"> data on FDA fully-loaded Full Time Equivalent (FTE) costs to estimate the fully-loaded FDA-wide wage.</w:t>
      </w:r>
      <w:r>
        <w:rPr>
          <w:rStyle w:val="FootnoteReference"/>
        </w:rPr>
        <w:footnoteReference w:id="6"/>
      </w:r>
      <w:r w:rsidRPr="00A85C28">
        <w:t xml:space="preserve"> The cost of labor is the fully-loaded wage, which includes overhead and benefits</w:t>
      </w:r>
      <w:r>
        <w:t xml:space="preserve">. </w:t>
      </w:r>
      <w:r w:rsidR="00D13EB9">
        <w:t>For FDA</w:t>
      </w:r>
      <w:r w:rsidR="006B4307">
        <w:t>,</w:t>
      </w:r>
      <w:r w:rsidR="00D13EB9">
        <w:t xml:space="preserve"> </w:t>
      </w:r>
      <w:r w:rsidR="00A5686D">
        <w:t xml:space="preserve">overhead is calculated internally. </w:t>
      </w:r>
      <w:r w:rsidR="00296CAD">
        <w:t>We estimate a fully-loaded FDA FTE of $29</w:t>
      </w:r>
      <w:r w:rsidR="00F9472D">
        <w:t>6,450 for a</w:t>
      </w:r>
      <w:r w:rsidR="00641F7E">
        <w:t>n hourly wage rate estimate of $142.52 (=$296,450 ÷ 2,080 work hours per year).</w:t>
      </w:r>
      <w:r w:rsidR="00296CAD">
        <w:t xml:space="preserve"> </w:t>
      </w:r>
      <w:r>
        <w:t>For industry, w</w:t>
      </w:r>
      <w:r w:rsidRPr="00A85C28">
        <w:t>e assume that the cost of overhead and benefits equals 100</w:t>
      </w:r>
      <w:r>
        <w:t xml:space="preserve"> percent</w:t>
      </w:r>
      <w:r w:rsidRPr="00A85C28">
        <w:t xml:space="preserve"> of the wage.</w:t>
      </w:r>
      <w:r>
        <w:rPr>
          <w:rStyle w:val="FootnoteReference"/>
        </w:rPr>
        <w:footnoteReference w:id="7"/>
      </w:r>
      <w:r>
        <w:t xml:space="preserve"> </w:t>
      </w:r>
      <w:r w:rsidRPr="00484BA0" w:rsidR="00484BA0">
        <w:fldChar w:fldCharType="begin"/>
      </w:r>
      <w:r w:rsidRPr="00484BA0" w:rsidR="00484BA0">
        <w:instrText xml:space="preserve"> REF _Ref132015518 \h </w:instrText>
      </w:r>
      <w:r w:rsidRPr="004848C7" w:rsidR="00484BA0">
        <w:instrText xml:space="preserve"> \* MERGEFORMAT </w:instrText>
      </w:r>
      <w:r w:rsidRPr="00484BA0" w:rsidR="00484BA0">
        <w:fldChar w:fldCharType="separate"/>
      </w:r>
      <w:r w:rsidRPr="004848C7" w:rsidR="00484BA0">
        <w:t xml:space="preserve">Table </w:t>
      </w:r>
      <w:r w:rsidRPr="004848C7" w:rsidR="00484BA0">
        <w:rPr>
          <w:noProof/>
        </w:rPr>
        <w:t>3</w:t>
      </w:r>
      <w:r w:rsidRPr="00484BA0" w:rsidR="00484BA0">
        <w:fldChar w:fldCharType="end"/>
      </w:r>
      <w:r w:rsidR="002C1752">
        <w:t xml:space="preserve"> </w:t>
      </w:r>
      <w:r w:rsidRPr="00066EE3">
        <w:t>c</w:t>
      </w:r>
      <w:r w:rsidRPr="00A85C28">
        <w:t>ontains the fully</w:t>
      </w:r>
      <w:r>
        <w:t>-</w:t>
      </w:r>
      <w:r w:rsidRPr="00A85C28">
        <w:t>loaded wages to industry used in this analysis.</w:t>
      </w:r>
    </w:p>
    <w:p w:rsidR="007C6FCE" w:rsidP="004B2F48" w14:paraId="4AA8AE3B" w14:textId="51B0DC8B">
      <w:pPr>
        <w:ind w:firstLine="720"/>
      </w:pPr>
      <w:r>
        <w:t xml:space="preserve">ERG completed its final report in </w:t>
      </w:r>
      <w:r w:rsidR="0029433A">
        <w:t>January 2020</w:t>
      </w:r>
      <w:r w:rsidR="00E82913">
        <w:t xml:space="preserve"> (Ref</w:t>
      </w:r>
      <w:r w:rsidR="005A1789">
        <w:t>.</w:t>
      </w:r>
      <w:r w:rsidR="00E82913">
        <w:t xml:space="preserve"> </w:t>
      </w:r>
      <w:r w:rsidR="006844FE">
        <w:t>2</w:t>
      </w:r>
      <w:r w:rsidR="00E82913">
        <w:t>)</w:t>
      </w:r>
      <w:r>
        <w:t>.</w:t>
      </w:r>
      <w:r w:rsidR="00E82913">
        <w:t xml:space="preserve"> We use </w:t>
      </w:r>
      <w:r w:rsidR="00E71361">
        <w:t xml:space="preserve">information in the </w:t>
      </w:r>
      <w:r w:rsidR="009674D7">
        <w:t xml:space="preserve">updated </w:t>
      </w:r>
      <w:r w:rsidR="00E71361">
        <w:t xml:space="preserve">ERG profile as </w:t>
      </w:r>
      <w:r w:rsidR="001C099B">
        <w:t xml:space="preserve">part of </w:t>
      </w:r>
      <w:r w:rsidR="00E71361">
        <w:t>the basis for this analysis.</w:t>
      </w:r>
      <w:r w:rsidR="001C099B">
        <w:t xml:space="preserve"> Specifically, </w:t>
      </w:r>
    </w:p>
    <w:p w:rsidR="007C6FCE" w:rsidP="007C6FCE" w14:paraId="287A08FA" w14:textId="1867A943">
      <w:pPr>
        <w:pStyle w:val="ListParagraph"/>
        <w:numPr>
          <w:ilvl w:val="1"/>
          <w:numId w:val="1"/>
        </w:numPr>
      </w:pPr>
      <w:r>
        <w:t>we rely on the ERG counts of firms and facilities that produce DMGs</w:t>
      </w:r>
      <w:r w:rsidR="0072272D">
        <w:t>,</w:t>
      </w:r>
      <w:r>
        <w:t xml:space="preserve"> as well as those downstream persons and entities who distribute DMGs both </w:t>
      </w:r>
      <w:r w:rsidR="0050711E">
        <w:t xml:space="preserve">to </w:t>
      </w:r>
      <w:r>
        <w:t>healthcare entities and directly to patients</w:t>
      </w:r>
      <w:r w:rsidR="003D2438">
        <w:t xml:space="preserve"> (</w:t>
      </w:r>
      <w:r w:rsidRPr="00987A52" w:rsidR="00A63EAE">
        <w:fldChar w:fldCharType="begin"/>
      </w:r>
      <w:r w:rsidRPr="00A63EAE" w:rsidR="00A63EAE">
        <w:instrText xml:space="preserve"> REF _Ref36641560 \h </w:instrText>
      </w:r>
      <w:r w:rsidRPr="00A8548B" w:rsidR="00A63EAE">
        <w:instrText xml:space="preserve"> \* MERGEFORMAT </w:instrText>
      </w:r>
      <w:r w:rsidRPr="00987A52" w:rsidR="00A63EAE">
        <w:fldChar w:fldCharType="separate"/>
      </w:r>
      <w:r w:rsidRPr="004848C7" w:rsidR="00264BAF">
        <w:t xml:space="preserve">Table </w:t>
      </w:r>
      <w:r w:rsidRPr="004848C7" w:rsidR="00264BAF">
        <w:rPr>
          <w:noProof/>
        </w:rPr>
        <w:t>4</w:t>
      </w:r>
      <w:r w:rsidRPr="00987A52" w:rsidR="00A63EAE">
        <w:fldChar w:fldCharType="end"/>
      </w:r>
      <w:r w:rsidR="003D2438">
        <w:t>)</w:t>
      </w:r>
      <w:r w:rsidR="00224534">
        <w:t>,</w:t>
      </w:r>
      <w:r>
        <w:rPr>
          <w:rStyle w:val="FootnoteReference"/>
        </w:rPr>
        <w:footnoteReference w:id="8"/>
      </w:r>
    </w:p>
    <w:p w:rsidR="007C6FCE" w:rsidP="007C6FCE" w14:paraId="630B0F3F" w14:textId="4FD14739">
      <w:pPr>
        <w:pStyle w:val="ListParagraph"/>
        <w:numPr>
          <w:ilvl w:val="1"/>
          <w:numId w:val="1"/>
        </w:numPr>
      </w:pPr>
      <w:r>
        <w:t>w</w:t>
      </w:r>
      <w:r w:rsidR="00FB56A1">
        <w:t>e use ERG’s estimates of the number and types of medical gas containers</w:t>
      </w:r>
      <w:r w:rsidR="003D2438">
        <w:t xml:space="preserve"> (</w:t>
      </w:r>
      <w:r w:rsidRPr="00987A52" w:rsidR="00A63EAE">
        <w:fldChar w:fldCharType="begin"/>
      </w:r>
      <w:r w:rsidRPr="00A63EAE" w:rsidR="00A63EAE">
        <w:instrText xml:space="preserve"> REF _Ref36641568 \h </w:instrText>
      </w:r>
      <w:r w:rsidRPr="00A8548B" w:rsidR="00A63EAE">
        <w:instrText xml:space="preserve"> \* MERGEFORMAT </w:instrText>
      </w:r>
      <w:r w:rsidRPr="00987A52" w:rsidR="00A63EAE">
        <w:fldChar w:fldCharType="separate"/>
      </w:r>
      <w:r w:rsidRPr="004848C7" w:rsidR="00264BAF">
        <w:t xml:space="preserve">Table </w:t>
      </w:r>
      <w:r w:rsidRPr="004848C7" w:rsidR="00264BAF">
        <w:rPr>
          <w:noProof/>
        </w:rPr>
        <w:t>5</w:t>
      </w:r>
      <w:r w:rsidRPr="00987A52" w:rsidR="00A63EAE">
        <w:fldChar w:fldCharType="end"/>
      </w:r>
      <w:r w:rsidR="003D2438">
        <w:t>)</w:t>
      </w:r>
      <w:r w:rsidR="00FB56A1">
        <w:t xml:space="preserve">, </w:t>
      </w:r>
    </w:p>
    <w:p w:rsidR="007C6FCE" w:rsidP="007C6FCE" w14:paraId="1D2A6F56" w14:textId="2AA641E8">
      <w:pPr>
        <w:pStyle w:val="ListParagraph"/>
        <w:numPr>
          <w:ilvl w:val="1"/>
          <w:numId w:val="1"/>
        </w:numPr>
      </w:pPr>
      <w:r>
        <w:t>we use ERG’s</w:t>
      </w:r>
      <w:r w:rsidR="00FB56A1">
        <w:t xml:space="preserve"> estimates for DMG manufacturer compliance with current federal regulations</w:t>
      </w:r>
      <w:r w:rsidR="00224534">
        <w:t>,</w:t>
      </w:r>
      <w:r w:rsidR="00FB56A1">
        <w:t xml:space="preserve"> including</w:t>
      </w:r>
      <w:r w:rsidR="002D018E">
        <w:t xml:space="preserve"> </w:t>
      </w:r>
      <w:r w:rsidR="00FB56A1">
        <w:t xml:space="preserve">21 CFR </w:t>
      </w:r>
      <w:r w:rsidR="00244B1B">
        <w:t>P</w:t>
      </w:r>
      <w:r w:rsidR="009F46C4">
        <w:t xml:space="preserve">arts </w:t>
      </w:r>
      <w:r w:rsidR="00FB56A1">
        <w:t>211, 314 and 514</w:t>
      </w:r>
      <w:r w:rsidRPr="00554C61" w:rsidR="00224534">
        <w:t xml:space="preserve"> (</w:t>
      </w:r>
      <w:r w:rsidR="00F83CAD">
        <w:t>ERG Table 5-1)</w:t>
      </w:r>
      <w:r>
        <w:t>,</w:t>
      </w:r>
      <w:r w:rsidR="00FB56A1">
        <w:t xml:space="preserve"> </w:t>
      </w:r>
      <w:r>
        <w:t>a</w:t>
      </w:r>
      <w:r w:rsidR="00FB56A1">
        <w:t xml:space="preserve">nd, where appropriate, </w:t>
      </w:r>
    </w:p>
    <w:p w:rsidR="00BD0DD1" w:rsidP="004848C7" w14:paraId="5F8CEB29" w14:textId="42419502">
      <w:pPr>
        <w:pStyle w:val="ListParagraph"/>
        <w:numPr>
          <w:ilvl w:val="1"/>
          <w:numId w:val="1"/>
        </w:numPr>
      </w:pPr>
      <w:r>
        <w:t xml:space="preserve">we use ERG’s estimates of per unit cost increases for areas of current noncompliance of our regulations in those cases in which the new regulations </w:t>
      </w:r>
      <w:r w:rsidR="001940B0">
        <w:t>will</w:t>
      </w:r>
      <w:r>
        <w:t xml:space="preserve"> create identical or similar requirements.</w:t>
      </w:r>
      <w:r w:rsidR="005A0629">
        <w:t xml:space="preserve"> </w:t>
      </w:r>
    </w:p>
    <w:p w:rsidR="00FB56A1" w:rsidRPr="00710C3E" w:rsidP="004B2F48" w14:paraId="083FA5F8" w14:textId="6381ED2E">
      <w:pPr>
        <w:ind w:firstLine="720"/>
      </w:pPr>
      <w:r>
        <w:t xml:space="preserve">We </w:t>
      </w:r>
      <w:r w:rsidR="00336B92">
        <w:t>use in</w:t>
      </w:r>
      <w:r w:rsidR="00DD63EA">
        <w:t xml:space="preserve">formation </w:t>
      </w:r>
      <w:r w:rsidR="00EB7A91">
        <w:t xml:space="preserve">concerning DMG industry practices </w:t>
      </w:r>
      <w:r w:rsidR="00336B92">
        <w:t>from our internal medical gas subject matter experts (SMEs)</w:t>
      </w:r>
      <w:r w:rsidR="00EB7A91">
        <w:t xml:space="preserve"> </w:t>
      </w:r>
      <w:r w:rsidR="00224534">
        <w:t>to establish the baseline</w:t>
      </w:r>
      <w:r w:rsidR="00EB7A91">
        <w:t xml:space="preserve"> for this analysis. These SMEs have experience with our regulations concerning drug labeling, CGMP</w:t>
      </w:r>
      <w:r w:rsidR="000B4DF7">
        <w:t xml:space="preserve"> requirement</w:t>
      </w:r>
      <w:r w:rsidR="00EB7A91">
        <w:t xml:space="preserve">s, the DMG certification and </w:t>
      </w:r>
      <w:r w:rsidR="00267984">
        <w:t xml:space="preserve">annual </w:t>
      </w:r>
      <w:r w:rsidR="00EB7A91">
        <w:t>reporting processes</w:t>
      </w:r>
      <w:r w:rsidR="003B1330">
        <w:t>,</w:t>
      </w:r>
      <w:r w:rsidR="00EB7A91">
        <w:t xml:space="preserve"> and the </w:t>
      </w:r>
      <w:r w:rsidR="00267984">
        <w:t>postmarketing safety</w:t>
      </w:r>
      <w:r w:rsidR="00EB7A91">
        <w:t xml:space="preserve"> reporting process. </w:t>
      </w:r>
    </w:p>
    <w:p w:rsidR="00251E60" w:rsidP="004848C7" w14:paraId="29C39777" w14:textId="1AFE2525">
      <w:pPr>
        <w:rPr>
          <w:b/>
        </w:rPr>
      </w:pPr>
      <w:bookmarkStart w:id="36" w:name="_Ref43370026"/>
    </w:p>
    <w:p w:rsidR="00A32AAA" w14:paraId="567D9F3E" w14:textId="77777777">
      <w:pPr>
        <w:spacing w:line="276" w:lineRule="auto"/>
        <w:rPr>
          <w:b/>
        </w:rPr>
      </w:pPr>
      <w:bookmarkStart w:id="37" w:name="_Ref132015518"/>
      <w:r>
        <w:rPr>
          <w:b/>
        </w:rPr>
        <w:br w:type="page"/>
      </w:r>
    </w:p>
    <w:p w:rsidR="007432B9" w:rsidRPr="00382303" w:rsidP="007432B9" w14:paraId="450FA1BF" w14:textId="706B1125">
      <w:pPr>
        <w:pStyle w:val="Caption"/>
        <w:rPr>
          <w:b/>
        </w:rPr>
      </w:pPr>
      <w:bookmarkStart w:id="38" w:name="_Toc147238747"/>
      <w:r w:rsidRPr="00382303">
        <w:rPr>
          <w:b/>
        </w:rPr>
        <w:t xml:space="preserve">Table </w:t>
      </w:r>
      <w:r w:rsidRPr="00382303">
        <w:rPr>
          <w:b/>
        </w:rPr>
        <w:fldChar w:fldCharType="begin"/>
      </w:r>
      <w:r w:rsidRPr="00382303">
        <w:rPr>
          <w:b/>
        </w:rPr>
        <w:instrText xml:space="preserve"> SEQ Table \* ARABIC </w:instrText>
      </w:r>
      <w:r w:rsidRPr="00382303">
        <w:rPr>
          <w:b/>
        </w:rPr>
        <w:fldChar w:fldCharType="separate"/>
      </w:r>
      <w:r w:rsidR="00D36765">
        <w:rPr>
          <w:b/>
          <w:noProof/>
        </w:rPr>
        <w:t>3</w:t>
      </w:r>
      <w:r w:rsidRPr="00382303">
        <w:rPr>
          <w:b/>
        </w:rPr>
        <w:fldChar w:fldCharType="end"/>
      </w:r>
      <w:bookmarkEnd w:id="36"/>
      <w:bookmarkEnd w:id="37"/>
      <w:r w:rsidRPr="00382303">
        <w:rPr>
          <w:b/>
        </w:rPr>
        <w:t>. The Cost of Labor</w:t>
      </w:r>
      <w:bookmarkEnd w:id="38"/>
    </w:p>
    <w:tbl>
      <w:tblPr>
        <w:tblW w:w="5000" w:type="pct"/>
        <w:tblLayout w:type="fixed"/>
        <w:tblLook w:val="04A0"/>
      </w:tblPr>
      <w:tblGrid>
        <w:gridCol w:w="4855"/>
        <w:gridCol w:w="2247"/>
        <w:gridCol w:w="2248"/>
      </w:tblGrid>
      <w:tr w14:paraId="2999695F" w14:textId="77777777" w:rsidTr="00246ECD">
        <w:tblPrEx>
          <w:tblW w:w="5000" w:type="pct"/>
          <w:tblLayout w:type="fixed"/>
          <w:tblLook w:val="04A0"/>
        </w:tblPrEx>
        <w:trPr>
          <w:trHeight w:val="290"/>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432B9" w:rsidRPr="00714FC0" w:rsidP="00A277AF" w14:paraId="03BD0777" w14:textId="77777777">
            <w:pPr>
              <w:spacing w:after="0"/>
              <w:rPr>
                <w:rFonts w:eastAsia="Times New Roman"/>
                <w:b/>
                <w:bCs/>
                <w:color w:val="000000"/>
                <w:sz w:val="22"/>
                <w:szCs w:val="22"/>
              </w:rPr>
            </w:pPr>
            <w:r w:rsidRPr="00714FC0">
              <w:rPr>
                <w:rFonts w:eastAsia="Times New Roman"/>
                <w:b/>
                <w:bCs/>
                <w:color w:val="000000"/>
                <w:sz w:val="22"/>
                <w:szCs w:val="22"/>
              </w:rPr>
              <w:t>Employee Type</w:t>
            </w:r>
          </w:p>
        </w:tc>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432B9" w:rsidRPr="00714FC0" w:rsidP="00A277AF" w14:paraId="05D40300" w14:textId="77777777">
            <w:pPr>
              <w:spacing w:after="0"/>
              <w:jc w:val="center"/>
              <w:rPr>
                <w:rFonts w:eastAsia="Times New Roman"/>
                <w:b/>
                <w:bCs/>
                <w:color w:val="000000"/>
                <w:sz w:val="22"/>
                <w:szCs w:val="22"/>
              </w:rPr>
            </w:pPr>
            <w:r w:rsidRPr="00714FC0">
              <w:rPr>
                <w:rFonts w:eastAsia="Times New Roman"/>
                <w:b/>
                <w:bCs/>
                <w:color w:val="000000"/>
                <w:sz w:val="22"/>
                <w:szCs w:val="22"/>
              </w:rPr>
              <w:t>Mean Hourly Wage</w:t>
            </w:r>
          </w:p>
        </w:tc>
        <w:tc>
          <w:tcPr>
            <w:tcW w:w="2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432B9" w:rsidRPr="00714FC0" w:rsidP="00A277AF" w14:paraId="3183D544" w14:textId="77777777">
            <w:pPr>
              <w:spacing w:after="0"/>
              <w:jc w:val="center"/>
              <w:rPr>
                <w:rFonts w:eastAsia="Times New Roman"/>
                <w:b/>
                <w:bCs/>
                <w:color w:val="000000"/>
                <w:sz w:val="22"/>
                <w:szCs w:val="22"/>
              </w:rPr>
            </w:pPr>
            <w:r w:rsidRPr="00714FC0">
              <w:rPr>
                <w:rFonts w:eastAsia="Times New Roman"/>
                <w:b/>
                <w:bCs/>
                <w:color w:val="000000"/>
                <w:sz w:val="22"/>
                <w:szCs w:val="22"/>
              </w:rPr>
              <w:t>Fully-Loaded Hourly Wage</w:t>
            </w:r>
          </w:p>
        </w:tc>
      </w:tr>
      <w:tr w14:paraId="4F81A27A" w14:textId="77777777" w:rsidTr="000659AD">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33EC" w:rsidRPr="00251E60" w:rsidP="005E33EC" w14:paraId="7D6C28EA" w14:textId="2AE2441B">
            <w:pPr>
              <w:spacing w:after="0"/>
              <w:rPr>
                <w:rFonts w:eastAsia="Times New Roman"/>
                <w:color w:val="000000"/>
                <w:sz w:val="22"/>
                <w:szCs w:val="22"/>
              </w:rPr>
            </w:pPr>
            <w:r w:rsidRPr="00251E60">
              <w:rPr>
                <w:rFonts w:eastAsia="Times New Roman"/>
                <w:color w:val="000000"/>
                <w:sz w:val="22"/>
                <w:szCs w:val="22"/>
              </w:rPr>
              <w:t>Management occupations (1</w:t>
            </w:r>
            <w:r>
              <w:rPr>
                <w:rFonts w:eastAsia="Times New Roman"/>
                <w:color w:val="000000"/>
                <w:sz w:val="22"/>
                <w:szCs w:val="22"/>
              </w:rPr>
              <w:t>1</w:t>
            </w:r>
            <w:r w:rsidRPr="00251E60">
              <w:rPr>
                <w:rFonts w:eastAsia="Times New Roman"/>
                <w:color w:val="000000"/>
                <w:sz w:val="22"/>
                <w:szCs w:val="22"/>
              </w:rPr>
              <w:t>-0000)</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254357" w:rsidP="005E33EC" w14:paraId="396A9D2F" w14:textId="455B7C5A">
            <w:pPr>
              <w:spacing w:after="0"/>
              <w:jc w:val="center"/>
              <w:rPr>
                <w:rFonts w:eastAsia="Times New Roman"/>
                <w:color w:val="000000"/>
                <w:sz w:val="22"/>
                <w:szCs w:val="22"/>
              </w:rPr>
            </w:pPr>
            <w:r w:rsidRPr="00222F9A">
              <w:rPr>
                <w:sz w:val="22"/>
                <w:szCs w:val="22"/>
              </w:rPr>
              <w:t>$83.84</w:t>
            </w:r>
          </w:p>
        </w:tc>
        <w:tc>
          <w:tcPr>
            <w:tcW w:w="2248" w:type="dxa"/>
            <w:tcBorders>
              <w:top w:val="single" w:sz="4" w:space="0" w:color="auto"/>
              <w:left w:val="nil"/>
              <w:bottom w:val="single" w:sz="4" w:space="0" w:color="auto"/>
              <w:right w:val="single" w:sz="4" w:space="0" w:color="auto"/>
            </w:tcBorders>
            <w:shd w:val="clear" w:color="auto" w:fill="auto"/>
            <w:noWrap/>
          </w:tcPr>
          <w:p w:rsidR="005E33EC" w:rsidRPr="00254357" w:rsidP="005E33EC" w14:paraId="4A1CD76F" w14:textId="61BE598B">
            <w:pPr>
              <w:spacing w:after="0"/>
              <w:jc w:val="center"/>
              <w:rPr>
                <w:rFonts w:eastAsia="Times New Roman"/>
                <w:color w:val="000000"/>
                <w:sz w:val="22"/>
                <w:szCs w:val="22"/>
              </w:rPr>
            </w:pPr>
            <w:r w:rsidRPr="00222F9A">
              <w:rPr>
                <w:sz w:val="22"/>
                <w:szCs w:val="22"/>
              </w:rPr>
              <w:t>$167.68</w:t>
            </w:r>
          </w:p>
        </w:tc>
      </w:tr>
      <w:tr w14:paraId="37751F7B" w14:textId="77777777" w:rsidTr="000659AD">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3EC" w:rsidRPr="00251E60" w:rsidP="005E33EC" w14:paraId="0A8C5DB7" w14:textId="583680B2">
            <w:pPr>
              <w:spacing w:after="0"/>
              <w:rPr>
                <w:rFonts w:eastAsia="Times New Roman"/>
                <w:color w:val="000000"/>
                <w:sz w:val="22"/>
                <w:szCs w:val="22"/>
              </w:rPr>
            </w:pPr>
            <w:r w:rsidRPr="00251E60">
              <w:rPr>
                <w:rFonts w:eastAsia="Times New Roman"/>
                <w:color w:val="000000"/>
                <w:sz w:val="22"/>
                <w:szCs w:val="22"/>
              </w:rPr>
              <w:t>General and operations managers (11-1021)</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AD67F6" w:rsidP="005E33EC" w14:paraId="45F3FCAA" w14:textId="3DF403E2">
            <w:pPr>
              <w:spacing w:after="0"/>
              <w:jc w:val="center"/>
              <w:rPr>
                <w:sz w:val="22"/>
                <w:szCs w:val="22"/>
              </w:rPr>
            </w:pPr>
            <w:r w:rsidRPr="00EB6D1B">
              <w:rPr>
                <w:sz w:val="22"/>
                <w:szCs w:val="22"/>
              </w:rPr>
              <w:t>$89.21</w:t>
            </w:r>
          </w:p>
        </w:tc>
        <w:tc>
          <w:tcPr>
            <w:tcW w:w="2248" w:type="dxa"/>
            <w:tcBorders>
              <w:top w:val="single" w:sz="4" w:space="0" w:color="auto"/>
              <w:left w:val="nil"/>
              <w:bottom w:val="single" w:sz="4" w:space="0" w:color="auto"/>
              <w:right w:val="single" w:sz="4" w:space="0" w:color="auto"/>
            </w:tcBorders>
            <w:shd w:val="clear" w:color="auto" w:fill="auto"/>
            <w:noWrap/>
          </w:tcPr>
          <w:p w:rsidR="005E33EC" w:rsidRPr="00AD67F6" w:rsidP="005E33EC" w14:paraId="3C30CEAA" w14:textId="5545B910">
            <w:pPr>
              <w:spacing w:after="0"/>
              <w:jc w:val="center"/>
              <w:rPr>
                <w:sz w:val="22"/>
                <w:szCs w:val="22"/>
              </w:rPr>
            </w:pPr>
            <w:r w:rsidRPr="00EB6D1B">
              <w:rPr>
                <w:sz w:val="22"/>
                <w:szCs w:val="22"/>
              </w:rPr>
              <w:t>$178.42</w:t>
            </w:r>
          </w:p>
        </w:tc>
      </w:tr>
      <w:tr w14:paraId="48A62F5E" w14:textId="77777777" w:rsidTr="000659AD">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3EC" w:rsidRPr="00251E60" w:rsidP="005E33EC" w14:paraId="509E7CFD" w14:textId="0CF3284B">
            <w:pPr>
              <w:spacing w:after="0"/>
              <w:rPr>
                <w:rFonts w:eastAsia="Times New Roman"/>
                <w:color w:val="000000"/>
                <w:sz w:val="22"/>
                <w:szCs w:val="22"/>
              </w:rPr>
            </w:pPr>
            <w:r w:rsidRPr="00A00F5F">
              <w:rPr>
                <w:rFonts w:eastAsia="Times New Roman"/>
                <w:color w:val="000000"/>
                <w:sz w:val="22"/>
                <w:szCs w:val="22"/>
              </w:rPr>
              <w:t xml:space="preserve">Business </w:t>
            </w:r>
            <w:r>
              <w:rPr>
                <w:rFonts w:eastAsia="Times New Roman"/>
                <w:color w:val="000000"/>
                <w:sz w:val="22"/>
                <w:szCs w:val="22"/>
              </w:rPr>
              <w:t>o</w:t>
            </w:r>
            <w:r w:rsidRPr="00A00F5F">
              <w:rPr>
                <w:rFonts w:eastAsia="Times New Roman"/>
                <w:color w:val="000000"/>
                <w:sz w:val="22"/>
                <w:szCs w:val="22"/>
              </w:rPr>
              <w:t xml:space="preserve">perations </w:t>
            </w:r>
            <w:r>
              <w:rPr>
                <w:rFonts w:eastAsia="Times New Roman"/>
                <w:color w:val="000000"/>
                <w:sz w:val="22"/>
                <w:szCs w:val="22"/>
              </w:rPr>
              <w:t>s</w:t>
            </w:r>
            <w:r w:rsidRPr="00A00F5F">
              <w:rPr>
                <w:rFonts w:eastAsia="Times New Roman"/>
                <w:color w:val="000000"/>
                <w:sz w:val="22"/>
                <w:szCs w:val="22"/>
              </w:rPr>
              <w:t>pecialists</w:t>
            </w:r>
            <w:r>
              <w:rPr>
                <w:rFonts w:eastAsia="Times New Roman"/>
                <w:color w:val="000000"/>
                <w:sz w:val="22"/>
                <w:szCs w:val="22"/>
              </w:rPr>
              <w:t xml:space="preserve"> (</w:t>
            </w:r>
            <w:r w:rsidRPr="00A00F5F">
              <w:rPr>
                <w:rFonts w:eastAsia="Times New Roman"/>
                <w:color w:val="000000"/>
                <w:sz w:val="22"/>
                <w:szCs w:val="22"/>
              </w:rPr>
              <w:t>13-1000</w:t>
            </w:r>
            <w:r>
              <w:rPr>
                <w:rFonts w:eastAsia="Times New Roman"/>
                <w:color w:val="000000"/>
                <w:sz w:val="22"/>
                <w:szCs w:val="22"/>
              </w:rPr>
              <w:t>)</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A00F5F" w:rsidP="005E33EC" w14:paraId="6B2DCB2D" w14:textId="675D7725">
            <w:pPr>
              <w:spacing w:after="0"/>
              <w:jc w:val="center"/>
              <w:rPr>
                <w:sz w:val="22"/>
                <w:szCs w:val="22"/>
              </w:rPr>
            </w:pPr>
            <w:r w:rsidRPr="00A00F5F">
              <w:rPr>
                <w:sz w:val="22"/>
                <w:szCs w:val="22"/>
              </w:rPr>
              <w:t>$45.55</w:t>
            </w:r>
          </w:p>
        </w:tc>
        <w:tc>
          <w:tcPr>
            <w:tcW w:w="2248" w:type="dxa"/>
            <w:tcBorders>
              <w:top w:val="single" w:sz="4" w:space="0" w:color="auto"/>
              <w:left w:val="nil"/>
              <w:bottom w:val="single" w:sz="4" w:space="0" w:color="auto"/>
              <w:right w:val="single" w:sz="4" w:space="0" w:color="auto"/>
            </w:tcBorders>
            <w:shd w:val="clear" w:color="auto" w:fill="auto"/>
            <w:noWrap/>
          </w:tcPr>
          <w:p w:rsidR="005E33EC" w:rsidRPr="00A00F5F" w:rsidP="005E33EC" w14:paraId="56D8724F" w14:textId="07B0C599">
            <w:pPr>
              <w:spacing w:after="0"/>
              <w:jc w:val="center"/>
              <w:rPr>
                <w:sz w:val="22"/>
                <w:szCs w:val="22"/>
              </w:rPr>
            </w:pPr>
            <w:r>
              <w:rPr>
                <w:sz w:val="22"/>
                <w:szCs w:val="22"/>
              </w:rPr>
              <w:t>$91.10</w:t>
            </w:r>
          </w:p>
        </w:tc>
      </w:tr>
      <w:tr w14:paraId="55AE3B60" w14:textId="77777777" w:rsidTr="000659AD">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33EC" w:rsidRPr="00A00F5F" w:rsidP="005E33EC" w14:paraId="2A2917F1" w14:textId="23993B6D">
            <w:pPr>
              <w:spacing w:after="0"/>
              <w:rPr>
                <w:rFonts w:eastAsia="Times New Roman"/>
                <w:color w:val="000000"/>
                <w:sz w:val="22"/>
                <w:szCs w:val="22"/>
              </w:rPr>
            </w:pPr>
            <w:r w:rsidRPr="00251E60">
              <w:rPr>
                <w:rFonts w:eastAsia="Times New Roman"/>
                <w:color w:val="000000"/>
                <w:sz w:val="22"/>
                <w:szCs w:val="22"/>
              </w:rPr>
              <w:t>Legal occupations (23-0000)</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A00F5F" w:rsidP="005E33EC" w14:paraId="0588359F" w14:textId="48898AF5">
            <w:pPr>
              <w:spacing w:after="0"/>
              <w:jc w:val="center"/>
              <w:rPr>
                <w:sz w:val="22"/>
                <w:szCs w:val="22"/>
              </w:rPr>
            </w:pPr>
            <w:r w:rsidRPr="00222F9A">
              <w:rPr>
                <w:sz w:val="22"/>
                <w:szCs w:val="22"/>
              </w:rPr>
              <w:t>$94.05</w:t>
            </w:r>
          </w:p>
        </w:tc>
        <w:tc>
          <w:tcPr>
            <w:tcW w:w="2248" w:type="dxa"/>
            <w:tcBorders>
              <w:top w:val="single" w:sz="4" w:space="0" w:color="auto"/>
              <w:left w:val="nil"/>
              <w:bottom w:val="single" w:sz="4" w:space="0" w:color="auto"/>
              <w:right w:val="single" w:sz="4" w:space="0" w:color="auto"/>
            </w:tcBorders>
            <w:shd w:val="clear" w:color="auto" w:fill="auto"/>
            <w:noWrap/>
          </w:tcPr>
          <w:p w:rsidR="005E33EC" w:rsidP="005E33EC" w14:paraId="557DC9A9" w14:textId="5FA4A1FC">
            <w:pPr>
              <w:spacing w:after="0"/>
              <w:jc w:val="center"/>
              <w:rPr>
                <w:sz w:val="22"/>
                <w:szCs w:val="22"/>
              </w:rPr>
            </w:pPr>
            <w:r w:rsidRPr="00222F9A">
              <w:rPr>
                <w:sz w:val="22"/>
                <w:szCs w:val="22"/>
              </w:rPr>
              <w:t>$188.10</w:t>
            </w:r>
          </w:p>
        </w:tc>
      </w:tr>
      <w:tr w14:paraId="7336A3EA" w14:textId="77777777" w:rsidTr="00781282">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33EC" w:rsidRPr="00251E60" w:rsidP="005E33EC" w14:paraId="4BB7C4AB" w14:textId="49E7173D">
            <w:pPr>
              <w:spacing w:after="0"/>
              <w:rPr>
                <w:rFonts w:eastAsia="Times New Roman"/>
                <w:color w:val="000000"/>
                <w:sz w:val="22"/>
                <w:szCs w:val="22"/>
              </w:rPr>
            </w:pPr>
            <w:r w:rsidRPr="00251E60">
              <w:rPr>
                <w:rFonts w:eastAsia="Times New Roman"/>
                <w:color w:val="000000"/>
                <w:sz w:val="22"/>
                <w:szCs w:val="22"/>
              </w:rPr>
              <w:t>Veterinarians (29-1131)</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222F9A" w:rsidP="005E33EC" w14:paraId="6400B2D4" w14:textId="41735F12">
            <w:pPr>
              <w:spacing w:after="0"/>
              <w:jc w:val="center"/>
              <w:rPr>
                <w:sz w:val="22"/>
                <w:szCs w:val="22"/>
              </w:rPr>
            </w:pPr>
            <w:r w:rsidRPr="00222F9A">
              <w:rPr>
                <w:sz w:val="22"/>
                <w:szCs w:val="22"/>
              </w:rPr>
              <w:t>$50.02</w:t>
            </w:r>
          </w:p>
        </w:tc>
        <w:tc>
          <w:tcPr>
            <w:tcW w:w="2248" w:type="dxa"/>
            <w:tcBorders>
              <w:top w:val="single" w:sz="4" w:space="0" w:color="auto"/>
              <w:left w:val="nil"/>
              <w:bottom w:val="single" w:sz="4" w:space="0" w:color="auto"/>
              <w:right w:val="single" w:sz="4" w:space="0" w:color="auto"/>
            </w:tcBorders>
            <w:shd w:val="clear" w:color="auto" w:fill="auto"/>
            <w:noWrap/>
          </w:tcPr>
          <w:p w:rsidR="005E33EC" w:rsidRPr="00222F9A" w:rsidP="005E33EC" w14:paraId="09D95FA3" w14:textId="0212FC33">
            <w:pPr>
              <w:spacing w:after="0"/>
              <w:jc w:val="center"/>
              <w:rPr>
                <w:sz w:val="22"/>
                <w:szCs w:val="22"/>
              </w:rPr>
            </w:pPr>
            <w:r w:rsidRPr="00222F9A">
              <w:rPr>
                <w:sz w:val="22"/>
                <w:szCs w:val="22"/>
              </w:rPr>
              <w:t>$100.04</w:t>
            </w:r>
          </w:p>
        </w:tc>
      </w:tr>
      <w:tr w14:paraId="0011A6B6" w14:textId="77777777" w:rsidTr="000659AD">
        <w:tblPrEx>
          <w:tblW w:w="5000" w:type="pct"/>
          <w:tblLayout w:type="fixed"/>
          <w:tblLook w:val="04A0"/>
        </w:tblPrEx>
        <w:trPr>
          <w:trHeight w:val="20"/>
        </w:trPr>
        <w:tc>
          <w:tcPr>
            <w:tcW w:w="4855" w:type="dxa"/>
            <w:tcBorders>
              <w:top w:val="nil"/>
              <w:left w:val="single" w:sz="4" w:space="0" w:color="auto"/>
              <w:bottom w:val="single" w:sz="4" w:space="0" w:color="auto"/>
              <w:right w:val="single" w:sz="4" w:space="0" w:color="auto"/>
            </w:tcBorders>
            <w:shd w:val="clear" w:color="auto" w:fill="auto"/>
            <w:noWrap/>
            <w:vAlign w:val="center"/>
          </w:tcPr>
          <w:p w:rsidR="005E33EC" w:rsidRPr="00251E60" w:rsidP="005E33EC" w14:paraId="3B430467" w14:textId="5E7E02F5">
            <w:pPr>
              <w:spacing w:after="0"/>
              <w:rPr>
                <w:rFonts w:eastAsia="Times New Roman"/>
                <w:color w:val="000000"/>
                <w:sz w:val="22"/>
                <w:szCs w:val="22"/>
              </w:rPr>
            </w:pPr>
            <w:r w:rsidRPr="00251E60">
              <w:rPr>
                <w:rFonts w:eastAsia="Times New Roman"/>
                <w:color w:val="000000"/>
                <w:sz w:val="22"/>
                <w:szCs w:val="22"/>
              </w:rPr>
              <w:t>First-line supervisors of production and operating worker (33-1039)</w:t>
            </w:r>
          </w:p>
        </w:tc>
        <w:tc>
          <w:tcPr>
            <w:tcW w:w="2247" w:type="dxa"/>
            <w:tcBorders>
              <w:top w:val="nil"/>
              <w:left w:val="single" w:sz="4" w:space="0" w:color="auto"/>
              <w:bottom w:val="single" w:sz="4" w:space="0" w:color="auto"/>
              <w:right w:val="single" w:sz="4" w:space="0" w:color="auto"/>
            </w:tcBorders>
            <w:shd w:val="clear" w:color="000000" w:fill="FFFFFF"/>
            <w:noWrap/>
            <w:vAlign w:val="center"/>
          </w:tcPr>
          <w:p w:rsidR="005E33EC" w:rsidRPr="00254357" w:rsidP="005E33EC" w14:paraId="150CB458" w14:textId="23446C90">
            <w:pPr>
              <w:spacing w:after="0"/>
              <w:jc w:val="center"/>
              <w:rPr>
                <w:rFonts w:eastAsia="Times New Roman"/>
                <w:color w:val="000000"/>
                <w:sz w:val="22"/>
                <w:szCs w:val="22"/>
              </w:rPr>
            </w:pPr>
            <w:r w:rsidRPr="00EB6D1B">
              <w:rPr>
                <w:sz w:val="22"/>
                <w:szCs w:val="22"/>
              </w:rPr>
              <w:t>$37.72</w:t>
            </w:r>
          </w:p>
        </w:tc>
        <w:tc>
          <w:tcPr>
            <w:tcW w:w="2248" w:type="dxa"/>
            <w:tcBorders>
              <w:top w:val="nil"/>
              <w:left w:val="nil"/>
              <w:bottom w:val="single" w:sz="4" w:space="0" w:color="auto"/>
              <w:right w:val="single" w:sz="4" w:space="0" w:color="auto"/>
            </w:tcBorders>
            <w:shd w:val="clear" w:color="auto" w:fill="auto"/>
            <w:noWrap/>
            <w:vAlign w:val="center"/>
          </w:tcPr>
          <w:p w:rsidR="005E33EC" w:rsidRPr="00254357" w:rsidP="005E33EC" w14:paraId="236F4E0A" w14:textId="130597F2">
            <w:pPr>
              <w:spacing w:after="0"/>
              <w:jc w:val="center"/>
              <w:rPr>
                <w:rFonts w:eastAsia="Times New Roman"/>
                <w:color w:val="000000"/>
                <w:sz w:val="22"/>
                <w:szCs w:val="22"/>
              </w:rPr>
            </w:pPr>
            <w:r w:rsidRPr="00EB6D1B">
              <w:rPr>
                <w:sz w:val="22"/>
                <w:szCs w:val="22"/>
              </w:rPr>
              <w:t>$</w:t>
            </w:r>
            <w:r>
              <w:rPr>
                <w:color w:val="000000"/>
                <w:sz w:val="22"/>
                <w:szCs w:val="22"/>
              </w:rPr>
              <w:t>75.44</w:t>
            </w:r>
          </w:p>
        </w:tc>
      </w:tr>
      <w:tr w14:paraId="4A86F9C6" w14:textId="77777777" w:rsidTr="000659AD">
        <w:tblPrEx>
          <w:tblW w:w="5000" w:type="pct"/>
          <w:tblLayout w:type="fixed"/>
          <w:tblLook w:val="04A0"/>
        </w:tblPrEx>
        <w:trPr>
          <w:trHeight w:val="20"/>
        </w:trPr>
        <w:tc>
          <w:tcPr>
            <w:tcW w:w="4855" w:type="dxa"/>
            <w:tcBorders>
              <w:top w:val="nil"/>
              <w:left w:val="single" w:sz="4" w:space="0" w:color="auto"/>
              <w:bottom w:val="single" w:sz="4" w:space="0" w:color="auto"/>
              <w:right w:val="single" w:sz="4" w:space="0" w:color="auto"/>
            </w:tcBorders>
            <w:shd w:val="clear" w:color="auto" w:fill="auto"/>
            <w:noWrap/>
            <w:vAlign w:val="center"/>
          </w:tcPr>
          <w:p w:rsidR="005E33EC" w:rsidRPr="00251E60" w:rsidP="005E33EC" w14:paraId="403535C3" w14:textId="7D286D0F">
            <w:pPr>
              <w:spacing w:after="0"/>
              <w:rPr>
                <w:rFonts w:eastAsia="Times New Roman"/>
                <w:color w:val="000000"/>
                <w:sz w:val="22"/>
                <w:szCs w:val="22"/>
              </w:rPr>
            </w:pPr>
            <w:r w:rsidRPr="00251E60">
              <w:rPr>
                <w:rFonts w:eastAsia="Times New Roman"/>
                <w:color w:val="000000"/>
                <w:sz w:val="22"/>
                <w:szCs w:val="22"/>
              </w:rPr>
              <w:t>File clerk (43-4071)</w:t>
            </w:r>
          </w:p>
        </w:tc>
        <w:tc>
          <w:tcPr>
            <w:tcW w:w="2247" w:type="dxa"/>
            <w:tcBorders>
              <w:top w:val="nil"/>
              <w:left w:val="single" w:sz="4" w:space="0" w:color="auto"/>
              <w:bottom w:val="single" w:sz="4" w:space="0" w:color="auto"/>
              <w:right w:val="single" w:sz="4" w:space="0" w:color="auto"/>
            </w:tcBorders>
            <w:shd w:val="clear" w:color="000000" w:fill="FFFFFF"/>
            <w:noWrap/>
          </w:tcPr>
          <w:p w:rsidR="005E33EC" w:rsidRPr="00254357" w:rsidP="005E33EC" w14:paraId="545C42AC" w14:textId="12ECE518">
            <w:pPr>
              <w:spacing w:after="0"/>
              <w:jc w:val="center"/>
              <w:rPr>
                <w:rFonts w:eastAsia="Times New Roman"/>
                <w:color w:val="000000"/>
                <w:sz w:val="22"/>
                <w:szCs w:val="22"/>
              </w:rPr>
            </w:pPr>
            <w:r w:rsidRPr="00EB6D1B">
              <w:rPr>
                <w:sz w:val="22"/>
                <w:szCs w:val="22"/>
              </w:rPr>
              <w:t>$23.66</w:t>
            </w:r>
          </w:p>
        </w:tc>
        <w:tc>
          <w:tcPr>
            <w:tcW w:w="2248" w:type="dxa"/>
            <w:tcBorders>
              <w:top w:val="nil"/>
              <w:left w:val="nil"/>
              <w:bottom w:val="single" w:sz="4" w:space="0" w:color="auto"/>
              <w:right w:val="single" w:sz="4" w:space="0" w:color="auto"/>
            </w:tcBorders>
            <w:shd w:val="clear" w:color="auto" w:fill="auto"/>
            <w:noWrap/>
          </w:tcPr>
          <w:p w:rsidR="005E33EC" w:rsidRPr="00254357" w:rsidP="005E33EC" w14:paraId="727696E0" w14:textId="251D7AF3">
            <w:pPr>
              <w:spacing w:after="0"/>
              <w:jc w:val="center"/>
              <w:rPr>
                <w:rFonts w:eastAsia="Times New Roman"/>
                <w:color w:val="000000"/>
                <w:sz w:val="22"/>
                <w:szCs w:val="22"/>
              </w:rPr>
            </w:pPr>
            <w:r w:rsidRPr="00EB6D1B">
              <w:rPr>
                <w:sz w:val="22"/>
                <w:szCs w:val="22"/>
              </w:rPr>
              <w:t>$47.32</w:t>
            </w:r>
          </w:p>
        </w:tc>
      </w:tr>
      <w:tr w14:paraId="6387C225" w14:textId="77777777" w:rsidTr="000659AD">
        <w:tblPrEx>
          <w:tblW w:w="5000" w:type="pct"/>
          <w:tblLayout w:type="fixed"/>
          <w:tblLook w:val="04A0"/>
        </w:tblPrEx>
        <w:trPr>
          <w:trHeight w:val="20"/>
        </w:trPr>
        <w:tc>
          <w:tcPr>
            <w:tcW w:w="4855" w:type="dxa"/>
            <w:tcBorders>
              <w:top w:val="nil"/>
              <w:left w:val="single" w:sz="4" w:space="0" w:color="auto"/>
              <w:bottom w:val="single" w:sz="4" w:space="0" w:color="auto"/>
              <w:right w:val="single" w:sz="4" w:space="0" w:color="auto"/>
            </w:tcBorders>
            <w:shd w:val="clear" w:color="auto" w:fill="auto"/>
            <w:noWrap/>
            <w:vAlign w:val="center"/>
          </w:tcPr>
          <w:p w:rsidR="005E33EC" w:rsidRPr="00251E60" w:rsidP="005E33EC" w14:paraId="3728F812" w14:textId="77027CB6">
            <w:pPr>
              <w:spacing w:after="0"/>
              <w:rPr>
                <w:rFonts w:eastAsia="Times New Roman"/>
                <w:color w:val="000000"/>
                <w:sz w:val="22"/>
                <w:szCs w:val="22"/>
              </w:rPr>
            </w:pPr>
            <w:r w:rsidRPr="00251E60">
              <w:rPr>
                <w:rFonts w:eastAsia="Times New Roman"/>
                <w:color w:val="000000"/>
                <w:sz w:val="22"/>
                <w:szCs w:val="22"/>
              </w:rPr>
              <w:t>Plant and system operators (51-8000)</w:t>
            </w:r>
          </w:p>
        </w:tc>
        <w:tc>
          <w:tcPr>
            <w:tcW w:w="2247" w:type="dxa"/>
            <w:tcBorders>
              <w:top w:val="nil"/>
              <w:left w:val="single" w:sz="4" w:space="0" w:color="auto"/>
              <w:bottom w:val="single" w:sz="4" w:space="0" w:color="auto"/>
              <w:right w:val="single" w:sz="4" w:space="0" w:color="auto"/>
            </w:tcBorders>
            <w:shd w:val="clear" w:color="000000" w:fill="FFFFFF"/>
            <w:noWrap/>
          </w:tcPr>
          <w:p w:rsidR="005E33EC" w:rsidRPr="00254357" w:rsidP="005E33EC" w14:paraId="39C1ADE5" w14:textId="35775A6A">
            <w:pPr>
              <w:spacing w:after="0"/>
              <w:jc w:val="center"/>
              <w:rPr>
                <w:rFonts w:eastAsia="Times New Roman"/>
                <w:color w:val="000000"/>
                <w:sz w:val="22"/>
                <w:szCs w:val="22"/>
              </w:rPr>
            </w:pPr>
            <w:r w:rsidRPr="00EB6D1B">
              <w:rPr>
                <w:sz w:val="22"/>
                <w:szCs w:val="22"/>
              </w:rPr>
              <w:t>$27.80</w:t>
            </w:r>
          </w:p>
        </w:tc>
        <w:tc>
          <w:tcPr>
            <w:tcW w:w="2248" w:type="dxa"/>
            <w:tcBorders>
              <w:top w:val="nil"/>
              <w:left w:val="nil"/>
              <w:bottom w:val="single" w:sz="4" w:space="0" w:color="auto"/>
              <w:right w:val="single" w:sz="4" w:space="0" w:color="auto"/>
            </w:tcBorders>
            <w:shd w:val="clear" w:color="auto" w:fill="auto"/>
            <w:noWrap/>
          </w:tcPr>
          <w:p w:rsidR="005E33EC" w:rsidRPr="00254357" w:rsidP="005E33EC" w14:paraId="5638FE7C" w14:textId="3ED45792">
            <w:pPr>
              <w:spacing w:after="0"/>
              <w:jc w:val="center"/>
              <w:rPr>
                <w:rFonts w:eastAsia="Times New Roman"/>
                <w:color w:val="000000"/>
                <w:sz w:val="22"/>
                <w:szCs w:val="22"/>
              </w:rPr>
            </w:pPr>
            <w:r w:rsidRPr="00EB6D1B">
              <w:rPr>
                <w:sz w:val="22"/>
                <w:szCs w:val="22"/>
              </w:rPr>
              <w:t>$55.60</w:t>
            </w:r>
          </w:p>
        </w:tc>
      </w:tr>
      <w:tr w14:paraId="66FB3955" w14:textId="77777777" w:rsidTr="000659AD">
        <w:tblPrEx>
          <w:tblW w:w="5000" w:type="pct"/>
          <w:tblLayout w:type="fixed"/>
          <w:tblLook w:val="04A0"/>
        </w:tblPrEx>
        <w:trPr>
          <w:trHeight w:val="2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3EC" w:rsidRPr="00251E60" w:rsidP="005E33EC" w14:paraId="6A30033E" w14:textId="73304551">
            <w:pPr>
              <w:spacing w:after="0"/>
              <w:rPr>
                <w:rFonts w:eastAsia="Times New Roman"/>
                <w:color w:val="000000"/>
                <w:sz w:val="22"/>
                <w:szCs w:val="22"/>
              </w:rPr>
            </w:pPr>
            <w:r w:rsidRPr="00251E60">
              <w:rPr>
                <w:rFonts w:eastAsia="Times New Roman"/>
                <w:color w:val="000000"/>
                <w:sz w:val="22"/>
                <w:szCs w:val="22"/>
              </w:rPr>
              <w:t>Helpers—Production workers (51-9198)</w:t>
            </w:r>
          </w:p>
        </w:tc>
        <w:tc>
          <w:tcPr>
            <w:tcW w:w="2247" w:type="dxa"/>
            <w:tcBorders>
              <w:top w:val="single" w:sz="4" w:space="0" w:color="auto"/>
              <w:left w:val="single" w:sz="4" w:space="0" w:color="auto"/>
              <w:bottom w:val="single" w:sz="4" w:space="0" w:color="auto"/>
              <w:right w:val="single" w:sz="4" w:space="0" w:color="auto"/>
            </w:tcBorders>
            <w:shd w:val="clear" w:color="000000" w:fill="FFFFFF"/>
            <w:noWrap/>
          </w:tcPr>
          <w:p w:rsidR="005E33EC" w:rsidRPr="00254357" w:rsidP="005E33EC" w14:paraId="4EF960C0" w14:textId="1DE026FE">
            <w:pPr>
              <w:spacing w:after="0"/>
              <w:jc w:val="center"/>
              <w:rPr>
                <w:rFonts w:eastAsia="Times New Roman"/>
                <w:color w:val="000000"/>
                <w:sz w:val="22"/>
                <w:szCs w:val="22"/>
              </w:rPr>
            </w:pPr>
            <w:r w:rsidRPr="00EB6D1B">
              <w:rPr>
                <w:sz w:val="22"/>
                <w:szCs w:val="22"/>
              </w:rPr>
              <w:t>$18.51</w:t>
            </w:r>
          </w:p>
        </w:tc>
        <w:tc>
          <w:tcPr>
            <w:tcW w:w="2248" w:type="dxa"/>
            <w:tcBorders>
              <w:top w:val="single" w:sz="4" w:space="0" w:color="auto"/>
              <w:left w:val="nil"/>
              <w:bottom w:val="single" w:sz="4" w:space="0" w:color="auto"/>
              <w:right w:val="single" w:sz="4" w:space="0" w:color="auto"/>
            </w:tcBorders>
            <w:shd w:val="clear" w:color="auto" w:fill="auto"/>
            <w:noWrap/>
          </w:tcPr>
          <w:p w:rsidR="005E33EC" w:rsidRPr="00254357" w:rsidP="005E33EC" w14:paraId="50018FEC" w14:textId="3B44ADC6">
            <w:pPr>
              <w:spacing w:after="0"/>
              <w:jc w:val="center"/>
              <w:rPr>
                <w:rFonts w:eastAsia="Times New Roman"/>
                <w:color w:val="000000"/>
                <w:sz w:val="22"/>
                <w:szCs w:val="22"/>
              </w:rPr>
            </w:pPr>
            <w:r w:rsidRPr="00EB6D1B">
              <w:rPr>
                <w:sz w:val="22"/>
                <w:szCs w:val="22"/>
              </w:rPr>
              <w:t>$37.02</w:t>
            </w:r>
          </w:p>
        </w:tc>
      </w:tr>
    </w:tbl>
    <w:p w:rsidR="007432B9" w:rsidRPr="00714FC0" w:rsidP="00D92EF4" w14:paraId="21984B2D" w14:textId="1EA8C82D">
      <w:pPr>
        <w:spacing w:after="0"/>
        <w:rPr>
          <w:sz w:val="20"/>
          <w:szCs w:val="20"/>
        </w:rPr>
        <w:sectPr>
          <w:headerReference w:type="default" r:id="rId9"/>
          <w:footerReference w:type="default" r:id="rId10"/>
          <w:pgSz w:w="12240" w:h="15840"/>
          <w:pgMar w:top="1440" w:right="1440" w:bottom="1440" w:left="1440" w:header="720" w:footer="720" w:gutter="0"/>
          <w:cols w:space="720"/>
          <w:docGrid w:linePitch="360"/>
        </w:sectPr>
      </w:pPr>
      <w:r w:rsidRPr="00714FC0">
        <w:rPr>
          <w:sz w:val="20"/>
          <w:szCs w:val="20"/>
        </w:rPr>
        <w:t xml:space="preserve">Note: The six-digit code for each Bureau of Labor Statistics Employee Type is the Standard Occupation Classification System (SOC). A list of SOC codes can be found here: </w:t>
      </w:r>
      <w:hyperlink r:id="rId11" w:history="1">
        <w:r w:rsidRPr="0019699B" w:rsidR="00AC4297">
          <w:rPr>
            <w:rStyle w:val="Hyperlink"/>
            <w:sz w:val="20"/>
            <w:szCs w:val="20"/>
          </w:rPr>
          <w:t>https://www.bls.gov/oes/2022/may/naics4_325400.htm</w:t>
        </w:r>
      </w:hyperlink>
      <w:r w:rsidR="00AC4297">
        <w:rPr>
          <w:sz w:val="20"/>
          <w:szCs w:val="20"/>
        </w:rPr>
        <w:t xml:space="preserve">  </w:t>
      </w:r>
    </w:p>
    <w:p w:rsidR="003D2438" w:rsidP="00EB367D" w14:paraId="62C67F34" w14:textId="77777777"/>
    <w:p w:rsidR="007122EF" w:rsidRPr="00465193" w:rsidP="001B3D82" w14:paraId="5F8A09D0" w14:textId="633625C0">
      <w:pPr>
        <w:pStyle w:val="Caption"/>
        <w:rPr>
          <w:b/>
        </w:rPr>
      </w:pPr>
      <w:bookmarkStart w:id="39" w:name="_Ref36641560"/>
      <w:bookmarkStart w:id="40" w:name="_Toc147238748"/>
      <w:r w:rsidRPr="00465193">
        <w:rPr>
          <w:b/>
        </w:rPr>
        <w:t xml:space="preserve">Table </w:t>
      </w:r>
      <w:r w:rsidRPr="00465193">
        <w:rPr>
          <w:b/>
        </w:rPr>
        <w:fldChar w:fldCharType="begin"/>
      </w:r>
      <w:r w:rsidRPr="00465193">
        <w:rPr>
          <w:b/>
        </w:rPr>
        <w:instrText xml:space="preserve"> SEQ Table \* ARABIC </w:instrText>
      </w:r>
      <w:r w:rsidRPr="00465193">
        <w:rPr>
          <w:b/>
        </w:rPr>
        <w:fldChar w:fldCharType="separate"/>
      </w:r>
      <w:r w:rsidR="00D36765">
        <w:rPr>
          <w:b/>
          <w:noProof/>
        </w:rPr>
        <w:t>4</w:t>
      </w:r>
      <w:r w:rsidRPr="00465193">
        <w:rPr>
          <w:b/>
        </w:rPr>
        <w:fldChar w:fldCharType="end"/>
      </w:r>
      <w:bookmarkEnd w:id="39"/>
      <w:r w:rsidRPr="00465193">
        <w:rPr>
          <w:b/>
        </w:rPr>
        <w:t>. Facility Count (ERG Table</w:t>
      </w:r>
      <w:r w:rsidRPr="00465193" w:rsidR="00E63E32">
        <w:rPr>
          <w:b/>
        </w:rPr>
        <w:t xml:space="preserve"> 2-26)</w:t>
      </w:r>
      <w:bookmarkEnd w:id="40"/>
      <w:r w:rsidRPr="00465193">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997"/>
        <w:gridCol w:w="997"/>
        <w:gridCol w:w="997"/>
        <w:gridCol w:w="816"/>
        <w:gridCol w:w="997"/>
        <w:gridCol w:w="997"/>
        <w:gridCol w:w="997"/>
        <w:gridCol w:w="906"/>
        <w:gridCol w:w="906"/>
        <w:gridCol w:w="906"/>
        <w:gridCol w:w="906"/>
        <w:gridCol w:w="816"/>
      </w:tblGrid>
      <w:tr w14:paraId="4B6571DF" w14:textId="77777777" w:rsidTr="00246EC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1700" w:type="dxa"/>
            <w:vMerge w:val="restart"/>
            <w:shd w:val="clear" w:color="auto" w:fill="D9D9D9" w:themeFill="background1" w:themeFillShade="D9"/>
            <w:vAlign w:val="center"/>
            <w:hideMark/>
          </w:tcPr>
          <w:p w:rsidR="007122EF" w:rsidRPr="00F70002" w:rsidP="007122EF" w14:paraId="304C485A" w14:textId="77777777">
            <w:pPr>
              <w:spacing w:after="0"/>
              <w:rPr>
                <w:rFonts w:eastAsia="Times New Roman"/>
                <w:b/>
                <w:bCs/>
                <w:color w:val="000000"/>
                <w:sz w:val="22"/>
                <w:szCs w:val="22"/>
              </w:rPr>
            </w:pPr>
            <w:r w:rsidRPr="00F70002">
              <w:rPr>
                <w:rFonts w:eastAsia="Times New Roman"/>
                <w:b/>
                <w:bCs/>
                <w:color w:val="000000"/>
                <w:sz w:val="22"/>
                <w:szCs w:val="22"/>
              </w:rPr>
              <w:t>Entity</w:t>
            </w:r>
          </w:p>
        </w:tc>
        <w:tc>
          <w:tcPr>
            <w:tcW w:w="2970" w:type="dxa"/>
            <w:gridSpan w:val="3"/>
            <w:shd w:val="clear" w:color="auto" w:fill="D9D9D9" w:themeFill="background1" w:themeFillShade="D9"/>
            <w:vAlign w:val="center"/>
            <w:hideMark/>
          </w:tcPr>
          <w:p w:rsidR="007122EF" w:rsidRPr="00F70002" w:rsidP="007122EF" w14:paraId="79806CEC" w14:textId="77777777">
            <w:pPr>
              <w:spacing w:after="0"/>
              <w:jc w:val="center"/>
              <w:rPr>
                <w:rFonts w:eastAsia="Times New Roman"/>
                <w:b/>
                <w:bCs/>
                <w:color w:val="000000"/>
                <w:sz w:val="22"/>
                <w:szCs w:val="22"/>
              </w:rPr>
            </w:pPr>
            <w:r w:rsidRPr="00F70002">
              <w:rPr>
                <w:rFonts w:eastAsia="Times New Roman"/>
                <w:b/>
                <w:bCs/>
                <w:color w:val="000000"/>
                <w:sz w:val="22"/>
                <w:szCs w:val="22"/>
              </w:rPr>
              <w:t>Original Manufacturers</w:t>
            </w:r>
          </w:p>
        </w:tc>
        <w:tc>
          <w:tcPr>
            <w:tcW w:w="2790" w:type="dxa"/>
            <w:gridSpan w:val="3"/>
            <w:shd w:val="clear" w:color="auto" w:fill="D9D9D9" w:themeFill="background1" w:themeFillShade="D9"/>
            <w:vAlign w:val="center"/>
            <w:hideMark/>
          </w:tcPr>
          <w:p w:rsidR="007122EF" w:rsidRPr="00F70002" w:rsidP="007122EF" w14:paraId="4EDF9DD5" w14:textId="77777777">
            <w:pPr>
              <w:spacing w:after="0"/>
              <w:jc w:val="center"/>
              <w:rPr>
                <w:rFonts w:eastAsia="Times New Roman"/>
                <w:b/>
                <w:bCs/>
                <w:color w:val="000000"/>
                <w:sz w:val="22"/>
                <w:szCs w:val="22"/>
              </w:rPr>
            </w:pPr>
            <w:r w:rsidRPr="00F70002">
              <w:rPr>
                <w:rFonts w:eastAsia="Times New Roman"/>
                <w:b/>
                <w:bCs/>
                <w:color w:val="000000"/>
                <w:sz w:val="22"/>
                <w:szCs w:val="22"/>
              </w:rPr>
              <w:t>Downstream Persons and Entities (Not Engaged in Homecare)</w:t>
            </w:r>
          </w:p>
        </w:tc>
        <w:tc>
          <w:tcPr>
            <w:tcW w:w="2790" w:type="dxa"/>
            <w:gridSpan w:val="3"/>
            <w:shd w:val="clear" w:color="auto" w:fill="D9D9D9" w:themeFill="background1" w:themeFillShade="D9"/>
            <w:vAlign w:val="center"/>
            <w:hideMark/>
          </w:tcPr>
          <w:p w:rsidR="007122EF" w:rsidRPr="00F70002" w:rsidP="007122EF" w14:paraId="73B6D735" w14:textId="77777777">
            <w:pPr>
              <w:spacing w:after="0"/>
              <w:jc w:val="center"/>
              <w:rPr>
                <w:rFonts w:eastAsia="Times New Roman"/>
                <w:b/>
                <w:bCs/>
                <w:color w:val="000000"/>
                <w:sz w:val="22"/>
                <w:szCs w:val="22"/>
              </w:rPr>
            </w:pPr>
            <w:r w:rsidRPr="00F70002">
              <w:rPr>
                <w:rFonts w:eastAsia="Times New Roman"/>
                <w:b/>
                <w:bCs/>
                <w:color w:val="000000"/>
                <w:sz w:val="22"/>
                <w:szCs w:val="22"/>
              </w:rPr>
              <w:t>Downstream Persons and Entities (Engaged in Homecare)</w:t>
            </w:r>
          </w:p>
        </w:tc>
        <w:tc>
          <w:tcPr>
            <w:tcW w:w="2610" w:type="dxa"/>
            <w:gridSpan w:val="3"/>
            <w:shd w:val="clear" w:color="auto" w:fill="D9D9D9" w:themeFill="background1" w:themeFillShade="D9"/>
            <w:vAlign w:val="center"/>
            <w:hideMark/>
          </w:tcPr>
          <w:p w:rsidR="007122EF" w:rsidRPr="00F70002" w:rsidP="007122EF" w14:paraId="486AFC7F" w14:textId="77777777">
            <w:pPr>
              <w:spacing w:after="0"/>
              <w:jc w:val="center"/>
              <w:rPr>
                <w:rFonts w:eastAsia="Times New Roman"/>
                <w:b/>
                <w:bCs/>
                <w:color w:val="000000"/>
                <w:sz w:val="22"/>
                <w:szCs w:val="22"/>
              </w:rPr>
            </w:pPr>
            <w:r w:rsidRPr="00F70002">
              <w:rPr>
                <w:rFonts w:eastAsia="Times New Roman"/>
                <w:b/>
                <w:bCs/>
                <w:color w:val="000000"/>
                <w:sz w:val="22"/>
                <w:szCs w:val="22"/>
              </w:rPr>
              <w:t>Total</w:t>
            </w:r>
          </w:p>
        </w:tc>
      </w:tr>
      <w:tr w14:paraId="207D2829" w14:textId="77777777" w:rsidTr="00246ECD">
        <w:tblPrEx>
          <w:tblW w:w="5000" w:type="pct"/>
          <w:tblLayout w:type="fixed"/>
          <w:tblLook w:val="04A0"/>
        </w:tblPrEx>
        <w:trPr>
          <w:trHeight w:val="300"/>
        </w:trPr>
        <w:tc>
          <w:tcPr>
            <w:tcW w:w="1700" w:type="dxa"/>
            <w:vMerge/>
            <w:shd w:val="clear" w:color="auto" w:fill="D9D9D9" w:themeFill="background1" w:themeFillShade="D9"/>
            <w:vAlign w:val="center"/>
            <w:hideMark/>
          </w:tcPr>
          <w:p w:rsidR="007122EF" w:rsidRPr="00F70002" w:rsidP="007122EF" w14:paraId="0DCE5AC5" w14:textId="77777777">
            <w:pPr>
              <w:spacing w:after="0"/>
              <w:rPr>
                <w:rFonts w:eastAsia="Times New Roman"/>
                <w:b/>
                <w:bCs/>
                <w:color w:val="000000"/>
                <w:sz w:val="22"/>
                <w:szCs w:val="22"/>
              </w:rPr>
            </w:pPr>
          </w:p>
        </w:tc>
        <w:tc>
          <w:tcPr>
            <w:tcW w:w="990" w:type="dxa"/>
            <w:shd w:val="clear" w:color="auto" w:fill="D9D9D9" w:themeFill="background1" w:themeFillShade="D9"/>
            <w:vAlign w:val="center"/>
            <w:hideMark/>
          </w:tcPr>
          <w:p w:rsidR="007122EF" w:rsidRPr="00F70002" w:rsidP="007122EF" w14:paraId="407CFA7A" w14:textId="77777777">
            <w:pPr>
              <w:spacing w:after="0"/>
              <w:jc w:val="center"/>
              <w:rPr>
                <w:rFonts w:eastAsia="Times New Roman"/>
                <w:b/>
                <w:bCs/>
                <w:color w:val="000000"/>
                <w:sz w:val="22"/>
                <w:szCs w:val="22"/>
              </w:rPr>
            </w:pPr>
            <w:r w:rsidRPr="00F70002">
              <w:rPr>
                <w:rFonts w:eastAsia="Times New Roman"/>
                <w:b/>
                <w:bCs/>
                <w:color w:val="000000"/>
                <w:sz w:val="22"/>
                <w:szCs w:val="22"/>
              </w:rPr>
              <w:t>Small</w:t>
            </w:r>
          </w:p>
        </w:tc>
        <w:tc>
          <w:tcPr>
            <w:tcW w:w="990" w:type="dxa"/>
            <w:shd w:val="clear" w:color="auto" w:fill="D9D9D9" w:themeFill="background1" w:themeFillShade="D9"/>
            <w:vAlign w:val="center"/>
            <w:hideMark/>
          </w:tcPr>
          <w:p w:rsidR="007122EF" w:rsidRPr="00F70002" w:rsidP="007122EF" w14:paraId="15A1FC08" w14:textId="77777777">
            <w:pPr>
              <w:spacing w:after="0"/>
              <w:jc w:val="center"/>
              <w:rPr>
                <w:rFonts w:eastAsia="Times New Roman"/>
                <w:b/>
                <w:bCs/>
                <w:color w:val="000000"/>
                <w:sz w:val="22"/>
                <w:szCs w:val="22"/>
              </w:rPr>
            </w:pPr>
            <w:r w:rsidRPr="00F70002">
              <w:rPr>
                <w:rFonts w:eastAsia="Times New Roman"/>
                <w:b/>
                <w:bCs/>
                <w:color w:val="000000"/>
                <w:sz w:val="22"/>
                <w:szCs w:val="22"/>
              </w:rPr>
              <w:t>Large</w:t>
            </w:r>
          </w:p>
        </w:tc>
        <w:tc>
          <w:tcPr>
            <w:tcW w:w="990" w:type="dxa"/>
            <w:shd w:val="clear" w:color="auto" w:fill="D9D9D9" w:themeFill="background1" w:themeFillShade="D9"/>
            <w:vAlign w:val="center"/>
            <w:hideMark/>
          </w:tcPr>
          <w:p w:rsidR="007122EF" w:rsidRPr="00F70002" w:rsidP="007122EF" w14:paraId="024E6CFE" w14:textId="77777777">
            <w:pPr>
              <w:spacing w:after="0"/>
              <w:jc w:val="center"/>
              <w:rPr>
                <w:rFonts w:eastAsia="Times New Roman"/>
                <w:b/>
                <w:bCs/>
                <w:color w:val="000000"/>
                <w:sz w:val="22"/>
                <w:szCs w:val="22"/>
              </w:rPr>
            </w:pPr>
            <w:r w:rsidRPr="00F70002">
              <w:rPr>
                <w:rFonts w:eastAsia="Times New Roman"/>
                <w:b/>
                <w:bCs/>
                <w:color w:val="000000"/>
                <w:sz w:val="22"/>
                <w:szCs w:val="22"/>
              </w:rPr>
              <w:t>All</w:t>
            </w:r>
          </w:p>
        </w:tc>
        <w:tc>
          <w:tcPr>
            <w:tcW w:w="810" w:type="dxa"/>
            <w:shd w:val="clear" w:color="auto" w:fill="D9D9D9" w:themeFill="background1" w:themeFillShade="D9"/>
            <w:vAlign w:val="center"/>
            <w:hideMark/>
          </w:tcPr>
          <w:p w:rsidR="007122EF" w:rsidRPr="00F70002" w:rsidP="007122EF" w14:paraId="15B7F496" w14:textId="77777777">
            <w:pPr>
              <w:spacing w:after="0"/>
              <w:jc w:val="center"/>
              <w:rPr>
                <w:rFonts w:eastAsia="Times New Roman"/>
                <w:b/>
                <w:bCs/>
                <w:color w:val="000000"/>
                <w:sz w:val="22"/>
                <w:szCs w:val="22"/>
              </w:rPr>
            </w:pPr>
            <w:r w:rsidRPr="00F70002">
              <w:rPr>
                <w:rFonts w:eastAsia="Times New Roman"/>
                <w:b/>
                <w:bCs/>
                <w:color w:val="000000"/>
                <w:sz w:val="22"/>
                <w:szCs w:val="22"/>
              </w:rPr>
              <w:t>Small</w:t>
            </w:r>
          </w:p>
        </w:tc>
        <w:tc>
          <w:tcPr>
            <w:tcW w:w="990" w:type="dxa"/>
            <w:shd w:val="clear" w:color="auto" w:fill="D9D9D9" w:themeFill="background1" w:themeFillShade="D9"/>
            <w:vAlign w:val="center"/>
            <w:hideMark/>
          </w:tcPr>
          <w:p w:rsidR="007122EF" w:rsidRPr="00F70002" w:rsidP="007122EF" w14:paraId="4D2EEDB1" w14:textId="77777777">
            <w:pPr>
              <w:spacing w:after="0"/>
              <w:jc w:val="center"/>
              <w:rPr>
                <w:rFonts w:eastAsia="Times New Roman"/>
                <w:b/>
                <w:bCs/>
                <w:color w:val="000000"/>
                <w:sz w:val="22"/>
                <w:szCs w:val="22"/>
              </w:rPr>
            </w:pPr>
            <w:r w:rsidRPr="00F70002">
              <w:rPr>
                <w:rFonts w:eastAsia="Times New Roman"/>
                <w:b/>
                <w:bCs/>
                <w:color w:val="000000"/>
                <w:sz w:val="22"/>
                <w:szCs w:val="22"/>
              </w:rPr>
              <w:t>Large</w:t>
            </w:r>
          </w:p>
        </w:tc>
        <w:tc>
          <w:tcPr>
            <w:tcW w:w="990" w:type="dxa"/>
            <w:shd w:val="clear" w:color="auto" w:fill="D9D9D9" w:themeFill="background1" w:themeFillShade="D9"/>
            <w:vAlign w:val="center"/>
            <w:hideMark/>
          </w:tcPr>
          <w:p w:rsidR="007122EF" w:rsidRPr="00F70002" w:rsidP="007122EF" w14:paraId="1C618FEC" w14:textId="77777777">
            <w:pPr>
              <w:spacing w:after="0"/>
              <w:jc w:val="center"/>
              <w:rPr>
                <w:rFonts w:eastAsia="Times New Roman"/>
                <w:b/>
                <w:bCs/>
                <w:color w:val="000000"/>
                <w:sz w:val="22"/>
                <w:szCs w:val="22"/>
              </w:rPr>
            </w:pPr>
            <w:r w:rsidRPr="00F70002">
              <w:rPr>
                <w:rFonts w:eastAsia="Times New Roman"/>
                <w:b/>
                <w:bCs/>
                <w:color w:val="000000"/>
                <w:sz w:val="22"/>
                <w:szCs w:val="22"/>
              </w:rPr>
              <w:t>All</w:t>
            </w:r>
          </w:p>
        </w:tc>
        <w:tc>
          <w:tcPr>
            <w:tcW w:w="990" w:type="dxa"/>
            <w:shd w:val="clear" w:color="auto" w:fill="D9D9D9" w:themeFill="background1" w:themeFillShade="D9"/>
            <w:vAlign w:val="center"/>
            <w:hideMark/>
          </w:tcPr>
          <w:p w:rsidR="007122EF" w:rsidRPr="00F70002" w:rsidP="007122EF" w14:paraId="65DB046F" w14:textId="77777777">
            <w:pPr>
              <w:spacing w:after="0"/>
              <w:jc w:val="center"/>
              <w:rPr>
                <w:rFonts w:eastAsia="Times New Roman"/>
                <w:b/>
                <w:bCs/>
                <w:color w:val="000000"/>
                <w:sz w:val="22"/>
                <w:szCs w:val="22"/>
              </w:rPr>
            </w:pPr>
            <w:r w:rsidRPr="00F70002">
              <w:rPr>
                <w:rFonts w:eastAsia="Times New Roman"/>
                <w:b/>
                <w:bCs/>
                <w:color w:val="000000"/>
                <w:sz w:val="22"/>
                <w:szCs w:val="22"/>
              </w:rPr>
              <w:t>Small</w:t>
            </w:r>
          </w:p>
        </w:tc>
        <w:tc>
          <w:tcPr>
            <w:tcW w:w="900" w:type="dxa"/>
            <w:shd w:val="clear" w:color="auto" w:fill="D9D9D9" w:themeFill="background1" w:themeFillShade="D9"/>
            <w:vAlign w:val="center"/>
            <w:hideMark/>
          </w:tcPr>
          <w:p w:rsidR="007122EF" w:rsidRPr="00F70002" w:rsidP="007122EF" w14:paraId="1E45FCE7" w14:textId="77777777">
            <w:pPr>
              <w:spacing w:after="0"/>
              <w:jc w:val="center"/>
              <w:rPr>
                <w:rFonts w:eastAsia="Times New Roman"/>
                <w:b/>
                <w:bCs/>
                <w:color w:val="000000"/>
                <w:sz w:val="22"/>
                <w:szCs w:val="22"/>
              </w:rPr>
            </w:pPr>
            <w:r w:rsidRPr="00F70002">
              <w:rPr>
                <w:rFonts w:eastAsia="Times New Roman"/>
                <w:b/>
                <w:bCs/>
                <w:color w:val="000000"/>
                <w:sz w:val="22"/>
                <w:szCs w:val="22"/>
              </w:rPr>
              <w:t>Large</w:t>
            </w:r>
          </w:p>
        </w:tc>
        <w:tc>
          <w:tcPr>
            <w:tcW w:w="900" w:type="dxa"/>
            <w:shd w:val="clear" w:color="auto" w:fill="D9D9D9" w:themeFill="background1" w:themeFillShade="D9"/>
            <w:vAlign w:val="center"/>
            <w:hideMark/>
          </w:tcPr>
          <w:p w:rsidR="007122EF" w:rsidRPr="00F70002" w:rsidP="007122EF" w14:paraId="7E03F6F1" w14:textId="77777777">
            <w:pPr>
              <w:spacing w:after="0"/>
              <w:jc w:val="center"/>
              <w:rPr>
                <w:rFonts w:eastAsia="Times New Roman"/>
                <w:b/>
                <w:bCs/>
                <w:color w:val="000000"/>
                <w:sz w:val="22"/>
                <w:szCs w:val="22"/>
              </w:rPr>
            </w:pPr>
            <w:r w:rsidRPr="00F70002">
              <w:rPr>
                <w:rFonts w:eastAsia="Times New Roman"/>
                <w:b/>
                <w:bCs/>
                <w:color w:val="000000"/>
                <w:sz w:val="22"/>
                <w:szCs w:val="22"/>
              </w:rPr>
              <w:t>All</w:t>
            </w:r>
          </w:p>
        </w:tc>
        <w:tc>
          <w:tcPr>
            <w:tcW w:w="900" w:type="dxa"/>
            <w:shd w:val="clear" w:color="auto" w:fill="D9D9D9" w:themeFill="background1" w:themeFillShade="D9"/>
            <w:vAlign w:val="center"/>
            <w:hideMark/>
          </w:tcPr>
          <w:p w:rsidR="007122EF" w:rsidRPr="00F70002" w:rsidP="007122EF" w14:paraId="79257143" w14:textId="77777777">
            <w:pPr>
              <w:spacing w:after="0"/>
              <w:jc w:val="center"/>
              <w:rPr>
                <w:rFonts w:eastAsia="Times New Roman"/>
                <w:b/>
                <w:bCs/>
                <w:color w:val="000000"/>
                <w:sz w:val="22"/>
                <w:szCs w:val="22"/>
              </w:rPr>
            </w:pPr>
            <w:r w:rsidRPr="00F70002">
              <w:rPr>
                <w:rFonts w:eastAsia="Times New Roman"/>
                <w:b/>
                <w:bCs/>
                <w:color w:val="000000"/>
                <w:sz w:val="22"/>
                <w:szCs w:val="22"/>
              </w:rPr>
              <w:t>Small</w:t>
            </w:r>
          </w:p>
        </w:tc>
        <w:tc>
          <w:tcPr>
            <w:tcW w:w="900" w:type="dxa"/>
            <w:shd w:val="clear" w:color="auto" w:fill="D9D9D9" w:themeFill="background1" w:themeFillShade="D9"/>
            <w:vAlign w:val="center"/>
            <w:hideMark/>
          </w:tcPr>
          <w:p w:rsidR="007122EF" w:rsidRPr="00F70002" w:rsidP="007122EF" w14:paraId="2C76FEF8" w14:textId="77777777">
            <w:pPr>
              <w:spacing w:after="0"/>
              <w:jc w:val="center"/>
              <w:rPr>
                <w:rFonts w:eastAsia="Times New Roman"/>
                <w:b/>
                <w:bCs/>
                <w:color w:val="000000"/>
                <w:sz w:val="22"/>
                <w:szCs w:val="22"/>
              </w:rPr>
            </w:pPr>
            <w:r w:rsidRPr="00F70002">
              <w:rPr>
                <w:rFonts w:eastAsia="Times New Roman"/>
                <w:b/>
                <w:bCs/>
                <w:color w:val="000000"/>
                <w:sz w:val="22"/>
                <w:szCs w:val="22"/>
              </w:rPr>
              <w:t>Large</w:t>
            </w:r>
          </w:p>
        </w:tc>
        <w:tc>
          <w:tcPr>
            <w:tcW w:w="810" w:type="dxa"/>
            <w:shd w:val="clear" w:color="auto" w:fill="D9D9D9" w:themeFill="background1" w:themeFillShade="D9"/>
            <w:vAlign w:val="center"/>
            <w:hideMark/>
          </w:tcPr>
          <w:p w:rsidR="007122EF" w:rsidRPr="00F70002" w:rsidP="007122EF" w14:paraId="6C202BA9" w14:textId="77777777">
            <w:pPr>
              <w:spacing w:after="0"/>
              <w:jc w:val="center"/>
              <w:rPr>
                <w:rFonts w:eastAsia="Times New Roman"/>
                <w:b/>
                <w:bCs/>
                <w:color w:val="000000"/>
                <w:sz w:val="22"/>
                <w:szCs w:val="22"/>
              </w:rPr>
            </w:pPr>
            <w:r w:rsidRPr="00F70002">
              <w:rPr>
                <w:rFonts w:eastAsia="Times New Roman"/>
                <w:b/>
                <w:bCs/>
                <w:color w:val="000000"/>
                <w:sz w:val="22"/>
                <w:szCs w:val="22"/>
              </w:rPr>
              <w:t>All</w:t>
            </w:r>
          </w:p>
        </w:tc>
      </w:tr>
      <w:tr w14:paraId="48D839D1" w14:textId="77777777" w:rsidTr="00246ECD">
        <w:tblPrEx>
          <w:tblW w:w="5000" w:type="pct"/>
          <w:tblLayout w:type="fixed"/>
          <w:tblLook w:val="04A0"/>
        </w:tblPrEx>
        <w:trPr>
          <w:trHeight w:val="144"/>
        </w:trPr>
        <w:tc>
          <w:tcPr>
            <w:tcW w:w="1700" w:type="dxa"/>
            <w:shd w:val="clear" w:color="auto" w:fill="auto"/>
            <w:vAlign w:val="center"/>
          </w:tcPr>
          <w:p w:rsidR="003D2438" w:rsidRPr="00F70002" w:rsidP="003D2438" w14:paraId="5EF5F0D9" w14:textId="1916E898">
            <w:pPr>
              <w:spacing w:after="0"/>
              <w:rPr>
                <w:rFonts w:eastAsia="Times New Roman"/>
                <w:color w:val="000000"/>
                <w:sz w:val="22"/>
                <w:szCs w:val="22"/>
              </w:rPr>
            </w:pPr>
            <w:r w:rsidRPr="00F70002">
              <w:rPr>
                <w:rFonts w:eastAsia="Times New Roman"/>
                <w:bCs/>
                <w:color w:val="000000"/>
                <w:sz w:val="22"/>
                <w:szCs w:val="22"/>
              </w:rPr>
              <w:t xml:space="preserve">Total </w:t>
            </w:r>
            <w:r w:rsidRPr="00F70002" w:rsidR="00E63E32">
              <w:rPr>
                <w:rFonts w:eastAsia="Times New Roman"/>
                <w:bCs/>
                <w:color w:val="000000"/>
                <w:sz w:val="22"/>
                <w:szCs w:val="22"/>
              </w:rPr>
              <w:t xml:space="preserve">Facilities </w:t>
            </w:r>
          </w:p>
        </w:tc>
        <w:tc>
          <w:tcPr>
            <w:tcW w:w="990" w:type="dxa"/>
            <w:shd w:val="clear" w:color="auto" w:fill="auto"/>
            <w:vAlign w:val="center"/>
          </w:tcPr>
          <w:p w:rsidR="003D2438" w:rsidRPr="00F70002" w:rsidP="00AC2CB0" w14:paraId="1C259318" w14:textId="76595E09">
            <w:pPr>
              <w:spacing w:after="0"/>
              <w:jc w:val="center"/>
              <w:rPr>
                <w:rFonts w:eastAsia="Times New Roman"/>
                <w:color w:val="000000"/>
                <w:sz w:val="22"/>
                <w:szCs w:val="22"/>
              </w:rPr>
            </w:pPr>
            <w:r w:rsidRPr="00F70002">
              <w:rPr>
                <w:rFonts w:eastAsia="Times New Roman"/>
                <w:bCs/>
                <w:color w:val="000000"/>
                <w:sz w:val="22"/>
                <w:szCs w:val="22"/>
              </w:rPr>
              <w:t>5</w:t>
            </w:r>
          </w:p>
        </w:tc>
        <w:tc>
          <w:tcPr>
            <w:tcW w:w="990" w:type="dxa"/>
            <w:shd w:val="clear" w:color="auto" w:fill="auto"/>
            <w:vAlign w:val="center"/>
          </w:tcPr>
          <w:p w:rsidR="003D2438" w:rsidRPr="00F70002" w:rsidP="00AC2CB0" w14:paraId="6888C686" w14:textId="5D796A31">
            <w:pPr>
              <w:spacing w:after="0"/>
              <w:jc w:val="center"/>
              <w:rPr>
                <w:rFonts w:eastAsia="Times New Roman"/>
                <w:color w:val="000000"/>
                <w:sz w:val="22"/>
                <w:szCs w:val="22"/>
              </w:rPr>
            </w:pPr>
            <w:r w:rsidRPr="00F70002">
              <w:rPr>
                <w:rFonts w:eastAsia="Times New Roman"/>
                <w:bCs/>
                <w:color w:val="000000"/>
                <w:sz w:val="22"/>
                <w:szCs w:val="22"/>
              </w:rPr>
              <w:t>311</w:t>
            </w:r>
          </w:p>
        </w:tc>
        <w:tc>
          <w:tcPr>
            <w:tcW w:w="990" w:type="dxa"/>
            <w:shd w:val="clear" w:color="auto" w:fill="auto"/>
            <w:vAlign w:val="center"/>
          </w:tcPr>
          <w:p w:rsidR="003D2438" w:rsidRPr="00F70002" w:rsidP="00AC2CB0" w14:paraId="6234F578" w14:textId="15EBBB6F">
            <w:pPr>
              <w:spacing w:after="0"/>
              <w:jc w:val="center"/>
              <w:rPr>
                <w:rFonts w:eastAsia="Times New Roman"/>
                <w:color w:val="000000"/>
                <w:sz w:val="22"/>
                <w:szCs w:val="22"/>
              </w:rPr>
            </w:pPr>
            <w:r w:rsidRPr="00F70002">
              <w:rPr>
                <w:rFonts w:eastAsia="Times New Roman"/>
                <w:bCs/>
                <w:color w:val="000000"/>
                <w:sz w:val="22"/>
                <w:szCs w:val="22"/>
              </w:rPr>
              <w:t>316</w:t>
            </w:r>
          </w:p>
        </w:tc>
        <w:tc>
          <w:tcPr>
            <w:tcW w:w="810" w:type="dxa"/>
            <w:shd w:val="clear" w:color="auto" w:fill="auto"/>
            <w:vAlign w:val="center"/>
          </w:tcPr>
          <w:p w:rsidR="003D2438" w:rsidRPr="00F70002" w:rsidP="00AC2CB0" w14:paraId="24B9E0ED" w14:textId="0F825ECE">
            <w:pPr>
              <w:spacing w:after="0"/>
              <w:jc w:val="center"/>
              <w:rPr>
                <w:rFonts w:eastAsia="Times New Roman"/>
                <w:color w:val="000000"/>
                <w:sz w:val="22"/>
                <w:szCs w:val="22"/>
              </w:rPr>
            </w:pPr>
            <w:r w:rsidRPr="00F70002">
              <w:rPr>
                <w:rFonts w:eastAsia="Times New Roman"/>
                <w:bCs/>
                <w:color w:val="000000"/>
                <w:sz w:val="22"/>
                <w:szCs w:val="22"/>
              </w:rPr>
              <w:t>504</w:t>
            </w:r>
          </w:p>
        </w:tc>
        <w:tc>
          <w:tcPr>
            <w:tcW w:w="990" w:type="dxa"/>
            <w:shd w:val="clear" w:color="auto" w:fill="auto"/>
            <w:vAlign w:val="center"/>
          </w:tcPr>
          <w:p w:rsidR="003D2438" w:rsidRPr="00F70002" w:rsidP="00AC2CB0" w14:paraId="09F69FE5" w14:textId="177BB145">
            <w:pPr>
              <w:spacing w:after="0"/>
              <w:jc w:val="center"/>
              <w:rPr>
                <w:rFonts w:eastAsia="Times New Roman"/>
                <w:color w:val="000000"/>
                <w:sz w:val="22"/>
                <w:szCs w:val="22"/>
              </w:rPr>
            </w:pPr>
            <w:r w:rsidRPr="00F70002">
              <w:rPr>
                <w:rFonts w:eastAsia="Times New Roman"/>
                <w:bCs/>
                <w:color w:val="000000"/>
                <w:sz w:val="22"/>
                <w:szCs w:val="22"/>
              </w:rPr>
              <w:t>574</w:t>
            </w:r>
          </w:p>
        </w:tc>
        <w:tc>
          <w:tcPr>
            <w:tcW w:w="990" w:type="dxa"/>
            <w:shd w:val="clear" w:color="auto" w:fill="auto"/>
            <w:vAlign w:val="center"/>
          </w:tcPr>
          <w:p w:rsidR="003D2438" w:rsidRPr="00F70002" w:rsidP="00AC2CB0" w14:paraId="5560C5B8" w14:textId="7F4C72E3">
            <w:pPr>
              <w:spacing w:after="0"/>
              <w:jc w:val="center"/>
              <w:rPr>
                <w:rFonts w:eastAsia="Times New Roman"/>
                <w:color w:val="000000"/>
                <w:sz w:val="22"/>
                <w:szCs w:val="22"/>
              </w:rPr>
            </w:pPr>
            <w:r w:rsidRPr="00F70002">
              <w:rPr>
                <w:rFonts w:eastAsia="Times New Roman"/>
                <w:bCs/>
                <w:color w:val="000000"/>
                <w:sz w:val="22"/>
                <w:szCs w:val="22"/>
              </w:rPr>
              <w:t>1,078</w:t>
            </w:r>
          </w:p>
        </w:tc>
        <w:tc>
          <w:tcPr>
            <w:tcW w:w="990" w:type="dxa"/>
            <w:shd w:val="clear" w:color="auto" w:fill="auto"/>
            <w:vAlign w:val="center"/>
          </w:tcPr>
          <w:p w:rsidR="003D2438" w:rsidRPr="00F70002" w:rsidP="00AC2CB0" w14:paraId="7C8E0027" w14:textId="32E071F7">
            <w:pPr>
              <w:spacing w:after="0"/>
              <w:jc w:val="center"/>
              <w:rPr>
                <w:rFonts w:eastAsia="Times New Roman"/>
                <w:color w:val="000000"/>
                <w:sz w:val="22"/>
                <w:szCs w:val="22"/>
              </w:rPr>
            </w:pPr>
            <w:r w:rsidRPr="00F70002">
              <w:rPr>
                <w:rFonts w:eastAsia="Times New Roman"/>
                <w:bCs/>
                <w:color w:val="000000"/>
                <w:sz w:val="22"/>
                <w:szCs w:val="22"/>
              </w:rPr>
              <w:t>191</w:t>
            </w:r>
          </w:p>
        </w:tc>
        <w:tc>
          <w:tcPr>
            <w:tcW w:w="900" w:type="dxa"/>
            <w:shd w:val="clear" w:color="auto" w:fill="auto"/>
            <w:vAlign w:val="center"/>
          </w:tcPr>
          <w:p w:rsidR="003D2438" w:rsidRPr="00F70002" w:rsidP="00AC2CB0" w14:paraId="6EA8CFFA" w14:textId="6780E22D">
            <w:pPr>
              <w:spacing w:after="0"/>
              <w:jc w:val="center"/>
              <w:rPr>
                <w:rFonts w:eastAsia="Times New Roman"/>
                <w:color w:val="000000"/>
                <w:sz w:val="22"/>
                <w:szCs w:val="22"/>
              </w:rPr>
            </w:pPr>
            <w:r w:rsidRPr="00F70002">
              <w:rPr>
                <w:rFonts w:eastAsia="Times New Roman"/>
                <w:bCs/>
                <w:color w:val="000000"/>
                <w:sz w:val="22"/>
                <w:szCs w:val="22"/>
              </w:rPr>
              <w:t>111</w:t>
            </w:r>
          </w:p>
        </w:tc>
        <w:tc>
          <w:tcPr>
            <w:tcW w:w="900" w:type="dxa"/>
            <w:shd w:val="clear" w:color="auto" w:fill="auto"/>
            <w:vAlign w:val="center"/>
          </w:tcPr>
          <w:p w:rsidR="003D2438" w:rsidRPr="00F70002" w:rsidP="00AC2CB0" w14:paraId="5D3F94BE" w14:textId="5671C332">
            <w:pPr>
              <w:spacing w:after="0"/>
              <w:jc w:val="center"/>
              <w:rPr>
                <w:rFonts w:eastAsia="Times New Roman"/>
                <w:color w:val="000000"/>
                <w:sz w:val="22"/>
                <w:szCs w:val="22"/>
              </w:rPr>
            </w:pPr>
            <w:r w:rsidRPr="00F70002">
              <w:rPr>
                <w:rFonts w:eastAsia="Times New Roman"/>
                <w:bCs/>
                <w:color w:val="000000"/>
                <w:sz w:val="22"/>
                <w:szCs w:val="22"/>
              </w:rPr>
              <w:t>302</w:t>
            </w:r>
          </w:p>
        </w:tc>
        <w:tc>
          <w:tcPr>
            <w:tcW w:w="900" w:type="dxa"/>
            <w:shd w:val="clear" w:color="auto" w:fill="auto"/>
            <w:vAlign w:val="center"/>
          </w:tcPr>
          <w:p w:rsidR="003D2438" w:rsidRPr="00F70002" w:rsidP="00AC2CB0" w14:paraId="6B3A1EA7" w14:textId="655A2FC0">
            <w:pPr>
              <w:spacing w:after="0"/>
              <w:jc w:val="center"/>
              <w:rPr>
                <w:rFonts w:eastAsia="Times New Roman"/>
                <w:color w:val="000000"/>
                <w:sz w:val="22"/>
                <w:szCs w:val="22"/>
              </w:rPr>
            </w:pPr>
            <w:r w:rsidRPr="00F70002">
              <w:rPr>
                <w:rFonts w:eastAsia="Times New Roman"/>
                <w:bCs/>
                <w:color w:val="000000"/>
                <w:sz w:val="22"/>
                <w:szCs w:val="22"/>
              </w:rPr>
              <w:t>700</w:t>
            </w:r>
          </w:p>
        </w:tc>
        <w:tc>
          <w:tcPr>
            <w:tcW w:w="900" w:type="dxa"/>
            <w:shd w:val="clear" w:color="auto" w:fill="auto"/>
            <w:vAlign w:val="center"/>
          </w:tcPr>
          <w:p w:rsidR="003D2438" w:rsidRPr="00F70002" w:rsidP="00AC2CB0" w14:paraId="2FB6E082" w14:textId="4FE6C9BE">
            <w:pPr>
              <w:spacing w:after="0"/>
              <w:jc w:val="center"/>
              <w:rPr>
                <w:rFonts w:eastAsia="Times New Roman"/>
                <w:color w:val="000000"/>
                <w:sz w:val="22"/>
                <w:szCs w:val="22"/>
              </w:rPr>
            </w:pPr>
            <w:r w:rsidRPr="00F70002">
              <w:rPr>
                <w:rFonts w:eastAsia="Times New Roman"/>
                <w:bCs/>
                <w:color w:val="000000"/>
                <w:sz w:val="22"/>
                <w:szCs w:val="22"/>
              </w:rPr>
              <w:t>996</w:t>
            </w:r>
          </w:p>
        </w:tc>
        <w:tc>
          <w:tcPr>
            <w:tcW w:w="810" w:type="dxa"/>
            <w:shd w:val="clear" w:color="auto" w:fill="auto"/>
            <w:vAlign w:val="center"/>
          </w:tcPr>
          <w:p w:rsidR="003D2438" w:rsidRPr="00F70002" w:rsidP="00AC2CB0" w14:paraId="15CFAE2D" w14:textId="63D65490">
            <w:pPr>
              <w:spacing w:after="0"/>
              <w:jc w:val="center"/>
              <w:rPr>
                <w:rFonts w:eastAsia="Times New Roman"/>
                <w:color w:val="000000"/>
                <w:sz w:val="22"/>
                <w:szCs w:val="22"/>
              </w:rPr>
            </w:pPr>
            <w:r w:rsidRPr="00F70002">
              <w:rPr>
                <w:rFonts w:eastAsia="Times New Roman"/>
                <w:bCs/>
                <w:color w:val="000000"/>
                <w:sz w:val="22"/>
                <w:szCs w:val="22"/>
              </w:rPr>
              <w:t>1,696</w:t>
            </w:r>
          </w:p>
        </w:tc>
      </w:tr>
    </w:tbl>
    <w:p w:rsidR="007122EF" w:rsidRPr="00465193" w:rsidP="00EB367D" w14:paraId="29115E3C" w14:textId="77777777"/>
    <w:p w:rsidR="007122EF" w:rsidRPr="00465193" w:rsidP="001B3D82" w14:paraId="5FD6E1DC" w14:textId="2132D87D">
      <w:pPr>
        <w:pStyle w:val="Caption"/>
        <w:rPr>
          <w:b/>
        </w:rPr>
      </w:pPr>
      <w:bookmarkStart w:id="41" w:name="_Ref36641568"/>
      <w:bookmarkStart w:id="42" w:name="_Toc147238749"/>
      <w:r w:rsidRPr="00465193">
        <w:rPr>
          <w:b/>
        </w:rPr>
        <w:t xml:space="preserve">Table </w:t>
      </w:r>
      <w:r w:rsidRPr="00465193">
        <w:rPr>
          <w:b/>
        </w:rPr>
        <w:fldChar w:fldCharType="begin"/>
      </w:r>
      <w:r w:rsidRPr="00465193">
        <w:rPr>
          <w:b/>
        </w:rPr>
        <w:instrText xml:space="preserve"> SEQ Table \* ARABIC </w:instrText>
      </w:r>
      <w:r w:rsidRPr="00465193">
        <w:rPr>
          <w:b/>
        </w:rPr>
        <w:fldChar w:fldCharType="separate"/>
      </w:r>
      <w:r w:rsidR="00D36765">
        <w:rPr>
          <w:b/>
          <w:noProof/>
        </w:rPr>
        <w:t>5</w:t>
      </w:r>
      <w:r w:rsidRPr="00465193">
        <w:rPr>
          <w:b/>
        </w:rPr>
        <w:fldChar w:fldCharType="end"/>
      </w:r>
      <w:bookmarkEnd w:id="41"/>
      <w:r w:rsidRPr="00465193">
        <w:rPr>
          <w:b/>
        </w:rPr>
        <w:t xml:space="preserve">. Quantity of Medical Gas Containers </w:t>
      </w:r>
      <w:r w:rsidR="00A81B71">
        <w:rPr>
          <w:b/>
        </w:rPr>
        <w:t xml:space="preserve">in Thousands </w:t>
      </w:r>
      <w:r w:rsidRPr="00465193">
        <w:rPr>
          <w:b/>
        </w:rPr>
        <w:t xml:space="preserve">(ERG Table </w:t>
      </w:r>
      <w:r w:rsidRPr="00465193" w:rsidR="00FE100C">
        <w:rPr>
          <w:b/>
        </w:rPr>
        <w:t>4-4)</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1490"/>
        <w:gridCol w:w="1490"/>
        <w:gridCol w:w="1591"/>
        <w:gridCol w:w="1722"/>
        <w:gridCol w:w="1813"/>
        <w:gridCol w:w="1903"/>
      </w:tblGrid>
      <w:tr w14:paraId="6B88DCFC" w14:textId="77777777" w:rsidTr="00246EC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2920" w:type="dxa"/>
            <w:shd w:val="clear" w:color="auto" w:fill="D9D9D9" w:themeFill="background1" w:themeFillShade="D9"/>
            <w:vAlign w:val="center"/>
            <w:hideMark/>
          </w:tcPr>
          <w:p w:rsidR="003D2438" w:rsidRPr="00714FC0" w:rsidP="003D2438" w14:paraId="5BEC0F2F" w14:textId="77777777">
            <w:pPr>
              <w:spacing w:after="0"/>
              <w:rPr>
                <w:rFonts w:eastAsia="Times New Roman"/>
                <w:color w:val="000000"/>
                <w:sz w:val="22"/>
                <w:szCs w:val="22"/>
              </w:rPr>
            </w:pPr>
            <w:r w:rsidRPr="00714FC0">
              <w:rPr>
                <w:rFonts w:eastAsia="Times New Roman"/>
                <w:color w:val="000000"/>
                <w:sz w:val="22"/>
                <w:szCs w:val="22"/>
              </w:rPr>
              <w:t> </w:t>
            </w:r>
          </w:p>
        </w:tc>
        <w:tc>
          <w:tcPr>
            <w:tcW w:w="1480" w:type="dxa"/>
            <w:shd w:val="clear" w:color="auto" w:fill="D9D9D9" w:themeFill="background1" w:themeFillShade="D9"/>
            <w:vAlign w:val="center"/>
            <w:hideMark/>
          </w:tcPr>
          <w:p w:rsidR="003D2438" w:rsidRPr="00714FC0" w:rsidP="003D2438" w14:paraId="0A0F66E7" w14:textId="77777777">
            <w:pPr>
              <w:spacing w:after="0"/>
              <w:jc w:val="center"/>
              <w:rPr>
                <w:rFonts w:eastAsia="Times New Roman"/>
                <w:b/>
                <w:bCs/>
                <w:color w:val="000000"/>
                <w:sz w:val="22"/>
                <w:szCs w:val="22"/>
              </w:rPr>
            </w:pPr>
            <w:r w:rsidRPr="00714FC0">
              <w:rPr>
                <w:rFonts w:eastAsia="Times New Roman"/>
                <w:b/>
                <w:bCs/>
                <w:color w:val="000000"/>
                <w:sz w:val="22"/>
                <w:szCs w:val="22"/>
              </w:rPr>
              <w:t>Oxygen</w:t>
            </w:r>
          </w:p>
        </w:tc>
        <w:tc>
          <w:tcPr>
            <w:tcW w:w="1480" w:type="dxa"/>
            <w:shd w:val="clear" w:color="auto" w:fill="D9D9D9" w:themeFill="background1" w:themeFillShade="D9"/>
            <w:vAlign w:val="center"/>
            <w:hideMark/>
          </w:tcPr>
          <w:p w:rsidR="003D2438" w:rsidRPr="00714FC0" w:rsidP="003D2438" w14:paraId="0BEB63D1" w14:textId="77777777">
            <w:pPr>
              <w:spacing w:after="0"/>
              <w:jc w:val="center"/>
              <w:rPr>
                <w:rFonts w:eastAsia="Times New Roman"/>
                <w:b/>
                <w:bCs/>
                <w:color w:val="000000"/>
                <w:sz w:val="22"/>
                <w:szCs w:val="22"/>
              </w:rPr>
            </w:pPr>
            <w:r w:rsidRPr="00714FC0">
              <w:rPr>
                <w:rFonts w:eastAsia="Times New Roman"/>
                <w:b/>
                <w:bCs/>
                <w:color w:val="000000"/>
                <w:sz w:val="22"/>
                <w:szCs w:val="22"/>
              </w:rPr>
              <w:t>Nitrogen</w:t>
            </w:r>
          </w:p>
        </w:tc>
        <w:tc>
          <w:tcPr>
            <w:tcW w:w="1580" w:type="dxa"/>
            <w:shd w:val="clear" w:color="auto" w:fill="D9D9D9" w:themeFill="background1" w:themeFillShade="D9"/>
            <w:vAlign w:val="center"/>
            <w:hideMark/>
          </w:tcPr>
          <w:p w:rsidR="003D2438" w:rsidRPr="00714FC0" w:rsidP="003D2438" w14:paraId="60610FBB" w14:textId="77777777">
            <w:pPr>
              <w:spacing w:after="0"/>
              <w:jc w:val="center"/>
              <w:rPr>
                <w:rFonts w:eastAsia="Times New Roman"/>
                <w:b/>
                <w:bCs/>
                <w:color w:val="000000"/>
                <w:sz w:val="22"/>
                <w:szCs w:val="22"/>
              </w:rPr>
            </w:pPr>
            <w:r w:rsidRPr="00714FC0">
              <w:rPr>
                <w:rFonts w:eastAsia="Times New Roman"/>
                <w:b/>
                <w:bCs/>
                <w:color w:val="000000"/>
                <w:sz w:val="22"/>
                <w:szCs w:val="22"/>
              </w:rPr>
              <w:t>Nitrous Oxide</w:t>
            </w:r>
          </w:p>
        </w:tc>
        <w:tc>
          <w:tcPr>
            <w:tcW w:w="1710" w:type="dxa"/>
            <w:shd w:val="clear" w:color="auto" w:fill="D9D9D9" w:themeFill="background1" w:themeFillShade="D9"/>
            <w:vAlign w:val="center"/>
            <w:hideMark/>
          </w:tcPr>
          <w:p w:rsidR="003D2438" w:rsidRPr="00714FC0" w:rsidP="003D2438" w14:paraId="06A56BBA" w14:textId="77777777">
            <w:pPr>
              <w:spacing w:after="0"/>
              <w:jc w:val="center"/>
              <w:rPr>
                <w:rFonts w:eastAsia="Times New Roman"/>
                <w:b/>
                <w:bCs/>
                <w:color w:val="000000"/>
                <w:sz w:val="22"/>
                <w:szCs w:val="22"/>
              </w:rPr>
            </w:pPr>
            <w:r w:rsidRPr="00714FC0">
              <w:rPr>
                <w:rFonts w:eastAsia="Times New Roman"/>
                <w:b/>
                <w:bCs/>
                <w:color w:val="000000"/>
                <w:sz w:val="22"/>
                <w:szCs w:val="22"/>
              </w:rPr>
              <w:t>Other Anesthesia</w:t>
            </w:r>
          </w:p>
        </w:tc>
        <w:tc>
          <w:tcPr>
            <w:tcW w:w="1800" w:type="dxa"/>
            <w:shd w:val="clear" w:color="auto" w:fill="D9D9D9" w:themeFill="background1" w:themeFillShade="D9"/>
            <w:vAlign w:val="center"/>
            <w:hideMark/>
          </w:tcPr>
          <w:p w:rsidR="003D2438" w:rsidRPr="00714FC0" w:rsidP="003D2438" w14:paraId="13227C8A" w14:textId="77777777">
            <w:pPr>
              <w:spacing w:after="0"/>
              <w:jc w:val="center"/>
              <w:rPr>
                <w:rFonts w:eastAsia="Times New Roman"/>
                <w:b/>
                <w:bCs/>
                <w:color w:val="000000"/>
                <w:sz w:val="22"/>
                <w:szCs w:val="22"/>
              </w:rPr>
            </w:pPr>
            <w:r w:rsidRPr="00714FC0">
              <w:rPr>
                <w:rFonts w:eastAsia="Times New Roman"/>
                <w:b/>
                <w:bCs/>
                <w:color w:val="000000"/>
                <w:sz w:val="22"/>
                <w:szCs w:val="22"/>
              </w:rPr>
              <w:t>Medical Specialty Gases</w:t>
            </w:r>
          </w:p>
        </w:tc>
        <w:tc>
          <w:tcPr>
            <w:tcW w:w="1890" w:type="dxa"/>
            <w:shd w:val="clear" w:color="auto" w:fill="D9D9D9" w:themeFill="background1" w:themeFillShade="D9"/>
            <w:vAlign w:val="center"/>
            <w:hideMark/>
          </w:tcPr>
          <w:p w:rsidR="003D2438" w:rsidRPr="00714FC0" w:rsidP="003D2438" w14:paraId="2D1075ED" w14:textId="77777777">
            <w:pPr>
              <w:spacing w:after="0"/>
              <w:jc w:val="center"/>
              <w:rPr>
                <w:rFonts w:eastAsia="Times New Roman"/>
                <w:b/>
                <w:bCs/>
                <w:color w:val="000000"/>
                <w:sz w:val="22"/>
                <w:szCs w:val="22"/>
              </w:rPr>
            </w:pPr>
            <w:r w:rsidRPr="00714FC0">
              <w:rPr>
                <w:rFonts w:eastAsia="Times New Roman"/>
                <w:b/>
                <w:bCs/>
                <w:color w:val="000000"/>
                <w:sz w:val="22"/>
                <w:szCs w:val="22"/>
              </w:rPr>
              <w:t>Total</w:t>
            </w:r>
          </w:p>
        </w:tc>
      </w:tr>
      <w:tr w14:paraId="22CC0628" w14:textId="77777777" w:rsidTr="00246ECD">
        <w:tblPrEx>
          <w:tblW w:w="5000" w:type="pct"/>
          <w:tblLook w:val="04A0"/>
        </w:tblPrEx>
        <w:trPr>
          <w:trHeight w:val="216"/>
        </w:trPr>
        <w:tc>
          <w:tcPr>
            <w:tcW w:w="12860" w:type="dxa"/>
            <w:gridSpan w:val="7"/>
            <w:shd w:val="clear" w:color="auto" w:fill="D9D9D9" w:themeFill="background1" w:themeFillShade="D9"/>
            <w:vAlign w:val="center"/>
            <w:hideMark/>
          </w:tcPr>
          <w:p w:rsidR="003D2438" w:rsidRPr="005B02EC" w:rsidP="003D2438" w14:paraId="7C92B238" w14:textId="433E9BCC">
            <w:pPr>
              <w:spacing w:after="0"/>
              <w:rPr>
                <w:rFonts w:eastAsia="Times New Roman"/>
                <w:b/>
                <w:bCs/>
                <w:color w:val="000000"/>
                <w:sz w:val="22"/>
                <w:szCs w:val="22"/>
              </w:rPr>
            </w:pPr>
            <w:r w:rsidRPr="005B02EC">
              <w:rPr>
                <w:rFonts w:eastAsia="Times New Roman"/>
                <w:b/>
                <w:bCs/>
                <w:color w:val="000000"/>
                <w:sz w:val="22"/>
                <w:szCs w:val="22"/>
              </w:rPr>
              <w:t>High</w:t>
            </w:r>
            <w:r w:rsidRPr="005B02EC" w:rsidR="00386E17">
              <w:rPr>
                <w:rFonts w:eastAsia="Times New Roman"/>
                <w:b/>
                <w:bCs/>
                <w:color w:val="000000"/>
                <w:sz w:val="22"/>
                <w:szCs w:val="22"/>
              </w:rPr>
              <w:t>-</w:t>
            </w:r>
            <w:r w:rsidRPr="005B02EC">
              <w:rPr>
                <w:rFonts w:eastAsia="Times New Roman"/>
                <w:b/>
                <w:bCs/>
                <w:color w:val="000000"/>
                <w:sz w:val="22"/>
                <w:szCs w:val="22"/>
              </w:rPr>
              <w:t>Pressure Cylinders</w:t>
            </w:r>
          </w:p>
        </w:tc>
      </w:tr>
      <w:tr w14:paraId="10039815"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0814F118" w14:textId="77777777">
            <w:pPr>
              <w:spacing w:after="0"/>
              <w:rPr>
                <w:rFonts w:eastAsia="Times New Roman"/>
                <w:color w:val="000000"/>
                <w:sz w:val="22"/>
                <w:szCs w:val="22"/>
              </w:rPr>
            </w:pPr>
            <w:r w:rsidRPr="005B02EC">
              <w:rPr>
                <w:rFonts w:eastAsia="Times New Roman"/>
                <w:color w:val="000000"/>
                <w:sz w:val="22"/>
                <w:szCs w:val="22"/>
              </w:rPr>
              <w:t>Small and Medium Steel</w:t>
            </w:r>
          </w:p>
        </w:tc>
        <w:tc>
          <w:tcPr>
            <w:tcW w:w="1480" w:type="dxa"/>
            <w:shd w:val="clear" w:color="auto" w:fill="auto"/>
            <w:vAlign w:val="center"/>
            <w:hideMark/>
          </w:tcPr>
          <w:p w:rsidR="003D2438" w:rsidRPr="005B02EC" w:rsidP="00AC2CB0" w14:paraId="2671E0EA" w14:textId="77777777">
            <w:pPr>
              <w:spacing w:after="0"/>
              <w:jc w:val="center"/>
              <w:rPr>
                <w:rFonts w:eastAsia="Times New Roman"/>
                <w:color w:val="000000"/>
                <w:sz w:val="22"/>
                <w:szCs w:val="22"/>
              </w:rPr>
            </w:pPr>
            <w:r w:rsidRPr="005B02EC">
              <w:rPr>
                <w:rFonts w:eastAsia="Times New Roman"/>
                <w:color w:val="000000"/>
                <w:sz w:val="22"/>
                <w:szCs w:val="22"/>
              </w:rPr>
              <w:t>8,312.8</w:t>
            </w:r>
          </w:p>
        </w:tc>
        <w:tc>
          <w:tcPr>
            <w:tcW w:w="1480" w:type="dxa"/>
            <w:shd w:val="clear" w:color="auto" w:fill="auto"/>
            <w:vAlign w:val="center"/>
            <w:hideMark/>
          </w:tcPr>
          <w:p w:rsidR="003D2438" w:rsidRPr="005B02EC" w:rsidP="00AC2CB0" w14:paraId="79CE3783"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773499DE" w14:textId="77777777">
            <w:pPr>
              <w:spacing w:after="0"/>
              <w:jc w:val="center"/>
              <w:rPr>
                <w:rFonts w:eastAsia="Times New Roman"/>
                <w:color w:val="000000"/>
                <w:sz w:val="22"/>
                <w:szCs w:val="22"/>
              </w:rPr>
            </w:pPr>
            <w:r w:rsidRPr="005B02EC">
              <w:rPr>
                <w:rFonts w:eastAsia="Times New Roman"/>
                <w:color w:val="000000"/>
                <w:sz w:val="22"/>
                <w:szCs w:val="22"/>
              </w:rPr>
              <w:t>69.7</w:t>
            </w:r>
          </w:p>
        </w:tc>
        <w:tc>
          <w:tcPr>
            <w:tcW w:w="1710" w:type="dxa"/>
            <w:shd w:val="clear" w:color="auto" w:fill="auto"/>
            <w:vAlign w:val="center"/>
            <w:hideMark/>
          </w:tcPr>
          <w:p w:rsidR="003D2438" w:rsidRPr="005B02EC" w:rsidP="00AC2CB0" w14:paraId="37FFCE76"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6BA06599" w14:textId="77777777">
            <w:pPr>
              <w:spacing w:after="0"/>
              <w:jc w:val="center"/>
              <w:rPr>
                <w:rFonts w:eastAsia="Times New Roman"/>
                <w:color w:val="000000"/>
                <w:sz w:val="22"/>
                <w:szCs w:val="22"/>
              </w:rPr>
            </w:pPr>
            <w:r w:rsidRPr="005B02EC">
              <w:rPr>
                <w:rFonts w:eastAsia="Times New Roman"/>
                <w:color w:val="000000"/>
                <w:sz w:val="22"/>
                <w:szCs w:val="22"/>
              </w:rPr>
              <w:t>122.5</w:t>
            </w:r>
          </w:p>
        </w:tc>
        <w:tc>
          <w:tcPr>
            <w:tcW w:w="1890" w:type="dxa"/>
            <w:shd w:val="clear" w:color="auto" w:fill="auto"/>
            <w:vAlign w:val="center"/>
            <w:hideMark/>
          </w:tcPr>
          <w:p w:rsidR="003D2438" w:rsidRPr="005B02EC" w:rsidP="00AC2CB0" w14:paraId="03668B88" w14:textId="77777777">
            <w:pPr>
              <w:spacing w:after="0"/>
              <w:jc w:val="center"/>
              <w:rPr>
                <w:rFonts w:eastAsia="Times New Roman"/>
                <w:color w:val="000000"/>
                <w:sz w:val="22"/>
                <w:szCs w:val="22"/>
              </w:rPr>
            </w:pPr>
            <w:r w:rsidRPr="005B02EC">
              <w:rPr>
                <w:rFonts w:eastAsia="Times New Roman"/>
                <w:color w:val="000000"/>
                <w:sz w:val="22"/>
                <w:szCs w:val="22"/>
              </w:rPr>
              <w:t>8,505.0</w:t>
            </w:r>
          </w:p>
        </w:tc>
      </w:tr>
      <w:tr w14:paraId="6FFFB474"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74EE0F87" w14:textId="77777777">
            <w:pPr>
              <w:spacing w:after="0"/>
              <w:rPr>
                <w:rFonts w:eastAsia="Times New Roman"/>
                <w:color w:val="000000"/>
                <w:sz w:val="22"/>
                <w:szCs w:val="22"/>
              </w:rPr>
            </w:pPr>
            <w:r w:rsidRPr="005B02EC">
              <w:rPr>
                <w:rFonts w:eastAsia="Times New Roman"/>
                <w:color w:val="000000"/>
                <w:sz w:val="22"/>
                <w:szCs w:val="22"/>
              </w:rPr>
              <w:t>Large Steel</w:t>
            </w:r>
          </w:p>
        </w:tc>
        <w:tc>
          <w:tcPr>
            <w:tcW w:w="1480" w:type="dxa"/>
            <w:shd w:val="clear" w:color="auto" w:fill="auto"/>
            <w:vAlign w:val="center"/>
            <w:hideMark/>
          </w:tcPr>
          <w:p w:rsidR="003D2438" w:rsidRPr="005B02EC" w:rsidP="00AC2CB0" w14:paraId="6BD6AD32" w14:textId="77777777">
            <w:pPr>
              <w:spacing w:after="0"/>
              <w:jc w:val="center"/>
              <w:rPr>
                <w:rFonts w:eastAsia="Times New Roman"/>
                <w:color w:val="000000"/>
                <w:sz w:val="22"/>
                <w:szCs w:val="22"/>
              </w:rPr>
            </w:pPr>
            <w:r w:rsidRPr="005B02EC">
              <w:rPr>
                <w:rFonts w:eastAsia="Times New Roman"/>
                <w:color w:val="000000"/>
                <w:sz w:val="22"/>
                <w:szCs w:val="22"/>
              </w:rPr>
              <w:t>5,733.8</w:t>
            </w:r>
          </w:p>
        </w:tc>
        <w:tc>
          <w:tcPr>
            <w:tcW w:w="1480" w:type="dxa"/>
            <w:shd w:val="clear" w:color="auto" w:fill="auto"/>
            <w:vAlign w:val="center"/>
            <w:hideMark/>
          </w:tcPr>
          <w:p w:rsidR="003D2438" w:rsidRPr="005B02EC" w:rsidP="00AC2CB0" w14:paraId="25BF3A72" w14:textId="77777777">
            <w:pPr>
              <w:spacing w:after="0"/>
              <w:jc w:val="center"/>
              <w:rPr>
                <w:rFonts w:eastAsia="Times New Roman"/>
                <w:color w:val="000000"/>
                <w:sz w:val="22"/>
                <w:szCs w:val="22"/>
              </w:rPr>
            </w:pPr>
            <w:r w:rsidRPr="005B02EC">
              <w:rPr>
                <w:rFonts w:eastAsia="Times New Roman"/>
                <w:color w:val="000000"/>
                <w:sz w:val="22"/>
                <w:szCs w:val="22"/>
              </w:rPr>
              <w:t>175.3</w:t>
            </w:r>
          </w:p>
        </w:tc>
        <w:tc>
          <w:tcPr>
            <w:tcW w:w="1580" w:type="dxa"/>
            <w:shd w:val="clear" w:color="auto" w:fill="auto"/>
            <w:vAlign w:val="center"/>
            <w:hideMark/>
          </w:tcPr>
          <w:p w:rsidR="003D2438" w:rsidRPr="005B02EC" w:rsidP="00AC2CB0" w14:paraId="3431F4D1" w14:textId="77777777">
            <w:pPr>
              <w:spacing w:after="0"/>
              <w:jc w:val="center"/>
              <w:rPr>
                <w:rFonts w:eastAsia="Times New Roman"/>
                <w:color w:val="000000"/>
                <w:sz w:val="22"/>
                <w:szCs w:val="22"/>
              </w:rPr>
            </w:pPr>
            <w:r w:rsidRPr="005B02EC">
              <w:rPr>
                <w:rFonts w:eastAsia="Times New Roman"/>
                <w:color w:val="000000"/>
                <w:sz w:val="22"/>
                <w:szCs w:val="22"/>
              </w:rPr>
              <w:t>409.1</w:t>
            </w:r>
          </w:p>
        </w:tc>
        <w:tc>
          <w:tcPr>
            <w:tcW w:w="1710" w:type="dxa"/>
            <w:shd w:val="clear" w:color="auto" w:fill="auto"/>
            <w:vAlign w:val="center"/>
            <w:hideMark/>
          </w:tcPr>
          <w:p w:rsidR="003D2438" w:rsidRPr="005B02EC" w:rsidP="00AC2CB0" w14:paraId="7B89C1C0" w14:textId="77777777">
            <w:pPr>
              <w:spacing w:after="0"/>
              <w:jc w:val="center"/>
              <w:rPr>
                <w:rFonts w:eastAsia="Times New Roman"/>
                <w:color w:val="000000"/>
                <w:sz w:val="22"/>
                <w:szCs w:val="22"/>
              </w:rPr>
            </w:pPr>
            <w:r w:rsidRPr="005B02EC">
              <w:rPr>
                <w:rFonts w:eastAsia="Times New Roman"/>
                <w:color w:val="000000"/>
                <w:sz w:val="22"/>
                <w:szCs w:val="22"/>
              </w:rPr>
              <w:t>58.4</w:t>
            </w:r>
          </w:p>
        </w:tc>
        <w:tc>
          <w:tcPr>
            <w:tcW w:w="1800" w:type="dxa"/>
            <w:shd w:val="clear" w:color="auto" w:fill="auto"/>
            <w:vAlign w:val="center"/>
            <w:hideMark/>
          </w:tcPr>
          <w:p w:rsidR="003D2438" w:rsidRPr="005B02EC" w:rsidP="00AC2CB0" w14:paraId="6EDADC0E" w14:textId="77777777">
            <w:pPr>
              <w:spacing w:after="0"/>
              <w:jc w:val="center"/>
              <w:rPr>
                <w:rFonts w:eastAsia="Times New Roman"/>
                <w:color w:val="000000"/>
                <w:sz w:val="22"/>
                <w:szCs w:val="22"/>
              </w:rPr>
            </w:pPr>
            <w:r w:rsidRPr="005B02EC">
              <w:rPr>
                <w:rFonts w:eastAsia="Times New Roman"/>
                <w:color w:val="000000"/>
                <w:sz w:val="22"/>
                <w:szCs w:val="22"/>
              </w:rPr>
              <w:t>116.9</w:t>
            </w:r>
          </w:p>
        </w:tc>
        <w:tc>
          <w:tcPr>
            <w:tcW w:w="1890" w:type="dxa"/>
            <w:shd w:val="clear" w:color="auto" w:fill="auto"/>
            <w:vAlign w:val="center"/>
            <w:hideMark/>
          </w:tcPr>
          <w:p w:rsidR="003D2438" w:rsidRPr="005B02EC" w:rsidP="00AC2CB0" w14:paraId="5D390849" w14:textId="77777777">
            <w:pPr>
              <w:spacing w:after="0"/>
              <w:jc w:val="center"/>
              <w:rPr>
                <w:rFonts w:eastAsia="Times New Roman"/>
                <w:color w:val="000000"/>
                <w:sz w:val="22"/>
                <w:szCs w:val="22"/>
              </w:rPr>
            </w:pPr>
            <w:r w:rsidRPr="005B02EC">
              <w:rPr>
                <w:rFonts w:eastAsia="Times New Roman"/>
                <w:color w:val="000000"/>
                <w:sz w:val="22"/>
                <w:szCs w:val="22"/>
              </w:rPr>
              <w:t>6,493.5</w:t>
            </w:r>
          </w:p>
        </w:tc>
      </w:tr>
      <w:tr w14:paraId="733431DF"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3FBAC179" w14:textId="77777777">
            <w:pPr>
              <w:spacing w:after="0"/>
              <w:rPr>
                <w:rFonts w:eastAsia="Times New Roman"/>
                <w:color w:val="000000"/>
                <w:sz w:val="22"/>
                <w:szCs w:val="22"/>
              </w:rPr>
            </w:pPr>
            <w:r w:rsidRPr="005B02EC">
              <w:rPr>
                <w:rFonts w:eastAsia="Times New Roman"/>
                <w:color w:val="000000"/>
                <w:sz w:val="22"/>
                <w:szCs w:val="22"/>
              </w:rPr>
              <w:t>Aluminum</w:t>
            </w:r>
          </w:p>
        </w:tc>
        <w:tc>
          <w:tcPr>
            <w:tcW w:w="1480" w:type="dxa"/>
            <w:shd w:val="clear" w:color="auto" w:fill="auto"/>
            <w:vAlign w:val="center"/>
            <w:hideMark/>
          </w:tcPr>
          <w:p w:rsidR="003D2438" w:rsidRPr="005B02EC" w:rsidP="00AC2CB0" w14:paraId="7A9D1832" w14:textId="77777777">
            <w:pPr>
              <w:spacing w:after="0"/>
              <w:jc w:val="center"/>
              <w:rPr>
                <w:rFonts w:eastAsia="Times New Roman"/>
                <w:color w:val="000000"/>
                <w:sz w:val="22"/>
                <w:szCs w:val="22"/>
              </w:rPr>
            </w:pPr>
            <w:r w:rsidRPr="005B02EC">
              <w:rPr>
                <w:rFonts w:eastAsia="Times New Roman"/>
                <w:color w:val="000000"/>
                <w:sz w:val="22"/>
                <w:szCs w:val="22"/>
              </w:rPr>
              <w:t>17,771.0</w:t>
            </w:r>
          </w:p>
        </w:tc>
        <w:tc>
          <w:tcPr>
            <w:tcW w:w="1480" w:type="dxa"/>
            <w:shd w:val="clear" w:color="auto" w:fill="auto"/>
            <w:vAlign w:val="center"/>
            <w:hideMark/>
          </w:tcPr>
          <w:p w:rsidR="003D2438" w:rsidRPr="005B02EC" w:rsidP="00AC2CB0" w14:paraId="77B61CD0"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207C5213"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5C6555C7"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369899F2" w14:textId="77777777">
            <w:pPr>
              <w:spacing w:after="0"/>
              <w:jc w:val="center"/>
              <w:rPr>
                <w:rFonts w:eastAsia="Times New Roman"/>
                <w:color w:val="000000"/>
                <w:sz w:val="22"/>
                <w:szCs w:val="22"/>
              </w:rPr>
            </w:pPr>
            <w:r w:rsidRPr="005B02EC">
              <w:rPr>
                <w:rFonts w:eastAsia="Times New Roman"/>
                <w:color w:val="000000"/>
                <w:sz w:val="22"/>
                <w:szCs w:val="22"/>
              </w:rPr>
              <w:t>17.8</w:t>
            </w:r>
          </w:p>
        </w:tc>
        <w:tc>
          <w:tcPr>
            <w:tcW w:w="1890" w:type="dxa"/>
            <w:shd w:val="clear" w:color="auto" w:fill="auto"/>
            <w:vAlign w:val="center"/>
            <w:hideMark/>
          </w:tcPr>
          <w:p w:rsidR="003D2438" w:rsidRPr="005B02EC" w:rsidP="00AC2CB0" w14:paraId="1756ACE9" w14:textId="77777777">
            <w:pPr>
              <w:spacing w:after="0"/>
              <w:jc w:val="center"/>
              <w:rPr>
                <w:rFonts w:eastAsia="Times New Roman"/>
                <w:color w:val="000000"/>
                <w:sz w:val="22"/>
                <w:szCs w:val="22"/>
              </w:rPr>
            </w:pPr>
            <w:r w:rsidRPr="005B02EC">
              <w:rPr>
                <w:rFonts w:eastAsia="Times New Roman"/>
                <w:color w:val="000000"/>
                <w:sz w:val="22"/>
                <w:szCs w:val="22"/>
              </w:rPr>
              <w:t>17,788.8</w:t>
            </w:r>
          </w:p>
        </w:tc>
      </w:tr>
      <w:tr w14:paraId="5730205B"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346A1FF0" w14:textId="53EBC0B8">
            <w:pPr>
              <w:spacing w:after="0"/>
              <w:rPr>
                <w:rFonts w:eastAsia="Times New Roman"/>
                <w:color w:val="000000"/>
                <w:sz w:val="22"/>
                <w:szCs w:val="22"/>
              </w:rPr>
            </w:pPr>
            <w:r w:rsidRPr="005B02EC">
              <w:rPr>
                <w:rFonts w:eastAsia="Times New Roman"/>
                <w:color w:val="000000"/>
                <w:sz w:val="22"/>
                <w:szCs w:val="22"/>
              </w:rPr>
              <w:t xml:space="preserve">Total </w:t>
            </w:r>
            <w:r w:rsidRPr="005B02EC" w:rsidR="003B1330">
              <w:rPr>
                <w:rFonts w:eastAsia="Times New Roman"/>
                <w:color w:val="000000"/>
                <w:sz w:val="22"/>
                <w:szCs w:val="22"/>
              </w:rPr>
              <w:t>High-Pressure</w:t>
            </w:r>
            <w:r w:rsidRPr="005B02EC">
              <w:rPr>
                <w:rFonts w:eastAsia="Times New Roman"/>
                <w:color w:val="000000"/>
                <w:sz w:val="22"/>
                <w:szCs w:val="22"/>
              </w:rPr>
              <w:t xml:space="preserve"> Cylinders</w:t>
            </w:r>
          </w:p>
        </w:tc>
        <w:tc>
          <w:tcPr>
            <w:tcW w:w="1480" w:type="dxa"/>
            <w:shd w:val="clear" w:color="auto" w:fill="auto"/>
            <w:vAlign w:val="center"/>
            <w:hideMark/>
          </w:tcPr>
          <w:p w:rsidR="003D2438" w:rsidRPr="005B02EC" w:rsidP="00AC2CB0" w14:paraId="665811A0" w14:textId="77777777">
            <w:pPr>
              <w:spacing w:after="0"/>
              <w:jc w:val="center"/>
              <w:rPr>
                <w:rFonts w:eastAsia="Times New Roman"/>
                <w:color w:val="000000"/>
                <w:sz w:val="22"/>
                <w:szCs w:val="22"/>
              </w:rPr>
            </w:pPr>
            <w:r w:rsidRPr="005B02EC">
              <w:rPr>
                <w:rFonts w:eastAsia="Times New Roman"/>
                <w:color w:val="000000"/>
                <w:sz w:val="22"/>
                <w:szCs w:val="22"/>
              </w:rPr>
              <w:t>31,817.5</w:t>
            </w:r>
          </w:p>
        </w:tc>
        <w:tc>
          <w:tcPr>
            <w:tcW w:w="1480" w:type="dxa"/>
            <w:shd w:val="clear" w:color="auto" w:fill="auto"/>
            <w:vAlign w:val="center"/>
            <w:hideMark/>
          </w:tcPr>
          <w:p w:rsidR="003D2438" w:rsidRPr="005B02EC" w:rsidP="00AC2CB0" w14:paraId="5BA9265A" w14:textId="77777777">
            <w:pPr>
              <w:spacing w:after="0"/>
              <w:jc w:val="center"/>
              <w:rPr>
                <w:rFonts w:eastAsia="Times New Roman"/>
                <w:color w:val="000000"/>
                <w:sz w:val="22"/>
                <w:szCs w:val="22"/>
              </w:rPr>
            </w:pPr>
            <w:r w:rsidRPr="005B02EC">
              <w:rPr>
                <w:rFonts w:eastAsia="Times New Roman"/>
                <w:color w:val="000000"/>
                <w:sz w:val="22"/>
                <w:szCs w:val="22"/>
              </w:rPr>
              <w:t>175.3</w:t>
            </w:r>
          </w:p>
        </w:tc>
        <w:tc>
          <w:tcPr>
            <w:tcW w:w="1580" w:type="dxa"/>
            <w:shd w:val="clear" w:color="auto" w:fill="auto"/>
            <w:vAlign w:val="center"/>
            <w:hideMark/>
          </w:tcPr>
          <w:p w:rsidR="003D2438" w:rsidRPr="005B02EC" w:rsidP="00AC2CB0" w14:paraId="033134DF" w14:textId="77777777">
            <w:pPr>
              <w:spacing w:after="0"/>
              <w:jc w:val="center"/>
              <w:rPr>
                <w:rFonts w:eastAsia="Times New Roman"/>
                <w:color w:val="000000"/>
                <w:sz w:val="22"/>
                <w:szCs w:val="22"/>
              </w:rPr>
            </w:pPr>
            <w:r w:rsidRPr="005B02EC">
              <w:rPr>
                <w:rFonts w:eastAsia="Times New Roman"/>
                <w:color w:val="000000"/>
                <w:sz w:val="22"/>
                <w:szCs w:val="22"/>
              </w:rPr>
              <w:t>478.8</w:t>
            </w:r>
          </w:p>
        </w:tc>
        <w:tc>
          <w:tcPr>
            <w:tcW w:w="1710" w:type="dxa"/>
            <w:shd w:val="clear" w:color="auto" w:fill="auto"/>
            <w:vAlign w:val="center"/>
            <w:hideMark/>
          </w:tcPr>
          <w:p w:rsidR="003D2438" w:rsidRPr="005B02EC" w:rsidP="00AC2CB0" w14:paraId="11C61140" w14:textId="77777777">
            <w:pPr>
              <w:spacing w:after="0"/>
              <w:jc w:val="center"/>
              <w:rPr>
                <w:rFonts w:eastAsia="Times New Roman"/>
                <w:color w:val="000000"/>
                <w:sz w:val="22"/>
                <w:szCs w:val="22"/>
              </w:rPr>
            </w:pPr>
            <w:r w:rsidRPr="005B02EC">
              <w:rPr>
                <w:rFonts w:eastAsia="Times New Roman"/>
                <w:color w:val="000000"/>
                <w:sz w:val="22"/>
                <w:szCs w:val="22"/>
              </w:rPr>
              <w:t>58.4</w:t>
            </w:r>
          </w:p>
        </w:tc>
        <w:tc>
          <w:tcPr>
            <w:tcW w:w="1800" w:type="dxa"/>
            <w:shd w:val="clear" w:color="auto" w:fill="auto"/>
            <w:vAlign w:val="center"/>
            <w:hideMark/>
          </w:tcPr>
          <w:p w:rsidR="003D2438" w:rsidRPr="005B02EC" w:rsidP="00AC2CB0" w14:paraId="76908D9B" w14:textId="77777777">
            <w:pPr>
              <w:spacing w:after="0"/>
              <w:jc w:val="center"/>
              <w:rPr>
                <w:rFonts w:eastAsia="Times New Roman"/>
                <w:color w:val="000000"/>
                <w:sz w:val="22"/>
                <w:szCs w:val="22"/>
              </w:rPr>
            </w:pPr>
            <w:r w:rsidRPr="005B02EC">
              <w:rPr>
                <w:rFonts w:eastAsia="Times New Roman"/>
                <w:color w:val="000000"/>
                <w:sz w:val="22"/>
                <w:szCs w:val="22"/>
              </w:rPr>
              <w:t>257.1</w:t>
            </w:r>
          </w:p>
        </w:tc>
        <w:tc>
          <w:tcPr>
            <w:tcW w:w="1890" w:type="dxa"/>
            <w:shd w:val="clear" w:color="auto" w:fill="auto"/>
            <w:vAlign w:val="center"/>
            <w:hideMark/>
          </w:tcPr>
          <w:p w:rsidR="003D2438" w:rsidRPr="005B02EC" w:rsidP="00AC2CB0" w14:paraId="22955D7C" w14:textId="77777777">
            <w:pPr>
              <w:spacing w:after="0"/>
              <w:jc w:val="center"/>
              <w:rPr>
                <w:rFonts w:eastAsia="Times New Roman"/>
                <w:color w:val="000000"/>
                <w:sz w:val="22"/>
                <w:szCs w:val="22"/>
              </w:rPr>
            </w:pPr>
            <w:r w:rsidRPr="005B02EC">
              <w:rPr>
                <w:rFonts w:eastAsia="Times New Roman"/>
                <w:color w:val="000000"/>
                <w:sz w:val="22"/>
                <w:szCs w:val="22"/>
              </w:rPr>
              <w:t>32,787.3</w:t>
            </w:r>
          </w:p>
        </w:tc>
      </w:tr>
      <w:tr w14:paraId="42F22370" w14:textId="77777777" w:rsidTr="00246ECD">
        <w:tblPrEx>
          <w:tblW w:w="5000" w:type="pct"/>
          <w:tblLook w:val="04A0"/>
        </w:tblPrEx>
        <w:trPr>
          <w:trHeight w:val="216"/>
        </w:trPr>
        <w:tc>
          <w:tcPr>
            <w:tcW w:w="12860" w:type="dxa"/>
            <w:gridSpan w:val="7"/>
            <w:shd w:val="clear" w:color="auto" w:fill="D9D9D9" w:themeFill="background1" w:themeFillShade="D9"/>
            <w:vAlign w:val="center"/>
            <w:hideMark/>
          </w:tcPr>
          <w:p w:rsidR="003D2438" w:rsidRPr="005B02EC" w:rsidP="003D2438" w14:paraId="6C5639BE" w14:textId="77777777">
            <w:pPr>
              <w:spacing w:after="0"/>
              <w:rPr>
                <w:rFonts w:eastAsia="Times New Roman"/>
                <w:b/>
                <w:bCs/>
                <w:color w:val="000000"/>
                <w:sz w:val="22"/>
                <w:szCs w:val="22"/>
              </w:rPr>
            </w:pPr>
            <w:r w:rsidRPr="005B02EC">
              <w:rPr>
                <w:rFonts w:eastAsia="Times New Roman"/>
                <w:b/>
                <w:bCs/>
                <w:color w:val="000000"/>
                <w:sz w:val="22"/>
                <w:szCs w:val="22"/>
              </w:rPr>
              <w:t>Cryogenic Containers</w:t>
            </w:r>
          </w:p>
        </w:tc>
      </w:tr>
      <w:tr w14:paraId="0E5330F1"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5E464B70" w14:textId="77777777">
            <w:pPr>
              <w:spacing w:after="0"/>
              <w:rPr>
                <w:rFonts w:eastAsia="Times New Roman"/>
                <w:color w:val="000000"/>
                <w:sz w:val="22"/>
                <w:szCs w:val="22"/>
              </w:rPr>
            </w:pPr>
            <w:r w:rsidRPr="005B02EC">
              <w:rPr>
                <w:rFonts w:eastAsia="Times New Roman"/>
                <w:color w:val="000000"/>
                <w:sz w:val="22"/>
                <w:szCs w:val="22"/>
              </w:rPr>
              <w:t>Liquid Cylinders</w:t>
            </w:r>
          </w:p>
        </w:tc>
        <w:tc>
          <w:tcPr>
            <w:tcW w:w="1480" w:type="dxa"/>
            <w:shd w:val="clear" w:color="auto" w:fill="auto"/>
            <w:vAlign w:val="center"/>
            <w:hideMark/>
          </w:tcPr>
          <w:p w:rsidR="003D2438" w:rsidRPr="005B02EC" w:rsidP="00AC2CB0" w14:paraId="49C8FA07" w14:textId="77777777">
            <w:pPr>
              <w:spacing w:after="0"/>
              <w:jc w:val="center"/>
              <w:rPr>
                <w:rFonts w:eastAsia="Times New Roman"/>
                <w:color w:val="000000"/>
                <w:sz w:val="22"/>
                <w:szCs w:val="22"/>
              </w:rPr>
            </w:pPr>
            <w:r w:rsidRPr="005B02EC">
              <w:rPr>
                <w:rFonts w:eastAsia="Times New Roman"/>
                <w:color w:val="000000"/>
                <w:sz w:val="22"/>
                <w:szCs w:val="22"/>
              </w:rPr>
              <w:t>84.9</w:t>
            </w:r>
          </w:p>
        </w:tc>
        <w:tc>
          <w:tcPr>
            <w:tcW w:w="1480" w:type="dxa"/>
            <w:shd w:val="clear" w:color="auto" w:fill="auto"/>
            <w:vAlign w:val="center"/>
            <w:hideMark/>
          </w:tcPr>
          <w:p w:rsidR="003D2438" w:rsidRPr="005B02EC" w:rsidP="00AC2CB0" w14:paraId="3E2CBF6D" w14:textId="77777777">
            <w:pPr>
              <w:spacing w:after="0"/>
              <w:jc w:val="center"/>
              <w:rPr>
                <w:rFonts w:eastAsia="Times New Roman"/>
                <w:color w:val="000000"/>
                <w:sz w:val="22"/>
                <w:szCs w:val="22"/>
              </w:rPr>
            </w:pPr>
            <w:r w:rsidRPr="005B02EC">
              <w:rPr>
                <w:rFonts w:eastAsia="Times New Roman"/>
                <w:color w:val="000000"/>
                <w:sz w:val="22"/>
                <w:szCs w:val="22"/>
              </w:rPr>
              <w:t>2.9</w:t>
            </w:r>
          </w:p>
        </w:tc>
        <w:tc>
          <w:tcPr>
            <w:tcW w:w="1580" w:type="dxa"/>
            <w:shd w:val="clear" w:color="auto" w:fill="auto"/>
            <w:vAlign w:val="center"/>
            <w:hideMark/>
          </w:tcPr>
          <w:p w:rsidR="003D2438" w:rsidRPr="005B02EC" w:rsidP="00AC2CB0" w14:paraId="55B88D1E"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240A8D8B"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43E4D893"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3D555964" w14:textId="77777777">
            <w:pPr>
              <w:spacing w:after="0"/>
              <w:jc w:val="center"/>
              <w:rPr>
                <w:rFonts w:eastAsia="Times New Roman"/>
                <w:color w:val="000000"/>
                <w:sz w:val="22"/>
                <w:szCs w:val="22"/>
              </w:rPr>
            </w:pPr>
            <w:r w:rsidRPr="005B02EC">
              <w:rPr>
                <w:rFonts w:eastAsia="Times New Roman"/>
                <w:color w:val="000000"/>
                <w:sz w:val="22"/>
                <w:szCs w:val="22"/>
              </w:rPr>
              <w:t>87.8</w:t>
            </w:r>
          </w:p>
        </w:tc>
      </w:tr>
      <w:tr w14:paraId="27A950E7"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28893856" w14:textId="77777777">
            <w:pPr>
              <w:spacing w:after="0"/>
              <w:rPr>
                <w:rFonts w:eastAsia="Times New Roman"/>
                <w:color w:val="000000"/>
                <w:sz w:val="22"/>
                <w:szCs w:val="22"/>
              </w:rPr>
            </w:pPr>
            <w:r w:rsidRPr="005B02EC">
              <w:rPr>
                <w:rFonts w:eastAsia="Times New Roman"/>
                <w:color w:val="000000"/>
                <w:sz w:val="22"/>
                <w:szCs w:val="22"/>
              </w:rPr>
              <w:t>Small Tanks</w:t>
            </w:r>
          </w:p>
        </w:tc>
        <w:tc>
          <w:tcPr>
            <w:tcW w:w="1480" w:type="dxa"/>
            <w:shd w:val="clear" w:color="auto" w:fill="auto"/>
            <w:vAlign w:val="center"/>
            <w:hideMark/>
          </w:tcPr>
          <w:p w:rsidR="003D2438" w:rsidRPr="005B02EC" w:rsidP="00AC2CB0" w14:paraId="33430A38" w14:textId="77777777">
            <w:pPr>
              <w:spacing w:after="0"/>
              <w:jc w:val="center"/>
              <w:rPr>
                <w:rFonts w:eastAsia="Times New Roman"/>
                <w:color w:val="000000"/>
                <w:sz w:val="22"/>
                <w:szCs w:val="22"/>
              </w:rPr>
            </w:pPr>
            <w:r w:rsidRPr="005B02EC">
              <w:rPr>
                <w:rFonts w:eastAsia="Times New Roman"/>
                <w:color w:val="000000"/>
                <w:sz w:val="22"/>
                <w:szCs w:val="22"/>
              </w:rPr>
              <w:t>3.3</w:t>
            </w:r>
          </w:p>
        </w:tc>
        <w:tc>
          <w:tcPr>
            <w:tcW w:w="1480" w:type="dxa"/>
            <w:shd w:val="clear" w:color="auto" w:fill="auto"/>
            <w:vAlign w:val="center"/>
            <w:hideMark/>
          </w:tcPr>
          <w:p w:rsidR="003D2438" w:rsidRPr="005B02EC" w:rsidP="00AC2CB0" w14:paraId="2DEBCB0E"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49D9A137"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3D0A9F9C"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5B99FB56"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3D4C0003" w14:textId="77777777">
            <w:pPr>
              <w:spacing w:after="0"/>
              <w:jc w:val="center"/>
              <w:rPr>
                <w:rFonts w:eastAsia="Times New Roman"/>
                <w:color w:val="000000"/>
                <w:sz w:val="22"/>
                <w:szCs w:val="22"/>
              </w:rPr>
            </w:pPr>
            <w:r w:rsidRPr="005B02EC">
              <w:rPr>
                <w:rFonts w:eastAsia="Times New Roman"/>
                <w:color w:val="000000"/>
                <w:sz w:val="22"/>
                <w:szCs w:val="22"/>
              </w:rPr>
              <w:t>3.3</w:t>
            </w:r>
          </w:p>
        </w:tc>
      </w:tr>
      <w:tr w14:paraId="54668963"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25917148" w14:textId="77777777">
            <w:pPr>
              <w:spacing w:after="0"/>
              <w:rPr>
                <w:rFonts w:eastAsia="Times New Roman"/>
                <w:color w:val="000000"/>
                <w:sz w:val="22"/>
                <w:szCs w:val="22"/>
              </w:rPr>
            </w:pPr>
            <w:r w:rsidRPr="005B02EC">
              <w:rPr>
                <w:rFonts w:eastAsia="Times New Roman"/>
                <w:color w:val="000000"/>
                <w:sz w:val="22"/>
                <w:szCs w:val="22"/>
              </w:rPr>
              <w:t>Healthcare Reservoirs</w:t>
            </w:r>
          </w:p>
        </w:tc>
        <w:tc>
          <w:tcPr>
            <w:tcW w:w="1480" w:type="dxa"/>
            <w:shd w:val="clear" w:color="auto" w:fill="auto"/>
            <w:vAlign w:val="center"/>
            <w:hideMark/>
          </w:tcPr>
          <w:p w:rsidR="003D2438" w:rsidRPr="005B02EC" w:rsidP="00AC2CB0" w14:paraId="57B395F2" w14:textId="77777777">
            <w:pPr>
              <w:spacing w:after="0"/>
              <w:jc w:val="center"/>
              <w:rPr>
                <w:rFonts w:eastAsia="Times New Roman"/>
                <w:color w:val="000000"/>
                <w:sz w:val="22"/>
                <w:szCs w:val="22"/>
              </w:rPr>
            </w:pPr>
            <w:r w:rsidRPr="005B02EC">
              <w:rPr>
                <w:rFonts w:eastAsia="Times New Roman"/>
                <w:color w:val="000000"/>
                <w:sz w:val="22"/>
                <w:szCs w:val="22"/>
              </w:rPr>
              <w:t>490.0</w:t>
            </w:r>
          </w:p>
        </w:tc>
        <w:tc>
          <w:tcPr>
            <w:tcW w:w="1480" w:type="dxa"/>
            <w:shd w:val="clear" w:color="auto" w:fill="auto"/>
            <w:vAlign w:val="center"/>
            <w:hideMark/>
          </w:tcPr>
          <w:p w:rsidR="003D2438" w:rsidRPr="005B02EC" w:rsidP="00AC2CB0" w14:paraId="1F8C46FF"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638C758F"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1E86CF62"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34CEB3AD"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78CFBBDA" w14:textId="77777777">
            <w:pPr>
              <w:spacing w:after="0"/>
              <w:jc w:val="center"/>
              <w:rPr>
                <w:rFonts w:eastAsia="Times New Roman"/>
                <w:color w:val="000000"/>
                <w:sz w:val="22"/>
                <w:szCs w:val="22"/>
              </w:rPr>
            </w:pPr>
            <w:r w:rsidRPr="005B02EC">
              <w:rPr>
                <w:rFonts w:eastAsia="Times New Roman"/>
                <w:color w:val="000000"/>
                <w:sz w:val="22"/>
                <w:szCs w:val="22"/>
              </w:rPr>
              <w:t>490.0</w:t>
            </w:r>
          </w:p>
        </w:tc>
      </w:tr>
      <w:tr w14:paraId="01011A2C"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7CB18A15" w14:textId="77777777">
            <w:pPr>
              <w:spacing w:after="0"/>
              <w:rPr>
                <w:rFonts w:eastAsia="Times New Roman"/>
                <w:color w:val="000000"/>
                <w:sz w:val="22"/>
                <w:szCs w:val="22"/>
              </w:rPr>
            </w:pPr>
            <w:r w:rsidRPr="005B02EC">
              <w:rPr>
                <w:rFonts w:eastAsia="Times New Roman"/>
                <w:color w:val="000000"/>
                <w:sz w:val="22"/>
                <w:szCs w:val="22"/>
              </w:rPr>
              <w:t>Small Trucks</w:t>
            </w:r>
          </w:p>
        </w:tc>
        <w:tc>
          <w:tcPr>
            <w:tcW w:w="1480" w:type="dxa"/>
            <w:shd w:val="clear" w:color="auto" w:fill="auto"/>
            <w:vAlign w:val="center"/>
            <w:hideMark/>
          </w:tcPr>
          <w:p w:rsidR="003D2438" w:rsidRPr="005B02EC" w:rsidP="00AC2CB0" w14:paraId="420B2FC8" w14:textId="77777777">
            <w:pPr>
              <w:spacing w:after="0"/>
              <w:jc w:val="center"/>
              <w:rPr>
                <w:rFonts w:eastAsia="Times New Roman"/>
                <w:color w:val="000000"/>
                <w:sz w:val="22"/>
                <w:szCs w:val="22"/>
              </w:rPr>
            </w:pPr>
            <w:r w:rsidRPr="005B02EC">
              <w:rPr>
                <w:rFonts w:eastAsia="Times New Roman"/>
                <w:color w:val="000000"/>
                <w:sz w:val="22"/>
                <w:szCs w:val="22"/>
              </w:rPr>
              <w:t>1.3</w:t>
            </w:r>
          </w:p>
        </w:tc>
        <w:tc>
          <w:tcPr>
            <w:tcW w:w="1480" w:type="dxa"/>
            <w:shd w:val="clear" w:color="auto" w:fill="auto"/>
            <w:vAlign w:val="center"/>
            <w:hideMark/>
          </w:tcPr>
          <w:p w:rsidR="003D2438" w:rsidRPr="005B02EC" w:rsidP="00AC2CB0" w14:paraId="4234D1B7"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7F5E2CF2"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5AEF4D74"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297B39A0"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775E8AD6" w14:textId="77777777">
            <w:pPr>
              <w:spacing w:after="0"/>
              <w:jc w:val="center"/>
              <w:rPr>
                <w:rFonts w:eastAsia="Times New Roman"/>
                <w:color w:val="000000"/>
                <w:sz w:val="22"/>
                <w:szCs w:val="22"/>
              </w:rPr>
            </w:pPr>
            <w:r w:rsidRPr="005B02EC">
              <w:rPr>
                <w:rFonts w:eastAsia="Times New Roman"/>
                <w:color w:val="000000"/>
                <w:sz w:val="22"/>
                <w:szCs w:val="22"/>
              </w:rPr>
              <w:t>1.3</w:t>
            </w:r>
          </w:p>
        </w:tc>
      </w:tr>
      <w:tr w14:paraId="6B9F0BE9"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2255C927" w14:textId="77777777">
            <w:pPr>
              <w:spacing w:after="0"/>
              <w:rPr>
                <w:rFonts w:eastAsia="Times New Roman"/>
                <w:color w:val="000000"/>
                <w:sz w:val="22"/>
                <w:szCs w:val="22"/>
              </w:rPr>
            </w:pPr>
            <w:r w:rsidRPr="005B02EC">
              <w:rPr>
                <w:rFonts w:eastAsia="Times New Roman"/>
                <w:color w:val="000000"/>
                <w:sz w:val="22"/>
                <w:szCs w:val="22"/>
              </w:rPr>
              <w:t>Total Cryogenic Containers</w:t>
            </w:r>
          </w:p>
        </w:tc>
        <w:tc>
          <w:tcPr>
            <w:tcW w:w="1480" w:type="dxa"/>
            <w:shd w:val="clear" w:color="auto" w:fill="auto"/>
            <w:vAlign w:val="center"/>
            <w:hideMark/>
          </w:tcPr>
          <w:p w:rsidR="003D2438" w:rsidRPr="005B02EC" w:rsidP="00AC2CB0" w14:paraId="5012955D" w14:textId="77777777">
            <w:pPr>
              <w:spacing w:after="0"/>
              <w:jc w:val="center"/>
              <w:rPr>
                <w:rFonts w:eastAsia="Times New Roman"/>
                <w:color w:val="000000"/>
                <w:sz w:val="22"/>
                <w:szCs w:val="22"/>
              </w:rPr>
            </w:pPr>
            <w:r w:rsidRPr="005B02EC">
              <w:rPr>
                <w:rFonts w:eastAsia="Times New Roman"/>
                <w:color w:val="000000"/>
                <w:sz w:val="22"/>
                <w:szCs w:val="22"/>
              </w:rPr>
              <w:t>579.4</w:t>
            </w:r>
          </w:p>
        </w:tc>
        <w:tc>
          <w:tcPr>
            <w:tcW w:w="1480" w:type="dxa"/>
            <w:shd w:val="clear" w:color="auto" w:fill="auto"/>
            <w:vAlign w:val="center"/>
            <w:hideMark/>
          </w:tcPr>
          <w:p w:rsidR="003D2438" w:rsidRPr="005B02EC" w:rsidP="00AC2CB0" w14:paraId="73F8FEF7" w14:textId="77777777">
            <w:pPr>
              <w:spacing w:after="0"/>
              <w:jc w:val="center"/>
              <w:rPr>
                <w:rFonts w:eastAsia="Times New Roman"/>
                <w:color w:val="000000"/>
                <w:sz w:val="22"/>
                <w:szCs w:val="22"/>
              </w:rPr>
            </w:pPr>
            <w:r w:rsidRPr="005B02EC">
              <w:rPr>
                <w:rFonts w:eastAsia="Times New Roman"/>
                <w:color w:val="000000"/>
                <w:sz w:val="22"/>
                <w:szCs w:val="22"/>
              </w:rPr>
              <w:t>2.9</w:t>
            </w:r>
          </w:p>
        </w:tc>
        <w:tc>
          <w:tcPr>
            <w:tcW w:w="1580" w:type="dxa"/>
            <w:shd w:val="clear" w:color="auto" w:fill="auto"/>
            <w:vAlign w:val="center"/>
            <w:hideMark/>
          </w:tcPr>
          <w:p w:rsidR="003D2438" w:rsidRPr="005B02EC" w:rsidP="00AC2CB0" w14:paraId="325A3AB9"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710" w:type="dxa"/>
            <w:shd w:val="clear" w:color="auto" w:fill="auto"/>
            <w:vAlign w:val="center"/>
            <w:hideMark/>
          </w:tcPr>
          <w:p w:rsidR="003D2438" w:rsidRPr="005B02EC" w:rsidP="00AC2CB0" w14:paraId="4A8BA1C0"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69C914B8"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622CCC1B" w14:textId="77777777">
            <w:pPr>
              <w:spacing w:after="0"/>
              <w:jc w:val="center"/>
              <w:rPr>
                <w:rFonts w:eastAsia="Times New Roman"/>
                <w:color w:val="000000"/>
                <w:sz w:val="22"/>
                <w:szCs w:val="22"/>
              </w:rPr>
            </w:pPr>
            <w:r w:rsidRPr="005B02EC">
              <w:rPr>
                <w:rFonts w:eastAsia="Times New Roman"/>
                <w:color w:val="000000"/>
                <w:sz w:val="22"/>
                <w:szCs w:val="22"/>
              </w:rPr>
              <w:t>582.3</w:t>
            </w:r>
          </w:p>
        </w:tc>
      </w:tr>
      <w:tr w14:paraId="366D114E" w14:textId="77777777" w:rsidTr="00246ECD">
        <w:tblPrEx>
          <w:tblW w:w="5000" w:type="pct"/>
          <w:tblLook w:val="04A0"/>
        </w:tblPrEx>
        <w:trPr>
          <w:trHeight w:val="216"/>
        </w:trPr>
        <w:tc>
          <w:tcPr>
            <w:tcW w:w="12860" w:type="dxa"/>
            <w:gridSpan w:val="7"/>
            <w:shd w:val="clear" w:color="auto" w:fill="D9D9D9" w:themeFill="background1" w:themeFillShade="D9"/>
            <w:vAlign w:val="center"/>
            <w:hideMark/>
          </w:tcPr>
          <w:p w:rsidR="003D2438" w:rsidRPr="005B02EC" w:rsidP="003D2438" w14:paraId="4F98DD42" w14:textId="77777777">
            <w:pPr>
              <w:spacing w:after="0"/>
              <w:rPr>
                <w:rFonts w:eastAsia="Times New Roman"/>
                <w:b/>
                <w:bCs/>
                <w:color w:val="000000"/>
                <w:sz w:val="22"/>
                <w:szCs w:val="22"/>
              </w:rPr>
            </w:pPr>
            <w:r w:rsidRPr="005B02EC">
              <w:rPr>
                <w:rFonts w:eastAsia="Times New Roman"/>
                <w:b/>
                <w:bCs/>
                <w:color w:val="000000"/>
                <w:sz w:val="22"/>
                <w:szCs w:val="22"/>
              </w:rPr>
              <w:t>Storage and Delivery</w:t>
            </w:r>
          </w:p>
        </w:tc>
      </w:tr>
      <w:tr w14:paraId="26D31190"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113DBF7F" w14:textId="77777777">
            <w:pPr>
              <w:spacing w:after="0"/>
              <w:rPr>
                <w:rFonts w:eastAsia="Times New Roman"/>
                <w:color w:val="000000"/>
                <w:sz w:val="22"/>
                <w:szCs w:val="22"/>
              </w:rPr>
            </w:pPr>
            <w:r w:rsidRPr="005B02EC">
              <w:rPr>
                <w:rFonts w:eastAsia="Times New Roman"/>
                <w:color w:val="000000"/>
                <w:sz w:val="22"/>
                <w:szCs w:val="22"/>
              </w:rPr>
              <w:t>Bulk Tanks</w:t>
            </w:r>
          </w:p>
        </w:tc>
        <w:tc>
          <w:tcPr>
            <w:tcW w:w="1480" w:type="dxa"/>
            <w:shd w:val="clear" w:color="auto" w:fill="auto"/>
            <w:vAlign w:val="center"/>
            <w:hideMark/>
          </w:tcPr>
          <w:p w:rsidR="003D2438" w:rsidRPr="005B02EC" w:rsidP="00AC2CB0" w14:paraId="08E81CAB" w14:textId="77777777">
            <w:pPr>
              <w:spacing w:after="0"/>
              <w:jc w:val="center"/>
              <w:rPr>
                <w:rFonts w:eastAsia="Times New Roman"/>
                <w:color w:val="000000"/>
                <w:sz w:val="22"/>
                <w:szCs w:val="22"/>
              </w:rPr>
            </w:pPr>
            <w:r w:rsidRPr="005B02EC">
              <w:rPr>
                <w:rFonts w:eastAsia="Times New Roman"/>
                <w:color w:val="000000"/>
                <w:sz w:val="22"/>
                <w:szCs w:val="22"/>
              </w:rPr>
              <w:t>24.6</w:t>
            </w:r>
          </w:p>
        </w:tc>
        <w:tc>
          <w:tcPr>
            <w:tcW w:w="1480" w:type="dxa"/>
            <w:shd w:val="clear" w:color="auto" w:fill="auto"/>
            <w:vAlign w:val="center"/>
            <w:hideMark/>
          </w:tcPr>
          <w:p w:rsidR="003D2438" w:rsidRPr="005B02EC" w:rsidP="00AC2CB0" w14:paraId="4BA08212" w14:textId="77777777">
            <w:pPr>
              <w:spacing w:after="0"/>
              <w:jc w:val="center"/>
              <w:rPr>
                <w:rFonts w:eastAsia="Times New Roman"/>
                <w:color w:val="000000"/>
                <w:sz w:val="22"/>
                <w:szCs w:val="22"/>
              </w:rPr>
            </w:pPr>
            <w:r w:rsidRPr="005B02EC">
              <w:rPr>
                <w:rFonts w:eastAsia="Times New Roman"/>
                <w:color w:val="000000"/>
                <w:sz w:val="22"/>
                <w:szCs w:val="22"/>
              </w:rPr>
              <w:t>1.7</w:t>
            </w:r>
          </w:p>
        </w:tc>
        <w:tc>
          <w:tcPr>
            <w:tcW w:w="1580" w:type="dxa"/>
            <w:shd w:val="clear" w:color="auto" w:fill="auto"/>
            <w:vAlign w:val="center"/>
            <w:hideMark/>
          </w:tcPr>
          <w:p w:rsidR="003D2438" w:rsidRPr="005B02EC" w:rsidP="00AC2CB0" w14:paraId="67AABDFC" w14:textId="77777777">
            <w:pPr>
              <w:spacing w:after="0"/>
              <w:jc w:val="center"/>
              <w:rPr>
                <w:rFonts w:eastAsia="Times New Roman"/>
                <w:color w:val="000000"/>
                <w:sz w:val="22"/>
                <w:szCs w:val="22"/>
              </w:rPr>
            </w:pPr>
            <w:r w:rsidRPr="005B02EC">
              <w:rPr>
                <w:rFonts w:eastAsia="Times New Roman"/>
                <w:color w:val="000000"/>
                <w:sz w:val="22"/>
                <w:szCs w:val="22"/>
              </w:rPr>
              <w:t>0.6</w:t>
            </w:r>
          </w:p>
        </w:tc>
        <w:tc>
          <w:tcPr>
            <w:tcW w:w="1710" w:type="dxa"/>
            <w:shd w:val="clear" w:color="auto" w:fill="auto"/>
            <w:vAlign w:val="center"/>
            <w:hideMark/>
          </w:tcPr>
          <w:p w:rsidR="003D2438" w:rsidRPr="005B02EC" w:rsidP="00AC2CB0" w14:paraId="1C475766"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77F09847"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640ECCC8" w14:textId="77777777">
            <w:pPr>
              <w:spacing w:after="0"/>
              <w:jc w:val="center"/>
              <w:rPr>
                <w:rFonts w:eastAsia="Times New Roman"/>
                <w:color w:val="000000"/>
                <w:sz w:val="22"/>
                <w:szCs w:val="22"/>
              </w:rPr>
            </w:pPr>
            <w:r w:rsidRPr="005B02EC">
              <w:rPr>
                <w:rFonts w:eastAsia="Times New Roman"/>
                <w:color w:val="000000"/>
                <w:sz w:val="22"/>
                <w:szCs w:val="22"/>
              </w:rPr>
              <w:t>26.9</w:t>
            </w:r>
          </w:p>
        </w:tc>
      </w:tr>
      <w:tr w14:paraId="2A3553F5"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0A55934A" w14:textId="77777777">
            <w:pPr>
              <w:spacing w:after="0"/>
              <w:rPr>
                <w:rFonts w:eastAsia="Times New Roman"/>
                <w:color w:val="000000"/>
                <w:sz w:val="22"/>
                <w:szCs w:val="22"/>
              </w:rPr>
            </w:pPr>
            <w:r w:rsidRPr="005B02EC">
              <w:rPr>
                <w:rFonts w:eastAsia="Times New Roman"/>
                <w:color w:val="000000"/>
                <w:sz w:val="22"/>
                <w:szCs w:val="22"/>
              </w:rPr>
              <w:t>Tanker Trucks</w:t>
            </w:r>
          </w:p>
        </w:tc>
        <w:tc>
          <w:tcPr>
            <w:tcW w:w="1480" w:type="dxa"/>
            <w:shd w:val="clear" w:color="auto" w:fill="auto"/>
            <w:vAlign w:val="center"/>
            <w:hideMark/>
          </w:tcPr>
          <w:p w:rsidR="003D2438" w:rsidRPr="005B02EC" w:rsidP="00AC2CB0" w14:paraId="1000266C" w14:textId="77777777">
            <w:pPr>
              <w:spacing w:after="0"/>
              <w:jc w:val="center"/>
              <w:rPr>
                <w:rFonts w:eastAsia="Times New Roman"/>
                <w:color w:val="000000"/>
                <w:sz w:val="22"/>
                <w:szCs w:val="22"/>
              </w:rPr>
            </w:pPr>
            <w:r w:rsidRPr="005B02EC">
              <w:rPr>
                <w:rFonts w:eastAsia="Times New Roman"/>
                <w:color w:val="000000"/>
                <w:sz w:val="22"/>
                <w:szCs w:val="22"/>
              </w:rPr>
              <w:t>2.6</w:t>
            </w:r>
          </w:p>
        </w:tc>
        <w:tc>
          <w:tcPr>
            <w:tcW w:w="1480" w:type="dxa"/>
            <w:shd w:val="clear" w:color="auto" w:fill="auto"/>
            <w:vAlign w:val="center"/>
            <w:hideMark/>
          </w:tcPr>
          <w:p w:rsidR="003D2438" w:rsidRPr="005B02EC" w:rsidP="00AC2CB0" w14:paraId="70CEBAF9"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580" w:type="dxa"/>
            <w:shd w:val="clear" w:color="auto" w:fill="auto"/>
            <w:vAlign w:val="center"/>
            <w:hideMark/>
          </w:tcPr>
          <w:p w:rsidR="003D2438" w:rsidRPr="005B02EC" w:rsidP="00AC2CB0" w14:paraId="45E7D612" w14:textId="77777777">
            <w:pPr>
              <w:spacing w:after="0"/>
              <w:jc w:val="center"/>
              <w:rPr>
                <w:rFonts w:eastAsia="Times New Roman"/>
                <w:color w:val="000000"/>
                <w:sz w:val="22"/>
                <w:szCs w:val="22"/>
              </w:rPr>
            </w:pPr>
            <w:r w:rsidRPr="005B02EC">
              <w:rPr>
                <w:rFonts w:eastAsia="Times New Roman"/>
                <w:color w:val="000000"/>
                <w:sz w:val="22"/>
                <w:szCs w:val="22"/>
              </w:rPr>
              <w:t>0.3</w:t>
            </w:r>
          </w:p>
        </w:tc>
        <w:tc>
          <w:tcPr>
            <w:tcW w:w="1710" w:type="dxa"/>
            <w:shd w:val="clear" w:color="auto" w:fill="auto"/>
            <w:vAlign w:val="center"/>
            <w:hideMark/>
          </w:tcPr>
          <w:p w:rsidR="003D2438" w:rsidRPr="005B02EC" w:rsidP="00AC2CB0" w14:paraId="6A0C54DE"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00" w:type="dxa"/>
            <w:shd w:val="clear" w:color="auto" w:fill="auto"/>
            <w:vAlign w:val="center"/>
            <w:hideMark/>
          </w:tcPr>
          <w:p w:rsidR="003D2438" w:rsidRPr="005B02EC" w:rsidP="00AC2CB0" w14:paraId="7620AACD" w14:textId="77777777">
            <w:pPr>
              <w:spacing w:after="0"/>
              <w:jc w:val="center"/>
              <w:rPr>
                <w:rFonts w:eastAsia="Times New Roman"/>
                <w:color w:val="000000"/>
                <w:sz w:val="22"/>
                <w:szCs w:val="22"/>
              </w:rPr>
            </w:pPr>
            <w:r w:rsidRPr="005B02EC">
              <w:rPr>
                <w:rFonts w:eastAsia="Times New Roman"/>
                <w:color w:val="000000"/>
                <w:sz w:val="22"/>
                <w:szCs w:val="22"/>
              </w:rPr>
              <w:t>0.0</w:t>
            </w:r>
          </w:p>
        </w:tc>
        <w:tc>
          <w:tcPr>
            <w:tcW w:w="1890" w:type="dxa"/>
            <w:shd w:val="clear" w:color="auto" w:fill="auto"/>
            <w:vAlign w:val="center"/>
            <w:hideMark/>
          </w:tcPr>
          <w:p w:rsidR="003D2438" w:rsidRPr="005B02EC" w:rsidP="00AC2CB0" w14:paraId="5E4578BA" w14:textId="77777777">
            <w:pPr>
              <w:spacing w:after="0"/>
              <w:jc w:val="center"/>
              <w:rPr>
                <w:rFonts w:eastAsia="Times New Roman"/>
                <w:color w:val="000000"/>
                <w:sz w:val="22"/>
                <w:szCs w:val="22"/>
              </w:rPr>
            </w:pPr>
            <w:r w:rsidRPr="005B02EC">
              <w:rPr>
                <w:rFonts w:eastAsia="Times New Roman"/>
                <w:color w:val="000000"/>
                <w:sz w:val="22"/>
                <w:szCs w:val="22"/>
              </w:rPr>
              <w:t>2.9</w:t>
            </w:r>
          </w:p>
        </w:tc>
      </w:tr>
      <w:tr w14:paraId="371B14BD" w14:textId="77777777" w:rsidTr="00246ECD">
        <w:tblPrEx>
          <w:tblW w:w="5000" w:type="pct"/>
          <w:tblLook w:val="04A0"/>
        </w:tblPrEx>
        <w:trPr>
          <w:trHeight w:val="216"/>
        </w:trPr>
        <w:tc>
          <w:tcPr>
            <w:tcW w:w="2920" w:type="dxa"/>
            <w:shd w:val="clear" w:color="auto" w:fill="auto"/>
            <w:vAlign w:val="center"/>
            <w:hideMark/>
          </w:tcPr>
          <w:p w:rsidR="003D2438" w:rsidRPr="005B02EC" w:rsidP="003D2438" w14:paraId="5AE2B66B" w14:textId="77777777">
            <w:pPr>
              <w:spacing w:after="0"/>
              <w:rPr>
                <w:rFonts w:eastAsia="Times New Roman"/>
                <w:color w:val="000000"/>
                <w:sz w:val="22"/>
                <w:szCs w:val="22"/>
              </w:rPr>
            </w:pPr>
            <w:r w:rsidRPr="005B02EC">
              <w:rPr>
                <w:rFonts w:eastAsia="Times New Roman"/>
                <w:color w:val="000000"/>
                <w:sz w:val="22"/>
                <w:szCs w:val="22"/>
              </w:rPr>
              <w:t>All Container Types</w:t>
            </w:r>
          </w:p>
        </w:tc>
        <w:tc>
          <w:tcPr>
            <w:tcW w:w="1480" w:type="dxa"/>
            <w:shd w:val="clear" w:color="auto" w:fill="auto"/>
            <w:noWrap/>
            <w:vAlign w:val="bottom"/>
            <w:hideMark/>
          </w:tcPr>
          <w:p w:rsidR="003D2438" w:rsidRPr="005B02EC" w:rsidP="00AC2CB0" w14:paraId="467D0D99" w14:textId="77777777">
            <w:pPr>
              <w:spacing w:after="0"/>
              <w:jc w:val="center"/>
              <w:rPr>
                <w:rFonts w:eastAsia="Times New Roman"/>
                <w:color w:val="000000"/>
                <w:sz w:val="22"/>
                <w:szCs w:val="22"/>
              </w:rPr>
            </w:pPr>
            <w:r w:rsidRPr="005B02EC">
              <w:rPr>
                <w:rFonts w:eastAsia="Times New Roman"/>
                <w:color w:val="000000"/>
                <w:sz w:val="22"/>
                <w:szCs w:val="22"/>
              </w:rPr>
              <w:t>32,424.1</w:t>
            </w:r>
          </w:p>
        </w:tc>
        <w:tc>
          <w:tcPr>
            <w:tcW w:w="1480" w:type="dxa"/>
            <w:shd w:val="clear" w:color="auto" w:fill="auto"/>
            <w:noWrap/>
            <w:vAlign w:val="bottom"/>
            <w:hideMark/>
          </w:tcPr>
          <w:p w:rsidR="003D2438" w:rsidRPr="005B02EC" w:rsidP="00AC2CB0" w14:paraId="467F818B" w14:textId="77777777">
            <w:pPr>
              <w:spacing w:after="0"/>
              <w:jc w:val="center"/>
              <w:rPr>
                <w:rFonts w:eastAsia="Times New Roman"/>
                <w:color w:val="000000"/>
                <w:sz w:val="22"/>
                <w:szCs w:val="22"/>
              </w:rPr>
            </w:pPr>
            <w:r w:rsidRPr="005B02EC">
              <w:rPr>
                <w:rFonts w:eastAsia="Times New Roman"/>
                <w:color w:val="000000"/>
                <w:sz w:val="22"/>
                <w:szCs w:val="22"/>
              </w:rPr>
              <w:t>180.0</w:t>
            </w:r>
          </w:p>
        </w:tc>
        <w:tc>
          <w:tcPr>
            <w:tcW w:w="1580" w:type="dxa"/>
            <w:shd w:val="clear" w:color="auto" w:fill="auto"/>
            <w:noWrap/>
            <w:vAlign w:val="bottom"/>
            <w:hideMark/>
          </w:tcPr>
          <w:p w:rsidR="003D2438" w:rsidRPr="005B02EC" w:rsidP="00AC2CB0" w14:paraId="24999EF8" w14:textId="77777777">
            <w:pPr>
              <w:spacing w:after="0"/>
              <w:jc w:val="center"/>
              <w:rPr>
                <w:rFonts w:eastAsia="Times New Roman"/>
                <w:color w:val="000000"/>
                <w:sz w:val="22"/>
                <w:szCs w:val="22"/>
              </w:rPr>
            </w:pPr>
            <w:r w:rsidRPr="005B02EC">
              <w:rPr>
                <w:rFonts w:eastAsia="Times New Roman"/>
                <w:color w:val="000000"/>
                <w:sz w:val="22"/>
                <w:szCs w:val="22"/>
              </w:rPr>
              <w:t>479.7</w:t>
            </w:r>
          </w:p>
        </w:tc>
        <w:tc>
          <w:tcPr>
            <w:tcW w:w="1710" w:type="dxa"/>
            <w:shd w:val="clear" w:color="auto" w:fill="auto"/>
            <w:noWrap/>
            <w:vAlign w:val="bottom"/>
            <w:hideMark/>
          </w:tcPr>
          <w:p w:rsidR="003D2438" w:rsidRPr="005B02EC" w:rsidP="00AC2CB0" w14:paraId="34745208" w14:textId="77777777">
            <w:pPr>
              <w:spacing w:after="0"/>
              <w:jc w:val="center"/>
              <w:rPr>
                <w:rFonts w:eastAsia="Times New Roman"/>
                <w:color w:val="000000"/>
                <w:sz w:val="22"/>
                <w:szCs w:val="22"/>
              </w:rPr>
            </w:pPr>
            <w:r w:rsidRPr="005B02EC">
              <w:rPr>
                <w:rFonts w:eastAsia="Times New Roman"/>
                <w:color w:val="000000"/>
                <w:sz w:val="22"/>
                <w:szCs w:val="22"/>
              </w:rPr>
              <w:t>58.4</w:t>
            </w:r>
          </w:p>
        </w:tc>
        <w:tc>
          <w:tcPr>
            <w:tcW w:w="1800" w:type="dxa"/>
            <w:shd w:val="clear" w:color="auto" w:fill="auto"/>
            <w:noWrap/>
            <w:vAlign w:val="bottom"/>
            <w:hideMark/>
          </w:tcPr>
          <w:p w:rsidR="003D2438" w:rsidRPr="005B02EC" w:rsidP="00AC2CB0" w14:paraId="6D7BD0C0" w14:textId="77777777">
            <w:pPr>
              <w:spacing w:after="0"/>
              <w:jc w:val="center"/>
              <w:rPr>
                <w:rFonts w:eastAsia="Times New Roman"/>
                <w:color w:val="000000"/>
                <w:sz w:val="22"/>
                <w:szCs w:val="22"/>
              </w:rPr>
            </w:pPr>
            <w:r w:rsidRPr="005B02EC">
              <w:rPr>
                <w:rFonts w:eastAsia="Times New Roman"/>
                <w:color w:val="000000"/>
                <w:sz w:val="22"/>
                <w:szCs w:val="22"/>
              </w:rPr>
              <w:t>257.1</w:t>
            </w:r>
          </w:p>
        </w:tc>
        <w:tc>
          <w:tcPr>
            <w:tcW w:w="1890" w:type="dxa"/>
            <w:shd w:val="clear" w:color="auto" w:fill="auto"/>
            <w:noWrap/>
            <w:vAlign w:val="bottom"/>
            <w:hideMark/>
          </w:tcPr>
          <w:p w:rsidR="003D2438" w:rsidRPr="005B02EC" w:rsidP="00AC2CB0" w14:paraId="42043968" w14:textId="77777777">
            <w:pPr>
              <w:spacing w:after="0"/>
              <w:jc w:val="center"/>
              <w:rPr>
                <w:rFonts w:eastAsia="Times New Roman"/>
                <w:color w:val="000000"/>
                <w:sz w:val="22"/>
                <w:szCs w:val="22"/>
              </w:rPr>
            </w:pPr>
            <w:r w:rsidRPr="005B02EC">
              <w:rPr>
                <w:rFonts w:eastAsia="Times New Roman"/>
                <w:color w:val="000000"/>
                <w:sz w:val="22"/>
                <w:szCs w:val="22"/>
              </w:rPr>
              <w:t>33,399.4</w:t>
            </w:r>
          </w:p>
        </w:tc>
      </w:tr>
    </w:tbl>
    <w:p w:rsidR="001221A6" w:rsidRPr="00224534" w:rsidP="00224534" w14:paraId="041810FE" w14:textId="77777777"/>
    <w:p w:rsidR="00953373" w:rsidRPr="00CA40A7" w:rsidP="000E6DD7" w14:paraId="22408FBE" w14:textId="0825F32F">
      <w:pPr>
        <w:sectPr w:rsidSect="007122EF">
          <w:headerReference w:type="default" r:id="rId12"/>
          <w:pgSz w:w="15840" w:h="12240" w:orient="landscape"/>
          <w:pgMar w:top="1440" w:right="1440" w:bottom="1440" w:left="1440" w:header="720" w:footer="720" w:gutter="0"/>
          <w:cols w:space="720"/>
          <w:docGrid w:linePitch="360"/>
        </w:sectPr>
      </w:pPr>
    </w:p>
    <w:p w:rsidR="007567BE" w:rsidRPr="000E6DD7" w:rsidP="000E6DD7" w14:paraId="291C3B1C" w14:textId="505645C2">
      <w:pPr>
        <w:pStyle w:val="Heading2"/>
      </w:pPr>
      <w:bookmarkStart w:id="43" w:name="_Toc148515715"/>
      <w:r w:rsidRPr="00706E1C">
        <w:t>Benefits of the Rule</w:t>
      </w:r>
      <w:bookmarkStart w:id="44" w:name="_Toc37156110"/>
      <w:bookmarkEnd w:id="43"/>
      <w:bookmarkEnd w:id="44"/>
    </w:p>
    <w:p w:rsidR="00C6209D" w:rsidRPr="00A63EAE" w:rsidP="00FB480B" w14:paraId="686D510E" w14:textId="77777777"/>
    <w:p w:rsidR="00AD3120" w:rsidP="00AE12EE" w14:paraId="407B6D89" w14:textId="7819AED6">
      <w:pPr>
        <w:pStyle w:val="Heading3"/>
      </w:pPr>
      <w:bookmarkStart w:id="45" w:name="_Toc148515716"/>
      <w:r w:rsidRPr="00FB56E3">
        <w:t>CGMP</w:t>
      </w:r>
      <w:r w:rsidR="000B4DF7">
        <w:t xml:space="preserve"> Requirement</w:t>
      </w:r>
      <w:r w:rsidRPr="00FB56E3">
        <w:t>s Cost Savings</w:t>
      </w:r>
      <w:bookmarkEnd w:id="45"/>
    </w:p>
    <w:p w:rsidR="00FB56E3" w:rsidP="00CF581F" w14:paraId="6626D988" w14:textId="77777777"/>
    <w:p w:rsidR="0057107F" w:rsidP="00F42A63" w14:paraId="5E600A4F" w14:textId="279FE604">
      <w:pPr>
        <w:pStyle w:val="Heading4"/>
      </w:pPr>
      <w:bookmarkStart w:id="46" w:name="_Ref36802281"/>
      <w:bookmarkStart w:id="47" w:name="_Toc148515717"/>
      <w:r>
        <w:t>Streamline</w:t>
      </w:r>
      <w:r w:rsidR="003228B2">
        <w:t>d</w:t>
      </w:r>
      <w:r>
        <w:t xml:space="preserve"> Inspection Due to Better Tailored Requirements</w:t>
      </w:r>
      <w:bookmarkEnd w:id="46"/>
      <w:bookmarkEnd w:id="47"/>
    </w:p>
    <w:p w:rsidR="00207928" w:rsidRPr="004A3D6F" w:rsidP="00377F83" w14:paraId="73C75170" w14:textId="3D82BFDD">
      <w:pPr>
        <w:ind w:firstLine="720"/>
      </w:pPr>
      <w:bookmarkStart w:id="48" w:name="_Hlk36555241"/>
      <w:r w:rsidRPr="004A3D6F">
        <w:t xml:space="preserve">This </w:t>
      </w:r>
      <w:r w:rsidR="003402F9">
        <w:t>final</w:t>
      </w:r>
      <w:r w:rsidRPr="004A3D6F">
        <w:t xml:space="preserve"> rule </w:t>
      </w:r>
      <w:r w:rsidR="001940B0">
        <w:t>will</w:t>
      </w:r>
      <w:r w:rsidRPr="004A3D6F">
        <w:t xml:space="preserve"> remove </w:t>
      </w:r>
      <w:r w:rsidR="0064667F">
        <w:t xml:space="preserve">or relax </w:t>
      </w:r>
      <w:r w:rsidR="1D4C0C11">
        <w:t xml:space="preserve">certain </w:t>
      </w:r>
      <w:r w:rsidR="00C001BD">
        <w:t xml:space="preserve">CGMP </w:t>
      </w:r>
      <w:r w:rsidRPr="004A3D6F">
        <w:t xml:space="preserve">requirements that are currently </w:t>
      </w:r>
      <w:r w:rsidR="00010599">
        <w:t>applicable to medical gases under</w:t>
      </w:r>
      <w:r w:rsidRPr="004A3D6F">
        <w:t xml:space="preserve"> </w:t>
      </w:r>
      <w:r w:rsidR="00197B1D">
        <w:t>P</w:t>
      </w:r>
      <w:r w:rsidRPr="004A3D6F">
        <w:t>art 211</w:t>
      </w:r>
      <w:r w:rsidR="00915C67">
        <w:t xml:space="preserve"> and are not specifically tailored to medical gases</w:t>
      </w:r>
      <w:r w:rsidRPr="004A3D6F">
        <w:t xml:space="preserve">. </w:t>
      </w:r>
      <w:r w:rsidRPr="00086141" w:rsidR="00915C67">
        <w:t xml:space="preserve">This approach is consistent with the draft policy described in the draft guidance for industry entitled </w:t>
      </w:r>
      <w:r w:rsidRPr="3AE1EA29" w:rsidR="00DF11AB">
        <w:rPr>
          <w:i/>
          <w:iCs/>
        </w:rPr>
        <w:t>Current Good Manufacturing Practice for Medical Gases</w:t>
      </w:r>
      <w:r w:rsidR="00DF11AB">
        <w:t xml:space="preserve"> </w:t>
      </w:r>
      <w:r w:rsidR="7F1B0AAB">
        <w:t xml:space="preserve">Draft </w:t>
      </w:r>
      <w:r w:rsidR="00DF11AB">
        <w:t>Guidance for Industry</w:t>
      </w:r>
      <w:r w:rsidR="00BC2666">
        <w:t>;</w:t>
      </w:r>
      <w:r>
        <w:rPr>
          <w:rStyle w:val="FootnoteReference"/>
        </w:rPr>
        <w:footnoteReference w:id="9"/>
      </w:r>
      <w:r w:rsidRPr="004A3D6F">
        <w:t xml:space="preserve"> </w:t>
      </w:r>
      <w:r w:rsidR="00D07AA5">
        <w:t>as such, we expect</w:t>
      </w:r>
      <w:r w:rsidR="00915C67">
        <w:t xml:space="preserve"> this effect may be small</w:t>
      </w:r>
      <w:r w:rsidRPr="004A3D6F">
        <w:t xml:space="preserve">. </w:t>
      </w:r>
      <w:r w:rsidR="0004280D">
        <w:t>Further, w</w:t>
      </w:r>
      <w:r w:rsidRPr="004A3D6F" w:rsidR="0004280D">
        <w:t xml:space="preserve">e </w:t>
      </w:r>
      <w:r w:rsidRPr="004A3D6F">
        <w:t xml:space="preserve">believe that </w:t>
      </w:r>
      <w:r w:rsidR="0064667F">
        <w:t>the current regulations</w:t>
      </w:r>
      <w:r w:rsidRPr="004A3D6F">
        <w:t xml:space="preserve"> may lead to</w:t>
      </w:r>
      <w:r w:rsidR="00C269E4">
        <w:t xml:space="preserve"> firms</w:t>
      </w:r>
      <w:r w:rsidR="003F4BEF">
        <w:t>’</w:t>
      </w:r>
      <w:r w:rsidRPr="004A3D6F">
        <w:t xml:space="preserve"> confusion </w:t>
      </w:r>
      <w:r w:rsidR="00C269E4">
        <w:t>with</w:t>
      </w:r>
      <w:r w:rsidRPr="004A3D6F" w:rsidR="00C269E4">
        <w:t xml:space="preserve"> </w:t>
      </w:r>
      <w:r w:rsidRPr="004A3D6F">
        <w:t xml:space="preserve">the inspection process. This rule </w:t>
      </w:r>
      <w:r w:rsidR="001940B0">
        <w:t>will</w:t>
      </w:r>
      <w:r w:rsidRPr="004A3D6F">
        <w:t xml:space="preserve"> clarify which</w:t>
      </w:r>
      <w:r w:rsidR="00DF11AB">
        <w:t xml:space="preserve"> </w:t>
      </w:r>
      <w:r w:rsidR="00191C40">
        <w:t xml:space="preserve">regulatory </w:t>
      </w:r>
      <w:r w:rsidRPr="004A3D6F">
        <w:t>requirements</w:t>
      </w:r>
      <w:r w:rsidR="00191C40">
        <w:t xml:space="preserve"> appl</w:t>
      </w:r>
      <w:r w:rsidR="00DF11AB">
        <w:t xml:space="preserve">y to </w:t>
      </w:r>
      <w:r w:rsidR="00684CA7">
        <w:t>medical gases</w:t>
      </w:r>
      <w:r w:rsidR="2ADFB8BA">
        <w:t>, which will</w:t>
      </w:r>
      <w:r w:rsidRPr="004A3D6F">
        <w:t xml:space="preserve"> streamline the inspection process.</w:t>
      </w:r>
      <w:r w:rsidR="00BC2666">
        <w:t xml:space="preserve"> </w:t>
      </w:r>
    </w:p>
    <w:p w:rsidR="00207928" w:rsidRPr="004A3D6F" w:rsidP="00207928" w14:paraId="408C2542" w14:textId="7E6E46D9">
      <w:pPr>
        <w:ind w:firstLine="720"/>
      </w:pPr>
      <w:r w:rsidRPr="004A3D6F">
        <w:t xml:space="preserve">This </w:t>
      </w:r>
      <w:r w:rsidR="00340621">
        <w:t>final</w:t>
      </w:r>
      <w:r w:rsidRPr="004A3D6F">
        <w:t xml:space="preserve"> rule </w:t>
      </w:r>
      <w:r w:rsidR="001940B0">
        <w:t>will</w:t>
      </w:r>
      <w:r w:rsidRPr="004A3D6F">
        <w:t xml:space="preserve"> not include </w:t>
      </w:r>
      <w:r w:rsidR="0051133B">
        <w:t xml:space="preserve">certain </w:t>
      </w:r>
      <w:r w:rsidRPr="004A3D6F">
        <w:t xml:space="preserve">provisions </w:t>
      </w:r>
      <w:r w:rsidR="0004280D">
        <w:t xml:space="preserve">on </w:t>
      </w:r>
      <w:r w:rsidR="00FB5ECE">
        <w:t>building</w:t>
      </w:r>
      <w:r w:rsidR="0051133B">
        <w:t xml:space="preserve">s and safety </w:t>
      </w:r>
      <w:r w:rsidR="00FB5ECE">
        <w:t>requirements</w:t>
      </w:r>
      <w:r w:rsidR="00C001BD">
        <w:t>,</w:t>
      </w:r>
      <w:r w:rsidRPr="004A3D6F">
        <w:t xml:space="preserve"> </w:t>
      </w:r>
      <w:r w:rsidR="0051133B">
        <w:t>including</w:t>
      </w:r>
      <w:r w:rsidRPr="004A3D6F">
        <w:t xml:space="preserve"> lighting</w:t>
      </w:r>
      <w:r w:rsidR="00FD2B6E">
        <w:t>,</w:t>
      </w:r>
      <w:r w:rsidRPr="004A3D6F">
        <w:t xml:space="preserve"> ventilation, air filtration, air heating and cooling, plumbing, sewage and refuse, </w:t>
      </w:r>
      <w:r w:rsidR="007B29F9">
        <w:t xml:space="preserve">and </w:t>
      </w:r>
      <w:r w:rsidRPr="004A3D6F">
        <w:t>washing and toilet facilities</w:t>
      </w:r>
      <w:r w:rsidR="00266AB9">
        <w:t>,</w:t>
      </w:r>
      <w:r w:rsidR="007B29F9">
        <w:t xml:space="preserve"> while including a more limited set of</w:t>
      </w:r>
      <w:r w:rsidRPr="004A3D6F">
        <w:t xml:space="preserve"> sanitation and maintenance</w:t>
      </w:r>
      <w:r w:rsidR="007B29F9">
        <w:t xml:space="preserve"> requirements</w:t>
      </w:r>
      <w:r w:rsidRPr="004A3D6F">
        <w:t>.</w:t>
      </w:r>
      <w:r>
        <w:rPr>
          <w:rStyle w:val="FootnoteReference"/>
        </w:rPr>
        <w:footnoteReference w:id="10"/>
      </w:r>
      <w:r w:rsidRPr="004A3D6F">
        <w:t xml:space="preserve"> </w:t>
      </w:r>
      <w:r w:rsidR="00AE12EE">
        <w:t xml:space="preserve">Due to the significant differences between manufacturing most finished pharmaceutical products and manufacturing </w:t>
      </w:r>
      <w:r w:rsidR="00F43AF6">
        <w:t>medical gases</w:t>
      </w:r>
      <w:r w:rsidR="00AE12EE">
        <w:t>, w</w:t>
      </w:r>
      <w:r w:rsidRPr="004A3D6F">
        <w:t xml:space="preserve">e believe that </w:t>
      </w:r>
      <w:r w:rsidR="009711D5">
        <w:t>not including</w:t>
      </w:r>
      <w:r w:rsidRPr="004A3D6F" w:rsidR="009711D5">
        <w:t xml:space="preserve"> </w:t>
      </w:r>
      <w:r w:rsidRPr="004A3D6F">
        <w:t xml:space="preserve">these requirements </w:t>
      </w:r>
      <w:r w:rsidR="00AE12EE">
        <w:t xml:space="preserve">could </w:t>
      </w:r>
      <w:r w:rsidRPr="004A3D6F">
        <w:t xml:space="preserve">allow firms to reduce their time investment in these facility </w:t>
      </w:r>
      <w:r w:rsidRPr="004A3D6F" w:rsidR="00EE6E3C">
        <w:t>requirements</w:t>
      </w:r>
      <w:r w:rsidR="00EE6E3C">
        <w:t xml:space="preserve"> </w:t>
      </w:r>
      <w:r w:rsidR="0004280D">
        <w:t>and</w:t>
      </w:r>
      <w:r w:rsidRPr="004A3D6F">
        <w:t xml:space="preserve"> likely reduce </w:t>
      </w:r>
      <w:r w:rsidR="000E268E">
        <w:t>inspection times.</w:t>
      </w:r>
    </w:p>
    <w:p w:rsidR="00207928" w:rsidRPr="004A3D6F" w:rsidP="00AC2CB0" w14:paraId="5B7E1A49" w14:textId="3DBF012C">
      <w:pPr>
        <w:ind w:firstLine="720"/>
        <w:rPr>
          <w:rFonts w:eastAsia="Times New Roman"/>
        </w:rPr>
      </w:pPr>
      <w:r w:rsidRPr="004A3D6F">
        <w:t xml:space="preserve">This </w:t>
      </w:r>
      <w:r w:rsidR="00340621">
        <w:t>final</w:t>
      </w:r>
      <w:r w:rsidRPr="004A3D6F">
        <w:t xml:space="preserve"> rule </w:t>
      </w:r>
      <w:r w:rsidR="001940B0">
        <w:t>will</w:t>
      </w:r>
      <w:r w:rsidRPr="004A3D6F">
        <w:t xml:space="preserve"> </w:t>
      </w:r>
      <w:r w:rsidR="00FB5ECE">
        <w:t xml:space="preserve">include more limited </w:t>
      </w:r>
      <w:r w:rsidRPr="004A3D6F">
        <w:t xml:space="preserve">equipment maintenance and cleaning requirements. </w:t>
      </w:r>
      <w:r w:rsidRPr="004A3D6F">
        <w:rPr>
          <w:rFonts w:eastAsia="Times New Roman"/>
        </w:rPr>
        <w:t xml:space="preserve">These requirements reflect the </w:t>
      </w:r>
      <w:r w:rsidR="00780223">
        <w:rPr>
          <w:rFonts w:eastAsia="Times New Roman"/>
        </w:rPr>
        <w:t xml:space="preserve">difference in </w:t>
      </w:r>
      <w:r w:rsidR="00440929">
        <w:rPr>
          <w:rFonts w:eastAsia="Times New Roman"/>
        </w:rPr>
        <w:t>appropriate practices for</w:t>
      </w:r>
      <w:r w:rsidRPr="004A3D6F">
        <w:rPr>
          <w:rFonts w:eastAsia="Times New Roman"/>
        </w:rPr>
        <w:t xml:space="preserve"> routine cleaning of equipment</w:t>
      </w:r>
      <w:r w:rsidR="00FB5ECE">
        <w:rPr>
          <w:rFonts w:eastAsia="Times New Roman"/>
        </w:rPr>
        <w:t xml:space="preserve"> for </w:t>
      </w:r>
      <w:r w:rsidR="00F43AF6">
        <w:rPr>
          <w:rFonts w:eastAsia="Times New Roman"/>
        </w:rPr>
        <w:t>medical gases</w:t>
      </w:r>
      <w:r w:rsidRPr="004A3D6F">
        <w:rPr>
          <w:rFonts w:eastAsia="Times New Roman"/>
        </w:rPr>
        <w:t xml:space="preserve">. </w:t>
      </w:r>
    </w:p>
    <w:p w:rsidR="00702560" w:rsidRPr="004A3D6F" w:rsidP="00207928" w14:paraId="3BE21E0D" w14:textId="6EF4EABC">
      <w:pPr>
        <w:ind w:firstLine="720"/>
      </w:pPr>
      <w:r>
        <w:t>A</w:t>
      </w:r>
      <w:r w:rsidR="00AE7CF3">
        <w:t>dditional requirement</w:t>
      </w:r>
      <w:r w:rsidR="00191336">
        <w:t>s</w:t>
      </w:r>
      <w:r w:rsidR="00AE7CF3">
        <w:t xml:space="preserve"> codif</w:t>
      </w:r>
      <w:r w:rsidR="00191336">
        <w:t>y</w:t>
      </w:r>
      <w:r w:rsidR="00AE7CF3">
        <w:t xml:space="preserve"> existing practices or clarify specific requirements that </w:t>
      </w:r>
      <w:r w:rsidR="00AE3BF7">
        <w:t xml:space="preserve">are currently </w:t>
      </w:r>
      <w:r w:rsidR="00E710BC">
        <w:t>subject to</w:t>
      </w:r>
      <w:r w:rsidR="00AE7CF3">
        <w:t xml:space="preserve"> enforcement discretion</w:t>
      </w:r>
      <w:r w:rsidR="00191336">
        <w:t>. W</w:t>
      </w:r>
      <w:r w:rsidR="00AE7CF3">
        <w:t xml:space="preserve">e save a discussion of these for the qualitative benefits or additional benefits sections. </w:t>
      </w:r>
    </w:p>
    <w:p w:rsidR="00207928" w:rsidRPr="004A3D6F" w:rsidP="00207928" w14:paraId="500945EE" w14:textId="249141EE">
      <w:r w:rsidRPr="004A3D6F">
        <w:tab/>
        <w:t xml:space="preserve">We believe removing these facility requirements, reducing equipment and cleaning requirements, and reducing sampling requirements </w:t>
      </w:r>
      <w:r w:rsidR="001940B0">
        <w:t>will</w:t>
      </w:r>
      <w:r w:rsidRPr="004A3D6F">
        <w:t xml:space="preserve"> save an </w:t>
      </w:r>
      <w:r w:rsidR="00423EC5">
        <w:t xml:space="preserve">investigator </w:t>
      </w:r>
      <w:r w:rsidRPr="004A3D6F">
        <w:t xml:space="preserve">0 minutes to </w:t>
      </w:r>
      <w:r w:rsidR="001F7A42">
        <w:t>15</w:t>
      </w:r>
      <w:r w:rsidRPr="004A3D6F">
        <w:t xml:space="preserve"> minutes per week per</w:t>
      </w:r>
      <w:r w:rsidR="0064667F">
        <w:t xml:space="preserve"> firm</w:t>
      </w:r>
      <w:r w:rsidRPr="004A3D6F">
        <w:t xml:space="preserve"> for </w:t>
      </w:r>
      <w:r w:rsidR="00AE3BF7">
        <w:t xml:space="preserve">an </w:t>
      </w:r>
      <w:r w:rsidRPr="004A3D6F">
        <w:t xml:space="preserve">annual time savings of 0 hours to </w:t>
      </w:r>
      <w:r w:rsidR="001F7A42">
        <w:t>13</w:t>
      </w:r>
      <w:r w:rsidRPr="004A3D6F">
        <w:t xml:space="preserve"> hours.</w:t>
      </w:r>
      <w:r w:rsidR="001F7A42">
        <w:t xml:space="preserve"> </w:t>
      </w:r>
      <w:r w:rsidR="00260E55">
        <w:t xml:space="preserve">ERG experts believe that it takes the host company twice as many person-hours as the </w:t>
      </w:r>
      <w:r w:rsidR="00423EC5">
        <w:t xml:space="preserve">investigator </w:t>
      </w:r>
      <w:r w:rsidR="00325155">
        <w:t xml:space="preserve">to address these requirements </w:t>
      </w:r>
      <w:r w:rsidR="00260E55">
        <w:t xml:space="preserve">because </w:t>
      </w:r>
      <w:r w:rsidR="00EA1624">
        <w:t xml:space="preserve">the host company often requires </w:t>
      </w:r>
      <w:r w:rsidR="00576D47">
        <w:t>at least double the number of</w:t>
      </w:r>
      <w:r w:rsidRPr="00260E55" w:rsidR="00260E55">
        <w:t xml:space="preserve"> people to provide the information sought</w:t>
      </w:r>
      <w:r w:rsidR="000D61B3">
        <w:t xml:space="preserve"> (Ref. </w:t>
      </w:r>
      <w:r w:rsidR="006844FE">
        <w:t>3</w:t>
      </w:r>
      <w:r w:rsidR="00E45D30">
        <w:t>)</w:t>
      </w:r>
      <w:r w:rsidRPr="00260E55" w:rsidR="00260E55">
        <w:t xml:space="preserve">. </w:t>
      </w:r>
      <w:r w:rsidR="00260E55">
        <w:t xml:space="preserve">Consequently, we estimate removing and relaxing these requirements </w:t>
      </w:r>
      <w:r w:rsidR="001940B0">
        <w:t>will</w:t>
      </w:r>
      <w:r w:rsidR="00260E55">
        <w:t xml:space="preserve"> save first-line supervisors 0 hours to 26 hours</w:t>
      </w:r>
      <w:r w:rsidR="0013714C">
        <w:t xml:space="preserve"> annually</w:t>
      </w:r>
      <w:r w:rsidR="00260E55">
        <w:t xml:space="preserve"> per </w:t>
      </w:r>
      <w:r w:rsidR="0013714C">
        <w:t>firm</w:t>
      </w:r>
      <w:r w:rsidR="00260E55">
        <w:t xml:space="preserve">. </w:t>
      </w:r>
      <w:r w:rsidRPr="00260E55" w:rsidR="00260E55">
        <w:t>During the records review, one or more of the host staff will be required to be present.</w:t>
      </w:r>
      <w:r w:rsidRPr="004A3D6F">
        <w:t xml:space="preserve"> </w:t>
      </w:r>
    </w:p>
    <w:p w:rsidR="00207928" w:rsidRPr="00F877E2" w:rsidP="00207928" w14:paraId="0ECC9621" w14:textId="5491AB57">
      <w:r w:rsidRPr="00F877E2">
        <w:tab/>
        <w:t>We</w:t>
      </w:r>
      <w:r w:rsidR="00062341">
        <w:t xml:space="preserve"> </w:t>
      </w:r>
      <w:r w:rsidR="00E83F1E">
        <w:t>believe</w:t>
      </w:r>
      <w:r w:rsidR="00062341">
        <w:t xml:space="preserve"> that first-line supervisors and in</w:t>
      </w:r>
      <w:r w:rsidR="005D5C99">
        <w:t>vestigator</w:t>
      </w:r>
      <w:r w:rsidR="00062341">
        <w:t>s</w:t>
      </w:r>
      <w:r w:rsidR="00F84E99">
        <w:t xml:space="preserve"> will experience cost savings</w:t>
      </w:r>
      <w:r w:rsidR="00062341">
        <w:t xml:space="preserve"> </w:t>
      </w:r>
      <w:r w:rsidR="00576D47">
        <w:t xml:space="preserve">from </w:t>
      </w:r>
      <w:r w:rsidR="00E83F1E">
        <w:t>more streamline</w:t>
      </w:r>
      <w:r w:rsidR="00191336">
        <w:t>d</w:t>
      </w:r>
      <w:r w:rsidR="00E83F1E">
        <w:t xml:space="preserve"> </w:t>
      </w:r>
      <w:r w:rsidR="00062341">
        <w:t>inspection</w:t>
      </w:r>
      <w:r w:rsidR="00E83F1E">
        <w:t>s</w:t>
      </w:r>
      <w:r w:rsidR="00062341">
        <w:t xml:space="preserve">. </w:t>
      </w:r>
      <w:r w:rsidRPr="007716F2" w:rsidR="00062341">
        <w:rPr>
          <w:rFonts w:eastAsia="Times New Roman"/>
        </w:rPr>
        <w:t xml:space="preserve">We use the </w:t>
      </w:r>
      <w:r w:rsidR="003153D7">
        <w:rPr>
          <w:rFonts w:eastAsia="Times New Roman"/>
        </w:rPr>
        <w:t>2022</w:t>
      </w:r>
      <w:r w:rsidR="00242455">
        <w:rPr>
          <w:rFonts w:eastAsia="Times New Roman"/>
        </w:rPr>
        <w:t xml:space="preserve"> wage</w:t>
      </w:r>
      <w:r w:rsidRPr="007716F2" w:rsidR="00062341">
        <w:rPr>
          <w:rFonts w:eastAsia="Times New Roman"/>
        </w:rPr>
        <w:t xml:space="preserve"> rate for First-line </w:t>
      </w:r>
      <w:r w:rsidR="00062341">
        <w:rPr>
          <w:rFonts w:eastAsia="Times New Roman"/>
        </w:rPr>
        <w:t>S</w:t>
      </w:r>
      <w:r w:rsidRPr="007716F2" w:rsidR="00062341">
        <w:rPr>
          <w:rFonts w:eastAsia="Times New Roman"/>
        </w:rPr>
        <w:t xml:space="preserve">upervisors of </w:t>
      </w:r>
      <w:r w:rsidR="00062341">
        <w:rPr>
          <w:rFonts w:eastAsia="Times New Roman"/>
        </w:rPr>
        <w:t>P</w:t>
      </w:r>
      <w:r w:rsidRPr="007716F2" w:rsidR="00062341">
        <w:rPr>
          <w:rFonts w:eastAsia="Times New Roman"/>
        </w:rPr>
        <w:t xml:space="preserve">roduction and </w:t>
      </w:r>
      <w:r w:rsidR="00062341">
        <w:rPr>
          <w:rFonts w:eastAsia="Times New Roman"/>
        </w:rPr>
        <w:t>O</w:t>
      </w:r>
      <w:r w:rsidRPr="007716F2" w:rsidR="00062341">
        <w:rPr>
          <w:rFonts w:eastAsia="Times New Roman"/>
        </w:rPr>
        <w:t xml:space="preserve">perating </w:t>
      </w:r>
      <w:r w:rsidR="00062341">
        <w:rPr>
          <w:rFonts w:eastAsia="Times New Roman"/>
        </w:rPr>
        <w:t>W</w:t>
      </w:r>
      <w:r w:rsidRPr="007716F2" w:rsidR="00062341">
        <w:rPr>
          <w:rFonts w:eastAsia="Times New Roman"/>
        </w:rPr>
        <w:t>orker</w:t>
      </w:r>
      <w:r w:rsidR="00062341">
        <w:rPr>
          <w:rFonts w:eastAsia="Times New Roman"/>
        </w:rPr>
        <w:t xml:space="preserve"> </w:t>
      </w:r>
      <w:r w:rsidRPr="007716F2" w:rsidR="00062341">
        <w:rPr>
          <w:rFonts w:eastAsia="Times New Roman"/>
        </w:rPr>
        <w:t xml:space="preserve">and double it for a </w:t>
      </w:r>
      <w:r w:rsidR="00986206">
        <w:rPr>
          <w:rFonts w:eastAsia="Times New Roman"/>
        </w:rPr>
        <w:t>fully-loaded</w:t>
      </w:r>
      <w:r w:rsidRPr="007716F2" w:rsidR="00062341">
        <w:rPr>
          <w:rFonts w:eastAsia="Times New Roman"/>
        </w:rPr>
        <w:t xml:space="preserve"> wage rate of $</w:t>
      </w:r>
      <w:r w:rsidR="00DB569B">
        <w:rPr>
          <w:rFonts w:eastAsia="Times New Roman"/>
        </w:rPr>
        <w:t>75.44</w:t>
      </w:r>
      <w:r w:rsidRPr="007716F2" w:rsidR="00062341">
        <w:rPr>
          <w:rFonts w:eastAsia="Times New Roman"/>
        </w:rPr>
        <w:t xml:space="preserve">. </w:t>
      </w:r>
      <w:r w:rsidR="00062341">
        <w:t>We</w:t>
      </w:r>
      <w:r w:rsidRPr="00F877E2">
        <w:t xml:space="preserve"> use </w:t>
      </w:r>
      <w:r w:rsidR="00576D47">
        <w:t xml:space="preserve">the </w:t>
      </w:r>
      <w:r w:rsidR="003153D7">
        <w:t>2022</w:t>
      </w:r>
      <w:r w:rsidR="00B469B4">
        <w:t xml:space="preserve"> </w:t>
      </w:r>
      <w:r w:rsidR="00BF5B41">
        <w:t>FDA-wide</w:t>
      </w:r>
      <w:r w:rsidR="00576D47">
        <w:t xml:space="preserve"> FTE</w:t>
      </w:r>
      <w:r w:rsidR="00774456">
        <w:t xml:space="preserve"> </w:t>
      </w:r>
      <w:r w:rsidR="000B7EF8">
        <w:t xml:space="preserve">value </w:t>
      </w:r>
      <w:r w:rsidR="00774456">
        <w:t>to estimate the fully</w:t>
      </w:r>
      <w:r w:rsidR="00540C58">
        <w:t>-</w:t>
      </w:r>
      <w:r w:rsidR="00774456">
        <w:t>loaded wage</w:t>
      </w:r>
      <w:r w:rsidR="006D0B3C">
        <w:t xml:space="preserve"> rate of $</w:t>
      </w:r>
      <w:r w:rsidR="00350C97">
        <w:t>142.52</w:t>
      </w:r>
      <w:r w:rsidRPr="00F877E2">
        <w:t xml:space="preserve">. </w:t>
      </w:r>
    </w:p>
    <w:p w:rsidR="007432B9" w:rsidRPr="00F877E2" w:rsidP="007432B9" w14:paraId="1223300F" w14:textId="0A893D4C">
      <w:pPr>
        <w:ind w:firstLine="720"/>
      </w:pPr>
      <w:r w:rsidRPr="00987A52">
        <w:fldChar w:fldCharType="begin"/>
      </w:r>
      <w:r w:rsidRPr="00BA5D10">
        <w:instrText xml:space="preserve"> REF _Ref36641693 \h </w:instrText>
      </w:r>
      <w:r w:rsidRPr="005D5121">
        <w:instrText xml:space="preserve"> \* MERGEFORMAT </w:instrText>
      </w:r>
      <w:r w:rsidRPr="00987A52">
        <w:fldChar w:fldCharType="separate"/>
      </w:r>
      <w:r w:rsidRPr="004848C7" w:rsidR="00264BAF">
        <w:t xml:space="preserve">Table </w:t>
      </w:r>
      <w:r w:rsidRPr="004848C7" w:rsidR="00264BAF">
        <w:rPr>
          <w:noProof/>
        </w:rPr>
        <w:t>6</w:t>
      </w:r>
      <w:r w:rsidRPr="00987A52">
        <w:fldChar w:fldCharType="end"/>
      </w:r>
      <w:r>
        <w:t xml:space="preserve"> shows the ongoing cost saving</w:t>
      </w:r>
      <w:r w:rsidR="007B4E8D">
        <w:t>s</w:t>
      </w:r>
      <w:r>
        <w:t xml:space="preserve"> to affected entities and FDA. </w:t>
      </w:r>
      <w:r w:rsidRPr="00F877E2">
        <w:t>The estimated ongoing cost savings for firms</w:t>
      </w:r>
      <w:r>
        <w:t xml:space="preserve"> from</w:t>
      </w:r>
      <w:r w:rsidRPr="00F877E2">
        <w:t xml:space="preserve"> </w:t>
      </w:r>
      <w:r w:rsidRPr="004A3D6F">
        <w:t xml:space="preserve">removing these facility requirements, reducing equipment and cleaning requirements, and reducing sampling requirements </w:t>
      </w:r>
      <w:r w:rsidR="001940B0">
        <w:t>will</w:t>
      </w:r>
      <w:r w:rsidRPr="00F877E2">
        <w:t xml:space="preserve"> range from $0.</w:t>
      </w:r>
      <w:r>
        <w:t>00</w:t>
      </w:r>
      <w:r w:rsidRPr="00F877E2">
        <w:t xml:space="preserve"> million to $</w:t>
      </w:r>
      <w:r>
        <w:t>3.</w:t>
      </w:r>
      <w:r w:rsidR="00CA636C">
        <w:t>33</w:t>
      </w:r>
      <w:r w:rsidRPr="00F877E2">
        <w:t xml:space="preserve"> million with a primary estimate of </w:t>
      </w:r>
      <w:r>
        <w:t>$1.</w:t>
      </w:r>
      <w:r w:rsidR="00CA636C">
        <w:t>62</w:t>
      </w:r>
      <w:r w:rsidRPr="00F877E2">
        <w:t xml:space="preserve"> million. The estimated ongoing cost savings for FDA from removing building</w:t>
      </w:r>
      <w:r w:rsidR="00166792">
        <w:t>s</w:t>
      </w:r>
      <w:r w:rsidRPr="00F877E2">
        <w:t xml:space="preserve"> and facilit</w:t>
      </w:r>
      <w:r w:rsidR="00166792">
        <w:t>ies</w:t>
      </w:r>
      <w:r w:rsidRPr="00F877E2">
        <w:t xml:space="preserve"> requirements </w:t>
      </w:r>
      <w:r w:rsidR="001940B0">
        <w:t>will</w:t>
      </w:r>
      <w:r w:rsidRPr="00F877E2">
        <w:t xml:space="preserve"> range from $0.</w:t>
      </w:r>
      <w:r>
        <w:t>00</w:t>
      </w:r>
      <w:r w:rsidRPr="00F877E2">
        <w:t xml:space="preserve"> million to $</w:t>
      </w:r>
      <w:r w:rsidR="00CA636C">
        <w:t>3.1</w:t>
      </w:r>
      <w:r w:rsidR="00350C97">
        <w:t>4</w:t>
      </w:r>
      <w:r w:rsidRPr="00F877E2">
        <w:t xml:space="preserve"> million with a primary estimate of $</w:t>
      </w:r>
      <w:r w:rsidR="001206B8">
        <w:t>1.</w:t>
      </w:r>
      <w:r w:rsidR="00E46096">
        <w:t>5</w:t>
      </w:r>
      <w:r w:rsidR="00350C97">
        <w:t>7</w:t>
      </w:r>
      <w:r w:rsidRPr="00F877E2">
        <w:t xml:space="preserve"> million.</w:t>
      </w:r>
      <w:r>
        <w:rPr>
          <w:rStyle w:val="FootnoteReference"/>
        </w:rPr>
        <w:footnoteReference w:id="11"/>
      </w:r>
      <w:r>
        <w:t xml:space="preserve"> </w:t>
      </w:r>
    </w:p>
    <w:p w:rsidR="00207928" w:rsidRPr="00F877E2" w:rsidP="00844535" w14:paraId="21292C21" w14:textId="77777777"/>
    <w:p w:rsidR="00207928" w:rsidRPr="00F877E2" w:rsidP="00207928" w14:paraId="438EC056" w14:textId="76F264A6">
      <w:pPr>
        <w:keepNext/>
        <w:spacing w:after="0"/>
        <w:rPr>
          <w:b/>
        </w:rPr>
      </w:pPr>
      <w:bookmarkStart w:id="49" w:name="_Ref36641693"/>
      <w:bookmarkStart w:id="50" w:name="_Toc147238750"/>
      <w:r w:rsidRPr="00F877E2">
        <w:rPr>
          <w:b/>
        </w:rPr>
        <w:t xml:space="preserve">Table </w:t>
      </w:r>
      <w:r w:rsidRPr="00F877E2">
        <w:rPr>
          <w:b/>
        </w:rPr>
        <w:fldChar w:fldCharType="begin"/>
      </w:r>
      <w:r w:rsidRPr="00F877E2">
        <w:rPr>
          <w:b/>
        </w:rPr>
        <w:instrText xml:space="preserve"> SEQ Table \* ARABIC </w:instrText>
      </w:r>
      <w:r w:rsidRPr="00F877E2">
        <w:rPr>
          <w:b/>
        </w:rPr>
        <w:fldChar w:fldCharType="separate"/>
      </w:r>
      <w:r w:rsidR="00D36765">
        <w:rPr>
          <w:b/>
          <w:noProof/>
        </w:rPr>
        <w:t>6</w:t>
      </w:r>
      <w:r w:rsidRPr="00F877E2">
        <w:rPr>
          <w:b/>
        </w:rPr>
        <w:fldChar w:fldCharType="end"/>
      </w:r>
      <w:bookmarkEnd w:id="49"/>
      <w:r w:rsidRPr="00F877E2">
        <w:rPr>
          <w:b/>
        </w:rPr>
        <w:t xml:space="preserve">. Cost Savings </w:t>
      </w:r>
      <w:r>
        <w:rPr>
          <w:b/>
        </w:rPr>
        <w:t>Streamlining the Inspection Process</w:t>
      </w:r>
      <w:bookmarkEnd w:id="50"/>
      <w:r>
        <w:rPr>
          <w:b/>
        </w:rPr>
        <w:t xml:space="preserve"> </w:t>
      </w:r>
    </w:p>
    <w:tbl>
      <w:tblPr>
        <w:tblW w:w="10009" w:type="dxa"/>
        <w:tblInd w:w="10" w:type="dxa"/>
        <w:tblLayout w:type="fixed"/>
        <w:tblLook w:val="04A0"/>
      </w:tblPr>
      <w:tblGrid>
        <w:gridCol w:w="3945"/>
        <w:gridCol w:w="1710"/>
        <w:gridCol w:w="1620"/>
        <w:gridCol w:w="1710"/>
        <w:gridCol w:w="1024"/>
      </w:tblGrid>
      <w:tr w14:paraId="7429BC80" w14:textId="77777777" w:rsidTr="00246ECD">
        <w:tblPrEx>
          <w:tblW w:w="10009" w:type="dxa"/>
          <w:tblInd w:w="10" w:type="dxa"/>
          <w:tblLayout w:type="fixed"/>
          <w:tblLook w:val="04A0"/>
        </w:tblPrEx>
        <w:trPr>
          <w:trHeight w:val="690"/>
        </w:trPr>
        <w:tc>
          <w:tcPr>
            <w:tcW w:w="3945" w:type="dxa"/>
            <w:tcBorders>
              <w:top w:val="single" w:sz="4" w:space="0" w:color="auto"/>
              <w:left w:val="single" w:sz="4" w:space="0" w:color="auto"/>
              <w:bottom w:val="single" w:sz="4" w:space="0" w:color="auto"/>
              <w:right w:val="single" w:sz="4" w:space="0" w:color="auto"/>
            </w:tcBorders>
            <w:shd w:val="clear" w:color="auto" w:fill="D9D9D9"/>
          </w:tcPr>
          <w:p w:rsidR="00207928" w:rsidRPr="00246ECD" w:rsidP="00D6315F" w14:paraId="56756E9E" w14:textId="77777777">
            <w:pPr>
              <w:spacing w:after="0"/>
              <w:jc w:val="center"/>
              <w:rPr>
                <w:rFonts w:eastAsia="Times New Roman"/>
                <w:b/>
                <w:bCs/>
                <w:color w:val="000000"/>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7928" w:rsidRPr="00246ECD" w:rsidP="00C346DD" w14:paraId="72219942" w14:textId="77777777">
            <w:pPr>
              <w:spacing w:after="0"/>
              <w:jc w:val="center"/>
              <w:rPr>
                <w:rFonts w:eastAsia="Times New Roman"/>
                <w:b/>
                <w:bCs/>
                <w:color w:val="000000"/>
                <w:sz w:val="22"/>
                <w:szCs w:val="22"/>
              </w:rPr>
            </w:pPr>
            <w:r w:rsidRPr="00246ECD">
              <w:rPr>
                <w:rFonts w:eastAsia="Times New Roman"/>
                <w:b/>
                <w:bCs/>
                <w:color w:val="000000"/>
                <w:sz w:val="22"/>
                <w:szCs w:val="22"/>
              </w:rPr>
              <w:t>Original Manufacturers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7928" w:rsidRPr="00246ECD" w:rsidP="00C346DD" w14:paraId="0E016E78" w14:textId="15BA7EA2">
            <w:pPr>
              <w:spacing w:after="0"/>
              <w:jc w:val="center"/>
              <w:rPr>
                <w:rFonts w:eastAsia="Times New Roman"/>
                <w:b/>
                <w:bCs/>
                <w:color w:val="000000"/>
                <w:sz w:val="22"/>
                <w:szCs w:val="22"/>
              </w:rPr>
            </w:pPr>
            <w:r w:rsidRPr="00246ECD">
              <w:rPr>
                <w:rFonts w:eastAsia="Times New Roman"/>
                <w:b/>
                <w:bCs/>
                <w:color w:val="000000"/>
                <w:sz w:val="22"/>
                <w:szCs w:val="22"/>
              </w:rPr>
              <w:t>Downstream Persons and Entities Not Engaged in Homecare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rsidR="00207928" w:rsidRPr="00246ECD" w:rsidP="00C346DD" w14:paraId="67F79DE0" w14:textId="37DD283F">
            <w:pPr>
              <w:spacing w:after="0"/>
              <w:jc w:val="center"/>
              <w:rPr>
                <w:rFonts w:eastAsia="Times New Roman"/>
                <w:b/>
                <w:bCs/>
                <w:color w:val="000000"/>
                <w:sz w:val="22"/>
                <w:szCs w:val="22"/>
              </w:rPr>
            </w:pPr>
            <w:r w:rsidRPr="00246ECD">
              <w:rPr>
                <w:rFonts w:eastAsia="Times New Roman"/>
                <w:b/>
                <w:bCs/>
                <w:color w:val="000000"/>
                <w:sz w:val="22"/>
                <w:szCs w:val="22"/>
              </w:rPr>
              <w:t>Downstream Persons and Entities Engaged in Homecare</w:t>
            </w:r>
          </w:p>
        </w:tc>
        <w:tc>
          <w:tcPr>
            <w:tcW w:w="10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7928" w:rsidRPr="00246ECD" w:rsidP="00C346DD" w14:paraId="217081A1" w14:textId="77777777">
            <w:pPr>
              <w:spacing w:after="0"/>
              <w:jc w:val="center"/>
              <w:rPr>
                <w:rFonts w:eastAsia="Times New Roman"/>
                <w:b/>
                <w:bCs/>
                <w:color w:val="000000"/>
                <w:sz w:val="22"/>
                <w:szCs w:val="22"/>
              </w:rPr>
            </w:pPr>
            <w:r w:rsidRPr="00246ECD">
              <w:rPr>
                <w:rFonts w:eastAsia="Times New Roman"/>
                <w:b/>
                <w:bCs/>
                <w:color w:val="000000"/>
                <w:sz w:val="22"/>
                <w:szCs w:val="22"/>
              </w:rPr>
              <w:t>Total</w:t>
            </w:r>
          </w:p>
        </w:tc>
      </w:tr>
      <w:tr w14:paraId="529EA16D"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928" w:rsidRPr="00246ECD" w:rsidP="00D6315F" w14:paraId="0031717E" w14:textId="77777777">
            <w:pPr>
              <w:spacing w:after="0"/>
              <w:rPr>
                <w:rFonts w:eastAsia="Times New Roman"/>
                <w:color w:val="000000"/>
                <w:sz w:val="22"/>
                <w:szCs w:val="22"/>
              </w:rPr>
            </w:pPr>
            <w:r w:rsidRPr="00246ECD">
              <w:rPr>
                <w:rFonts w:eastAsia="Times New Roman"/>
                <w:color w:val="000000"/>
                <w:sz w:val="22"/>
                <w:szCs w:val="22"/>
              </w:rPr>
              <w:t>Affected entities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207928" w:rsidRPr="00246ECD" w:rsidP="00AC2CB0" w14:paraId="03DB8CF9" w14:textId="77777777">
            <w:pPr>
              <w:spacing w:after="0"/>
              <w:jc w:val="center"/>
              <w:rPr>
                <w:rFonts w:eastAsia="Times New Roman"/>
                <w:color w:val="000000"/>
                <w:sz w:val="22"/>
                <w:szCs w:val="22"/>
              </w:rPr>
            </w:pPr>
            <w:r w:rsidRPr="00246ECD">
              <w:rPr>
                <w:rFonts w:eastAsia="Times New Roman"/>
                <w:color w:val="000000"/>
                <w:sz w:val="22"/>
                <w:szCs w:val="22"/>
              </w:rPr>
              <w:t>316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07928" w:rsidRPr="00246ECD" w:rsidP="00AC2CB0" w14:paraId="18BBE7A8" w14:textId="77777777">
            <w:pPr>
              <w:spacing w:after="0"/>
              <w:jc w:val="center"/>
              <w:rPr>
                <w:rFonts w:eastAsia="Times New Roman"/>
                <w:color w:val="000000"/>
                <w:sz w:val="22"/>
                <w:szCs w:val="22"/>
              </w:rPr>
            </w:pPr>
            <w:r w:rsidRPr="00246ECD">
              <w:rPr>
                <w:rFonts w:eastAsia="Times New Roman"/>
                <w:color w:val="000000"/>
                <w:sz w:val="22"/>
                <w:szCs w:val="22"/>
              </w:rPr>
              <w:t>1,078</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207928" w:rsidRPr="00246ECD" w:rsidP="00AC2CB0" w14:paraId="7BB2C68B" w14:textId="77777777">
            <w:pPr>
              <w:spacing w:after="0"/>
              <w:jc w:val="center"/>
              <w:rPr>
                <w:rFonts w:eastAsia="Times New Roman"/>
                <w:color w:val="000000"/>
                <w:sz w:val="22"/>
                <w:szCs w:val="22"/>
              </w:rPr>
            </w:pPr>
            <w:r w:rsidRPr="00246ECD">
              <w:rPr>
                <w:rFonts w:eastAsia="Times New Roman"/>
                <w:color w:val="000000"/>
                <w:sz w:val="22"/>
                <w:szCs w:val="22"/>
              </w:rPr>
              <w:t>302</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207928" w:rsidRPr="00246ECD" w:rsidP="00AC2CB0" w14:paraId="1477CA75" w14:textId="77777777">
            <w:pPr>
              <w:spacing w:after="0"/>
              <w:jc w:val="center"/>
              <w:rPr>
                <w:rFonts w:eastAsia="Times New Roman"/>
                <w:color w:val="000000"/>
                <w:sz w:val="22"/>
                <w:szCs w:val="22"/>
              </w:rPr>
            </w:pPr>
            <w:r w:rsidRPr="00246ECD">
              <w:rPr>
                <w:rFonts w:eastAsia="Times New Roman"/>
                <w:color w:val="000000"/>
                <w:sz w:val="22"/>
                <w:szCs w:val="22"/>
              </w:rPr>
              <w:t>1,696</w:t>
            </w:r>
          </w:p>
        </w:tc>
      </w:tr>
      <w:tr w14:paraId="52D0CCBB"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1AB" w:rsidRPr="00246ECD" w:rsidP="00D6315F" w14:paraId="2AA3B1E8" w14:textId="2A5456D2">
            <w:pPr>
              <w:spacing w:after="0"/>
              <w:rPr>
                <w:rFonts w:eastAsia="Times New Roman"/>
                <w:color w:val="000000"/>
                <w:sz w:val="22"/>
                <w:szCs w:val="22"/>
              </w:rPr>
            </w:pPr>
            <w:r w:rsidRPr="00246ECD">
              <w:rPr>
                <w:rFonts w:eastAsia="Times New Roman"/>
                <w:color w:val="000000"/>
                <w:sz w:val="22"/>
                <w:szCs w:val="22"/>
              </w:rPr>
              <w:t>Wage rate (first-line supervisor)</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64ECECEB" w14:textId="2390E04F">
            <w:pPr>
              <w:spacing w:after="0"/>
              <w:jc w:val="center"/>
              <w:rPr>
                <w:rFonts w:eastAsia="Times New Roman"/>
                <w:color w:val="000000"/>
                <w:sz w:val="22"/>
                <w:szCs w:val="22"/>
              </w:rPr>
            </w:pPr>
            <w:r w:rsidRPr="00246ECD">
              <w:rPr>
                <w:rFonts w:eastAsia="Times New Roman"/>
                <w:color w:val="000000"/>
                <w:sz w:val="22"/>
                <w:szCs w:val="22"/>
              </w:rPr>
              <w:t>$</w:t>
            </w:r>
            <w:r w:rsidR="00DB569B">
              <w:rPr>
                <w:rFonts w:eastAsia="Times New Roman"/>
                <w:color w:val="000000"/>
                <w:sz w:val="22"/>
                <w:szCs w:val="22"/>
              </w:rPr>
              <w:t>75.44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049D2D4" w14:textId="1D11CA0F">
            <w:pPr>
              <w:spacing w:after="0"/>
              <w:jc w:val="center"/>
              <w:rPr>
                <w:rFonts w:eastAsia="Times New Roman"/>
                <w:color w:val="000000"/>
                <w:sz w:val="22"/>
                <w:szCs w:val="22"/>
              </w:rPr>
            </w:pPr>
            <w:r w:rsidRPr="00246ECD">
              <w:rPr>
                <w:rFonts w:eastAsia="Times New Roman"/>
                <w:color w:val="000000"/>
                <w:sz w:val="22"/>
                <w:szCs w:val="22"/>
              </w:rPr>
              <w:t>$</w:t>
            </w:r>
            <w:r w:rsidR="00DB569B">
              <w:rPr>
                <w:rFonts w:eastAsia="Times New Roman"/>
                <w:color w:val="000000"/>
                <w:sz w:val="22"/>
                <w:szCs w:val="22"/>
              </w:rPr>
              <w:t>75.44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5B29F897" w14:textId="5735C522">
            <w:pPr>
              <w:spacing w:after="0"/>
              <w:jc w:val="center"/>
              <w:rPr>
                <w:rFonts w:eastAsia="Times New Roman"/>
                <w:color w:val="000000"/>
                <w:sz w:val="22"/>
                <w:szCs w:val="22"/>
              </w:rPr>
            </w:pPr>
            <w:r w:rsidRPr="00246ECD">
              <w:rPr>
                <w:rFonts w:eastAsia="Times New Roman"/>
                <w:color w:val="000000"/>
                <w:sz w:val="22"/>
                <w:szCs w:val="22"/>
              </w:rPr>
              <w:t>$</w:t>
            </w:r>
            <w:r w:rsidR="00DB569B">
              <w:rPr>
                <w:rFonts w:eastAsia="Times New Roman"/>
                <w:color w:val="000000"/>
                <w:sz w:val="22"/>
                <w:szCs w:val="22"/>
              </w:rPr>
              <w:t>75.44</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4329025" w14:textId="42B78EC1">
            <w:pPr>
              <w:spacing w:after="0"/>
              <w:jc w:val="center"/>
              <w:rPr>
                <w:rFonts w:eastAsia="Times New Roman"/>
                <w:color w:val="000000"/>
                <w:sz w:val="22"/>
                <w:szCs w:val="22"/>
              </w:rPr>
            </w:pPr>
            <w:r w:rsidRPr="00246ECD">
              <w:rPr>
                <w:rFonts w:eastAsia="Times New Roman"/>
                <w:color w:val="000000"/>
                <w:sz w:val="22"/>
                <w:szCs w:val="22"/>
              </w:rPr>
              <w:t>$</w:t>
            </w:r>
            <w:r w:rsidR="00DB569B">
              <w:rPr>
                <w:rFonts w:eastAsia="Times New Roman"/>
                <w:color w:val="000000"/>
                <w:sz w:val="22"/>
                <w:szCs w:val="22"/>
              </w:rPr>
              <w:t>75.44</w:t>
            </w:r>
          </w:p>
        </w:tc>
      </w:tr>
      <w:tr w14:paraId="50C2D97C"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B" w:rsidRPr="00246ECD" w:rsidP="00D6315F" w14:paraId="51E2C2DB" w14:textId="4C65DDF3">
            <w:pPr>
              <w:spacing w:after="0"/>
              <w:rPr>
                <w:rFonts w:eastAsia="Times New Roman"/>
                <w:color w:val="000000"/>
                <w:sz w:val="22"/>
                <w:szCs w:val="22"/>
              </w:rPr>
            </w:pPr>
            <w:r w:rsidRPr="00246ECD">
              <w:rPr>
                <w:rFonts w:eastAsia="Times New Roman"/>
                <w:color w:val="000000"/>
                <w:sz w:val="22"/>
                <w:szCs w:val="22"/>
              </w:rPr>
              <w:t>FDA-wide FTE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35A31B1" w14:textId="14936242">
            <w:pPr>
              <w:spacing w:after="0"/>
              <w:jc w:val="center"/>
              <w:rPr>
                <w:rFonts w:eastAsia="Times New Roman"/>
                <w:color w:val="000000"/>
                <w:sz w:val="22"/>
                <w:szCs w:val="22"/>
              </w:rPr>
            </w:pPr>
            <w:r w:rsidRPr="00246ECD">
              <w:rPr>
                <w:rFonts w:eastAsia="Times New Roman"/>
                <w:color w:val="000000"/>
                <w:sz w:val="22"/>
                <w:szCs w:val="22"/>
              </w:rPr>
              <w:t>$</w:t>
            </w:r>
            <w:r w:rsidR="00350C97">
              <w:rPr>
                <w:rFonts w:eastAsia="Times New Roman"/>
                <w:color w:val="000000"/>
                <w:sz w:val="22"/>
                <w:szCs w:val="22"/>
              </w:rPr>
              <w:t>142.52</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3630F685" w14:textId="6D129A0A">
            <w:pPr>
              <w:spacing w:after="0"/>
              <w:jc w:val="center"/>
              <w:rPr>
                <w:rFonts w:eastAsia="Times New Roman"/>
                <w:color w:val="000000"/>
                <w:sz w:val="22"/>
                <w:szCs w:val="22"/>
              </w:rPr>
            </w:pPr>
            <w:r w:rsidRPr="00246ECD">
              <w:rPr>
                <w:rFonts w:eastAsia="Times New Roman"/>
                <w:color w:val="000000"/>
                <w:sz w:val="22"/>
                <w:szCs w:val="22"/>
              </w:rPr>
              <w:t>$</w:t>
            </w:r>
            <w:r w:rsidR="00350C97">
              <w:rPr>
                <w:rFonts w:eastAsia="Times New Roman"/>
                <w:color w:val="000000"/>
                <w:sz w:val="22"/>
                <w:szCs w:val="22"/>
              </w:rPr>
              <w:t>142.52</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F6E0E08" w14:textId="0B299F00">
            <w:pPr>
              <w:spacing w:after="0"/>
              <w:jc w:val="center"/>
              <w:rPr>
                <w:rFonts w:eastAsia="Times New Roman"/>
                <w:color w:val="000000"/>
                <w:sz w:val="22"/>
                <w:szCs w:val="22"/>
              </w:rPr>
            </w:pPr>
            <w:r w:rsidRPr="00246ECD">
              <w:rPr>
                <w:rFonts w:eastAsia="Times New Roman"/>
                <w:color w:val="000000"/>
                <w:sz w:val="22"/>
                <w:szCs w:val="22"/>
              </w:rPr>
              <w:t>$</w:t>
            </w:r>
            <w:r w:rsidR="00350C97">
              <w:rPr>
                <w:rFonts w:eastAsia="Times New Roman"/>
                <w:color w:val="000000"/>
                <w:sz w:val="22"/>
                <w:szCs w:val="22"/>
              </w:rPr>
              <w:t>142.52</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C1D07D9" w14:textId="2F655FF8">
            <w:pPr>
              <w:spacing w:after="0"/>
              <w:jc w:val="center"/>
              <w:rPr>
                <w:rFonts w:eastAsia="Times New Roman"/>
                <w:color w:val="000000"/>
                <w:sz w:val="22"/>
                <w:szCs w:val="22"/>
              </w:rPr>
            </w:pPr>
            <w:r w:rsidRPr="00246ECD">
              <w:rPr>
                <w:rFonts w:eastAsia="Times New Roman"/>
                <w:color w:val="000000"/>
                <w:sz w:val="22"/>
                <w:szCs w:val="22"/>
              </w:rPr>
              <w:t>$</w:t>
            </w:r>
            <w:r w:rsidR="00350C97">
              <w:rPr>
                <w:rFonts w:eastAsia="Times New Roman"/>
                <w:color w:val="000000"/>
                <w:sz w:val="22"/>
                <w:szCs w:val="22"/>
              </w:rPr>
              <w:t>142.52</w:t>
            </w:r>
          </w:p>
        </w:tc>
      </w:tr>
      <w:tr w14:paraId="4E8C9683"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1AB" w:rsidRPr="00246ECD" w:rsidP="00D6315F" w14:paraId="2F4B145A" w14:textId="6D27FB87">
            <w:pPr>
              <w:spacing w:after="0"/>
              <w:rPr>
                <w:rFonts w:eastAsia="Times New Roman"/>
                <w:color w:val="000000"/>
                <w:sz w:val="22"/>
                <w:szCs w:val="22"/>
              </w:rPr>
            </w:pPr>
            <w:r w:rsidRPr="00246ECD">
              <w:rPr>
                <w:rFonts w:eastAsia="Times New Roman"/>
                <w:color w:val="000000"/>
                <w:sz w:val="22"/>
                <w:szCs w:val="22"/>
              </w:rPr>
              <w:t>Reduction in inspection time low (hours)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6E58822E" w14:textId="31E94D40">
            <w:pPr>
              <w:spacing w:after="0"/>
              <w:jc w:val="center"/>
              <w:rPr>
                <w:rFonts w:eastAsia="Times New Roman"/>
                <w:color w:val="000000"/>
                <w:sz w:val="22"/>
                <w:szCs w:val="22"/>
              </w:rPr>
            </w:pPr>
            <w:r w:rsidRPr="00246ECD">
              <w:rPr>
                <w:rFonts w:eastAsia="Times New Roman"/>
                <w:color w:val="000000"/>
                <w:sz w:val="22"/>
                <w:szCs w:val="22"/>
              </w:rPr>
              <w:t>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54871579" w14:textId="5E45569B">
            <w:pPr>
              <w:spacing w:after="0"/>
              <w:jc w:val="center"/>
              <w:rPr>
                <w:rFonts w:eastAsia="Times New Roman"/>
                <w:color w:val="000000"/>
                <w:sz w:val="22"/>
                <w:szCs w:val="22"/>
              </w:rPr>
            </w:pPr>
            <w:r w:rsidRPr="00246ECD">
              <w:rPr>
                <w:rFonts w:eastAsia="Times New Roman"/>
                <w:color w:val="000000"/>
                <w:sz w:val="22"/>
                <w:szCs w:val="22"/>
              </w:rPr>
              <w:t>0</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5D4F990C" w14:textId="251867A7">
            <w:pPr>
              <w:spacing w:after="0"/>
              <w:jc w:val="center"/>
              <w:rPr>
                <w:rFonts w:eastAsia="Times New Roman"/>
                <w:color w:val="000000"/>
                <w:sz w:val="22"/>
                <w:szCs w:val="22"/>
              </w:rPr>
            </w:pPr>
            <w:r w:rsidRPr="00246ECD">
              <w:rPr>
                <w:rFonts w:eastAsia="Times New Roman"/>
                <w:color w:val="000000"/>
                <w:sz w:val="22"/>
                <w:szCs w:val="22"/>
              </w:rPr>
              <w:t>0</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51AF563F" w14:textId="344D485C">
            <w:pPr>
              <w:spacing w:after="0"/>
              <w:jc w:val="center"/>
              <w:rPr>
                <w:rFonts w:eastAsia="Times New Roman"/>
                <w:color w:val="000000"/>
                <w:sz w:val="22"/>
                <w:szCs w:val="22"/>
              </w:rPr>
            </w:pPr>
            <w:r w:rsidRPr="00246ECD">
              <w:rPr>
                <w:rFonts w:eastAsia="Times New Roman"/>
                <w:color w:val="000000"/>
                <w:sz w:val="22"/>
                <w:szCs w:val="22"/>
              </w:rPr>
              <w:t>0</w:t>
            </w:r>
          </w:p>
        </w:tc>
      </w:tr>
      <w:tr w14:paraId="7CA65B14"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1AB" w:rsidRPr="00246ECD" w:rsidP="00D6315F" w14:paraId="02770173" w14:textId="084E1CA0">
            <w:pPr>
              <w:spacing w:after="0"/>
              <w:rPr>
                <w:rFonts w:eastAsia="Times New Roman"/>
                <w:color w:val="000000"/>
                <w:sz w:val="22"/>
                <w:szCs w:val="22"/>
              </w:rPr>
            </w:pPr>
            <w:r w:rsidRPr="00246ECD">
              <w:rPr>
                <w:rFonts w:eastAsia="Times New Roman"/>
                <w:color w:val="000000"/>
                <w:sz w:val="22"/>
                <w:szCs w:val="22"/>
              </w:rPr>
              <w:t>Reduction in inspection time high (hours)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2A7F54CC" w14:textId="37ACEC55">
            <w:pPr>
              <w:spacing w:after="0"/>
              <w:jc w:val="center"/>
              <w:rPr>
                <w:rFonts w:eastAsia="Times New Roman"/>
                <w:color w:val="000000"/>
                <w:sz w:val="22"/>
                <w:szCs w:val="22"/>
              </w:rPr>
            </w:pPr>
            <w:r w:rsidRPr="00246ECD">
              <w:rPr>
                <w:rFonts w:eastAsia="Times New Roman"/>
                <w:color w:val="000000"/>
                <w:sz w:val="22"/>
                <w:szCs w:val="22"/>
              </w:rPr>
              <w:t>26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1E4DC8B" w14:textId="7FF35A48">
            <w:pPr>
              <w:spacing w:after="0"/>
              <w:jc w:val="center"/>
              <w:rPr>
                <w:rFonts w:eastAsia="Times New Roman"/>
                <w:color w:val="000000"/>
                <w:sz w:val="22"/>
                <w:szCs w:val="22"/>
              </w:rPr>
            </w:pPr>
            <w:r w:rsidRPr="00246ECD">
              <w:rPr>
                <w:rFonts w:eastAsia="Times New Roman"/>
                <w:color w:val="000000"/>
                <w:sz w:val="22"/>
                <w:szCs w:val="22"/>
              </w:rPr>
              <w:t>26</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3EDA772" w14:textId="35DB8174">
            <w:pPr>
              <w:spacing w:after="0"/>
              <w:jc w:val="center"/>
              <w:rPr>
                <w:rFonts w:eastAsia="Times New Roman"/>
                <w:color w:val="000000"/>
                <w:sz w:val="22"/>
                <w:szCs w:val="22"/>
              </w:rPr>
            </w:pPr>
            <w:r w:rsidRPr="00246ECD">
              <w:rPr>
                <w:rFonts w:eastAsia="Times New Roman"/>
                <w:color w:val="000000"/>
                <w:sz w:val="22"/>
                <w:szCs w:val="22"/>
              </w:rPr>
              <w:t>26</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F3DB06E" w14:textId="41021E60">
            <w:pPr>
              <w:spacing w:after="0"/>
              <w:jc w:val="center"/>
              <w:rPr>
                <w:rFonts w:eastAsia="Times New Roman"/>
                <w:color w:val="000000"/>
                <w:sz w:val="22"/>
                <w:szCs w:val="22"/>
              </w:rPr>
            </w:pPr>
            <w:r w:rsidRPr="00246ECD">
              <w:rPr>
                <w:rFonts w:eastAsia="Times New Roman"/>
                <w:color w:val="000000"/>
                <w:sz w:val="22"/>
                <w:szCs w:val="22"/>
              </w:rPr>
              <w:t>26</w:t>
            </w:r>
          </w:p>
        </w:tc>
      </w:tr>
      <w:tr w14:paraId="6A53AF67"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F11AB" w:rsidRPr="00246ECD" w:rsidP="00DF11AB" w14:paraId="1500F67E" w14:textId="0D344330">
            <w:pPr>
              <w:spacing w:after="0"/>
              <w:rPr>
                <w:rFonts w:eastAsia="Times New Roman"/>
                <w:color w:val="000000"/>
                <w:sz w:val="22"/>
                <w:szCs w:val="22"/>
              </w:rPr>
            </w:pPr>
            <w:r w:rsidRPr="00246ECD">
              <w:rPr>
                <w:rFonts w:eastAsia="Times New Roman"/>
                <w:b/>
                <w:color w:val="000000"/>
                <w:sz w:val="22"/>
                <w:szCs w:val="22"/>
              </w:rPr>
              <w:t>Firms ongoing cost savings (millions)</w:t>
            </w:r>
          </w:p>
        </w:tc>
        <w:tc>
          <w:tcPr>
            <w:tcW w:w="1710" w:type="dxa"/>
            <w:tcBorders>
              <w:top w:val="single" w:sz="4" w:space="0" w:color="auto"/>
              <w:left w:val="nil"/>
              <w:bottom w:val="single" w:sz="4" w:space="0" w:color="auto"/>
              <w:right w:val="single" w:sz="4" w:space="0" w:color="auto"/>
            </w:tcBorders>
            <w:shd w:val="clear" w:color="000000" w:fill="E7E6E6"/>
            <w:noWrap/>
            <w:vAlign w:val="bottom"/>
            <w:hideMark/>
          </w:tcPr>
          <w:p w:rsidR="00DF11AB" w:rsidRPr="00246ECD" w:rsidP="00AC2CB0" w14:paraId="60FD0CB9" w14:textId="296046A9">
            <w:pPr>
              <w:spacing w:after="0"/>
              <w:jc w:val="center"/>
              <w:rPr>
                <w:rFonts w:eastAsia="Times New Roman"/>
                <w:color w:val="000000"/>
                <w:sz w:val="22"/>
                <w:szCs w:val="22"/>
              </w:rPr>
            </w:pPr>
          </w:p>
        </w:tc>
        <w:tc>
          <w:tcPr>
            <w:tcW w:w="1620" w:type="dxa"/>
            <w:tcBorders>
              <w:top w:val="single" w:sz="4" w:space="0" w:color="auto"/>
              <w:left w:val="nil"/>
              <w:bottom w:val="single" w:sz="4" w:space="0" w:color="auto"/>
              <w:right w:val="single" w:sz="4" w:space="0" w:color="auto"/>
            </w:tcBorders>
            <w:shd w:val="clear" w:color="000000" w:fill="E7E6E6"/>
            <w:noWrap/>
            <w:vAlign w:val="bottom"/>
            <w:hideMark/>
          </w:tcPr>
          <w:p w:rsidR="00DF11AB" w:rsidRPr="00246ECD" w:rsidP="00AC2CB0" w14:paraId="66DE03F3" w14:textId="6D838F05">
            <w:pPr>
              <w:spacing w:after="0"/>
              <w:jc w:val="center"/>
              <w:rPr>
                <w:rFonts w:eastAsia="Times New Roman"/>
                <w:color w:val="000000"/>
                <w:sz w:val="22"/>
                <w:szCs w:val="22"/>
              </w:rPr>
            </w:pPr>
          </w:p>
        </w:tc>
        <w:tc>
          <w:tcPr>
            <w:tcW w:w="1710" w:type="dxa"/>
            <w:tcBorders>
              <w:top w:val="single" w:sz="4" w:space="0" w:color="auto"/>
              <w:left w:val="nil"/>
              <w:bottom w:val="single" w:sz="4" w:space="0" w:color="auto"/>
              <w:right w:val="single" w:sz="4" w:space="0" w:color="auto"/>
            </w:tcBorders>
            <w:shd w:val="clear" w:color="000000" w:fill="E7E6E6"/>
            <w:noWrap/>
            <w:vAlign w:val="bottom"/>
            <w:hideMark/>
          </w:tcPr>
          <w:p w:rsidR="00DF11AB" w:rsidRPr="00246ECD" w:rsidP="00AC2CB0" w14:paraId="6E4A6CF2" w14:textId="6B12938C">
            <w:pPr>
              <w:spacing w:after="0"/>
              <w:jc w:val="center"/>
              <w:rPr>
                <w:rFonts w:eastAsia="Times New Roman"/>
                <w:color w:val="000000"/>
                <w:sz w:val="22"/>
                <w:szCs w:val="22"/>
              </w:rPr>
            </w:pPr>
          </w:p>
        </w:tc>
        <w:tc>
          <w:tcPr>
            <w:tcW w:w="1024" w:type="dxa"/>
            <w:tcBorders>
              <w:top w:val="single" w:sz="4" w:space="0" w:color="auto"/>
              <w:left w:val="nil"/>
              <w:bottom w:val="single" w:sz="4" w:space="0" w:color="auto"/>
              <w:right w:val="single" w:sz="4" w:space="0" w:color="auto"/>
            </w:tcBorders>
            <w:shd w:val="clear" w:color="000000" w:fill="E7E6E6"/>
            <w:noWrap/>
            <w:vAlign w:val="bottom"/>
            <w:hideMark/>
          </w:tcPr>
          <w:p w:rsidR="00DF11AB" w:rsidRPr="00246ECD" w:rsidP="00AC2CB0" w14:paraId="384280CB" w14:textId="42B34EE1">
            <w:pPr>
              <w:spacing w:after="0"/>
              <w:jc w:val="center"/>
              <w:rPr>
                <w:rFonts w:eastAsia="Times New Roman"/>
                <w:color w:val="000000"/>
                <w:sz w:val="22"/>
                <w:szCs w:val="22"/>
              </w:rPr>
            </w:pPr>
          </w:p>
        </w:tc>
      </w:tr>
      <w:tr w14:paraId="00ED7E7A"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1AB" w:rsidRPr="00246ECD" w:rsidP="00DF11AB" w14:paraId="277D0372" w14:textId="5A94B1C7">
            <w:pPr>
              <w:spacing w:after="0"/>
              <w:rPr>
                <w:rFonts w:eastAsia="Times New Roman"/>
                <w:color w:val="000000"/>
                <w:sz w:val="22"/>
                <w:szCs w:val="22"/>
              </w:rPr>
            </w:pPr>
            <w:r w:rsidRPr="00246ECD">
              <w:rPr>
                <w:rFonts w:eastAsia="Times New Roman"/>
                <w:color w:val="000000"/>
                <w:sz w:val="22"/>
                <w:szCs w:val="22"/>
              </w:rPr>
              <w:t>Total ongoing cost savings (low)</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01F9FE04" w14:textId="157509EB">
            <w:pPr>
              <w:spacing w:after="0"/>
              <w:jc w:val="center"/>
              <w:rPr>
                <w:rFonts w:eastAsia="Times New Roman"/>
                <w:color w:val="000000"/>
                <w:sz w:val="22"/>
                <w:szCs w:val="22"/>
              </w:rPr>
            </w:pPr>
            <w:r w:rsidRPr="00246ECD">
              <w:rPr>
                <w:rFonts w:eastAsia="Times New Roman"/>
                <w:color w:val="000000"/>
                <w:sz w:val="22"/>
                <w:szCs w:val="22"/>
              </w:rPr>
              <w:t>$0.00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6E928B82" w14:textId="460A420E">
            <w:pPr>
              <w:spacing w:after="0"/>
              <w:jc w:val="center"/>
              <w:rPr>
                <w:rFonts w:eastAsia="Times New Roman"/>
                <w:color w:val="000000"/>
                <w:sz w:val="22"/>
                <w:szCs w:val="22"/>
              </w:rPr>
            </w:pPr>
            <w:r w:rsidRPr="00246ECD">
              <w:rPr>
                <w:rFonts w:eastAsia="Times New Roman"/>
                <w:color w:val="000000"/>
                <w:sz w:val="22"/>
                <w:szCs w:val="22"/>
              </w:rPr>
              <w:t>$0.00</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06FEF2F1" w14:textId="1294EA15">
            <w:pPr>
              <w:spacing w:after="0"/>
              <w:jc w:val="center"/>
              <w:rPr>
                <w:rFonts w:eastAsia="Times New Roman"/>
                <w:color w:val="000000"/>
                <w:sz w:val="22"/>
                <w:szCs w:val="22"/>
              </w:rPr>
            </w:pPr>
            <w:r w:rsidRPr="00246ECD">
              <w:rPr>
                <w:rFonts w:eastAsia="Times New Roman"/>
                <w:color w:val="000000"/>
                <w:sz w:val="22"/>
                <w:szCs w:val="22"/>
              </w:rPr>
              <w:t>$0.00</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DF11AB" w:rsidRPr="00246ECD" w:rsidP="00AC2CB0" w14:paraId="7DBAC391" w14:textId="75E4D6AE">
            <w:pPr>
              <w:spacing w:after="0"/>
              <w:jc w:val="center"/>
              <w:rPr>
                <w:rFonts w:eastAsia="Times New Roman"/>
                <w:color w:val="000000"/>
                <w:sz w:val="22"/>
                <w:szCs w:val="22"/>
              </w:rPr>
            </w:pPr>
            <w:r w:rsidRPr="00246ECD">
              <w:rPr>
                <w:rFonts w:eastAsia="Times New Roman"/>
                <w:color w:val="000000"/>
                <w:sz w:val="22"/>
                <w:szCs w:val="22"/>
              </w:rPr>
              <w:t>$0.00</w:t>
            </w:r>
          </w:p>
        </w:tc>
      </w:tr>
      <w:tr w14:paraId="13B45668"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DF11AB" w:rsidRPr="00246ECD" w:rsidP="00DF11AB" w14:paraId="3219B7E8" w14:textId="72321C99">
            <w:pPr>
              <w:spacing w:after="0"/>
              <w:rPr>
                <w:rFonts w:eastAsia="Times New Roman"/>
                <w:color w:val="000000"/>
                <w:sz w:val="22"/>
                <w:szCs w:val="22"/>
              </w:rPr>
            </w:pPr>
            <w:r w:rsidRPr="00246ECD">
              <w:rPr>
                <w:rFonts w:eastAsia="Times New Roman"/>
                <w:color w:val="000000"/>
                <w:sz w:val="22"/>
                <w:szCs w:val="22"/>
              </w:rPr>
              <w:t>Total ongoing cost savings (high)</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1FB111DB" w14:textId="5F1F6EA8">
            <w:pPr>
              <w:spacing w:after="0"/>
              <w:jc w:val="center"/>
              <w:rPr>
                <w:rFonts w:eastAsia="Times New Roman"/>
                <w:color w:val="000000"/>
                <w:sz w:val="22"/>
                <w:szCs w:val="22"/>
              </w:rPr>
            </w:pPr>
            <w:r w:rsidRPr="00246ECD">
              <w:rPr>
                <w:rFonts w:eastAsia="Times New Roman"/>
                <w:color w:val="000000"/>
                <w:sz w:val="22"/>
                <w:szCs w:val="22"/>
              </w:rPr>
              <w:t>$0.</w:t>
            </w:r>
            <w:r w:rsidR="00CF354C">
              <w:rPr>
                <w:rFonts w:eastAsia="Times New Roman"/>
                <w:color w:val="000000"/>
                <w:sz w:val="22"/>
                <w:szCs w:val="22"/>
              </w:rPr>
              <w:t>62</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6706C3FA" w14:textId="1266ECF4">
            <w:pPr>
              <w:spacing w:after="0"/>
              <w:jc w:val="center"/>
              <w:rPr>
                <w:rFonts w:eastAsia="Times New Roman"/>
                <w:color w:val="000000"/>
                <w:sz w:val="22"/>
                <w:szCs w:val="22"/>
              </w:rPr>
            </w:pPr>
            <w:r w:rsidRPr="00246ECD">
              <w:rPr>
                <w:rFonts w:eastAsia="Times New Roman"/>
                <w:color w:val="000000"/>
                <w:sz w:val="22"/>
                <w:szCs w:val="22"/>
              </w:rPr>
              <w:t>$</w:t>
            </w:r>
            <w:r w:rsidR="00CF354C">
              <w:rPr>
                <w:rFonts w:eastAsia="Times New Roman"/>
                <w:color w:val="000000"/>
                <w:sz w:val="22"/>
                <w:szCs w:val="22"/>
              </w:rPr>
              <w:t>2.11</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99945F9" w14:textId="119D1493">
            <w:pPr>
              <w:spacing w:after="0"/>
              <w:jc w:val="center"/>
              <w:rPr>
                <w:rFonts w:eastAsia="Times New Roman"/>
                <w:color w:val="000000"/>
                <w:sz w:val="22"/>
                <w:szCs w:val="22"/>
              </w:rPr>
            </w:pPr>
            <w:r w:rsidRPr="00246ECD">
              <w:rPr>
                <w:rFonts w:eastAsia="Times New Roman"/>
                <w:color w:val="000000"/>
                <w:sz w:val="22"/>
                <w:szCs w:val="22"/>
              </w:rPr>
              <w:t>$0.</w:t>
            </w:r>
            <w:r w:rsidRPr="00246ECD" w:rsidR="00CE385C">
              <w:rPr>
                <w:rFonts w:eastAsia="Times New Roman"/>
                <w:color w:val="000000"/>
                <w:sz w:val="22"/>
                <w:szCs w:val="22"/>
              </w:rPr>
              <w:t>5</w:t>
            </w:r>
            <w:r w:rsidR="00E46096">
              <w:rPr>
                <w:rFonts w:eastAsia="Times New Roman"/>
                <w:color w:val="000000"/>
                <w:sz w:val="22"/>
                <w:szCs w:val="22"/>
              </w:rPr>
              <w:t>9</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581E0BB7" w14:textId="58A8B694">
            <w:pPr>
              <w:spacing w:after="0"/>
              <w:jc w:val="center"/>
              <w:rPr>
                <w:rFonts w:eastAsia="Times New Roman"/>
                <w:color w:val="000000"/>
                <w:sz w:val="22"/>
                <w:szCs w:val="22"/>
              </w:rPr>
            </w:pPr>
            <w:r w:rsidRPr="00246ECD">
              <w:rPr>
                <w:rFonts w:eastAsia="Times New Roman"/>
                <w:color w:val="000000"/>
                <w:sz w:val="22"/>
                <w:szCs w:val="22"/>
              </w:rPr>
              <w:t>$3.</w:t>
            </w:r>
            <w:r w:rsidR="00E46096">
              <w:rPr>
                <w:rFonts w:eastAsia="Times New Roman"/>
                <w:color w:val="000000"/>
                <w:sz w:val="22"/>
                <w:szCs w:val="22"/>
              </w:rPr>
              <w:t>33</w:t>
            </w:r>
          </w:p>
        </w:tc>
      </w:tr>
      <w:tr w14:paraId="0AD87058"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000000" w:fill="E7E6E6"/>
            <w:vAlign w:val="center"/>
          </w:tcPr>
          <w:p w:rsidR="00DF11AB" w:rsidRPr="00246ECD" w:rsidP="00DF11AB" w14:paraId="08638EFA" w14:textId="0827D13B">
            <w:pPr>
              <w:spacing w:after="0"/>
              <w:rPr>
                <w:rFonts w:eastAsia="Times New Roman"/>
                <w:b/>
                <w:color w:val="000000"/>
                <w:sz w:val="22"/>
                <w:szCs w:val="22"/>
              </w:rPr>
            </w:pPr>
            <w:r w:rsidRPr="00246ECD">
              <w:rPr>
                <w:rFonts w:eastAsia="Times New Roman"/>
                <w:b/>
                <w:color w:val="000000"/>
                <w:sz w:val="22"/>
                <w:szCs w:val="22"/>
              </w:rPr>
              <w:t>FDA ongoing cost savings (millions)</w:t>
            </w:r>
          </w:p>
        </w:tc>
        <w:tc>
          <w:tcPr>
            <w:tcW w:w="1710" w:type="dxa"/>
            <w:tcBorders>
              <w:top w:val="single" w:sz="4" w:space="0" w:color="auto"/>
              <w:left w:val="nil"/>
              <w:bottom w:val="single" w:sz="4" w:space="0" w:color="auto"/>
              <w:right w:val="single" w:sz="4" w:space="0" w:color="auto"/>
            </w:tcBorders>
            <w:shd w:val="clear" w:color="000000" w:fill="E7E6E6"/>
            <w:noWrap/>
            <w:vAlign w:val="bottom"/>
          </w:tcPr>
          <w:p w:rsidR="00DF11AB" w:rsidRPr="00246ECD" w:rsidP="00AC2CB0" w14:paraId="6E70D353" w14:textId="3D61B6EC">
            <w:pPr>
              <w:spacing w:after="0"/>
              <w:jc w:val="center"/>
              <w:rPr>
                <w:rFonts w:eastAsia="Times New Roman"/>
                <w:color w:val="000000"/>
                <w:sz w:val="22"/>
                <w:szCs w:val="22"/>
              </w:rPr>
            </w:pPr>
          </w:p>
        </w:tc>
        <w:tc>
          <w:tcPr>
            <w:tcW w:w="1620" w:type="dxa"/>
            <w:tcBorders>
              <w:top w:val="single" w:sz="4" w:space="0" w:color="auto"/>
              <w:left w:val="nil"/>
              <w:bottom w:val="single" w:sz="4" w:space="0" w:color="auto"/>
              <w:right w:val="single" w:sz="4" w:space="0" w:color="auto"/>
            </w:tcBorders>
            <w:shd w:val="clear" w:color="000000" w:fill="E7E6E6"/>
            <w:noWrap/>
            <w:vAlign w:val="bottom"/>
          </w:tcPr>
          <w:p w:rsidR="00DF11AB" w:rsidRPr="00246ECD" w:rsidP="00AC2CB0" w14:paraId="7968146E" w14:textId="68B34204">
            <w:pPr>
              <w:spacing w:after="0"/>
              <w:jc w:val="center"/>
              <w:rPr>
                <w:rFonts w:eastAsia="Times New Roman"/>
                <w:color w:val="000000"/>
                <w:sz w:val="22"/>
                <w:szCs w:val="22"/>
              </w:rPr>
            </w:pPr>
          </w:p>
        </w:tc>
        <w:tc>
          <w:tcPr>
            <w:tcW w:w="1710" w:type="dxa"/>
            <w:tcBorders>
              <w:top w:val="single" w:sz="4" w:space="0" w:color="auto"/>
              <w:left w:val="nil"/>
              <w:bottom w:val="single" w:sz="4" w:space="0" w:color="auto"/>
              <w:right w:val="single" w:sz="4" w:space="0" w:color="auto"/>
            </w:tcBorders>
            <w:shd w:val="clear" w:color="000000" w:fill="E7E6E6"/>
            <w:noWrap/>
            <w:vAlign w:val="bottom"/>
          </w:tcPr>
          <w:p w:rsidR="00DF11AB" w:rsidRPr="00246ECD" w:rsidP="00AC2CB0" w14:paraId="28E4B4C7" w14:textId="3FF87BD4">
            <w:pPr>
              <w:spacing w:after="0"/>
              <w:jc w:val="center"/>
              <w:rPr>
                <w:rFonts w:eastAsia="Times New Roman"/>
                <w:color w:val="000000"/>
                <w:sz w:val="22"/>
                <w:szCs w:val="22"/>
              </w:rPr>
            </w:pPr>
          </w:p>
        </w:tc>
        <w:tc>
          <w:tcPr>
            <w:tcW w:w="1024" w:type="dxa"/>
            <w:tcBorders>
              <w:top w:val="single" w:sz="4" w:space="0" w:color="auto"/>
              <w:left w:val="nil"/>
              <w:bottom w:val="single" w:sz="4" w:space="0" w:color="auto"/>
              <w:right w:val="single" w:sz="4" w:space="0" w:color="auto"/>
            </w:tcBorders>
            <w:shd w:val="clear" w:color="000000" w:fill="E7E6E6"/>
            <w:noWrap/>
            <w:vAlign w:val="bottom"/>
          </w:tcPr>
          <w:p w:rsidR="00DF11AB" w:rsidRPr="00246ECD" w:rsidP="00AC2CB0" w14:paraId="68F7F0A9" w14:textId="3AB34ED4">
            <w:pPr>
              <w:spacing w:after="0"/>
              <w:jc w:val="center"/>
              <w:rPr>
                <w:rFonts w:eastAsia="Times New Roman"/>
                <w:color w:val="000000"/>
                <w:sz w:val="22"/>
                <w:szCs w:val="22"/>
              </w:rPr>
            </w:pPr>
          </w:p>
        </w:tc>
      </w:tr>
      <w:tr w14:paraId="608C4A7D"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DF11AB" w:rsidRPr="00246ECD" w:rsidP="00DF11AB" w14:paraId="2C5A977E" w14:textId="12628CEE">
            <w:pPr>
              <w:spacing w:after="0"/>
              <w:rPr>
                <w:rFonts w:eastAsia="Times New Roman"/>
                <w:color w:val="000000"/>
                <w:sz w:val="22"/>
                <w:szCs w:val="22"/>
              </w:rPr>
            </w:pPr>
            <w:r w:rsidRPr="00246ECD">
              <w:rPr>
                <w:rFonts w:eastAsia="Times New Roman"/>
                <w:color w:val="000000"/>
                <w:sz w:val="22"/>
                <w:szCs w:val="22"/>
              </w:rPr>
              <w:t>Total ongoing cost savings (low)</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2A72871B" w14:textId="4FDC0BE2">
            <w:pPr>
              <w:spacing w:after="0"/>
              <w:jc w:val="center"/>
              <w:rPr>
                <w:rFonts w:eastAsia="Times New Roman"/>
                <w:color w:val="000000"/>
                <w:sz w:val="22"/>
                <w:szCs w:val="22"/>
              </w:rPr>
            </w:pPr>
            <w:r w:rsidRPr="00246ECD">
              <w:rPr>
                <w:rFonts w:eastAsia="Times New Roman"/>
                <w:color w:val="000000"/>
                <w:sz w:val="22"/>
                <w:szCs w:val="22"/>
              </w:rPr>
              <w:t>$0.00</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6B5D17B" w14:textId="478A6979">
            <w:pPr>
              <w:spacing w:after="0"/>
              <w:jc w:val="center"/>
              <w:rPr>
                <w:rFonts w:eastAsia="Times New Roman"/>
                <w:color w:val="000000"/>
                <w:sz w:val="22"/>
                <w:szCs w:val="22"/>
              </w:rPr>
            </w:pPr>
            <w:r w:rsidRPr="00246ECD">
              <w:rPr>
                <w:rFonts w:eastAsia="Times New Roman"/>
                <w:color w:val="000000"/>
                <w:sz w:val="22"/>
                <w:szCs w:val="22"/>
              </w:rPr>
              <w:t>$0.00</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83217C8" w14:textId="40252C30">
            <w:pPr>
              <w:spacing w:after="0"/>
              <w:jc w:val="center"/>
              <w:rPr>
                <w:rFonts w:eastAsia="Times New Roman"/>
                <w:color w:val="000000"/>
                <w:sz w:val="22"/>
                <w:szCs w:val="22"/>
              </w:rPr>
            </w:pPr>
            <w:r w:rsidRPr="00246ECD">
              <w:rPr>
                <w:rFonts w:eastAsia="Times New Roman"/>
                <w:color w:val="000000"/>
                <w:sz w:val="22"/>
                <w:szCs w:val="22"/>
              </w:rPr>
              <w:t>$0.00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04C6FAB3" w14:textId="0D81E268">
            <w:pPr>
              <w:spacing w:after="0"/>
              <w:jc w:val="center"/>
              <w:rPr>
                <w:rFonts w:eastAsia="Times New Roman"/>
                <w:color w:val="000000"/>
                <w:sz w:val="22"/>
                <w:szCs w:val="22"/>
              </w:rPr>
            </w:pPr>
            <w:r w:rsidRPr="00246ECD">
              <w:rPr>
                <w:rFonts w:eastAsia="Times New Roman"/>
                <w:color w:val="000000"/>
                <w:sz w:val="22"/>
                <w:szCs w:val="22"/>
              </w:rPr>
              <w:t>$0.00</w:t>
            </w:r>
          </w:p>
        </w:tc>
      </w:tr>
      <w:tr w14:paraId="6865492D" w14:textId="77777777" w:rsidTr="00246ECD">
        <w:tblPrEx>
          <w:tblW w:w="10009" w:type="dxa"/>
          <w:tblInd w:w="10" w:type="dxa"/>
          <w:tblLayout w:type="fixed"/>
          <w:tblLook w:val="04A0"/>
        </w:tblPrEx>
        <w:trPr>
          <w:trHeight w:val="216"/>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DF11AB" w:rsidRPr="00246ECD" w:rsidP="00DF11AB" w14:paraId="011296B9" w14:textId="4AD77A56">
            <w:pPr>
              <w:spacing w:after="0"/>
              <w:rPr>
                <w:rFonts w:eastAsia="Times New Roman"/>
                <w:color w:val="000000"/>
                <w:sz w:val="22"/>
                <w:szCs w:val="22"/>
              </w:rPr>
            </w:pPr>
            <w:r w:rsidRPr="00246ECD">
              <w:rPr>
                <w:rFonts w:eastAsia="Times New Roman"/>
                <w:color w:val="000000"/>
                <w:sz w:val="22"/>
                <w:szCs w:val="22"/>
              </w:rPr>
              <w:t>Total ongoing cost savings (high)</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412CED9B" w14:textId="20D324EE">
            <w:pPr>
              <w:spacing w:after="0"/>
              <w:jc w:val="center"/>
              <w:rPr>
                <w:rFonts w:eastAsia="Times New Roman"/>
                <w:color w:val="000000"/>
                <w:sz w:val="22"/>
                <w:szCs w:val="22"/>
              </w:rPr>
            </w:pPr>
            <w:r w:rsidRPr="00246ECD">
              <w:rPr>
                <w:rFonts w:eastAsia="Times New Roman"/>
                <w:color w:val="000000"/>
                <w:sz w:val="22"/>
                <w:szCs w:val="22"/>
              </w:rPr>
              <w:t>$0.</w:t>
            </w:r>
            <w:r w:rsidR="003153D7">
              <w:rPr>
                <w:rFonts w:eastAsia="Times New Roman"/>
                <w:color w:val="000000"/>
                <w:sz w:val="22"/>
                <w:szCs w:val="22"/>
              </w:rPr>
              <w:t>5</w:t>
            </w:r>
            <w:r w:rsidR="00350C97">
              <w:rPr>
                <w:rFonts w:eastAsia="Times New Roman"/>
                <w:color w:val="000000"/>
                <w:sz w:val="22"/>
                <w:szCs w:val="22"/>
              </w:rPr>
              <w:t>9</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73A42833" w14:textId="2791D9E0">
            <w:pPr>
              <w:spacing w:after="0"/>
              <w:jc w:val="center"/>
              <w:rPr>
                <w:rFonts w:eastAsia="Times New Roman"/>
                <w:color w:val="000000"/>
                <w:sz w:val="22"/>
                <w:szCs w:val="22"/>
              </w:rPr>
            </w:pPr>
            <w:r w:rsidRPr="00246ECD">
              <w:rPr>
                <w:rFonts w:eastAsia="Times New Roman"/>
                <w:color w:val="000000"/>
                <w:sz w:val="22"/>
                <w:szCs w:val="22"/>
              </w:rPr>
              <w:t>$</w:t>
            </w:r>
            <w:r w:rsidR="00350C97">
              <w:rPr>
                <w:rFonts w:eastAsia="Times New Roman"/>
                <w:color w:val="000000"/>
                <w:sz w:val="22"/>
                <w:szCs w:val="22"/>
              </w:rPr>
              <w:t>2.00</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7BA73079" w14:textId="2160361A">
            <w:pPr>
              <w:spacing w:after="0"/>
              <w:jc w:val="center"/>
              <w:rPr>
                <w:rFonts w:eastAsia="Times New Roman"/>
                <w:color w:val="000000"/>
                <w:sz w:val="22"/>
                <w:szCs w:val="22"/>
              </w:rPr>
            </w:pPr>
            <w:r w:rsidRPr="00246ECD">
              <w:rPr>
                <w:rFonts w:eastAsia="Times New Roman"/>
                <w:color w:val="000000"/>
                <w:sz w:val="22"/>
                <w:szCs w:val="22"/>
              </w:rPr>
              <w:t>$0.</w:t>
            </w:r>
            <w:r w:rsidRPr="00246ECD" w:rsidR="004B295F">
              <w:rPr>
                <w:rFonts w:eastAsia="Times New Roman"/>
                <w:color w:val="000000"/>
                <w:sz w:val="22"/>
                <w:szCs w:val="22"/>
              </w:rPr>
              <w:t>5</w:t>
            </w:r>
            <w:r w:rsidR="00350C97">
              <w:rPr>
                <w:rFonts w:eastAsia="Times New Roman"/>
                <w:color w:val="000000"/>
                <w:sz w:val="22"/>
                <w:szCs w:val="22"/>
              </w:rPr>
              <w:t>6</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DF11AB" w:rsidRPr="00246ECD" w:rsidP="00AC2CB0" w14:paraId="57FB8D37" w14:textId="7350294D">
            <w:pPr>
              <w:spacing w:after="0"/>
              <w:jc w:val="center"/>
              <w:rPr>
                <w:rFonts w:eastAsia="Times New Roman"/>
                <w:color w:val="000000"/>
                <w:sz w:val="22"/>
                <w:szCs w:val="22"/>
              </w:rPr>
            </w:pPr>
            <w:r w:rsidRPr="00246ECD">
              <w:rPr>
                <w:rFonts w:eastAsia="Times New Roman"/>
                <w:color w:val="000000"/>
                <w:sz w:val="22"/>
                <w:szCs w:val="22"/>
              </w:rPr>
              <w:t>$</w:t>
            </w:r>
            <w:r w:rsidR="00E46096">
              <w:rPr>
                <w:rFonts w:eastAsia="Times New Roman"/>
                <w:color w:val="000000"/>
                <w:sz w:val="22"/>
                <w:szCs w:val="22"/>
              </w:rPr>
              <w:t>3.1</w:t>
            </w:r>
            <w:r w:rsidR="00350C97">
              <w:rPr>
                <w:rFonts w:eastAsia="Times New Roman"/>
                <w:color w:val="000000"/>
                <w:sz w:val="22"/>
                <w:szCs w:val="22"/>
              </w:rPr>
              <w:t>4</w:t>
            </w:r>
          </w:p>
        </w:tc>
      </w:tr>
      <w:bookmarkEnd w:id="48"/>
    </w:tbl>
    <w:p w:rsidR="00AD3120" w:rsidP="00E81B93" w14:paraId="60D6E5F0" w14:textId="77777777">
      <w:pPr>
        <w:rPr>
          <w:rFonts w:eastAsia="Times New Roman"/>
        </w:rPr>
      </w:pPr>
    </w:p>
    <w:p w:rsidR="00F541B0" w14:paraId="05BCEF65" w14:textId="77777777"/>
    <w:p w:rsidR="00F5099F" w:rsidP="001C636D" w14:paraId="4EDA761A" w14:textId="28A6E6FC">
      <w:pPr>
        <w:pStyle w:val="Heading4"/>
      </w:pPr>
      <w:bookmarkStart w:id="51" w:name="_Toc148515718"/>
      <w:r w:rsidRPr="00790EE9">
        <w:t xml:space="preserve">Removes </w:t>
      </w:r>
      <w:r w:rsidR="006A726A">
        <w:t>First</w:t>
      </w:r>
      <w:r w:rsidR="001E2DA7">
        <w:t>-</w:t>
      </w:r>
      <w:r w:rsidR="006A726A">
        <w:t xml:space="preserve">in, </w:t>
      </w:r>
      <w:r w:rsidR="006813D9">
        <w:t>F</w:t>
      </w:r>
      <w:r w:rsidR="006A726A">
        <w:t>irst</w:t>
      </w:r>
      <w:r w:rsidR="001E2DA7">
        <w:t>-</w:t>
      </w:r>
      <w:r w:rsidR="006A726A">
        <w:t>out</w:t>
      </w:r>
      <w:r w:rsidRPr="00790EE9">
        <w:t xml:space="preserve"> Requirement for </w:t>
      </w:r>
      <w:r w:rsidR="00CD228E">
        <w:t>Medical Gases</w:t>
      </w:r>
      <w:bookmarkEnd w:id="51"/>
    </w:p>
    <w:p w:rsidR="00972A5F" w:rsidP="00377F83" w14:paraId="413BFB44" w14:textId="0C830AAC">
      <w:pPr>
        <w:ind w:firstLine="720"/>
        <w:rPr>
          <w:rFonts w:eastAsia="Times New Roman"/>
        </w:rPr>
      </w:pPr>
      <w:r>
        <w:rPr>
          <w:rFonts w:eastAsia="Times New Roman"/>
        </w:rPr>
        <w:t>This</w:t>
      </w:r>
      <w:r>
        <w:t xml:space="preserve"> </w:t>
      </w:r>
      <w:r w:rsidR="00340621">
        <w:t>final</w:t>
      </w:r>
      <w:r>
        <w:t xml:space="preserve"> rule </w:t>
      </w:r>
      <w:r w:rsidR="001940B0">
        <w:t>will</w:t>
      </w:r>
      <w:r>
        <w:t xml:space="preserve"> not include the </w:t>
      </w:r>
      <w:r w:rsidR="006A726A">
        <w:t>first</w:t>
      </w:r>
      <w:r w:rsidR="00E06017">
        <w:t>-</w:t>
      </w:r>
      <w:r w:rsidR="006A726A">
        <w:t>in, first</w:t>
      </w:r>
      <w:r w:rsidR="00E06017">
        <w:t>-</w:t>
      </w:r>
      <w:r w:rsidR="006A726A">
        <w:t>out</w:t>
      </w:r>
      <w:r>
        <w:t xml:space="preserve"> requirement for </w:t>
      </w:r>
      <w:r w:rsidR="003966E4">
        <w:t xml:space="preserve">medical </w:t>
      </w:r>
      <w:r w:rsidR="00E06017">
        <w:t>gases</w:t>
      </w:r>
      <w:r>
        <w:t xml:space="preserve">. </w:t>
      </w:r>
      <w:r w:rsidR="003966E4">
        <w:rPr>
          <w:rFonts w:eastAsia="Times New Roman"/>
        </w:rPr>
        <w:t>These gases</w:t>
      </w:r>
      <w:r w:rsidRPr="00972A5F">
        <w:rPr>
          <w:rFonts w:eastAsia="Times New Roman"/>
        </w:rPr>
        <w:t xml:space="preserve"> are not expected to expire or degrade over long periods of time under ordinary storage conditions</w:t>
      </w:r>
      <w:r w:rsidR="00171FD7">
        <w:rPr>
          <w:rFonts w:eastAsia="Times New Roman"/>
        </w:rPr>
        <w:t>.</w:t>
      </w:r>
      <w:r w:rsidRPr="00972A5F">
        <w:rPr>
          <w:rFonts w:eastAsia="Times New Roman"/>
        </w:rPr>
        <w:t xml:space="preserve"> </w:t>
      </w:r>
      <w:r>
        <w:rPr>
          <w:rFonts w:eastAsia="Times New Roman"/>
        </w:rPr>
        <w:t xml:space="preserve">Consequently, </w:t>
      </w:r>
      <w:r w:rsidRPr="00972A5F">
        <w:rPr>
          <w:rFonts w:eastAsia="Times New Roman"/>
        </w:rPr>
        <w:t xml:space="preserve">FDA does not believe it is necessary to </w:t>
      </w:r>
      <w:r>
        <w:rPr>
          <w:rFonts w:eastAsia="Times New Roman"/>
        </w:rPr>
        <w:t xml:space="preserve">require </w:t>
      </w:r>
      <w:r w:rsidRPr="00972A5F">
        <w:rPr>
          <w:rFonts w:eastAsia="Times New Roman"/>
        </w:rPr>
        <w:t xml:space="preserve">using the oldest approved stock first or </w:t>
      </w:r>
      <w:r>
        <w:rPr>
          <w:rFonts w:eastAsia="Times New Roman"/>
        </w:rPr>
        <w:t xml:space="preserve">require </w:t>
      </w:r>
      <w:r w:rsidRPr="00972A5F">
        <w:rPr>
          <w:rFonts w:eastAsia="Times New Roman"/>
        </w:rPr>
        <w:t>retesting product</w:t>
      </w:r>
      <w:r w:rsidR="00A84425">
        <w:rPr>
          <w:rFonts w:eastAsia="Times New Roman"/>
        </w:rPr>
        <w:t>s</w:t>
      </w:r>
      <w:r w:rsidRPr="00972A5F">
        <w:rPr>
          <w:rFonts w:eastAsia="Times New Roman"/>
        </w:rPr>
        <w:t xml:space="preserve"> that ha</w:t>
      </w:r>
      <w:r w:rsidR="00A84425">
        <w:rPr>
          <w:rFonts w:eastAsia="Times New Roman"/>
        </w:rPr>
        <w:t>ve</w:t>
      </w:r>
      <w:r w:rsidRPr="00972A5F">
        <w:rPr>
          <w:rFonts w:eastAsia="Times New Roman"/>
        </w:rPr>
        <w:t xml:space="preserve"> been stored for long periods of time or exposed to air.</w:t>
      </w:r>
    </w:p>
    <w:p w:rsidR="007C368D" w:rsidP="00972A5F" w14:paraId="05649C2B" w14:textId="131CFD5E">
      <w:pPr>
        <w:rPr>
          <w:rFonts w:eastAsia="Times New Roman"/>
        </w:rPr>
      </w:pPr>
      <w:r>
        <w:rPr>
          <w:rFonts w:eastAsia="Times New Roman"/>
        </w:rPr>
        <w:tab/>
        <w:t xml:space="preserve">We believe not including </w:t>
      </w:r>
      <w:r w:rsidR="00986206">
        <w:rPr>
          <w:rFonts w:eastAsia="Times New Roman"/>
        </w:rPr>
        <w:t xml:space="preserve">the </w:t>
      </w:r>
      <w:r w:rsidR="006A726A">
        <w:rPr>
          <w:rFonts w:eastAsia="Times New Roman"/>
        </w:rPr>
        <w:t>first</w:t>
      </w:r>
      <w:r w:rsidR="001E2DA7">
        <w:rPr>
          <w:rFonts w:eastAsia="Times New Roman"/>
        </w:rPr>
        <w:t>-</w:t>
      </w:r>
      <w:r w:rsidR="006A726A">
        <w:rPr>
          <w:rFonts w:eastAsia="Times New Roman"/>
        </w:rPr>
        <w:t>in, first</w:t>
      </w:r>
      <w:r w:rsidR="001E2DA7">
        <w:rPr>
          <w:rFonts w:eastAsia="Times New Roman"/>
        </w:rPr>
        <w:t>-</w:t>
      </w:r>
      <w:r w:rsidR="006A726A">
        <w:rPr>
          <w:rFonts w:eastAsia="Times New Roman"/>
        </w:rPr>
        <w:t>out</w:t>
      </w:r>
      <w:r>
        <w:rPr>
          <w:rFonts w:eastAsia="Times New Roman"/>
        </w:rPr>
        <w:t xml:space="preserve"> </w:t>
      </w:r>
      <w:r w:rsidR="00986206">
        <w:rPr>
          <w:rFonts w:eastAsia="Times New Roman"/>
        </w:rPr>
        <w:t xml:space="preserve">requirement </w:t>
      </w:r>
      <w:r>
        <w:rPr>
          <w:rFonts w:eastAsia="Times New Roman"/>
        </w:rPr>
        <w:t xml:space="preserve">may lead to small time savings for </w:t>
      </w:r>
      <w:r w:rsidR="007B12D8">
        <w:rPr>
          <w:rFonts w:eastAsia="Times New Roman"/>
        </w:rPr>
        <w:t>H</w:t>
      </w:r>
      <w:r>
        <w:rPr>
          <w:rFonts w:eastAsia="Times New Roman"/>
        </w:rPr>
        <w:t xml:space="preserve">elpers who </w:t>
      </w:r>
      <w:r w:rsidR="001940B0">
        <w:rPr>
          <w:rFonts w:eastAsia="Times New Roman"/>
        </w:rPr>
        <w:t>will</w:t>
      </w:r>
      <w:r>
        <w:rPr>
          <w:rFonts w:eastAsia="Times New Roman"/>
        </w:rPr>
        <w:t xml:space="preserve"> have more flexibility in which containers of </w:t>
      </w:r>
      <w:r w:rsidR="00E06017">
        <w:rPr>
          <w:rFonts w:eastAsia="Times New Roman"/>
        </w:rPr>
        <w:t>medical gas</w:t>
      </w:r>
      <w:r>
        <w:rPr>
          <w:rFonts w:eastAsia="Times New Roman"/>
        </w:rPr>
        <w:t xml:space="preserve"> they choose to use. We believe not including this requirement </w:t>
      </w:r>
      <w:r w:rsidR="00A84425">
        <w:rPr>
          <w:rFonts w:eastAsia="Times New Roman"/>
        </w:rPr>
        <w:t xml:space="preserve">may </w:t>
      </w:r>
      <w:r>
        <w:rPr>
          <w:rFonts w:eastAsia="Times New Roman"/>
        </w:rPr>
        <w:t xml:space="preserve">save </w:t>
      </w:r>
      <w:r w:rsidR="003802CB">
        <w:rPr>
          <w:rFonts w:eastAsia="Times New Roman"/>
        </w:rPr>
        <w:t xml:space="preserve">firms </w:t>
      </w:r>
      <w:r>
        <w:rPr>
          <w:rFonts w:eastAsia="Times New Roman"/>
        </w:rPr>
        <w:t>between 0 minutes and 15 minutes</w:t>
      </w:r>
      <w:r w:rsidR="003802CB">
        <w:rPr>
          <w:rFonts w:eastAsia="Times New Roman"/>
        </w:rPr>
        <w:t xml:space="preserve"> per</w:t>
      </w:r>
      <w:r>
        <w:rPr>
          <w:rFonts w:eastAsia="Times New Roman"/>
        </w:rPr>
        <w:t xml:space="preserve"> week</w:t>
      </w:r>
      <w:r w:rsidR="00A84425">
        <w:rPr>
          <w:rFonts w:eastAsia="Times New Roman"/>
        </w:rPr>
        <w:t>,</w:t>
      </w:r>
      <w:r>
        <w:rPr>
          <w:rFonts w:eastAsia="Times New Roman"/>
        </w:rPr>
        <w:t xml:space="preserve"> which translates to 0 hours to 13 hours per year.</w:t>
      </w:r>
    </w:p>
    <w:p w:rsidR="002F079A" w:rsidRPr="002F079A" w:rsidP="002F079A" w14:paraId="71870589" w14:textId="11334C31">
      <w:pPr>
        <w:rPr>
          <w:rFonts w:eastAsia="Times New Roman"/>
        </w:rPr>
      </w:pPr>
      <w:r>
        <w:rPr>
          <w:rFonts w:eastAsia="Times New Roman"/>
        </w:rPr>
        <w:tab/>
      </w:r>
      <w:r>
        <w:t xml:space="preserve">We use the </w:t>
      </w:r>
      <w:r w:rsidR="003153D7">
        <w:t>2022</w:t>
      </w:r>
      <w:r w:rsidR="00242455">
        <w:t xml:space="preserve"> wage</w:t>
      </w:r>
      <w:r>
        <w:t xml:space="preserve"> rate for Helpers and double it</w:t>
      </w:r>
      <w:r w:rsidRPr="00311C21">
        <w:t xml:space="preserve"> for a </w:t>
      </w:r>
      <w:r w:rsidR="00986206">
        <w:t>fully-loaded</w:t>
      </w:r>
      <w:r w:rsidRPr="00311C21">
        <w:t xml:space="preserve"> wage rate of $</w:t>
      </w:r>
      <w:r w:rsidR="0036110B">
        <w:t>37.02</w:t>
      </w:r>
      <w:r w:rsidRPr="00311C21">
        <w:t>.</w:t>
      </w:r>
      <w:r>
        <w:t xml:space="preserve"> </w:t>
      </w:r>
      <w:r w:rsidRPr="00987A52" w:rsidR="00BA5D10">
        <w:fldChar w:fldCharType="begin"/>
      </w:r>
      <w:r w:rsidRPr="00BA5D10" w:rsidR="00BA5D10">
        <w:instrText xml:space="preserve"> REF _Ref36642084 \h </w:instrText>
      </w:r>
      <w:r w:rsidRPr="005020B7" w:rsidR="00BA5D10">
        <w:instrText xml:space="preserve"> \* MERGEFORMAT </w:instrText>
      </w:r>
      <w:r w:rsidRPr="00987A52" w:rsidR="00BA5D10">
        <w:fldChar w:fldCharType="separate"/>
      </w:r>
      <w:r w:rsidRPr="004848C7" w:rsidR="00264BAF">
        <w:t xml:space="preserve">Table </w:t>
      </w:r>
      <w:r w:rsidRPr="004848C7" w:rsidR="00264BAF">
        <w:rPr>
          <w:noProof/>
        </w:rPr>
        <w:t>7</w:t>
      </w:r>
      <w:r w:rsidRPr="00987A52" w:rsidR="00BA5D10">
        <w:fldChar w:fldCharType="end"/>
      </w:r>
      <w:r w:rsidR="00BA5D10">
        <w:t xml:space="preserve"> shows the ongoing cost savings of removing the first</w:t>
      </w:r>
      <w:r w:rsidR="007940B7">
        <w:t>-</w:t>
      </w:r>
      <w:r w:rsidR="00BA5D10">
        <w:t>in</w:t>
      </w:r>
      <w:r w:rsidR="006A726A">
        <w:t>,</w:t>
      </w:r>
      <w:r w:rsidR="00BA5D10">
        <w:t xml:space="preserve"> first</w:t>
      </w:r>
      <w:r w:rsidR="007940B7">
        <w:t>-</w:t>
      </w:r>
      <w:r w:rsidR="00BA5D10">
        <w:t xml:space="preserve">out requirement for </w:t>
      </w:r>
      <w:r w:rsidR="007940B7">
        <w:t>medical gas</w:t>
      </w:r>
      <w:r w:rsidR="00BA5D10">
        <w:t xml:space="preserve"> containers. </w:t>
      </w:r>
      <w:r w:rsidRPr="002F079A">
        <w:rPr>
          <w:rFonts w:eastAsia="Times New Roman"/>
        </w:rPr>
        <w:t xml:space="preserve">The ongoing cost savings from </w:t>
      </w:r>
      <w:r>
        <w:rPr>
          <w:rFonts w:eastAsia="Times New Roman"/>
        </w:rPr>
        <w:t xml:space="preserve">not including </w:t>
      </w:r>
      <w:r w:rsidR="006A726A">
        <w:rPr>
          <w:rFonts w:eastAsia="Times New Roman"/>
        </w:rPr>
        <w:t>first</w:t>
      </w:r>
      <w:r w:rsidR="007940B7">
        <w:rPr>
          <w:rFonts w:eastAsia="Times New Roman"/>
        </w:rPr>
        <w:t>-</w:t>
      </w:r>
      <w:r w:rsidR="006A726A">
        <w:rPr>
          <w:rFonts w:eastAsia="Times New Roman"/>
        </w:rPr>
        <w:t>in, first</w:t>
      </w:r>
      <w:r w:rsidR="007940B7">
        <w:rPr>
          <w:rFonts w:eastAsia="Times New Roman"/>
        </w:rPr>
        <w:t>-</w:t>
      </w:r>
      <w:r w:rsidR="006A726A">
        <w:rPr>
          <w:rFonts w:eastAsia="Times New Roman"/>
        </w:rPr>
        <w:t>out</w:t>
      </w:r>
      <w:r>
        <w:rPr>
          <w:rFonts w:eastAsia="Times New Roman"/>
        </w:rPr>
        <w:t xml:space="preserve"> ranges from</w:t>
      </w:r>
      <w:r w:rsidRPr="002F079A">
        <w:rPr>
          <w:rFonts w:eastAsia="Times New Roman"/>
        </w:rPr>
        <w:t xml:space="preserve"> </w:t>
      </w:r>
      <w:r>
        <w:rPr>
          <w:rFonts w:eastAsia="Times New Roman"/>
        </w:rPr>
        <w:t>$0.00</w:t>
      </w:r>
      <w:r w:rsidRPr="002F079A">
        <w:rPr>
          <w:rFonts w:eastAsia="Times New Roman"/>
        </w:rPr>
        <w:t xml:space="preserve"> million to $</w:t>
      </w:r>
      <w:r>
        <w:rPr>
          <w:rFonts w:eastAsia="Times New Roman"/>
        </w:rPr>
        <w:t>0.</w:t>
      </w:r>
      <w:r w:rsidR="0036110B">
        <w:rPr>
          <w:rFonts w:eastAsia="Times New Roman"/>
        </w:rPr>
        <w:t>82</w:t>
      </w:r>
      <w:r w:rsidRPr="002F079A">
        <w:rPr>
          <w:rFonts w:eastAsia="Times New Roman"/>
        </w:rPr>
        <w:t xml:space="preserve"> million with a primary estimate of </w:t>
      </w:r>
      <w:r>
        <w:rPr>
          <w:rFonts w:eastAsia="Times New Roman"/>
        </w:rPr>
        <w:t>$0.</w:t>
      </w:r>
      <w:r w:rsidR="0036110B">
        <w:rPr>
          <w:rFonts w:eastAsia="Times New Roman"/>
        </w:rPr>
        <w:t>41</w:t>
      </w:r>
      <w:r w:rsidRPr="002F079A">
        <w:rPr>
          <w:rFonts w:eastAsia="Times New Roman"/>
        </w:rPr>
        <w:t xml:space="preserve"> million.</w:t>
      </w:r>
    </w:p>
    <w:p w:rsidR="00972A5F" w:rsidP="00972A5F" w14:paraId="5EC12DAC" w14:textId="3C38B861">
      <w:pPr>
        <w:rPr>
          <w:rFonts w:eastAsia="Times New Roman"/>
        </w:rPr>
      </w:pPr>
    </w:p>
    <w:p w:rsidR="00F541B0" w:rsidRPr="00790EE9" w:rsidP="00790EE9" w14:paraId="67062E0A" w14:textId="2A47E483">
      <w:pPr>
        <w:pStyle w:val="Caption"/>
        <w:keepNext/>
        <w:rPr>
          <w:b/>
        </w:rPr>
      </w:pPr>
      <w:bookmarkStart w:id="52" w:name="_Ref36642084"/>
      <w:bookmarkStart w:id="53" w:name="_Toc147238751"/>
      <w:r w:rsidRPr="00790EE9">
        <w:rPr>
          <w:b/>
        </w:rPr>
        <w:t xml:space="preserve">Table </w:t>
      </w:r>
      <w:r w:rsidRPr="00790EE9">
        <w:rPr>
          <w:b/>
        </w:rPr>
        <w:fldChar w:fldCharType="begin"/>
      </w:r>
      <w:r w:rsidRPr="00790EE9">
        <w:rPr>
          <w:b/>
        </w:rPr>
        <w:instrText xml:space="preserve"> SEQ Table \* ARABIC </w:instrText>
      </w:r>
      <w:r w:rsidRPr="00790EE9">
        <w:rPr>
          <w:b/>
        </w:rPr>
        <w:fldChar w:fldCharType="separate"/>
      </w:r>
      <w:r w:rsidR="00D36765">
        <w:rPr>
          <w:b/>
          <w:noProof/>
        </w:rPr>
        <w:t>7</w:t>
      </w:r>
      <w:r w:rsidRPr="00790EE9">
        <w:rPr>
          <w:b/>
        </w:rPr>
        <w:fldChar w:fldCharType="end"/>
      </w:r>
      <w:bookmarkEnd w:id="52"/>
      <w:r w:rsidRPr="00790EE9">
        <w:rPr>
          <w:b/>
        </w:rPr>
        <w:t xml:space="preserve">. </w:t>
      </w:r>
      <w:r w:rsidRPr="00790EE9">
        <w:rPr>
          <w:rFonts w:eastAsia="Times New Roman"/>
          <w:b/>
        </w:rPr>
        <w:t>Cost Savings Removing First</w:t>
      </w:r>
      <w:r w:rsidR="006B0B70">
        <w:rPr>
          <w:rFonts w:eastAsia="Times New Roman"/>
          <w:b/>
        </w:rPr>
        <w:t>-</w:t>
      </w:r>
      <w:r w:rsidRPr="00790EE9">
        <w:rPr>
          <w:rFonts w:eastAsia="Times New Roman"/>
          <w:b/>
        </w:rPr>
        <w:t>in</w:t>
      </w:r>
      <w:r w:rsidR="006A726A">
        <w:rPr>
          <w:rFonts w:eastAsia="Times New Roman"/>
          <w:b/>
        </w:rPr>
        <w:t>,</w:t>
      </w:r>
      <w:r w:rsidRPr="00790EE9">
        <w:rPr>
          <w:rFonts w:eastAsia="Times New Roman"/>
          <w:b/>
        </w:rPr>
        <w:t xml:space="preserve"> First</w:t>
      </w:r>
      <w:r w:rsidR="006B0B70">
        <w:rPr>
          <w:rFonts w:eastAsia="Times New Roman"/>
          <w:b/>
        </w:rPr>
        <w:t>-</w:t>
      </w:r>
      <w:r w:rsidRPr="00790EE9">
        <w:rPr>
          <w:rFonts w:eastAsia="Times New Roman"/>
          <w:b/>
        </w:rPr>
        <w:t>Out Requirement</w:t>
      </w:r>
      <w:bookmarkEnd w:id="53"/>
      <w:r w:rsidRPr="00790EE9">
        <w:rPr>
          <w:rFonts w:eastAsia="Times New Roman"/>
          <w:b/>
        </w:rPr>
        <w:t xml:space="preserve">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1710"/>
        <w:gridCol w:w="1620"/>
        <w:gridCol w:w="1694"/>
        <w:gridCol w:w="831"/>
      </w:tblGrid>
      <w:tr w14:paraId="63242023" w14:textId="77777777" w:rsidTr="001E7998">
        <w:tblPrEx>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08"/>
        </w:trPr>
        <w:tc>
          <w:tcPr>
            <w:tcW w:w="3495" w:type="dxa"/>
            <w:shd w:val="clear" w:color="auto" w:fill="D9D9D9" w:themeFill="background1" w:themeFillShade="D9"/>
          </w:tcPr>
          <w:p w:rsidR="002F079A" w:rsidRPr="00714FC0" w:rsidP="002F079A" w14:paraId="7CB95F4D" w14:textId="77777777">
            <w:pPr>
              <w:spacing w:after="0"/>
              <w:jc w:val="center"/>
              <w:rPr>
                <w:rFonts w:eastAsia="Times New Roman"/>
                <w:b/>
                <w:bCs/>
                <w:color w:val="000000"/>
                <w:sz w:val="22"/>
                <w:szCs w:val="22"/>
              </w:rPr>
            </w:pPr>
          </w:p>
        </w:tc>
        <w:tc>
          <w:tcPr>
            <w:tcW w:w="1710" w:type="dxa"/>
            <w:shd w:val="clear" w:color="auto" w:fill="D9D9D9" w:themeFill="background1" w:themeFillShade="D9"/>
            <w:vAlign w:val="center"/>
            <w:hideMark/>
          </w:tcPr>
          <w:p w:rsidR="002F079A" w:rsidRPr="00714FC0" w:rsidP="00C346DD" w14:paraId="27A18EF1" w14:textId="25C47496">
            <w:pPr>
              <w:spacing w:after="0"/>
              <w:jc w:val="center"/>
              <w:rPr>
                <w:rFonts w:eastAsia="Times New Roman"/>
                <w:b/>
                <w:bCs/>
                <w:color w:val="000000"/>
                <w:sz w:val="22"/>
                <w:szCs w:val="22"/>
              </w:rPr>
            </w:pPr>
            <w:r w:rsidRPr="00714FC0">
              <w:rPr>
                <w:rFonts w:eastAsia="Times New Roman"/>
                <w:b/>
                <w:bCs/>
                <w:color w:val="000000"/>
                <w:sz w:val="22"/>
                <w:szCs w:val="22"/>
              </w:rPr>
              <w:t>Original Manufacturers</w:t>
            </w:r>
          </w:p>
        </w:tc>
        <w:tc>
          <w:tcPr>
            <w:tcW w:w="1620" w:type="dxa"/>
            <w:shd w:val="clear" w:color="auto" w:fill="D9D9D9" w:themeFill="background1" w:themeFillShade="D9"/>
          </w:tcPr>
          <w:p w:rsidR="002F079A" w:rsidRPr="00714FC0" w:rsidP="00C346DD" w14:paraId="77CB96E2" w14:textId="57E3A1E3">
            <w:pPr>
              <w:spacing w:after="0"/>
              <w:jc w:val="center"/>
              <w:rPr>
                <w:rFonts w:eastAsia="Times New Roman"/>
                <w:b/>
                <w:bCs/>
                <w:color w:val="000000"/>
                <w:sz w:val="22"/>
                <w:szCs w:val="22"/>
              </w:rPr>
            </w:pPr>
            <w:r w:rsidRPr="00714FC0">
              <w:rPr>
                <w:rFonts w:eastAsia="Times New Roman"/>
                <w:b/>
                <w:bCs/>
                <w:color w:val="000000"/>
                <w:sz w:val="22"/>
                <w:szCs w:val="22"/>
              </w:rPr>
              <w:t>Downstream Persons and Entities Not Engaged in Homecare</w:t>
            </w:r>
          </w:p>
        </w:tc>
        <w:tc>
          <w:tcPr>
            <w:tcW w:w="1694" w:type="dxa"/>
            <w:shd w:val="clear" w:color="auto" w:fill="D9D9D9" w:themeFill="background1" w:themeFillShade="D9"/>
          </w:tcPr>
          <w:p w:rsidR="002F079A" w:rsidRPr="00714FC0" w:rsidP="00C346DD" w14:paraId="5349A0FD" w14:textId="1D987D4C">
            <w:pPr>
              <w:spacing w:after="0"/>
              <w:jc w:val="center"/>
              <w:rPr>
                <w:rFonts w:eastAsia="Times New Roman"/>
                <w:b/>
                <w:bCs/>
                <w:color w:val="000000"/>
                <w:sz w:val="22"/>
                <w:szCs w:val="22"/>
              </w:rPr>
            </w:pPr>
            <w:r w:rsidRPr="00714FC0">
              <w:rPr>
                <w:rFonts w:eastAsia="Times New Roman"/>
                <w:b/>
                <w:bCs/>
                <w:color w:val="000000"/>
                <w:sz w:val="22"/>
                <w:szCs w:val="22"/>
              </w:rPr>
              <w:t xml:space="preserve">Downstream Persons and Entities Engaged in </w:t>
            </w:r>
            <w:r w:rsidRPr="00714FC0" w:rsidR="00132C95">
              <w:rPr>
                <w:rFonts w:eastAsia="Times New Roman"/>
                <w:b/>
                <w:bCs/>
                <w:color w:val="000000"/>
                <w:sz w:val="22"/>
                <w:szCs w:val="22"/>
              </w:rPr>
              <w:t>H</w:t>
            </w:r>
            <w:r w:rsidRPr="00714FC0">
              <w:rPr>
                <w:rFonts w:eastAsia="Times New Roman"/>
                <w:b/>
                <w:bCs/>
                <w:color w:val="000000"/>
                <w:sz w:val="22"/>
                <w:szCs w:val="22"/>
              </w:rPr>
              <w:t>omecare</w:t>
            </w:r>
          </w:p>
        </w:tc>
        <w:tc>
          <w:tcPr>
            <w:tcW w:w="0" w:type="auto"/>
            <w:shd w:val="clear" w:color="auto" w:fill="D9D9D9" w:themeFill="background1" w:themeFillShade="D9"/>
            <w:vAlign w:val="center"/>
            <w:hideMark/>
          </w:tcPr>
          <w:p w:rsidR="002F079A" w:rsidRPr="00714FC0" w:rsidP="00C346DD" w14:paraId="7BF58226" w14:textId="4E486251">
            <w:pPr>
              <w:spacing w:after="0"/>
              <w:jc w:val="center"/>
              <w:rPr>
                <w:rFonts w:eastAsia="Times New Roman"/>
                <w:b/>
                <w:bCs/>
                <w:color w:val="000000"/>
                <w:sz w:val="22"/>
                <w:szCs w:val="22"/>
              </w:rPr>
            </w:pPr>
            <w:r w:rsidRPr="00714FC0">
              <w:rPr>
                <w:rFonts w:eastAsia="Times New Roman"/>
                <w:b/>
                <w:bCs/>
                <w:color w:val="000000"/>
                <w:sz w:val="22"/>
                <w:szCs w:val="22"/>
              </w:rPr>
              <w:t>Total</w:t>
            </w:r>
          </w:p>
        </w:tc>
      </w:tr>
      <w:tr w14:paraId="26F70DDB" w14:textId="77777777" w:rsidTr="001E7998">
        <w:tblPrEx>
          <w:tblW w:w="5000" w:type="pct"/>
          <w:tblInd w:w="10" w:type="dxa"/>
          <w:tblLook w:val="04A0"/>
        </w:tblPrEx>
        <w:trPr>
          <w:trHeight w:val="216"/>
        </w:trPr>
        <w:tc>
          <w:tcPr>
            <w:tcW w:w="3495" w:type="dxa"/>
            <w:shd w:val="clear" w:color="auto" w:fill="auto"/>
            <w:vAlign w:val="center"/>
            <w:hideMark/>
          </w:tcPr>
          <w:p w:rsidR="002F079A" w:rsidRPr="00790EE9" w:rsidP="002F079A" w14:paraId="20460775" w14:textId="26182573">
            <w:pPr>
              <w:spacing w:after="0"/>
              <w:rPr>
                <w:rFonts w:eastAsia="Times New Roman"/>
                <w:color w:val="000000"/>
                <w:sz w:val="22"/>
                <w:szCs w:val="22"/>
              </w:rPr>
            </w:pPr>
            <w:r>
              <w:rPr>
                <w:rFonts w:eastAsia="Times New Roman"/>
                <w:color w:val="000000"/>
                <w:sz w:val="22"/>
                <w:szCs w:val="22"/>
              </w:rPr>
              <w:t>Affected entities</w:t>
            </w:r>
          </w:p>
        </w:tc>
        <w:tc>
          <w:tcPr>
            <w:tcW w:w="1710" w:type="dxa"/>
            <w:shd w:val="clear" w:color="auto" w:fill="auto"/>
            <w:vAlign w:val="center"/>
            <w:hideMark/>
          </w:tcPr>
          <w:p w:rsidR="002F079A" w:rsidRPr="00790EE9" w:rsidP="003772D4" w14:paraId="08068D8F" w14:textId="77777777">
            <w:pPr>
              <w:spacing w:after="0"/>
              <w:jc w:val="center"/>
              <w:rPr>
                <w:rFonts w:eastAsia="Times New Roman"/>
                <w:color w:val="000000"/>
                <w:sz w:val="22"/>
                <w:szCs w:val="22"/>
              </w:rPr>
            </w:pPr>
            <w:r w:rsidRPr="00790EE9">
              <w:rPr>
                <w:rFonts w:eastAsia="Times New Roman"/>
                <w:color w:val="000000"/>
                <w:sz w:val="22"/>
                <w:szCs w:val="22"/>
              </w:rPr>
              <w:t>316</w:t>
            </w:r>
          </w:p>
        </w:tc>
        <w:tc>
          <w:tcPr>
            <w:tcW w:w="1620" w:type="dxa"/>
            <w:shd w:val="clear" w:color="auto" w:fill="auto"/>
            <w:vAlign w:val="center"/>
            <w:hideMark/>
          </w:tcPr>
          <w:p w:rsidR="002F079A" w:rsidRPr="00790EE9" w:rsidP="003772D4" w14:paraId="1423E175" w14:textId="0A8B4AE0">
            <w:pPr>
              <w:spacing w:after="0"/>
              <w:jc w:val="center"/>
              <w:rPr>
                <w:rFonts w:eastAsia="Times New Roman"/>
                <w:color w:val="000000"/>
                <w:sz w:val="22"/>
                <w:szCs w:val="22"/>
              </w:rPr>
            </w:pPr>
            <w:r w:rsidRPr="00790EE9">
              <w:rPr>
                <w:rFonts w:eastAsia="Times New Roman"/>
                <w:color w:val="000000"/>
                <w:sz w:val="22"/>
                <w:szCs w:val="22"/>
              </w:rPr>
              <w:t>1</w:t>
            </w:r>
            <w:r w:rsidR="002F3E5A">
              <w:rPr>
                <w:rFonts w:eastAsia="Times New Roman"/>
                <w:color w:val="000000"/>
                <w:sz w:val="22"/>
                <w:szCs w:val="22"/>
              </w:rPr>
              <w:t>,</w:t>
            </w:r>
            <w:r w:rsidRPr="00790EE9">
              <w:rPr>
                <w:rFonts w:eastAsia="Times New Roman"/>
                <w:color w:val="000000"/>
                <w:sz w:val="22"/>
                <w:szCs w:val="22"/>
              </w:rPr>
              <w:t>078</w:t>
            </w:r>
          </w:p>
        </w:tc>
        <w:tc>
          <w:tcPr>
            <w:tcW w:w="1694" w:type="dxa"/>
            <w:shd w:val="clear" w:color="auto" w:fill="auto"/>
            <w:vAlign w:val="center"/>
            <w:hideMark/>
          </w:tcPr>
          <w:p w:rsidR="002F079A" w:rsidRPr="00790EE9" w:rsidP="003772D4" w14:paraId="30ADFF57" w14:textId="77777777">
            <w:pPr>
              <w:spacing w:after="0"/>
              <w:jc w:val="center"/>
              <w:rPr>
                <w:rFonts w:eastAsia="Times New Roman"/>
                <w:color w:val="000000"/>
                <w:sz w:val="22"/>
                <w:szCs w:val="22"/>
              </w:rPr>
            </w:pPr>
            <w:r w:rsidRPr="00790EE9">
              <w:rPr>
                <w:rFonts w:eastAsia="Times New Roman"/>
                <w:color w:val="000000"/>
                <w:sz w:val="22"/>
                <w:szCs w:val="22"/>
              </w:rPr>
              <w:t>302</w:t>
            </w:r>
          </w:p>
        </w:tc>
        <w:tc>
          <w:tcPr>
            <w:tcW w:w="0" w:type="auto"/>
            <w:shd w:val="clear" w:color="auto" w:fill="auto"/>
            <w:vAlign w:val="center"/>
            <w:hideMark/>
          </w:tcPr>
          <w:p w:rsidR="002F079A" w:rsidRPr="00790EE9" w:rsidP="003772D4" w14:paraId="047F694B" w14:textId="1CC4256E">
            <w:pPr>
              <w:spacing w:after="0"/>
              <w:jc w:val="center"/>
              <w:rPr>
                <w:rFonts w:eastAsia="Times New Roman"/>
                <w:color w:val="000000"/>
                <w:sz w:val="22"/>
                <w:szCs w:val="22"/>
              </w:rPr>
            </w:pPr>
            <w:r w:rsidRPr="00790EE9">
              <w:rPr>
                <w:rFonts w:eastAsia="Times New Roman"/>
                <w:color w:val="000000"/>
                <w:sz w:val="22"/>
                <w:szCs w:val="22"/>
              </w:rPr>
              <w:t>1</w:t>
            </w:r>
            <w:r w:rsidR="002F3E5A">
              <w:rPr>
                <w:rFonts w:eastAsia="Times New Roman"/>
                <w:color w:val="000000"/>
                <w:sz w:val="22"/>
                <w:szCs w:val="22"/>
              </w:rPr>
              <w:t>,</w:t>
            </w:r>
            <w:r w:rsidRPr="00790EE9">
              <w:rPr>
                <w:rFonts w:eastAsia="Times New Roman"/>
                <w:color w:val="000000"/>
                <w:sz w:val="22"/>
                <w:szCs w:val="22"/>
              </w:rPr>
              <w:t>696</w:t>
            </w:r>
          </w:p>
        </w:tc>
      </w:tr>
      <w:tr w14:paraId="71F106A6" w14:textId="77777777" w:rsidTr="001E7998">
        <w:tblPrEx>
          <w:tblW w:w="5000" w:type="pct"/>
          <w:tblInd w:w="10" w:type="dxa"/>
          <w:tblLook w:val="04A0"/>
        </w:tblPrEx>
        <w:trPr>
          <w:trHeight w:val="216"/>
        </w:trPr>
        <w:tc>
          <w:tcPr>
            <w:tcW w:w="3495" w:type="dxa"/>
            <w:shd w:val="clear" w:color="auto" w:fill="auto"/>
            <w:noWrap/>
            <w:vAlign w:val="bottom"/>
            <w:hideMark/>
          </w:tcPr>
          <w:p w:rsidR="002F079A" w:rsidRPr="00790EE9" w:rsidP="002F079A" w14:paraId="71757CBF" w14:textId="7FA4C45B">
            <w:pPr>
              <w:spacing w:after="0"/>
              <w:rPr>
                <w:rFonts w:eastAsia="Times New Roman"/>
                <w:color w:val="000000"/>
                <w:sz w:val="22"/>
                <w:szCs w:val="22"/>
              </w:rPr>
            </w:pPr>
            <w:r w:rsidRPr="00790EE9">
              <w:rPr>
                <w:rFonts w:eastAsia="Times New Roman"/>
                <w:color w:val="000000"/>
                <w:sz w:val="22"/>
                <w:szCs w:val="22"/>
              </w:rPr>
              <w:t>Wage rate</w:t>
            </w:r>
            <w:r>
              <w:rPr>
                <w:rFonts w:eastAsia="Times New Roman"/>
                <w:color w:val="000000"/>
                <w:sz w:val="22"/>
                <w:szCs w:val="22"/>
              </w:rPr>
              <w:t xml:space="preserve"> (helper)</w:t>
            </w:r>
          </w:p>
        </w:tc>
        <w:tc>
          <w:tcPr>
            <w:tcW w:w="1710" w:type="dxa"/>
            <w:shd w:val="clear" w:color="auto" w:fill="auto"/>
            <w:noWrap/>
            <w:vAlign w:val="center"/>
            <w:hideMark/>
          </w:tcPr>
          <w:p w:rsidR="002F079A" w:rsidRPr="00790EE9" w:rsidP="003772D4" w14:paraId="351A37E7" w14:textId="77FEA626">
            <w:pPr>
              <w:spacing w:after="0"/>
              <w:jc w:val="center"/>
              <w:rPr>
                <w:rFonts w:eastAsia="Times New Roman"/>
                <w:color w:val="000000"/>
                <w:sz w:val="22"/>
                <w:szCs w:val="22"/>
              </w:rPr>
            </w:pPr>
            <w:r w:rsidRPr="00790EE9">
              <w:rPr>
                <w:rFonts w:eastAsia="Times New Roman"/>
                <w:color w:val="000000"/>
                <w:sz w:val="22"/>
                <w:szCs w:val="22"/>
              </w:rPr>
              <w:t>$</w:t>
            </w:r>
            <w:r w:rsidR="0036110B">
              <w:rPr>
                <w:rFonts w:eastAsia="Times New Roman"/>
                <w:color w:val="000000"/>
                <w:sz w:val="22"/>
                <w:szCs w:val="22"/>
              </w:rPr>
              <w:t>37.02</w:t>
            </w:r>
          </w:p>
        </w:tc>
        <w:tc>
          <w:tcPr>
            <w:tcW w:w="1620" w:type="dxa"/>
            <w:shd w:val="clear" w:color="auto" w:fill="auto"/>
            <w:noWrap/>
            <w:vAlign w:val="center"/>
            <w:hideMark/>
          </w:tcPr>
          <w:p w:rsidR="002F079A" w:rsidRPr="00790EE9" w:rsidP="003772D4" w14:paraId="7DA339A1" w14:textId="7F390267">
            <w:pPr>
              <w:spacing w:after="0"/>
              <w:jc w:val="center"/>
              <w:rPr>
                <w:rFonts w:eastAsia="Times New Roman"/>
                <w:color w:val="000000"/>
                <w:sz w:val="22"/>
                <w:szCs w:val="22"/>
              </w:rPr>
            </w:pPr>
            <w:r w:rsidRPr="00790EE9">
              <w:rPr>
                <w:rFonts w:eastAsia="Times New Roman"/>
                <w:color w:val="000000"/>
                <w:sz w:val="22"/>
                <w:szCs w:val="22"/>
              </w:rPr>
              <w:t>$</w:t>
            </w:r>
            <w:r w:rsidR="0036110B">
              <w:rPr>
                <w:rFonts w:eastAsia="Times New Roman"/>
                <w:color w:val="000000"/>
                <w:sz w:val="22"/>
                <w:szCs w:val="22"/>
              </w:rPr>
              <w:t>37.02</w:t>
            </w:r>
          </w:p>
        </w:tc>
        <w:tc>
          <w:tcPr>
            <w:tcW w:w="1694" w:type="dxa"/>
            <w:shd w:val="clear" w:color="auto" w:fill="auto"/>
            <w:noWrap/>
            <w:vAlign w:val="center"/>
            <w:hideMark/>
          </w:tcPr>
          <w:p w:rsidR="002F079A" w:rsidRPr="00790EE9" w:rsidP="003772D4" w14:paraId="79C29F0D" w14:textId="491E1A56">
            <w:pPr>
              <w:spacing w:after="0"/>
              <w:jc w:val="center"/>
              <w:rPr>
                <w:rFonts w:eastAsia="Times New Roman"/>
                <w:color w:val="000000"/>
                <w:sz w:val="22"/>
                <w:szCs w:val="22"/>
              </w:rPr>
            </w:pPr>
            <w:r w:rsidRPr="00790EE9">
              <w:rPr>
                <w:rFonts w:eastAsia="Times New Roman"/>
                <w:color w:val="000000"/>
                <w:sz w:val="22"/>
                <w:szCs w:val="22"/>
              </w:rPr>
              <w:t>$</w:t>
            </w:r>
            <w:r w:rsidR="0036110B">
              <w:rPr>
                <w:rFonts w:eastAsia="Times New Roman"/>
                <w:color w:val="000000"/>
                <w:sz w:val="22"/>
                <w:szCs w:val="22"/>
              </w:rPr>
              <w:t>37.02</w:t>
            </w:r>
          </w:p>
        </w:tc>
        <w:tc>
          <w:tcPr>
            <w:tcW w:w="0" w:type="auto"/>
            <w:shd w:val="clear" w:color="auto" w:fill="auto"/>
            <w:noWrap/>
            <w:vAlign w:val="center"/>
            <w:hideMark/>
          </w:tcPr>
          <w:p w:rsidR="002F079A" w:rsidRPr="00790EE9" w:rsidP="003772D4" w14:paraId="71B6192F" w14:textId="22E524E5">
            <w:pPr>
              <w:spacing w:after="0"/>
              <w:jc w:val="center"/>
              <w:rPr>
                <w:rFonts w:eastAsia="Times New Roman"/>
                <w:color w:val="000000"/>
                <w:sz w:val="22"/>
                <w:szCs w:val="22"/>
              </w:rPr>
            </w:pPr>
            <w:r w:rsidRPr="00790EE9">
              <w:rPr>
                <w:rFonts w:eastAsia="Times New Roman"/>
                <w:color w:val="000000"/>
                <w:sz w:val="22"/>
                <w:szCs w:val="22"/>
              </w:rPr>
              <w:t>$</w:t>
            </w:r>
            <w:r w:rsidR="0036110B">
              <w:rPr>
                <w:rFonts w:eastAsia="Times New Roman"/>
                <w:color w:val="000000"/>
                <w:sz w:val="22"/>
                <w:szCs w:val="22"/>
              </w:rPr>
              <w:t>37.02</w:t>
            </w:r>
          </w:p>
        </w:tc>
      </w:tr>
      <w:tr w14:paraId="3DA3F5B0" w14:textId="77777777" w:rsidTr="001E7998">
        <w:tblPrEx>
          <w:tblW w:w="5000" w:type="pct"/>
          <w:tblInd w:w="10" w:type="dxa"/>
          <w:tblLook w:val="04A0"/>
        </w:tblPrEx>
        <w:trPr>
          <w:trHeight w:val="432"/>
        </w:trPr>
        <w:tc>
          <w:tcPr>
            <w:tcW w:w="3495" w:type="dxa"/>
            <w:shd w:val="clear" w:color="auto" w:fill="auto"/>
            <w:vAlign w:val="center"/>
            <w:hideMark/>
          </w:tcPr>
          <w:p w:rsidR="002F079A" w:rsidRPr="00790EE9" w:rsidP="002F079A" w14:paraId="469901C5" w14:textId="4F2F4405">
            <w:pPr>
              <w:spacing w:after="0"/>
              <w:rPr>
                <w:rFonts w:eastAsia="Times New Roman"/>
                <w:color w:val="000000"/>
                <w:sz w:val="22"/>
                <w:szCs w:val="22"/>
              </w:rPr>
            </w:pPr>
            <w:r>
              <w:rPr>
                <w:rFonts w:eastAsia="Times New Roman"/>
                <w:color w:val="000000"/>
                <w:sz w:val="22"/>
                <w:szCs w:val="22"/>
              </w:rPr>
              <w:t>Reduction in time no first</w:t>
            </w:r>
            <w:r w:rsidR="006A726A">
              <w:rPr>
                <w:rFonts w:eastAsia="Times New Roman"/>
                <w:color w:val="000000"/>
                <w:sz w:val="22"/>
                <w:szCs w:val="22"/>
              </w:rPr>
              <w:t xml:space="preserve"> </w:t>
            </w:r>
            <w:r>
              <w:rPr>
                <w:rFonts w:eastAsia="Times New Roman"/>
                <w:color w:val="000000"/>
                <w:sz w:val="22"/>
                <w:szCs w:val="22"/>
              </w:rPr>
              <w:t>in</w:t>
            </w:r>
            <w:r w:rsidR="006A726A">
              <w:rPr>
                <w:rFonts w:eastAsia="Times New Roman"/>
                <w:color w:val="000000"/>
                <w:sz w:val="22"/>
                <w:szCs w:val="22"/>
              </w:rPr>
              <w:t>,</w:t>
            </w:r>
            <w:r>
              <w:rPr>
                <w:rFonts w:eastAsia="Times New Roman"/>
                <w:color w:val="000000"/>
                <w:sz w:val="22"/>
                <w:szCs w:val="22"/>
              </w:rPr>
              <w:t xml:space="preserve"> first out low</w:t>
            </w:r>
            <w:r w:rsidRPr="00790EE9">
              <w:rPr>
                <w:rFonts w:eastAsia="Times New Roman"/>
                <w:color w:val="000000"/>
                <w:sz w:val="22"/>
                <w:szCs w:val="22"/>
              </w:rPr>
              <w:t xml:space="preserve"> (hours)</w:t>
            </w:r>
          </w:p>
        </w:tc>
        <w:tc>
          <w:tcPr>
            <w:tcW w:w="1710" w:type="dxa"/>
            <w:shd w:val="clear" w:color="auto" w:fill="auto"/>
            <w:noWrap/>
            <w:vAlign w:val="center"/>
            <w:hideMark/>
          </w:tcPr>
          <w:p w:rsidR="002F079A" w:rsidRPr="00790EE9" w:rsidP="003772D4" w14:paraId="153F3B90" w14:textId="7F074B08">
            <w:pPr>
              <w:spacing w:after="0"/>
              <w:jc w:val="center"/>
              <w:rPr>
                <w:rFonts w:eastAsia="Times New Roman"/>
                <w:color w:val="000000"/>
                <w:sz w:val="22"/>
                <w:szCs w:val="22"/>
              </w:rPr>
            </w:pPr>
            <w:r>
              <w:rPr>
                <w:rFonts w:eastAsia="Times New Roman"/>
                <w:color w:val="000000"/>
                <w:sz w:val="22"/>
                <w:szCs w:val="22"/>
              </w:rPr>
              <w:t>0</w:t>
            </w:r>
          </w:p>
        </w:tc>
        <w:tc>
          <w:tcPr>
            <w:tcW w:w="1620" w:type="dxa"/>
            <w:shd w:val="clear" w:color="auto" w:fill="auto"/>
            <w:noWrap/>
            <w:vAlign w:val="center"/>
            <w:hideMark/>
          </w:tcPr>
          <w:p w:rsidR="002F079A" w:rsidRPr="00790EE9" w:rsidP="003772D4" w14:paraId="1AB7BB98" w14:textId="2DD81566">
            <w:pPr>
              <w:spacing w:after="0"/>
              <w:jc w:val="center"/>
              <w:rPr>
                <w:rFonts w:eastAsia="Times New Roman"/>
                <w:color w:val="000000"/>
                <w:sz w:val="22"/>
                <w:szCs w:val="22"/>
              </w:rPr>
            </w:pPr>
            <w:r>
              <w:rPr>
                <w:rFonts w:eastAsia="Times New Roman"/>
                <w:color w:val="000000"/>
                <w:sz w:val="22"/>
                <w:szCs w:val="22"/>
              </w:rPr>
              <w:t>0</w:t>
            </w:r>
          </w:p>
        </w:tc>
        <w:tc>
          <w:tcPr>
            <w:tcW w:w="1694" w:type="dxa"/>
            <w:shd w:val="clear" w:color="auto" w:fill="auto"/>
            <w:noWrap/>
            <w:vAlign w:val="center"/>
            <w:hideMark/>
          </w:tcPr>
          <w:p w:rsidR="002F079A" w:rsidRPr="00790EE9" w:rsidP="003772D4" w14:paraId="42F4B721" w14:textId="6798EEFE">
            <w:pPr>
              <w:spacing w:after="0"/>
              <w:jc w:val="center"/>
              <w:rPr>
                <w:rFonts w:eastAsia="Times New Roman"/>
                <w:color w:val="000000"/>
                <w:sz w:val="22"/>
                <w:szCs w:val="22"/>
              </w:rPr>
            </w:pPr>
            <w:r>
              <w:rPr>
                <w:rFonts w:eastAsia="Times New Roman"/>
                <w:color w:val="000000"/>
                <w:sz w:val="22"/>
                <w:szCs w:val="22"/>
              </w:rPr>
              <w:t>0</w:t>
            </w:r>
          </w:p>
        </w:tc>
        <w:tc>
          <w:tcPr>
            <w:tcW w:w="0" w:type="auto"/>
            <w:shd w:val="clear" w:color="auto" w:fill="auto"/>
            <w:noWrap/>
            <w:vAlign w:val="center"/>
            <w:hideMark/>
          </w:tcPr>
          <w:p w:rsidR="002F079A" w:rsidRPr="00790EE9" w:rsidP="003772D4" w14:paraId="206429CA" w14:textId="6D86FA76">
            <w:pPr>
              <w:spacing w:after="0"/>
              <w:jc w:val="center"/>
              <w:rPr>
                <w:rFonts w:eastAsia="Times New Roman"/>
                <w:color w:val="000000"/>
                <w:sz w:val="22"/>
                <w:szCs w:val="22"/>
              </w:rPr>
            </w:pPr>
            <w:r>
              <w:rPr>
                <w:rFonts w:eastAsia="Times New Roman"/>
                <w:color w:val="000000"/>
                <w:sz w:val="22"/>
                <w:szCs w:val="22"/>
              </w:rPr>
              <w:t>0</w:t>
            </w:r>
          </w:p>
        </w:tc>
      </w:tr>
      <w:tr w14:paraId="5F46EF48" w14:textId="77777777" w:rsidTr="001E7998">
        <w:tblPrEx>
          <w:tblW w:w="5000" w:type="pct"/>
          <w:tblInd w:w="10" w:type="dxa"/>
          <w:tblLook w:val="04A0"/>
        </w:tblPrEx>
        <w:trPr>
          <w:trHeight w:val="432"/>
        </w:trPr>
        <w:tc>
          <w:tcPr>
            <w:tcW w:w="3495" w:type="dxa"/>
            <w:shd w:val="clear" w:color="auto" w:fill="auto"/>
            <w:vAlign w:val="center"/>
            <w:hideMark/>
          </w:tcPr>
          <w:p w:rsidR="002F079A" w:rsidRPr="00790EE9" w:rsidP="002F079A" w14:paraId="56152978" w14:textId="7F65BEA0">
            <w:pPr>
              <w:spacing w:after="0"/>
              <w:rPr>
                <w:rFonts w:eastAsia="Times New Roman"/>
                <w:color w:val="000000"/>
                <w:sz w:val="22"/>
                <w:szCs w:val="22"/>
              </w:rPr>
            </w:pPr>
            <w:r w:rsidRPr="00790EE9">
              <w:rPr>
                <w:rFonts w:eastAsia="Times New Roman"/>
                <w:color w:val="000000"/>
                <w:sz w:val="22"/>
                <w:szCs w:val="22"/>
              </w:rPr>
              <w:t xml:space="preserve">Reduction in time </w:t>
            </w:r>
            <w:r>
              <w:rPr>
                <w:rFonts w:eastAsia="Times New Roman"/>
                <w:color w:val="000000"/>
                <w:sz w:val="22"/>
                <w:szCs w:val="22"/>
              </w:rPr>
              <w:t xml:space="preserve">no </w:t>
            </w:r>
            <w:r w:rsidR="006A726A">
              <w:rPr>
                <w:rFonts w:eastAsia="Times New Roman"/>
                <w:color w:val="000000"/>
                <w:sz w:val="22"/>
                <w:szCs w:val="22"/>
              </w:rPr>
              <w:t>first in, first out</w:t>
            </w:r>
            <w:r>
              <w:rPr>
                <w:rFonts w:eastAsia="Times New Roman"/>
                <w:color w:val="000000"/>
                <w:sz w:val="22"/>
                <w:szCs w:val="22"/>
              </w:rPr>
              <w:t xml:space="preserve"> high </w:t>
            </w:r>
            <w:r w:rsidRPr="00790EE9">
              <w:rPr>
                <w:rFonts w:eastAsia="Times New Roman"/>
                <w:color w:val="000000"/>
                <w:sz w:val="22"/>
                <w:szCs w:val="22"/>
              </w:rPr>
              <w:t>(hours)</w:t>
            </w:r>
          </w:p>
        </w:tc>
        <w:tc>
          <w:tcPr>
            <w:tcW w:w="1710" w:type="dxa"/>
            <w:shd w:val="clear" w:color="auto" w:fill="auto"/>
            <w:noWrap/>
            <w:vAlign w:val="center"/>
            <w:hideMark/>
          </w:tcPr>
          <w:p w:rsidR="002F079A" w:rsidRPr="00790EE9" w:rsidP="003772D4" w14:paraId="66AB7AA5" w14:textId="57B28760">
            <w:pPr>
              <w:spacing w:after="0"/>
              <w:jc w:val="center"/>
              <w:rPr>
                <w:rFonts w:eastAsia="Times New Roman"/>
                <w:color w:val="000000"/>
                <w:sz w:val="22"/>
                <w:szCs w:val="22"/>
              </w:rPr>
            </w:pPr>
            <w:r>
              <w:rPr>
                <w:rFonts w:eastAsia="Times New Roman"/>
                <w:color w:val="000000"/>
                <w:sz w:val="22"/>
                <w:szCs w:val="22"/>
              </w:rPr>
              <w:t>13</w:t>
            </w:r>
          </w:p>
        </w:tc>
        <w:tc>
          <w:tcPr>
            <w:tcW w:w="1620" w:type="dxa"/>
            <w:shd w:val="clear" w:color="auto" w:fill="auto"/>
            <w:noWrap/>
            <w:vAlign w:val="center"/>
            <w:hideMark/>
          </w:tcPr>
          <w:p w:rsidR="002F079A" w:rsidRPr="00790EE9" w:rsidP="003772D4" w14:paraId="615111FF" w14:textId="78B6D8CF">
            <w:pPr>
              <w:spacing w:after="0"/>
              <w:jc w:val="center"/>
              <w:rPr>
                <w:rFonts w:eastAsia="Times New Roman"/>
                <w:color w:val="000000"/>
                <w:sz w:val="22"/>
                <w:szCs w:val="22"/>
              </w:rPr>
            </w:pPr>
            <w:r>
              <w:rPr>
                <w:rFonts w:eastAsia="Times New Roman"/>
                <w:color w:val="000000"/>
                <w:sz w:val="22"/>
                <w:szCs w:val="22"/>
              </w:rPr>
              <w:t>13</w:t>
            </w:r>
          </w:p>
        </w:tc>
        <w:tc>
          <w:tcPr>
            <w:tcW w:w="1694" w:type="dxa"/>
            <w:shd w:val="clear" w:color="auto" w:fill="auto"/>
            <w:noWrap/>
            <w:vAlign w:val="center"/>
            <w:hideMark/>
          </w:tcPr>
          <w:p w:rsidR="002F079A" w:rsidRPr="00790EE9" w:rsidP="003772D4" w14:paraId="60D9AE06" w14:textId="280FCAE7">
            <w:pPr>
              <w:spacing w:after="0"/>
              <w:jc w:val="center"/>
              <w:rPr>
                <w:rFonts w:eastAsia="Times New Roman"/>
                <w:color w:val="000000"/>
                <w:sz w:val="22"/>
                <w:szCs w:val="22"/>
              </w:rPr>
            </w:pPr>
            <w:r>
              <w:rPr>
                <w:rFonts w:eastAsia="Times New Roman"/>
                <w:color w:val="000000"/>
                <w:sz w:val="22"/>
                <w:szCs w:val="22"/>
              </w:rPr>
              <w:t>13</w:t>
            </w:r>
          </w:p>
        </w:tc>
        <w:tc>
          <w:tcPr>
            <w:tcW w:w="0" w:type="auto"/>
            <w:shd w:val="clear" w:color="auto" w:fill="auto"/>
            <w:noWrap/>
            <w:vAlign w:val="center"/>
            <w:hideMark/>
          </w:tcPr>
          <w:p w:rsidR="002F079A" w:rsidRPr="00790EE9" w:rsidP="003772D4" w14:paraId="51BD1E79" w14:textId="513B5CAA">
            <w:pPr>
              <w:spacing w:after="0"/>
              <w:jc w:val="center"/>
              <w:rPr>
                <w:rFonts w:eastAsia="Times New Roman"/>
                <w:color w:val="000000"/>
                <w:sz w:val="22"/>
                <w:szCs w:val="22"/>
              </w:rPr>
            </w:pPr>
            <w:r>
              <w:rPr>
                <w:rFonts w:eastAsia="Times New Roman"/>
                <w:color w:val="000000"/>
                <w:sz w:val="22"/>
                <w:szCs w:val="22"/>
              </w:rPr>
              <w:t>13</w:t>
            </w:r>
          </w:p>
        </w:tc>
      </w:tr>
      <w:tr w14:paraId="29CDB0CC" w14:textId="77777777" w:rsidTr="001E7998">
        <w:tblPrEx>
          <w:tblW w:w="5000" w:type="pct"/>
          <w:tblInd w:w="10" w:type="dxa"/>
          <w:tblLook w:val="04A0"/>
        </w:tblPrEx>
        <w:trPr>
          <w:trHeight w:val="216"/>
        </w:trPr>
        <w:tc>
          <w:tcPr>
            <w:tcW w:w="3495" w:type="dxa"/>
            <w:shd w:val="clear" w:color="auto" w:fill="D9D9D9" w:themeFill="background1" w:themeFillShade="D9"/>
            <w:vAlign w:val="center"/>
          </w:tcPr>
          <w:p w:rsidR="002F079A" w:rsidRPr="00790EE9" w:rsidP="002F079A" w14:paraId="4A17FEAA" w14:textId="609541AD">
            <w:pPr>
              <w:spacing w:after="0"/>
              <w:rPr>
                <w:rFonts w:eastAsia="Times New Roman"/>
                <w:b/>
                <w:color w:val="000000"/>
                <w:sz w:val="22"/>
                <w:szCs w:val="22"/>
              </w:rPr>
            </w:pPr>
            <w:r w:rsidRPr="00790EE9">
              <w:rPr>
                <w:rFonts w:eastAsia="Times New Roman"/>
                <w:b/>
                <w:color w:val="000000"/>
                <w:sz w:val="22"/>
                <w:szCs w:val="22"/>
              </w:rPr>
              <w:t>Total ongoing costs (millions)</w:t>
            </w:r>
          </w:p>
        </w:tc>
        <w:tc>
          <w:tcPr>
            <w:tcW w:w="1710" w:type="dxa"/>
            <w:shd w:val="clear" w:color="auto" w:fill="D9D9D9" w:themeFill="background1" w:themeFillShade="D9"/>
            <w:noWrap/>
            <w:vAlign w:val="center"/>
          </w:tcPr>
          <w:p w:rsidR="002F079A" w:rsidP="003772D4" w14:paraId="15918F7C" w14:textId="77777777">
            <w:pPr>
              <w:spacing w:after="0"/>
              <w:jc w:val="center"/>
              <w:rPr>
                <w:rFonts w:eastAsia="Times New Roman"/>
                <w:color w:val="000000"/>
                <w:sz w:val="22"/>
                <w:szCs w:val="22"/>
              </w:rPr>
            </w:pPr>
          </w:p>
        </w:tc>
        <w:tc>
          <w:tcPr>
            <w:tcW w:w="1620" w:type="dxa"/>
            <w:shd w:val="clear" w:color="auto" w:fill="D9D9D9" w:themeFill="background1" w:themeFillShade="D9"/>
            <w:noWrap/>
            <w:vAlign w:val="center"/>
          </w:tcPr>
          <w:p w:rsidR="002F079A" w:rsidP="003772D4" w14:paraId="0C3A45B7" w14:textId="77777777">
            <w:pPr>
              <w:spacing w:after="0"/>
              <w:jc w:val="center"/>
              <w:rPr>
                <w:rFonts w:eastAsia="Times New Roman"/>
                <w:color w:val="000000"/>
                <w:sz w:val="22"/>
                <w:szCs w:val="22"/>
              </w:rPr>
            </w:pPr>
          </w:p>
        </w:tc>
        <w:tc>
          <w:tcPr>
            <w:tcW w:w="1694" w:type="dxa"/>
            <w:shd w:val="clear" w:color="auto" w:fill="D9D9D9" w:themeFill="background1" w:themeFillShade="D9"/>
            <w:noWrap/>
            <w:vAlign w:val="center"/>
          </w:tcPr>
          <w:p w:rsidR="002F079A" w:rsidP="003772D4" w14:paraId="329143C4" w14:textId="77777777">
            <w:pPr>
              <w:spacing w:after="0"/>
              <w:jc w:val="center"/>
              <w:rPr>
                <w:rFonts w:eastAsia="Times New Roman"/>
                <w:color w:val="000000"/>
                <w:sz w:val="22"/>
                <w:szCs w:val="22"/>
              </w:rPr>
            </w:pPr>
          </w:p>
        </w:tc>
        <w:tc>
          <w:tcPr>
            <w:tcW w:w="0" w:type="auto"/>
            <w:shd w:val="clear" w:color="auto" w:fill="D9D9D9" w:themeFill="background1" w:themeFillShade="D9"/>
            <w:noWrap/>
            <w:vAlign w:val="center"/>
          </w:tcPr>
          <w:p w:rsidR="002F079A" w:rsidP="003772D4" w14:paraId="09E17838" w14:textId="77777777">
            <w:pPr>
              <w:spacing w:after="0"/>
              <w:jc w:val="center"/>
              <w:rPr>
                <w:rFonts w:eastAsia="Times New Roman"/>
                <w:color w:val="000000"/>
                <w:sz w:val="22"/>
                <w:szCs w:val="22"/>
              </w:rPr>
            </w:pPr>
          </w:p>
        </w:tc>
      </w:tr>
      <w:tr w14:paraId="54349F6A" w14:textId="77777777" w:rsidTr="001E7998">
        <w:tblPrEx>
          <w:tblW w:w="5000" w:type="pct"/>
          <w:tblInd w:w="10" w:type="dxa"/>
          <w:tblLook w:val="04A0"/>
        </w:tblPrEx>
        <w:trPr>
          <w:trHeight w:val="216"/>
        </w:trPr>
        <w:tc>
          <w:tcPr>
            <w:tcW w:w="3495" w:type="dxa"/>
            <w:shd w:val="clear" w:color="auto" w:fill="auto"/>
            <w:vAlign w:val="center"/>
            <w:hideMark/>
          </w:tcPr>
          <w:p w:rsidR="002F079A" w:rsidRPr="00790EE9" w:rsidP="002F079A" w14:paraId="3F568981" w14:textId="77777777">
            <w:pPr>
              <w:spacing w:after="0"/>
              <w:rPr>
                <w:rFonts w:eastAsia="Times New Roman"/>
                <w:color w:val="000000"/>
                <w:sz w:val="22"/>
                <w:szCs w:val="22"/>
              </w:rPr>
            </w:pPr>
            <w:r w:rsidRPr="00790EE9">
              <w:rPr>
                <w:rFonts w:eastAsia="Times New Roman"/>
                <w:color w:val="000000"/>
                <w:sz w:val="22"/>
                <w:szCs w:val="22"/>
              </w:rPr>
              <w:t>Total ongoing cost savings (low)</w:t>
            </w:r>
          </w:p>
        </w:tc>
        <w:tc>
          <w:tcPr>
            <w:tcW w:w="1710" w:type="dxa"/>
            <w:shd w:val="clear" w:color="auto" w:fill="auto"/>
            <w:noWrap/>
            <w:vAlign w:val="center"/>
            <w:hideMark/>
          </w:tcPr>
          <w:p w:rsidR="002F079A" w:rsidRPr="00790EE9" w:rsidP="003772D4" w14:paraId="56A328AA" w14:textId="3B6B8B35">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0.00</w:t>
            </w:r>
          </w:p>
        </w:tc>
        <w:tc>
          <w:tcPr>
            <w:tcW w:w="1620" w:type="dxa"/>
            <w:shd w:val="clear" w:color="auto" w:fill="auto"/>
            <w:noWrap/>
            <w:vAlign w:val="center"/>
            <w:hideMark/>
          </w:tcPr>
          <w:p w:rsidR="002F079A" w:rsidRPr="00790EE9" w:rsidP="003772D4" w14:paraId="63743D4C" w14:textId="0ECE3088">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0.00</w:t>
            </w:r>
          </w:p>
        </w:tc>
        <w:tc>
          <w:tcPr>
            <w:tcW w:w="1694" w:type="dxa"/>
            <w:shd w:val="clear" w:color="auto" w:fill="auto"/>
            <w:noWrap/>
            <w:vAlign w:val="center"/>
            <w:hideMark/>
          </w:tcPr>
          <w:p w:rsidR="002F079A" w:rsidRPr="00790EE9" w:rsidP="003772D4" w14:paraId="2E4520C4" w14:textId="4E03AC9A">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0.00</w:t>
            </w:r>
          </w:p>
        </w:tc>
        <w:tc>
          <w:tcPr>
            <w:tcW w:w="0" w:type="auto"/>
            <w:shd w:val="clear" w:color="auto" w:fill="auto"/>
            <w:noWrap/>
            <w:vAlign w:val="center"/>
            <w:hideMark/>
          </w:tcPr>
          <w:p w:rsidR="002F079A" w:rsidRPr="00790EE9" w:rsidP="003772D4" w14:paraId="498A2830" w14:textId="7BEB3EC1">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0.00</w:t>
            </w:r>
          </w:p>
        </w:tc>
      </w:tr>
      <w:tr w14:paraId="1D15428E" w14:textId="77777777" w:rsidTr="001E7998">
        <w:tblPrEx>
          <w:tblW w:w="5000" w:type="pct"/>
          <w:tblInd w:w="10" w:type="dxa"/>
          <w:tblLook w:val="04A0"/>
        </w:tblPrEx>
        <w:trPr>
          <w:trHeight w:val="216"/>
        </w:trPr>
        <w:tc>
          <w:tcPr>
            <w:tcW w:w="3495" w:type="dxa"/>
            <w:shd w:val="clear" w:color="auto" w:fill="auto"/>
            <w:vAlign w:val="center"/>
            <w:hideMark/>
          </w:tcPr>
          <w:p w:rsidR="002F079A" w:rsidRPr="00790EE9" w:rsidP="002F079A" w14:paraId="01D48785" w14:textId="77777777">
            <w:pPr>
              <w:spacing w:after="0"/>
              <w:rPr>
                <w:rFonts w:eastAsia="Times New Roman"/>
                <w:color w:val="000000"/>
                <w:sz w:val="22"/>
                <w:szCs w:val="22"/>
              </w:rPr>
            </w:pPr>
            <w:r w:rsidRPr="00790EE9">
              <w:rPr>
                <w:rFonts w:eastAsia="Times New Roman"/>
                <w:color w:val="000000"/>
                <w:sz w:val="22"/>
                <w:szCs w:val="22"/>
              </w:rPr>
              <w:t>Total ongoing cost savings (high)</w:t>
            </w:r>
          </w:p>
        </w:tc>
        <w:tc>
          <w:tcPr>
            <w:tcW w:w="1710" w:type="dxa"/>
            <w:shd w:val="clear" w:color="auto" w:fill="auto"/>
            <w:noWrap/>
            <w:vAlign w:val="center"/>
            <w:hideMark/>
          </w:tcPr>
          <w:p w:rsidR="002F079A" w:rsidRPr="00790EE9" w:rsidP="003772D4" w14:paraId="6CAA7D71" w14:textId="63CBC43B">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w:t>
            </w:r>
            <w:r w:rsidR="0036110B">
              <w:rPr>
                <w:rFonts w:eastAsia="Times New Roman"/>
                <w:color w:val="000000"/>
                <w:sz w:val="22"/>
                <w:szCs w:val="22"/>
              </w:rPr>
              <w:t>15</w:t>
            </w:r>
          </w:p>
        </w:tc>
        <w:tc>
          <w:tcPr>
            <w:tcW w:w="1620" w:type="dxa"/>
            <w:shd w:val="clear" w:color="auto" w:fill="auto"/>
            <w:noWrap/>
            <w:vAlign w:val="center"/>
            <w:hideMark/>
          </w:tcPr>
          <w:p w:rsidR="002F079A" w:rsidRPr="00790EE9" w:rsidP="003772D4" w14:paraId="72A5A6E4" w14:textId="330EC7A9">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w:t>
            </w:r>
            <w:r w:rsidR="00DC19FE">
              <w:rPr>
                <w:rFonts w:eastAsia="Times New Roman"/>
                <w:color w:val="000000"/>
                <w:sz w:val="22"/>
                <w:szCs w:val="22"/>
              </w:rPr>
              <w:t>.</w:t>
            </w:r>
            <w:r w:rsidR="0036110B">
              <w:rPr>
                <w:rFonts w:eastAsia="Times New Roman"/>
                <w:color w:val="000000"/>
                <w:sz w:val="22"/>
                <w:szCs w:val="22"/>
              </w:rPr>
              <w:t>52</w:t>
            </w:r>
          </w:p>
        </w:tc>
        <w:tc>
          <w:tcPr>
            <w:tcW w:w="1694" w:type="dxa"/>
            <w:shd w:val="clear" w:color="auto" w:fill="auto"/>
            <w:noWrap/>
            <w:vAlign w:val="center"/>
            <w:hideMark/>
          </w:tcPr>
          <w:p w:rsidR="002F079A" w:rsidRPr="00790EE9" w:rsidP="003772D4" w14:paraId="702C919C" w14:textId="590E6C2B">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0.1</w:t>
            </w:r>
            <w:r w:rsidR="0036110B">
              <w:rPr>
                <w:rFonts w:eastAsia="Times New Roman"/>
                <w:color w:val="000000"/>
                <w:sz w:val="22"/>
                <w:szCs w:val="22"/>
              </w:rPr>
              <w:t>5</w:t>
            </w:r>
          </w:p>
        </w:tc>
        <w:tc>
          <w:tcPr>
            <w:tcW w:w="0" w:type="auto"/>
            <w:shd w:val="clear" w:color="auto" w:fill="auto"/>
            <w:noWrap/>
            <w:vAlign w:val="center"/>
            <w:hideMark/>
          </w:tcPr>
          <w:p w:rsidR="002F079A" w:rsidRPr="00790EE9" w:rsidP="003772D4" w14:paraId="5348709E" w14:textId="7770A795">
            <w:pPr>
              <w:spacing w:after="0"/>
              <w:jc w:val="center"/>
              <w:rPr>
                <w:rFonts w:eastAsia="Times New Roman"/>
                <w:color w:val="000000"/>
                <w:sz w:val="22"/>
                <w:szCs w:val="22"/>
              </w:rPr>
            </w:pPr>
            <w:r w:rsidRPr="00790EE9">
              <w:rPr>
                <w:rFonts w:eastAsia="Times New Roman"/>
                <w:color w:val="000000"/>
                <w:sz w:val="22"/>
                <w:szCs w:val="22"/>
              </w:rPr>
              <w:t>$</w:t>
            </w:r>
            <w:r>
              <w:rPr>
                <w:rFonts w:eastAsia="Times New Roman"/>
                <w:color w:val="000000"/>
                <w:sz w:val="22"/>
                <w:szCs w:val="22"/>
              </w:rPr>
              <w:t>0.</w:t>
            </w:r>
            <w:r w:rsidR="0036110B">
              <w:rPr>
                <w:rFonts w:eastAsia="Times New Roman"/>
                <w:color w:val="000000"/>
                <w:sz w:val="22"/>
                <w:szCs w:val="22"/>
              </w:rPr>
              <w:t>82</w:t>
            </w:r>
          </w:p>
        </w:tc>
      </w:tr>
    </w:tbl>
    <w:p w:rsidR="00AE7CF3" w14:paraId="575746D1" w14:textId="0B289AE6"/>
    <w:p w:rsidR="00986206" w14:paraId="2FCB1A8F" w14:textId="77777777"/>
    <w:p w:rsidR="00AC33C4" w:rsidP="0004227E" w14:paraId="57BBD310" w14:textId="02C6768F">
      <w:pPr>
        <w:pStyle w:val="Heading4"/>
      </w:pPr>
      <w:bookmarkStart w:id="54" w:name="_Toc148515719"/>
      <w:r w:rsidRPr="00246244">
        <w:t>A</w:t>
      </w:r>
      <w:r w:rsidR="00034F65">
        <w:t>llow</w:t>
      </w:r>
      <w:r w:rsidRPr="00246244">
        <w:t>s Reuse of Labels</w:t>
      </w:r>
      <w:bookmarkEnd w:id="54"/>
    </w:p>
    <w:p w:rsidR="00AC33C4" w:rsidP="00377F83" w14:paraId="242AAF83" w14:textId="1A3D1D50">
      <w:pPr>
        <w:ind w:firstLine="720"/>
        <w:rPr>
          <w:rFonts w:eastAsia="Times New Roman"/>
        </w:rPr>
      </w:pPr>
      <w:r>
        <w:t xml:space="preserve">This </w:t>
      </w:r>
      <w:r w:rsidR="00340621">
        <w:t>final</w:t>
      </w:r>
      <w:r>
        <w:t xml:space="preserve"> rule </w:t>
      </w:r>
      <w:r w:rsidR="001940B0">
        <w:t>will</w:t>
      </w:r>
      <w:r>
        <w:t xml:space="preserve"> </w:t>
      </w:r>
      <w:r w:rsidRPr="00D238A2" w:rsidR="00D238A2">
        <w:rPr>
          <w:rFonts w:eastAsia="Times New Roman"/>
        </w:rPr>
        <w:t>allow the reuse of labels if they are legible and properly affixed to the container.</w:t>
      </w:r>
      <w:r w:rsidR="00D238A2">
        <w:rPr>
          <w:rFonts w:eastAsia="Times New Roman"/>
        </w:rPr>
        <w:t xml:space="preserve"> Medical </w:t>
      </w:r>
      <w:r w:rsidRPr="00301002" w:rsidR="00D238A2">
        <w:rPr>
          <w:rFonts w:eastAsia="Times New Roman"/>
        </w:rPr>
        <w:t>gas containers</w:t>
      </w:r>
      <w:r w:rsidR="00D238A2">
        <w:rPr>
          <w:rFonts w:eastAsia="Times New Roman"/>
        </w:rPr>
        <w:t>,</w:t>
      </w:r>
      <w:r w:rsidRPr="00D238A2" w:rsidR="00D238A2">
        <w:rPr>
          <w:rFonts w:eastAsia="Times New Roman"/>
        </w:rPr>
        <w:t xml:space="preserve"> </w:t>
      </w:r>
      <w:r w:rsidR="00D238A2">
        <w:rPr>
          <w:rFonts w:eastAsia="Times New Roman"/>
        </w:rPr>
        <w:t>u</w:t>
      </w:r>
      <w:r w:rsidRPr="00301002" w:rsidR="00D238A2">
        <w:rPr>
          <w:rFonts w:eastAsia="Times New Roman"/>
        </w:rPr>
        <w:t>nlike most drug containers,</w:t>
      </w:r>
      <w:r w:rsidR="00D238A2">
        <w:rPr>
          <w:rFonts w:eastAsia="Times New Roman"/>
        </w:rPr>
        <w:t xml:space="preserve"> </w:t>
      </w:r>
      <w:r w:rsidRPr="00301002" w:rsidR="00D238A2">
        <w:rPr>
          <w:rFonts w:eastAsia="Times New Roman"/>
        </w:rPr>
        <w:t>are reused many times and made of extremely durable materials.</w:t>
      </w:r>
      <w:r w:rsidR="001C20A8">
        <w:rPr>
          <w:rFonts w:eastAsia="Times New Roman"/>
        </w:rPr>
        <w:t xml:space="preserve"> </w:t>
      </w:r>
      <w:r w:rsidR="0002306D">
        <w:rPr>
          <w:rFonts w:eastAsia="Times New Roman"/>
        </w:rPr>
        <w:t xml:space="preserve">The reuse of labels is not addressed in current regulations. </w:t>
      </w:r>
      <w:r w:rsidR="001C20A8">
        <w:rPr>
          <w:rFonts w:eastAsia="Times New Roman"/>
        </w:rPr>
        <w:t>W</w:t>
      </w:r>
      <w:r w:rsidR="00D238A2">
        <w:rPr>
          <w:rFonts w:eastAsia="Times New Roman"/>
        </w:rPr>
        <w:t>e believe that industry is</w:t>
      </w:r>
      <w:r w:rsidR="003802CB">
        <w:rPr>
          <w:rFonts w:eastAsia="Times New Roman"/>
        </w:rPr>
        <w:t xml:space="preserve"> </w:t>
      </w:r>
      <w:r w:rsidR="00276AD4">
        <w:rPr>
          <w:rFonts w:eastAsia="Times New Roman"/>
        </w:rPr>
        <w:t xml:space="preserve">currently </w:t>
      </w:r>
      <w:r w:rsidR="007C1085">
        <w:rPr>
          <w:rFonts w:eastAsia="Times New Roman"/>
        </w:rPr>
        <w:t xml:space="preserve">largely </w:t>
      </w:r>
      <w:r w:rsidR="00D238A2">
        <w:rPr>
          <w:rFonts w:eastAsia="Times New Roman"/>
        </w:rPr>
        <w:t>reusing labels that are legible and properly affixed.</w:t>
      </w:r>
    </w:p>
    <w:p w:rsidR="00D238A2" w:rsidRPr="00AC33C4" w14:paraId="6C8BFECB" w14:textId="53F0816A">
      <w:r>
        <w:rPr>
          <w:rFonts w:eastAsia="Times New Roman"/>
        </w:rPr>
        <w:tab/>
      </w:r>
      <w:r w:rsidR="0002306D">
        <w:rPr>
          <w:rFonts w:eastAsia="Times New Roman"/>
        </w:rPr>
        <w:t>W</w:t>
      </w:r>
      <w:r>
        <w:rPr>
          <w:rFonts w:eastAsia="Times New Roman"/>
        </w:rPr>
        <w:t xml:space="preserve">e </w:t>
      </w:r>
      <w:r w:rsidR="007B34B3">
        <w:rPr>
          <w:rFonts w:eastAsia="Times New Roman"/>
        </w:rPr>
        <w:t xml:space="preserve">believe some firms may be discarding </w:t>
      </w:r>
      <w:r>
        <w:rPr>
          <w:rFonts w:eastAsia="Times New Roman"/>
        </w:rPr>
        <w:t xml:space="preserve">legible and properly affixed labels due to the </w:t>
      </w:r>
      <w:r w:rsidR="0002306D">
        <w:rPr>
          <w:rFonts w:eastAsia="Times New Roman"/>
        </w:rPr>
        <w:t xml:space="preserve">lack of inclusion of specific requirements for the </w:t>
      </w:r>
      <w:r w:rsidR="00D1427A">
        <w:rPr>
          <w:rFonts w:eastAsia="Times New Roman"/>
        </w:rPr>
        <w:t>reuse</w:t>
      </w:r>
      <w:r w:rsidR="0002306D">
        <w:rPr>
          <w:rFonts w:eastAsia="Times New Roman"/>
        </w:rPr>
        <w:t xml:space="preserve"> of labels under the </w:t>
      </w:r>
      <w:r>
        <w:rPr>
          <w:rFonts w:eastAsia="Times New Roman"/>
        </w:rPr>
        <w:t xml:space="preserve">current regulations. </w:t>
      </w:r>
      <w:r w:rsidR="00810F83">
        <w:rPr>
          <w:rFonts w:eastAsia="Times New Roman"/>
        </w:rPr>
        <w:t>However, w</w:t>
      </w:r>
      <w:r w:rsidR="007B34B3">
        <w:rPr>
          <w:rFonts w:eastAsia="Times New Roman"/>
        </w:rPr>
        <w:t xml:space="preserve">e </w:t>
      </w:r>
      <w:r w:rsidR="00810F83">
        <w:rPr>
          <w:rFonts w:eastAsia="Times New Roman"/>
        </w:rPr>
        <w:t xml:space="preserve">believe that discarding labels that are legible and properly affixed is rare and include the possibility that no firms are </w:t>
      </w:r>
      <w:r w:rsidR="3FC16141">
        <w:rPr>
          <w:rFonts w:eastAsia="Times New Roman"/>
        </w:rPr>
        <w:t>doing so</w:t>
      </w:r>
      <w:r w:rsidR="00810F83">
        <w:rPr>
          <w:rFonts w:eastAsia="Times New Roman"/>
        </w:rPr>
        <w:t xml:space="preserve">. We </w:t>
      </w:r>
      <w:r w:rsidR="007B34B3">
        <w:rPr>
          <w:rFonts w:eastAsia="Times New Roman"/>
        </w:rPr>
        <w:t>estimate that 0</w:t>
      </w:r>
      <w:r w:rsidR="0002334B">
        <w:rPr>
          <w:rFonts w:eastAsia="Times New Roman"/>
        </w:rPr>
        <w:t xml:space="preserve"> percent</w:t>
      </w:r>
      <w:r w:rsidR="007B34B3">
        <w:rPr>
          <w:rFonts w:eastAsia="Times New Roman"/>
        </w:rPr>
        <w:t xml:space="preserve"> to 1</w:t>
      </w:r>
      <w:r w:rsidR="0002334B">
        <w:rPr>
          <w:rFonts w:eastAsia="Times New Roman"/>
        </w:rPr>
        <w:t xml:space="preserve"> percent</w:t>
      </w:r>
      <w:r w:rsidR="007B34B3">
        <w:rPr>
          <w:rFonts w:eastAsia="Times New Roman"/>
        </w:rPr>
        <w:t xml:space="preserve"> of all </w:t>
      </w:r>
      <w:r w:rsidR="003802CB">
        <w:rPr>
          <w:rFonts w:eastAsia="Times New Roman"/>
        </w:rPr>
        <w:t xml:space="preserve">legible and properly affixed </w:t>
      </w:r>
      <w:r w:rsidR="007B34B3">
        <w:rPr>
          <w:rFonts w:eastAsia="Times New Roman"/>
        </w:rPr>
        <w:t xml:space="preserve">medical gas labels are discarded each year. </w:t>
      </w:r>
      <w:r>
        <w:rPr>
          <w:rFonts w:eastAsia="Times New Roman"/>
        </w:rPr>
        <w:t xml:space="preserve">We believe that adding </w:t>
      </w:r>
      <w:r w:rsidR="0002306D">
        <w:rPr>
          <w:rFonts w:eastAsia="Times New Roman"/>
        </w:rPr>
        <w:t>this requirement</w:t>
      </w:r>
      <w:r>
        <w:rPr>
          <w:rFonts w:eastAsia="Times New Roman"/>
        </w:rPr>
        <w:t xml:space="preserve"> </w:t>
      </w:r>
      <w:r w:rsidR="000D0FA5">
        <w:rPr>
          <w:rFonts w:eastAsia="Times New Roman"/>
        </w:rPr>
        <w:t xml:space="preserve">may </w:t>
      </w:r>
      <w:r w:rsidR="007B34B3">
        <w:rPr>
          <w:rFonts w:eastAsia="Times New Roman"/>
        </w:rPr>
        <w:t>reduce this to 0</w:t>
      </w:r>
      <w:r w:rsidR="0002334B">
        <w:rPr>
          <w:rFonts w:eastAsia="Times New Roman"/>
        </w:rPr>
        <w:t xml:space="preserve"> percent</w:t>
      </w:r>
      <w:r w:rsidR="007B34B3">
        <w:rPr>
          <w:rFonts w:eastAsia="Times New Roman"/>
        </w:rPr>
        <w:t xml:space="preserve">. </w:t>
      </w:r>
    </w:p>
    <w:p w:rsidR="00F5099F" w14:paraId="28F24DC8" w14:textId="41DD2959">
      <w:r>
        <w:tab/>
        <w:t>We use the primary</w:t>
      </w:r>
      <w:r w:rsidR="003802CB">
        <w:t xml:space="preserve"> per label</w:t>
      </w:r>
      <w:r>
        <w:t xml:space="preserve"> estimate of $0.2</w:t>
      </w:r>
      <w:r w:rsidR="0036110B">
        <w:t>5</w:t>
      </w:r>
      <w:r>
        <w:t xml:space="preserve"> from the </w:t>
      </w:r>
      <w:r w:rsidR="003802CB">
        <w:t xml:space="preserve">labeling cost </w:t>
      </w:r>
      <w:r w:rsidRPr="00554C61" w:rsidR="003802CB">
        <w:t>model</w:t>
      </w:r>
      <w:r w:rsidRPr="00987A52" w:rsidR="00CA378C">
        <w:t xml:space="preserve"> (</w:t>
      </w:r>
      <w:r w:rsidRPr="00987A52" w:rsidR="0022201D">
        <w:fldChar w:fldCharType="begin"/>
      </w:r>
      <w:r w:rsidRPr="0022201D" w:rsidR="0022201D">
        <w:instrText xml:space="preserve"> REF _Ref36642842 \h </w:instrText>
      </w:r>
      <w:r w:rsidRPr="00C63D75" w:rsidR="0022201D">
        <w:instrText xml:space="preserve"> \* MERGEFORMAT </w:instrText>
      </w:r>
      <w:r w:rsidRPr="00987A52" w:rsidR="0022201D">
        <w:fldChar w:fldCharType="separate"/>
      </w:r>
      <w:r w:rsidRPr="004848C7" w:rsidR="00264BAF">
        <w:t xml:space="preserve">Table </w:t>
      </w:r>
      <w:r w:rsidRPr="004848C7" w:rsidR="00264BAF">
        <w:rPr>
          <w:noProof/>
        </w:rPr>
        <w:t>12</w:t>
      </w:r>
      <w:r w:rsidRPr="00987A52" w:rsidR="0022201D">
        <w:fldChar w:fldCharType="end"/>
      </w:r>
      <w:r w:rsidRPr="00987A52" w:rsidR="00CA378C">
        <w:t>)</w:t>
      </w:r>
      <w:r w:rsidRPr="00AA0928" w:rsidR="0002620F">
        <w:t>. The labeling cost model</w:t>
      </w:r>
      <w:r w:rsidRPr="00AA0928" w:rsidR="003802CB">
        <w:t xml:space="preserve"> </w:t>
      </w:r>
      <w:r w:rsidRPr="0022201D" w:rsidR="0002620F">
        <w:t xml:space="preserve">is </w:t>
      </w:r>
      <w:r w:rsidRPr="0022201D" w:rsidR="003802CB">
        <w:t>discussed further in</w:t>
      </w:r>
      <w:r w:rsidR="00D0291D">
        <w:t xml:space="preserve"> </w:t>
      </w:r>
      <w:r w:rsidR="004976ED">
        <w:t>II.F.2</w:t>
      </w:r>
      <w:r w:rsidR="00D0291D">
        <w:t xml:space="preserve"> </w:t>
      </w:r>
      <w:r w:rsidRPr="00987A52" w:rsidR="0022201D">
        <w:fldChar w:fldCharType="begin"/>
      </w:r>
      <w:r w:rsidRPr="005B6EAB" w:rsidR="0022201D">
        <w:instrText xml:space="preserve"> REF _Ref36642919 \h </w:instrText>
      </w:r>
      <w:r w:rsidRPr="00C63D75" w:rsidR="005B6EAB">
        <w:instrText xml:space="preserve"> \* MERGEFORMAT </w:instrText>
      </w:r>
      <w:r w:rsidRPr="00987A52" w:rsidR="0022201D">
        <w:fldChar w:fldCharType="separate"/>
      </w:r>
      <w:r w:rsidRPr="00CA5CC1" w:rsidR="00264BAF">
        <w:t>Labeling</w:t>
      </w:r>
      <w:r w:rsidR="00264BAF">
        <w:t xml:space="preserve"> Costs</w:t>
      </w:r>
      <w:r w:rsidRPr="00987A52" w:rsidR="0022201D">
        <w:fldChar w:fldCharType="end"/>
      </w:r>
      <w:r w:rsidRPr="00AA0928">
        <w:t xml:space="preserve">. </w:t>
      </w:r>
      <w:r w:rsidRPr="00987A52" w:rsidR="00D0291D">
        <w:fldChar w:fldCharType="begin"/>
      </w:r>
      <w:r w:rsidRPr="005B6EAB" w:rsidR="00D0291D">
        <w:instrText xml:space="preserve"> REF _Ref36642976 \h </w:instrText>
      </w:r>
      <w:r w:rsidRPr="00C63D75" w:rsidR="005B6EAB">
        <w:instrText xml:space="preserve"> \* MERGEFORMAT </w:instrText>
      </w:r>
      <w:r w:rsidRPr="00987A52" w:rsidR="00D0291D">
        <w:fldChar w:fldCharType="separate"/>
      </w:r>
      <w:r w:rsidRPr="004848C7" w:rsidR="00264BAF">
        <w:t xml:space="preserve">Table </w:t>
      </w:r>
      <w:r w:rsidRPr="004848C7" w:rsidR="00264BAF">
        <w:rPr>
          <w:noProof/>
        </w:rPr>
        <w:t>8</w:t>
      </w:r>
      <w:r w:rsidRPr="00987A52" w:rsidR="00D0291D">
        <w:fldChar w:fldCharType="end"/>
      </w:r>
      <w:r w:rsidRPr="00554C61" w:rsidR="00D0291D">
        <w:t xml:space="preserve"> show</w:t>
      </w:r>
      <w:r w:rsidRPr="00987A52" w:rsidR="00D0291D">
        <w:t>s the ongoing cost saving</w:t>
      </w:r>
      <w:r w:rsidRPr="00AA0928" w:rsidR="00D0291D">
        <w:t xml:space="preserve">s from allowing the reuse of labels. </w:t>
      </w:r>
      <w:r w:rsidRPr="005B6EAB">
        <w:t>The estimated</w:t>
      </w:r>
      <w:r w:rsidRPr="00C118F7">
        <w:t xml:space="preserve"> on</w:t>
      </w:r>
      <w:r>
        <w:t>going</w:t>
      </w:r>
      <w:r w:rsidRPr="00C118F7">
        <w:t xml:space="preserve"> cost savings </w:t>
      </w:r>
      <w:r>
        <w:t xml:space="preserve">for firms </w:t>
      </w:r>
      <w:r w:rsidRPr="00C118F7">
        <w:t>f</w:t>
      </w:r>
      <w:r>
        <w:t>ro</w:t>
      </w:r>
      <w:r w:rsidRPr="00C118F7">
        <w:t xml:space="preserve">m </w:t>
      </w:r>
      <w:r w:rsidR="008F4A89">
        <w:t>allowing the</w:t>
      </w:r>
      <w:r w:rsidR="00986206">
        <w:t xml:space="preserve"> </w:t>
      </w:r>
      <w:r>
        <w:t>reuse of labels</w:t>
      </w:r>
      <w:r w:rsidRPr="00C118F7">
        <w:t xml:space="preserve"> </w:t>
      </w:r>
      <w:r w:rsidR="001940B0">
        <w:t>will</w:t>
      </w:r>
      <w:r w:rsidRPr="00C118F7">
        <w:t xml:space="preserve"> range from $</w:t>
      </w:r>
      <w:r>
        <w:t>0.00</w:t>
      </w:r>
      <w:r w:rsidRPr="00C118F7">
        <w:t xml:space="preserve"> million to $</w:t>
      </w:r>
      <w:r>
        <w:t>0.0</w:t>
      </w:r>
      <w:r w:rsidR="0036110B">
        <w:t>8</w:t>
      </w:r>
      <w:r w:rsidRPr="00C118F7">
        <w:t xml:space="preserve"> million with a primary estimate of $</w:t>
      </w:r>
      <w:r>
        <w:t>0.0</w:t>
      </w:r>
      <w:r w:rsidR="0037051A">
        <w:t>4</w:t>
      </w:r>
      <w:r>
        <w:t xml:space="preserve"> </w:t>
      </w:r>
      <w:r w:rsidRPr="00C118F7">
        <w:t>million.</w:t>
      </w:r>
    </w:p>
    <w:p w:rsidR="007B34B3" w14:paraId="5D8EDF5F" w14:textId="45EE6739"/>
    <w:p w:rsidR="00F541B0" w:rsidRPr="002D3E27" w:rsidP="002D3E27" w14:paraId="65FADF21" w14:textId="661EFF24">
      <w:pPr>
        <w:pStyle w:val="Caption"/>
        <w:keepNext/>
        <w:rPr>
          <w:b/>
        </w:rPr>
      </w:pPr>
      <w:bookmarkStart w:id="55" w:name="_Ref36642976"/>
      <w:bookmarkStart w:id="56" w:name="_Toc147238752"/>
      <w:r w:rsidRPr="002D3E27">
        <w:rPr>
          <w:b/>
        </w:rPr>
        <w:t xml:space="preserve">Table </w:t>
      </w:r>
      <w:r w:rsidRPr="002D3E27">
        <w:rPr>
          <w:b/>
        </w:rPr>
        <w:fldChar w:fldCharType="begin"/>
      </w:r>
      <w:r w:rsidRPr="002D3E27">
        <w:rPr>
          <w:b/>
        </w:rPr>
        <w:instrText xml:space="preserve"> SEQ Table \* ARABIC </w:instrText>
      </w:r>
      <w:r w:rsidRPr="002D3E27">
        <w:rPr>
          <w:b/>
        </w:rPr>
        <w:fldChar w:fldCharType="separate"/>
      </w:r>
      <w:r w:rsidR="00D36765">
        <w:rPr>
          <w:b/>
          <w:noProof/>
        </w:rPr>
        <w:t>8</w:t>
      </w:r>
      <w:r w:rsidRPr="002D3E27">
        <w:rPr>
          <w:b/>
        </w:rPr>
        <w:fldChar w:fldCharType="end"/>
      </w:r>
      <w:bookmarkEnd w:id="55"/>
      <w:r w:rsidRPr="002D3E27">
        <w:rPr>
          <w:b/>
        </w:rPr>
        <w:t>. Cost Savings from Allowing the Reuse of Labels</w:t>
      </w:r>
      <w:bookmarkEnd w:id="56"/>
    </w:p>
    <w:tbl>
      <w:tblPr>
        <w:tblW w:w="9360" w:type="dxa"/>
        <w:tblInd w:w="-10" w:type="dxa"/>
        <w:tblLook w:val="04A0"/>
      </w:tblPr>
      <w:tblGrid>
        <w:gridCol w:w="3059"/>
        <w:gridCol w:w="989"/>
        <w:gridCol w:w="1078"/>
        <w:gridCol w:w="909"/>
        <w:gridCol w:w="1263"/>
        <w:gridCol w:w="1077"/>
        <w:gridCol w:w="985"/>
      </w:tblGrid>
      <w:tr w14:paraId="5BA2DC18" w14:textId="77777777" w:rsidTr="001E7998">
        <w:tblPrEx>
          <w:tblW w:w="9360" w:type="dxa"/>
          <w:tblInd w:w="-10" w:type="dxa"/>
          <w:tblLook w:val="04A0"/>
        </w:tblPrEx>
        <w:trPr>
          <w:trHeight w:val="648"/>
        </w:trPr>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34B3" w:rsidRPr="004848C7" w:rsidP="007B34B3" w14:paraId="059E26B1" w14:textId="77777777">
            <w:pPr>
              <w:spacing w:after="0"/>
              <w:rPr>
                <w:rFonts w:eastAsia="Times New Roman"/>
                <w:color w:val="000000"/>
                <w:sz w:val="21"/>
                <w:szCs w:val="21"/>
              </w:rPr>
            </w:pPr>
            <w:r w:rsidRPr="004848C7">
              <w:rPr>
                <w:rFonts w:eastAsia="Times New Roman"/>
                <w:color w:val="000000"/>
                <w:sz w:val="21"/>
                <w:szCs w:val="21"/>
              </w:rPr>
              <w:t> </w:t>
            </w:r>
          </w:p>
        </w:tc>
        <w:tc>
          <w:tcPr>
            <w:tcW w:w="9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1F3EF8F1" w14:textId="77777777">
            <w:pPr>
              <w:spacing w:after="0"/>
              <w:jc w:val="center"/>
              <w:rPr>
                <w:rFonts w:eastAsia="Times New Roman"/>
                <w:b/>
                <w:bCs/>
                <w:color w:val="000000"/>
                <w:sz w:val="21"/>
                <w:szCs w:val="21"/>
              </w:rPr>
            </w:pPr>
            <w:r w:rsidRPr="004848C7">
              <w:rPr>
                <w:rFonts w:eastAsia="Times New Roman"/>
                <w:b/>
                <w:bCs/>
                <w:color w:val="000000"/>
                <w:sz w:val="21"/>
                <w:szCs w:val="21"/>
              </w:rPr>
              <w:t>Oxygen</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4DE10892" w14:textId="77777777">
            <w:pPr>
              <w:spacing w:after="0"/>
              <w:jc w:val="center"/>
              <w:rPr>
                <w:rFonts w:eastAsia="Times New Roman"/>
                <w:b/>
                <w:bCs/>
                <w:color w:val="000000"/>
                <w:sz w:val="21"/>
                <w:szCs w:val="21"/>
              </w:rPr>
            </w:pPr>
            <w:r w:rsidRPr="004848C7">
              <w:rPr>
                <w:rFonts w:eastAsia="Times New Roman"/>
                <w:b/>
                <w:bCs/>
                <w:color w:val="000000"/>
                <w:sz w:val="21"/>
                <w:szCs w:val="21"/>
              </w:rPr>
              <w:t>Nitrogen</w:t>
            </w:r>
          </w:p>
        </w:tc>
        <w:tc>
          <w:tcPr>
            <w:tcW w:w="9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4D12ACC5" w14:textId="77777777">
            <w:pPr>
              <w:spacing w:after="0"/>
              <w:jc w:val="center"/>
              <w:rPr>
                <w:rFonts w:eastAsia="Times New Roman"/>
                <w:b/>
                <w:bCs/>
                <w:color w:val="000000"/>
                <w:sz w:val="21"/>
                <w:szCs w:val="21"/>
              </w:rPr>
            </w:pPr>
            <w:r w:rsidRPr="004848C7">
              <w:rPr>
                <w:rFonts w:eastAsia="Times New Roman"/>
                <w:b/>
                <w:bCs/>
                <w:color w:val="000000"/>
                <w:sz w:val="21"/>
                <w:szCs w:val="21"/>
              </w:rPr>
              <w:t>Nitrous Oxide</w:t>
            </w:r>
          </w:p>
        </w:tc>
        <w:tc>
          <w:tcPr>
            <w:tcW w:w="12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607AD256" w14:textId="77777777">
            <w:pPr>
              <w:spacing w:after="0"/>
              <w:jc w:val="center"/>
              <w:rPr>
                <w:rFonts w:eastAsia="Times New Roman"/>
                <w:b/>
                <w:bCs/>
                <w:color w:val="000000"/>
                <w:sz w:val="21"/>
                <w:szCs w:val="21"/>
              </w:rPr>
            </w:pPr>
            <w:r w:rsidRPr="004848C7">
              <w:rPr>
                <w:rFonts w:eastAsia="Times New Roman"/>
                <w:b/>
                <w:bCs/>
                <w:color w:val="000000"/>
                <w:sz w:val="21"/>
                <w:szCs w:val="21"/>
              </w:rPr>
              <w:t>Other Anesthesia</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62E4261A" w14:textId="77777777">
            <w:pPr>
              <w:spacing w:after="0"/>
              <w:jc w:val="center"/>
              <w:rPr>
                <w:rFonts w:eastAsia="Times New Roman"/>
                <w:b/>
                <w:bCs/>
                <w:color w:val="000000"/>
                <w:sz w:val="21"/>
                <w:szCs w:val="21"/>
              </w:rPr>
            </w:pPr>
            <w:r w:rsidRPr="004848C7">
              <w:rPr>
                <w:rFonts w:eastAsia="Times New Roman"/>
                <w:b/>
                <w:bCs/>
                <w:color w:val="000000"/>
                <w:sz w:val="21"/>
                <w:szCs w:val="21"/>
              </w:rPr>
              <w:t>Medical Specialty Gases</w:t>
            </w:r>
          </w:p>
        </w:tc>
        <w:tc>
          <w:tcPr>
            <w:tcW w:w="9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34B3" w:rsidRPr="004848C7" w:rsidP="00C346DD" w14:paraId="65968CC2" w14:textId="77777777">
            <w:pPr>
              <w:spacing w:after="0"/>
              <w:jc w:val="center"/>
              <w:rPr>
                <w:rFonts w:eastAsia="Times New Roman"/>
                <w:b/>
                <w:bCs/>
                <w:color w:val="000000"/>
                <w:sz w:val="21"/>
                <w:szCs w:val="21"/>
              </w:rPr>
            </w:pPr>
            <w:r w:rsidRPr="004848C7">
              <w:rPr>
                <w:rFonts w:eastAsia="Times New Roman"/>
                <w:b/>
                <w:bCs/>
                <w:color w:val="000000"/>
                <w:sz w:val="21"/>
                <w:szCs w:val="21"/>
              </w:rPr>
              <w:t>Total</w:t>
            </w:r>
          </w:p>
        </w:tc>
      </w:tr>
      <w:tr w14:paraId="7B6511FD"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noWrap/>
            <w:vAlign w:val="bottom"/>
            <w:hideMark/>
          </w:tcPr>
          <w:p w:rsidR="00524C13" w:rsidRPr="004848C7" w:rsidP="00524C13" w14:paraId="11E27AF5" w14:textId="671B6F68">
            <w:pPr>
              <w:spacing w:after="0"/>
              <w:rPr>
                <w:rFonts w:eastAsia="Times New Roman"/>
                <w:color w:val="000000"/>
                <w:sz w:val="21"/>
                <w:szCs w:val="21"/>
              </w:rPr>
            </w:pPr>
            <w:r w:rsidRPr="004848C7">
              <w:rPr>
                <w:rFonts w:eastAsia="Times New Roman"/>
                <w:color w:val="000000"/>
                <w:sz w:val="21"/>
                <w:szCs w:val="21"/>
              </w:rPr>
              <w:t xml:space="preserve">All </w:t>
            </w:r>
            <w:r w:rsidRPr="004848C7" w:rsidR="00B420B5">
              <w:rPr>
                <w:rFonts w:eastAsia="Times New Roman"/>
                <w:color w:val="000000"/>
                <w:sz w:val="21"/>
                <w:szCs w:val="21"/>
              </w:rPr>
              <w:t>c</w:t>
            </w:r>
            <w:r w:rsidRPr="004848C7">
              <w:rPr>
                <w:rFonts w:eastAsia="Times New Roman"/>
                <w:color w:val="000000"/>
                <w:sz w:val="21"/>
                <w:szCs w:val="21"/>
              </w:rPr>
              <w:t xml:space="preserve">ontainer </w:t>
            </w:r>
            <w:r w:rsidRPr="004848C7" w:rsidR="00B420B5">
              <w:rPr>
                <w:rFonts w:eastAsia="Times New Roman"/>
                <w:color w:val="000000"/>
                <w:sz w:val="21"/>
                <w:szCs w:val="21"/>
              </w:rPr>
              <w:t>t</w:t>
            </w:r>
            <w:r w:rsidRPr="004848C7">
              <w:rPr>
                <w:rFonts w:eastAsia="Times New Roman"/>
                <w:color w:val="000000"/>
                <w:sz w:val="21"/>
                <w:szCs w:val="21"/>
              </w:rPr>
              <w:t>ypes</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C13" w:rsidRPr="004848C7" w:rsidP="00AC2CB0" w14:paraId="3893D49B" w14:textId="6FD461E0">
            <w:pPr>
              <w:spacing w:after="0"/>
              <w:jc w:val="center"/>
              <w:rPr>
                <w:rFonts w:eastAsia="Times New Roman"/>
                <w:color w:val="000000"/>
                <w:sz w:val="21"/>
                <w:szCs w:val="21"/>
              </w:rPr>
            </w:pPr>
            <w:r w:rsidRPr="004848C7">
              <w:rPr>
                <w:color w:val="000000"/>
                <w:sz w:val="21"/>
                <w:szCs w:val="21"/>
              </w:rPr>
              <w:t>32</w:t>
            </w:r>
            <w:r w:rsidRPr="004848C7" w:rsidR="002F3E5A">
              <w:rPr>
                <w:color w:val="000000"/>
                <w:sz w:val="21"/>
                <w:szCs w:val="21"/>
              </w:rPr>
              <w:t>,</w:t>
            </w:r>
            <w:r w:rsidRPr="004848C7">
              <w:rPr>
                <w:color w:val="000000"/>
                <w:sz w:val="21"/>
                <w:szCs w:val="21"/>
              </w:rPr>
              <w:t>424.1</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524C13" w:rsidRPr="004848C7" w:rsidP="00AC2CB0" w14:paraId="1A5022B7" w14:textId="03EDFE74">
            <w:pPr>
              <w:spacing w:after="0"/>
              <w:jc w:val="center"/>
              <w:rPr>
                <w:rFonts w:eastAsia="Times New Roman"/>
                <w:color w:val="000000"/>
                <w:sz w:val="21"/>
                <w:szCs w:val="21"/>
              </w:rPr>
            </w:pPr>
            <w:r w:rsidRPr="004848C7">
              <w:rPr>
                <w:color w:val="000000"/>
                <w:sz w:val="21"/>
                <w:szCs w:val="21"/>
              </w:rPr>
              <w:t>180.0</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24C13" w:rsidRPr="004848C7" w:rsidP="00AC2CB0" w14:paraId="0F50893F" w14:textId="3995426F">
            <w:pPr>
              <w:spacing w:after="0"/>
              <w:jc w:val="center"/>
              <w:rPr>
                <w:rFonts w:eastAsia="Times New Roman"/>
                <w:color w:val="000000"/>
                <w:sz w:val="21"/>
                <w:szCs w:val="21"/>
              </w:rPr>
            </w:pPr>
            <w:r w:rsidRPr="004848C7">
              <w:rPr>
                <w:color w:val="000000"/>
                <w:sz w:val="21"/>
                <w:szCs w:val="21"/>
              </w:rPr>
              <w:t>479.7</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524C13" w:rsidRPr="004848C7" w:rsidP="00AC2CB0" w14:paraId="1FADE34C" w14:textId="7733A7EF">
            <w:pPr>
              <w:spacing w:after="0"/>
              <w:jc w:val="center"/>
              <w:rPr>
                <w:rFonts w:eastAsia="Times New Roman"/>
                <w:color w:val="000000"/>
                <w:sz w:val="21"/>
                <w:szCs w:val="21"/>
              </w:rPr>
            </w:pPr>
            <w:r w:rsidRPr="004848C7">
              <w:rPr>
                <w:color w:val="000000"/>
                <w:sz w:val="21"/>
                <w:szCs w:val="21"/>
              </w:rPr>
              <w:t>58.4</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524C13" w:rsidRPr="004848C7" w:rsidP="00AC2CB0" w14:paraId="6CF590EE" w14:textId="0A0B53F0">
            <w:pPr>
              <w:spacing w:after="0"/>
              <w:jc w:val="center"/>
              <w:rPr>
                <w:rFonts w:eastAsia="Times New Roman"/>
                <w:color w:val="000000"/>
                <w:sz w:val="21"/>
                <w:szCs w:val="21"/>
              </w:rPr>
            </w:pPr>
            <w:r w:rsidRPr="004848C7">
              <w:rPr>
                <w:color w:val="000000"/>
                <w:sz w:val="21"/>
                <w:szCs w:val="21"/>
              </w:rPr>
              <w:t>257.1</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24C13" w:rsidRPr="004848C7" w:rsidP="00AC2CB0" w14:paraId="23C5EEC0" w14:textId="41BBC3B7">
            <w:pPr>
              <w:spacing w:after="0"/>
              <w:jc w:val="center"/>
              <w:rPr>
                <w:rFonts w:eastAsia="Times New Roman"/>
                <w:color w:val="000000"/>
                <w:sz w:val="21"/>
                <w:szCs w:val="21"/>
              </w:rPr>
            </w:pPr>
            <w:r w:rsidRPr="004848C7">
              <w:rPr>
                <w:color w:val="000000"/>
                <w:sz w:val="21"/>
                <w:szCs w:val="21"/>
              </w:rPr>
              <w:t>33</w:t>
            </w:r>
            <w:r w:rsidRPr="004848C7" w:rsidR="002F3E5A">
              <w:rPr>
                <w:color w:val="000000"/>
                <w:sz w:val="21"/>
                <w:szCs w:val="21"/>
              </w:rPr>
              <w:t>,</w:t>
            </w:r>
            <w:r w:rsidRPr="004848C7">
              <w:rPr>
                <w:color w:val="000000"/>
                <w:sz w:val="21"/>
                <w:szCs w:val="21"/>
              </w:rPr>
              <w:t>399.4</w:t>
            </w:r>
          </w:p>
        </w:tc>
      </w:tr>
      <w:tr w14:paraId="51110DB7"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445D5D" w:rsidRPr="004848C7" w:rsidP="007B34B3" w14:paraId="6F7019BB" w14:textId="34547C91">
            <w:pPr>
              <w:spacing w:after="0"/>
              <w:rPr>
                <w:rFonts w:eastAsia="Times New Roman"/>
                <w:color w:val="000000"/>
                <w:sz w:val="21"/>
                <w:szCs w:val="21"/>
              </w:rPr>
            </w:pPr>
            <w:r w:rsidRPr="004848C7">
              <w:rPr>
                <w:rFonts w:eastAsia="Times New Roman"/>
                <w:color w:val="000000"/>
                <w:sz w:val="21"/>
                <w:szCs w:val="21"/>
              </w:rPr>
              <w:t>Legible label discard rate (low)</w:t>
            </w:r>
          </w:p>
        </w:tc>
        <w:tc>
          <w:tcPr>
            <w:tcW w:w="989" w:type="dxa"/>
            <w:tcBorders>
              <w:top w:val="nil"/>
              <w:left w:val="nil"/>
              <w:bottom w:val="single" w:sz="4" w:space="0" w:color="auto"/>
              <w:right w:val="single" w:sz="4" w:space="0" w:color="auto"/>
            </w:tcBorders>
            <w:shd w:val="clear" w:color="auto" w:fill="auto"/>
            <w:vAlign w:val="bottom"/>
            <w:hideMark/>
          </w:tcPr>
          <w:p w:rsidR="00445D5D" w:rsidRPr="004848C7" w:rsidP="00AC2CB0" w14:paraId="3A9820D5" w14:textId="283BA636">
            <w:pPr>
              <w:spacing w:after="0"/>
              <w:jc w:val="center"/>
              <w:rPr>
                <w:rFonts w:eastAsia="Times New Roman"/>
                <w:color w:val="000000"/>
                <w:sz w:val="21"/>
                <w:szCs w:val="21"/>
              </w:rPr>
            </w:pPr>
            <w:r w:rsidRPr="004848C7">
              <w:rPr>
                <w:rFonts w:eastAsia="Times New Roman"/>
                <w:color w:val="000000"/>
                <w:sz w:val="21"/>
                <w:szCs w:val="21"/>
              </w:rPr>
              <w:t>0%</w:t>
            </w:r>
          </w:p>
        </w:tc>
        <w:tc>
          <w:tcPr>
            <w:tcW w:w="1078" w:type="dxa"/>
            <w:tcBorders>
              <w:top w:val="nil"/>
              <w:left w:val="nil"/>
              <w:bottom w:val="single" w:sz="4" w:space="0" w:color="auto"/>
              <w:right w:val="single" w:sz="4" w:space="0" w:color="auto"/>
            </w:tcBorders>
            <w:shd w:val="clear" w:color="auto" w:fill="auto"/>
            <w:vAlign w:val="bottom"/>
            <w:hideMark/>
          </w:tcPr>
          <w:p w:rsidR="00445D5D" w:rsidRPr="004848C7" w:rsidP="00AC2CB0" w14:paraId="793055A1" w14:textId="13642FCD">
            <w:pPr>
              <w:spacing w:after="0"/>
              <w:jc w:val="center"/>
              <w:rPr>
                <w:rFonts w:eastAsia="Times New Roman"/>
                <w:color w:val="000000"/>
                <w:sz w:val="21"/>
                <w:szCs w:val="21"/>
              </w:rPr>
            </w:pPr>
            <w:r w:rsidRPr="004848C7">
              <w:rPr>
                <w:rFonts w:eastAsia="Times New Roman"/>
                <w:color w:val="000000"/>
                <w:sz w:val="21"/>
                <w:szCs w:val="21"/>
              </w:rPr>
              <w:t>0%</w:t>
            </w:r>
          </w:p>
        </w:tc>
        <w:tc>
          <w:tcPr>
            <w:tcW w:w="909" w:type="dxa"/>
            <w:tcBorders>
              <w:top w:val="nil"/>
              <w:left w:val="nil"/>
              <w:bottom w:val="single" w:sz="4" w:space="0" w:color="auto"/>
              <w:right w:val="single" w:sz="4" w:space="0" w:color="auto"/>
            </w:tcBorders>
            <w:shd w:val="clear" w:color="auto" w:fill="auto"/>
            <w:vAlign w:val="bottom"/>
            <w:hideMark/>
          </w:tcPr>
          <w:p w:rsidR="00445D5D" w:rsidRPr="004848C7" w:rsidP="00AC2CB0" w14:paraId="4E5201EA" w14:textId="058A7835">
            <w:pPr>
              <w:spacing w:after="0"/>
              <w:jc w:val="center"/>
              <w:rPr>
                <w:rFonts w:eastAsia="Times New Roman"/>
                <w:color w:val="000000"/>
                <w:sz w:val="21"/>
                <w:szCs w:val="21"/>
              </w:rPr>
            </w:pPr>
            <w:r w:rsidRPr="004848C7">
              <w:rPr>
                <w:rFonts w:eastAsia="Times New Roman"/>
                <w:color w:val="000000"/>
                <w:sz w:val="21"/>
                <w:szCs w:val="21"/>
              </w:rPr>
              <w:t>0%</w:t>
            </w:r>
          </w:p>
        </w:tc>
        <w:tc>
          <w:tcPr>
            <w:tcW w:w="1263" w:type="dxa"/>
            <w:tcBorders>
              <w:top w:val="nil"/>
              <w:left w:val="nil"/>
              <w:bottom w:val="single" w:sz="4" w:space="0" w:color="auto"/>
              <w:right w:val="single" w:sz="4" w:space="0" w:color="auto"/>
            </w:tcBorders>
            <w:shd w:val="clear" w:color="auto" w:fill="auto"/>
            <w:vAlign w:val="bottom"/>
            <w:hideMark/>
          </w:tcPr>
          <w:p w:rsidR="00445D5D" w:rsidRPr="004848C7" w:rsidP="00AC2CB0" w14:paraId="3B2054BC" w14:textId="2C324D97">
            <w:pPr>
              <w:spacing w:after="0"/>
              <w:jc w:val="center"/>
              <w:rPr>
                <w:rFonts w:eastAsia="Times New Roman"/>
                <w:color w:val="000000"/>
                <w:sz w:val="21"/>
                <w:szCs w:val="21"/>
              </w:rPr>
            </w:pPr>
            <w:r w:rsidRPr="004848C7">
              <w:rPr>
                <w:rFonts w:eastAsia="Times New Roman"/>
                <w:color w:val="000000"/>
                <w:sz w:val="21"/>
                <w:szCs w:val="21"/>
              </w:rPr>
              <w:t>0%</w:t>
            </w:r>
          </w:p>
        </w:tc>
        <w:tc>
          <w:tcPr>
            <w:tcW w:w="1077" w:type="dxa"/>
            <w:tcBorders>
              <w:top w:val="nil"/>
              <w:left w:val="nil"/>
              <w:bottom w:val="single" w:sz="4" w:space="0" w:color="auto"/>
              <w:right w:val="single" w:sz="4" w:space="0" w:color="auto"/>
            </w:tcBorders>
            <w:shd w:val="clear" w:color="auto" w:fill="auto"/>
            <w:vAlign w:val="bottom"/>
            <w:hideMark/>
          </w:tcPr>
          <w:p w:rsidR="00445D5D" w:rsidRPr="004848C7" w:rsidP="00AC2CB0" w14:paraId="625F8B42" w14:textId="20D76682">
            <w:pPr>
              <w:spacing w:after="0"/>
              <w:jc w:val="center"/>
              <w:rPr>
                <w:rFonts w:eastAsia="Times New Roman"/>
                <w:color w:val="000000"/>
                <w:sz w:val="21"/>
                <w:szCs w:val="21"/>
              </w:rPr>
            </w:pPr>
            <w:r w:rsidRPr="004848C7">
              <w:rPr>
                <w:rFonts w:eastAsia="Times New Roman"/>
                <w:color w:val="000000"/>
                <w:sz w:val="21"/>
                <w:szCs w:val="21"/>
              </w:rPr>
              <w:t>0%</w:t>
            </w:r>
          </w:p>
        </w:tc>
        <w:tc>
          <w:tcPr>
            <w:tcW w:w="985" w:type="dxa"/>
            <w:tcBorders>
              <w:top w:val="nil"/>
              <w:left w:val="nil"/>
              <w:bottom w:val="single" w:sz="4" w:space="0" w:color="auto"/>
              <w:right w:val="single" w:sz="4" w:space="0" w:color="auto"/>
            </w:tcBorders>
            <w:shd w:val="clear" w:color="auto" w:fill="auto"/>
            <w:vAlign w:val="bottom"/>
            <w:hideMark/>
          </w:tcPr>
          <w:p w:rsidR="00445D5D" w:rsidRPr="004848C7" w:rsidP="00AC2CB0" w14:paraId="066E5073" w14:textId="02845C1A">
            <w:pPr>
              <w:spacing w:after="0"/>
              <w:jc w:val="center"/>
              <w:rPr>
                <w:rFonts w:eastAsia="Times New Roman"/>
                <w:color w:val="000000"/>
                <w:sz w:val="21"/>
                <w:szCs w:val="21"/>
              </w:rPr>
            </w:pPr>
            <w:r w:rsidRPr="004848C7">
              <w:rPr>
                <w:rFonts w:eastAsia="Times New Roman"/>
                <w:color w:val="000000"/>
                <w:sz w:val="21"/>
                <w:szCs w:val="21"/>
              </w:rPr>
              <w:t>0%</w:t>
            </w:r>
          </w:p>
        </w:tc>
      </w:tr>
      <w:tr w14:paraId="3BC22307"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445D5D" w:rsidRPr="004848C7" w:rsidP="007B34B3" w14:paraId="1647F954" w14:textId="3C046A65">
            <w:pPr>
              <w:spacing w:after="0"/>
              <w:rPr>
                <w:rFonts w:eastAsia="Times New Roman"/>
                <w:color w:val="000000"/>
                <w:sz w:val="21"/>
                <w:szCs w:val="21"/>
              </w:rPr>
            </w:pPr>
            <w:r w:rsidRPr="004848C7">
              <w:rPr>
                <w:rFonts w:eastAsia="Times New Roman"/>
                <w:color w:val="000000"/>
                <w:sz w:val="21"/>
                <w:szCs w:val="21"/>
              </w:rPr>
              <w:t>Legible label discard rate (high)</w:t>
            </w:r>
          </w:p>
        </w:tc>
        <w:tc>
          <w:tcPr>
            <w:tcW w:w="98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6234C8CE" w14:textId="10726715">
            <w:pPr>
              <w:spacing w:after="0"/>
              <w:jc w:val="center"/>
              <w:rPr>
                <w:rFonts w:eastAsia="Times New Roman"/>
                <w:color w:val="000000"/>
                <w:sz w:val="21"/>
                <w:szCs w:val="21"/>
              </w:rPr>
            </w:pPr>
            <w:r w:rsidRPr="004848C7">
              <w:rPr>
                <w:rFonts w:eastAsia="Times New Roman"/>
                <w:color w:val="000000"/>
                <w:sz w:val="21"/>
                <w:szCs w:val="21"/>
              </w:rPr>
              <w:t>1%</w:t>
            </w:r>
          </w:p>
        </w:tc>
        <w:tc>
          <w:tcPr>
            <w:tcW w:w="1078"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1E087702" w14:textId="0FE9418F">
            <w:pPr>
              <w:spacing w:after="0"/>
              <w:jc w:val="center"/>
              <w:rPr>
                <w:rFonts w:eastAsia="Times New Roman"/>
                <w:color w:val="000000"/>
                <w:sz w:val="21"/>
                <w:szCs w:val="21"/>
              </w:rPr>
            </w:pPr>
            <w:r w:rsidRPr="004848C7">
              <w:rPr>
                <w:rFonts w:eastAsia="Times New Roman"/>
                <w:color w:val="000000"/>
                <w:sz w:val="21"/>
                <w:szCs w:val="21"/>
              </w:rPr>
              <w:t>1%</w:t>
            </w:r>
          </w:p>
        </w:tc>
        <w:tc>
          <w:tcPr>
            <w:tcW w:w="90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5CA37FB" w14:textId="0284D5E2">
            <w:pPr>
              <w:spacing w:after="0"/>
              <w:jc w:val="center"/>
              <w:rPr>
                <w:rFonts w:eastAsia="Times New Roman"/>
                <w:color w:val="000000"/>
                <w:sz w:val="21"/>
                <w:szCs w:val="21"/>
              </w:rPr>
            </w:pPr>
            <w:r w:rsidRPr="004848C7">
              <w:rPr>
                <w:rFonts w:eastAsia="Times New Roman"/>
                <w:color w:val="000000"/>
                <w:sz w:val="21"/>
                <w:szCs w:val="21"/>
              </w:rPr>
              <w:t>1%</w:t>
            </w:r>
          </w:p>
        </w:tc>
        <w:tc>
          <w:tcPr>
            <w:tcW w:w="1263"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79D2711F" w14:textId="3D0DE4CA">
            <w:pPr>
              <w:spacing w:after="0"/>
              <w:jc w:val="center"/>
              <w:rPr>
                <w:rFonts w:eastAsia="Times New Roman"/>
                <w:color w:val="000000"/>
                <w:sz w:val="21"/>
                <w:szCs w:val="21"/>
              </w:rPr>
            </w:pPr>
            <w:r w:rsidRPr="004848C7">
              <w:rPr>
                <w:rFonts w:eastAsia="Times New Roman"/>
                <w:color w:val="000000"/>
                <w:sz w:val="21"/>
                <w:szCs w:val="21"/>
              </w:rPr>
              <w:t>1%</w:t>
            </w:r>
          </w:p>
        </w:tc>
        <w:tc>
          <w:tcPr>
            <w:tcW w:w="1077"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194AA368" w14:textId="590F013C">
            <w:pPr>
              <w:spacing w:after="0"/>
              <w:jc w:val="center"/>
              <w:rPr>
                <w:rFonts w:eastAsia="Times New Roman"/>
                <w:color w:val="000000"/>
                <w:sz w:val="21"/>
                <w:szCs w:val="21"/>
              </w:rPr>
            </w:pPr>
            <w:r w:rsidRPr="004848C7">
              <w:rPr>
                <w:rFonts w:eastAsia="Times New Roman"/>
                <w:color w:val="000000"/>
                <w:sz w:val="21"/>
                <w:szCs w:val="21"/>
              </w:rPr>
              <w:t>1%</w:t>
            </w:r>
          </w:p>
        </w:tc>
        <w:tc>
          <w:tcPr>
            <w:tcW w:w="985"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5F6B8B0C" w14:textId="2FAF4233">
            <w:pPr>
              <w:spacing w:after="0"/>
              <w:jc w:val="center"/>
              <w:rPr>
                <w:rFonts w:eastAsia="Times New Roman"/>
                <w:color w:val="000000"/>
                <w:sz w:val="21"/>
                <w:szCs w:val="21"/>
              </w:rPr>
            </w:pPr>
            <w:r w:rsidRPr="004848C7">
              <w:rPr>
                <w:rFonts w:eastAsia="Times New Roman"/>
                <w:color w:val="000000"/>
                <w:sz w:val="21"/>
                <w:szCs w:val="21"/>
              </w:rPr>
              <w:t>1%</w:t>
            </w:r>
          </w:p>
        </w:tc>
      </w:tr>
      <w:tr w14:paraId="2BBC295D"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445D5D" w:rsidRPr="004848C7" w:rsidP="007B34B3" w14:paraId="21C68AF4" w14:textId="0CA71611">
            <w:pPr>
              <w:spacing w:after="0"/>
              <w:rPr>
                <w:rFonts w:eastAsia="Times New Roman"/>
                <w:color w:val="000000"/>
                <w:sz w:val="21"/>
                <w:szCs w:val="21"/>
              </w:rPr>
            </w:pPr>
            <w:r w:rsidRPr="004848C7">
              <w:rPr>
                <w:rFonts w:eastAsia="Times New Roman"/>
                <w:color w:val="000000"/>
                <w:sz w:val="21"/>
                <w:szCs w:val="21"/>
              </w:rPr>
              <w:t>Cost per label</w:t>
            </w:r>
          </w:p>
        </w:tc>
        <w:tc>
          <w:tcPr>
            <w:tcW w:w="98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58CD6A16" w14:textId="5C88207C">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c>
          <w:tcPr>
            <w:tcW w:w="1078"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5B6BB7B7" w14:textId="6D531720">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c>
          <w:tcPr>
            <w:tcW w:w="90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E73CCA2" w14:textId="27AB1DEA">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c>
          <w:tcPr>
            <w:tcW w:w="1263"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B7E44EF" w14:textId="6AA75413">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c>
          <w:tcPr>
            <w:tcW w:w="1077"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62755BF" w14:textId="30515457">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c>
          <w:tcPr>
            <w:tcW w:w="985"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6E1160D1" w14:textId="3B1D559D">
            <w:pPr>
              <w:spacing w:after="0"/>
              <w:jc w:val="center"/>
              <w:rPr>
                <w:rFonts w:eastAsia="Times New Roman"/>
                <w:color w:val="000000"/>
                <w:sz w:val="21"/>
                <w:szCs w:val="21"/>
              </w:rPr>
            </w:pPr>
            <w:r w:rsidRPr="004848C7">
              <w:rPr>
                <w:rFonts w:eastAsia="Times New Roman"/>
                <w:color w:val="000000"/>
                <w:sz w:val="21"/>
                <w:szCs w:val="21"/>
              </w:rPr>
              <w:t>$0.2</w:t>
            </w:r>
            <w:r w:rsidR="0036110B">
              <w:rPr>
                <w:rFonts w:eastAsia="Times New Roman"/>
                <w:color w:val="000000"/>
                <w:sz w:val="21"/>
                <w:szCs w:val="21"/>
              </w:rPr>
              <w:t>5</w:t>
            </w:r>
          </w:p>
        </w:tc>
      </w:tr>
      <w:tr w14:paraId="1F8106CA" w14:textId="77777777" w:rsidTr="001E7998">
        <w:tblPrEx>
          <w:tblW w:w="9360" w:type="dxa"/>
          <w:tblInd w:w="-10" w:type="dxa"/>
          <w:tblLook w:val="04A0"/>
        </w:tblPrEx>
        <w:trPr>
          <w:trHeight w:val="432"/>
        </w:trPr>
        <w:tc>
          <w:tcPr>
            <w:tcW w:w="30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45D5D" w:rsidRPr="004848C7" w:rsidP="007B34B3" w14:paraId="6C8B9CF0" w14:textId="4F59D1A6">
            <w:pPr>
              <w:spacing w:after="0"/>
              <w:rPr>
                <w:rFonts w:eastAsia="Times New Roman"/>
                <w:color w:val="000000"/>
                <w:sz w:val="21"/>
                <w:szCs w:val="21"/>
              </w:rPr>
            </w:pPr>
            <w:r w:rsidRPr="004848C7">
              <w:rPr>
                <w:rFonts w:eastAsia="Times New Roman"/>
                <w:b/>
                <w:color w:val="000000"/>
                <w:sz w:val="21"/>
                <w:szCs w:val="21"/>
              </w:rPr>
              <w:t xml:space="preserve">Ongoing cost savings (millions) </w:t>
            </w:r>
          </w:p>
        </w:tc>
        <w:tc>
          <w:tcPr>
            <w:tcW w:w="989"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4310A051" w14:textId="43CC9A42">
            <w:pPr>
              <w:spacing w:after="0"/>
              <w:jc w:val="center"/>
              <w:rPr>
                <w:rFonts w:eastAsia="Times New Roman"/>
                <w:color w:val="000000"/>
                <w:sz w:val="21"/>
                <w:szCs w:val="21"/>
              </w:rPr>
            </w:pPr>
          </w:p>
        </w:tc>
        <w:tc>
          <w:tcPr>
            <w:tcW w:w="1078"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6FE32A73" w14:textId="1B469E5C">
            <w:pPr>
              <w:spacing w:after="0"/>
              <w:jc w:val="center"/>
              <w:rPr>
                <w:rFonts w:eastAsia="Times New Roman"/>
                <w:color w:val="000000"/>
                <w:sz w:val="21"/>
                <w:szCs w:val="21"/>
              </w:rPr>
            </w:pPr>
          </w:p>
        </w:tc>
        <w:tc>
          <w:tcPr>
            <w:tcW w:w="909"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78E0749C" w14:textId="7F35F4BA">
            <w:pPr>
              <w:spacing w:after="0"/>
              <w:jc w:val="center"/>
              <w:rPr>
                <w:rFonts w:eastAsia="Times New Roman"/>
                <w:color w:val="000000"/>
                <w:sz w:val="21"/>
                <w:szCs w:val="21"/>
              </w:rPr>
            </w:pPr>
          </w:p>
        </w:tc>
        <w:tc>
          <w:tcPr>
            <w:tcW w:w="1263"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55E6882C" w14:textId="53FA8472">
            <w:pPr>
              <w:spacing w:after="0"/>
              <w:jc w:val="center"/>
              <w:rPr>
                <w:rFonts w:eastAsia="Times New Roman"/>
                <w:color w:val="000000"/>
                <w:sz w:val="21"/>
                <w:szCs w:val="21"/>
              </w:rPr>
            </w:pPr>
          </w:p>
        </w:tc>
        <w:tc>
          <w:tcPr>
            <w:tcW w:w="1077"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0802D16F" w14:textId="4CB7F370">
            <w:pPr>
              <w:spacing w:after="0"/>
              <w:jc w:val="center"/>
              <w:rPr>
                <w:rFonts w:eastAsia="Times New Roman"/>
                <w:color w:val="000000"/>
                <w:sz w:val="21"/>
                <w:szCs w:val="21"/>
              </w:rPr>
            </w:pPr>
          </w:p>
        </w:tc>
        <w:tc>
          <w:tcPr>
            <w:tcW w:w="985" w:type="dxa"/>
            <w:tcBorders>
              <w:top w:val="nil"/>
              <w:left w:val="nil"/>
              <w:bottom w:val="single" w:sz="4" w:space="0" w:color="auto"/>
              <w:right w:val="single" w:sz="4" w:space="0" w:color="auto"/>
            </w:tcBorders>
            <w:shd w:val="clear" w:color="auto" w:fill="D9D9D9" w:themeFill="background1" w:themeFillShade="D9"/>
            <w:noWrap/>
            <w:vAlign w:val="bottom"/>
            <w:hideMark/>
          </w:tcPr>
          <w:p w:rsidR="00445D5D" w:rsidRPr="004848C7" w:rsidP="00AC2CB0" w14:paraId="6F2953CE" w14:textId="4802EA5A">
            <w:pPr>
              <w:spacing w:after="0"/>
              <w:jc w:val="center"/>
              <w:rPr>
                <w:rFonts w:eastAsia="Times New Roman"/>
                <w:color w:val="000000"/>
                <w:sz w:val="21"/>
                <w:szCs w:val="21"/>
              </w:rPr>
            </w:pPr>
          </w:p>
        </w:tc>
      </w:tr>
      <w:tr w14:paraId="769BBD84"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vAlign w:val="bottom"/>
          </w:tcPr>
          <w:p w:rsidR="00445D5D" w:rsidRPr="004848C7" w:rsidP="007B34B3" w14:paraId="67365B77" w14:textId="22461FAB">
            <w:pPr>
              <w:spacing w:after="0"/>
              <w:rPr>
                <w:rFonts w:eastAsia="Times New Roman"/>
                <w:b/>
                <w:color w:val="000000"/>
                <w:sz w:val="21"/>
                <w:szCs w:val="21"/>
              </w:rPr>
            </w:pPr>
            <w:r w:rsidRPr="004848C7">
              <w:rPr>
                <w:rFonts w:eastAsia="Times New Roman"/>
                <w:color w:val="000000"/>
                <w:sz w:val="21"/>
                <w:szCs w:val="21"/>
              </w:rPr>
              <w:t>Ongoing cost savings (low)</w:t>
            </w:r>
          </w:p>
        </w:tc>
        <w:tc>
          <w:tcPr>
            <w:tcW w:w="989" w:type="dxa"/>
            <w:tcBorders>
              <w:top w:val="nil"/>
              <w:left w:val="nil"/>
              <w:bottom w:val="single" w:sz="4" w:space="0" w:color="auto"/>
              <w:right w:val="single" w:sz="4" w:space="0" w:color="auto"/>
            </w:tcBorders>
            <w:shd w:val="clear" w:color="auto" w:fill="auto"/>
            <w:noWrap/>
            <w:vAlign w:val="bottom"/>
          </w:tcPr>
          <w:p w:rsidR="00445D5D" w:rsidRPr="004848C7" w:rsidP="00AC2CB0" w14:paraId="2B5FD633" w14:textId="031B0EAC">
            <w:pPr>
              <w:spacing w:after="0"/>
              <w:jc w:val="center"/>
              <w:rPr>
                <w:rFonts w:eastAsia="Times New Roman"/>
                <w:color w:val="000000"/>
                <w:sz w:val="21"/>
                <w:szCs w:val="21"/>
              </w:rPr>
            </w:pPr>
            <w:r w:rsidRPr="004848C7">
              <w:rPr>
                <w:rFonts w:eastAsia="Times New Roman"/>
                <w:color w:val="000000"/>
                <w:sz w:val="21"/>
                <w:szCs w:val="21"/>
              </w:rPr>
              <w:t>$0.00</w:t>
            </w:r>
          </w:p>
        </w:tc>
        <w:tc>
          <w:tcPr>
            <w:tcW w:w="1078" w:type="dxa"/>
            <w:tcBorders>
              <w:top w:val="nil"/>
              <w:left w:val="nil"/>
              <w:bottom w:val="single" w:sz="4" w:space="0" w:color="auto"/>
              <w:right w:val="single" w:sz="4" w:space="0" w:color="auto"/>
            </w:tcBorders>
            <w:shd w:val="clear" w:color="auto" w:fill="auto"/>
            <w:noWrap/>
            <w:vAlign w:val="bottom"/>
          </w:tcPr>
          <w:p w:rsidR="00445D5D" w:rsidRPr="004848C7" w:rsidP="00AC2CB0" w14:paraId="16A92092" w14:textId="400E83E6">
            <w:pPr>
              <w:spacing w:after="0"/>
              <w:jc w:val="center"/>
              <w:rPr>
                <w:rFonts w:eastAsia="Times New Roman"/>
                <w:color w:val="000000"/>
                <w:sz w:val="21"/>
                <w:szCs w:val="21"/>
              </w:rPr>
            </w:pPr>
            <w:r w:rsidRPr="004848C7">
              <w:rPr>
                <w:rFonts w:eastAsia="Times New Roman"/>
                <w:color w:val="000000"/>
                <w:sz w:val="21"/>
                <w:szCs w:val="21"/>
              </w:rPr>
              <w:t>$0.00</w:t>
            </w:r>
          </w:p>
        </w:tc>
        <w:tc>
          <w:tcPr>
            <w:tcW w:w="909" w:type="dxa"/>
            <w:tcBorders>
              <w:top w:val="nil"/>
              <w:left w:val="nil"/>
              <w:bottom w:val="single" w:sz="4" w:space="0" w:color="auto"/>
              <w:right w:val="single" w:sz="4" w:space="0" w:color="auto"/>
            </w:tcBorders>
            <w:shd w:val="clear" w:color="auto" w:fill="auto"/>
            <w:noWrap/>
            <w:vAlign w:val="bottom"/>
          </w:tcPr>
          <w:p w:rsidR="00445D5D" w:rsidRPr="004848C7" w:rsidP="00AC2CB0" w14:paraId="715343CC" w14:textId="07E6D6DE">
            <w:pPr>
              <w:spacing w:after="0"/>
              <w:jc w:val="center"/>
              <w:rPr>
                <w:rFonts w:eastAsia="Times New Roman"/>
                <w:color w:val="000000"/>
                <w:sz w:val="21"/>
                <w:szCs w:val="21"/>
              </w:rPr>
            </w:pPr>
            <w:r w:rsidRPr="004848C7">
              <w:rPr>
                <w:rFonts w:eastAsia="Times New Roman"/>
                <w:color w:val="000000"/>
                <w:sz w:val="21"/>
                <w:szCs w:val="21"/>
              </w:rPr>
              <w:t>$0.00</w:t>
            </w:r>
          </w:p>
        </w:tc>
        <w:tc>
          <w:tcPr>
            <w:tcW w:w="1263" w:type="dxa"/>
            <w:tcBorders>
              <w:top w:val="nil"/>
              <w:left w:val="nil"/>
              <w:bottom w:val="single" w:sz="4" w:space="0" w:color="auto"/>
              <w:right w:val="single" w:sz="4" w:space="0" w:color="auto"/>
            </w:tcBorders>
            <w:shd w:val="clear" w:color="auto" w:fill="auto"/>
            <w:noWrap/>
            <w:vAlign w:val="bottom"/>
          </w:tcPr>
          <w:p w:rsidR="00445D5D" w:rsidRPr="004848C7" w:rsidP="00AC2CB0" w14:paraId="225CE33F" w14:textId="3DCDB1A1">
            <w:pPr>
              <w:spacing w:after="0"/>
              <w:jc w:val="center"/>
              <w:rPr>
                <w:rFonts w:eastAsia="Times New Roman"/>
                <w:color w:val="000000"/>
                <w:sz w:val="21"/>
                <w:szCs w:val="21"/>
              </w:rPr>
            </w:pPr>
            <w:r w:rsidRPr="004848C7">
              <w:rPr>
                <w:rFonts w:eastAsia="Times New Roman"/>
                <w:color w:val="000000"/>
                <w:sz w:val="21"/>
                <w:szCs w:val="21"/>
              </w:rPr>
              <w:t>$0.00</w:t>
            </w:r>
          </w:p>
        </w:tc>
        <w:tc>
          <w:tcPr>
            <w:tcW w:w="1077" w:type="dxa"/>
            <w:tcBorders>
              <w:top w:val="nil"/>
              <w:left w:val="nil"/>
              <w:bottom w:val="single" w:sz="4" w:space="0" w:color="auto"/>
              <w:right w:val="single" w:sz="4" w:space="0" w:color="auto"/>
            </w:tcBorders>
            <w:shd w:val="clear" w:color="auto" w:fill="auto"/>
            <w:noWrap/>
            <w:vAlign w:val="bottom"/>
          </w:tcPr>
          <w:p w:rsidR="00445D5D" w:rsidRPr="004848C7" w:rsidP="00AC2CB0" w14:paraId="60869E5C" w14:textId="1724430F">
            <w:pPr>
              <w:spacing w:after="0"/>
              <w:jc w:val="center"/>
              <w:rPr>
                <w:rFonts w:eastAsia="Times New Roman"/>
                <w:color w:val="000000"/>
                <w:sz w:val="21"/>
                <w:szCs w:val="21"/>
              </w:rPr>
            </w:pPr>
            <w:r w:rsidRPr="004848C7">
              <w:rPr>
                <w:rFonts w:eastAsia="Times New Roman"/>
                <w:color w:val="000000"/>
                <w:sz w:val="21"/>
                <w:szCs w:val="21"/>
              </w:rPr>
              <w:t>$0.00</w:t>
            </w:r>
          </w:p>
        </w:tc>
        <w:tc>
          <w:tcPr>
            <w:tcW w:w="985" w:type="dxa"/>
            <w:tcBorders>
              <w:top w:val="nil"/>
              <w:left w:val="nil"/>
              <w:bottom w:val="single" w:sz="4" w:space="0" w:color="auto"/>
              <w:right w:val="single" w:sz="4" w:space="0" w:color="auto"/>
            </w:tcBorders>
            <w:shd w:val="clear" w:color="auto" w:fill="auto"/>
            <w:noWrap/>
            <w:vAlign w:val="bottom"/>
          </w:tcPr>
          <w:p w:rsidR="00445D5D" w:rsidRPr="004848C7" w:rsidP="00AC2CB0" w14:paraId="27760B49" w14:textId="652D5A8F">
            <w:pPr>
              <w:spacing w:after="0"/>
              <w:jc w:val="center"/>
              <w:rPr>
                <w:rFonts w:eastAsia="Times New Roman"/>
                <w:color w:val="000000"/>
                <w:sz w:val="21"/>
                <w:szCs w:val="21"/>
              </w:rPr>
            </w:pPr>
            <w:r w:rsidRPr="004848C7">
              <w:rPr>
                <w:rFonts w:eastAsia="Times New Roman"/>
                <w:color w:val="000000"/>
                <w:sz w:val="21"/>
                <w:szCs w:val="21"/>
              </w:rPr>
              <w:t>$0.00</w:t>
            </w:r>
          </w:p>
        </w:tc>
      </w:tr>
      <w:tr w14:paraId="2972A79E" w14:textId="77777777" w:rsidTr="004848C7">
        <w:tblPrEx>
          <w:tblW w:w="9360" w:type="dxa"/>
          <w:tblInd w:w="-10" w:type="dxa"/>
          <w:tblLook w:val="04A0"/>
        </w:tblPrEx>
        <w:trPr>
          <w:trHeight w:val="216"/>
        </w:trPr>
        <w:tc>
          <w:tcPr>
            <w:tcW w:w="3059" w:type="dxa"/>
            <w:tcBorders>
              <w:top w:val="nil"/>
              <w:left w:val="single" w:sz="4" w:space="0" w:color="auto"/>
              <w:bottom w:val="single" w:sz="4" w:space="0" w:color="auto"/>
              <w:right w:val="single" w:sz="4" w:space="0" w:color="auto"/>
            </w:tcBorders>
            <w:shd w:val="clear" w:color="auto" w:fill="auto"/>
            <w:noWrap/>
            <w:vAlign w:val="bottom"/>
            <w:hideMark/>
          </w:tcPr>
          <w:p w:rsidR="00445D5D" w:rsidRPr="004848C7" w:rsidP="007B34B3" w14:paraId="33EE3E16" w14:textId="7BF387F8">
            <w:pPr>
              <w:spacing w:after="0"/>
              <w:rPr>
                <w:rFonts w:eastAsia="Times New Roman"/>
                <w:color w:val="000000"/>
                <w:sz w:val="21"/>
                <w:szCs w:val="21"/>
              </w:rPr>
            </w:pPr>
            <w:r w:rsidRPr="004848C7">
              <w:rPr>
                <w:rFonts w:eastAsia="Times New Roman"/>
                <w:color w:val="000000"/>
                <w:sz w:val="21"/>
                <w:szCs w:val="21"/>
              </w:rPr>
              <w:t>Ongoing cost savings (high)</w:t>
            </w:r>
          </w:p>
        </w:tc>
        <w:tc>
          <w:tcPr>
            <w:tcW w:w="98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55D0AF80" w14:textId="6F6A30DD">
            <w:pPr>
              <w:spacing w:after="0"/>
              <w:jc w:val="center"/>
              <w:rPr>
                <w:rFonts w:eastAsia="Times New Roman"/>
                <w:color w:val="000000"/>
                <w:sz w:val="21"/>
                <w:szCs w:val="21"/>
              </w:rPr>
            </w:pPr>
            <w:r w:rsidRPr="004848C7">
              <w:rPr>
                <w:rFonts w:eastAsia="Times New Roman"/>
                <w:color w:val="000000"/>
                <w:sz w:val="21"/>
                <w:szCs w:val="21"/>
              </w:rPr>
              <w:t>$0.0</w:t>
            </w:r>
            <w:r w:rsidR="0036110B">
              <w:rPr>
                <w:rFonts w:eastAsia="Times New Roman"/>
                <w:color w:val="000000"/>
                <w:sz w:val="21"/>
                <w:szCs w:val="21"/>
              </w:rPr>
              <w:t>8</w:t>
            </w:r>
          </w:p>
        </w:tc>
        <w:tc>
          <w:tcPr>
            <w:tcW w:w="1078"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1E9B5B7" w14:textId="42E687F2">
            <w:pPr>
              <w:spacing w:after="0"/>
              <w:jc w:val="center"/>
              <w:rPr>
                <w:rFonts w:eastAsia="Times New Roman"/>
                <w:color w:val="000000"/>
                <w:sz w:val="21"/>
                <w:szCs w:val="21"/>
              </w:rPr>
            </w:pPr>
            <w:r w:rsidRPr="004848C7">
              <w:rPr>
                <w:rFonts w:eastAsia="Times New Roman"/>
                <w:color w:val="000000"/>
                <w:sz w:val="21"/>
                <w:szCs w:val="21"/>
              </w:rPr>
              <w:t>$0.00</w:t>
            </w:r>
          </w:p>
        </w:tc>
        <w:tc>
          <w:tcPr>
            <w:tcW w:w="909"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3DECFCC1" w14:textId="20FA204A">
            <w:pPr>
              <w:spacing w:after="0"/>
              <w:jc w:val="center"/>
              <w:rPr>
                <w:rFonts w:eastAsia="Times New Roman"/>
                <w:color w:val="000000"/>
                <w:sz w:val="21"/>
                <w:szCs w:val="21"/>
              </w:rPr>
            </w:pPr>
            <w:r w:rsidRPr="004848C7">
              <w:rPr>
                <w:rFonts w:eastAsia="Times New Roman"/>
                <w:color w:val="000000"/>
                <w:sz w:val="21"/>
                <w:szCs w:val="21"/>
              </w:rPr>
              <w:t>$0.00</w:t>
            </w:r>
          </w:p>
        </w:tc>
        <w:tc>
          <w:tcPr>
            <w:tcW w:w="1263"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7A958B2" w14:textId="36B57466">
            <w:pPr>
              <w:spacing w:after="0"/>
              <w:jc w:val="center"/>
              <w:rPr>
                <w:rFonts w:eastAsia="Times New Roman"/>
                <w:color w:val="000000"/>
                <w:sz w:val="21"/>
                <w:szCs w:val="21"/>
              </w:rPr>
            </w:pPr>
            <w:r w:rsidRPr="004848C7">
              <w:rPr>
                <w:rFonts w:eastAsia="Times New Roman"/>
                <w:color w:val="000000"/>
                <w:sz w:val="21"/>
                <w:szCs w:val="21"/>
              </w:rPr>
              <w:t>$0.00</w:t>
            </w:r>
          </w:p>
        </w:tc>
        <w:tc>
          <w:tcPr>
            <w:tcW w:w="1077"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6BC83AC" w14:textId="6A3F4BC3">
            <w:pPr>
              <w:spacing w:after="0"/>
              <w:jc w:val="center"/>
              <w:rPr>
                <w:rFonts w:eastAsia="Times New Roman"/>
                <w:color w:val="000000"/>
                <w:sz w:val="21"/>
                <w:szCs w:val="21"/>
              </w:rPr>
            </w:pPr>
            <w:r w:rsidRPr="004848C7">
              <w:rPr>
                <w:rFonts w:eastAsia="Times New Roman"/>
                <w:color w:val="000000"/>
                <w:sz w:val="21"/>
                <w:szCs w:val="21"/>
              </w:rPr>
              <w:t>$0.00</w:t>
            </w:r>
          </w:p>
        </w:tc>
        <w:tc>
          <w:tcPr>
            <w:tcW w:w="985" w:type="dxa"/>
            <w:tcBorders>
              <w:top w:val="nil"/>
              <w:left w:val="nil"/>
              <w:bottom w:val="single" w:sz="4" w:space="0" w:color="auto"/>
              <w:right w:val="single" w:sz="4" w:space="0" w:color="auto"/>
            </w:tcBorders>
            <w:shd w:val="clear" w:color="auto" w:fill="auto"/>
            <w:noWrap/>
            <w:vAlign w:val="bottom"/>
            <w:hideMark/>
          </w:tcPr>
          <w:p w:rsidR="00445D5D" w:rsidRPr="004848C7" w:rsidP="00AC2CB0" w14:paraId="4914439D" w14:textId="57E17D67">
            <w:pPr>
              <w:spacing w:after="0"/>
              <w:jc w:val="center"/>
              <w:rPr>
                <w:rFonts w:eastAsia="Times New Roman"/>
                <w:color w:val="000000"/>
                <w:sz w:val="21"/>
                <w:szCs w:val="21"/>
              </w:rPr>
            </w:pPr>
            <w:r w:rsidRPr="004848C7">
              <w:rPr>
                <w:rFonts w:eastAsia="Times New Roman"/>
                <w:color w:val="000000"/>
                <w:sz w:val="21"/>
                <w:szCs w:val="21"/>
              </w:rPr>
              <w:t>$0.0</w:t>
            </w:r>
            <w:r w:rsidR="0036110B">
              <w:rPr>
                <w:rFonts w:eastAsia="Times New Roman"/>
                <w:color w:val="000000"/>
                <w:sz w:val="21"/>
                <w:szCs w:val="21"/>
              </w:rPr>
              <w:t>8</w:t>
            </w:r>
          </w:p>
        </w:tc>
      </w:tr>
    </w:tbl>
    <w:p w:rsidR="007B34B3" w14:paraId="2F287590" w14:textId="4439661C"/>
    <w:p w:rsidR="007567BE" w14:paraId="690F09F9" w14:textId="77777777"/>
    <w:p w:rsidR="00FC72AE" w:rsidP="001C636D" w14:paraId="1B5E7C4D" w14:textId="7D69F97E">
      <w:pPr>
        <w:pStyle w:val="Heading4"/>
      </w:pPr>
      <w:bookmarkStart w:id="57" w:name="_Toc148515720"/>
      <w:r>
        <w:t xml:space="preserve">Flexibility </w:t>
      </w:r>
      <w:r w:rsidR="0078210B">
        <w:t xml:space="preserve">in </w:t>
      </w:r>
      <w:r>
        <w:t>Curbside Filling Written Permission</w:t>
      </w:r>
      <w:bookmarkEnd w:id="57"/>
      <w:r>
        <w:t xml:space="preserve"> </w:t>
      </w:r>
    </w:p>
    <w:p w:rsidR="00FC72AE" w:rsidP="00377F83" w14:paraId="511B4768" w14:textId="359A3BB6">
      <w:pPr>
        <w:ind w:firstLine="720"/>
        <w:rPr>
          <w:rFonts w:eastAsia="Times New Roman"/>
        </w:rPr>
      </w:pPr>
      <w:r>
        <w:t xml:space="preserve">This </w:t>
      </w:r>
      <w:r w:rsidR="00340621">
        <w:t>final</w:t>
      </w:r>
      <w:r>
        <w:t xml:space="preserve"> rule </w:t>
      </w:r>
      <w:r w:rsidR="001940B0">
        <w:t>will</w:t>
      </w:r>
      <w:r>
        <w:t xml:space="preserve"> </w:t>
      </w:r>
      <w:r>
        <w:rPr>
          <w:rFonts w:eastAsia="Times New Roman"/>
        </w:rPr>
        <w:t>allow production and control records at a delivery site to have a quality unit review within one business day</w:t>
      </w:r>
      <w:r w:rsidR="00F36792">
        <w:rPr>
          <w:rFonts w:eastAsia="Times New Roman"/>
        </w:rPr>
        <w:t xml:space="preserve"> of </w:t>
      </w:r>
      <w:r w:rsidR="0005720D">
        <w:rPr>
          <w:rFonts w:eastAsia="Times New Roman"/>
        </w:rPr>
        <w:t xml:space="preserve">transfer </w:t>
      </w:r>
      <w:r w:rsidR="004E08D3">
        <w:rPr>
          <w:rFonts w:eastAsia="Times New Roman"/>
        </w:rPr>
        <w:t xml:space="preserve">of a </w:t>
      </w:r>
      <w:r w:rsidR="006B3541">
        <w:rPr>
          <w:rFonts w:eastAsia="Times New Roman"/>
        </w:rPr>
        <w:t>medical gas</w:t>
      </w:r>
      <w:r w:rsidR="004E08D3">
        <w:rPr>
          <w:rFonts w:eastAsia="Times New Roman"/>
        </w:rPr>
        <w:t xml:space="preserve"> </w:t>
      </w:r>
      <w:r w:rsidR="0005720D">
        <w:rPr>
          <w:rFonts w:eastAsia="Times New Roman"/>
        </w:rPr>
        <w:t>from one container to another</w:t>
      </w:r>
      <w:r w:rsidR="007419A9">
        <w:rPr>
          <w:rFonts w:eastAsia="Times New Roman"/>
        </w:rPr>
        <w:t>.</w:t>
      </w:r>
      <w:r>
        <w:rPr>
          <w:rFonts w:eastAsia="Times New Roman"/>
        </w:rPr>
        <w:t xml:space="preserve"> Current</w:t>
      </w:r>
      <w:r w:rsidR="0002306D">
        <w:rPr>
          <w:rFonts w:eastAsia="Times New Roman"/>
        </w:rPr>
        <w:t xml:space="preserve"> regulations require the</w:t>
      </w:r>
      <w:r w:rsidRPr="0049020D" w:rsidR="009E4880">
        <w:rPr>
          <w:rFonts w:eastAsia="Times New Roman"/>
        </w:rPr>
        <w:t xml:space="preserve"> quality unit </w:t>
      </w:r>
      <w:r w:rsidR="0002306D">
        <w:rPr>
          <w:rFonts w:eastAsia="Times New Roman"/>
        </w:rPr>
        <w:t>to</w:t>
      </w:r>
      <w:r w:rsidRPr="0049020D" w:rsidR="0002306D">
        <w:rPr>
          <w:rFonts w:eastAsia="Times New Roman"/>
        </w:rPr>
        <w:t xml:space="preserve"> </w:t>
      </w:r>
      <w:r w:rsidRPr="0049020D" w:rsidR="009E4880">
        <w:rPr>
          <w:rFonts w:eastAsia="Times New Roman"/>
        </w:rPr>
        <w:t xml:space="preserve">review production records </w:t>
      </w:r>
      <w:r w:rsidR="009E4880">
        <w:rPr>
          <w:rFonts w:eastAsia="Times New Roman"/>
        </w:rPr>
        <w:t>for</w:t>
      </w:r>
      <w:r w:rsidRPr="0049020D" w:rsidR="009E4880">
        <w:rPr>
          <w:rFonts w:eastAsia="Times New Roman"/>
        </w:rPr>
        <w:t xml:space="preserve"> errors or unexplained discrepancies prior to batch release.</w:t>
      </w:r>
      <w:r w:rsidR="00332BBA">
        <w:rPr>
          <w:rFonts w:eastAsia="Times New Roman"/>
        </w:rPr>
        <w:t xml:space="preserve"> </w:t>
      </w:r>
      <w:r w:rsidR="00495F09">
        <w:rPr>
          <w:rFonts w:eastAsia="Times New Roman"/>
        </w:rPr>
        <w:t>In practice, t</w:t>
      </w:r>
      <w:r w:rsidR="00332BBA">
        <w:rPr>
          <w:rFonts w:eastAsia="Times New Roman"/>
        </w:rPr>
        <w:t xml:space="preserve">his quality </w:t>
      </w:r>
      <w:r w:rsidR="0002334B">
        <w:rPr>
          <w:rFonts w:eastAsia="Times New Roman"/>
        </w:rPr>
        <w:t>unit</w:t>
      </w:r>
      <w:r w:rsidR="00332BBA">
        <w:rPr>
          <w:rFonts w:eastAsia="Times New Roman"/>
        </w:rPr>
        <w:t xml:space="preserve"> review requires a sign</w:t>
      </w:r>
      <w:r w:rsidR="004736A4">
        <w:rPr>
          <w:rFonts w:eastAsia="Times New Roman"/>
        </w:rPr>
        <w:t>-</w:t>
      </w:r>
      <w:r w:rsidR="00332BBA">
        <w:rPr>
          <w:rFonts w:eastAsia="Times New Roman"/>
        </w:rPr>
        <w:t>off from the manager.</w:t>
      </w:r>
      <w:r w:rsidR="009E4880">
        <w:rPr>
          <w:rFonts w:eastAsia="Times New Roman"/>
        </w:rPr>
        <w:t xml:space="preserve"> This requirement </w:t>
      </w:r>
      <w:r w:rsidR="001940B0">
        <w:rPr>
          <w:rFonts w:eastAsia="Times New Roman"/>
        </w:rPr>
        <w:t>will</w:t>
      </w:r>
      <w:r w:rsidR="0031116E">
        <w:rPr>
          <w:rFonts w:eastAsia="Times New Roman"/>
        </w:rPr>
        <w:t xml:space="preserve"> </w:t>
      </w:r>
      <w:r w:rsidR="009E4880">
        <w:rPr>
          <w:rFonts w:eastAsia="Times New Roman"/>
        </w:rPr>
        <w:t>allow the quality unit review to occur within one day of a transfer from one container to another (this is sometimes referred to</w:t>
      </w:r>
      <w:r w:rsidR="00332BBA">
        <w:rPr>
          <w:rFonts w:eastAsia="Times New Roman"/>
        </w:rPr>
        <w:t xml:space="preserve"> as</w:t>
      </w:r>
      <w:r w:rsidR="009E4880">
        <w:rPr>
          <w:rFonts w:eastAsia="Times New Roman"/>
        </w:rPr>
        <w:t xml:space="preserve"> “transfilling” or “curbside filling”) instead of needing prior approval. </w:t>
      </w:r>
    </w:p>
    <w:p w:rsidR="009E4880" w:rsidP="004B2F48" w14:paraId="14E82282" w14:textId="6BD5B755">
      <w:pPr>
        <w:rPr>
          <w:rFonts w:eastAsia="Times New Roman"/>
        </w:rPr>
      </w:pPr>
      <w:r>
        <w:rPr>
          <w:rFonts w:eastAsia="Times New Roman"/>
        </w:rPr>
        <w:tab/>
      </w:r>
      <w:r w:rsidR="00495F09">
        <w:rPr>
          <w:rFonts w:eastAsia="Times New Roman"/>
        </w:rPr>
        <w:t xml:space="preserve">We believe that allowing </w:t>
      </w:r>
      <w:r w:rsidR="000C5498">
        <w:rPr>
          <w:rFonts w:eastAsia="Times New Roman"/>
        </w:rPr>
        <w:t xml:space="preserve">quality unit </w:t>
      </w:r>
      <w:r w:rsidR="00495F09">
        <w:rPr>
          <w:rFonts w:eastAsia="Times New Roman"/>
        </w:rPr>
        <w:t>managers to sign</w:t>
      </w:r>
      <w:r w:rsidR="00F40233">
        <w:rPr>
          <w:rFonts w:eastAsia="Times New Roman"/>
        </w:rPr>
        <w:t xml:space="preserve"> </w:t>
      </w:r>
      <w:r w:rsidR="00495F09">
        <w:rPr>
          <w:rFonts w:eastAsia="Times New Roman"/>
        </w:rPr>
        <w:t xml:space="preserve">off on all curbside filling within one day of the filling </w:t>
      </w:r>
      <w:r w:rsidR="001940B0">
        <w:rPr>
          <w:rFonts w:eastAsia="Times New Roman"/>
        </w:rPr>
        <w:t>will</w:t>
      </w:r>
      <w:r w:rsidR="00495F09">
        <w:rPr>
          <w:rFonts w:eastAsia="Times New Roman"/>
        </w:rPr>
        <w:t xml:space="preserve"> save time for </w:t>
      </w:r>
      <w:r w:rsidR="000C5498">
        <w:rPr>
          <w:rFonts w:eastAsia="Times New Roman"/>
        </w:rPr>
        <w:t xml:space="preserve">both </w:t>
      </w:r>
      <w:r w:rsidR="00495F09">
        <w:rPr>
          <w:rFonts w:eastAsia="Times New Roman"/>
        </w:rPr>
        <w:t xml:space="preserve">the </w:t>
      </w:r>
      <w:r w:rsidR="000C5498">
        <w:rPr>
          <w:rFonts w:eastAsia="Times New Roman"/>
        </w:rPr>
        <w:t>quality unit and the delivery technician</w:t>
      </w:r>
      <w:r w:rsidR="00495F09">
        <w:rPr>
          <w:rFonts w:eastAsia="Times New Roman"/>
        </w:rPr>
        <w:t xml:space="preserve"> relative to sign</w:t>
      </w:r>
      <w:r w:rsidR="004736A4">
        <w:rPr>
          <w:rFonts w:eastAsia="Times New Roman"/>
        </w:rPr>
        <w:t>-</w:t>
      </w:r>
      <w:r w:rsidR="00495F09">
        <w:rPr>
          <w:rFonts w:eastAsia="Times New Roman"/>
        </w:rPr>
        <w:t>off through multiple phone calls thro</w:t>
      </w:r>
      <w:r w:rsidR="0031116E">
        <w:rPr>
          <w:rFonts w:eastAsia="Times New Roman"/>
        </w:rPr>
        <w:t>u</w:t>
      </w:r>
      <w:r w:rsidR="00495F09">
        <w:rPr>
          <w:rFonts w:eastAsia="Times New Roman"/>
        </w:rPr>
        <w:t xml:space="preserve">ghout the day. </w:t>
      </w:r>
      <w:r w:rsidR="0031116E">
        <w:rPr>
          <w:rFonts w:eastAsia="Times New Roman"/>
        </w:rPr>
        <w:t xml:space="preserve">We estimate that this requirement </w:t>
      </w:r>
      <w:r w:rsidR="0056548F">
        <w:rPr>
          <w:rFonts w:eastAsia="Times New Roman"/>
        </w:rPr>
        <w:t xml:space="preserve">may </w:t>
      </w:r>
      <w:r w:rsidR="0031116E">
        <w:rPr>
          <w:rFonts w:eastAsia="Times New Roman"/>
        </w:rPr>
        <w:t xml:space="preserve">save </w:t>
      </w:r>
      <w:r w:rsidR="007729A5">
        <w:rPr>
          <w:rFonts w:eastAsia="Times New Roman"/>
        </w:rPr>
        <w:t xml:space="preserve">first-line supervisors and </w:t>
      </w:r>
      <w:r w:rsidR="007B12D8">
        <w:rPr>
          <w:rFonts w:eastAsia="Times New Roman"/>
        </w:rPr>
        <w:t>H</w:t>
      </w:r>
      <w:r w:rsidR="007729A5">
        <w:rPr>
          <w:rFonts w:eastAsia="Times New Roman"/>
        </w:rPr>
        <w:t>elpers each</w:t>
      </w:r>
      <w:r w:rsidR="0031116E">
        <w:rPr>
          <w:rFonts w:eastAsia="Times New Roman"/>
        </w:rPr>
        <w:t xml:space="preserve"> 0 minutes to 30 minutes per week for annual time savings of 0 hours to 26 hours. We believe that it is likely that many firms are noncompliant with the current requirement. We estimate only 0 percent to 10 percent of firms are currently receiving prior approval for curbside filling. </w:t>
      </w:r>
    </w:p>
    <w:p w:rsidR="0031116E" w:rsidP="004B2F48" w14:paraId="08CA26A0" w14:textId="10C933EC">
      <w:pPr>
        <w:rPr>
          <w:rFonts w:eastAsia="Times New Roman"/>
        </w:rPr>
      </w:pPr>
      <w:r>
        <w:rPr>
          <w:rFonts w:eastAsia="Times New Roman"/>
        </w:rPr>
        <w:tab/>
      </w:r>
      <w:r w:rsidRPr="007716F2" w:rsidR="000010C8">
        <w:rPr>
          <w:rFonts w:eastAsia="Times New Roman"/>
        </w:rPr>
        <w:t xml:space="preserve">We use the </w:t>
      </w:r>
      <w:r w:rsidR="003153D7">
        <w:rPr>
          <w:rFonts w:eastAsia="Times New Roman"/>
        </w:rPr>
        <w:t>2022</w:t>
      </w:r>
      <w:r w:rsidR="00242455">
        <w:rPr>
          <w:rFonts w:eastAsia="Times New Roman"/>
        </w:rPr>
        <w:t xml:space="preserve"> wage</w:t>
      </w:r>
      <w:r w:rsidRPr="007716F2" w:rsidR="000010C8">
        <w:rPr>
          <w:rFonts w:eastAsia="Times New Roman"/>
        </w:rPr>
        <w:t xml:space="preserve"> rate for First-</w:t>
      </w:r>
      <w:r w:rsidRPr="00AA0928" w:rsidR="000010C8">
        <w:rPr>
          <w:rFonts w:eastAsia="Times New Roman"/>
        </w:rPr>
        <w:t xml:space="preserve">line Supervisors of Production and Operating Worker and double it for a </w:t>
      </w:r>
      <w:r w:rsidR="00986206">
        <w:rPr>
          <w:rFonts w:eastAsia="Times New Roman"/>
        </w:rPr>
        <w:t>fully-loaded</w:t>
      </w:r>
      <w:r w:rsidRPr="00AA0928" w:rsidR="000010C8">
        <w:rPr>
          <w:rFonts w:eastAsia="Times New Roman"/>
        </w:rPr>
        <w:t xml:space="preserve"> wage rate of $</w:t>
      </w:r>
      <w:r w:rsidR="00DB569B">
        <w:rPr>
          <w:rFonts w:eastAsia="Times New Roman"/>
        </w:rPr>
        <w:t>75.44</w:t>
      </w:r>
      <w:r w:rsidRPr="00AA0928" w:rsidR="000010C8">
        <w:rPr>
          <w:rFonts w:eastAsia="Times New Roman"/>
        </w:rPr>
        <w:t>.</w:t>
      </w:r>
      <w:r w:rsidR="000010C8">
        <w:rPr>
          <w:rFonts w:eastAsia="Times New Roman"/>
        </w:rPr>
        <w:t xml:space="preserve"> </w:t>
      </w:r>
      <w:r w:rsidR="000010C8">
        <w:t xml:space="preserve">We use the </w:t>
      </w:r>
      <w:r w:rsidR="003153D7">
        <w:t>2022</w:t>
      </w:r>
      <w:r w:rsidR="00242455">
        <w:t xml:space="preserve"> wage</w:t>
      </w:r>
      <w:r w:rsidR="000010C8">
        <w:t xml:space="preserve"> rate for Helpers and double it</w:t>
      </w:r>
      <w:r w:rsidRPr="00311C21" w:rsidR="000010C8">
        <w:t xml:space="preserve"> for a </w:t>
      </w:r>
      <w:r w:rsidR="00986206">
        <w:t>fully-loaded</w:t>
      </w:r>
      <w:r w:rsidRPr="00311C21" w:rsidR="000010C8">
        <w:t xml:space="preserve"> wage rate of $</w:t>
      </w:r>
      <w:r w:rsidR="0036110B">
        <w:t>37.02</w:t>
      </w:r>
      <w:r w:rsidRPr="00311C21" w:rsidR="000010C8">
        <w:t>.</w:t>
      </w:r>
      <w:r w:rsidR="000010C8">
        <w:rPr>
          <w:rFonts w:eastAsia="Times New Roman"/>
        </w:rPr>
        <w:t xml:space="preserve"> </w:t>
      </w:r>
      <w:r w:rsidRPr="00987A52" w:rsidR="005B6EAB">
        <w:rPr>
          <w:rFonts w:eastAsia="Times New Roman"/>
        </w:rPr>
        <w:fldChar w:fldCharType="begin"/>
      </w:r>
      <w:r w:rsidRPr="005B6EAB" w:rsidR="005B6EAB">
        <w:rPr>
          <w:rFonts w:eastAsia="Times New Roman"/>
        </w:rPr>
        <w:instrText xml:space="preserve"> REF _Ref36643836 \h </w:instrText>
      </w:r>
      <w:r w:rsidRPr="00C63D75" w:rsidR="005B6EAB">
        <w:rPr>
          <w:rFonts w:eastAsia="Times New Roman"/>
        </w:rPr>
        <w:instrText xml:space="preserve"> \* MERGEFORMAT </w:instrText>
      </w:r>
      <w:r w:rsidRPr="00987A52" w:rsidR="005B6EAB">
        <w:rPr>
          <w:rFonts w:eastAsia="Times New Roman"/>
        </w:rPr>
        <w:fldChar w:fldCharType="separate"/>
      </w:r>
      <w:r w:rsidRPr="004848C7" w:rsidR="00264BAF">
        <w:t xml:space="preserve">Table </w:t>
      </w:r>
      <w:r w:rsidRPr="004848C7" w:rsidR="00264BAF">
        <w:rPr>
          <w:noProof/>
        </w:rPr>
        <w:t>9</w:t>
      </w:r>
      <w:r w:rsidRPr="00987A52" w:rsidR="005B6EAB">
        <w:rPr>
          <w:rFonts w:eastAsia="Times New Roman"/>
        </w:rPr>
        <w:fldChar w:fldCharType="end"/>
      </w:r>
      <w:r w:rsidRPr="00554C61" w:rsidR="005B6EAB">
        <w:rPr>
          <w:rFonts w:eastAsia="Times New Roman"/>
        </w:rPr>
        <w:t xml:space="preserve"> shows</w:t>
      </w:r>
      <w:r w:rsidR="005B6EAB">
        <w:rPr>
          <w:rFonts w:eastAsia="Times New Roman"/>
        </w:rPr>
        <w:t xml:space="preserve"> the ongoing cost savings of allowing quality unit managers to sign</w:t>
      </w:r>
      <w:r w:rsidR="00F40233">
        <w:rPr>
          <w:rFonts w:eastAsia="Times New Roman"/>
        </w:rPr>
        <w:t xml:space="preserve"> </w:t>
      </w:r>
      <w:r w:rsidR="005B6EAB">
        <w:rPr>
          <w:rFonts w:eastAsia="Times New Roman"/>
        </w:rPr>
        <w:t xml:space="preserve">off on curbside filling within one day of the filling. </w:t>
      </w:r>
      <w:r w:rsidRPr="0031116E">
        <w:rPr>
          <w:rFonts w:eastAsia="Times New Roman"/>
        </w:rPr>
        <w:t xml:space="preserve">The cost </w:t>
      </w:r>
      <w:r>
        <w:rPr>
          <w:rFonts w:eastAsia="Times New Roman"/>
        </w:rPr>
        <w:t xml:space="preserve">savings </w:t>
      </w:r>
      <w:r w:rsidRPr="0031116E">
        <w:rPr>
          <w:rFonts w:eastAsia="Times New Roman"/>
        </w:rPr>
        <w:t xml:space="preserve">of this </w:t>
      </w:r>
      <w:r>
        <w:rPr>
          <w:rFonts w:eastAsia="Times New Roman"/>
        </w:rPr>
        <w:t>added flexibility</w:t>
      </w:r>
      <w:r w:rsidRPr="0031116E">
        <w:rPr>
          <w:rFonts w:eastAsia="Times New Roman"/>
        </w:rPr>
        <w:t xml:space="preserve"> range from $</w:t>
      </w:r>
      <w:r w:rsidR="009C79B2">
        <w:rPr>
          <w:rFonts w:eastAsia="Times New Roman"/>
        </w:rPr>
        <w:t>0.00</w:t>
      </w:r>
      <w:r w:rsidRPr="0031116E">
        <w:rPr>
          <w:rFonts w:eastAsia="Times New Roman"/>
        </w:rPr>
        <w:t xml:space="preserve"> million to $</w:t>
      </w:r>
      <w:r w:rsidR="009C79B2">
        <w:rPr>
          <w:rFonts w:eastAsia="Times New Roman"/>
        </w:rPr>
        <w:t>0.</w:t>
      </w:r>
      <w:r w:rsidR="00B000A0">
        <w:rPr>
          <w:rFonts w:eastAsia="Times New Roman"/>
        </w:rPr>
        <w:t>40</w:t>
      </w:r>
      <w:r w:rsidRPr="0031116E">
        <w:rPr>
          <w:rFonts w:eastAsia="Times New Roman"/>
        </w:rPr>
        <w:t xml:space="preserve"> million with a primary estimate of $</w:t>
      </w:r>
      <w:r w:rsidR="009C79B2">
        <w:rPr>
          <w:rFonts w:eastAsia="Times New Roman"/>
        </w:rPr>
        <w:t>0.</w:t>
      </w:r>
      <w:r w:rsidR="00B000A0">
        <w:rPr>
          <w:rFonts w:eastAsia="Times New Roman"/>
        </w:rPr>
        <w:t>20</w:t>
      </w:r>
      <w:r w:rsidRPr="0031116E">
        <w:rPr>
          <w:rFonts w:eastAsia="Times New Roman"/>
        </w:rPr>
        <w:t xml:space="preserve"> million</w:t>
      </w:r>
      <w:r>
        <w:rPr>
          <w:rFonts w:eastAsia="Times New Roman"/>
        </w:rPr>
        <w:t>.</w:t>
      </w:r>
    </w:p>
    <w:p w:rsidR="0031116E" w:rsidP="004B2F48" w14:paraId="494E7EDC" w14:textId="72BA4C1F">
      <w:pPr>
        <w:rPr>
          <w:rFonts w:eastAsia="Times New Roman"/>
        </w:rPr>
      </w:pPr>
    </w:p>
    <w:p w:rsidR="003134C2" w:rsidP="004848C7" w14:paraId="3206FE5F" w14:textId="77777777">
      <w:pPr>
        <w:rPr>
          <w:b/>
        </w:rPr>
      </w:pPr>
      <w:bookmarkStart w:id="58" w:name="_Ref36643836"/>
      <w:r>
        <w:rPr>
          <w:b/>
        </w:rPr>
        <w:br w:type="page"/>
      </w:r>
    </w:p>
    <w:p w:rsidR="00F541B0" w:rsidRPr="002D3E27" w:rsidP="001C636D" w14:paraId="70073014" w14:textId="030D707F">
      <w:pPr>
        <w:pStyle w:val="Caption"/>
        <w:keepNext/>
        <w:rPr>
          <w:b/>
        </w:rPr>
      </w:pPr>
      <w:bookmarkStart w:id="59" w:name="_Toc147238753"/>
      <w:r w:rsidRPr="002D3E27">
        <w:rPr>
          <w:b/>
        </w:rPr>
        <w:t xml:space="preserve">Table </w:t>
      </w:r>
      <w:r w:rsidRPr="002D3E27">
        <w:rPr>
          <w:b/>
        </w:rPr>
        <w:fldChar w:fldCharType="begin"/>
      </w:r>
      <w:r w:rsidRPr="002D3E27">
        <w:rPr>
          <w:b/>
        </w:rPr>
        <w:instrText xml:space="preserve"> SEQ Table \* ARABIC </w:instrText>
      </w:r>
      <w:r w:rsidRPr="002D3E27">
        <w:rPr>
          <w:b/>
        </w:rPr>
        <w:fldChar w:fldCharType="separate"/>
      </w:r>
      <w:r w:rsidR="00D36765">
        <w:rPr>
          <w:b/>
          <w:noProof/>
        </w:rPr>
        <w:t>9</w:t>
      </w:r>
      <w:r w:rsidRPr="002D3E27">
        <w:rPr>
          <w:b/>
        </w:rPr>
        <w:fldChar w:fldCharType="end"/>
      </w:r>
      <w:bookmarkEnd w:id="58"/>
      <w:r w:rsidRPr="002D3E27">
        <w:rPr>
          <w:b/>
        </w:rPr>
        <w:t xml:space="preserve">. </w:t>
      </w:r>
      <w:r w:rsidRPr="002D3E27">
        <w:rPr>
          <w:rFonts w:eastAsia="Times New Roman"/>
          <w:b/>
        </w:rPr>
        <w:t>Cost Savings from Flexibility in Curbside Filling Written Permission</w:t>
      </w:r>
      <w:bookmarkEnd w:id="59"/>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5"/>
        <w:gridCol w:w="1620"/>
        <w:gridCol w:w="1710"/>
        <w:gridCol w:w="1350"/>
      </w:tblGrid>
      <w:tr w14:paraId="0D05E8E9" w14:textId="77777777" w:rsidTr="00714FC0">
        <w:tblPrEx>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08"/>
        </w:trPr>
        <w:tc>
          <w:tcPr>
            <w:tcW w:w="4665" w:type="dxa"/>
            <w:shd w:val="clear" w:color="auto" w:fill="D9D9D9" w:themeFill="background1" w:themeFillShade="D9"/>
          </w:tcPr>
          <w:p w:rsidR="009978E0" w:rsidRPr="00B15688" w:rsidP="0031116E" w14:paraId="041C3F3A" w14:textId="77777777">
            <w:pPr>
              <w:spacing w:after="0"/>
              <w:jc w:val="center"/>
              <w:rPr>
                <w:rFonts w:eastAsia="Times New Roman"/>
                <w:b/>
                <w:bCs/>
                <w:color w:val="000000"/>
                <w:sz w:val="22"/>
                <w:szCs w:val="22"/>
              </w:rPr>
            </w:pPr>
          </w:p>
        </w:tc>
        <w:tc>
          <w:tcPr>
            <w:tcW w:w="1620" w:type="dxa"/>
            <w:shd w:val="clear" w:color="auto" w:fill="D9D9D9" w:themeFill="background1" w:themeFillShade="D9"/>
            <w:vAlign w:val="center"/>
            <w:hideMark/>
          </w:tcPr>
          <w:p w:rsidR="009978E0" w:rsidRPr="00B15688" w:rsidP="00C346DD" w14:paraId="60B991B0" w14:textId="02380745">
            <w:pPr>
              <w:spacing w:after="0"/>
              <w:jc w:val="center"/>
              <w:rPr>
                <w:rFonts w:eastAsia="Times New Roman"/>
                <w:b/>
                <w:bCs/>
                <w:color w:val="000000"/>
                <w:sz w:val="22"/>
                <w:szCs w:val="22"/>
              </w:rPr>
            </w:pPr>
            <w:r w:rsidRPr="00B15688">
              <w:rPr>
                <w:rFonts w:eastAsia="Times New Roman"/>
                <w:b/>
                <w:bCs/>
                <w:color w:val="000000"/>
                <w:sz w:val="22"/>
                <w:szCs w:val="22"/>
              </w:rPr>
              <w:t>Downstream Persons and Entities</w:t>
            </w:r>
            <w:r w:rsidRPr="00B15688" w:rsidR="00430B7E">
              <w:rPr>
                <w:rFonts w:eastAsia="Times New Roman"/>
                <w:b/>
                <w:bCs/>
                <w:color w:val="000000"/>
                <w:sz w:val="22"/>
                <w:szCs w:val="22"/>
              </w:rPr>
              <w:t xml:space="preserve"> </w:t>
            </w:r>
            <w:r w:rsidRPr="00B15688">
              <w:rPr>
                <w:rFonts w:eastAsia="Times New Roman"/>
                <w:b/>
                <w:bCs/>
                <w:color w:val="000000"/>
                <w:sz w:val="22"/>
                <w:szCs w:val="22"/>
              </w:rPr>
              <w:t>Not Engaged in Homecare</w:t>
            </w:r>
          </w:p>
        </w:tc>
        <w:tc>
          <w:tcPr>
            <w:tcW w:w="1710" w:type="dxa"/>
            <w:shd w:val="clear" w:color="auto" w:fill="D9D9D9" w:themeFill="background1" w:themeFillShade="D9"/>
          </w:tcPr>
          <w:p w:rsidR="009978E0" w:rsidRPr="00B15688" w:rsidP="00C346DD" w14:paraId="52741E26" w14:textId="347D8C24">
            <w:pPr>
              <w:spacing w:after="0"/>
              <w:jc w:val="center"/>
              <w:rPr>
                <w:rFonts w:eastAsia="Times New Roman"/>
                <w:b/>
                <w:bCs/>
                <w:color w:val="000000"/>
                <w:sz w:val="22"/>
                <w:szCs w:val="22"/>
              </w:rPr>
            </w:pPr>
            <w:r w:rsidRPr="00B15688">
              <w:rPr>
                <w:rFonts w:eastAsia="Times New Roman"/>
                <w:b/>
                <w:bCs/>
                <w:color w:val="000000"/>
                <w:sz w:val="22"/>
                <w:szCs w:val="22"/>
              </w:rPr>
              <w:t>Downstream Persons and Entities Engaged in Homecare</w:t>
            </w:r>
          </w:p>
        </w:tc>
        <w:tc>
          <w:tcPr>
            <w:tcW w:w="1350" w:type="dxa"/>
            <w:shd w:val="clear" w:color="auto" w:fill="D9D9D9" w:themeFill="background1" w:themeFillShade="D9"/>
            <w:vAlign w:val="center"/>
            <w:hideMark/>
          </w:tcPr>
          <w:p w:rsidR="009978E0" w:rsidRPr="00B15688" w:rsidP="00C346DD" w14:paraId="4A16F550" w14:textId="7BA1CBE9">
            <w:pPr>
              <w:spacing w:after="0"/>
              <w:jc w:val="center"/>
              <w:rPr>
                <w:rFonts w:eastAsia="Times New Roman"/>
                <w:b/>
                <w:bCs/>
                <w:color w:val="000000"/>
                <w:sz w:val="22"/>
                <w:szCs w:val="22"/>
              </w:rPr>
            </w:pPr>
            <w:r w:rsidRPr="00B15688">
              <w:rPr>
                <w:rFonts w:eastAsia="Times New Roman"/>
                <w:b/>
                <w:bCs/>
                <w:color w:val="000000"/>
                <w:sz w:val="22"/>
                <w:szCs w:val="22"/>
              </w:rPr>
              <w:t>Total</w:t>
            </w:r>
          </w:p>
        </w:tc>
      </w:tr>
      <w:tr w14:paraId="36060E3A"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653A2ADA" w14:textId="632E5F51">
            <w:pPr>
              <w:spacing w:after="0"/>
              <w:rPr>
                <w:rFonts w:eastAsia="Times New Roman"/>
                <w:color w:val="000000"/>
                <w:sz w:val="22"/>
                <w:szCs w:val="22"/>
              </w:rPr>
            </w:pPr>
            <w:r w:rsidRPr="00B15688">
              <w:rPr>
                <w:rFonts w:eastAsia="Times New Roman"/>
                <w:color w:val="000000"/>
                <w:sz w:val="22"/>
                <w:szCs w:val="22"/>
              </w:rPr>
              <w:t xml:space="preserve">Affected </w:t>
            </w:r>
            <w:r w:rsidRPr="00B15688" w:rsidR="00B420B5">
              <w:rPr>
                <w:rFonts w:eastAsia="Times New Roman"/>
                <w:color w:val="000000"/>
                <w:sz w:val="22"/>
                <w:szCs w:val="22"/>
              </w:rPr>
              <w:t>e</w:t>
            </w:r>
            <w:r w:rsidRPr="00B15688">
              <w:rPr>
                <w:rFonts w:eastAsia="Times New Roman"/>
                <w:color w:val="000000"/>
                <w:sz w:val="22"/>
                <w:szCs w:val="22"/>
              </w:rPr>
              <w:t>ntities</w:t>
            </w:r>
          </w:p>
        </w:tc>
        <w:tc>
          <w:tcPr>
            <w:tcW w:w="1620" w:type="dxa"/>
            <w:shd w:val="clear" w:color="auto" w:fill="auto"/>
            <w:vAlign w:val="center"/>
            <w:hideMark/>
          </w:tcPr>
          <w:p w:rsidR="009C79B2" w:rsidRPr="00B15688" w:rsidP="00AC2CB0" w14:paraId="4D01EE9A" w14:textId="7F462016">
            <w:pPr>
              <w:spacing w:after="0"/>
              <w:jc w:val="center"/>
              <w:rPr>
                <w:rFonts w:eastAsia="Times New Roman"/>
                <w:color w:val="000000"/>
                <w:sz w:val="22"/>
                <w:szCs w:val="22"/>
              </w:rPr>
            </w:pPr>
            <w:r w:rsidRPr="00B15688">
              <w:rPr>
                <w:rFonts w:eastAsia="Times New Roman"/>
                <w:color w:val="000000"/>
                <w:sz w:val="22"/>
                <w:szCs w:val="22"/>
              </w:rPr>
              <w:t>1</w:t>
            </w:r>
            <w:r w:rsidRPr="00B15688" w:rsidR="002F3E5A">
              <w:rPr>
                <w:rFonts w:eastAsia="Times New Roman"/>
                <w:color w:val="000000"/>
                <w:sz w:val="22"/>
                <w:szCs w:val="22"/>
              </w:rPr>
              <w:t>,</w:t>
            </w:r>
            <w:r w:rsidRPr="00B15688">
              <w:rPr>
                <w:rFonts w:eastAsia="Times New Roman"/>
                <w:color w:val="000000"/>
                <w:sz w:val="22"/>
                <w:szCs w:val="22"/>
              </w:rPr>
              <w:t>078</w:t>
            </w:r>
          </w:p>
        </w:tc>
        <w:tc>
          <w:tcPr>
            <w:tcW w:w="1710" w:type="dxa"/>
            <w:shd w:val="clear" w:color="auto" w:fill="auto"/>
            <w:vAlign w:val="center"/>
            <w:hideMark/>
          </w:tcPr>
          <w:p w:rsidR="009C79B2" w:rsidRPr="00B15688" w:rsidP="00AC2CB0" w14:paraId="0F2120D1" w14:textId="1A1B8F67">
            <w:pPr>
              <w:spacing w:after="0"/>
              <w:jc w:val="center"/>
              <w:rPr>
                <w:rFonts w:eastAsia="Times New Roman"/>
                <w:color w:val="000000"/>
                <w:sz w:val="22"/>
                <w:szCs w:val="22"/>
              </w:rPr>
            </w:pPr>
            <w:r w:rsidRPr="00B15688">
              <w:rPr>
                <w:rFonts w:eastAsia="Times New Roman"/>
                <w:color w:val="000000"/>
                <w:sz w:val="22"/>
                <w:szCs w:val="22"/>
              </w:rPr>
              <w:t>302</w:t>
            </w:r>
          </w:p>
        </w:tc>
        <w:tc>
          <w:tcPr>
            <w:tcW w:w="1350" w:type="dxa"/>
            <w:shd w:val="clear" w:color="auto" w:fill="auto"/>
            <w:vAlign w:val="center"/>
            <w:hideMark/>
          </w:tcPr>
          <w:p w:rsidR="009C79B2" w:rsidRPr="00B15688" w:rsidP="00AC2CB0" w14:paraId="6E0E4F53" w14:textId="4049F1F7">
            <w:pPr>
              <w:spacing w:after="0"/>
              <w:jc w:val="center"/>
              <w:rPr>
                <w:rFonts w:eastAsia="Times New Roman"/>
                <w:color w:val="000000"/>
                <w:sz w:val="22"/>
                <w:szCs w:val="22"/>
              </w:rPr>
            </w:pPr>
            <w:r w:rsidRPr="00B15688">
              <w:rPr>
                <w:rFonts w:eastAsia="Times New Roman"/>
                <w:color w:val="000000"/>
                <w:sz w:val="22"/>
                <w:szCs w:val="22"/>
              </w:rPr>
              <w:t>1</w:t>
            </w:r>
            <w:r w:rsidRPr="00B15688" w:rsidR="002F3E5A">
              <w:rPr>
                <w:rFonts w:eastAsia="Times New Roman"/>
                <w:color w:val="000000"/>
                <w:sz w:val="22"/>
                <w:szCs w:val="22"/>
              </w:rPr>
              <w:t>,</w:t>
            </w:r>
            <w:r w:rsidRPr="00B15688">
              <w:rPr>
                <w:rFonts w:eastAsia="Times New Roman"/>
                <w:color w:val="000000"/>
                <w:sz w:val="22"/>
                <w:szCs w:val="22"/>
              </w:rPr>
              <w:t>380</w:t>
            </w:r>
          </w:p>
        </w:tc>
      </w:tr>
      <w:tr w14:paraId="5E3EF2F6"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215C9047" w14:textId="3443E15A">
            <w:pPr>
              <w:spacing w:after="0"/>
              <w:rPr>
                <w:rFonts w:eastAsia="Times New Roman"/>
                <w:color w:val="000000"/>
                <w:sz w:val="22"/>
                <w:szCs w:val="22"/>
              </w:rPr>
            </w:pPr>
            <w:r w:rsidRPr="00B15688">
              <w:rPr>
                <w:rFonts w:eastAsia="Times New Roman"/>
                <w:color w:val="000000"/>
                <w:sz w:val="22"/>
                <w:szCs w:val="22"/>
              </w:rPr>
              <w:t>Compliance (low)</w:t>
            </w:r>
          </w:p>
        </w:tc>
        <w:tc>
          <w:tcPr>
            <w:tcW w:w="1620" w:type="dxa"/>
            <w:shd w:val="clear" w:color="auto" w:fill="auto"/>
            <w:vAlign w:val="center"/>
            <w:hideMark/>
          </w:tcPr>
          <w:p w:rsidR="009C79B2" w:rsidRPr="00B15688" w:rsidP="00AC2CB0" w14:paraId="0A8FDB37" w14:textId="5F303F59">
            <w:pPr>
              <w:spacing w:after="0"/>
              <w:jc w:val="center"/>
              <w:rPr>
                <w:rFonts w:eastAsia="Times New Roman"/>
                <w:color w:val="000000"/>
                <w:sz w:val="22"/>
                <w:szCs w:val="22"/>
              </w:rPr>
            </w:pPr>
            <w:r w:rsidRPr="00B15688">
              <w:rPr>
                <w:rFonts w:eastAsia="Times New Roman"/>
                <w:color w:val="000000"/>
                <w:sz w:val="22"/>
                <w:szCs w:val="22"/>
              </w:rPr>
              <w:t>0%</w:t>
            </w:r>
          </w:p>
        </w:tc>
        <w:tc>
          <w:tcPr>
            <w:tcW w:w="1710" w:type="dxa"/>
            <w:shd w:val="clear" w:color="auto" w:fill="auto"/>
            <w:vAlign w:val="center"/>
            <w:hideMark/>
          </w:tcPr>
          <w:p w:rsidR="009C79B2" w:rsidRPr="00B15688" w:rsidP="00AC2CB0" w14:paraId="3CF6BCEA" w14:textId="36E9C4D1">
            <w:pPr>
              <w:spacing w:after="0"/>
              <w:jc w:val="center"/>
              <w:rPr>
                <w:rFonts w:eastAsia="Times New Roman"/>
                <w:color w:val="000000"/>
                <w:sz w:val="22"/>
                <w:szCs w:val="22"/>
              </w:rPr>
            </w:pPr>
            <w:r w:rsidRPr="00B15688">
              <w:rPr>
                <w:rFonts w:eastAsia="Times New Roman"/>
                <w:color w:val="000000"/>
                <w:sz w:val="22"/>
                <w:szCs w:val="22"/>
              </w:rPr>
              <w:t>0%</w:t>
            </w:r>
          </w:p>
        </w:tc>
        <w:tc>
          <w:tcPr>
            <w:tcW w:w="1350" w:type="dxa"/>
            <w:shd w:val="clear" w:color="auto" w:fill="auto"/>
            <w:vAlign w:val="center"/>
            <w:hideMark/>
          </w:tcPr>
          <w:p w:rsidR="009C79B2" w:rsidRPr="00B15688" w:rsidP="00AC2CB0" w14:paraId="541FAD0F" w14:textId="75613032">
            <w:pPr>
              <w:spacing w:after="0"/>
              <w:jc w:val="center"/>
              <w:rPr>
                <w:rFonts w:eastAsia="Times New Roman"/>
                <w:color w:val="000000"/>
                <w:sz w:val="22"/>
                <w:szCs w:val="22"/>
              </w:rPr>
            </w:pPr>
            <w:r w:rsidRPr="00B15688">
              <w:rPr>
                <w:rFonts w:eastAsia="Times New Roman"/>
                <w:color w:val="000000"/>
                <w:sz w:val="22"/>
                <w:szCs w:val="22"/>
              </w:rPr>
              <w:t>0%</w:t>
            </w:r>
          </w:p>
        </w:tc>
      </w:tr>
      <w:tr w14:paraId="5B0F14E2"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2FFBB164" w14:textId="33339E2C">
            <w:pPr>
              <w:spacing w:after="0"/>
              <w:rPr>
                <w:rFonts w:eastAsia="Times New Roman"/>
                <w:color w:val="000000"/>
                <w:sz w:val="22"/>
                <w:szCs w:val="22"/>
              </w:rPr>
            </w:pPr>
            <w:r w:rsidRPr="00B15688">
              <w:rPr>
                <w:rFonts w:eastAsia="Times New Roman"/>
                <w:color w:val="000000"/>
                <w:sz w:val="22"/>
                <w:szCs w:val="22"/>
              </w:rPr>
              <w:t>Compliance (high)</w:t>
            </w:r>
          </w:p>
        </w:tc>
        <w:tc>
          <w:tcPr>
            <w:tcW w:w="1620" w:type="dxa"/>
            <w:shd w:val="clear" w:color="auto" w:fill="auto"/>
            <w:vAlign w:val="center"/>
            <w:hideMark/>
          </w:tcPr>
          <w:p w:rsidR="009C79B2" w:rsidRPr="00B15688" w:rsidP="00AC2CB0" w14:paraId="7F1B756E" w14:textId="05C224BC">
            <w:pPr>
              <w:spacing w:after="0"/>
              <w:jc w:val="center"/>
              <w:rPr>
                <w:rFonts w:eastAsia="Times New Roman"/>
                <w:color w:val="000000"/>
                <w:sz w:val="22"/>
                <w:szCs w:val="22"/>
              </w:rPr>
            </w:pPr>
            <w:r w:rsidRPr="00B15688">
              <w:rPr>
                <w:rFonts w:eastAsia="Times New Roman"/>
                <w:color w:val="000000"/>
                <w:sz w:val="22"/>
                <w:szCs w:val="22"/>
              </w:rPr>
              <w:t>10%</w:t>
            </w:r>
          </w:p>
        </w:tc>
        <w:tc>
          <w:tcPr>
            <w:tcW w:w="1710" w:type="dxa"/>
            <w:shd w:val="clear" w:color="auto" w:fill="auto"/>
            <w:vAlign w:val="center"/>
            <w:hideMark/>
          </w:tcPr>
          <w:p w:rsidR="009C79B2" w:rsidRPr="00B15688" w:rsidP="00AC2CB0" w14:paraId="246ED7A8" w14:textId="3D4E4510">
            <w:pPr>
              <w:spacing w:after="0"/>
              <w:jc w:val="center"/>
              <w:rPr>
                <w:rFonts w:eastAsia="Times New Roman"/>
                <w:color w:val="000000"/>
                <w:sz w:val="22"/>
                <w:szCs w:val="22"/>
              </w:rPr>
            </w:pPr>
            <w:r w:rsidRPr="00B15688">
              <w:rPr>
                <w:rFonts w:eastAsia="Times New Roman"/>
                <w:color w:val="000000"/>
                <w:sz w:val="22"/>
                <w:szCs w:val="22"/>
              </w:rPr>
              <w:t>10%</w:t>
            </w:r>
          </w:p>
        </w:tc>
        <w:tc>
          <w:tcPr>
            <w:tcW w:w="1350" w:type="dxa"/>
            <w:shd w:val="clear" w:color="auto" w:fill="auto"/>
            <w:vAlign w:val="center"/>
            <w:hideMark/>
          </w:tcPr>
          <w:p w:rsidR="009C79B2" w:rsidRPr="00B15688" w:rsidP="00AC2CB0" w14:paraId="6DCFE19C" w14:textId="19270B93">
            <w:pPr>
              <w:spacing w:after="0"/>
              <w:jc w:val="center"/>
              <w:rPr>
                <w:rFonts w:eastAsia="Times New Roman"/>
                <w:color w:val="000000"/>
                <w:sz w:val="22"/>
                <w:szCs w:val="22"/>
              </w:rPr>
            </w:pPr>
            <w:r w:rsidRPr="00B15688">
              <w:rPr>
                <w:rFonts w:eastAsia="Times New Roman"/>
                <w:color w:val="000000"/>
                <w:sz w:val="22"/>
                <w:szCs w:val="22"/>
              </w:rPr>
              <w:t>10%</w:t>
            </w:r>
          </w:p>
        </w:tc>
      </w:tr>
      <w:tr w14:paraId="71FC1833"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6CA0FBA3" w14:textId="2FD6D955">
            <w:pPr>
              <w:spacing w:after="0"/>
              <w:rPr>
                <w:rFonts w:eastAsia="Times New Roman"/>
                <w:color w:val="000000"/>
                <w:sz w:val="22"/>
                <w:szCs w:val="22"/>
              </w:rPr>
            </w:pPr>
            <w:r w:rsidRPr="00B15688">
              <w:rPr>
                <w:rFonts w:eastAsia="Times New Roman"/>
                <w:color w:val="000000"/>
                <w:sz w:val="22"/>
                <w:szCs w:val="22"/>
              </w:rPr>
              <w:t>Time saving</w:t>
            </w:r>
            <w:r w:rsidRPr="00B15688" w:rsidR="00372168">
              <w:rPr>
                <w:rFonts w:eastAsia="Times New Roman"/>
                <w:color w:val="000000"/>
                <w:sz w:val="22"/>
                <w:szCs w:val="22"/>
              </w:rPr>
              <w:t xml:space="preserve"> removing prior approval</w:t>
            </w:r>
            <w:r w:rsidRPr="00B15688">
              <w:rPr>
                <w:rFonts w:eastAsia="Times New Roman"/>
                <w:color w:val="000000"/>
                <w:sz w:val="22"/>
                <w:szCs w:val="22"/>
              </w:rPr>
              <w:t xml:space="preserve"> low (hours)</w:t>
            </w:r>
          </w:p>
        </w:tc>
        <w:tc>
          <w:tcPr>
            <w:tcW w:w="1620" w:type="dxa"/>
            <w:shd w:val="clear" w:color="auto" w:fill="auto"/>
            <w:vAlign w:val="bottom"/>
            <w:hideMark/>
          </w:tcPr>
          <w:p w:rsidR="009C79B2" w:rsidRPr="00B15688" w:rsidP="00AC2CB0" w14:paraId="209DEE51" w14:textId="26BF0B27">
            <w:pPr>
              <w:spacing w:after="0"/>
              <w:jc w:val="center"/>
              <w:rPr>
                <w:rFonts w:eastAsia="Times New Roman"/>
                <w:color w:val="000000"/>
                <w:sz w:val="22"/>
                <w:szCs w:val="22"/>
              </w:rPr>
            </w:pPr>
            <w:r w:rsidRPr="00B15688">
              <w:rPr>
                <w:rFonts w:eastAsia="Times New Roman"/>
                <w:color w:val="000000"/>
                <w:sz w:val="22"/>
                <w:szCs w:val="22"/>
              </w:rPr>
              <w:t>0</w:t>
            </w:r>
          </w:p>
        </w:tc>
        <w:tc>
          <w:tcPr>
            <w:tcW w:w="1710" w:type="dxa"/>
            <w:shd w:val="clear" w:color="auto" w:fill="auto"/>
            <w:vAlign w:val="bottom"/>
            <w:hideMark/>
          </w:tcPr>
          <w:p w:rsidR="009C79B2" w:rsidRPr="00B15688" w:rsidP="00AC2CB0" w14:paraId="16F5DAFF" w14:textId="62A4B3EF">
            <w:pPr>
              <w:spacing w:after="0"/>
              <w:jc w:val="center"/>
              <w:rPr>
                <w:rFonts w:eastAsia="Times New Roman"/>
                <w:color w:val="000000"/>
                <w:sz w:val="22"/>
                <w:szCs w:val="22"/>
              </w:rPr>
            </w:pPr>
            <w:r w:rsidRPr="00B15688">
              <w:rPr>
                <w:rFonts w:eastAsia="Times New Roman"/>
                <w:color w:val="000000"/>
                <w:sz w:val="22"/>
                <w:szCs w:val="22"/>
              </w:rPr>
              <w:t>0</w:t>
            </w:r>
          </w:p>
        </w:tc>
        <w:tc>
          <w:tcPr>
            <w:tcW w:w="1350" w:type="dxa"/>
            <w:shd w:val="clear" w:color="auto" w:fill="auto"/>
            <w:vAlign w:val="bottom"/>
            <w:hideMark/>
          </w:tcPr>
          <w:p w:rsidR="009C79B2" w:rsidRPr="00B15688" w:rsidP="00AC2CB0" w14:paraId="09969C70" w14:textId="4DFA9342">
            <w:pPr>
              <w:spacing w:after="0"/>
              <w:jc w:val="center"/>
              <w:rPr>
                <w:rFonts w:eastAsia="Times New Roman"/>
                <w:color w:val="000000"/>
                <w:sz w:val="22"/>
                <w:szCs w:val="22"/>
              </w:rPr>
            </w:pPr>
            <w:r w:rsidRPr="00B15688">
              <w:rPr>
                <w:rFonts w:eastAsia="Times New Roman"/>
                <w:color w:val="000000"/>
                <w:sz w:val="22"/>
                <w:szCs w:val="22"/>
              </w:rPr>
              <w:t>0</w:t>
            </w:r>
          </w:p>
        </w:tc>
      </w:tr>
      <w:tr w14:paraId="0E77E91F"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6F396079" w14:textId="74DDFC2D">
            <w:pPr>
              <w:spacing w:after="0"/>
              <w:rPr>
                <w:rFonts w:eastAsia="Times New Roman"/>
                <w:color w:val="000000"/>
                <w:sz w:val="22"/>
                <w:szCs w:val="22"/>
              </w:rPr>
            </w:pPr>
            <w:r w:rsidRPr="00B15688">
              <w:rPr>
                <w:rFonts w:eastAsia="Times New Roman"/>
                <w:color w:val="000000"/>
                <w:sz w:val="22"/>
                <w:szCs w:val="22"/>
              </w:rPr>
              <w:t>Time saving</w:t>
            </w:r>
            <w:r w:rsidRPr="00B15688" w:rsidR="00372168">
              <w:rPr>
                <w:rFonts w:eastAsia="Times New Roman"/>
                <w:color w:val="000000"/>
                <w:sz w:val="22"/>
                <w:szCs w:val="22"/>
              </w:rPr>
              <w:t xml:space="preserve"> removing prior approval</w:t>
            </w:r>
            <w:r w:rsidRPr="00B15688">
              <w:rPr>
                <w:rFonts w:eastAsia="Times New Roman"/>
                <w:color w:val="000000"/>
                <w:sz w:val="22"/>
                <w:szCs w:val="22"/>
              </w:rPr>
              <w:t xml:space="preserve"> high (hours)</w:t>
            </w:r>
          </w:p>
        </w:tc>
        <w:tc>
          <w:tcPr>
            <w:tcW w:w="1620" w:type="dxa"/>
            <w:shd w:val="clear" w:color="auto" w:fill="auto"/>
            <w:vAlign w:val="bottom"/>
            <w:hideMark/>
          </w:tcPr>
          <w:p w:rsidR="009C79B2" w:rsidRPr="00B15688" w:rsidP="00AC2CB0" w14:paraId="18101728" w14:textId="32CABBA5">
            <w:pPr>
              <w:spacing w:after="0"/>
              <w:jc w:val="center"/>
              <w:rPr>
                <w:rFonts w:eastAsia="Times New Roman"/>
                <w:color w:val="000000"/>
                <w:sz w:val="22"/>
                <w:szCs w:val="22"/>
              </w:rPr>
            </w:pPr>
            <w:r w:rsidRPr="00B15688">
              <w:rPr>
                <w:rFonts w:eastAsia="Times New Roman"/>
                <w:color w:val="000000"/>
                <w:sz w:val="22"/>
                <w:szCs w:val="22"/>
              </w:rPr>
              <w:t>26</w:t>
            </w:r>
          </w:p>
        </w:tc>
        <w:tc>
          <w:tcPr>
            <w:tcW w:w="1710" w:type="dxa"/>
            <w:shd w:val="clear" w:color="auto" w:fill="auto"/>
            <w:vAlign w:val="bottom"/>
            <w:hideMark/>
          </w:tcPr>
          <w:p w:rsidR="009C79B2" w:rsidRPr="00B15688" w:rsidP="00AC2CB0" w14:paraId="2E00A882" w14:textId="1EADFB05">
            <w:pPr>
              <w:spacing w:after="0"/>
              <w:jc w:val="center"/>
              <w:rPr>
                <w:rFonts w:eastAsia="Times New Roman"/>
                <w:color w:val="000000"/>
                <w:sz w:val="22"/>
                <w:szCs w:val="22"/>
              </w:rPr>
            </w:pPr>
            <w:r w:rsidRPr="00B15688">
              <w:rPr>
                <w:rFonts w:eastAsia="Times New Roman"/>
                <w:color w:val="000000"/>
                <w:sz w:val="22"/>
                <w:szCs w:val="22"/>
              </w:rPr>
              <w:t>26</w:t>
            </w:r>
          </w:p>
        </w:tc>
        <w:tc>
          <w:tcPr>
            <w:tcW w:w="1350" w:type="dxa"/>
            <w:shd w:val="clear" w:color="auto" w:fill="auto"/>
            <w:vAlign w:val="bottom"/>
            <w:hideMark/>
          </w:tcPr>
          <w:p w:rsidR="009C79B2" w:rsidRPr="00B15688" w:rsidP="00AC2CB0" w14:paraId="1BD3267A" w14:textId="3D6B981B">
            <w:pPr>
              <w:spacing w:after="0"/>
              <w:jc w:val="center"/>
              <w:rPr>
                <w:rFonts w:eastAsia="Times New Roman"/>
                <w:color w:val="000000"/>
                <w:sz w:val="22"/>
                <w:szCs w:val="22"/>
              </w:rPr>
            </w:pPr>
            <w:r w:rsidRPr="00B15688">
              <w:rPr>
                <w:rFonts w:eastAsia="Times New Roman"/>
                <w:color w:val="000000"/>
                <w:sz w:val="22"/>
                <w:szCs w:val="22"/>
              </w:rPr>
              <w:t>26</w:t>
            </w:r>
          </w:p>
        </w:tc>
      </w:tr>
      <w:tr w14:paraId="32DC689C" w14:textId="77777777" w:rsidTr="00714FC0">
        <w:tblPrEx>
          <w:tblW w:w="9345" w:type="dxa"/>
          <w:tblInd w:w="10" w:type="dxa"/>
          <w:tblLook w:val="04A0"/>
        </w:tblPrEx>
        <w:trPr>
          <w:trHeight w:val="216"/>
        </w:trPr>
        <w:tc>
          <w:tcPr>
            <w:tcW w:w="4665" w:type="dxa"/>
            <w:shd w:val="clear" w:color="auto" w:fill="auto"/>
            <w:vAlign w:val="center"/>
            <w:hideMark/>
          </w:tcPr>
          <w:p w:rsidR="009C79B2" w:rsidRPr="00B15688" w:rsidP="0031116E" w14:paraId="2936F2BA" w14:textId="1A8A2DE1">
            <w:pPr>
              <w:spacing w:after="0"/>
              <w:rPr>
                <w:rFonts w:eastAsia="Times New Roman"/>
                <w:color w:val="000000"/>
                <w:sz w:val="22"/>
                <w:szCs w:val="22"/>
              </w:rPr>
            </w:pPr>
            <w:r w:rsidRPr="00B15688">
              <w:rPr>
                <w:rFonts w:eastAsia="Times New Roman"/>
                <w:color w:val="000000"/>
                <w:sz w:val="22"/>
                <w:szCs w:val="22"/>
              </w:rPr>
              <w:t>Wage rate (</w:t>
            </w:r>
            <w:r w:rsidRPr="00B15688" w:rsidR="000010C8">
              <w:rPr>
                <w:rFonts w:eastAsia="Times New Roman"/>
                <w:color w:val="000000"/>
                <w:sz w:val="22"/>
                <w:szCs w:val="22"/>
              </w:rPr>
              <w:t>first-line supervisor</w:t>
            </w:r>
            <w:r w:rsidRPr="00B15688">
              <w:rPr>
                <w:rFonts w:eastAsia="Times New Roman"/>
                <w:color w:val="000000"/>
                <w:sz w:val="22"/>
                <w:szCs w:val="22"/>
              </w:rPr>
              <w:t xml:space="preserve">) </w:t>
            </w:r>
          </w:p>
        </w:tc>
        <w:tc>
          <w:tcPr>
            <w:tcW w:w="1620" w:type="dxa"/>
            <w:shd w:val="clear" w:color="auto" w:fill="auto"/>
            <w:noWrap/>
            <w:vAlign w:val="bottom"/>
            <w:hideMark/>
          </w:tcPr>
          <w:p w:rsidR="009C79B2" w:rsidRPr="00B15688" w:rsidP="00AC2CB0" w14:paraId="3470CA7C" w14:textId="18242329">
            <w:pPr>
              <w:spacing w:after="0"/>
              <w:jc w:val="center"/>
              <w:rPr>
                <w:rFonts w:eastAsia="Times New Roman"/>
                <w:color w:val="000000"/>
                <w:sz w:val="22"/>
                <w:szCs w:val="22"/>
              </w:rPr>
            </w:pPr>
            <w:r w:rsidRPr="00B15688">
              <w:rPr>
                <w:rFonts w:eastAsia="Times New Roman"/>
                <w:color w:val="000000"/>
                <w:sz w:val="22"/>
                <w:szCs w:val="22"/>
              </w:rPr>
              <w:t>$</w:t>
            </w:r>
            <w:r w:rsidR="00DB569B">
              <w:rPr>
                <w:rFonts w:eastAsia="Times New Roman"/>
                <w:color w:val="000000"/>
                <w:sz w:val="22"/>
                <w:szCs w:val="22"/>
              </w:rPr>
              <w:t>75.44</w:t>
            </w:r>
          </w:p>
        </w:tc>
        <w:tc>
          <w:tcPr>
            <w:tcW w:w="1710" w:type="dxa"/>
            <w:shd w:val="clear" w:color="auto" w:fill="auto"/>
            <w:noWrap/>
            <w:vAlign w:val="bottom"/>
            <w:hideMark/>
          </w:tcPr>
          <w:p w:rsidR="009C79B2" w:rsidRPr="00B15688" w:rsidP="00AC2CB0" w14:paraId="10E872E4" w14:textId="7B45AC2C">
            <w:pPr>
              <w:spacing w:after="0"/>
              <w:jc w:val="center"/>
              <w:rPr>
                <w:rFonts w:eastAsia="Times New Roman"/>
                <w:color w:val="000000"/>
                <w:sz w:val="22"/>
                <w:szCs w:val="22"/>
              </w:rPr>
            </w:pPr>
            <w:r w:rsidRPr="00B15688">
              <w:rPr>
                <w:rFonts w:eastAsia="Times New Roman"/>
                <w:color w:val="000000"/>
                <w:sz w:val="22"/>
                <w:szCs w:val="22"/>
              </w:rPr>
              <w:t>$</w:t>
            </w:r>
            <w:r w:rsidR="00DB569B">
              <w:rPr>
                <w:rFonts w:eastAsia="Times New Roman"/>
                <w:color w:val="000000"/>
                <w:sz w:val="22"/>
                <w:szCs w:val="22"/>
              </w:rPr>
              <w:t>75.44</w:t>
            </w:r>
          </w:p>
        </w:tc>
        <w:tc>
          <w:tcPr>
            <w:tcW w:w="1350" w:type="dxa"/>
            <w:shd w:val="clear" w:color="auto" w:fill="auto"/>
            <w:noWrap/>
            <w:vAlign w:val="bottom"/>
            <w:hideMark/>
          </w:tcPr>
          <w:p w:rsidR="009C79B2" w:rsidRPr="00B15688" w:rsidP="00AC2CB0" w14:paraId="6FAF4AFB" w14:textId="68219F38">
            <w:pPr>
              <w:spacing w:after="0"/>
              <w:jc w:val="center"/>
              <w:rPr>
                <w:rFonts w:eastAsia="Times New Roman"/>
                <w:color w:val="000000"/>
                <w:sz w:val="22"/>
                <w:szCs w:val="22"/>
              </w:rPr>
            </w:pPr>
            <w:r w:rsidRPr="00B15688">
              <w:rPr>
                <w:rFonts w:eastAsia="Times New Roman"/>
                <w:color w:val="000000"/>
                <w:sz w:val="22"/>
                <w:szCs w:val="22"/>
              </w:rPr>
              <w:t>$</w:t>
            </w:r>
            <w:r w:rsidR="00DB569B">
              <w:rPr>
                <w:rFonts w:eastAsia="Times New Roman"/>
                <w:color w:val="000000"/>
                <w:sz w:val="22"/>
                <w:szCs w:val="22"/>
              </w:rPr>
              <w:t>75.44</w:t>
            </w:r>
          </w:p>
        </w:tc>
      </w:tr>
      <w:tr w14:paraId="7AF27FB6" w14:textId="77777777" w:rsidTr="00714FC0">
        <w:tblPrEx>
          <w:tblW w:w="9345" w:type="dxa"/>
          <w:tblInd w:w="10" w:type="dxa"/>
          <w:tblLook w:val="04A0"/>
        </w:tblPrEx>
        <w:trPr>
          <w:trHeight w:val="216"/>
        </w:trPr>
        <w:tc>
          <w:tcPr>
            <w:tcW w:w="4665" w:type="dxa"/>
            <w:shd w:val="clear" w:color="auto" w:fill="auto"/>
            <w:vAlign w:val="center"/>
          </w:tcPr>
          <w:p w:rsidR="000010C8" w:rsidRPr="00B15688" w:rsidP="0031116E" w14:paraId="726BE3D9" w14:textId="13FF7FCD">
            <w:pPr>
              <w:spacing w:after="0"/>
              <w:rPr>
                <w:rFonts w:eastAsia="Times New Roman"/>
                <w:color w:val="000000"/>
                <w:sz w:val="22"/>
                <w:szCs w:val="22"/>
              </w:rPr>
            </w:pPr>
            <w:r w:rsidRPr="00B15688">
              <w:rPr>
                <w:rFonts w:eastAsia="Times New Roman"/>
                <w:color w:val="000000"/>
                <w:sz w:val="22"/>
                <w:szCs w:val="22"/>
              </w:rPr>
              <w:t>Wage-rate (helper)</w:t>
            </w:r>
          </w:p>
        </w:tc>
        <w:tc>
          <w:tcPr>
            <w:tcW w:w="1620" w:type="dxa"/>
            <w:shd w:val="clear" w:color="auto" w:fill="auto"/>
            <w:noWrap/>
            <w:vAlign w:val="bottom"/>
          </w:tcPr>
          <w:p w:rsidR="000010C8" w:rsidRPr="00B15688" w:rsidP="00AC2CB0" w14:paraId="3010F272" w14:textId="6CE611E4">
            <w:pPr>
              <w:spacing w:after="0"/>
              <w:jc w:val="center"/>
              <w:rPr>
                <w:rFonts w:eastAsia="Times New Roman"/>
                <w:color w:val="000000"/>
                <w:sz w:val="22"/>
                <w:szCs w:val="22"/>
              </w:rPr>
            </w:pPr>
            <w:r w:rsidRPr="00B15688">
              <w:rPr>
                <w:rFonts w:eastAsia="Times New Roman"/>
                <w:color w:val="000000"/>
                <w:sz w:val="22"/>
                <w:szCs w:val="22"/>
              </w:rPr>
              <w:t>$</w:t>
            </w:r>
            <w:r w:rsidR="0036110B">
              <w:rPr>
                <w:rFonts w:eastAsia="Times New Roman"/>
                <w:color w:val="000000"/>
                <w:sz w:val="22"/>
                <w:szCs w:val="22"/>
              </w:rPr>
              <w:t>37.02</w:t>
            </w:r>
          </w:p>
        </w:tc>
        <w:tc>
          <w:tcPr>
            <w:tcW w:w="1710" w:type="dxa"/>
            <w:shd w:val="clear" w:color="auto" w:fill="auto"/>
            <w:noWrap/>
            <w:vAlign w:val="bottom"/>
          </w:tcPr>
          <w:p w:rsidR="000010C8" w:rsidRPr="00B15688" w:rsidP="00AC2CB0" w14:paraId="1531C793" w14:textId="51493CE8">
            <w:pPr>
              <w:spacing w:after="0"/>
              <w:jc w:val="center"/>
              <w:rPr>
                <w:rFonts w:eastAsia="Times New Roman"/>
                <w:color w:val="000000"/>
                <w:sz w:val="22"/>
                <w:szCs w:val="22"/>
              </w:rPr>
            </w:pPr>
            <w:r w:rsidRPr="00B15688">
              <w:rPr>
                <w:rFonts w:eastAsia="Times New Roman"/>
                <w:color w:val="000000"/>
                <w:sz w:val="22"/>
                <w:szCs w:val="22"/>
              </w:rPr>
              <w:t>$</w:t>
            </w:r>
            <w:r w:rsidR="0036110B">
              <w:rPr>
                <w:rFonts w:eastAsia="Times New Roman"/>
                <w:color w:val="000000"/>
                <w:sz w:val="22"/>
                <w:szCs w:val="22"/>
              </w:rPr>
              <w:t>37.02</w:t>
            </w:r>
          </w:p>
        </w:tc>
        <w:tc>
          <w:tcPr>
            <w:tcW w:w="1350" w:type="dxa"/>
            <w:shd w:val="clear" w:color="auto" w:fill="auto"/>
            <w:noWrap/>
            <w:vAlign w:val="bottom"/>
          </w:tcPr>
          <w:p w:rsidR="000010C8" w:rsidRPr="00B15688" w:rsidP="00AC2CB0" w14:paraId="31C202CF" w14:textId="01B26B79">
            <w:pPr>
              <w:spacing w:after="0"/>
              <w:jc w:val="center"/>
              <w:rPr>
                <w:rFonts w:eastAsia="Times New Roman"/>
                <w:color w:val="000000"/>
                <w:sz w:val="22"/>
                <w:szCs w:val="22"/>
              </w:rPr>
            </w:pPr>
            <w:r w:rsidRPr="00B15688">
              <w:rPr>
                <w:rFonts w:eastAsia="Times New Roman"/>
                <w:color w:val="000000"/>
                <w:sz w:val="22"/>
                <w:szCs w:val="22"/>
              </w:rPr>
              <w:t>$</w:t>
            </w:r>
            <w:r w:rsidR="0036110B">
              <w:rPr>
                <w:rFonts w:eastAsia="Times New Roman"/>
                <w:color w:val="000000"/>
                <w:sz w:val="22"/>
                <w:szCs w:val="22"/>
              </w:rPr>
              <w:t>37.02</w:t>
            </w:r>
          </w:p>
        </w:tc>
      </w:tr>
      <w:tr w14:paraId="4556E84F" w14:textId="77777777" w:rsidTr="00714FC0">
        <w:tblPrEx>
          <w:tblW w:w="9345" w:type="dxa"/>
          <w:tblInd w:w="10" w:type="dxa"/>
          <w:tblLook w:val="04A0"/>
        </w:tblPrEx>
        <w:trPr>
          <w:trHeight w:val="216"/>
        </w:trPr>
        <w:tc>
          <w:tcPr>
            <w:tcW w:w="4665" w:type="dxa"/>
            <w:shd w:val="clear" w:color="auto" w:fill="D9D9D9" w:themeFill="background1" w:themeFillShade="D9"/>
            <w:vAlign w:val="center"/>
          </w:tcPr>
          <w:p w:rsidR="009C79B2" w:rsidRPr="00B15688" w:rsidP="0031116E" w14:paraId="4CA5F207" w14:textId="3F7AB479">
            <w:pPr>
              <w:spacing w:after="0"/>
              <w:rPr>
                <w:rFonts w:eastAsia="Times New Roman"/>
                <w:b/>
                <w:color w:val="000000"/>
                <w:sz w:val="22"/>
                <w:szCs w:val="22"/>
              </w:rPr>
            </w:pPr>
            <w:r w:rsidRPr="00B15688">
              <w:rPr>
                <w:rFonts w:eastAsia="Times New Roman"/>
                <w:b/>
                <w:color w:val="000000"/>
                <w:sz w:val="22"/>
                <w:szCs w:val="22"/>
              </w:rPr>
              <w:t xml:space="preserve">Ongoing cost savings (millions) </w:t>
            </w:r>
          </w:p>
        </w:tc>
        <w:tc>
          <w:tcPr>
            <w:tcW w:w="1620" w:type="dxa"/>
            <w:shd w:val="clear" w:color="auto" w:fill="D9D9D9" w:themeFill="background1" w:themeFillShade="D9"/>
            <w:noWrap/>
            <w:vAlign w:val="bottom"/>
          </w:tcPr>
          <w:p w:rsidR="009C79B2" w:rsidRPr="00B15688" w:rsidP="00AC2CB0" w14:paraId="67C5B38C" w14:textId="4A9C06CF">
            <w:pPr>
              <w:spacing w:after="0"/>
              <w:jc w:val="center"/>
              <w:rPr>
                <w:rFonts w:eastAsia="Times New Roman"/>
                <w:color w:val="000000"/>
                <w:sz w:val="22"/>
                <w:szCs w:val="22"/>
              </w:rPr>
            </w:pPr>
          </w:p>
        </w:tc>
        <w:tc>
          <w:tcPr>
            <w:tcW w:w="1710" w:type="dxa"/>
            <w:shd w:val="clear" w:color="auto" w:fill="D9D9D9" w:themeFill="background1" w:themeFillShade="D9"/>
            <w:noWrap/>
            <w:vAlign w:val="bottom"/>
          </w:tcPr>
          <w:p w:rsidR="009C79B2" w:rsidRPr="00B15688" w:rsidP="00AC2CB0" w14:paraId="764D950E" w14:textId="3B4469CF">
            <w:pPr>
              <w:spacing w:after="0"/>
              <w:jc w:val="center"/>
              <w:rPr>
                <w:rFonts w:eastAsia="Times New Roman"/>
                <w:color w:val="000000"/>
                <w:sz w:val="22"/>
                <w:szCs w:val="22"/>
              </w:rPr>
            </w:pPr>
          </w:p>
        </w:tc>
        <w:tc>
          <w:tcPr>
            <w:tcW w:w="1350" w:type="dxa"/>
            <w:shd w:val="clear" w:color="auto" w:fill="D9D9D9" w:themeFill="background1" w:themeFillShade="D9"/>
            <w:noWrap/>
            <w:vAlign w:val="bottom"/>
          </w:tcPr>
          <w:p w:rsidR="009C79B2" w:rsidRPr="00B15688" w:rsidP="00AC2CB0" w14:paraId="72F1E7CF" w14:textId="4B5948A3">
            <w:pPr>
              <w:spacing w:after="0"/>
              <w:jc w:val="center"/>
              <w:rPr>
                <w:rFonts w:eastAsia="Times New Roman"/>
                <w:color w:val="000000"/>
                <w:sz w:val="22"/>
                <w:szCs w:val="22"/>
              </w:rPr>
            </w:pPr>
          </w:p>
        </w:tc>
      </w:tr>
      <w:tr w14:paraId="50CFDC2C" w14:textId="77777777" w:rsidTr="00714FC0">
        <w:tblPrEx>
          <w:tblW w:w="9345" w:type="dxa"/>
          <w:tblInd w:w="10" w:type="dxa"/>
          <w:tblLook w:val="04A0"/>
        </w:tblPrEx>
        <w:trPr>
          <w:trHeight w:val="216"/>
        </w:trPr>
        <w:tc>
          <w:tcPr>
            <w:tcW w:w="4665" w:type="dxa"/>
            <w:shd w:val="clear" w:color="auto" w:fill="auto"/>
            <w:vAlign w:val="center"/>
          </w:tcPr>
          <w:p w:rsidR="009C79B2" w:rsidRPr="00B15688" w:rsidP="009C79B2" w14:paraId="321B0AAC" w14:textId="1AE98331">
            <w:pPr>
              <w:spacing w:after="0"/>
              <w:rPr>
                <w:rFonts w:eastAsia="Times New Roman"/>
                <w:color w:val="000000"/>
                <w:sz w:val="22"/>
                <w:szCs w:val="22"/>
              </w:rPr>
            </w:pPr>
            <w:r w:rsidRPr="00B15688">
              <w:rPr>
                <w:rFonts w:eastAsia="Times New Roman"/>
                <w:color w:val="000000"/>
                <w:sz w:val="22"/>
                <w:szCs w:val="22"/>
              </w:rPr>
              <w:t>Ongoing cost savings (low)</w:t>
            </w:r>
          </w:p>
        </w:tc>
        <w:tc>
          <w:tcPr>
            <w:tcW w:w="1620" w:type="dxa"/>
            <w:shd w:val="clear" w:color="auto" w:fill="auto"/>
            <w:noWrap/>
            <w:vAlign w:val="bottom"/>
          </w:tcPr>
          <w:p w:rsidR="009C79B2" w:rsidRPr="00B15688" w:rsidP="00AC2CB0" w14:paraId="52C1B75D" w14:textId="0B5ABB28">
            <w:pPr>
              <w:spacing w:after="0"/>
              <w:jc w:val="center"/>
              <w:rPr>
                <w:rFonts w:eastAsia="Times New Roman"/>
                <w:color w:val="000000"/>
                <w:sz w:val="22"/>
                <w:szCs w:val="22"/>
              </w:rPr>
            </w:pPr>
            <w:r w:rsidRPr="00B15688">
              <w:rPr>
                <w:rFonts w:eastAsia="Times New Roman"/>
                <w:color w:val="000000"/>
                <w:sz w:val="22"/>
                <w:szCs w:val="22"/>
              </w:rPr>
              <w:t>$0.00</w:t>
            </w:r>
          </w:p>
        </w:tc>
        <w:tc>
          <w:tcPr>
            <w:tcW w:w="1710" w:type="dxa"/>
            <w:shd w:val="clear" w:color="auto" w:fill="auto"/>
            <w:noWrap/>
            <w:vAlign w:val="bottom"/>
          </w:tcPr>
          <w:p w:rsidR="009C79B2" w:rsidRPr="00B15688" w:rsidP="00AC2CB0" w14:paraId="4841E708" w14:textId="32CAA488">
            <w:pPr>
              <w:spacing w:after="0"/>
              <w:jc w:val="center"/>
              <w:rPr>
                <w:rFonts w:eastAsia="Times New Roman"/>
                <w:color w:val="000000"/>
                <w:sz w:val="22"/>
                <w:szCs w:val="22"/>
              </w:rPr>
            </w:pPr>
            <w:r w:rsidRPr="00B15688">
              <w:rPr>
                <w:rFonts w:eastAsia="Times New Roman"/>
                <w:color w:val="000000"/>
                <w:sz w:val="22"/>
                <w:szCs w:val="22"/>
              </w:rPr>
              <w:t>$0.00</w:t>
            </w:r>
          </w:p>
        </w:tc>
        <w:tc>
          <w:tcPr>
            <w:tcW w:w="1350" w:type="dxa"/>
            <w:shd w:val="clear" w:color="auto" w:fill="auto"/>
            <w:noWrap/>
            <w:vAlign w:val="bottom"/>
          </w:tcPr>
          <w:p w:rsidR="009C79B2" w:rsidRPr="00B15688" w:rsidP="00AC2CB0" w14:paraId="63BC7B37" w14:textId="2316B552">
            <w:pPr>
              <w:spacing w:after="0"/>
              <w:jc w:val="center"/>
              <w:rPr>
                <w:rFonts w:eastAsia="Times New Roman"/>
                <w:color w:val="000000"/>
                <w:sz w:val="22"/>
                <w:szCs w:val="22"/>
              </w:rPr>
            </w:pPr>
            <w:r w:rsidRPr="00B15688">
              <w:rPr>
                <w:rFonts w:eastAsia="Times New Roman"/>
                <w:color w:val="000000"/>
                <w:sz w:val="22"/>
                <w:szCs w:val="22"/>
              </w:rPr>
              <w:t>$0.00</w:t>
            </w:r>
          </w:p>
        </w:tc>
      </w:tr>
      <w:tr w14:paraId="6985CD1F" w14:textId="77777777" w:rsidTr="00714FC0">
        <w:tblPrEx>
          <w:tblW w:w="9345" w:type="dxa"/>
          <w:tblInd w:w="10" w:type="dxa"/>
          <w:tblLook w:val="04A0"/>
        </w:tblPrEx>
        <w:trPr>
          <w:trHeight w:val="216"/>
        </w:trPr>
        <w:tc>
          <w:tcPr>
            <w:tcW w:w="4665" w:type="dxa"/>
            <w:shd w:val="clear" w:color="auto" w:fill="auto"/>
            <w:vAlign w:val="center"/>
          </w:tcPr>
          <w:p w:rsidR="009C79B2" w:rsidRPr="00B15688" w:rsidP="009C79B2" w14:paraId="513E731A" w14:textId="3936E24E">
            <w:pPr>
              <w:spacing w:after="0"/>
              <w:rPr>
                <w:rFonts w:eastAsia="Times New Roman"/>
                <w:color w:val="000000"/>
                <w:sz w:val="22"/>
                <w:szCs w:val="22"/>
              </w:rPr>
            </w:pPr>
            <w:r w:rsidRPr="00B15688">
              <w:rPr>
                <w:rFonts w:eastAsia="Times New Roman"/>
                <w:color w:val="000000"/>
                <w:sz w:val="22"/>
                <w:szCs w:val="22"/>
              </w:rPr>
              <w:t>Ongoing cost savings (high)</w:t>
            </w:r>
          </w:p>
        </w:tc>
        <w:tc>
          <w:tcPr>
            <w:tcW w:w="1620" w:type="dxa"/>
            <w:shd w:val="clear" w:color="auto" w:fill="auto"/>
            <w:noWrap/>
            <w:vAlign w:val="bottom"/>
          </w:tcPr>
          <w:p w:rsidR="009C79B2" w:rsidRPr="00B15688" w:rsidP="00AC2CB0" w14:paraId="0743E250" w14:textId="34D1B69B">
            <w:pPr>
              <w:spacing w:after="0"/>
              <w:jc w:val="center"/>
              <w:rPr>
                <w:rFonts w:eastAsia="Times New Roman"/>
                <w:color w:val="000000"/>
                <w:sz w:val="22"/>
                <w:szCs w:val="22"/>
              </w:rPr>
            </w:pPr>
            <w:r w:rsidRPr="00B15688">
              <w:rPr>
                <w:rFonts w:eastAsia="Times New Roman"/>
                <w:color w:val="000000"/>
                <w:sz w:val="22"/>
                <w:szCs w:val="22"/>
              </w:rPr>
              <w:t>$0.</w:t>
            </w:r>
            <w:r w:rsidR="00B000A0">
              <w:rPr>
                <w:rFonts w:eastAsia="Times New Roman"/>
                <w:color w:val="000000"/>
                <w:sz w:val="22"/>
                <w:szCs w:val="22"/>
              </w:rPr>
              <w:t>32</w:t>
            </w:r>
          </w:p>
        </w:tc>
        <w:tc>
          <w:tcPr>
            <w:tcW w:w="1710" w:type="dxa"/>
            <w:shd w:val="clear" w:color="auto" w:fill="auto"/>
            <w:noWrap/>
            <w:vAlign w:val="bottom"/>
          </w:tcPr>
          <w:p w:rsidR="009C79B2" w:rsidRPr="00B15688" w:rsidP="00AC2CB0" w14:paraId="34C9CDB8" w14:textId="6C57343F">
            <w:pPr>
              <w:spacing w:after="0"/>
              <w:jc w:val="center"/>
              <w:rPr>
                <w:rFonts w:eastAsia="Times New Roman"/>
                <w:color w:val="000000"/>
                <w:sz w:val="22"/>
                <w:szCs w:val="22"/>
              </w:rPr>
            </w:pPr>
            <w:r w:rsidRPr="00B15688">
              <w:rPr>
                <w:rFonts w:eastAsia="Times New Roman"/>
                <w:color w:val="000000"/>
                <w:sz w:val="22"/>
                <w:szCs w:val="22"/>
              </w:rPr>
              <w:t>$0.</w:t>
            </w:r>
            <w:r w:rsidRPr="00B15688" w:rsidR="000010C8">
              <w:rPr>
                <w:rFonts w:eastAsia="Times New Roman"/>
                <w:color w:val="000000"/>
                <w:sz w:val="22"/>
                <w:szCs w:val="22"/>
              </w:rPr>
              <w:t>0</w:t>
            </w:r>
            <w:r w:rsidR="00B000A0">
              <w:rPr>
                <w:rFonts w:eastAsia="Times New Roman"/>
                <w:color w:val="000000"/>
                <w:sz w:val="22"/>
                <w:szCs w:val="22"/>
              </w:rPr>
              <w:t>9</w:t>
            </w:r>
          </w:p>
        </w:tc>
        <w:tc>
          <w:tcPr>
            <w:tcW w:w="1350" w:type="dxa"/>
            <w:shd w:val="clear" w:color="auto" w:fill="auto"/>
            <w:noWrap/>
            <w:vAlign w:val="bottom"/>
          </w:tcPr>
          <w:p w:rsidR="009C79B2" w:rsidRPr="00B15688" w:rsidP="00AC2CB0" w14:paraId="0A6F43B9" w14:textId="687C40DB">
            <w:pPr>
              <w:spacing w:after="0"/>
              <w:jc w:val="center"/>
              <w:rPr>
                <w:rFonts w:eastAsia="Times New Roman"/>
                <w:color w:val="000000"/>
                <w:sz w:val="22"/>
                <w:szCs w:val="22"/>
              </w:rPr>
            </w:pPr>
            <w:r w:rsidRPr="00B15688">
              <w:rPr>
                <w:rFonts w:eastAsia="Times New Roman"/>
                <w:color w:val="000000"/>
                <w:sz w:val="22"/>
                <w:szCs w:val="22"/>
              </w:rPr>
              <w:t>$0.</w:t>
            </w:r>
            <w:r w:rsidR="00B000A0">
              <w:rPr>
                <w:rFonts w:eastAsia="Times New Roman"/>
                <w:color w:val="000000"/>
                <w:sz w:val="22"/>
                <w:szCs w:val="22"/>
              </w:rPr>
              <w:t>40</w:t>
            </w:r>
          </w:p>
        </w:tc>
      </w:tr>
    </w:tbl>
    <w:p w:rsidR="00863DCB" w:rsidP="00863DCB" w14:paraId="510EC2BC" w14:textId="114C42AB"/>
    <w:p w:rsidR="00E76A13" w:rsidP="00863DCB" w14:paraId="0C2FABC0" w14:textId="77777777"/>
    <w:p w:rsidR="00C53B6E" w:rsidP="00C53B6E" w14:paraId="3D6E24BB" w14:textId="1C123265">
      <w:pPr>
        <w:pStyle w:val="Heading3"/>
      </w:pPr>
      <w:bookmarkStart w:id="60" w:name="_Toc148515721"/>
      <w:r>
        <w:t>Summary of Quantitative Cost Savings</w:t>
      </w:r>
      <w:bookmarkEnd w:id="60"/>
      <w:r>
        <w:t xml:space="preserve"> </w:t>
      </w:r>
    </w:p>
    <w:p w:rsidR="00C53B6E" w:rsidP="004B2F48" w14:paraId="0F43F72D" w14:textId="77777777"/>
    <w:p w:rsidR="00863DCB" w:rsidRPr="000B2422" w:rsidP="004B2F48" w14:paraId="4173A0FF" w14:textId="5EEEDD7F">
      <w:pPr>
        <w:ind w:firstLine="720"/>
      </w:pPr>
      <w:r w:rsidRPr="000B2422">
        <w:t xml:space="preserve">The cost savings of this </w:t>
      </w:r>
      <w:r w:rsidR="00340621">
        <w:t>final</w:t>
      </w:r>
      <w:r w:rsidRPr="000B2422">
        <w:t xml:space="preserve"> rule </w:t>
      </w:r>
      <w:r w:rsidR="001940B0">
        <w:t>will</w:t>
      </w:r>
      <w:r w:rsidRPr="000B2422">
        <w:t xml:space="preserve"> be </w:t>
      </w:r>
      <w:r>
        <w:t xml:space="preserve">due to relaxing and removing </w:t>
      </w:r>
      <w:r w:rsidR="006927D3">
        <w:t xml:space="preserve">certain </w:t>
      </w:r>
      <w:r>
        <w:t xml:space="preserve">CGMP requirements for </w:t>
      </w:r>
      <w:r w:rsidR="0024038F">
        <w:t>medical gases</w:t>
      </w:r>
      <w:r>
        <w:t xml:space="preserve">. </w:t>
      </w:r>
      <w:r w:rsidR="00BD5731">
        <w:t>T</w:t>
      </w:r>
      <w:r>
        <w:t xml:space="preserve">he primary cost savings </w:t>
      </w:r>
      <w:r w:rsidR="00BD5731">
        <w:t xml:space="preserve">are </w:t>
      </w:r>
      <w:r w:rsidR="00797C71">
        <w:t xml:space="preserve">from </w:t>
      </w:r>
      <w:r>
        <w:t>streamlining the inspection process</w:t>
      </w:r>
      <w:r w:rsidR="00FD6E28">
        <w:t xml:space="preserve">. </w:t>
      </w:r>
      <w:r w:rsidRPr="007C6BD7" w:rsidR="00E21FD1">
        <w:t>Except for</w:t>
      </w:r>
      <w:r w:rsidRPr="007C6BD7" w:rsidR="007F0554">
        <w:t xml:space="preserve"> </w:t>
      </w:r>
      <w:r w:rsidRPr="007C6BD7" w:rsidR="00FC049B">
        <w:t xml:space="preserve">the provisions </w:t>
      </w:r>
      <w:r w:rsidRPr="007C6BD7" w:rsidR="00EE522F">
        <w:t>that amend</w:t>
      </w:r>
      <w:r w:rsidRPr="007C6BD7" w:rsidR="00FC049B">
        <w:t xml:space="preserve"> 21 CFR </w:t>
      </w:r>
      <w:r w:rsidRPr="007C6BD7" w:rsidR="00007ED5">
        <w:t>p</w:t>
      </w:r>
      <w:r w:rsidRPr="007C6BD7" w:rsidR="00FC049B">
        <w:t xml:space="preserve">art 4, which will go into effect on </w:t>
      </w:r>
      <w:r w:rsidRPr="007C6BD7" w:rsidR="006979CA">
        <w:t>February 2, 2026,</w:t>
      </w:r>
      <w:r>
        <w:rPr>
          <w:rStyle w:val="FootnoteReference"/>
        </w:rPr>
        <w:footnoteReference w:id="12"/>
      </w:r>
      <w:r w:rsidR="006979CA">
        <w:t xml:space="preserve"> t</w:t>
      </w:r>
      <w:r w:rsidR="002D162B">
        <w:t>his</w:t>
      </w:r>
      <w:r w:rsidR="00FC582A">
        <w:t xml:space="preserve"> </w:t>
      </w:r>
      <w:r w:rsidR="002D162B">
        <w:t>rule has a</w:t>
      </w:r>
      <w:r w:rsidR="00F40233">
        <w:t>n</w:t>
      </w:r>
      <w:r w:rsidR="002D162B">
        <w:t xml:space="preserve"> </w:t>
      </w:r>
      <w:r w:rsidR="00DB4BD1">
        <w:t xml:space="preserve">effective </w:t>
      </w:r>
      <w:r w:rsidR="002D162B">
        <w:t xml:space="preserve">date </w:t>
      </w:r>
      <w:r w:rsidR="00207B27">
        <w:t>one and a half</w:t>
      </w:r>
      <w:r w:rsidR="002D162B">
        <w:t xml:space="preserve"> years after publication</w:t>
      </w:r>
      <w:r w:rsidR="00265277">
        <w:t>;</w:t>
      </w:r>
      <w:r w:rsidR="002D162B">
        <w:t xml:space="preserve"> consequently, each </w:t>
      </w:r>
      <w:r w:rsidR="004F5499">
        <w:t>cost savings</w:t>
      </w:r>
      <w:r w:rsidR="002D162B">
        <w:t xml:space="preserve"> has been discounted by </w:t>
      </w:r>
      <w:r w:rsidR="00207B27">
        <w:t>one and a half</w:t>
      </w:r>
      <w:r w:rsidR="002D162B">
        <w:t xml:space="preserve"> years at the corresponding discount rate.</w:t>
      </w:r>
    </w:p>
    <w:p w:rsidR="00863DCB" w:rsidRPr="000B2422" w:rsidP="004B2F48" w14:paraId="0BF41FEC" w14:textId="11D98E06">
      <w:pPr>
        <w:ind w:firstLine="720"/>
      </w:pPr>
      <w:r w:rsidRPr="00797C71">
        <w:t>In</w:t>
      </w:r>
      <w:r w:rsidR="008309D3">
        <w:t xml:space="preserve"> </w:t>
      </w:r>
      <w:r w:rsidRPr="00D70798" w:rsidR="00D70798">
        <w:fldChar w:fldCharType="begin"/>
      </w:r>
      <w:r w:rsidRPr="00D70798" w:rsidR="00D70798">
        <w:instrText xml:space="preserve"> REF _Ref132015720 \h </w:instrText>
      </w:r>
      <w:r w:rsidRPr="004848C7" w:rsidR="00D70798">
        <w:instrText xml:space="preserve"> \* MERGEFORMAT </w:instrText>
      </w:r>
      <w:r w:rsidRPr="00D70798" w:rsidR="00D70798">
        <w:fldChar w:fldCharType="separate"/>
      </w:r>
      <w:r w:rsidRPr="004848C7" w:rsidR="00D70798">
        <w:t xml:space="preserve">Table </w:t>
      </w:r>
      <w:r w:rsidRPr="004848C7" w:rsidR="00D70798">
        <w:rPr>
          <w:noProof/>
        </w:rPr>
        <w:t>10</w:t>
      </w:r>
      <w:r w:rsidRPr="00D70798" w:rsidR="00D70798">
        <w:fldChar w:fldCharType="end"/>
      </w:r>
      <w:r w:rsidRPr="00797C71">
        <w:t>, we estimate the total annualized quantified cost savings of the</w:t>
      </w:r>
      <w:r w:rsidR="00340621">
        <w:t xml:space="preserve"> final</w:t>
      </w:r>
      <w:r w:rsidRPr="00797C71">
        <w:t xml:space="preserve"> rule over a </w:t>
      </w:r>
      <w:r w:rsidR="00C21B7C">
        <w:t>10-year</w:t>
      </w:r>
      <w:r w:rsidRPr="00797C71">
        <w:t xml:space="preserve"> t</w:t>
      </w:r>
      <w:r w:rsidR="00C53B6E">
        <w:t>ime</w:t>
      </w:r>
      <w:r w:rsidRPr="000B2422">
        <w:t xml:space="preserve">line. </w:t>
      </w:r>
      <w:r w:rsidRPr="008630CA" w:rsidR="002D162B">
        <w:t xml:space="preserve">The annualized </w:t>
      </w:r>
      <w:r w:rsidR="002D162B">
        <w:t>benefits</w:t>
      </w:r>
      <w:r w:rsidRPr="008630CA" w:rsidR="002D162B">
        <w:t xml:space="preserve"> </w:t>
      </w:r>
      <w:r w:rsidR="001940B0">
        <w:t>will</w:t>
      </w:r>
      <w:r w:rsidRPr="008630CA" w:rsidR="002D162B">
        <w:t xml:space="preserve"> range from $</w:t>
      </w:r>
      <w:r w:rsidR="002D162B">
        <w:t>0.00</w:t>
      </w:r>
      <w:r w:rsidRPr="008630CA" w:rsidR="002D162B">
        <w:t xml:space="preserve"> million to $</w:t>
      </w:r>
      <w:r w:rsidR="004921A5">
        <w:t>7.02</w:t>
      </w:r>
      <w:r w:rsidRPr="008630CA" w:rsidR="002D162B">
        <w:t xml:space="preserve"> million with a primary estimate of $</w:t>
      </w:r>
      <w:r w:rsidR="0024341A">
        <w:t>3.</w:t>
      </w:r>
      <w:r w:rsidR="004921A5">
        <w:t>51</w:t>
      </w:r>
      <w:r w:rsidRPr="008630CA" w:rsidR="002D162B">
        <w:t xml:space="preserve"> million at a 7 percent discount rate. </w:t>
      </w:r>
    </w:p>
    <w:p w:rsidR="00E4631D" w:rsidP="004848C7" w14:paraId="6B616DBE" w14:textId="4B1081A1">
      <w:pPr>
        <w:rPr>
          <w:b/>
        </w:rPr>
      </w:pPr>
      <w:bookmarkStart w:id="61" w:name="_Ref36735483"/>
    </w:p>
    <w:p w:rsidR="00863DCB" w:rsidRPr="000E6DD7" w:rsidP="000E6DD7" w14:paraId="5A9544D3" w14:textId="45A5B11E">
      <w:pPr>
        <w:pStyle w:val="Caption"/>
        <w:rPr>
          <w:b/>
        </w:rPr>
      </w:pPr>
      <w:bookmarkStart w:id="62" w:name="_Ref132015720"/>
      <w:bookmarkStart w:id="63" w:name="_Toc147238754"/>
      <w:r w:rsidRPr="000E6DD7">
        <w:rPr>
          <w:b/>
        </w:rPr>
        <w:t xml:space="preserve">Table </w:t>
      </w:r>
      <w:r w:rsidRPr="000E6DD7">
        <w:rPr>
          <w:b/>
        </w:rPr>
        <w:fldChar w:fldCharType="begin"/>
      </w:r>
      <w:r w:rsidRPr="000E6DD7">
        <w:rPr>
          <w:b/>
        </w:rPr>
        <w:instrText xml:space="preserve"> SEQ Table \* ARABIC </w:instrText>
      </w:r>
      <w:r w:rsidRPr="000E6DD7">
        <w:rPr>
          <w:b/>
        </w:rPr>
        <w:fldChar w:fldCharType="separate"/>
      </w:r>
      <w:r w:rsidR="00D36765">
        <w:rPr>
          <w:b/>
          <w:noProof/>
        </w:rPr>
        <w:t>10</w:t>
      </w:r>
      <w:r w:rsidRPr="000E6DD7">
        <w:rPr>
          <w:b/>
        </w:rPr>
        <w:fldChar w:fldCharType="end"/>
      </w:r>
      <w:bookmarkEnd w:id="61"/>
      <w:bookmarkEnd w:id="62"/>
      <w:r w:rsidRPr="000E6DD7">
        <w:rPr>
          <w:b/>
        </w:rPr>
        <w:t xml:space="preserve">. Summary of Quantitative Cost Savings </w:t>
      </w:r>
      <w:r w:rsidR="00BD5731">
        <w:rPr>
          <w:b/>
        </w:rPr>
        <w:t>(</w:t>
      </w:r>
      <w:r w:rsidRPr="008F3C32" w:rsidR="00A81B71">
        <w:rPr>
          <w:b/>
        </w:rPr>
        <w:t>in $ Millions</w:t>
      </w:r>
      <w:r w:rsidR="00BD5731">
        <w:rPr>
          <w:b/>
        </w:rPr>
        <w:t>)</w:t>
      </w:r>
      <w:bookmarkEnd w:id="63"/>
    </w:p>
    <w:tbl>
      <w:tblPr>
        <w:tblW w:w="5000" w:type="pct"/>
        <w:tblLook w:val="04A0"/>
      </w:tblPr>
      <w:tblGrid>
        <w:gridCol w:w="4948"/>
        <w:gridCol w:w="1284"/>
        <w:gridCol w:w="1559"/>
        <w:gridCol w:w="1559"/>
      </w:tblGrid>
      <w:tr w14:paraId="34EB2485" w14:textId="77777777" w:rsidTr="00B15688">
        <w:tblPrEx>
          <w:tblW w:w="5000" w:type="pct"/>
          <w:tblLook w:val="04A0"/>
        </w:tblPrEx>
        <w:trPr>
          <w:trHeight w:val="432"/>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E44E1" w:rsidRPr="000E6DD7" w:rsidP="00863DCB" w14:paraId="2B7E412C" w14:textId="77777777">
            <w:pPr>
              <w:spacing w:after="0"/>
              <w:rPr>
                <w:rFonts w:eastAsia="Times New Roman"/>
                <w:color w:val="000000"/>
                <w:sz w:val="22"/>
                <w:szCs w:val="22"/>
              </w:rPr>
            </w:pPr>
            <w:r w:rsidRPr="000E6DD7">
              <w:rPr>
                <w:rFonts w:eastAsia="Times New Roman"/>
                <w:color w:val="000000"/>
                <w:sz w:val="22"/>
                <w:szCs w:val="22"/>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E44E1" w:rsidRPr="00AC2CB0" w:rsidP="00AC2CB0" w14:paraId="25970BC1" w14:textId="77777777">
            <w:pPr>
              <w:spacing w:after="0"/>
              <w:jc w:val="center"/>
              <w:rPr>
                <w:rFonts w:eastAsia="Times New Roman"/>
                <w:b/>
                <w:bCs/>
                <w:color w:val="000000"/>
                <w:sz w:val="22"/>
                <w:szCs w:val="22"/>
              </w:rPr>
            </w:pPr>
            <w:r w:rsidRPr="00AC2CB0">
              <w:rPr>
                <w:rFonts w:eastAsia="Times New Roman"/>
                <w:b/>
                <w:bCs/>
                <w:color w:val="000000"/>
                <w:sz w:val="22"/>
                <w:szCs w:val="22"/>
              </w:rPr>
              <w:t>Primary (7%)</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E44E1" w:rsidRPr="00AC2CB0" w:rsidP="00AC2CB0" w14:paraId="2EAAABA1" w14:textId="3892F642">
            <w:pPr>
              <w:spacing w:after="0"/>
              <w:jc w:val="center"/>
              <w:rPr>
                <w:rFonts w:eastAsia="Times New Roman"/>
                <w:b/>
                <w:bCs/>
                <w:color w:val="000000"/>
                <w:sz w:val="22"/>
                <w:szCs w:val="22"/>
              </w:rPr>
            </w:pPr>
            <w:r w:rsidRPr="00AC2CB0">
              <w:rPr>
                <w:rFonts w:eastAsia="Times New Roman"/>
                <w:b/>
                <w:bCs/>
                <w:color w:val="000000"/>
                <w:sz w:val="22"/>
                <w:szCs w:val="22"/>
              </w:rPr>
              <w:t>Lower Bound (7%)</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E44E1" w:rsidRPr="00AC2CB0" w:rsidP="00AC2CB0" w14:paraId="64870206" w14:textId="77777777">
            <w:pPr>
              <w:spacing w:after="0"/>
              <w:jc w:val="center"/>
              <w:rPr>
                <w:rFonts w:eastAsia="Times New Roman"/>
                <w:b/>
                <w:bCs/>
                <w:color w:val="000000"/>
                <w:sz w:val="22"/>
                <w:szCs w:val="22"/>
              </w:rPr>
            </w:pPr>
            <w:r w:rsidRPr="00AC2CB0">
              <w:rPr>
                <w:rFonts w:eastAsia="Times New Roman"/>
                <w:b/>
                <w:bCs/>
                <w:color w:val="000000"/>
                <w:sz w:val="22"/>
                <w:szCs w:val="22"/>
              </w:rPr>
              <w:t>Upper Bound (7%)</w:t>
            </w:r>
          </w:p>
        </w:tc>
      </w:tr>
      <w:tr w14:paraId="499BCD4C" w14:textId="77777777" w:rsidTr="00B15688">
        <w:tblPrEx>
          <w:tblW w:w="5000" w:type="pct"/>
          <w:tblLook w:val="04A0"/>
        </w:tblPrEx>
        <w:trPr>
          <w:trHeight w:val="144"/>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rsidR="00AE44E1" w:rsidRPr="000E6DD7" w:rsidP="00E54EB3" w14:paraId="3BE4CFDE" w14:textId="77777777">
            <w:pPr>
              <w:spacing w:after="0"/>
              <w:rPr>
                <w:rFonts w:eastAsia="Times New Roman"/>
                <w:color w:val="000000"/>
                <w:sz w:val="22"/>
                <w:szCs w:val="22"/>
              </w:rPr>
            </w:pPr>
            <w:r w:rsidRPr="000E6DD7">
              <w:rPr>
                <w:rFonts w:eastAsia="Times New Roman"/>
                <w:color w:val="000000"/>
                <w:sz w:val="22"/>
                <w:szCs w:val="22"/>
              </w:rPr>
              <w:t>Streamlining Inspection Process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4E1" w:rsidRPr="000E6DD7" w:rsidP="00E54EB3" w14:paraId="54075169" w14:textId="41CE5E3A">
            <w:pPr>
              <w:spacing w:after="0"/>
              <w:jc w:val="center"/>
              <w:rPr>
                <w:rFonts w:eastAsia="Times New Roman"/>
                <w:color w:val="000000"/>
                <w:sz w:val="22"/>
                <w:szCs w:val="22"/>
              </w:rPr>
            </w:pPr>
            <w:r w:rsidRPr="000E6DD7">
              <w:rPr>
                <w:sz w:val="22"/>
                <w:szCs w:val="22"/>
              </w:rPr>
              <w:t>$1.</w:t>
            </w:r>
            <w:r w:rsidR="00B000A0">
              <w:rPr>
                <w:sz w:val="22"/>
                <w:szCs w:val="22"/>
              </w:rPr>
              <w:t>50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AE44E1" w:rsidRPr="000E6DD7" w:rsidP="00E54EB3" w14:paraId="37CB1A36" w14:textId="6FE8BE82">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AE44E1" w:rsidRPr="000E6DD7" w:rsidP="00E54EB3" w14:paraId="05B96722" w14:textId="49F5CE75">
            <w:pPr>
              <w:spacing w:after="0"/>
              <w:jc w:val="center"/>
              <w:rPr>
                <w:rFonts w:eastAsia="Times New Roman"/>
                <w:color w:val="000000"/>
                <w:sz w:val="22"/>
                <w:szCs w:val="22"/>
              </w:rPr>
            </w:pPr>
            <w:r w:rsidRPr="000E6DD7">
              <w:rPr>
                <w:sz w:val="22"/>
                <w:szCs w:val="22"/>
              </w:rPr>
              <w:t>$</w:t>
            </w:r>
            <w:r w:rsidR="00B000A0">
              <w:rPr>
                <w:sz w:val="22"/>
                <w:szCs w:val="22"/>
              </w:rPr>
              <w:t>3.01</w:t>
            </w:r>
          </w:p>
        </w:tc>
      </w:tr>
      <w:tr w14:paraId="5E2EEF0A" w14:textId="77777777" w:rsidTr="00B15688">
        <w:tblPrEx>
          <w:tblW w:w="5000" w:type="pct"/>
          <w:tblLook w:val="04A0"/>
        </w:tblPrEx>
        <w:trPr>
          <w:trHeight w:val="144"/>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791FC2BC" w14:textId="4908DE6A">
            <w:pPr>
              <w:spacing w:after="0"/>
              <w:rPr>
                <w:rFonts w:eastAsia="Times New Roman"/>
                <w:color w:val="000000"/>
                <w:sz w:val="22"/>
                <w:szCs w:val="22"/>
              </w:rPr>
            </w:pPr>
            <w:r w:rsidRPr="000E6DD7">
              <w:rPr>
                <w:rFonts w:eastAsia="Times New Roman"/>
                <w:color w:val="000000"/>
                <w:sz w:val="22"/>
                <w:szCs w:val="22"/>
              </w:rPr>
              <w:t xml:space="preserve">Removing </w:t>
            </w:r>
            <w:r>
              <w:rPr>
                <w:rFonts w:eastAsia="Times New Roman"/>
                <w:color w:val="000000"/>
                <w:sz w:val="22"/>
                <w:szCs w:val="22"/>
              </w:rPr>
              <w:t>First In, First Out</w:t>
            </w:r>
            <w:r w:rsidRPr="000E6DD7">
              <w:rPr>
                <w:rFonts w:eastAsia="Times New Roman"/>
                <w:color w:val="000000"/>
                <w:sz w:val="22"/>
                <w:szCs w:val="22"/>
              </w:rPr>
              <w:t xml:space="preserve"> Requirements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527E963D" w14:textId="75FE45AD">
            <w:pPr>
              <w:spacing w:after="0"/>
              <w:jc w:val="center"/>
              <w:rPr>
                <w:rFonts w:eastAsia="Times New Roman"/>
                <w:color w:val="000000"/>
                <w:sz w:val="22"/>
                <w:szCs w:val="22"/>
              </w:rPr>
            </w:pPr>
            <w:r w:rsidRPr="000E6DD7">
              <w:rPr>
                <w:sz w:val="22"/>
                <w:szCs w:val="22"/>
              </w:rPr>
              <w:t>$0.</w:t>
            </w:r>
            <w:r w:rsidR="000B6620">
              <w:rPr>
                <w:sz w:val="22"/>
                <w:szCs w:val="22"/>
              </w:rPr>
              <w:t>3</w:t>
            </w:r>
            <w:r w:rsidR="00B000A0">
              <w:rPr>
                <w:sz w:val="22"/>
                <w:szCs w:val="22"/>
              </w:rPr>
              <w:t>7</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5D568A62" w14:textId="31D978F5">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5C07C4D7" w14:textId="36C4029F">
            <w:pPr>
              <w:spacing w:after="0"/>
              <w:jc w:val="center"/>
              <w:rPr>
                <w:rFonts w:eastAsia="Times New Roman"/>
                <w:color w:val="000000"/>
                <w:sz w:val="22"/>
                <w:szCs w:val="22"/>
              </w:rPr>
            </w:pPr>
            <w:r w:rsidRPr="000E6DD7">
              <w:rPr>
                <w:sz w:val="22"/>
                <w:szCs w:val="22"/>
              </w:rPr>
              <w:t>$0.</w:t>
            </w:r>
            <w:r w:rsidR="00B000A0">
              <w:rPr>
                <w:sz w:val="22"/>
                <w:szCs w:val="22"/>
              </w:rPr>
              <w:t>74</w:t>
            </w:r>
          </w:p>
        </w:tc>
      </w:tr>
      <w:tr w14:paraId="6ED681E9" w14:textId="77777777" w:rsidTr="00B15688">
        <w:tblPrEx>
          <w:tblW w:w="5000" w:type="pct"/>
          <w:tblLook w:val="04A0"/>
        </w:tblPrEx>
        <w:trPr>
          <w:trHeight w:val="144"/>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499541E7" w14:textId="4225A84B">
            <w:pPr>
              <w:spacing w:after="0"/>
              <w:rPr>
                <w:rFonts w:eastAsia="Times New Roman"/>
                <w:color w:val="000000"/>
                <w:sz w:val="22"/>
                <w:szCs w:val="22"/>
              </w:rPr>
            </w:pPr>
            <w:r w:rsidRPr="000E6DD7">
              <w:rPr>
                <w:rFonts w:eastAsia="Times New Roman"/>
                <w:color w:val="000000"/>
                <w:sz w:val="22"/>
                <w:szCs w:val="22"/>
              </w:rPr>
              <w:t>Allowing Reuse of Labels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7E0E0AA3" w14:textId="66A674AA">
            <w:pPr>
              <w:spacing w:after="0"/>
              <w:jc w:val="center"/>
              <w:rPr>
                <w:rFonts w:eastAsia="Times New Roman"/>
                <w:color w:val="000000"/>
                <w:sz w:val="22"/>
                <w:szCs w:val="22"/>
              </w:rPr>
            </w:pPr>
            <w:r w:rsidRPr="000E6DD7">
              <w:rPr>
                <w:sz w:val="22"/>
                <w:szCs w:val="22"/>
              </w:rPr>
              <w:t>$0.0</w:t>
            </w:r>
            <w:r w:rsidR="000B6620">
              <w:rPr>
                <w:sz w:val="22"/>
                <w:szCs w:val="22"/>
              </w:rPr>
              <w:t>4</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7BBB199B" w14:textId="3DF30CB0">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53D23C07" w14:textId="18A56282">
            <w:pPr>
              <w:spacing w:after="0"/>
              <w:jc w:val="center"/>
              <w:rPr>
                <w:rFonts w:eastAsia="Times New Roman"/>
                <w:color w:val="000000"/>
                <w:sz w:val="22"/>
                <w:szCs w:val="22"/>
              </w:rPr>
            </w:pPr>
            <w:r w:rsidRPr="000E6DD7">
              <w:rPr>
                <w:sz w:val="22"/>
                <w:szCs w:val="22"/>
              </w:rPr>
              <w:t>$0.0</w:t>
            </w:r>
            <w:r w:rsidR="00B000A0">
              <w:rPr>
                <w:sz w:val="22"/>
                <w:szCs w:val="22"/>
              </w:rPr>
              <w:t>7</w:t>
            </w:r>
          </w:p>
        </w:tc>
      </w:tr>
      <w:tr w14:paraId="4470FD0B" w14:textId="77777777" w:rsidTr="00B15688">
        <w:tblPrEx>
          <w:tblW w:w="5000" w:type="pct"/>
          <w:tblLook w:val="04A0"/>
        </w:tblPrEx>
        <w:trPr>
          <w:trHeight w:val="144"/>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3642A8FA" w14:textId="66591121">
            <w:pPr>
              <w:spacing w:after="0"/>
              <w:rPr>
                <w:rFonts w:eastAsia="Times New Roman"/>
                <w:color w:val="000000"/>
                <w:sz w:val="22"/>
                <w:szCs w:val="22"/>
              </w:rPr>
            </w:pPr>
            <w:r w:rsidRPr="000E6DD7">
              <w:rPr>
                <w:rFonts w:eastAsia="Times New Roman"/>
                <w:color w:val="000000"/>
                <w:sz w:val="22"/>
                <w:szCs w:val="22"/>
              </w:rPr>
              <w:t>Flexibility in Curbside Filling Written Permission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365956DD" w14:textId="1BC0D96A">
            <w:pPr>
              <w:spacing w:after="0"/>
              <w:jc w:val="center"/>
              <w:rPr>
                <w:rFonts w:eastAsia="Times New Roman"/>
                <w:color w:val="000000"/>
                <w:sz w:val="22"/>
                <w:szCs w:val="22"/>
              </w:rPr>
            </w:pPr>
            <w:r w:rsidRPr="000E6DD7">
              <w:rPr>
                <w:sz w:val="22"/>
                <w:szCs w:val="22"/>
              </w:rPr>
              <w:t>$0.1</w:t>
            </w:r>
            <w:r w:rsidR="00B000A0">
              <w:rPr>
                <w:sz w:val="22"/>
                <w:szCs w:val="22"/>
              </w:rPr>
              <w:t>8</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1C66202C" w14:textId="5D9F078E">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14ED0131" w14:textId="50617639">
            <w:pPr>
              <w:spacing w:after="0"/>
              <w:jc w:val="center"/>
              <w:rPr>
                <w:rFonts w:eastAsia="Times New Roman"/>
                <w:color w:val="000000"/>
                <w:sz w:val="22"/>
                <w:szCs w:val="22"/>
              </w:rPr>
            </w:pPr>
            <w:r w:rsidRPr="000E6DD7">
              <w:rPr>
                <w:sz w:val="22"/>
                <w:szCs w:val="22"/>
              </w:rPr>
              <w:t>$0.</w:t>
            </w:r>
            <w:r>
              <w:rPr>
                <w:sz w:val="22"/>
                <w:szCs w:val="22"/>
              </w:rPr>
              <w:t>3</w:t>
            </w:r>
            <w:r w:rsidR="00B000A0">
              <w:rPr>
                <w:sz w:val="22"/>
                <w:szCs w:val="22"/>
              </w:rPr>
              <w:t>6</w:t>
            </w:r>
          </w:p>
        </w:tc>
      </w:tr>
      <w:tr w14:paraId="718047B5" w14:textId="77777777" w:rsidTr="00B15688">
        <w:tblPrEx>
          <w:tblW w:w="5000" w:type="pct"/>
          <w:tblLook w:val="04A0"/>
        </w:tblPrEx>
        <w:trPr>
          <w:trHeight w:val="144"/>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3DA8641D" w14:textId="5913897A">
            <w:pPr>
              <w:spacing w:after="0"/>
              <w:rPr>
                <w:rFonts w:eastAsia="Times New Roman"/>
                <w:color w:val="000000"/>
                <w:sz w:val="22"/>
                <w:szCs w:val="22"/>
              </w:rPr>
            </w:pPr>
            <w:r w:rsidRPr="000E6DD7">
              <w:rPr>
                <w:rFonts w:eastAsia="Times New Roman"/>
                <w:color w:val="000000"/>
                <w:sz w:val="22"/>
                <w:szCs w:val="22"/>
              </w:rPr>
              <w:t>Gov: Streamlining Inspection Process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4341A" w:rsidRPr="000E6DD7" w:rsidP="00E54EB3" w14:paraId="00159391" w14:textId="3993A455">
            <w:pPr>
              <w:spacing w:after="0"/>
              <w:jc w:val="center"/>
              <w:rPr>
                <w:rFonts w:eastAsia="Times New Roman"/>
                <w:color w:val="000000"/>
                <w:sz w:val="22"/>
                <w:szCs w:val="22"/>
              </w:rPr>
            </w:pPr>
            <w:r w:rsidRPr="000E6DD7">
              <w:rPr>
                <w:sz w:val="22"/>
                <w:szCs w:val="22"/>
              </w:rPr>
              <w:t>$</w:t>
            </w:r>
            <w:r>
              <w:rPr>
                <w:sz w:val="22"/>
                <w:szCs w:val="22"/>
              </w:rPr>
              <w:t>1.</w:t>
            </w:r>
            <w:r w:rsidR="00B000A0">
              <w:rPr>
                <w:sz w:val="22"/>
                <w:szCs w:val="22"/>
              </w:rPr>
              <w:t>4</w:t>
            </w:r>
            <w:r w:rsidR="004921A5">
              <w:rPr>
                <w:sz w:val="22"/>
                <w:szCs w:val="22"/>
              </w:rPr>
              <w:t>2</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56CACBC9" w14:textId="079C3F5E">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1530" w:type="dxa"/>
            <w:tcBorders>
              <w:top w:val="nil"/>
              <w:left w:val="nil"/>
              <w:bottom w:val="single" w:sz="4" w:space="0" w:color="auto"/>
              <w:right w:val="single" w:sz="4" w:space="0" w:color="auto"/>
            </w:tcBorders>
            <w:shd w:val="clear" w:color="auto" w:fill="auto"/>
            <w:noWrap/>
            <w:vAlign w:val="center"/>
            <w:hideMark/>
          </w:tcPr>
          <w:p w:rsidR="0024341A" w:rsidRPr="000E6DD7" w:rsidP="00E54EB3" w14:paraId="3CF8BB02" w14:textId="51A63BC8">
            <w:pPr>
              <w:spacing w:after="0"/>
              <w:jc w:val="center"/>
              <w:rPr>
                <w:rFonts w:eastAsia="Times New Roman"/>
                <w:color w:val="000000"/>
                <w:sz w:val="22"/>
                <w:szCs w:val="22"/>
              </w:rPr>
            </w:pPr>
            <w:r w:rsidRPr="000E6DD7">
              <w:rPr>
                <w:sz w:val="22"/>
                <w:szCs w:val="22"/>
              </w:rPr>
              <w:t>$</w:t>
            </w:r>
            <w:r>
              <w:rPr>
                <w:sz w:val="22"/>
                <w:szCs w:val="22"/>
              </w:rPr>
              <w:t>2.</w:t>
            </w:r>
            <w:r w:rsidR="00B000A0">
              <w:rPr>
                <w:sz w:val="22"/>
                <w:szCs w:val="22"/>
              </w:rPr>
              <w:t>8</w:t>
            </w:r>
            <w:r w:rsidR="004921A5">
              <w:rPr>
                <w:sz w:val="22"/>
                <w:szCs w:val="22"/>
              </w:rPr>
              <w:t>4</w:t>
            </w:r>
          </w:p>
        </w:tc>
      </w:tr>
      <w:tr w14:paraId="51ADBA7F" w14:textId="77777777" w:rsidTr="00B15688">
        <w:tblPrEx>
          <w:tblW w:w="5000" w:type="pct"/>
          <w:tblLook w:val="04A0"/>
        </w:tblPrEx>
        <w:trPr>
          <w:trHeight w:val="216"/>
        </w:trPr>
        <w:tc>
          <w:tcPr>
            <w:tcW w:w="48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4341A" w:rsidRPr="000E6DD7" w:rsidP="00E54EB3" w14:paraId="614BD2E7" w14:textId="112C15E2">
            <w:pPr>
              <w:spacing w:after="0"/>
              <w:rPr>
                <w:rFonts w:eastAsia="Times New Roman"/>
                <w:color w:val="000000"/>
                <w:sz w:val="22"/>
                <w:szCs w:val="22"/>
              </w:rPr>
            </w:pPr>
            <w:r w:rsidRPr="003B7206">
              <w:rPr>
                <w:rFonts w:eastAsia="Times New Roman"/>
                <w:b/>
                <w:bCs/>
                <w:color w:val="000000"/>
                <w:sz w:val="22"/>
                <w:szCs w:val="22"/>
              </w:rPr>
              <w:t>Total Cost Savings</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4341A" w:rsidRPr="000E6DD7" w:rsidP="00E54EB3" w14:paraId="34E6D457" w14:textId="17BC7D6A">
            <w:pPr>
              <w:spacing w:after="0"/>
              <w:jc w:val="center"/>
              <w:rPr>
                <w:rFonts w:eastAsia="Times New Roman"/>
                <w:color w:val="000000"/>
                <w:sz w:val="22"/>
                <w:szCs w:val="22"/>
              </w:rPr>
            </w:pPr>
          </w:p>
        </w:tc>
        <w:tc>
          <w:tcPr>
            <w:tcW w:w="1530" w:type="dxa"/>
            <w:tcBorders>
              <w:top w:val="nil"/>
              <w:left w:val="nil"/>
              <w:bottom w:val="single" w:sz="4" w:space="0" w:color="auto"/>
              <w:right w:val="single" w:sz="4" w:space="0" w:color="auto"/>
            </w:tcBorders>
            <w:shd w:val="clear" w:color="auto" w:fill="D9D9D9" w:themeFill="background1" w:themeFillShade="D9"/>
            <w:noWrap/>
            <w:vAlign w:val="center"/>
            <w:hideMark/>
          </w:tcPr>
          <w:p w:rsidR="0024341A" w:rsidRPr="000E6DD7" w:rsidP="00E54EB3" w14:paraId="166CE114" w14:textId="40F6FB59">
            <w:pPr>
              <w:spacing w:after="0"/>
              <w:jc w:val="center"/>
              <w:rPr>
                <w:rFonts w:eastAsia="Times New Roman"/>
                <w:color w:val="000000"/>
                <w:sz w:val="22"/>
                <w:szCs w:val="22"/>
              </w:rPr>
            </w:pPr>
          </w:p>
        </w:tc>
        <w:tc>
          <w:tcPr>
            <w:tcW w:w="1530" w:type="dxa"/>
            <w:tcBorders>
              <w:top w:val="nil"/>
              <w:left w:val="nil"/>
              <w:bottom w:val="single" w:sz="4" w:space="0" w:color="auto"/>
              <w:right w:val="single" w:sz="4" w:space="0" w:color="auto"/>
            </w:tcBorders>
            <w:shd w:val="clear" w:color="auto" w:fill="D9D9D9" w:themeFill="background1" w:themeFillShade="D9"/>
            <w:noWrap/>
            <w:vAlign w:val="center"/>
            <w:hideMark/>
          </w:tcPr>
          <w:p w:rsidR="0024341A" w:rsidRPr="000E6DD7" w:rsidP="00E54EB3" w14:paraId="6A037D14" w14:textId="752E070F">
            <w:pPr>
              <w:spacing w:after="0"/>
              <w:jc w:val="center"/>
              <w:rPr>
                <w:rFonts w:eastAsia="Times New Roman"/>
                <w:color w:val="000000"/>
                <w:sz w:val="22"/>
                <w:szCs w:val="22"/>
              </w:rPr>
            </w:pPr>
          </w:p>
        </w:tc>
      </w:tr>
      <w:tr w14:paraId="6BA17E5A" w14:textId="77777777" w:rsidTr="00B15688">
        <w:tblPrEx>
          <w:tblW w:w="5000" w:type="pct"/>
          <w:tblLook w:val="04A0"/>
        </w:tblPrEx>
        <w:trPr>
          <w:trHeight w:val="216"/>
        </w:trPr>
        <w:tc>
          <w:tcPr>
            <w:tcW w:w="4855" w:type="dxa"/>
            <w:tcBorders>
              <w:top w:val="nil"/>
              <w:left w:val="single" w:sz="4" w:space="0" w:color="auto"/>
              <w:bottom w:val="single" w:sz="4" w:space="0" w:color="auto"/>
              <w:right w:val="single" w:sz="4" w:space="0" w:color="auto"/>
            </w:tcBorders>
            <w:shd w:val="clear" w:color="auto" w:fill="auto"/>
            <w:noWrap/>
            <w:vAlign w:val="center"/>
          </w:tcPr>
          <w:p w:rsidR="0024341A" w:rsidRPr="003B7206" w:rsidP="00E54EB3" w14:paraId="28190BBD" w14:textId="01D1D18D">
            <w:pPr>
              <w:spacing w:after="0"/>
              <w:rPr>
                <w:rFonts w:eastAsia="Times New Roman"/>
                <w:b/>
                <w:bCs/>
                <w:color w:val="000000"/>
                <w:sz w:val="22"/>
                <w:szCs w:val="22"/>
              </w:rPr>
            </w:pPr>
            <w:r w:rsidRPr="000E6DD7">
              <w:rPr>
                <w:rFonts w:eastAsia="Times New Roman"/>
                <w:color w:val="000000"/>
                <w:sz w:val="22"/>
                <w:szCs w:val="22"/>
              </w:rPr>
              <w:t>Total Cost Savings</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24341A" w:rsidRPr="003B7206" w:rsidP="00E54EB3" w14:paraId="63E41744" w14:textId="71504457">
            <w:pPr>
              <w:spacing w:after="0"/>
              <w:jc w:val="center"/>
              <w:rPr>
                <w:b/>
                <w:bCs/>
                <w:sz w:val="22"/>
                <w:szCs w:val="22"/>
              </w:rPr>
            </w:pPr>
            <w:r w:rsidRPr="000E6DD7">
              <w:rPr>
                <w:sz w:val="22"/>
                <w:szCs w:val="22"/>
              </w:rPr>
              <w:t>$</w:t>
            </w:r>
            <w:r>
              <w:rPr>
                <w:sz w:val="22"/>
                <w:szCs w:val="22"/>
              </w:rPr>
              <w:t>3.</w:t>
            </w:r>
            <w:r w:rsidR="004921A5">
              <w:rPr>
                <w:sz w:val="22"/>
                <w:szCs w:val="22"/>
              </w:rPr>
              <w:t>51</w:t>
            </w:r>
          </w:p>
        </w:tc>
        <w:tc>
          <w:tcPr>
            <w:tcW w:w="1530" w:type="dxa"/>
            <w:tcBorders>
              <w:top w:val="nil"/>
              <w:left w:val="nil"/>
              <w:bottom w:val="single" w:sz="4" w:space="0" w:color="auto"/>
              <w:right w:val="single" w:sz="4" w:space="0" w:color="auto"/>
            </w:tcBorders>
            <w:shd w:val="clear" w:color="auto" w:fill="auto"/>
            <w:noWrap/>
            <w:vAlign w:val="center"/>
          </w:tcPr>
          <w:p w:rsidR="0024341A" w:rsidRPr="003B7206" w:rsidP="00E54EB3" w14:paraId="405D8217" w14:textId="688B0E72">
            <w:pPr>
              <w:spacing w:after="0"/>
              <w:jc w:val="center"/>
              <w:rPr>
                <w:b/>
                <w:bCs/>
                <w:color w:val="000000"/>
                <w:sz w:val="22"/>
                <w:szCs w:val="22"/>
              </w:rPr>
            </w:pPr>
            <w:r w:rsidRPr="000E6DD7">
              <w:rPr>
                <w:color w:val="000000"/>
                <w:sz w:val="22"/>
                <w:szCs w:val="22"/>
              </w:rPr>
              <w:t>$0</w:t>
            </w:r>
            <w:r>
              <w:rPr>
                <w:color w:val="000000"/>
                <w:sz w:val="22"/>
                <w:szCs w:val="22"/>
              </w:rPr>
              <w:t>.00</w:t>
            </w:r>
          </w:p>
        </w:tc>
        <w:tc>
          <w:tcPr>
            <w:tcW w:w="1530" w:type="dxa"/>
            <w:tcBorders>
              <w:top w:val="nil"/>
              <w:left w:val="nil"/>
              <w:bottom w:val="single" w:sz="4" w:space="0" w:color="auto"/>
              <w:right w:val="single" w:sz="4" w:space="0" w:color="auto"/>
            </w:tcBorders>
            <w:shd w:val="clear" w:color="auto" w:fill="auto"/>
            <w:noWrap/>
            <w:vAlign w:val="center"/>
          </w:tcPr>
          <w:p w:rsidR="0024341A" w:rsidRPr="003B7206" w:rsidP="00E54EB3" w14:paraId="5E5485E5" w14:textId="2CEAA2CA">
            <w:pPr>
              <w:spacing w:after="0"/>
              <w:jc w:val="center"/>
              <w:rPr>
                <w:b/>
                <w:bCs/>
                <w:sz w:val="22"/>
                <w:szCs w:val="22"/>
              </w:rPr>
            </w:pPr>
            <w:r w:rsidRPr="000E6DD7">
              <w:rPr>
                <w:sz w:val="22"/>
                <w:szCs w:val="22"/>
              </w:rPr>
              <w:t>$</w:t>
            </w:r>
            <w:r w:rsidR="004921A5">
              <w:rPr>
                <w:sz w:val="22"/>
                <w:szCs w:val="22"/>
              </w:rPr>
              <w:t>7.02</w:t>
            </w:r>
          </w:p>
        </w:tc>
      </w:tr>
    </w:tbl>
    <w:p w:rsidR="00863DCB" w:rsidP="00863DCB" w14:paraId="35C8664A" w14:textId="77777777"/>
    <w:p w:rsidR="00863DCB" w:rsidP="00863DCB" w14:paraId="77A1773D" w14:textId="77777777"/>
    <w:p w:rsidR="003134C2" w:rsidRPr="00863DCB" w:rsidP="00863DCB" w14:paraId="4E085B49" w14:textId="77777777"/>
    <w:p w:rsidR="00F341F3" w:rsidP="00F341F3" w14:paraId="6D53BB2C" w14:textId="075C8571">
      <w:pPr>
        <w:pStyle w:val="Heading3"/>
      </w:pPr>
      <w:bookmarkStart w:id="64" w:name="_Toc148515722"/>
      <w:r>
        <w:t>Qualitative Benefits</w:t>
      </w:r>
      <w:r w:rsidR="00715368">
        <w:t>:</w:t>
      </w:r>
      <w:r>
        <w:t xml:space="preserve"> Labeling</w:t>
      </w:r>
      <w:bookmarkEnd w:id="64"/>
    </w:p>
    <w:p w:rsidR="00F341F3" w:rsidRPr="00F341F3" w:rsidP="00095200" w14:paraId="395EBEF6" w14:textId="77777777"/>
    <w:p w:rsidR="00F341F3" w:rsidP="004B2F48" w14:paraId="2B7C265B" w14:textId="1C3212A2">
      <w:r>
        <w:tab/>
        <w:t>Th</w:t>
      </w:r>
      <w:r w:rsidR="000C5884">
        <w:t>is</w:t>
      </w:r>
      <w:r>
        <w:t xml:space="preserve"> </w:t>
      </w:r>
      <w:r w:rsidR="00340621">
        <w:t>final</w:t>
      </w:r>
      <w:r>
        <w:t xml:space="preserve"> rule </w:t>
      </w:r>
      <w:r w:rsidR="001940B0">
        <w:t>will</w:t>
      </w:r>
      <w:r>
        <w:t xml:space="preserve"> require that labeling</w:t>
      </w:r>
      <w:r w:rsidR="009F3D0E">
        <w:t xml:space="preserve"> on oxygen final use containers</w:t>
      </w:r>
      <w:r>
        <w:t xml:space="preserve"> include</w:t>
      </w:r>
      <w:r w:rsidR="0056163D">
        <w:t xml:space="preserve"> both</w:t>
      </w:r>
      <w:r>
        <w:t xml:space="preserve"> </w:t>
      </w:r>
      <w:r w:rsidR="00FD2B6E">
        <w:t xml:space="preserve">of the </w:t>
      </w:r>
      <w:r w:rsidR="00395C1E">
        <w:t>statements “no smoking” and “no vaping” and a graphic symbol conveying that smoking, vaping, and open flames near oxygen are dangerous.</w:t>
      </w:r>
      <w:r>
        <w:t xml:space="preserve"> Fires caused by smoking in the vicinity of an oxygen tank in operation are common. According to </w:t>
      </w:r>
      <w:r w:rsidR="007700A4">
        <w:t xml:space="preserve">a BPR </w:t>
      </w:r>
      <w:r w:rsidR="0097019D">
        <w:t xml:space="preserve">Medical </w:t>
      </w:r>
      <w:r w:rsidR="007700A4">
        <w:t>study</w:t>
      </w:r>
      <w:r w:rsidR="00FD2B6E">
        <w:t>,</w:t>
      </w:r>
      <w:r>
        <w:t xml:space="preserve"> there </w:t>
      </w:r>
      <w:r w:rsidR="007700A4">
        <w:t>were</w:t>
      </w:r>
      <w:r>
        <w:t xml:space="preserve"> </w:t>
      </w:r>
      <w:r w:rsidR="007700A4">
        <w:t xml:space="preserve">an estimated </w:t>
      </w:r>
      <w:r w:rsidR="00727BE0">
        <w:t>164 deaths</w:t>
      </w:r>
      <w:r w:rsidR="00891215">
        <w:t xml:space="preserve"> and</w:t>
      </w:r>
      <w:r w:rsidR="004B3B6C">
        <w:t xml:space="preserve"> 190 injuries (71 serious and 119 minor)</w:t>
      </w:r>
      <w:r w:rsidR="00727BE0">
        <w:t xml:space="preserve"> from </w:t>
      </w:r>
      <w:r w:rsidR="007700A4">
        <w:t>311</w:t>
      </w:r>
      <w:r>
        <w:t xml:space="preserve"> </w:t>
      </w:r>
      <w:r w:rsidR="007700A4">
        <w:t xml:space="preserve">separate </w:t>
      </w:r>
      <w:r>
        <w:t xml:space="preserve">fires </w:t>
      </w:r>
      <w:r w:rsidR="007700A4">
        <w:t>involving home medical oxygen therapy over a 20</w:t>
      </w:r>
      <w:r w:rsidR="00B47F28">
        <w:t>-</w:t>
      </w:r>
      <w:r w:rsidR="007700A4">
        <w:t>month period ending in August 2019</w:t>
      </w:r>
      <w:r>
        <w:t>.</w:t>
      </w:r>
      <w:r>
        <w:rPr>
          <w:rStyle w:val="FootnoteReference"/>
        </w:rPr>
        <w:footnoteReference w:id="13"/>
      </w:r>
      <w:r>
        <w:t xml:space="preserve"> </w:t>
      </w:r>
      <w:r w:rsidR="007700A4">
        <w:t>This translates to approximately 187 fires involving home medical oxygen therapy</w:t>
      </w:r>
      <w:r w:rsidR="009A328A">
        <w:t>,</w:t>
      </w:r>
      <w:r w:rsidR="007700A4">
        <w:t xml:space="preserve"> leading to 98 deaths annually</w:t>
      </w:r>
      <w:r w:rsidR="004B3B6C">
        <w:t xml:space="preserve"> and 114 injuries (43 serious and 71 minor) annually</w:t>
      </w:r>
      <w:r>
        <w:t xml:space="preserve">. </w:t>
      </w:r>
      <w:r w:rsidR="003E4CE5">
        <w:t>Additional</w:t>
      </w:r>
      <w:r>
        <w:t xml:space="preserve"> costs of these fires include the medical treatment costs of both the fatal and non-fatal injuries, the cost of the fire damage to residences, and the value of the lives lost due to the fires.</w:t>
      </w:r>
    </w:p>
    <w:p w:rsidR="00836630" w:rsidP="004B2F48" w14:paraId="0079AF0F" w14:textId="7C743B03">
      <w:r>
        <w:tab/>
        <w:t>We cannot confidently predict the size of the behavioral change due to the labeling requirement</w:t>
      </w:r>
      <w:r w:rsidR="009A328A">
        <w:t>s</w:t>
      </w:r>
      <w:r w:rsidR="00727BE0">
        <w:t>,</w:t>
      </w:r>
      <w:r>
        <w:t xml:space="preserve"> but </w:t>
      </w:r>
      <w:r w:rsidR="00727BE0">
        <w:t xml:space="preserve">we </w:t>
      </w:r>
      <w:r>
        <w:t xml:space="preserve">expect that it </w:t>
      </w:r>
      <w:r w:rsidR="00110747">
        <w:t xml:space="preserve">will </w:t>
      </w:r>
      <w:r>
        <w:t xml:space="preserve">result in a small reduction in fires in the vicinity of oxygen containers in operation. Consequently, </w:t>
      </w:r>
      <w:r w:rsidR="00727BE0">
        <w:t xml:space="preserve">a reduction in fires may result </w:t>
      </w:r>
      <w:r>
        <w:t xml:space="preserve">in </w:t>
      </w:r>
      <w:r w:rsidR="00727BE0">
        <w:t>benefits from a reduction in</w:t>
      </w:r>
      <w:r>
        <w:t xml:space="preserve"> medical treatment costs</w:t>
      </w:r>
      <w:r w:rsidR="00327B78">
        <w:t>,</w:t>
      </w:r>
      <w:r>
        <w:t xml:space="preserve"> fire damage costs to residences, </w:t>
      </w:r>
      <w:r w:rsidR="00327B78">
        <w:t xml:space="preserve">and potentially, </w:t>
      </w:r>
      <w:r w:rsidR="00727BE0">
        <w:t>lives lost</w:t>
      </w:r>
      <w:r>
        <w:t>.</w:t>
      </w:r>
    </w:p>
    <w:p w:rsidR="00E4631D" w:rsidP="004848C7" w14:paraId="21F35C87" w14:textId="6149E003"/>
    <w:p w:rsidR="000F741F" w:rsidP="000E6DD7" w14:paraId="0AF3E991" w14:textId="05C830FE">
      <w:pPr>
        <w:pStyle w:val="Heading3"/>
      </w:pPr>
      <w:bookmarkStart w:id="65" w:name="_Toc148515723"/>
      <w:r w:rsidRPr="000F741F">
        <w:t xml:space="preserve">Qualitative </w:t>
      </w:r>
      <w:r w:rsidR="00B6419C">
        <w:t>Cost Savings</w:t>
      </w:r>
      <w:r w:rsidR="00715368">
        <w:t>:</w:t>
      </w:r>
      <w:r w:rsidRPr="000F741F">
        <w:t xml:space="preserve"> CGMP</w:t>
      </w:r>
      <w:r w:rsidR="000B4DF7">
        <w:t xml:space="preserve"> Requirement</w:t>
      </w:r>
      <w:r w:rsidRPr="000F741F">
        <w:t>s</w:t>
      </w:r>
      <w:bookmarkStart w:id="66" w:name="_Toc39846821"/>
      <w:bookmarkEnd w:id="65"/>
      <w:bookmarkEnd w:id="66"/>
    </w:p>
    <w:p w:rsidR="0084228D" w:rsidP="00F70002" w14:paraId="10256658" w14:textId="7CE22833"/>
    <w:p w:rsidR="006B307D" w:rsidRPr="009B1D05" w:rsidP="006B307D" w14:paraId="60CBF727" w14:textId="004A8B2E">
      <w:pPr>
        <w:pStyle w:val="Heading4"/>
        <w:numPr>
          <w:ilvl w:val="0"/>
          <w:numId w:val="56"/>
        </w:numPr>
      </w:pPr>
      <w:bookmarkStart w:id="67" w:name="_Toc148515724"/>
      <w:r>
        <w:t>Increased Flexibility in</w:t>
      </w:r>
      <w:r w:rsidR="0070755C">
        <w:t xml:space="preserve"> </w:t>
      </w:r>
      <w:r>
        <w:t>Testing</w:t>
      </w:r>
      <w:r w:rsidR="0070755C">
        <w:t xml:space="preserve"> of Component</w:t>
      </w:r>
      <w:r w:rsidR="001C0753">
        <w:t>s, Containers, and Closures</w:t>
      </w:r>
      <w:bookmarkEnd w:id="67"/>
    </w:p>
    <w:p w:rsidR="006B307D" w:rsidP="000F4998" w14:paraId="0B2D380D" w14:textId="6460909A">
      <w:pPr>
        <w:ind w:firstLine="720"/>
      </w:pPr>
      <w:r>
        <w:t xml:space="preserve">The </w:t>
      </w:r>
      <w:r w:rsidR="00DD3BE0">
        <w:t>final rule</w:t>
      </w:r>
      <w:r w:rsidR="00EE6B84">
        <w:t xml:space="preserve">’s </w:t>
      </w:r>
      <w:r>
        <w:t xml:space="preserve">testing requirements </w:t>
      </w:r>
      <w:r w:rsidR="00F96FE7">
        <w:t xml:space="preserve">provide </w:t>
      </w:r>
      <w:r w:rsidR="00E476C6">
        <w:t xml:space="preserve">the option that recipients of medical gases </w:t>
      </w:r>
      <w:r w:rsidR="00875EEA">
        <w:t>can</w:t>
      </w:r>
      <w:r w:rsidR="00C02A33">
        <w:t xml:space="preserve"> </w:t>
      </w:r>
      <w:r w:rsidR="00E476C6">
        <w:t xml:space="preserve">obtain </w:t>
      </w:r>
      <w:r w:rsidRPr="00E476C6" w:rsidR="00E476C6">
        <w:t xml:space="preserve">a statement of verification that the </w:t>
      </w:r>
      <w:r w:rsidR="00E476C6">
        <w:t xml:space="preserve">supplier’s </w:t>
      </w:r>
      <w:r w:rsidRPr="00E476C6" w:rsidR="00E476C6">
        <w:t>component, container, or closure meets specifications that the firm establishes</w:t>
      </w:r>
      <w:r w:rsidR="003247FE">
        <w:t>,</w:t>
      </w:r>
      <w:r w:rsidRPr="00E476C6" w:rsidR="00E476C6">
        <w:t xml:space="preserve"> and</w:t>
      </w:r>
      <w:r w:rsidR="00E476C6">
        <w:t xml:space="preserve"> that the recipient</w:t>
      </w:r>
      <w:r w:rsidRPr="00E476C6" w:rsidR="00E476C6">
        <w:t xml:space="preserve"> maintains a program to ensure the reliability of the supplier’s capabilities</w:t>
      </w:r>
      <w:r w:rsidR="00E476C6">
        <w:t>. This option is likely less burdensome than the cur</w:t>
      </w:r>
      <w:r w:rsidR="005820EE">
        <w:t xml:space="preserve">rent </w:t>
      </w:r>
      <w:r w:rsidR="008B1A3A">
        <w:t xml:space="preserve">requirement, a </w:t>
      </w:r>
      <w:r w:rsidR="005820EE">
        <w:t xml:space="preserve">report of analysis and </w:t>
      </w:r>
      <w:r w:rsidR="00101499">
        <w:t xml:space="preserve">appropriate verification of the </w:t>
      </w:r>
      <w:r w:rsidR="008B1A3A">
        <w:t>suppliers’</w:t>
      </w:r>
      <w:r w:rsidR="00101499">
        <w:t xml:space="preserve"> test results.</w:t>
      </w:r>
      <w:r w:rsidR="008B1A3A">
        <w:t xml:space="preserve"> Th</w:t>
      </w:r>
      <w:r w:rsidR="00264BAF">
        <w:t>is</w:t>
      </w:r>
      <w:r w:rsidR="008B1A3A">
        <w:t xml:space="preserve"> program is more consistent with current industry practice and </w:t>
      </w:r>
      <w:r w:rsidR="001940B0">
        <w:t>will</w:t>
      </w:r>
      <w:r w:rsidR="008B1A3A">
        <w:t xml:space="preserve"> likely lead to some time savings and a reduced testing burden. </w:t>
      </w:r>
    </w:p>
    <w:p w:rsidR="00F96FE7" w:rsidP="000F4998" w14:paraId="5CFBD805" w14:textId="77777777">
      <w:pPr>
        <w:ind w:left="720"/>
      </w:pPr>
    </w:p>
    <w:p w:rsidR="0084228D" w:rsidRPr="009B1D05" w:rsidP="00F70002" w14:paraId="7A3F3C16" w14:textId="34B2D919">
      <w:pPr>
        <w:pStyle w:val="Heading4"/>
        <w:numPr>
          <w:ilvl w:val="0"/>
          <w:numId w:val="56"/>
        </w:numPr>
      </w:pPr>
      <w:bookmarkStart w:id="68" w:name="_Toc148515725"/>
      <w:r w:rsidRPr="009B1D05">
        <w:t>Removes Calculation of Yield Requirement</w:t>
      </w:r>
      <w:bookmarkEnd w:id="68"/>
    </w:p>
    <w:p w:rsidR="0084228D" w:rsidRPr="009B1D05" w:rsidP="0084228D" w14:paraId="66F10A41" w14:textId="18EA2D30">
      <w:pPr>
        <w:rPr>
          <w:rFonts w:eastAsia="Times New Roman"/>
        </w:rPr>
      </w:pPr>
      <w:r w:rsidRPr="009B1D05">
        <w:rPr>
          <w:rFonts w:eastAsia="Times New Roman"/>
        </w:rPr>
        <w:tab/>
        <w:t xml:space="preserve">This </w:t>
      </w:r>
      <w:r w:rsidR="00340621">
        <w:rPr>
          <w:rFonts w:eastAsia="Times New Roman"/>
        </w:rPr>
        <w:t>final</w:t>
      </w:r>
      <w:r w:rsidRPr="009B1D05">
        <w:rPr>
          <w:rFonts w:eastAsia="Times New Roman"/>
        </w:rPr>
        <w:t xml:space="preserve"> rule </w:t>
      </w:r>
      <w:r w:rsidR="001940B0">
        <w:rPr>
          <w:rFonts w:eastAsia="Times New Roman"/>
        </w:rPr>
        <w:t>will</w:t>
      </w:r>
      <w:r w:rsidRPr="009B1D05">
        <w:rPr>
          <w:rFonts w:eastAsia="Times New Roman"/>
        </w:rPr>
        <w:t xml:space="preserve"> not require</w:t>
      </w:r>
      <w:r w:rsidR="000C5884">
        <w:rPr>
          <w:rFonts w:eastAsia="Times New Roman"/>
        </w:rPr>
        <w:t xml:space="preserve"> the</w:t>
      </w:r>
      <w:r w:rsidRPr="009B1D05">
        <w:rPr>
          <w:rFonts w:eastAsia="Times New Roman"/>
        </w:rPr>
        <w:t xml:space="preserve"> calculation of yield and percentages of theoretical yield at appropriate phase</w:t>
      </w:r>
      <w:r w:rsidR="0046475F">
        <w:rPr>
          <w:rFonts w:eastAsia="Times New Roman"/>
        </w:rPr>
        <w:t>s</w:t>
      </w:r>
      <w:r w:rsidRPr="009B1D05">
        <w:rPr>
          <w:rFonts w:eastAsia="Times New Roman"/>
        </w:rPr>
        <w:t xml:space="preserve"> of manufacturing, processing, packaging, or holding of the drug product. </w:t>
      </w:r>
      <w:r w:rsidRPr="009B1D05" w:rsidR="350CF229">
        <w:rPr>
          <w:rFonts w:eastAsia="Times New Roman"/>
        </w:rPr>
        <w:t>G</w:t>
      </w:r>
      <w:r w:rsidRPr="009B1D05">
        <w:rPr>
          <w:rFonts w:eastAsia="Times New Roman"/>
        </w:rPr>
        <w:t xml:space="preserve">as loss is expected during manufacturing and can be variable even under normal operating conditions. </w:t>
      </w:r>
      <w:r w:rsidR="00F72AE3">
        <w:rPr>
          <w:rFonts w:eastAsia="Times New Roman"/>
        </w:rPr>
        <w:t xml:space="preserve">The requirements in part 213 are </w:t>
      </w:r>
      <w:r w:rsidRPr="009B1D05">
        <w:rPr>
          <w:rFonts w:eastAsia="Times New Roman"/>
        </w:rPr>
        <w:t xml:space="preserve">sufficient to determine that the </w:t>
      </w:r>
      <w:r w:rsidR="00B4694B">
        <w:rPr>
          <w:rFonts w:eastAsia="Times New Roman"/>
        </w:rPr>
        <w:t>medical gas</w:t>
      </w:r>
      <w:r w:rsidRPr="009B1D05">
        <w:rPr>
          <w:rFonts w:eastAsia="Times New Roman"/>
        </w:rPr>
        <w:t xml:space="preserve"> in the container is the amount and type indicated by the label and required by the final product specifications. Consequently, adding a similar </w:t>
      </w:r>
      <w:r w:rsidRPr="009B1D05" w:rsidR="3E753798">
        <w:rPr>
          <w:rFonts w:eastAsia="Times New Roman"/>
        </w:rPr>
        <w:t xml:space="preserve">calculation of yield </w:t>
      </w:r>
      <w:r w:rsidRPr="009B1D05">
        <w:rPr>
          <w:rFonts w:eastAsia="Times New Roman"/>
        </w:rPr>
        <w:t xml:space="preserve">requirement </w:t>
      </w:r>
      <w:r w:rsidRPr="009B1D05" w:rsidR="373E6372">
        <w:rPr>
          <w:rFonts w:eastAsia="Times New Roman"/>
        </w:rPr>
        <w:t xml:space="preserve">to the requirement in </w:t>
      </w:r>
      <w:r w:rsidR="00035B1A">
        <w:rPr>
          <w:rFonts w:eastAsia="Times New Roman"/>
        </w:rPr>
        <w:t>P</w:t>
      </w:r>
      <w:r w:rsidRPr="009B1D05" w:rsidR="373E6372">
        <w:rPr>
          <w:rFonts w:eastAsia="Times New Roman"/>
        </w:rPr>
        <w:t xml:space="preserve">art 211 </w:t>
      </w:r>
      <w:r w:rsidR="001940B0">
        <w:rPr>
          <w:rFonts w:eastAsia="Times New Roman"/>
        </w:rPr>
        <w:t>w</w:t>
      </w:r>
      <w:r w:rsidR="009A328A">
        <w:rPr>
          <w:rFonts w:eastAsia="Times New Roman"/>
        </w:rPr>
        <w:t>ould</w:t>
      </w:r>
      <w:r w:rsidRPr="009B1D05">
        <w:rPr>
          <w:rFonts w:eastAsia="Times New Roman"/>
        </w:rPr>
        <w:t xml:space="preserve"> potentially be burdensome and </w:t>
      </w:r>
      <w:r w:rsidR="001940B0">
        <w:rPr>
          <w:rFonts w:eastAsia="Times New Roman"/>
        </w:rPr>
        <w:t>w</w:t>
      </w:r>
      <w:r w:rsidR="009A328A">
        <w:rPr>
          <w:rFonts w:eastAsia="Times New Roman"/>
        </w:rPr>
        <w:t>ould</w:t>
      </w:r>
      <w:r w:rsidRPr="009B1D05">
        <w:rPr>
          <w:rFonts w:eastAsia="Times New Roman"/>
        </w:rPr>
        <w:t xml:space="preserve"> not provide valuable information to manufacturers or us.</w:t>
      </w:r>
    </w:p>
    <w:p w:rsidR="003C0A67" w:rsidP="003C0A67" w14:paraId="5682DB24" w14:textId="751DE212">
      <w:pPr>
        <w:rPr>
          <w:rFonts w:eastAsia="Times New Roman"/>
        </w:rPr>
      </w:pPr>
    </w:p>
    <w:p w:rsidR="003C0A67" w:rsidRPr="00382303" w:rsidP="001C636D" w14:paraId="1676BF42" w14:textId="628AF24E">
      <w:pPr>
        <w:pStyle w:val="Heading4"/>
      </w:pPr>
      <w:bookmarkStart w:id="69" w:name="_Toc148515726"/>
      <w:r w:rsidRPr="00382303">
        <w:t>Allows Salvaging</w:t>
      </w:r>
      <w:r w:rsidR="00B4694B">
        <w:t xml:space="preserve"> of Medical Gases</w:t>
      </w:r>
      <w:bookmarkEnd w:id="69"/>
    </w:p>
    <w:p w:rsidR="003864CC" w:rsidP="00D92EF4" w14:paraId="0B8571C6" w14:textId="2AB42026">
      <w:r>
        <w:rPr>
          <w:rFonts w:eastAsia="Times New Roman"/>
        </w:rPr>
        <w:tab/>
        <w:t xml:space="preserve">This </w:t>
      </w:r>
      <w:r w:rsidR="00340621">
        <w:rPr>
          <w:rFonts w:eastAsia="Times New Roman"/>
        </w:rPr>
        <w:t>final</w:t>
      </w:r>
      <w:r>
        <w:rPr>
          <w:rFonts w:eastAsia="Times New Roman"/>
        </w:rPr>
        <w:t xml:space="preserve"> rule </w:t>
      </w:r>
      <w:r w:rsidR="001940B0">
        <w:rPr>
          <w:rFonts w:eastAsia="Times New Roman"/>
        </w:rPr>
        <w:t>will</w:t>
      </w:r>
      <w:r>
        <w:rPr>
          <w:rFonts w:eastAsia="Times New Roman"/>
        </w:rPr>
        <w:t xml:space="preserve"> allow </w:t>
      </w:r>
      <w:r w:rsidR="00B4694B">
        <w:rPr>
          <w:rFonts w:eastAsia="Times New Roman"/>
        </w:rPr>
        <w:t xml:space="preserve">medical gases </w:t>
      </w:r>
      <w:r w:rsidRPr="0049020D">
        <w:rPr>
          <w:rFonts w:eastAsia="Times New Roman"/>
        </w:rPr>
        <w:t xml:space="preserve">in containers that have been subjected to improper storage conditions </w:t>
      </w:r>
      <w:r>
        <w:rPr>
          <w:rFonts w:eastAsia="Times New Roman"/>
        </w:rPr>
        <w:t>to</w:t>
      </w:r>
      <w:r w:rsidRPr="0049020D">
        <w:rPr>
          <w:rFonts w:eastAsia="Times New Roman"/>
        </w:rPr>
        <w:t xml:space="preserve"> be</w:t>
      </w:r>
      <w:r w:rsidRPr="00130716">
        <w:rPr>
          <w:rFonts w:eastAsia="Times New Roman"/>
        </w:rPr>
        <w:t xml:space="preserve"> salvaged unless their containers have been subjected to adverse conditions that impact the identity, strength, quality, </w:t>
      </w:r>
      <w:r w:rsidR="00B6419C">
        <w:rPr>
          <w:rFonts w:eastAsia="Times New Roman"/>
        </w:rPr>
        <w:t>or</w:t>
      </w:r>
      <w:r w:rsidRPr="00130716" w:rsidR="00B6419C">
        <w:rPr>
          <w:rFonts w:eastAsia="Times New Roman"/>
        </w:rPr>
        <w:t xml:space="preserve"> </w:t>
      </w:r>
      <w:r w:rsidRPr="00130716">
        <w:rPr>
          <w:rFonts w:eastAsia="Times New Roman"/>
        </w:rPr>
        <w:t>purity of the product or integrity of the container closure.</w:t>
      </w:r>
      <w:r>
        <w:rPr>
          <w:rFonts w:eastAsia="Times New Roman"/>
        </w:rPr>
        <w:t xml:space="preserve"> </w:t>
      </w:r>
      <w:r w:rsidR="000C5884">
        <w:rPr>
          <w:rFonts w:eastAsia="Times New Roman"/>
        </w:rPr>
        <w:t>Under c</w:t>
      </w:r>
      <w:r>
        <w:rPr>
          <w:rFonts w:eastAsia="Times New Roman"/>
        </w:rPr>
        <w:t>urrent</w:t>
      </w:r>
      <w:r w:rsidR="000C5884">
        <w:rPr>
          <w:rFonts w:eastAsia="Times New Roman"/>
        </w:rPr>
        <w:t xml:space="preserve"> regulations</w:t>
      </w:r>
      <w:r>
        <w:rPr>
          <w:rFonts w:eastAsia="Times New Roman"/>
        </w:rPr>
        <w:t xml:space="preserve">, </w:t>
      </w:r>
      <w:r w:rsidR="00F71ACC">
        <w:rPr>
          <w:rFonts w:eastAsia="Times New Roman"/>
        </w:rPr>
        <w:t xml:space="preserve">these gases </w:t>
      </w:r>
      <w:r>
        <w:rPr>
          <w:rFonts w:eastAsia="Times New Roman"/>
        </w:rPr>
        <w:t xml:space="preserve">subject to improper storage conditions may not be salvaged. </w:t>
      </w:r>
      <w:r w:rsidR="006E4888">
        <w:rPr>
          <w:rFonts w:eastAsia="Times New Roman"/>
        </w:rPr>
        <w:t>I</w:t>
      </w:r>
      <w:r>
        <w:rPr>
          <w:rFonts w:eastAsia="Times New Roman"/>
        </w:rPr>
        <w:t xml:space="preserve">n </w:t>
      </w:r>
      <w:r w:rsidR="0001340A">
        <w:rPr>
          <w:rFonts w:eastAsia="Times New Roman"/>
        </w:rPr>
        <w:t xml:space="preserve">some instances, such as weather-related cases, the robust packaging of </w:t>
      </w:r>
      <w:r w:rsidR="00F71ACC">
        <w:rPr>
          <w:rFonts w:eastAsia="Times New Roman"/>
        </w:rPr>
        <w:t xml:space="preserve">these gases </w:t>
      </w:r>
      <w:r w:rsidR="0001340A">
        <w:rPr>
          <w:rFonts w:eastAsia="Times New Roman"/>
        </w:rPr>
        <w:t>in metal cylinders</w:t>
      </w:r>
      <w:r>
        <w:rPr>
          <w:rFonts w:eastAsia="Times New Roman"/>
        </w:rPr>
        <w:t xml:space="preserve"> </w:t>
      </w:r>
      <w:r w:rsidR="006E4888">
        <w:rPr>
          <w:rFonts w:eastAsia="Times New Roman"/>
        </w:rPr>
        <w:t xml:space="preserve">could </w:t>
      </w:r>
      <w:r w:rsidR="0001340A">
        <w:rPr>
          <w:rFonts w:eastAsia="Times New Roman"/>
        </w:rPr>
        <w:t xml:space="preserve">provide </w:t>
      </w:r>
      <w:r w:rsidR="006E4888">
        <w:rPr>
          <w:rFonts w:eastAsia="Times New Roman"/>
        </w:rPr>
        <w:t xml:space="preserve">a </w:t>
      </w:r>
      <w:r w:rsidR="0001340A">
        <w:rPr>
          <w:rFonts w:eastAsia="Times New Roman"/>
        </w:rPr>
        <w:t xml:space="preserve">sufficient safety </w:t>
      </w:r>
      <w:r w:rsidR="006E4888">
        <w:rPr>
          <w:rFonts w:eastAsia="Times New Roman"/>
        </w:rPr>
        <w:t xml:space="preserve">margin </w:t>
      </w:r>
      <w:r w:rsidR="0001340A">
        <w:rPr>
          <w:rFonts w:eastAsia="Times New Roman"/>
        </w:rPr>
        <w:t xml:space="preserve">for </w:t>
      </w:r>
      <w:r>
        <w:rPr>
          <w:rFonts w:eastAsia="Times New Roman"/>
        </w:rPr>
        <w:t>salvaging</w:t>
      </w:r>
      <w:r w:rsidR="00D52943">
        <w:rPr>
          <w:rFonts w:eastAsia="Times New Roman"/>
        </w:rPr>
        <w:t xml:space="preserve">. We believe </w:t>
      </w:r>
      <w:r w:rsidR="000C5884">
        <w:rPr>
          <w:rFonts w:eastAsia="Times New Roman"/>
        </w:rPr>
        <w:t xml:space="preserve">that </w:t>
      </w:r>
      <w:r w:rsidRPr="009B1D05" w:rsidR="000C5884">
        <w:rPr>
          <w:rFonts w:eastAsia="Times New Roman"/>
        </w:rPr>
        <w:t>manufactu</w:t>
      </w:r>
      <w:r w:rsidR="000C5884">
        <w:rPr>
          <w:rFonts w:eastAsia="Times New Roman"/>
        </w:rPr>
        <w:t>rers</w:t>
      </w:r>
      <w:r w:rsidRPr="009B1D05" w:rsidR="000C5884">
        <w:rPr>
          <w:rFonts w:eastAsia="Times New Roman"/>
        </w:rPr>
        <w:t>, process</w:t>
      </w:r>
      <w:r w:rsidR="000C5884">
        <w:rPr>
          <w:rFonts w:eastAsia="Times New Roman"/>
        </w:rPr>
        <w:t>ors</w:t>
      </w:r>
      <w:r w:rsidRPr="009B1D05" w:rsidR="000C5884">
        <w:rPr>
          <w:rFonts w:eastAsia="Times New Roman"/>
        </w:rPr>
        <w:t>, packag</w:t>
      </w:r>
      <w:r w:rsidR="000C5884">
        <w:rPr>
          <w:rFonts w:eastAsia="Times New Roman"/>
        </w:rPr>
        <w:t>ers</w:t>
      </w:r>
      <w:r w:rsidRPr="009B1D05" w:rsidR="000C5884">
        <w:rPr>
          <w:rFonts w:eastAsia="Times New Roman"/>
        </w:rPr>
        <w:t xml:space="preserve">, </w:t>
      </w:r>
      <w:r w:rsidR="000C5884">
        <w:rPr>
          <w:rFonts w:eastAsia="Times New Roman"/>
        </w:rPr>
        <w:t>and</w:t>
      </w:r>
      <w:r w:rsidRPr="009B1D05" w:rsidR="000C5884">
        <w:rPr>
          <w:rFonts w:eastAsia="Times New Roman"/>
        </w:rPr>
        <w:t xml:space="preserve"> hold</w:t>
      </w:r>
      <w:r w:rsidR="000C5884">
        <w:rPr>
          <w:rFonts w:eastAsia="Times New Roman"/>
        </w:rPr>
        <w:t xml:space="preserve">ers </w:t>
      </w:r>
      <w:r w:rsidR="00F71ACC">
        <w:rPr>
          <w:rFonts w:eastAsia="Times New Roman"/>
        </w:rPr>
        <w:t>of</w:t>
      </w:r>
      <w:r w:rsidR="00464B15">
        <w:rPr>
          <w:rFonts w:eastAsia="Times New Roman"/>
        </w:rPr>
        <w:t xml:space="preserve"> medical gases</w:t>
      </w:r>
      <w:r w:rsidR="00F71ACC">
        <w:rPr>
          <w:rFonts w:eastAsia="Times New Roman"/>
        </w:rPr>
        <w:t xml:space="preserve"> </w:t>
      </w:r>
      <w:r w:rsidR="000C5884">
        <w:rPr>
          <w:rFonts w:eastAsia="Times New Roman"/>
        </w:rPr>
        <w:t>are largely noncompliant with the current</w:t>
      </w:r>
      <w:r w:rsidR="00D52943">
        <w:rPr>
          <w:rFonts w:eastAsia="Times New Roman"/>
        </w:rPr>
        <w:t xml:space="preserve"> regulation.</w:t>
      </w:r>
      <w:r w:rsidR="000C5884">
        <w:rPr>
          <w:rFonts w:eastAsia="Times New Roman"/>
        </w:rPr>
        <w:t xml:space="preserve"> </w:t>
      </w:r>
      <w:r w:rsidR="00D52943">
        <w:rPr>
          <w:rFonts w:eastAsia="Times New Roman"/>
        </w:rPr>
        <w:t>H</w:t>
      </w:r>
      <w:r w:rsidR="000C5884">
        <w:rPr>
          <w:rFonts w:eastAsia="Times New Roman"/>
        </w:rPr>
        <w:t>owever</w:t>
      </w:r>
      <w:r w:rsidR="00D52943">
        <w:rPr>
          <w:rFonts w:eastAsia="Times New Roman"/>
        </w:rPr>
        <w:t xml:space="preserve">, </w:t>
      </w:r>
      <w:r w:rsidR="701839C0">
        <w:rPr>
          <w:rFonts w:eastAsia="Times New Roman"/>
        </w:rPr>
        <w:t xml:space="preserve">the more flexible </w:t>
      </w:r>
      <w:r w:rsidR="000C5884">
        <w:rPr>
          <w:rFonts w:eastAsia="Times New Roman"/>
        </w:rPr>
        <w:t xml:space="preserve">requirement </w:t>
      </w:r>
      <w:r w:rsidR="001940B0">
        <w:rPr>
          <w:rFonts w:eastAsia="Times New Roman"/>
        </w:rPr>
        <w:t>will</w:t>
      </w:r>
      <w:r w:rsidR="00D52943">
        <w:rPr>
          <w:rFonts w:eastAsia="Times New Roman"/>
        </w:rPr>
        <w:t xml:space="preserve"> likely</w:t>
      </w:r>
      <w:r w:rsidR="000C5884">
        <w:rPr>
          <w:rFonts w:eastAsia="Times New Roman"/>
        </w:rPr>
        <w:t xml:space="preserve"> </w:t>
      </w:r>
      <w:r w:rsidR="0027548F">
        <w:rPr>
          <w:rFonts w:eastAsia="Times New Roman"/>
        </w:rPr>
        <w:t>lead to small</w:t>
      </w:r>
      <w:r>
        <w:rPr>
          <w:rFonts w:eastAsia="Times New Roman"/>
        </w:rPr>
        <w:t xml:space="preserve"> cost saving</w:t>
      </w:r>
      <w:r w:rsidR="0027548F">
        <w:rPr>
          <w:rFonts w:eastAsia="Times New Roman"/>
        </w:rPr>
        <w:t>s</w:t>
      </w:r>
      <w:r w:rsidR="000C5884">
        <w:rPr>
          <w:rFonts w:eastAsia="Times New Roman"/>
        </w:rPr>
        <w:t xml:space="preserve"> </w:t>
      </w:r>
      <w:r w:rsidR="00D52943">
        <w:rPr>
          <w:rFonts w:eastAsia="Times New Roman"/>
        </w:rPr>
        <w:t>f</w:t>
      </w:r>
      <w:r w:rsidR="000C5884">
        <w:rPr>
          <w:rFonts w:eastAsia="Times New Roman"/>
        </w:rPr>
        <w:t>or those that were compl</w:t>
      </w:r>
      <w:r w:rsidR="009A328A">
        <w:rPr>
          <w:rFonts w:eastAsia="Times New Roman"/>
        </w:rPr>
        <w:t>ia</w:t>
      </w:r>
      <w:r w:rsidR="000C5884">
        <w:rPr>
          <w:rFonts w:eastAsia="Times New Roman"/>
        </w:rPr>
        <w:t>nt.</w:t>
      </w:r>
      <w:r>
        <w:rPr>
          <w:rFonts w:eastAsia="Times New Roman"/>
        </w:rPr>
        <w:t xml:space="preserve"> </w:t>
      </w:r>
    </w:p>
    <w:p w:rsidR="00863DCB" w:rsidP="009474AE" w14:paraId="79732CF3" w14:textId="2F7EF06C"/>
    <w:p w:rsidR="001F5FEB" w:rsidRPr="00AC2CB0" w:rsidP="00AC2CB0" w14:paraId="6C89E8CB" w14:textId="428912A5">
      <w:pPr>
        <w:pStyle w:val="Heading3"/>
        <w:rPr>
          <w:rFonts w:eastAsia="Times New Roman"/>
        </w:rPr>
      </w:pPr>
      <w:bookmarkStart w:id="70" w:name="_Toc66696226"/>
      <w:bookmarkStart w:id="71" w:name="_Toc148515727"/>
      <w:r>
        <w:t>Potential Additional Cost Savings</w:t>
      </w:r>
      <w:bookmarkEnd w:id="70"/>
      <w:bookmarkEnd w:id="71"/>
      <w:r>
        <w:t xml:space="preserve"> </w:t>
      </w:r>
    </w:p>
    <w:p w:rsidR="007F780F" w:rsidRPr="001F5FEB" w:rsidP="001F5FEB" w14:paraId="38BDA4FF" w14:textId="77777777">
      <w:pPr>
        <w:rPr>
          <w:rFonts w:eastAsia="Times New Roman"/>
        </w:rPr>
      </w:pPr>
    </w:p>
    <w:p w:rsidR="001F5FEB" w:rsidRPr="000E6DD7" w:rsidP="00AC2CB0" w14:paraId="0BAE9BBD" w14:textId="756F04A0">
      <w:pPr>
        <w:pStyle w:val="Heading4"/>
        <w:numPr>
          <w:ilvl w:val="0"/>
          <w:numId w:val="63"/>
        </w:numPr>
      </w:pPr>
      <w:bookmarkStart w:id="72" w:name="_Toc148515728"/>
      <w:r w:rsidRPr="000E6DD7">
        <w:t xml:space="preserve">Removes Requirement that Labels </w:t>
      </w:r>
      <w:r w:rsidR="009A328A">
        <w:t>N</w:t>
      </w:r>
      <w:r w:rsidRPr="000E6DD7">
        <w:t xml:space="preserve">ot </w:t>
      </w:r>
      <w:r w:rsidR="009A328A">
        <w:t>B</w:t>
      </w:r>
      <w:r w:rsidRPr="000E6DD7">
        <w:t>e Susceptible to Becoming Worn or Detached</w:t>
      </w:r>
      <w:bookmarkEnd w:id="72"/>
    </w:p>
    <w:p w:rsidR="001F5FEB" w:rsidRPr="001F5FEB" w:rsidP="001F5FEB" w14:paraId="44996579" w14:textId="3D97BF4B">
      <w:r w:rsidRPr="00C32CA1">
        <w:rPr>
          <w:rFonts w:eastAsia="Times New Roman"/>
        </w:rPr>
        <w:tab/>
        <w:t xml:space="preserve">This </w:t>
      </w:r>
      <w:r w:rsidR="00340621">
        <w:rPr>
          <w:rFonts w:eastAsia="Times New Roman"/>
        </w:rPr>
        <w:t>final</w:t>
      </w:r>
      <w:r w:rsidRPr="00C32CA1">
        <w:rPr>
          <w:rFonts w:eastAsia="Times New Roman"/>
        </w:rPr>
        <w:t xml:space="preserve"> rule </w:t>
      </w:r>
      <w:r w:rsidR="001940B0">
        <w:rPr>
          <w:rFonts w:eastAsia="Times New Roman"/>
        </w:rPr>
        <w:t>will</w:t>
      </w:r>
      <w:r w:rsidRPr="001F5FEB">
        <w:rPr>
          <w:rFonts w:eastAsia="Times New Roman"/>
        </w:rPr>
        <w:t xml:space="preserve"> not include </w:t>
      </w:r>
      <w:r w:rsidRPr="001F5FEB">
        <w:t xml:space="preserve">the requirement that the labeling not be susceptible to becoming worn or inadvertently detached during normal use. Since medical gas containers are reused and distributed among multiple entities, </w:t>
      </w:r>
      <w:r w:rsidRPr="00301002" w:rsidR="008873D4">
        <w:rPr>
          <w:rFonts w:eastAsia="Times New Roman"/>
        </w:rPr>
        <w:t xml:space="preserve">FDA believes that labeling inspection requirements in this rulemaking </w:t>
      </w:r>
      <w:r w:rsidR="006C59E8">
        <w:rPr>
          <w:rFonts w:eastAsia="Times New Roman"/>
        </w:rPr>
        <w:t xml:space="preserve">will </w:t>
      </w:r>
      <w:r w:rsidR="008873D4">
        <w:rPr>
          <w:rFonts w:eastAsia="Times New Roman"/>
        </w:rPr>
        <w:t>be sufficient to as</w:t>
      </w:r>
      <w:r w:rsidRPr="00301002" w:rsidR="008873D4">
        <w:rPr>
          <w:rFonts w:eastAsia="Times New Roman"/>
        </w:rPr>
        <w:t>sure that labeling that enters into distribution is complete, accurate, durable, and readable</w:t>
      </w:r>
      <w:r w:rsidR="008873D4">
        <w:rPr>
          <w:rFonts w:eastAsia="Times New Roman"/>
        </w:rPr>
        <w:t>, and that unsuitable labeling is replaced</w:t>
      </w:r>
      <w:r w:rsidRPr="00301002" w:rsidR="008873D4">
        <w:rPr>
          <w:rFonts w:eastAsia="Times New Roman"/>
        </w:rPr>
        <w:t>.</w:t>
      </w:r>
    </w:p>
    <w:p w:rsidR="001F5FEB" w:rsidRPr="001F5FEB" w:rsidP="00F70002" w14:paraId="27BF7C3F" w14:textId="6FB50D46">
      <w:pPr>
        <w:ind w:firstLine="720"/>
        <w:rPr>
          <w:rFonts w:eastAsia="Times New Roman"/>
        </w:rPr>
      </w:pPr>
      <w:r w:rsidRPr="001F5FEB">
        <w:t>The current industry practice</w:t>
      </w:r>
      <w:r w:rsidR="008E2C67">
        <w:t xml:space="preserve"> for </w:t>
      </w:r>
      <w:r w:rsidR="008873D4">
        <w:t>medical gases</w:t>
      </w:r>
      <w:r w:rsidRPr="001F5FEB">
        <w:t xml:space="preserve"> is that labels are reused. Consequently, labels over their lifetime </w:t>
      </w:r>
      <w:r w:rsidR="001940B0">
        <w:t>will</w:t>
      </w:r>
      <w:r w:rsidRPr="001F5FEB">
        <w:t xml:space="preserve"> become detached or worn</w:t>
      </w:r>
      <w:r w:rsidR="009A328A">
        <w:t>,</w:t>
      </w:r>
      <w:r w:rsidRPr="001F5FEB">
        <w:t xml:space="preserve"> at which point they </w:t>
      </w:r>
      <w:r w:rsidRPr="001F5FEB" w:rsidR="006C59E8">
        <w:t>w</w:t>
      </w:r>
      <w:r w:rsidR="006C59E8">
        <w:t>ill</w:t>
      </w:r>
      <w:r w:rsidRPr="001F5FEB" w:rsidR="006C59E8">
        <w:t xml:space="preserve"> </w:t>
      </w:r>
      <w:r w:rsidRPr="001F5FEB">
        <w:t xml:space="preserve">need to be replaced under </w:t>
      </w:r>
      <w:r w:rsidR="00F65A30">
        <w:rPr>
          <w:rFonts w:eastAsia="Times New Roman"/>
        </w:rPr>
        <w:t>current regulation</w:t>
      </w:r>
      <w:r w:rsidRPr="001F5FEB">
        <w:rPr>
          <w:rFonts w:eastAsia="Times New Roman"/>
        </w:rPr>
        <w:t xml:space="preserve">. </w:t>
      </w:r>
      <w:r w:rsidR="00F65A30">
        <w:rPr>
          <w:rFonts w:eastAsia="Times New Roman"/>
        </w:rPr>
        <w:t xml:space="preserve">This </w:t>
      </w:r>
      <w:r w:rsidR="00615F3A">
        <w:rPr>
          <w:rFonts w:eastAsia="Times New Roman"/>
        </w:rPr>
        <w:t>final</w:t>
      </w:r>
      <w:r w:rsidR="00F65A30">
        <w:rPr>
          <w:rFonts w:eastAsia="Times New Roman"/>
        </w:rPr>
        <w:t xml:space="preserve"> rule</w:t>
      </w:r>
      <w:r w:rsidRPr="001F5FEB">
        <w:rPr>
          <w:rFonts w:eastAsia="Times New Roman"/>
        </w:rPr>
        <w:t xml:space="preserve"> </w:t>
      </w:r>
      <w:r w:rsidR="001940B0">
        <w:rPr>
          <w:rFonts w:eastAsia="Times New Roman"/>
        </w:rPr>
        <w:t>will</w:t>
      </w:r>
      <w:r w:rsidRPr="001F5FEB">
        <w:rPr>
          <w:rFonts w:eastAsia="Times New Roman"/>
        </w:rPr>
        <w:t xml:space="preserve"> allow the reuse of labels as long as they are legible and properly affixed to the container. </w:t>
      </w:r>
      <w:r w:rsidR="002251A0">
        <w:rPr>
          <w:rFonts w:eastAsia="Times New Roman"/>
        </w:rPr>
        <w:t xml:space="preserve">Allowing the reuse of labels may reduce the frequency at which labels are replaced. However, we believe that </w:t>
      </w:r>
      <w:r w:rsidR="008873D4">
        <w:rPr>
          <w:rFonts w:eastAsia="Times New Roman"/>
        </w:rPr>
        <w:t>medica</w:t>
      </w:r>
      <w:r w:rsidR="00CB62B1">
        <w:rPr>
          <w:rFonts w:eastAsia="Times New Roman"/>
        </w:rPr>
        <w:softHyphen/>
      </w:r>
      <w:r w:rsidR="00CB62B1">
        <w:rPr>
          <w:rFonts w:eastAsia="Times New Roman"/>
        </w:rPr>
        <w:softHyphen/>
      </w:r>
      <w:r w:rsidR="008873D4">
        <w:rPr>
          <w:rFonts w:eastAsia="Times New Roman"/>
        </w:rPr>
        <w:t>l gas</w:t>
      </w:r>
      <w:r w:rsidR="00F65A30">
        <w:rPr>
          <w:rFonts w:eastAsia="Times New Roman"/>
        </w:rPr>
        <w:t xml:space="preserve"> manufacturers, processors, packagers, and holders</w:t>
      </w:r>
      <w:r w:rsidR="002251A0">
        <w:rPr>
          <w:rFonts w:eastAsia="Times New Roman"/>
        </w:rPr>
        <w:t xml:space="preserve"> are largely reusing labels and that the cost savings </w:t>
      </w:r>
      <w:r w:rsidR="001940B0">
        <w:rPr>
          <w:rFonts w:eastAsia="Times New Roman"/>
        </w:rPr>
        <w:t>will</w:t>
      </w:r>
      <w:r w:rsidR="002251A0">
        <w:rPr>
          <w:rFonts w:eastAsia="Times New Roman"/>
        </w:rPr>
        <w:t xml:space="preserve"> likely be small if any. </w:t>
      </w:r>
    </w:p>
    <w:p w:rsidR="001F5FEB" w:rsidRPr="00C32CA1" w:rsidP="001F5FEB" w14:paraId="1B6D4990" w14:textId="42471C89">
      <w:pPr>
        <w:rPr>
          <w:rFonts w:eastAsia="Times New Roman"/>
        </w:rPr>
      </w:pPr>
    </w:p>
    <w:p w:rsidR="001F5FEB" w:rsidRPr="000E6DD7" w:rsidP="000E6DD7" w14:paraId="261C7BF4" w14:textId="35B527BF">
      <w:pPr>
        <w:pStyle w:val="Heading4"/>
      </w:pPr>
      <w:bookmarkStart w:id="73" w:name="_Toc43984308"/>
      <w:bookmarkStart w:id="74" w:name="_Toc43984309"/>
      <w:bookmarkStart w:id="75" w:name="_Toc148515729"/>
      <w:bookmarkEnd w:id="73"/>
      <w:bookmarkEnd w:id="74"/>
      <w:r w:rsidRPr="000E6DD7">
        <w:t>Clarifications for the Certification Request Process</w:t>
      </w:r>
      <w:bookmarkEnd w:id="75"/>
    </w:p>
    <w:p w:rsidR="001F5FEB" w:rsidRPr="001F5FEB" w:rsidP="3AE1EA29" w14:paraId="2DCC15E2" w14:textId="261C945D">
      <w:pPr>
        <w:ind w:firstLine="720"/>
        <w:rPr>
          <w:rFonts w:eastAsia="Times New Roman"/>
        </w:rPr>
      </w:pPr>
      <w:r>
        <w:t xml:space="preserve">This </w:t>
      </w:r>
      <w:r w:rsidR="00615F3A">
        <w:t>final</w:t>
      </w:r>
      <w:r>
        <w:t xml:space="preserve"> rule </w:t>
      </w:r>
      <w:r w:rsidR="001940B0">
        <w:t>will</w:t>
      </w:r>
      <w:r>
        <w:t xml:space="preserve"> </w:t>
      </w:r>
      <w:r w:rsidR="00CC5784">
        <w:t>clarify</w:t>
      </w:r>
      <w:r w:rsidR="0011558C">
        <w:t xml:space="preserve"> the certification </w:t>
      </w:r>
      <w:r w:rsidR="00CC5784">
        <w:t>request process through several new provisions</w:t>
      </w:r>
      <w:r w:rsidRPr="3AE1EA29">
        <w:rPr>
          <w:rFonts w:eastAsia="Times New Roman"/>
        </w:rPr>
        <w:t xml:space="preserve">. </w:t>
      </w:r>
      <w:r w:rsidRPr="3AE1EA29" w:rsidR="003A7495">
        <w:rPr>
          <w:rFonts w:eastAsia="Times New Roman"/>
        </w:rPr>
        <w:t xml:space="preserve">We believe that most firms </w:t>
      </w:r>
      <w:r w:rsidRPr="3AE1EA29" w:rsidR="00E16F37">
        <w:rPr>
          <w:rFonts w:eastAsia="Times New Roman"/>
        </w:rPr>
        <w:t>are aware of the certification process, but we believe that in some cases when firms are not</w:t>
      </w:r>
      <w:r w:rsidR="007A6D05">
        <w:rPr>
          <w:rFonts w:eastAsia="Times New Roman"/>
        </w:rPr>
        <w:t>,</w:t>
      </w:r>
      <w:r w:rsidRPr="3AE1EA29" w:rsidR="00E16F37">
        <w:rPr>
          <w:rFonts w:eastAsia="Times New Roman"/>
        </w:rPr>
        <w:t xml:space="preserve"> this</w:t>
      </w:r>
      <w:r w:rsidRPr="3AE1EA29" w:rsidR="00CC5784">
        <w:rPr>
          <w:rFonts w:eastAsia="Times New Roman"/>
        </w:rPr>
        <w:t xml:space="preserve"> clarification</w:t>
      </w:r>
      <w:r w:rsidRPr="3AE1EA29" w:rsidR="00E16F37">
        <w:rPr>
          <w:rFonts w:eastAsia="Times New Roman"/>
        </w:rPr>
        <w:t xml:space="preserve"> </w:t>
      </w:r>
      <w:r w:rsidRPr="3AE1EA29" w:rsidR="00A43998">
        <w:rPr>
          <w:rFonts w:eastAsia="Times New Roman"/>
        </w:rPr>
        <w:t xml:space="preserve">may </w:t>
      </w:r>
      <w:r w:rsidRPr="3AE1EA29" w:rsidR="00E16F37">
        <w:rPr>
          <w:rFonts w:eastAsia="Times New Roman"/>
        </w:rPr>
        <w:t xml:space="preserve">save firms </w:t>
      </w:r>
      <w:r w:rsidRPr="3AE1EA29" w:rsidR="00A43998">
        <w:rPr>
          <w:rFonts w:eastAsia="Times New Roman"/>
        </w:rPr>
        <w:t xml:space="preserve">resources </w:t>
      </w:r>
      <w:r w:rsidRPr="3AE1EA29" w:rsidR="00E16F37">
        <w:rPr>
          <w:rFonts w:eastAsia="Times New Roman"/>
        </w:rPr>
        <w:t xml:space="preserve">in </w:t>
      </w:r>
      <w:r w:rsidRPr="3AE1EA29" w:rsidR="35FF1526">
        <w:rPr>
          <w:rFonts w:eastAsia="Times New Roman"/>
        </w:rPr>
        <w:t xml:space="preserve">navigating </w:t>
      </w:r>
      <w:r w:rsidRPr="3AE1EA29" w:rsidR="00E16F37">
        <w:rPr>
          <w:rFonts w:eastAsia="Times New Roman"/>
        </w:rPr>
        <w:t xml:space="preserve">the </w:t>
      </w:r>
      <w:r w:rsidRPr="3AE1EA29" w:rsidR="00460A48">
        <w:rPr>
          <w:rFonts w:eastAsia="Times New Roman"/>
        </w:rPr>
        <w:t>process and</w:t>
      </w:r>
      <w:r w:rsidRPr="3AE1EA29" w:rsidR="3D31EB44">
        <w:rPr>
          <w:rFonts w:eastAsia="Times New Roman"/>
        </w:rPr>
        <w:t xml:space="preserve"> </w:t>
      </w:r>
      <w:r w:rsidRPr="3AE1EA29" w:rsidR="00A43998">
        <w:rPr>
          <w:rFonts w:eastAsia="Times New Roman"/>
        </w:rPr>
        <w:t xml:space="preserve">may </w:t>
      </w:r>
      <w:r w:rsidRPr="3AE1EA29" w:rsidR="13101884">
        <w:rPr>
          <w:rFonts w:eastAsia="Times New Roman"/>
        </w:rPr>
        <w:t xml:space="preserve">also </w:t>
      </w:r>
      <w:r w:rsidRPr="3AE1EA29" w:rsidR="00E16F37">
        <w:rPr>
          <w:rFonts w:eastAsia="Times New Roman"/>
        </w:rPr>
        <w:t xml:space="preserve">save FDA </w:t>
      </w:r>
      <w:r w:rsidRPr="3AE1EA29" w:rsidR="00A43998">
        <w:rPr>
          <w:rFonts w:eastAsia="Times New Roman"/>
        </w:rPr>
        <w:t xml:space="preserve">resources </w:t>
      </w:r>
      <w:r w:rsidRPr="3AE1EA29" w:rsidR="00CC5784">
        <w:rPr>
          <w:rFonts w:eastAsia="Times New Roman"/>
        </w:rPr>
        <w:t>by reducing the number of requests for clarification from industry</w:t>
      </w:r>
      <w:r w:rsidRPr="3AE1EA29" w:rsidR="00E16F37">
        <w:rPr>
          <w:rFonts w:eastAsia="Times New Roman"/>
        </w:rPr>
        <w:t xml:space="preserve">. We believe the time saving for including this requirement </w:t>
      </w:r>
      <w:r w:rsidR="006C59E8">
        <w:rPr>
          <w:rFonts w:eastAsia="Times New Roman"/>
        </w:rPr>
        <w:t>will</w:t>
      </w:r>
      <w:r w:rsidRPr="3AE1EA29" w:rsidR="00E16F37">
        <w:rPr>
          <w:rFonts w:eastAsia="Times New Roman"/>
        </w:rPr>
        <w:t xml:space="preserve"> be small if any. </w:t>
      </w:r>
    </w:p>
    <w:p w:rsidR="001F5FEB" w:rsidRPr="001F5FEB" w:rsidP="001F5FEB" w14:paraId="770BFFC7" w14:textId="77777777">
      <w:pPr>
        <w:ind w:firstLine="720"/>
        <w:rPr>
          <w:rFonts w:eastAsia="Times New Roman"/>
          <w:iCs/>
        </w:rPr>
      </w:pPr>
    </w:p>
    <w:p w:rsidR="001F5FEB" w:rsidRPr="000E6DD7" w:rsidP="001F5FEB" w14:paraId="126E6F85" w14:textId="1686F598">
      <w:pPr>
        <w:pStyle w:val="Heading4"/>
        <w:numPr>
          <w:ilvl w:val="0"/>
          <w:numId w:val="42"/>
        </w:numPr>
      </w:pPr>
      <w:bookmarkStart w:id="76" w:name="_Toc148515730"/>
      <w:r>
        <w:t xml:space="preserve">Clarification of Events that </w:t>
      </w:r>
      <w:r w:rsidR="009A328A">
        <w:t>D</w:t>
      </w:r>
      <w:r>
        <w:t xml:space="preserve">o </w:t>
      </w:r>
      <w:r w:rsidR="009A328A">
        <w:t>N</w:t>
      </w:r>
      <w:r>
        <w:t xml:space="preserve">ot Require </w:t>
      </w:r>
      <w:r w:rsidR="00F0316E">
        <w:t>Adverse Event</w:t>
      </w:r>
      <w:r w:rsidRPr="000E6DD7">
        <w:t xml:space="preserve"> Reports</w:t>
      </w:r>
      <w:bookmarkEnd w:id="76"/>
      <w:r w:rsidRPr="000E6DD7">
        <w:t xml:space="preserve"> </w:t>
      </w:r>
    </w:p>
    <w:p w:rsidR="001F5FEB" w:rsidRPr="001F5FEB" w:rsidP="001F5FEB" w14:paraId="21658C78" w14:textId="7AB98EB1">
      <w:pPr>
        <w:rPr>
          <w:iCs/>
        </w:rPr>
      </w:pPr>
      <w:r w:rsidRPr="00C32CA1">
        <w:rPr>
          <w:rFonts w:eastAsia="Times New Roman"/>
        </w:rPr>
        <w:tab/>
        <w:t xml:space="preserve">This </w:t>
      </w:r>
      <w:r w:rsidR="00615F3A">
        <w:rPr>
          <w:rFonts w:eastAsia="Times New Roman"/>
        </w:rPr>
        <w:t>final</w:t>
      </w:r>
      <w:r w:rsidRPr="00C32CA1">
        <w:rPr>
          <w:rFonts w:eastAsia="Times New Roman"/>
        </w:rPr>
        <w:t xml:space="preserve"> rule </w:t>
      </w:r>
      <w:r w:rsidR="001940B0">
        <w:rPr>
          <w:rFonts w:eastAsia="Times New Roman"/>
        </w:rPr>
        <w:t>will</w:t>
      </w:r>
      <w:r w:rsidRPr="00C32CA1">
        <w:rPr>
          <w:rFonts w:eastAsia="Times New Roman"/>
        </w:rPr>
        <w:t xml:space="preserve"> </w:t>
      </w:r>
      <w:r w:rsidR="006279B8">
        <w:rPr>
          <w:rFonts w:eastAsia="Times New Roman"/>
        </w:rPr>
        <w:t xml:space="preserve">include an exception </w:t>
      </w:r>
      <w:r w:rsidRPr="001F5FEB">
        <w:rPr>
          <w:rFonts w:eastAsia="Times New Roman"/>
          <w:iCs/>
        </w:rPr>
        <w:t xml:space="preserve">that </w:t>
      </w:r>
      <w:r w:rsidR="00F0316E">
        <w:rPr>
          <w:iCs/>
        </w:rPr>
        <w:t>adverse event</w:t>
      </w:r>
      <w:r w:rsidRPr="001F5FEB">
        <w:rPr>
          <w:iCs/>
        </w:rPr>
        <w:t xml:space="preserve"> reports are not required for</w:t>
      </w:r>
      <w:r w:rsidR="00A43998">
        <w:rPr>
          <w:iCs/>
        </w:rPr>
        <w:t xml:space="preserve"> (a)</w:t>
      </w:r>
      <w:r w:rsidRPr="001F5FEB">
        <w:rPr>
          <w:iCs/>
        </w:rPr>
        <w:t xml:space="preserve"> reports of the death of a patient or animal who was administered oxygen, unless the applicant or nonapplicant becomes aware of evidence that the death was caused by the administration of oxygen</w:t>
      </w:r>
      <w:r w:rsidR="009A328A">
        <w:rPr>
          <w:iCs/>
        </w:rPr>
        <w:t>,</w:t>
      </w:r>
      <w:r w:rsidR="00A43998">
        <w:rPr>
          <w:iCs/>
        </w:rPr>
        <w:t xml:space="preserve"> or (b) </w:t>
      </w:r>
      <w:r w:rsidRPr="00B66270" w:rsidR="00A43998">
        <w:rPr>
          <w:rFonts w:eastAsia="Times New Roman"/>
          <w:iCs/>
        </w:rPr>
        <w:t xml:space="preserve">fires associated with the administration of oxygen that do not include an </w:t>
      </w:r>
      <w:r w:rsidR="00F0316E">
        <w:rPr>
          <w:rFonts w:eastAsia="Times New Roman"/>
          <w:iCs/>
        </w:rPr>
        <w:t>adverse event</w:t>
      </w:r>
      <w:r w:rsidRPr="00B66270" w:rsidR="00A43998">
        <w:rPr>
          <w:rFonts w:eastAsia="Times New Roman"/>
          <w:iCs/>
        </w:rPr>
        <w:t xml:space="preserve"> experienced by the patient</w:t>
      </w:r>
      <w:r w:rsidR="00A43998">
        <w:rPr>
          <w:rFonts w:eastAsia="Times New Roman"/>
          <w:iCs/>
        </w:rPr>
        <w:t xml:space="preserve"> or animal</w:t>
      </w:r>
      <w:r w:rsidRPr="001F5FEB">
        <w:rPr>
          <w:iCs/>
        </w:rPr>
        <w:t>.</w:t>
      </w:r>
      <w:r w:rsidR="00A43998">
        <w:rPr>
          <w:iCs/>
        </w:rPr>
        <w:t xml:space="preserve"> </w:t>
      </w:r>
      <w:r w:rsidR="00A43998">
        <w:rPr>
          <w:rFonts w:eastAsia="Times New Roman"/>
          <w:iCs/>
        </w:rPr>
        <w:t xml:space="preserve">We believe that </w:t>
      </w:r>
      <w:r w:rsidR="00C6489C">
        <w:rPr>
          <w:rFonts w:eastAsia="Times New Roman"/>
          <w:iCs/>
        </w:rPr>
        <w:t xml:space="preserve">such reports are not necessary because they are unlikely to </w:t>
      </w:r>
      <w:r w:rsidR="008D4774">
        <w:rPr>
          <w:rFonts w:eastAsia="Times New Roman"/>
          <w:iCs/>
        </w:rPr>
        <w:t>reflect an underlying safety signal or provide new information to the Agency.</w:t>
      </w:r>
      <w:r w:rsidR="00A43998">
        <w:rPr>
          <w:rFonts w:eastAsia="Times New Roman"/>
          <w:iCs/>
        </w:rPr>
        <w:t xml:space="preserve"> </w:t>
      </w:r>
      <w:r w:rsidR="008D4774">
        <w:rPr>
          <w:rFonts w:eastAsia="Times New Roman"/>
          <w:iCs/>
        </w:rPr>
        <w:t>T</w:t>
      </w:r>
      <w:r w:rsidR="00A43998">
        <w:rPr>
          <w:rFonts w:eastAsia="Times New Roman"/>
          <w:iCs/>
        </w:rPr>
        <w:t xml:space="preserve">his </w:t>
      </w:r>
      <w:r w:rsidR="008D4774">
        <w:rPr>
          <w:rFonts w:eastAsia="Times New Roman"/>
          <w:iCs/>
        </w:rPr>
        <w:t>exception</w:t>
      </w:r>
      <w:r w:rsidR="00A43998">
        <w:rPr>
          <w:rFonts w:eastAsia="Times New Roman"/>
          <w:iCs/>
        </w:rPr>
        <w:t xml:space="preserve"> may save firms resources from not submitting the reports and may save FDA resources from not reviewing the reports. We believe the resource savings from this clarification </w:t>
      </w:r>
      <w:r w:rsidR="006C59E8">
        <w:rPr>
          <w:rFonts w:eastAsia="Times New Roman"/>
          <w:iCs/>
        </w:rPr>
        <w:t>will</w:t>
      </w:r>
      <w:r w:rsidR="00A43998">
        <w:rPr>
          <w:rFonts w:eastAsia="Times New Roman"/>
          <w:iCs/>
        </w:rPr>
        <w:t xml:space="preserve"> be small if any.</w:t>
      </w:r>
    </w:p>
    <w:p w:rsidR="001F5FEB" w:rsidRPr="001F5FEB" w:rsidP="001F5FEB" w14:paraId="4401A172" w14:textId="61FEC1EC">
      <w:r>
        <w:rPr>
          <w:rFonts w:eastAsia="Times New Roman"/>
        </w:rPr>
        <w:tab/>
      </w:r>
    </w:p>
    <w:p w:rsidR="00F47D86" w:rsidP="00F47D86" w14:paraId="6DAF9BAD" w14:textId="0A0B773F">
      <w:pPr>
        <w:pStyle w:val="Heading2"/>
      </w:pPr>
      <w:bookmarkStart w:id="77" w:name="_Toc148515731"/>
      <w:r>
        <w:t>Costs of the Rule</w:t>
      </w:r>
      <w:bookmarkEnd w:id="77"/>
    </w:p>
    <w:p w:rsidR="006C2739" w:rsidRPr="006C2739" w:rsidP="006C2739" w14:paraId="0E577A14" w14:textId="77777777"/>
    <w:p w:rsidR="006C2739" w:rsidP="001C636D" w14:paraId="4CF2F6F4" w14:textId="0E627F4E">
      <w:pPr>
        <w:pStyle w:val="Heading3"/>
        <w:numPr>
          <w:ilvl w:val="0"/>
          <w:numId w:val="37"/>
        </w:numPr>
      </w:pPr>
      <w:bookmarkStart w:id="78" w:name="_Toc526925438"/>
      <w:bookmarkStart w:id="79" w:name="_Toc148515732"/>
      <w:r w:rsidRPr="00D510DB">
        <w:t xml:space="preserve">Administrative </w:t>
      </w:r>
      <w:r w:rsidR="00440CC7">
        <w:t>C</w:t>
      </w:r>
      <w:r w:rsidRPr="00D510DB">
        <w:t>osts</w:t>
      </w:r>
      <w:bookmarkEnd w:id="78"/>
      <w:bookmarkEnd w:id="79"/>
      <w:r w:rsidRPr="00D510DB">
        <w:t xml:space="preserve"> </w:t>
      </w:r>
    </w:p>
    <w:p w:rsidR="003422CD" w:rsidRPr="00BE560E" w:rsidP="008D0D48" w14:paraId="20D54BE9" w14:textId="07E66B05">
      <w:pPr>
        <w:ind w:firstLine="360"/>
      </w:pPr>
    </w:p>
    <w:p w:rsidR="006C2739" w:rsidRPr="00D510DB" w:rsidP="00C738E4" w14:paraId="24611E01" w14:textId="68A1BBF0">
      <w:pPr>
        <w:ind w:firstLine="720"/>
      </w:pPr>
      <w:r w:rsidRPr="00D510DB">
        <w:t xml:space="preserve">All entities affected by this </w:t>
      </w:r>
      <w:r w:rsidR="00615F3A">
        <w:t>final</w:t>
      </w:r>
      <w:r w:rsidRPr="00D510DB">
        <w:t xml:space="preserve"> rule </w:t>
      </w:r>
      <w:r w:rsidR="001940B0">
        <w:t>will</w:t>
      </w:r>
      <w:r w:rsidRPr="00D510DB">
        <w:t xml:space="preserve"> incur a one-time cost for reading and understanding this rule. We use the time required to complete this activity </w:t>
      </w:r>
      <w:r w:rsidR="00EE4CC4">
        <w:t>as an</w:t>
      </w:r>
      <w:r w:rsidRPr="00D510DB" w:rsidR="00EE4CC4">
        <w:t xml:space="preserve"> </w:t>
      </w:r>
      <w:r w:rsidRPr="00D510DB">
        <w:t xml:space="preserve">estimate </w:t>
      </w:r>
      <w:r w:rsidR="00923806">
        <w:t xml:space="preserve">of </w:t>
      </w:r>
      <w:r w:rsidRPr="00D510DB">
        <w:t xml:space="preserve">the burden of this activity. To understand this rule, affected entities </w:t>
      </w:r>
      <w:r w:rsidR="006C59E8">
        <w:t>will</w:t>
      </w:r>
      <w:r w:rsidRPr="00D510DB">
        <w:t xml:space="preserve"> read the preamble and codified which together contain around </w:t>
      </w:r>
      <w:r w:rsidR="00163FAF">
        <w:t>4</w:t>
      </w:r>
      <w:r w:rsidR="007B0685">
        <w:t>0</w:t>
      </w:r>
      <w:r w:rsidRPr="00D510DB">
        <w:t xml:space="preserve">,000 words. </w:t>
      </w:r>
      <w:r w:rsidR="00A277AF">
        <w:t>Following Health and Human Service</w:t>
      </w:r>
      <w:r w:rsidR="000B0B7F">
        <w:t>s</w:t>
      </w:r>
      <w:r w:rsidR="00A277AF">
        <w:t xml:space="preserve"> guidelines</w:t>
      </w:r>
      <w:r w:rsidR="00A50563">
        <w:t>,</w:t>
      </w:r>
      <w:r w:rsidR="00D614E5">
        <w:t xml:space="preserve"> </w:t>
      </w:r>
      <w:r w:rsidR="00A277AF">
        <w:t>we calculate the cost of reading and understanding this rule a</w:t>
      </w:r>
      <w:r w:rsidRPr="00D510DB">
        <w:t>ssuming</w:t>
      </w:r>
      <w:r>
        <w:t xml:space="preserve"> </w:t>
      </w:r>
      <w:r w:rsidRPr="00D510DB">
        <w:t>industry reviewers read at the average adult reading speed of approximately 200 words to 250 words per minute</w:t>
      </w:r>
      <w:r w:rsidR="00923806">
        <w:t>.</w:t>
      </w:r>
      <w:r>
        <w:rPr>
          <w:rStyle w:val="FootnoteReference"/>
        </w:rPr>
        <w:footnoteReference w:id="14"/>
      </w:r>
      <w:r w:rsidR="00923806">
        <w:t xml:space="preserve"> We estimate</w:t>
      </w:r>
      <w:r w:rsidRPr="00D510DB">
        <w:t xml:space="preserve"> the time to read the regulation is </w:t>
      </w:r>
      <w:r w:rsidR="00211A66">
        <w:t>2.7</w:t>
      </w:r>
      <w:r w:rsidRPr="00D510DB">
        <w:t xml:space="preserve"> hours to </w:t>
      </w:r>
      <w:r w:rsidR="00211A66">
        <w:t>3.3</w:t>
      </w:r>
      <w:r w:rsidRPr="00D510DB">
        <w:t xml:space="preserve"> hours per person. We assume that</w:t>
      </w:r>
      <w:r w:rsidR="00C06496">
        <w:t xml:space="preserve"> 1</w:t>
      </w:r>
      <w:r w:rsidRPr="00D510DB">
        <w:t xml:space="preserve"> to </w:t>
      </w:r>
      <w:r w:rsidR="00C06496">
        <w:t>3</w:t>
      </w:r>
      <w:r w:rsidRPr="00D510DB">
        <w:t xml:space="preserve"> people read the rule at each affected entity.</w:t>
      </w:r>
      <w:r w:rsidR="00F67A8D">
        <w:t xml:space="preserve"> </w:t>
      </w:r>
    </w:p>
    <w:p w:rsidR="006C2739" w:rsidRPr="00C34EF0" w:rsidP="00F75C3C" w14:paraId="3CC8D3EC" w14:textId="0564B7F1">
      <w:pPr>
        <w:ind w:firstLine="720"/>
      </w:pPr>
      <w:r w:rsidRPr="00C34EF0">
        <w:t xml:space="preserve">To value the time for complying with </w:t>
      </w:r>
      <w:r>
        <w:t>reading and understanding the rule</w:t>
      </w:r>
      <w:r w:rsidR="00A50563">
        <w:t>,</w:t>
      </w:r>
      <w:r w:rsidRPr="00C34EF0">
        <w:t xml:space="preserve"> we use composite wages calculated from the Bureau of Labor Statistics’ national industry-specific occupational employment and wage estimates for the pharmaceutical and medical manufacturing industry (Ref.</w:t>
      </w:r>
      <w:r>
        <w:t xml:space="preserve"> </w:t>
      </w:r>
      <w:r w:rsidR="006844FE">
        <w:t>4</w:t>
      </w:r>
      <w:r w:rsidRPr="00C34EF0">
        <w:t>).</w:t>
      </w:r>
      <w:r>
        <w:rPr>
          <w:rStyle w:val="FootnoteReference"/>
        </w:rPr>
        <w:footnoteReference w:id="15"/>
      </w:r>
      <w:r w:rsidRPr="00C34EF0">
        <w:t xml:space="preserve"> To value the time associated with reading and understanding the rule, we use a mix of 50 percent management occupations (occupation code 11-0000) and 50 percent legal </w:t>
      </w:r>
      <w:r w:rsidRPr="00C34EF0">
        <w:t>occupations (occupation code 23-0000). This mix yields a composite wage of $</w:t>
      </w:r>
      <w:r w:rsidR="0003095E">
        <w:t>88.95</w:t>
      </w:r>
      <w:r w:rsidRPr="00C34EF0">
        <w:t>.</w:t>
      </w:r>
      <w:r>
        <w:rPr>
          <w:rStyle w:val="FootnoteReference"/>
        </w:rPr>
        <w:footnoteReference w:id="16"/>
      </w:r>
      <w:r w:rsidR="00F67A8D">
        <w:t xml:space="preserve"> </w:t>
      </w:r>
      <w:r w:rsidRPr="00C34EF0">
        <w:t>We double this to account for benefits and overhead, yielding a</w:t>
      </w:r>
      <w:r w:rsidR="00F01E15">
        <w:t xml:space="preserve"> </w:t>
      </w:r>
      <w:r w:rsidR="00986206">
        <w:t>fully-loaded</w:t>
      </w:r>
      <w:r w:rsidR="00B30C77">
        <w:t xml:space="preserve"> </w:t>
      </w:r>
      <w:r w:rsidR="00F01E15">
        <w:t>wage rate</w:t>
      </w:r>
      <w:r w:rsidRPr="00C34EF0">
        <w:t xml:space="preserve"> of $1</w:t>
      </w:r>
      <w:r w:rsidR="0003095E">
        <w:t>77.89</w:t>
      </w:r>
      <w:r w:rsidRPr="00C34EF0">
        <w:t>.</w:t>
      </w:r>
      <w:r w:rsidR="00F67A8D">
        <w:t xml:space="preserve"> </w:t>
      </w:r>
    </w:p>
    <w:p w:rsidR="006C2739" w:rsidRPr="00C34EF0" w:rsidP="006C2739" w14:paraId="7F76CA1D" w14:textId="7616C05E">
      <w:pPr>
        <w:ind w:firstLine="720"/>
      </w:pPr>
      <w:r w:rsidRPr="00C34EF0">
        <w:t xml:space="preserve">We estimate the cost for one </w:t>
      </w:r>
      <w:r>
        <w:t>person</w:t>
      </w:r>
      <w:r w:rsidRPr="00C34EF0">
        <w:t xml:space="preserve"> to read the rule ranges from $4</w:t>
      </w:r>
      <w:r w:rsidR="0003095E">
        <w:t>74</w:t>
      </w:r>
      <w:r w:rsidRPr="00C34EF0">
        <w:t xml:space="preserve"> to $</w:t>
      </w:r>
      <w:r w:rsidR="00C30759">
        <w:t>5</w:t>
      </w:r>
      <w:r w:rsidR="0003095E">
        <w:t>93</w:t>
      </w:r>
      <w:r w:rsidRPr="00C34EF0">
        <w:t>. For each affected entity, these costs range from $4</w:t>
      </w:r>
      <w:r w:rsidR="0003095E">
        <w:t>74</w:t>
      </w:r>
      <w:r w:rsidRPr="00C34EF0">
        <w:t xml:space="preserve"> to $1,</w:t>
      </w:r>
      <w:r w:rsidR="00C30759">
        <w:t>7</w:t>
      </w:r>
      <w:r w:rsidR="0003095E">
        <w:t>79</w:t>
      </w:r>
      <w:r w:rsidRPr="00C34EF0">
        <w:t>. We estimate that th</w:t>
      </w:r>
      <w:r>
        <w:t xml:space="preserve">e </w:t>
      </w:r>
      <w:r w:rsidR="00615F3A">
        <w:t>final</w:t>
      </w:r>
      <w:r>
        <w:t xml:space="preserve"> rule </w:t>
      </w:r>
      <w:r w:rsidR="001940B0">
        <w:t>will</w:t>
      </w:r>
      <w:r>
        <w:t xml:space="preserve"> affect</w:t>
      </w:r>
      <w:r w:rsidR="008A19F7">
        <w:t xml:space="preserve"> </w:t>
      </w:r>
      <w:r w:rsidR="000B0B96">
        <w:t>1,696</w:t>
      </w:r>
      <w:r w:rsidRPr="00C34EF0">
        <w:t xml:space="preserve"> entities</w:t>
      </w:r>
      <w:r>
        <w:t xml:space="preserve">. </w:t>
      </w:r>
      <w:r w:rsidRPr="00554C61" w:rsidR="005B6EAB">
        <w:fldChar w:fldCharType="begin"/>
      </w:r>
      <w:r w:rsidRPr="005B6EAB" w:rsidR="005B6EAB">
        <w:instrText xml:space="preserve"> REF _Ref451515769 \h </w:instrText>
      </w:r>
      <w:r w:rsidRPr="0070313F" w:rsidR="005B6EAB">
        <w:instrText xml:space="preserve"> \* MERGEFORMAT </w:instrText>
      </w:r>
      <w:r w:rsidRPr="00554C61" w:rsidR="005B6EAB">
        <w:fldChar w:fldCharType="separate"/>
      </w:r>
      <w:r w:rsidRPr="004848C7" w:rsidR="00264BAF">
        <w:t xml:space="preserve">Table </w:t>
      </w:r>
      <w:r w:rsidRPr="004848C7" w:rsidR="00264BAF">
        <w:rPr>
          <w:noProof/>
        </w:rPr>
        <w:t>11</w:t>
      </w:r>
      <w:r w:rsidRPr="00554C61" w:rsidR="005B6EAB">
        <w:fldChar w:fldCharType="end"/>
      </w:r>
      <w:r w:rsidRPr="00554C61" w:rsidR="005B6EAB">
        <w:t xml:space="preserve"> </w:t>
      </w:r>
      <w:r w:rsidR="000D1FF4">
        <w:t xml:space="preserve">summarizes </w:t>
      </w:r>
      <w:r w:rsidR="005B6EAB">
        <w:t xml:space="preserve">the one-time cost of reading and understanding this rule. </w:t>
      </w:r>
      <w:r w:rsidRPr="00C34EF0">
        <w:t xml:space="preserve">The </w:t>
      </w:r>
      <w:r w:rsidR="00FD42A9">
        <w:t>estimated</w:t>
      </w:r>
      <w:r w:rsidRPr="00C34EF0">
        <w:t xml:space="preserve"> </w:t>
      </w:r>
      <w:r w:rsidR="00FD42A9">
        <w:t xml:space="preserve">one-time </w:t>
      </w:r>
      <w:r w:rsidRPr="00C34EF0">
        <w:t xml:space="preserve">cost for reading and understanding </w:t>
      </w:r>
      <w:r>
        <w:t>the rule range from $</w:t>
      </w:r>
      <w:r w:rsidR="008A19F7">
        <w:t>0.</w:t>
      </w:r>
      <w:r w:rsidR="0003095E">
        <w:t>80</w:t>
      </w:r>
      <w:r w:rsidR="008A19F7">
        <w:t xml:space="preserve"> million </w:t>
      </w:r>
      <w:r>
        <w:t>to $</w:t>
      </w:r>
      <w:r w:rsidR="0003095E">
        <w:t>3.02</w:t>
      </w:r>
      <w:r w:rsidR="008A19F7">
        <w:t xml:space="preserve"> million</w:t>
      </w:r>
      <w:r w:rsidRPr="00C34EF0">
        <w:t xml:space="preserve">. </w:t>
      </w:r>
    </w:p>
    <w:p w:rsidR="006C2739" w:rsidRPr="00C34EF0" w:rsidP="006C2739" w14:paraId="0B34C262" w14:textId="77777777"/>
    <w:p w:rsidR="008A19F7" w:rsidRPr="008D0D48" w:rsidP="008D0D48" w14:paraId="0211E938" w14:textId="76E3E2D5">
      <w:pPr>
        <w:spacing w:after="0"/>
        <w:rPr>
          <w:b/>
        </w:rPr>
      </w:pPr>
      <w:bookmarkStart w:id="80" w:name="_Ref451515769"/>
      <w:bookmarkStart w:id="81" w:name="_Toc33693349"/>
      <w:bookmarkStart w:id="82" w:name="_Toc147238755"/>
      <w:r w:rsidRPr="008D0D48">
        <w:rPr>
          <w:b/>
        </w:rPr>
        <w:t xml:space="preserve">Table </w:t>
      </w:r>
      <w:r w:rsidRPr="008D0D48" w:rsidR="00E81E9F">
        <w:rPr>
          <w:b/>
        </w:rPr>
        <w:fldChar w:fldCharType="begin"/>
      </w:r>
      <w:r w:rsidRPr="008D0D48" w:rsidR="00E81E9F">
        <w:rPr>
          <w:b/>
        </w:rPr>
        <w:instrText xml:space="preserve"> SEQ Table \* ARABIC </w:instrText>
      </w:r>
      <w:r w:rsidRPr="008D0D48" w:rsidR="00E81E9F">
        <w:rPr>
          <w:b/>
        </w:rPr>
        <w:fldChar w:fldCharType="separate"/>
      </w:r>
      <w:r w:rsidR="00D36765">
        <w:rPr>
          <w:b/>
          <w:noProof/>
        </w:rPr>
        <w:t>11</w:t>
      </w:r>
      <w:r w:rsidRPr="008D0D48" w:rsidR="00E81E9F">
        <w:rPr>
          <w:b/>
          <w:noProof/>
        </w:rPr>
        <w:fldChar w:fldCharType="end"/>
      </w:r>
      <w:bookmarkEnd w:id="80"/>
      <w:r w:rsidRPr="008D0D48">
        <w:rPr>
          <w:b/>
        </w:rPr>
        <w:t>.</w:t>
      </w:r>
      <w:r w:rsidR="00F67A8D">
        <w:rPr>
          <w:b/>
        </w:rPr>
        <w:t xml:space="preserve"> </w:t>
      </w:r>
      <w:r w:rsidRPr="008D0D48">
        <w:rPr>
          <w:b/>
        </w:rPr>
        <w:t>One-</w:t>
      </w:r>
      <w:r w:rsidR="00B65EAC">
        <w:rPr>
          <w:b/>
        </w:rPr>
        <w:t>T</w:t>
      </w:r>
      <w:r w:rsidRPr="008D0D48">
        <w:rPr>
          <w:b/>
        </w:rPr>
        <w:t xml:space="preserve">ime </w:t>
      </w:r>
      <w:r w:rsidR="00B65EAC">
        <w:rPr>
          <w:b/>
        </w:rPr>
        <w:t>C</w:t>
      </w:r>
      <w:r w:rsidRPr="008D0D48">
        <w:rPr>
          <w:b/>
        </w:rPr>
        <w:t xml:space="preserve">osts for </w:t>
      </w:r>
      <w:r w:rsidR="00B65EAC">
        <w:rPr>
          <w:b/>
        </w:rPr>
        <w:t>R</w:t>
      </w:r>
      <w:r w:rsidRPr="008D0D48">
        <w:rPr>
          <w:b/>
        </w:rPr>
        <w:t xml:space="preserve">eading and </w:t>
      </w:r>
      <w:r w:rsidR="00B65EAC">
        <w:rPr>
          <w:b/>
        </w:rPr>
        <w:t>U</w:t>
      </w:r>
      <w:r w:rsidRPr="008D0D48">
        <w:rPr>
          <w:b/>
        </w:rPr>
        <w:t xml:space="preserve">nderstanding the </w:t>
      </w:r>
      <w:r w:rsidR="00B65EAC">
        <w:rPr>
          <w:b/>
        </w:rPr>
        <w:t>R</w:t>
      </w:r>
      <w:r w:rsidRPr="008D0D48">
        <w:rPr>
          <w:b/>
        </w:rPr>
        <w:t>ule</w:t>
      </w:r>
      <w:bookmarkEnd w:id="81"/>
      <w:bookmarkEnd w:id="82"/>
    </w:p>
    <w:tbl>
      <w:tblPr>
        <w:tblW w:w="9355" w:type="dxa"/>
        <w:tblLook w:val="04A0"/>
      </w:tblPr>
      <w:tblGrid>
        <w:gridCol w:w="3955"/>
        <w:gridCol w:w="1800"/>
        <w:gridCol w:w="1710"/>
        <w:gridCol w:w="1890"/>
      </w:tblGrid>
      <w:tr w14:paraId="3F35C29C" w14:textId="77777777" w:rsidTr="00714FC0">
        <w:tblPrEx>
          <w:tblW w:w="9355" w:type="dxa"/>
          <w:tblLook w:val="04A0"/>
        </w:tblPrEx>
        <w:trPr>
          <w:trHeight w:val="216"/>
        </w:trPr>
        <w:tc>
          <w:tcPr>
            <w:tcW w:w="3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A19F7" w:rsidRPr="00714FC0" w:rsidP="008A19F7" w14:paraId="042CC4FE" w14:textId="77777777">
            <w:pPr>
              <w:spacing w:after="0"/>
              <w:rPr>
                <w:rFonts w:eastAsia="Times New Roman"/>
                <w:b/>
                <w:color w:val="000000"/>
                <w:sz w:val="22"/>
                <w:szCs w:val="22"/>
              </w:rPr>
            </w:pPr>
            <w:r w:rsidRPr="00714FC0">
              <w:rPr>
                <w:rFonts w:eastAsia="Times New Roman"/>
                <w:b/>
                <w:color w:val="000000"/>
                <w:sz w:val="22"/>
                <w:szCs w:val="22"/>
              </w:rPr>
              <w:t> </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19F7" w:rsidRPr="00714FC0" w:rsidP="00AC2CB0" w14:paraId="448DE7DE" w14:textId="77777777">
            <w:pPr>
              <w:spacing w:after="0"/>
              <w:jc w:val="center"/>
              <w:rPr>
                <w:rFonts w:eastAsia="Times New Roman"/>
                <w:b/>
                <w:color w:val="000000"/>
                <w:sz w:val="22"/>
                <w:szCs w:val="22"/>
              </w:rPr>
            </w:pPr>
            <w:r w:rsidRPr="00714FC0">
              <w:rPr>
                <w:rFonts w:eastAsia="Times New Roman"/>
                <w:b/>
                <w:color w:val="000000"/>
                <w:sz w:val="22"/>
                <w:szCs w:val="22"/>
              </w:rPr>
              <w:t>Low</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19F7" w:rsidRPr="00714FC0" w:rsidP="00AC2CB0" w14:paraId="130504D6" w14:textId="230AC268">
            <w:pPr>
              <w:spacing w:after="0"/>
              <w:jc w:val="center"/>
              <w:rPr>
                <w:rFonts w:eastAsia="Times New Roman"/>
                <w:b/>
                <w:color w:val="000000"/>
                <w:sz w:val="22"/>
                <w:szCs w:val="22"/>
              </w:rPr>
            </w:pPr>
            <w:r w:rsidRPr="00714FC0">
              <w:rPr>
                <w:rFonts w:eastAsia="Times New Roman"/>
                <w:b/>
                <w:color w:val="000000"/>
                <w:sz w:val="22"/>
                <w:szCs w:val="22"/>
              </w:rPr>
              <w:t>Primary</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19F7" w:rsidRPr="00714FC0" w:rsidP="00AC2CB0" w14:paraId="42973E17" w14:textId="77777777">
            <w:pPr>
              <w:spacing w:after="0"/>
              <w:jc w:val="center"/>
              <w:rPr>
                <w:rFonts w:eastAsia="Times New Roman"/>
                <w:b/>
                <w:color w:val="000000"/>
                <w:sz w:val="22"/>
                <w:szCs w:val="22"/>
              </w:rPr>
            </w:pPr>
            <w:r w:rsidRPr="00714FC0">
              <w:rPr>
                <w:rFonts w:eastAsia="Times New Roman"/>
                <w:b/>
                <w:color w:val="000000"/>
                <w:sz w:val="22"/>
                <w:szCs w:val="22"/>
              </w:rPr>
              <w:t>High</w:t>
            </w:r>
          </w:p>
        </w:tc>
      </w:tr>
      <w:tr w14:paraId="2571E8C2"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8A19F7" w:rsidRPr="00E4631D" w:rsidP="008A19F7" w14:paraId="0C77B4BD" w14:textId="77777777">
            <w:pPr>
              <w:spacing w:after="0"/>
              <w:rPr>
                <w:rFonts w:eastAsia="Times New Roman"/>
                <w:color w:val="000000"/>
                <w:sz w:val="22"/>
                <w:szCs w:val="22"/>
              </w:rPr>
            </w:pPr>
            <w:r w:rsidRPr="00E4631D">
              <w:rPr>
                <w:rFonts w:eastAsia="Times New Roman"/>
                <w:color w:val="000000"/>
                <w:sz w:val="22"/>
                <w:szCs w:val="22"/>
              </w:rPr>
              <w:t>Reading time (hours)</w:t>
            </w:r>
          </w:p>
        </w:tc>
        <w:tc>
          <w:tcPr>
            <w:tcW w:w="180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675D76DF" w14:textId="3A81E715">
            <w:pPr>
              <w:spacing w:after="0"/>
              <w:jc w:val="center"/>
              <w:rPr>
                <w:rFonts w:eastAsia="Times New Roman"/>
                <w:color w:val="000000"/>
                <w:sz w:val="22"/>
                <w:szCs w:val="22"/>
              </w:rPr>
            </w:pPr>
            <w:r>
              <w:rPr>
                <w:rFonts w:eastAsia="Times New Roman"/>
                <w:color w:val="000000"/>
                <w:sz w:val="22"/>
                <w:szCs w:val="22"/>
              </w:rPr>
              <w:t>2.7</w:t>
            </w:r>
          </w:p>
        </w:tc>
        <w:tc>
          <w:tcPr>
            <w:tcW w:w="171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07A63C68" w14:textId="02099B7C">
            <w:pPr>
              <w:spacing w:after="0"/>
              <w:jc w:val="center"/>
              <w:rPr>
                <w:rFonts w:eastAsia="Times New Roman"/>
                <w:color w:val="000000"/>
                <w:sz w:val="22"/>
                <w:szCs w:val="22"/>
              </w:rPr>
            </w:pPr>
            <w:r>
              <w:rPr>
                <w:rFonts w:eastAsia="Times New Roman"/>
                <w:color w:val="000000"/>
                <w:sz w:val="22"/>
                <w:szCs w:val="22"/>
              </w:rPr>
              <w:t>3.0</w:t>
            </w:r>
          </w:p>
        </w:tc>
        <w:tc>
          <w:tcPr>
            <w:tcW w:w="189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0F680AC5" w14:textId="459E865D">
            <w:pPr>
              <w:spacing w:after="0"/>
              <w:jc w:val="center"/>
              <w:rPr>
                <w:rFonts w:eastAsia="Times New Roman"/>
                <w:color w:val="000000"/>
                <w:sz w:val="22"/>
                <w:szCs w:val="22"/>
              </w:rPr>
            </w:pPr>
            <w:r>
              <w:rPr>
                <w:rFonts w:eastAsia="Times New Roman"/>
                <w:color w:val="000000"/>
                <w:sz w:val="22"/>
                <w:szCs w:val="22"/>
              </w:rPr>
              <w:t>3.3</w:t>
            </w:r>
          </w:p>
        </w:tc>
      </w:tr>
      <w:tr w14:paraId="1233A638"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8A19F7" w:rsidRPr="00E4631D" w:rsidP="008A19F7" w14:paraId="1DFB0F01" w14:textId="7E50CAA1">
            <w:pPr>
              <w:spacing w:after="0"/>
              <w:rPr>
                <w:rFonts w:eastAsia="Times New Roman"/>
                <w:color w:val="000000"/>
                <w:sz w:val="22"/>
                <w:szCs w:val="22"/>
              </w:rPr>
            </w:pPr>
            <w:r w:rsidRPr="00E4631D">
              <w:rPr>
                <w:rFonts w:eastAsia="Times New Roman"/>
                <w:color w:val="000000"/>
                <w:sz w:val="22"/>
                <w:szCs w:val="22"/>
              </w:rPr>
              <w:t>Wage (</w:t>
            </w:r>
            <w:r w:rsidRPr="00E4631D" w:rsidR="00FA4514">
              <w:rPr>
                <w:rFonts w:eastAsia="Times New Roman"/>
                <w:color w:val="000000"/>
                <w:sz w:val="22"/>
                <w:szCs w:val="22"/>
              </w:rPr>
              <w:t>composite</w:t>
            </w:r>
            <w:r w:rsidRPr="00E4631D">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437B5981" w14:textId="1B34D121">
            <w:pPr>
              <w:spacing w:after="0"/>
              <w:jc w:val="center"/>
              <w:rPr>
                <w:rFonts w:eastAsia="Times New Roman"/>
                <w:color w:val="000000"/>
                <w:sz w:val="22"/>
                <w:szCs w:val="22"/>
              </w:rPr>
            </w:pPr>
            <w:r w:rsidRPr="00E4631D">
              <w:rPr>
                <w:rFonts w:eastAsia="Times New Roman"/>
                <w:color w:val="000000"/>
                <w:sz w:val="22"/>
                <w:szCs w:val="22"/>
              </w:rPr>
              <w:t>$1</w:t>
            </w:r>
            <w:r w:rsidR="0003095E">
              <w:rPr>
                <w:rFonts w:eastAsia="Times New Roman"/>
                <w:color w:val="000000"/>
                <w:sz w:val="22"/>
                <w:szCs w:val="22"/>
              </w:rPr>
              <w:t>77.89</w:t>
            </w:r>
          </w:p>
        </w:tc>
        <w:tc>
          <w:tcPr>
            <w:tcW w:w="171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6E256FEB" w14:textId="5A1821E6">
            <w:pPr>
              <w:spacing w:after="0"/>
              <w:jc w:val="center"/>
              <w:rPr>
                <w:rFonts w:eastAsia="Times New Roman"/>
                <w:color w:val="000000"/>
                <w:sz w:val="22"/>
                <w:szCs w:val="22"/>
              </w:rPr>
            </w:pPr>
            <w:r w:rsidRPr="00E4631D">
              <w:rPr>
                <w:rFonts w:eastAsia="Times New Roman"/>
                <w:color w:val="000000"/>
                <w:sz w:val="22"/>
                <w:szCs w:val="22"/>
              </w:rPr>
              <w:t>$1</w:t>
            </w:r>
            <w:r w:rsidR="0003095E">
              <w:rPr>
                <w:rFonts w:eastAsia="Times New Roman"/>
                <w:color w:val="000000"/>
                <w:sz w:val="22"/>
                <w:szCs w:val="22"/>
              </w:rPr>
              <w:t>77.89</w:t>
            </w:r>
          </w:p>
        </w:tc>
        <w:tc>
          <w:tcPr>
            <w:tcW w:w="189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2D438435" w14:textId="30A96772">
            <w:pPr>
              <w:spacing w:after="0"/>
              <w:jc w:val="center"/>
              <w:rPr>
                <w:rFonts w:eastAsia="Times New Roman"/>
                <w:color w:val="000000"/>
                <w:sz w:val="22"/>
                <w:szCs w:val="22"/>
              </w:rPr>
            </w:pPr>
            <w:r w:rsidRPr="00E4631D">
              <w:rPr>
                <w:rFonts w:eastAsia="Times New Roman"/>
                <w:color w:val="000000"/>
                <w:sz w:val="22"/>
                <w:szCs w:val="22"/>
              </w:rPr>
              <w:t>$1</w:t>
            </w:r>
            <w:r w:rsidR="0003095E">
              <w:rPr>
                <w:rFonts w:eastAsia="Times New Roman"/>
                <w:color w:val="000000"/>
                <w:sz w:val="22"/>
                <w:szCs w:val="22"/>
              </w:rPr>
              <w:t>77.89</w:t>
            </w:r>
          </w:p>
        </w:tc>
      </w:tr>
      <w:tr w14:paraId="4D4AB95C"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8A19F7" w:rsidRPr="00E4631D" w:rsidP="008A19F7" w14:paraId="627C7853" w14:textId="77777777">
            <w:pPr>
              <w:spacing w:after="0"/>
              <w:rPr>
                <w:rFonts w:eastAsia="Times New Roman"/>
                <w:color w:val="000000"/>
                <w:sz w:val="22"/>
                <w:szCs w:val="22"/>
              </w:rPr>
            </w:pPr>
            <w:r w:rsidRPr="00E4631D">
              <w:rPr>
                <w:rFonts w:eastAsia="Times New Roman"/>
                <w:color w:val="000000"/>
                <w:sz w:val="22"/>
                <w:szCs w:val="22"/>
              </w:rPr>
              <w:t>Affected entities</w:t>
            </w:r>
          </w:p>
        </w:tc>
        <w:tc>
          <w:tcPr>
            <w:tcW w:w="180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5C20FB04" w14:textId="77777777">
            <w:pPr>
              <w:spacing w:after="0"/>
              <w:jc w:val="center"/>
              <w:rPr>
                <w:rFonts w:eastAsia="Times New Roman"/>
                <w:color w:val="000000"/>
                <w:sz w:val="22"/>
                <w:szCs w:val="22"/>
              </w:rPr>
            </w:pPr>
            <w:r w:rsidRPr="00E4631D">
              <w:rPr>
                <w:rFonts w:eastAsia="Times New Roman"/>
                <w:color w:val="000000"/>
                <w:sz w:val="22"/>
                <w:szCs w:val="22"/>
              </w:rPr>
              <w:t>1,696</w:t>
            </w:r>
          </w:p>
        </w:tc>
        <w:tc>
          <w:tcPr>
            <w:tcW w:w="171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784AB3BF" w14:textId="77777777">
            <w:pPr>
              <w:spacing w:after="0"/>
              <w:jc w:val="center"/>
              <w:rPr>
                <w:rFonts w:eastAsia="Times New Roman"/>
                <w:color w:val="000000"/>
                <w:sz w:val="22"/>
                <w:szCs w:val="22"/>
              </w:rPr>
            </w:pPr>
            <w:r w:rsidRPr="00E4631D">
              <w:rPr>
                <w:rFonts w:eastAsia="Times New Roman"/>
                <w:color w:val="000000"/>
                <w:sz w:val="22"/>
                <w:szCs w:val="22"/>
              </w:rPr>
              <w:t>1,696</w:t>
            </w:r>
          </w:p>
        </w:tc>
        <w:tc>
          <w:tcPr>
            <w:tcW w:w="189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64DEAAC8" w14:textId="77777777">
            <w:pPr>
              <w:spacing w:after="0"/>
              <w:jc w:val="center"/>
              <w:rPr>
                <w:rFonts w:eastAsia="Times New Roman"/>
                <w:color w:val="000000"/>
                <w:sz w:val="22"/>
                <w:szCs w:val="22"/>
              </w:rPr>
            </w:pPr>
            <w:r w:rsidRPr="00E4631D">
              <w:rPr>
                <w:rFonts w:eastAsia="Times New Roman"/>
                <w:color w:val="000000"/>
                <w:sz w:val="22"/>
                <w:szCs w:val="22"/>
              </w:rPr>
              <w:t>1,696</w:t>
            </w:r>
          </w:p>
        </w:tc>
      </w:tr>
      <w:tr w14:paraId="024F488D"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8A19F7" w:rsidRPr="00E4631D" w:rsidP="008A19F7" w14:paraId="46B5DE2E" w14:textId="77777777">
            <w:pPr>
              <w:spacing w:after="0"/>
              <w:rPr>
                <w:rFonts w:eastAsia="Times New Roman"/>
                <w:color w:val="000000"/>
                <w:sz w:val="22"/>
                <w:szCs w:val="22"/>
              </w:rPr>
            </w:pPr>
            <w:r w:rsidRPr="00E4631D">
              <w:rPr>
                <w:rFonts w:eastAsia="Times New Roman"/>
                <w:color w:val="000000"/>
                <w:sz w:val="22"/>
                <w:szCs w:val="22"/>
              </w:rPr>
              <w:t>Number of people reading per entity</w:t>
            </w:r>
          </w:p>
        </w:tc>
        <w:tc>
          <w:tcPr>
            <w:tcW w:w="180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4A1969CB" w14:textId="77777777">
            <w:pPr>
              <w:spacing w:after="0"/>
              <w:jc w:val="center"/>
              <w:rPr>
                <w:rFonts w:eastAsia="Times New Roman"/>
                <w:color w:val="000000"/>
                <w:sz w:val="22"/>
                <w:szCs w:val="22"/>
              </w:rPr>
            </w:pPr>
            <w:r w:rsidRPr="00E4631D">
              <w:rPr>
                <w:rFonts w:eastAsia="Times New Roman"/>
                <w:color w:val="000000"/>
                <w:sz w:val="22"/>
                <w:szCs w:val="22"/>
              </w:rPr>
              <w:t>1</w:t>
            </w:r>
          </w:p>
        </w:tc>
        <w:tc>
          <w:tcPr>
            <w:tcW w:w="171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4BFC7DD7" w14:textId="77777777">
            <w:pPr>
              <w:spacing w:after="0"/>
              <w:jc w:val="center"/>
              <w:rPr>
                <w:rFonts w:eastAsia="Times New Roman"/>
                <w:color w:val="000000"/>
                <w:sz w:val="22"/>
                <w:szCs w:val="22"/>
              </w:rPr>
            </w:pPr>
            <w:r w:rsidRPr="00E4631D">
              <w:rPr>
                <w:rFonts w:eastAsia="Times New Roman"/>
                <w:color w:val="000000"/>
                <w:sz w:val="22"/>
                <w:szCs w:val="22"/>
              </w:rPr>
              <w:t>2</w:t>
            </w:r>
          </w:p>
        </w:tc>
        <w:tc>
          <w:tcPr>
            <w:tcW w:w="1890" w:type="dxa"/>
            <w:tcBorders>
              <w:top w:val="nil"/>
              <w:left w:val="nil"/>
              <w:bottom w:val="single" w:sz="4" w:space="0" w:color="auto"/>
              <w:right w:val="single" w:sz="4" w:space="0" w:color="auto"/>
            </w:tcBorders>
            <w:shd w:val="clear" w:color="auto" w:fill="auto"/>
            <w:noWrap/>
            <w:vAlign w:val="bottom"/>
            <w:hideMark/>
          </w:tcPr>
          <w:p w:rsidR="008A19F7" w:rsidRPr="00E4631D" w:rsidP="00AC2CB0" w14:paraId="30748CEE" w14:textId="77777777">
            <w:pPr>
              <w:spacing w:after="0"/>
              <w:jc w:val="center"/>
              <w:rPr>
                <w:rFonts w:eastAsia="Times New Roman"/>
                <w:color w:val="000000"/>
                <w:sz w:val="22"/>
                <w:szCs w:val="22"/>
              </w:rPr>
            </w:pPr>
            <w:r w:rsidRPr="00E4631D">
              <w:rPr>
                <w:rFonts w:eastAsia="Times New Roman"/>
                <w:color w:val="000000"/>
                <w:sz w:val="22"/>
                <w:szCs w:val="22"/>
              </w:rPr>
              <w:t>3</w:t>
            </w:r>
          </w:p>
        </w:tc>
      </w:tr>
      <w:tr w14:paraId="538B32C8"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0934CF" w:rsidRPr="00E4631D" w:rsidP="008A19F7" w14:paraId="47681BFA" w14:textId="6CFDCA37">
            <w:pPr>
              <w:spacing w:after="0"/>
              <w:rPr>
                <w:rFonts w:eastAsia="Times New Roman"/>
                <w:b/>
                <w:color w:val="000000"/>
                <w:sz w:val="22"/>
                <w:szCs w:val="22"/>
              </w:rPr>
            </w:pPr>
            <w:r w:rsidRPr="00E4631D">
              <w:rPr>
                <w:rFonts w:eastAsia="Times New Roman"/>
                <w:b/>
                <w:color w:val="000000"/>
                <w:sz w:val="22"/>
                <w:szCs w:val="22"/>
              </w:rPr>
              <w:t>One-time cost</w:t>
            </w:r>
            <w:r w:rsidRPr="00E4631D" w:rsidR="007F244A">
              <w:rPr>
                <w:rFonts w:eastAsia="Times New Roman"/>
                <w:b/>
                <w:color w:val="000000"/>
                <w:sz w:val="22"/>
                <w:szCs w:val="22"/>
              </w:rPr>
              <w:t xml:space="preserve"> (millions) </w:t>
            </w:r>
          </w:p>
        </w:tc>
        <w:tc>
          <w:tcPr>
            <w:tcW w:w="1800" w:type="dxa"/>
            <w:tcBorders>
              <w:top w:val="nil"/>
              <w:left w:val="nil"/>
              <w:bottom w:val="single" w:sz="4" w:space="0" w:color="auto"/>
              <w:right w:val="single" w:sz="4" w:space="0" w:color="auto"/>
            </w:tcBorders>
            <w:shd w:val="clear" w:color="auto" w:fill="D9D9D9" w:themeFill="background1" w:themeFillShade="D9"/>
            <w:noWrap/>
            <w:vAlign w:val="bottom"/>
          </w:tcPr>
          <w:p w:rsidR="000934CF" w:rsidRPr="00E4631D" w:rsidP="00AC2CB0" w14:paraId="00061AF1" w14:textId="77777777">
            <w:pPr>
              <w:spacing w:after="0"/>
              <w:jc w:val="center"/>
              <w:rPr>
                <w:rFonts w:eastAsia="Times New Roman"/>
                <w:color w:val="000000"/>
                <w:sz w:val="22"/>
                <w:szCs w:val="22"/>
              </w:rPr>
            </w:pPr>
          </w:p>
        </w:tc>
        <w:tc>
          <w:tcPr>
            <w:tcW w:w="1710" w:type="dxa"/>
            <w:tcBorders>
              <w:top w:val="nil"/>
              <w:left w:val="nil"/>
              <w:bottom w:val="single" w:sz="4" w:space="0" w:color="auto"/>
              <w:right w:val="single" w:sz="4" w:space="0" w:color="auto"/>
            </w:tcBorders>
            <w:shd w:val="clear" w:color="auto" w:fill="D9D9D9" w:themeFill="background1" w:themeFillShade="D9"/>
            <w:noWrap/>
            <w:vAlign w:val="bottom"/>
          </w:tcPr>
          <w:p w:rsidR="000934CF" w:rsidRPr="00E4631D" w:rsidP="00AC2CB0" w14:paraId="05445038" w14:textId="77777777">
            <w:pPr>
              <w:spacing w:after="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D9D9D9" w:themeFill="background1" w:themeFillShade="D9"/>
            <w:noWrap/>
            <w:vAlign w:val="bottom"/>
          </w:tcPr>
          <w:p w:rsidR="000934CF" w:rsidRPr="00E4631D" w:rsidP="00AC2CB0" w14:paraId="28C61E75" w14:textId="77777777">
            <w:pPr>
              <w:spacing w:after="0"/>
              <w:jc w:val="center"/>
              <w:rPr>
                <w:rFonts w:eastAsia="Times New Roman"/>
                <w:color w:val="000000"/>
                <w:sz w:val="22"/>
                <w:szCs w:val="22"/>
              </w:rPr>
            </w:pPr>
          </w:p>
        </w:tc>
      </w:tr>
      <w:tr w14:paraId="64B6CB61" w14:textId="77777777" w:rsidTr="00714FC0">
        <w:tblPrEx>
          <w:tblW w:w="9355" w:type="dxa"/>
          <w:tblLook w:val="04A0"/>
        </w:tblPrEx>
        <w:trPr>
          <w:trHeight w:val="216"/>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rsidR="000B6620" w:rsidRPr="00E4631D" w:rsidP="000B6620" w14:paraId="369F04A4" w14:textId="0AE367C9">
            <w:pPr>
              <w:spacing w:after="0"/>
              <w:rPr>
                <w:rFonts w:eastAsia="Times New Roman"/>
                <w:bCs/>
                <w:color w:val="000000"/>
                <w:sz w:val="22"/>
                <w:szCs w:val="22"/>
              </w:rPr>
            </w:pPr>
            <w:r w:rsidRPr="00E4631D">
              <w:rPr>
                <w:rFonts w:eastAsia="Times New Roman"/>
                <w:bCs/>
                <w:color w:val="000000"/>
                <w:sz w:val="22"/>
                <w:szCs w:val="22"/>
              </w:rPr>
              <w:t>One-time cost</w:t>
            </w:r>
          </w:p>
        </w:tc>
        <w:tc>
          <w:tcPr>
            <w:tcW w:w="1800" w:type="dxa"/>
            <w:tcBorders>
              <w:top w:val="nil"/>
              <w:left w:val="nil"/>
              <w:bottom w:val="single" w:sz="4" w:space="0" w:color="auto"/>
              <w:right w:val="single" w:sz="4" w:space="0" w:color="auto"/>
            </w:tcBorders>
            <w:shd w:val="clear" w:color="auto" w:fill="auto"/>
            <w:noWrap/>
            <w:vAlign w:val="bottom"/>
            <w:hideMark/>
          </w:tcPr>
          <w:p w:rsidR="000B6620" w:rsidRPr="000B6620" w:rsidP="000B6620" w14:paraId="0D81E2FF" w14:textId="6DF259A7">
            <w:pPr>
              <w:spacing w:after="0"/>
              <w:jc w:val="center"/>
              <w:rPr>
                <w:rFonts w:eastAsia="Times New Roman"/>
                <w:bCs/>
                <w:color w:val="000000"/>
                <w:sz w:val="22"/>
                <w:szCs w:val="22"/>
              </w:rPr>
            </w:pPr>
            <w:r w:rsidRPr="002258B9">
              <w:rPr>
                <w:color w:val="000000"/>
                <w:sz w:val="22"/>
                <w:szCs w:val="22"/>
              </w:rPr>
              <w:t>$</w:t>
            </w:r>
            <w:r>
              <w:rPr>
                <w:color w:val="000000"/>
                <w:sz w:val="22"/>
                <w:szCs w:val="22"/>
              </w:rPr>
              <w:t>0.</w:t>
            </w:r>
            <w:r w:rsidR="0003095E">
              <w:rPr>
                <w:color w:val="000000"/>
                <w:sz w:val="22"/>
                <w:szCs w:val="22"/>
              </w:rPr>
              <w:t>80</w:t>
            </w:r>
          </w:p>
        </w:tc>
        <w:tc>
          <w:tcPr>
            <w:tcW w:w="1710" w:type="dxa"/>
            <w:tcBorders>
              <w:top w:val="nil"/>
              <w:left w:val="nil"/>
              <w:bottom w:val="single" w:sz="4" w:space="0" w:color="auto"/>
              <w:right w:val="single" w:sz="4" w:space="0" w:color="auto"/>
            </w:tcBorders>
            <w:shd w:val="clear" w:color="auto" w:fill="auto"/>
            <w:noWrap/>
            <w:vAlign w:val="bottom"/>
            <w:hideMark/>
          </w:tcPr>
          <w:p w:rsidR="000B6620" w:rsidRPr="000B6620" w:rsidP="000B6620" w14:paraId="4AEE0BD4" w14:textId="05664253">
            <w:pPr>
              <w:spacing w:after="0"/>
              <w:jc w:val="center"/>
              <w:rPr>
                <w:rFonts w:eastAsia="Times New Roman"/>
                <w:bCs/>
                <w:color w:val="000000"/>
                <w:sz w:val="22"/>
                <w:szCs w:val="22"/>
              </w:rPr>
            </w:pPr>
            <w:r w:rsidRPr="002258B9">
              <w:rPr>
                <w:color w:val="000000"/>
                <w:sz w:val="22"/>
                <w:szCs w:val="22"/>
              </w:rPr>
              <w:t>$1</w:t>
            </w:r>
            <w:r>
              <w:rPr>
                <w:color w:val="000000"/>
                <w:sz w:val="22"/>
                <w:szCs w:val="22"/>
              </w:rPr>
              <w:t>.7</w:t>
            </w:r>
            <w:r w:rsidR="0003095E">
              <w:rPr>
                <w:color w:val="000000"/>
                <w:sz w:val="22"/>
                <w:szCs w:val="22"/>
              </w:rPr>
              <w:t>9</w:t>
            </w:r>
          </w:p>
        </w:tc>
        <w:tc>
          <w:tcPr>
            <w:tcW w:w="1890" w:type="dxa"/>
            <w:tcBorders>
              <w:top w:val="nil"/>
              <w:left w:val="nil"/>
              <w:bottom w:val="single" w:sz="4" w:space="0" w:color="auto"/>
              <w:right w:val="single" w:sz="4" w:space="0" w:color="auto"/>
            </w:tcBorders>
            <w:shd w:val="clear" w:color="auto" w:fill="auto"/>
            <w:noWrap/>
            <w:vAlign w:val="bottom"/>
            <w:hideMark/>
          </w:tcPr>
          <w:p w:rsidR="000B6620" w:rsidRPr="000B6620" w:rsidP="000B6620" w14:paraId="2948B0E3" w14:textId="0DA63D99">
            <w:pPr>
              <w:spacing w:after="0"/>
              <w:jc w:val="center"/>
              <w:rPr>
                <w:rFonts w:eastAsia="Times New Roman"/>
                <w:bCs/>
                <w:color w:val="000000"/>
                <w:sz w:val="22"/>
                <w:szCs w:val="22"/>
              </w:rPr>
            </w:pPr>
            <w:r w:rsidRPr="002258B9">
              <w:rPr>
                <w:color w:val="000000"/>
                <w:sz w:val="22"/>
                <w:szCs w:val="22"/>
              </w:rPr>
              <w:t>$</w:t>
            </w:r>
            <w:r w:rsidR="0003095E">
              <w:rPr>
                <w:color w:val="000000"/>
                <w:sz w:val="22"/>
                <w:szCs w:val="22"/>
              </w:rPr>
              <w:t>3.02</w:t>
            </w:r>
          </w:p>
        </w:tc>
      </w:tr>
    </w:tbl>
    <w:p w:rsidR="008A19F7" w:rsidP="008A19F7" w14:paraId="1FA947D7" w14:textId="744CF956"/>
    <w:p w:rsidR="00336F6A" w:rsidP="008A19F7" w14:paraId="48063E25" w14:textId="77777777"/>
    <w:p w:rsidR="008A19F7" w:rsidP="00482C04" w14:paraId="3C35D3CE" w14:textId="79B1598E">
      <w:pPr>
        <w:pStyle w:val="Heading3"/>
      </w:pPr>
      <w:bookmarkStart w:id="83" w:name="_Ref36642904"/>
      <w:bookmarkStart w:id="84" w:name="_Ref36642919"/>
      <w:bookmarkStart w:id="85" w:name="_Toc148515733"/>
      <w:r w:rsidRPr="00CA5CC1">
        <w:t>Labeling</w:t>
      </w:r>
      <w:r>
        <w:t xml:space="preserve"> Costs</w:t>
      </w:r>
      <w:bookmarkEnd w:id="83"/>
      <w:bookmarkEnd w:id="84"/>
      <w:bookmarkEnd w:id="85"/>
    </w:p>
    <w:p w:rsidR="00714E8A" w:rsidRPr="005B7A33" w:rsidP="005B7A33" w14:paraId="5EF7D240" w14:textId="6A6889DF">
      <w:r>
        <w:rPr>
          <w:i/>
        </w:rPr>
        <w:tab/>
      </w:r>
    </w:p>
    <w:p w:rsidR="003F6EAB" w:rsidP="00112DAD" w14:paraId="1DE07F72" w14:textId="64EE9AA3">
      <w:pPr>
        <w:ind w:firstLine="720"/>
      </w:pPr>
      <w:r>
        <w:t xml:space="preserve">The </w:t>
      </w:r>
      <w:r w:rsidR="00615F3A">
        <w:t>final</w:t>
      </w:r>
      <w:r>
        <w:t xml:space="preserve"> rule</w:t>
      </w:r>
      <w:r w:rsidR="009264FC">
        <w:t xml:space="preserve"> </w:t>
      </w:r>
      <w:r w:rsidR="001940B0">
        <w:t>will</w:t>
      </w:r>
      <w:r>
        <w:t xml:space="preserve"> </w:t>
      </w:r>
      <w:r w:rsidR="00C56282">
        <w:t>require that</w:t>
      </w:r>
      <w:r>
        <w:t xml:space="preserve"> </w:t>
      </w:r>
      <w:r w:rsidR="003A60A4">
        <w:t xml:space="preserve">the </w:t>
      </w:r>
      <w:r w:rsidR="00395C1E">
        <w:t>statements “no smoking” and “no vaping” and a graphic symbol conveying that smoking, vaping, and open flames near oxygen are dangerous</w:t>
      </w:r>
      <w:r w:rsidR="00F87E80">
        <w:t xml:space="preserve"> </w:t>
      </w:r>
      <w:r w:rsidR="006C59E8">
        <w:t>will</w:t>
      </w:r>
      <w:r w:rsidR="00F87E80">
        <w:t xml:space="preserve"> be prominently displayed</w:t>
      </w:r>
      <w:r>
        <w:t xml:space="preserve">. This </w:t>
      </w:r>
      <w:r w:rsidR="001940B0">
        <w:t>will</w:t>
      </w:r>
      <w:r>
        <w:t xml:space="preserve"> require a one-time cost to </w:t>
      </w:r>
      <w:r w:rsidR="00990D22">
        <w:t xml:space="preserve">design, </w:t>
      </w:r>
      <w:r>
        <w:t>create</w:t>
      </w:r>
      <w:r w:rsidR="00C56282">
        <w:t>,</w:t>
      </w:r>
      <w:r>
        <w:t xml:space="preserve"> and a</w:t>
      </w:r>
      <w:r>
        <w:t>ttach</w:t>
      </w:r>
      <w:r>
        <w:t xml:space="preserve"> the new label to </w:t>
      </w:r>
      <w:r w:rsidR="00C73D4F">
        <w:t>medical oxygen containers</w:t>
      </w:r>
      <w:r w:rsidR="00482C04">
        <w:t>.</w:t>
      </w:r>
    </w:p>
    <w:p w:rsidR="00E773F9" w:rsidP="00112DAD" w14:paraId="3B55C7F7" w14:textId="528878FF">
      <w:pPr>
        <w:ind w:firstLine="720"/>
      </w:pPr>
      <w:r>
        <w:t xml:space="preserve">The </w:t>
      </w:r>
      <w:r w:rsidR="000E6253">
        <w:t xml:space="preserve">2020 </w:t>
      </w:r>
      <w:r>
        <w:t>ERG report</w:t>
      </w:r>
      <w:r w:rsidR="000E6253">
        <w:t xml:space="preserve"> (Ref. </w:t>
      </w:r>
      <w:r w:rsidR="00BB2E72">
        <w:t>2</w:t>
      </w:r>
      <w:r w:rsidR="000E6253">
        <w:t>)</w:t>
      </w:r>
      <w:r>
        <w:t xml:space="preserve"> estimates that about 22.57 million high</w:t>
      </w:r>
      <w:r w:rsidR="00386E17">
        <w:t>-</w:t>
      </w:r>
      <w:r>
        <w:t>pressure cylinders are used in medical markets. Further, it estimates that oxygen accounts for 89</w:t>
      </w:r>
      <w:r w:rsidR="00C466C5">
        <w:t xml:space="preserve"> percent</w:t>
      </w:r>
      <w:r>
        <w:t xml:space="preserve"> to 100</w:t>
      </w:r>
      <w:r w:rsidR="00C466C5">
        <w:t xml:space="preserve"> percent</w:t>
      </w:r>
      <w:r>
        <w:t xml:space="preserve"> of container contents. We use the midpoint of this range, 95</w:t>
      </w:r>
      <w:r w:rsidR="00C466C5">
        <w:t xml:space="preserve"> percent</w:t>
      </w:r>
      <w:r>
        <w:t>, to produce an estimate of about 21.44 million high</w:t>
      </w:r>
      <w:r w:rsidR="00386E17">
        <w:t>-</w:t>
      </w:r>
      <w:r>
        <w:t xml:space="preserve">pressure oxygen cylinders used in medical markets. We add to this the ERG estimates of </w:t>
      </w:r>
      <w:r>
        <w:t>about 88,000 cryogenic containers of oxygen (both liquid containers and small tanks)</w:t>
      </w:r>
      <w:r>
        <w:t xml:space="preserve"> </w:t>
      </w:r>
      <w:r>
        <w:t>multiplied by the same 95</w:t>
      </w:r>
      <w:r w:rsidR="00C466C5">
        <w:t xml:space="preserve"> percent</w:t>
      </w:r>
      <w:r>
        <w:t xml:space="preserve"> to produce an estimated 84,000 liquid oxygen containers used in medical markets.</w:t>
      </w:r>
      <w:r>
        <w:rPr>
          <w:rStyle w:val="FootnoteReference"/>
        </w:rPr>
        <w:footnoteReference w:id="17"/>
      </w:r>
      <w:r>
        <w:t xml:space="preserve"> The sum of the </w:t>
      </w:r>
      <w:r w:rsidR="003B3740">
        <w:t>high-pressure</w:t>
      </w:r>
      <w:r>
        <w:t xml:space="preserve"> oxygen containers and cryogenic oxygen containers is about 21.53 million oxygen containers</w:t>
      </w:r>
      <w:r w:rsidR="00FD7873">
        <w:t xml:space="preserve"> for medical use</w:t>
      </w:r>
      <w:r>
        <w:t>.</w:t>
      </w:r>
      <w:r w:rsidR="00997365">
        <w:t xml:space="preserve"> We exclude from our count the non-medical market of </w:t>
      </w:r>
      <w:r w:rsidR="00A50563">
        <w:t xml:space="preserve">both </w:t>
      </w:r>
      <w:r w:rsidR="00997365">
        <w:t>high-pressure and cryogenic oxygen containers</w:t>
      </w:r>
      <w:r w:rsidRPr="00997365" w:rsidR="00997365">
        <w:t xml:space="preserve">. </w:t>
      </w:r>
    </w:p>
    <w:p w:rsidR="00D6315F" w:rsidP="00D6315F" w14:paraId="1C289D37" w14:textId="33D59A0A">
      <w:pPr>
        <w:ind w:firstLine="720"/>
      </w:pPr>
      <w:r>
        <w:t xml:space="preserve">We use the 2014 Labeling Cost Model (LCM) Report from RTI, Inc. (the RTI Report) (Ref. </w:t>
      </w:r>
      <w:r w:rsidR="00BB2E72">
        <w:t>5</w:t>
      </w:r>
      <w:r>
        <w:t xml:space="preserve">) to estimate the one-time cost of this new labeling requirement. Table 4-11 in the RTI Report estimates sticker costs on a per sales unit basis for labeling costs that </w:t>
      </w:r>
      <w:r w:rsidR="001940B0">
        <w:t>will</w:t>
      </w:r>
      <w:r>
        <w:t xml:space="preserve"> be incurred over a time period for which normal labeling changes could not easily be made. These costs are estimated at $0.015 to $0.15</w:t>
      </w:r>
      <w:r w:rsidR="00690A32">
        <w:t>.</w:t>
      </w:r>
      <w:r>
        <w:t xml:space="preserve"> Further, the LCM estimates the application time to range from 0.2 minutes to 0.6 minutes for each labeling sticker, which equates to 100 to 300 labels applied per hour by industry personnel. We note that the size difference between a typical food, medical product</w:t>
      </w:r>
      <w:r w:rsidR="008D1A2D">
        <w:t>,</w:t>
      </w:r>
      <w:r>
        <w:t xml:space="preserve"> or personal healthcare product (on which the LCM is based) and the much larger oxygen containers implies that the time that </w:t>
      </w:r>
      <w:r w:rsidR="001940B0">
        <w:t>will</w:t>
      </w:r>
      <w:r>
        <w:t xml:space="preserve"> be required to add the </w:t>
      </w:r>
      <w:r w:rsidR="00395C1E">
        <w:t>statements “no smoking” and “no vaping” and a graphic symbol conveying that smoking, vaping, and open flames near oxygen are dangerous</w:t>
      </w:r>
      <w:r>
        <w:t xml:space="preserve"> </w:t>
      </w:r>
      <w:r w:rsidR="001940B0">
        <w:t>will</w:t>
      </w:r>
      <w:r>
        <w:t xml:space="preserve"> be closer to the upper range estimate of 0.6 minutes each.</w:t>
      </w:r>
    </w:p>
    <w:p w:rsidR="00D6315F" w:rsidP="00D6315F" w14:paraId="5D23FFD9" w14:textId="44D6F475">
      <w:pPr>
        <w:ind w:firstLine="720"/>
      </w:pPr>
      <w:r>
        <w:t xml:space="preserve">We updated the LCM report to include </w:t>
      </w:r>
      <w:r w:rsidRPr="00DC19FE">
        <w:t xml:space="preserve">the </w:t>
      </w:r>
      <w:r w:rsidR="003153D7">
        <w:t>2022</w:t>
      </w:r>
      <w:r w:rsidRPr="00DC19FE">
        <w:t xml:space="preserve"> </w:t>
      </w:r>
      <w:r w:rsidR="007B12D8">
        <w:t>H</w:t>
      </w:r>
      <w:r>
        <w:t xml:space="preserve">elper </w:t>
      </w:r>
      <w:r w:rsidRPr="00DC19FE">
        <w:t xml:space="preserve">wage rate </w:t>
      </w:r>
      <w:r>
        <w:t>using the</w:t>
      </w:r>
      <w:r w:rsidRPr="00DC19FE">
        <w:t xml:space="preserve"> Helpers and double it for a </w:t>
      </w:r>
      <w:r w:rsidR="00986206">
        <w:t>fully-loaded</w:t>
      </w:r>
      <w:r w:rsidRPr="00DC19FE">
        <w:t xml:space="preserve"> wage rate of $</w:t>
      </w:r>
      <w:r w:rsidR="0036110B">
        <w:t>37.02</w:t>
      </w:r>
      <w:r>
        <w:t>.</w:t>
      </w:r>
      <w:r w:rsidR="00AE12E6">
        <w:t xml:space="preserve"> </w:t>
      </w:r>
      <w:r w:rsidRPr="00540709" w:rsidR="00540709">
        <w:fldChar w:fldCharType="begin"/>
      </w:r>
      <w:r w:rsidRPr="00540709" w:rsidR="00540709">
        <w:instrText xml:space="preserve"> REF _Ref36642842 \h </w:instrText>
      </w:r>
      <w:r w:rsidRPr="004848C7" w:rsidR="00540709">
        <w:instrText xml:space="preserve"> \* MERGEFORMAT </w:instrText>
      </w:r>
      <w:r w:rsidRPr="00540709" w:rsidR="00540709">
        <w:fldChar w:fldCharType="separate"/>
      </w:r>
      <w:r w:rsidRPr="004848C7" w:rsidR="00540709">
        <w:t xml:space="preserve">Table </w:t>
      </w:r>
      <w:r w:rsidRPr="004848C7" w:rsidR="00540709">
        <w:rPr>
          <w:noProof/>
        </w:rPr>
        <w:t>12</w:t>
      </w:r>
      <w:r w:rsidRPr="00540709" w:rsidR="00540709">
        <w:fldChar w:fldCharType="end"/>
      </w:r>
      <w:r w:rsidR="00AE12E6">
        <w:t xml:space="preserve"> shows the resulting high cost per label is $0.</w:t>
      </w:r>
      <w:r w:rsidR="00791CFA">
        <w:t>52</w:t>
      </w:r>
      <w:r w:rsidR="00AE12E6">
        <w:t>.</w:t>
      </w:r>
    </w:p>
    <w:p w:rsidR="00D6315F" w:rsidP="00D6315F" w14:paraId="491B22DD" w14:textId="77777777">
      <w:pPr>
        <w:ind w:firstLine="720"/>
      </w:pPr>
    </w:p>
    <w:p w:rsidR="00D6315F" w:rsidRPr="00582F91" w:rsidP="00D6315F" w14:paraId="31155BDE" w14:textId="22CA5B94">
      <w:pPr>
        <w:pStyle w:val="Caption"/>
        <w:keepNext/>
        <w:rPr>
          <w:b/>
        </w:rPr>
      </w:pPr>
      <w:bookmarkStart w:id="86" w:name="_Ref36642842"/>
      <w:bookmarkStart w:id="87" w:name="_Toc147238756"/>
      <w:r w:rsidRPr="00582F91">
        <w:rPr>
          <w:b/>
        </w:rPr>
        <w:t xml:space="preserve">Table </w:t>
      </w:r>
      <w:r w:rsidRPr="00582F91">
        <w:rPr>
          <w:b/>
        </w:rPr>
        <w:fldChar w:fldCharType="begin"/>
      </w:r>
      <w:r w:rsidRPr="00582F91">
        <w:rPr>
          <w:b/>
        </w:rPr>
        <w:instrText xml:space="preserve"> SEQ Table \* ARABIC </w:instrText>
      </w:r>
      <w:r w:rsidRPr="00582F91">
        <w:rPr>
          <w:b/>
        </w:rPr>
        <w:fldChar w:fldCharType="separate"/>
      </w:r>
      <w:r w:rsidR="00D36765">
        <w:rPr>
          <w:b/>
          <w:noProof/>
        </w:rPr>
        <w:t>12</w:t>
      </w:r>
      <w:r w:rsidRPr="00582F91">
        <w:rPr>
          <w:b/>
        </w:rPr>
        <w:fldChar w:fldCharType="end"/>
      </w:r>
      <w:bookmarkEnd w:id="86"/>
      <w:r w:rsidRPr="00582F91">
        <w:rPr>
          <w:b/>
        </w:rPr>
        <w:t>. Per Label Cost</w:t>
      </w:r>
      <w:bookmarkEnd w:id="87"/>
    </w:p>
    <w:tbl>
      <w:tblPr>
        <w:tblW w:w="9355" w:type="dxa"/>
        <w:tblLook w:val="04A0"/>
      </w:tblPr>
      <w:tblGrid>
        <w:gridCol w:w="3952"/>
        <w:gridCol w:w="2006"/>
        <w:gridCol w:w="1867"/>
        <w:gridCol w:w="1530"/>
      </w:tblGrid>
      <w:tr w14:paraId="2C168D79" w14:textId="77777777" w:rsidTr="00714FC0">
        <w:tblPrEx>
          <w:tblW w:w="9355" w:type="dxa"/>
          <w:tblLook w:val="04A0"/>
        </w:tblPrEx>
        <w:trPr>
          <w:trHeight w:val="216"/>
        </w:trPr>
        <w:tc>
          <w:tcPr>
            <w:tcW w:w="3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315F" w:rsidRPr="00F43C00" w:rsidP="00D6315F" w14:paraId="1B72167D" w14:textId="77777777">
            <w:pPr>
              <w:spacing w:after="0"/>
              <w:rPr>
                <w:rFonts w:eastAsia="Times New Roman"/>
                <w:b/>
                <w:bCs/>
                <w:color w:val="000000"/>
                <w:sz w:val="22"/>
                <w:szCs w:val="22"/>
              </w:rPr>
            </w:pPr>
            <w:r w:rsidRPr="00F43C00">
              <w:rPr>
                <w:rFonts w:eastAsia="Times New Roman"/>
                <w:b/>
                <w:bCs/>
                <w:color w:val="000000"/>
                <w:sz w:val="22"/>
                <w:szCs w:val="22"/>
              </w:rPr>
              <w:t> </w:t>
            </w:r>
          </w:p>
        </w:tc>
        <w:tc>
          <w:tcPr>
            <w:tcW w:w="20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D6315F" w:rsidRPr="00714FC0" w:rsidP="00AC2CB0" w14:paraId="02D56DCA" w14:textId="77777777">
            <w:pPr>
              <w:spacing w:after="0"/>
              <w:jc w:val="center"/>
              <w:rPr>
                <w:rFonts w:eastAsia="Times New Roman"/>
                <w:b/>
                <w:bCs/>
                <w:color w:val="000000"/>
                <w:sz w:val="22"/>
                <w:szCs w:val="22"/>
              </w:rPr>
            </w:pPr>
            <w:r w:rsidRPr="00714FC0">
              <w:rPr>
                <w:rFonts w:eastAsia="Times New Roman"/>
                <w:b/>
                <w:bCs/>
                <w:color w:val="000000"/>
                <w:sz w:val="22"/>
                <w:szCs w:val="22"/>
              </w:rPr>
              <w:t>Low</w:t>
            </w:r>
          </w:p>
        </w:tc>
        <w:tc>
          <w:tcPr>
            <w:tcW w:w="186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D6315F" w:rsidRPr="00714FC0" w:rsidP="00AC2CB0" w14:paraId="50E19096" w14:textId="77777777">
            <w:pPr>
              <w:spacing w:after="0"/>
              <w:jc w:val="center"/>
              <w:rPr>
                <w:rFonts w:eastAsia="Times New Roman"/>
                <w:b/>
                <w:bCs/>
                <w:color w:val="000000"/>
                <w:sz w:val="22"/>
                <w:szCs w:val="22"/>
              </w:rPr>
            </w:pPr>
            <w:r w:rsidRPr="00714FC0">
              <w:rPr>
                <w:rFonts w:eastAsia="Times New Roman"/>
                <w:b/>
                <w:bCs/>
                <w:color w:val="000000"/>
                <w:sz w:val="22"/>
                <w:szCs w:val="22"/>
              </w:rPr>
              <w:t>Primary</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D6315F" w:rsidRPr="00714FC0" w:rsidP="00AC2CB0" w14:paraId="787498CB" w14:textId="77777777">
            <w:pPr>
              <w:spacing w:after="0"/>
              <w:jc w:val="center"/>
              <w:rPr>
                <w:rFonts w:eastAsia="Times New Roman"/>
                <w:b/>
                <w:bCs/>
                <w:color w:val="000000"/>
                <w:sz w:val="22"/>
                <w:szCs w:val="22"/>
              </w:rPr>
            </w:pPr>
            <w:r w:rsidRPr="00714FC0">
              <w:rPr>
                <w:rFonts w:eastAsia="Times New Roman"/>
                <w:b/>
                <w:bCs/>
                <w:color w:val="000000"/>
                <w:sz w:val="22"/>
                <w:szCs w:val="22"/>
              </w:rPr>
              <w:t>High</w:t>
            </w:r>
          </w:p>
        </w:tc>
      </w:tr>
      <w:tr w14:paraId="7C397FB9" w14:textId="77777777" w:rsidTr="00714FC0">
        <w:tblPrEx>
          <w:tblW w:w="9355" w:type="dxa"/>
          <w:tblLook w:val="04A0"/>
        </w:tblPrEx>
        <w:trPr>
          <w:trHeight w:val="216"/>
        </w:trPr>
        <w:tc>
          <w:tcPr>
            <w:tcW w:w="3952" w:type="dxa"/>
            <w:tcBorders>
              <w:top w:val="nil"/>
              <w:left w:val="single" w:sz="4" w:space="0" w:color="auto"/>
              <w:bottom w:val="single" w:sz="4" w:space="0" w:color="auto"/>
              <w:right w:val="single" w:sz="4" w:space="0" w:color="auto"/>
            </w:tcBorders>
            <w:shd w:val="clear" w:color="auto" w:fill="auto"/>
            <w:noWrap/>
            <w:vAlign w:val="bottom"/>
            <w:hideMark/>
          </w:tcPr>
          <w:p w:rsidR="00D6315F" w:rsidRPr="00F43C00" w:rsidP="00D6315F" w14:paraId="783E19D2" w14:textId="77777777">
            <w:pPr>
              <w:spacing w:after="0"/>
              <w:rPr>
                <w:rFonts w:eastAsia="Times New Roman"/>
                <w:color w:val="000000"/>
                <w:sz w:val="22"/>
                <w:szCs w:val="22"/>
              </w:rPr>
            </w:pPr>
            <w:r w:rsidRPr="00F43C00">
              <w:rPr>
                <w:rFonts w:eastAsia="Times New Roman"/>
                <w:color w:val="000000"/>
                <w:sz w:val="22"/>
                <w:szCs w:val="22"/>
              </w:rPr>
              <w:t>Application time (minutes)</w:t>
            </w:r>
          </w:p>
        </w:tc>
        <w:tc>
          <w:tcPr>
            <w:tcW w:w="2006"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01717658" w14:textId="77777777">
            <w:pPr>
              <w:spacing w:after="0"/>
              <w:jc w:val="center"/>
              <w:rPr>
                <w:rFonts w:eastAsia="Times New Roman"/>
                <w:color w:val="000000"/>
                <w:sz w:val="22"/>
                <w:szCs w:val="22"/>
              </w:rPr>
            </w:pPr>
            <w:r w:rsidRPr="00F43C00">
              <w:rPr>
                <w:rFonts w:eastAsia="Times New Roman"/>
                <w:color w:val="000000"/>
                <w:sz w:val="22"/>
                <w:szCs w:val="22"/>
              </w:rPr>
              <w:t>0.2</w:t>
            </w:r>
          </w:p>
        </w:tc>
        <w:tc>
          <w:tcPr>
            <w:tcW w:w="1867"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78D5B48E" w14:textId="77777777">
            <w:pPr>
              <w:spacing w:after="0"/>
              <w:jc w:val="center"/>
              <w:rPr>
                <w:rFonts w:eastAsia="Times New Roman"/>
                <w:color w:val="000000"/>
                <w:sz w:val="22"/>
                <w:szCs w:val="22"/>
              </w:rPr>
            </w:pPr>
            <w:r w:rsidRPr="00F43C00">
              <w:rPr>
                <w:rFonts w:eastAsia="Times New Roman"/>
                <w:color w:val="000000"/>
                <w:sz w:val="22"/>
                <w:szCs w:val="22"/>
              </w:rPr>
              <w:t>0.3</w:t>
            </w:r>
          </w:p>
        </w:tc>
        <w:tc>
          <w:tcPr>
            <w:tcW w:w="1530"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397C9A55" w14:textId="77777777">
            <w:pPr>
              <w:spacing w:after="0"/>
              <w:jc w:val="center"/>
              <w:rPr>
                <w:rFonts w:eastAsia="Times New Roman"/>
                <w:color w:val="000000"/>
                <w:sz w:val="22"/>
                <w:szCs w:val="22"/>
              </w:rPr>
            </w:pPr>
            <w:r w:rsidRPr="00F43C00">
              <w:rPr>
                <w:rFonts w:eastAsia="Times New Roman"/>
                <w:color w:val="000000"/>
                <w:sz w:val="22"/>
                <w:szCs w:val="22"/>
              </w:rPr>
              <w:t>0.6</w:t>
            </w:r>
          </w:p>
        </w:tc>
      </w:tr>
      <w:tr w14:paraId="5ABFEB0E" w14:textId="77777777" w:rsidTr="00714FC0">
        <w:tblPrEx>
          <w:tblW w:w="9355" w:type="dxa"/>
          <w:tblLook w:val="04A0"/>
        </w:tblPrEx>
        <w:trPr>
          <w:trHeight w:val="216"/>
        </w:trPr>
        <w:tc>
          <w:tcPr>
            <w:tcW w:w="3952" w:type="dxa"/>
            <w:tcBorders>
              <w:top w:val="nil"/>
              <w:left w:val="single" w:sz="4" w:space="0" w:color="auto"/>
              <w:bottom w:val="single" w:sz="4" w:space="0" w:color="auto"/>
              <w:right w:val="single" w:sz="4" w:space="0" w:color="auto"/>
            </w:tcBorders>
            <w:shd w:val="clear" w:color="auto" w:fill="auto"/>
            <w:noWrap/>
            <w:vAlign w:val="bottom"/>
            <w:hideMark/>
          </w:tcPr>
          <w:p w:rsidR="00D6315F" w:rsidRPr="00F43C00" w:rsidP="00D6315F" w14:paraId="44E5DC09" w14:textId="77777777">
            <w:pPr>
              <w:spacing w:after="0"/>
              <w:rPr>
                <w:rFonts w:eastAsia="Times New Roman"/>
                <w:color w:val="000000"/>
                <w:sz w:val="22"/>
                <w:szCs w:val="22"/>
              </w:rPr>
            </w:pPr>
            <w:r w:rsidRPr="00F43C00">
              <w:rPr>
                <w:rFonts w:eastAsia="Times New Roman"/>
                <w:color w:val="000000"/>
                <w:sz w:val="22"/>
                <w:szCs w:val="22"/>
              </w:rPr>
              <w:t>Wage rate (helper)</w:t>
            </w:r>
          </w:p>
        </w:tc>
        <w:tc>
          <w:tcPr>
            <w:tcW w:w="2006"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41371A9D" w14:textId="056D060D">
            <w:pPr>
              <w:spacing w:after="0"/>
              <w:jc w:val="center"/>
              <w:rPr>
                <w:rFonts w:eastAsia="Times New Roman"/>
                <w:color w:val="000000"/>
                <w:sz w:val="22"/>
                <w:szCs w:val="22"/>
              </w:rPr>
            </w:pPr>
            <w:r w:rsidRPr="00F43C00">
              <w:rPr>
                <w:rFonts w:eastAsia="Times New Roman"/>
                <w:color w:val="000000"/>
                <w:sz w:val="22"/>
                <w:szCs w:val="22"/>
              </w:rPr>
              <w:t>$</w:t>
            </w:r>
            <w:r w:rsidR="0036110B">
              <w:rPr>
                <w:rFonts w:eastAsia="Times New Roman"/>
                <w:color w:val="000000"/>
                <w:sz w:val="22"/>
                <w:szCs w:val="22"/>
              </w:rPr>
              <w:t>37.02</w:t>
            </w:r>
          </w:p>
        </w:tc>
        <w:tc>
          <w:tcPr>
            <w:tcW w:w="1867"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7A04CE9A" w14:textId="428DC729">
            <w:pPr>
              <w:spacing w:after="0"/>
              <w:jc w:val="center"/>
              <w:rPr>
                <w:rFonts w:eastAsia="Times New Roman"/>
                <w:color w:val="000000"/>
                <w:sz w:val="22"/>
                <w:szCs w:val="22"/>
              </w:rPr>
            </w:pPr>
            <w:r w:rsidRPr="00F43C00">
              <w:rPr>
                <w:rFonts w:eastAsia="Times New Roman"/>
                <w:color w:val="000000"/>
                <w:sz w:val="22"/>
                <w:szCs w:val="22"/>
              </w:rPr>
              <w:t>$</w:t>
            </w:r>
            <w:r w:rsidR="0036110B">
              <w:rPr>
                <w:rFonts w:eastAsia="Times New Roman"/>
                <w:color w:val="000000"/>
                <w:sz w:val="22"/>
                <w:szCs w:val="22"/>
              </w:rPr>
              <w:t>37.02</w:t>
            </w:r>
          </w:p>
        </w:tc>
        <w:tc>
          <w:tcPr>
            <w:tcW w:w="1530" w:type="dxa"/>
            <w:tcBorders>
              <w:top w:val="nil"/>
              <w:left w:val="nil"/>
              <w:bottom w:val="single" w:sz="4" w:space="0" w:color="auto"/>
              <w:right w:val="single" w:sz="4" w:space="0" w:color="auto"/>
            </w:tcBorders>
            <w:shd w:val="clear" w:color="auto" w:fill="auto"/>
            <w:noWrap/>
            <w:vAlign w:val="bottom"/>
            <w:hideMark/>
          </w:tcPr>
          <w:p w:rsidR="00D6315F" w:rsidRPr="00F43C00" w:rsidP="00AC2CB0" w14:paraId="2576D46C" w14:textId="541E50B3">
            <w:pPr>
              <w:spacing w:after="0"/>
              <w:jc w:val="center"/>
              <w:rPr>
                <w:rFonts w:eastAsia="Times New Roman"/>
                <w:color w:val="000000"/>
                <w:sz w:val="22"/>
                <w:szCs w:val="22"/>
              </w:rPr>
            </w:pPr>
            <w:r w:rsidRPr="00F43C00">
              <w:rPr>
                <w:rFonts w:eastAsia="Times New Roman"/>
                <w:color w:val="000000"/>
                <w:sz w:val="22"/>
                <w:szCs w:val="22"/>
              </w:rPr>
              <w:t>$</w:t>
            </w:r>
            <w:r w:rsidR="0036110B">
              <w:rPr>
                <w:rFonts w:eastAsia="Times New Roman"/>
                <w:color w:val="000000"/>
                <w:sz w:val="22"/>
                <w:szCs w:val="22"/>
              </w:rPr>
              <w:t>37.02</w:t>
            </w:r>
          </w:p>
        </w:tc>
      </w:tr>
      <w:tr w14:paraId="3B571BE3" w14:textId="77777777" w:rsidTr="000659AD">
        <w:tblPrEx>
          <w:tblW w:w="9355" w:type="dxa"/>
          <w:tblLook w:val="04A0"/>
        </w:tblPrEx>
        <w:trPr>
          <w:trHeight w:val="216"/>
        </w:trPr>
        <w:tc>
          <w:tcPr>
            <w:tcW w:w="3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562" w:rsidRPr="00F43C00" w:rsidP="00515562" w14:paraId="0FA95E4B" w14:textId="77777777">
            <w:pPr>
              <w:spacing w:after="0"/>
              <w:rPr>
                <w:rFonts w:eastAsia="Times New Roman"/>
                <w:color w:val="000000"/>
                <w:sz w:val="22"/>
                <w:szCs w:val="22"/>
              </w:rPr>
            </w:pPr>
            <w:r w:rsidRPr="00F43C00">
              <w:rPr>
                <w:rFonts w:eastAsia="Times New Roman"/>
                <w:color w:val="000000"/>
                <w:sz w:val="22"/>
                <w:szCs w:val="22"/>
              </w:rPr>
              <w:t>Cost per application</w:t>
            </w:r>
          </w:p>
        </w:tc>
        <w:tc>
          <w:tcPr>
            <w:tcW w:w="2006" w:type="dxa"/>
            <w:tcBorders>
              <w:top w:val="single" w:sz="4" w:space="0" w:color="auto"/>
              <w:left w:val="nil"/>
              <w:bottom w:val="single" w:sz="4" w:space="0" w:color="auto"/>
              <w:right w:val="single" w:sz="4" w:space="0" w:color="auto"/>
            </w:tcBorders>
            <w:shd w:val="clear" w:color="auto" w:fill="auto"/>
            <w:noWrap/>
            <w:hideMark/>
          </w:tcPr>
          <w:p w:rsidR="00515562" w:rsidRPr="00515562" w:rsidP="00515562" w14:paraId="6F930D6E" w14:textId="2A0AD6F1">
            <w:pPr>
              <w:spacing w:after="0"/>
              <w:jc w:val="center"/>
              <w:rPr>
                <w:rFonts w:eastAsia="Times New Roman"/>
                <w:color w:val="000000"/>
                <w:sz w:val="22"/>
                <w:szCs w:val="22"/>
              </w:rPr>
            </w:pPr>
            <w:r w:rsidRPr="000659AD">
              <w:rPr>
                <w:sz w:val="22"/>
                <w:szCs w:val="22"/>
              </w:rPr>
              <w:t>$0.12</w:t>
            </w:r>
          </w:p>
        </w:tc>
        <w:tc>
          <w:tcPr>
            <w:tcW w:w="1867" w:type="dxa"/>
            <w:tcBorders>
              <w:top w:val="single" w:sz="4" w:space="0" w:color="auto"/>
              <w:left w:val="nil"/>
              <w:bottom w:val="single" w:sz="4" w:space="0" w:color="auto"/>
              <w:right w:val="single" w:sz="4" w:space="0" w:color="auto"/>
            </w:tcBorders>
            <w:shd w:val="clear" w:color="auto" w:fill="auto"/>
            <w:noWrap/>
            <w:hideMark/>
          </w:tcPr>
          <w:p w:rsidR="00515562" w:rsidRPr="00515562" w:rsidP="00515562" w14:paraId="777718EA" w14:textId="7CE4B550">
            <w:pPr>
              <w:spacing w:after="0"/>
              <w:jc w:val="center"/>
              <w:rPr>
                <w:rFonts w:eastAsia="Times New Roman"/>
                <w:color w:val="000000"/>
                <w:sz w:val="22"/>
                <w:szCs w:val="22"/>
              </w:rPr>
            </w:pPr>
            <w:r w:rsidRPr="000659AD">
              <w:rPr>
                <w:sz w:val="22"/>
                <w:szCs w:val="22"/>
              </w:rPr>
              <w:t>$0.19</w:t>
            </w:r>
          </w:p>
        </w:tc>
        <w:tc>
          <w:tcPr>
            <w:tcW w:w="1530" w:type="dxa"/>
            <w:tcBorders>
              <w:top w:val="single" w:sz="4" w:space="0" w:color="auto"/>
              <w:left w:val="nil"/>
              <w:bottom w:val="single" w:sz="4" w:space="0" w:color="auto"/>
              <w:right w:val="single" w:sz="4" w:space="0" w:color="auto"/>
            </w:tcBorders>
            <w:shd w:val="clear" w:color="auto" w:fill="auto"/>
            <w:noWrap/>
            <w:hideMark/>
          </w:tcPr>
          <w:p w:rsidR="00515562" w:rsidRPr="00515562" w:rsidP="00515562" w14:paraId="2F03AED6" w14:textId="6D0CAF20">
            <w:pPr>
              <w:spacing w:after="0"/>
              <w:jc w:val="center"/>
              <w:rPr>
                <w:rFonts w:eastAsia="Times New Roman"/>
                <w:color w:val="000000"/>
                <w:sz w:val="22"/>
                <w:szCs w:val="22"/>
              </w:rPr>
            </w:pPr>
            <w:r w:rsidRPr="000659AD">
              <w:rPr>
                <w:sz w:val="22"/>
                <w:szCs w:val="22"/>
              </w:rPr>
              <w:t>$0.37</w:t>
            </w:r>
          </w:p>
        </w:tc>
      </w:tr>
      <w:tr w14:paraId="67C6306A" w14:textId="77777777" w:rsidTr="00714FC0">
        <w:tblPrEx>
          <w:tblW w:w="9355" w:type="dxa"/>
          <w:tblLook w:val="04A0"/>
        </w:tblPrEx>
        <w:trPr>
          <w:trHeight w:val="216"/>
        </w:trPr>
        <w:tc>
          <w:tcPr>
            <w:tcW w:w="3952" w:type="dxa"/>
            <w:tcBorders>
              <w:top w:val="nil"/>
              <w:left w:val="single" w:sz="4" w:space="0" w:color="auto"/>
              <w:bottom w:val="single" w:sz="4" w:space="0" w:color="auto"/>
              <w:right w:val="single" w:sz="4" w:space="0" w:color="auto"/>
            </w:tcBorders>
            <w:shd w:val="clear" w:color="auto" w:fill="auto"/>
            <w:noWrap/>
            <w:vAlign w:val="bottom"/>
          </w:tcPr>
          <w:p w:rsidR="00C10727" w:rsidRPr="00F43C00" w:rsidP="00C10727" w14:paraId="76FCC185" w14:textId="257C9BB6">
            <w:pPr>
              <w:spacing w:after="0"/>
              <w:rPr>
                <w:rFonts w:eastAsia="Times New Roman"/>
                <w:color w:val="000000"/>
                <w:sz w:val="22"/>
                <w:szCs w:val="22"/>
              </w:rPr>
            </w:pPr>
            <w:r w:rsidRPr="00F43C00">
              <w:rPr>
                <w:rFonts w:eastAsia="Times New Roman"/>
                <w:color w:val="000000"/>
                <w:sz w:val="22"/>
                <w:szCs w:val="22"/>
              </w:rPr>
              <w:t>Sticker cost</w:t>
            </w:r>
          </w:p>
        </w:tc>
        <w:tc>
          <w:tcPr>
            <w:tcW w:w="2006" w:type="dxa"/>
            <w:tcBorders>
              <w:top w:val="nil"/>
              <w:left w:val="nil"/>
              <w:bottom w:val="single" w:sz="4" w:space="0" w:color="auto"/>
              <w:right w:val="single" w:sz="4" w:space="0" w:color="auto"/>
            </w:tcBorders>
            <w:shd w:val="clear" w:color="auto" w:fill="auto"/>
            <w:noWrap/>
            <w:vAlign w:val="bottom"/>
          </w:tcPr>
          <w:p w:rsidR="00C10727" w:rsidRPr="00F43C00" w:rsidP="00AC2CB0" w14:paraId="59990EF7" w14:textId="386E6A50">
            <w:pPr>
              <w:spacing w:after="0"/>
              <w:jc w:val="center"/>
              <w:rPr>
                <w:rFonts w:eastAsia="Times New Roman"/>
                <w:color w:val="000000"/>
                <w:sz w:val="22"/>
                <w:szCs w:val="22"/>
              </w:rPr>
            </w:pPr>
            <w:r w:rsidRPr="00F43C00">
              <w:rPr>
                <w:rFonts w:eastAsia="Times New Roman"/>
                <w:color w:val="000000"/>
                <w:sz w:val="22"/>
                <w:szCs w:val="22"/>
              </w:rPr>
              <w:t>$0.02</w:t>
            </w:r>
          </w:p>
        </w:tc>
        <w:tc>
          <w:tcPr>
            <w:tcW w:w="1867" w:type="dxa"/>
            <w:tcBorders>
              <w:top w:val="nil"/>
              <w:left w:val="nil"/>
              <w:bottom w:val="single" w:sz="4" w:space="0" w:color="auto"/>
              <w:right w:val="single" w:sz="4" w:space="0" w:color="auto"/>
            </w:tcBorders>
            <w:shd w:val="clear" w:color="auto" w:fill="auto"/>
            <w:noWrap/>
            <w:vAlign w:val="bottom"/>
          </w:tcPr>
          <w:p w:rsidR="00C10727" w:rsidRPr="00F43C00" w:rsidP="00AC2CB0" w14:paraId="5FDFF91D" w14:textId="7EF146B1">
            <w:pPr>
              <w:spacing w:after="0"/>
              <w:jc w:val="center"/>
              <w:rPr>
                <w:rFonts w:eastAsia="Times New Roman"/>
                <w:color w:val="000000"/>
                <w:sz w:val="22"/>
                <w:szCs w:val="22"/>
              </w:rPr>
            </w:pPr>
            <w:r w:rsidRPr="00F43C00">
              <w:rPr>
                <w:rFonts w:eastAsia="Times New Roman"/>
                <w:color w:val="000000"/>
                <w:sz w:val="22"/>
                <w:szCs w:val="22"/>
              </w:rPr>
              <w:t>$0.06</w:t>
            </w:r>
          </w:p>
        </w:tc>
        <w:tc>
          <w:tcPr>
            <w:tcW w:w="1530" w:type="dxa"/>
            <w:tcBorders>
              <w:top w:val="nil"/>
              <w:left w:val="nil"/>
              <w:bottom w:val="single" w:sz="4" w:space="0" w:color="auto"/>
              <w:right w:val="single" w:sz="4" w:space="0" w:color="auto"/>
            </w:tcBorders>
            <w:shd w:val="clear" w:color="auto" w:fill="auto"/>
            <w:noWrap/>
            <w:vAlign w:val="bottom"/>
          </w:tcPr>
          <w:p w:rsidR="00C10727" w:rsidRPr="00F43C00" w:rsidP="00AC2CB0" w14:paraId="2E64B024" w14:textId="0931E705">
            <w:pPr>
              <w:spacing w:after="0"/>
              <w:jc w:val="center"/>
              <w:rPr>
                <w:rFonts w:eastAsia="Times New Roman"/>
                <w:color w:val="000000"/>
                <w:sz w:val="22"/>
                <w:szCs w:val="22"/>
              </w:rPr>
            </w:pPr>
            <w:r w:rsidRPr="00F43C00">
              <w:rPr>
                <w:rFonts w:eastAsia="Times New Roman"/>
                <w:color w:val="000000"/>
                <w:sz w:val="22"/>
                <w:szCs w:val="22"/>
              </w:rPr>
              <w:t>$0.15</w:t>
            </w:r>
          </w:p>
        </w:tc>
      </w:tr>
      <w:tr w14:paraId="17B50CC8" w14:textId="77777777" w:rsidTr="003B7206">
        <w:tblPrEx>
          <w:tblW w:w="9355" w:type="dxa"/>
          <w:tblLook w:val="04A0"/>
        </w:tblPrEx>
        <w:trPr>
          <w:trHeight w:val="216"/>
        </w:trPr>
        <w:tc>
          <w:tcPr>
            <w:tcW w:w="395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C5A67" w:rsidRPr="003B7206" w:rsidP="00C10727" w14:paraId="4BFA1F1B" w14:textId="0602DF64">
            <w:pPr>
              <w:spacing w:after="0"/>
              <w:rPr>
                <w:rFonts w:eastAsia="Times New Roman"/>
                <w:b/>
                <w:bCs/>
                <w:color w:val="000000"/>
                <w:sz w:val="22"/>
                <w:szCs w:val="22"/>
              </w:rPr>
            </w:pPr>
            <w:r w:rsidRPr="003B7206">
              <w:rPr>
                <w:rFonts w:eastAsia="Times New Roman"/>
                <w:b/>
                <w:bCs/>
                <w:color w:val="000000"/>
                <w:sz w:val="22"/>
                <w:szCs w:val="22"/>
              </w:rPr>
              <w:t>Total Cost</w:t>
            </w:r>
          </w:p>
        </w:tc>
        <w:tc>
          <w:tcPr>
            <w:tcW w:w="2006" w:type="dxa"/>
            <w:tcBorders>
              <w:top w:val="nil"/>
              <w:left w:val="nil"/>
              <w:bottom w:val="single" w:sz="4" w:space="0" w:color="auto"/>
              <w:right w:val="single" w:sz="4" w:space="0" w:color="auto"/>
            </w:tcBorders>
            <w:shd w:val="clear" w:color="auto" w:fill="D9D9D9" w:themeFill="background1" w:themeFillShade="D9"/>
            <w:noWrap/>
            <w:vAlign w:val="bottom"/>
          </w:tcPr>
          <w:p w:rsidR="004C5A67" w:rsidRPr="00F43C00" w:rsidP="00AC2CB0" w14:paraId="55883C94" w14:textId="77777777">
            <w:pPr>
              <w:spacing w:after="0"/>
              <w:jc w:val="center"/>
              <w:rPr>
                <w:rFonts w:eastAsia="Times New Roman"/>
                <w:color w:val="000000"/>
                <w:sz w:val="22"/>
                <w:szCs w:val="22"/>
              </w:rPr>
            </w:pPr>
          </w:p>
        </w:tc>
        <w:tc>
          <w:tcPr>
            <w:tcW w:w="1867" w:type="dxa"/>
            <w:tcBorders>
              <w:top w:val="nil"/>
              <w:left w:val="nil"/>
              <w:bottom w:val="single" w:sz="4" w:space="0" w:color="auto"/>
              <w:right w:val="single" w:sz="4" w:space="0" w:color="auto"/>
            </w:tcBorders>
            <w:shd w:val="clear" w:color="auto" w:fill="D9D9D9" w:themeFill="background1" w:themeFillShade="D9"/>
            <w:noWrap/>
            <w:vAlign w:val="bottom"/>
          </w:tcPr>
          <w:p w:rsidR="004C5A67" w:rsidRPr="00F43C00" w:rsidP="00AC2CB0" w14:paraId="6688D793" w14:textId="77777777">
            <w:pPr>
              <w:spacing w:after="0"/>
              <w:jc w:val="center"/>
              <w:rPr>
                <w:rFonts w:eastAsia="Times New Roman"/>
                <w:color w:val="000000"/>
                <w:sz w:val="22"/>
                <w:szCs w:val="22"/>
              </w:rPr>
            </w:pP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tcPr>
          <w:p w:rsidR="004C5A67" w:rsidRPr="00F43C00" w:rsidP="00AC2CB0" w14:paraId="2AC30C21" w14:textId="77777777">
            <w:pPr>
              <w:spacing w:after="0"/>
              <w:jc w:val="center"/>
              <w:rPr>
                <w:rFonts w:eastAsia="Times New Roman"/>
                <w:color w:val="000000"/>
                <w:sz w:val="22"/>
                <w:szCs w:val="22"/>
              </w:rPr>
            </w:pPr>
          </w:p>
        </w:tc>
      </w:tr>
      <w:tr w14:paraId="6EA79104" w14:textId="77777777" w:rsidTr="00714FC0">
        <w:tblPrEx>
          <w:tblW w:w="9355" w:type="dxa"/>
          <w:tblLook w:val="04A0"/>
        </w:tblPrEx>
        <w:trPr>
          <w:trHeight w:val="216"/>
        </w:trPr>
        <w:tc>
          <w:tcPr>
            <w:tcW w:w="3952" w:type="dxa"/>
            <w:tcBorders>
              <w:top w:val="nil"/>
              <w:left w:val="single" w:sz="4" w:space="0" w:color="auto"/>
              <w:bottom w:val="single" w:sz="4" w:space="0" w:color="auto"/>
              <w:right w:val="single" w:sz="4" w:space="0" w:color="auto"/>
            </w:tcBorders>
            <w:shd w:val="clear" w:color="auto" w:fill="auto"/>
            <w:noWrap/>
            <w:vAlign w:val="bottom"/>
          </w:tcPr>
          <w:p w:rsidR="00791CFA" w:rsidRPr="004C5A67" w:rsidP="00791CFA" w14:paraId="494D0350" w14:textId="5A7861E3">
            <w:pPr>
              <w:spacing w:after="0"/>
              <w:rPr>
                <w:rFonts w:eastAsia="Times New Roman"/>
                <w:color w:val="000000"/>
                <w:sz w:val="22"/>
                <w:szCs w:val="22"/>
              </w:rPr>
            </w:pPr>
            <w:r w:rsidRPr="004C5A67">
              <w:rPr>
                <w:rFonts w:eastAsia="Times New Roman"/>
                <w:color w:val="000000"/>
                <w:sz w:val="22"/>
                <w:szCs w:val="22"/>
              </w:rPr>
              <w:t>Total cost</w:t>
            </w:r>
          </w:p>
        </w:tc>
        <w:tc>
          <w:tcPr>
            <w:tcW w:w="2006" w:type="dxa"/>
            <w:tcBorders>
              <w:top w:val="nil"/>
              <w:left w:val="nil"/>
              <w:bottom w:val="single" w:sz="4" w:space="0" w:color="auto"/>
              <w:right w:val="single" w:sz="4" w:space="0" w:color="auto"/>
            </w:tcBorders>
            <w:shd w:val="clear" w:color="auto" w:fill="auto"/>
            <w:noWrap/>
            <w:vAlign w:val="bottom"/>
          </w:tcPr>
          <w:p w:rsidR="00791CFA" w:rsidRPr="00791CFA" w:rsidP="00791CFA" w14:paraId="2A84F0D3" w14:textId="1AA76294">
            <w:pPr>
              <w:spacing w:after="0"/>
              <w:jc w:val="center"/>
              <w:rPr>
                <w:rFonts w:eastAsia="Times New Roman"/>
                <w:color w:val="000000"/>
                <w:sz w:val="22"/>
                <w:szCs w:val="22"/>
              </w:rPr>
            </w:pPr>
            <w:r w:rsidRPr="000659AD">
              <w:rPr>
                <w:color w:val="000000"/>
                <w:sz w:val="22"/>
                <w:szCs w:val="22"/>
              </w:rPr>
              <w:t>$0.14</w:t>
            </w:r>
          </w:p>
        </w:tc>
        <w:tc>
          <w:tcPr>
            <w:tcW w:w="1867" w:type="dxa"/>
            <w:tcBorders>
              <w:top w:val="nil"/>
              <w:left w:val="nil"/>
              <w:bottom w:val="single" w:sz="4" w:space="0" w:color="auto"/>
              <w:right w:val="single" w:sz="4" w:space="0" w:color="auto"/>
            </w:tcBorders>
            <w:shd w:val="clear" w:color="auto" w:fill="auto"/>
            <w:noWrap/>
            <w:vAlign w:val="bottom"/>
          </w:tcPr>
          <w:p w:rsidR="00791CFA" w:rsidRPr="00791CFA" w:rsidP="00791CFA" w14:paraId="4917A38C" w14:textId="227D764C">
            <w:pPr>
              <w:spacing w:after="0"/>
              <w:jc w:val="center"/>
              <w:rPr>
                <w:rFonts w:eastAsia="Times New Roman"/>
                <w:color w:val="000000"/>
                <w:sz w:val="22"/>
                <w:szCs w:val="22"/>
              </w:rPr>
            </w:pPr>
            <w:r w:rsidRPr="000659AD">
              <w:rPr>
                <w:color w:val="000000"/>
                <w:sz w:val="22"/>
                <w:szCs w:val="22"/>
              </w:rPr>
              <w:t>$0.25</w:t>
            </w:r>
          </w:p>
        </w:tc>
        <w:tc>
          <w:tcPr>
            <w:tcW w:w="1530" w:type="dxa"/>
            <w:tcBorders>
              <w:top w:val="nil"/>
              <w:left w:val="nil"/>
              <w:bottom w:val="single" w:sz="4" w:space="0" w:color="auto"/>
              <w:right w:val="single" w:sz="4" w:space="0" w:color="auto"/>
            </w:tcBorders>
            <w:shd w:val="clear" w:color="auto" w:fill="auto"/>
            <w:noWrap/>
            <w:vAlign w:val="bottom"/>
          </w:tcPr>
          <w:p w:rsidR="00791CFA" w:rsidRPr="00791CFA" w:rsidP="00791CFA" w14:paraId="2AEA03FB" w14:textId="423013BB">
            <w:pPr>
              <w:spacing w:after="0"/>
              <w:jc w:val="center"/>
              <w:rPr>
                <w:rFonts w:eastAsia="Times New Roman"/>
                <w:color w:val="000000"/>
                <w:sz w:val="22"/>
                <w:szCs w:val="22"/>
              </w:rPr>
            </w:pPr>
            <w:r w:rsidRPr="000659AD">
              <w:rPr>
                <w:color w:val="000000"/>
                <w:sz w:val="22"/>
                <w:szCs w:val="22"/>
              </w:rPr>
              <w:t>$0.52</w:t>
            </w:r>
          </w:p>
        </w:tc>
      </w:tr>
    </w:tbl>
    <w:p w:rsidR="00D6315F" w:rsidP="004B2F48" w14:paraId="676155E2" w14:textId="1F91D8A4"/>
    <w:p w:rsidR="003134C2" w:rsidP="004B2F48" w14:paraId="5994E45C" w14:textId="77777777"/>
    <w:p w:rsidR="00B163D4" w:rsidP="004B2F48" w14:paraId="21D0AA8E" w14:textId="118C57C3">
      <w:pPr>
        <w:ind w:firstLine="720"/>
      </w:pPr>
      <w:r w:rsidRPr="00D6152C">
        <w:t>We use th</w:t>
      </w:r>
      <w:r>
        <w:t xml:space="preserve">e </w:t>
      </w:r>
      <w:r w:rsidR="00690A32">
        <w:t xml:space="preserve">2014 </w:t>
      </w:r>
      <w:r>
        <w:t>LCM</w:t>
      </w:r>
      <w:r w:rsidR="00690A32">
        <w:t xml:space="preserve"> report</w:t>
      </w:r>
      <w:r w:rsidRPr="00D6152C">
        <w:t xml:space="preserve"> </w:t>
      </w:r>
      <w:r w:rsidR="00690A32">
        <w:t xml:space="preserve">to estimate </w:t>
      </w:r>
      <w:r w:rsidRPr="00D6152C">
        <w:t>the cost</w:t>
      </w:r>
      <w:r w:rsidR="00110024">
        <w:t xml:space="preserve"> to attach</w:t>
      </w:r>
      <w:r w:rsidR="00793DEC">
        <w:t xml:space="preserve"> </w:t>
      </w:r>
      <w:r w:rsidRPr="00D6152C">
        <w:t xml:space="preserve">the </w:t>
      </w:r>
      <w:r w:rsidR="00395C1E">
        <w:t>statements “no smoking” and “no vaping” and a graphic symbol conveying that smoking, vaping, and open flames near oxygen are dangerous</w:t>
      </w:r>
      <w:r w:rsidRPr="00D6152C">
        <w:t>.</w:t>
      </w:r>
      <w:r w:rsidR="00514748">
        <w:t xml:space="preserve"> </w:t>
      </w:r>
      <w:r w:rsidR="006125A6">
        <w:t xml:space="preserve">We use the high estimate of the total per label cost to account for the added time it </w:t>
      </w:r>
      <w:r w:rsidR="001940B0">
        <w:t>will</w:t>
      </w:r>
      <w:r w:rsidR="006125A6">
        <w:t xml:space="preserve"> take to attach the “no smoking”</w:t>
      </w:r>
      <w:r w:rsidR="00395C1E">
        <w:t xml:space="preserve"> statement, “no vaping”</w:t>
      </w:r>
      <w:r w:rsidR="006125A6">
        <w:t xml:space="preserve"> </w:t>
      </w:r>
      <w:r w:rsidR="003543B3">
        <w:t>statement</w:t>
      </w:r>
      <w:r w:rsidR="00395C1E">
        <w:t>,</w:t>
      </w:r>
      <w:r w:rsidR="003543B3">
        <w:t xml:space="preserve"> and graphic warning symbol</w:t>
      </w:r>
      <w:r w:rsidR="006125A6">
        <w:t xml:space="preserve"> and the added cost of printing a larger label. We use the </w:t>
      </w:r>
      <w:r w:rsidR="003153D7">
        <w:t>2022</w:t>
      </w:r>
      <w:r w:rsidR="00242455">
        <w:t xml:space="preserve"> wage</w:t>
      </w:r>
      <w:r w:rsidR="006125A6">
        <w:t xml:space="preserve"> rate for </w:t>
      </w:r>
      <w:r w:rsidRPr="00C82105" w:rsidR="006125A6">
        <w:t xml:space="preserve">Helpers and double it for a </w:t>
      </w:r>
      <w:r w:rsidR="00986206">
        <w:t>fully-loaded</w:t>
      </w:r>
      <w:r w:rsidRPr="00C82105" w:rsidR="006125A6">
        <w:t xml:space="preserve"> wage rate of $</w:t>
      </w:r>
      <w:r w:rsidR="0036110B">
        <w:t>37.02</w:t>
      </w:r>
      <w:r w:rsidRPr="00C82105" w:rsidR="006125A6">
        <w:t>.</w:t>
      </w:r>
      <w:r w:rsidR="006125A6">
        <w:t xml:space="preserve"> </w:t>
      </w:r>
      <w:r w:rsidRPr="00F06F40" w:rsidR="00F06F40">
        <w:fldChar w:fldCharType="begin"/>
      </w:r>
      <w:r w:rsidRPr="00F06F40" w:rsidR="00F06F40">
        <w:instrText xml:space="preserve"> REF _Ref132016484 \h </w:instrText>
      </w:r>
      <w:r w:rsidRPr="004848C7" w:rsidR="00F06F40">
        <w:instrText xml:space="preserve"> \* MERGEFORMAT </w:instrText>
      </w:r>
      <w:r w:rsidRPr="00F06F40" w:rsidR="00F06F40">
        <w:fldChar w:fldCharType="separate"/>
      </w:r>
      <w:r w:rsidRPr="004848C7" w:rsidR="00F06F40">
        <w:t xml:space="preserve">Table </w:t>
      </w:r>
      <w:r w:rsidRPr="004848C7" w:rsidR="00F06F40">
        <w:rPr>
          <w:noProof/>
        </w:rPr>
        <w:t>13</w:t>
      </w:r>
      <w:r w:rsidRPr="00F06F40" w:rsidR="00F06F40">
        <w:fldChar w:fldCharType="end"/>
      </w:r>
      <w:r w:rsidR="006125A6">
        <w:t xml:space="preserve"> </w:t>
      </w:r>
      <w:r w:rsidRPr="00554C61" w:rsidR="005B6EAB">
        <w:t>shows</w:t>
      </w:r>
      <w:r w:rsidR="005B6EAB">
        <w:t xml:space="preserve"> the one-time cost of adding </w:t>
      </w:r>
      <w:r w:rsidR="003543B3">
        <w:t xml:space="preserve">a </w:t>
      </w:r>
      <w:r w:rsidR="005B6EAB">
        <w:t xml:space="preserve">“no smoking” </w:t>
      </w:r>
      <w:r w:rsidR="003543B3">
        <w:t>statement</w:t>
      </w:r>
      <w:r w:rsidR="00395C1E">
        <w:t>, a “no vaping” statement,</w:t>
      </w:r>
      <w:r w:rsidR="003543B3">
        <w:t xml:space="preserve"> and a graphic warning symbol</w:t>
      </w:r>
      <w:r w:rsidR="005B6EAB">
        <w:t xml:space="preserve"> to medical market containers. </w:t>
      </w:r>
      <w:r>
        <w:t>The estimated on</w:t>
      </w:r>
      <w:r w:rsidR="00CB1E8D">
        <w:t>e-time</w:t>
      </w:r>
      <w:r>
        <w:t xml:space="preserve"> costs for labeling due to these requirements range from $</w:t>
      </w:r>
      <w:r w:rsidR="00C52663">
        <w:t>10.49</w:t>
      </w:r>
      <w:r>
        <w:t xml:space="preserve"> to $</w:t>
      </w:r>
      <w:r w:rsidR="00C30759">
        <w:t>1</w:t>
      </w:r>
      <w:r w:rsidR="00B04D9D">
        <w:t>1.79</w:t>
      </w:r>
      <w:r>
        <w:t xml:space="preserve"> million with a primary estimate of $</w:t>
      </w:r>
      <w:r w:rsidR="00B04D9D">
        <w:t>11.20</w:t>
      </w:r>
      <w:r>
        <w:t xml:space="preserve"> million.</w:t>
      </w:r>
    </w:p>
    <w:p w:rsidR="003134C2" w:rsidP="004B2F48" w14:paraId="543E605D" w14:textId="5A4350FF">
      <w:bookmarkStart w:id="88" w:name="_Ref36644078"/>
      <w:r>
        <w:tab/>
        <w:t xml:space="preserve">The total cost estimate above assumes that a relatively simple label containing the graphic warning and statement </w:t>
      </w:r>
      <w:r w:rsidR="006C59E8">
        <w:t>will</w:t>
      </w:r>
      <w:r>
        <w:t xml:space="preserve"> be designed, possibly by an industry association, and offered for use to all industry members. We do not include the one-time costs for this effort, but acknowledge that these costs, even if small, will be positive.</w:t>
      </w:r>
      <w:r w:rsidRPr="00D11AAB">
        <w:t xml:space="preserve"> </w:t>
      </w:r>
      <w:r>
        <w:t xml:space="preserve">Further, we expect that the “no smoking” statement, the “no vaping” statement, and graphic warning symbol will not need to be replaced for many years. We have not included an additional cost for the discounted annualized cost of replacement labels but acknowledge that it will be positive. </w:t>
      </w:r>
    </w:p>
    <w:p w:rsidR="003134C2" w:rsidP="004848C7" w14:paraId="54F3C32A" w14:textId="77777777">
      <w:pPr>
        <w:rPr>
          <w:b/>
        </w:rPr>
      </w:pPr>
      <w:r>
        <w:rPr>
          <w:b/>
        </w:rPr>
        <w:br w:type="page"/>
      </w:r>
    </w:p>
    <w:p w:rsidR="00D36765" w:rsidRPr="00D36765" w:rsidP="00D36765" w14:paraId="35253E29" w14:textId="42C0E4C1">
      <w:pPr>
        <w:pStyle w:val="Caption"/>
        <w:rPr>
          <w:b/>
          <w:bCs/>
        </w:rPr>
      </w:pPr>
      <w:bookmarkStart w:id="89" w:name="_Ref132016484"/>
      <w:bookmarkStart w:id="90" w:name="_Toc147238757"/>
      <w:bookmarkEnd w:id="88"/>
      <w:r w:rsidRPr="00D36765">
        <w:rPr>
          <w:b/>
          <w:bCs/>
        </w:rPr>
        <w:t xml:space="preserve">Table </w:t>
      </w:r>
      <w:r w:rsidRPr="00D36765">
        <w:rPr>
          <w:b/>
          <w:bCs/>
        </w:rPr>
        <w:fldChar w:fldCharType="begin"/>
      </w:r>
      <w:r w:rsidRPr="00D36765">
        <w:rPr>
          <w:b/>
          <w:bCs/>
        </w:rPr>
        <w:instrText xml:space="preserve"> SEQ Table \* ARABIC </w:instrText>
      </w:r>
      <w:r w:rsidRPr="00D36765">
        <w:rPr>
          <w:b/>
          <w:bCs/>
        </w:rPr>
        <w:fldChar w:fldCharType="separate"/>
      </w:r>
      <w:r>
        <w:rPr>
          <w:b/>
          <w:bCs/>
          <w:noProof/>
        </w:rPr>
        <w:t>13</w:t>
      </w:r>
      <w:r w:rsidRPr="00D36765">
        <w:rPr>
          <w:b/>
          <w:bCs/>
        </w:rPr>
        <w:fldChar w:fldCharType="end"/>
      </w:r>
      <w:bookmarkEnd w:id="89"/>
      <w:r w:rsidRPr="00D36765">
        <w:rPr>
          <w:b/>
          <w:bCs/>
        </w:rPr>
        <w:t>. Costs from Adding No Smoking and No Vaping Label</w:t>
      </w:r>
      <w:bookmarkEnd w:id="90"/>
    </w:p>
    <w:tbl>
      <w:tblPr>
        <w:tblW w:w="5000" w:type="pct"/>
        <w:tblLook w:val="04A0"/>
      </w:tblPr>
      <w:tblGrid>
        <w:gridCol w:w="4531"/>
        <w:gridCol w:w="1512"/>
        <w:gridCol w:w="1701"/>
        <w:gridCol w:w="1606"/>
      </w:tblGrid>
      <w:tr w14:paraId="7F75897E" w14:textId="77777777" w:rsidTr="005F1A20">
        <w:tblPrEx>
          <w:tblW w:w="5000" w:type="pct"/>
          <w:tblLook w:val="04A0"/>
        </w:tblPrEx>
        <w:trPr>
          <w:trHeight w:val="216"/>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73448" w:rsidRPr="00303489" w:rsidP="00573448" w14:paraId="1E6C0571" w14:textId="77777777">
            <w:pPr>
              <w:spacing w:after="0"/>
              <w:rPr>
                <w:rFonts w:eastAsia="Times New Roman"/>
                <w:b/>
                <w:color w:val="000000"/>
                <w:sz w:val="22"/>
                <w:szCs w:val="22"/>
              </w:rPr>
            </w:pPr>
            <w:r w:rsidRPr="00303489">
              <w:rPr>
                <w:rFonts w:eastAsia="Times New Roman"/>
                <w:b/>
                <w:color w:val="000000"/>
                <w:sz w:val="22"/>
                <w:szCs w:val="22"/>
              </w:rPr>
              <w:t> </w:t>
            </w:r>
          </w:p>
        </w:tc>
        <w:tc>
          <w:tcPr>
            <w:tcW w:w="15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73448" w:rsidRPr="00303489" w:rsidP="00AC2CB0" w14:paraId="3119751A" w14:textId="0B926292">
            <w:pPr>
              <w:spacing w:after="0"/>
              <w:jc w:val="center"/>
              <w:rPr>
                <w:rFonts w:eastAsia="Times New Roman"/>
                <w:b/>
                <w:color w:val="000000"/>
                <w:sz w:val="22"/>
                <w:szCs w:val="22"/>
              </w:rPr>
            </w:pPr>
            <w:r w:rsidRPr="00303489">
              <w:rPr>
                <w:rFonts w:eastAsia="Times New Roman"/>
                <w:b/>
                <w:color w:val="000000"/>
                <w:sz w:val="22"/>
                <w:szCs w:val="22"/>
              </w:rPr>
              <w:t>Low</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73448" w:rsidRPr="00303489" w:rsidP="00AC2CB0" w14:paraId="38AE3100" w14:textId="63878805">
            <w:pPr>
              <w:spacing w:after="0"/>
              <w:jc w:val="center"/>
              <w:rPr>
                <w:rFonts w:eastAsia="Times New Roman"/>
                <w:b/>
                <w:color w:val="000000"/>
                <w:sz w:val="22"/>
                <w:szCs w:val="22"/>
              </w:rPr>
            </w:pPr>
            <w:r w:rsidRPr="00303489">
              <w:rPr>
                <w:rFonts w:eastAsia="Times New Roman"/>
                <w:b/>
                <w:color w:val="000000"/>
                <w:sz w:val="22"/>
                <w:szCs w:val="22"/>
              </w:rPr>
              <w:t>Primary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73448" w:rsidRPr="00303489" w:rsidP="00AC2CB0" w14:paraId="0D9A9C94" w14:textId="77777777">
            <w:pPr>
              <w:spacing w:after="0"/>
              <w:jc w:val="center"/>
              <w:rPr>
                <w:rFonts w:eastAsia="Times New Roman"/>
                <w:b/>
                <w:color w:val="000000"/>
                <w:sz w:val="22"/>
                <w:szCs w:val="22"/>
              </w:rPr>
            </w:pPr>
            <w:r w:rsidRPr="00303489">
              <w:rPr>
                <w:rFonts w:eastAsia="Times New Roman"/>
                <w:b/>
                <w:color w:val="000000"/>
                <w:sz w:val="22"/>
                <w:szCs w:val="22"/>
              </w:rPr>
              <w:t>High</w:t>
            </w:r>
          </w:p>
        </w:tc>
      </w:tr>
      <w:tr w14:paraId="4B142E15"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6125A6" w14:paraId="5B289BA9" w14:textId="41800607">
            <w:pPr>
              <w:spacing w:after="0"/>
              <w:rPr>
                <w:rFonts w:eastAsia="Times New Roman"/>
                <w:color w:val="000000"/>
                <w:sz w:val="22"/>
                <w:szCs w:val="22"/>
              </w:rPr>
            </w:pPr>
            <w:r w:rsidRPr="00303489">
              <w:rPr>
                <w:rFonts w:eastAsia="Times New Roman"/>
                <w:color w:val="000000"/>
                <w:sz w:val="22"/>
                <w:szCs w:val="22"/>
              </w:rPr>
              <w:t>Cost per sticker</w:t>
            </w:r>
          </w:p>
        </w:tc>
        <w:tc>
          <w:tcPr>
            <w:tcW w:w="1512"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3FE88A05" w14:textId="5724BE73">
            <w:pPr>
              <w:spacing w:after="0"/>
              <w:jc w:val="center"/>
              <w:rPr>
                <w:rFonts w:eastAsia="Times New Roman"/>
                <w:color w:val="000000"/>
                <w:sz w:val="22"/>
                <w:szCs w:val="22"/>
              </w:rPr>
            </w:pPr>
            <w:r w:rsidRPr="00303489">
              <w:rPr>
                <w:rFonts w:eastAsia="Times New Roman"/>
                <w:color w:val="000000"/>
                <w:sz w:val="22"/>
                <w:szCs w:val="22"/>
              </w:rPr>
              <w:t>$0.4</w:t>
            </w:r>
            <w:r w:rsidRPr="00303489" w:rsidR="00C30759">
              <w:rPr>
                <w:rFonts w:eastAsia="Times New Roman"/>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5703C3AC" w14:textId="37AB2CED">
            <w:pPr>
              <w:spacing w:after="0"/>
              <w:jc w:val="center"/>
              <w:rPr>
                <w:rFonts w:eastAsia="Times New Roman"/>
                <w:color w:val="000000"/>
                <w:sz w:val="22"/>
                <w:szCs w:val="22"/>
              </w:rPr>
            </w:pPr>
            <w:r w:rsidRPr="00303489">
              <w:rPr>
                <w:color w:val="000000"/>
                <w:sz w:val="22"/>
                <w:szCs w:val="22"/>
              </w:rPr>
              <w:t>$0.4</w:t>
            </w:r>
            <w:r w:rsidRPr="00303489" w:rsidR="00C30759">
              <w:rPr>
                <w:color w:val="000000"/>
                <w:sz w:val="22"/>
                <w:szCs w:val="22"/>
              </w:rPr>
              <w:t>6</w:t>
            </w:r>
          </w:p>
        </w:tc>
        <w:tc>
          <w:tcPr>
            <w:tcW w:w="1606"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46767FDD" w14:textId="3CE75032">
            <w:pPr>
              <w:spacing w:after="0"/>
              <w:jc w:val="center"/>
              <w:rPr>
                <w:rFonts w:eastAsia="Times New Roman"/>
                <w:color w:val="000000"/>
                <w:sz w:val="22"/>
                <w:szCs w:val="22"/>
              </w:rPr>
            </w:pPr>
            <w:r w:rsidRPr="00303489">
              <w:rPr>
                <w:rFonts w:eastAsia="Times New Roman"/>
                <w:color w:val="000000"/>
                <w:sz w:val="22"/>
                <w:szCs w:val="22"/>
              </w:rPr>
              <w:t>$0.4</w:t>
            </w:r>
            <w:r w:rsidRPr="00303489" w:rsidR="00C30759">
              <w:rPr>
                <w:rFonts w:eastAsia="Times New Roman"/>
                <w:color w:val="000000"/>
                <w:sz w:val="22"/>
                <w:szCs w:val="22"/>
              </w:rPr>
              <w:t>6</w:t>
            </w:r>
          </w:p>
        </w:tc>
      </w:tr>
      <w:tr w14:paraId="3FB790D5"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73448" w:rsidRPr="00303489" w:rsidP="00573448" w14:paraId="6038AB93" w14:textId="77777777">
            <w:pPr>
              <w:spacing w:after="0"/>
              <w:rPr>
                <w:rFonts w:eastAsia="Times New Roman"/>
                <w:color w:val="000000"/>
                <w:sz w:val="22"/>
                <w:szCs w:val="22"/>
              </w:rPr>
            </w:pPr>
            <w:r w:rsidRPr="00303489">
              <w:rPr>
                <w:rFonts w:eastAsia="Times New Roman"/>
                <w:color w:val="000000"/>
                <w:sz w:val="22"/>
                <w:szCs w:val="22"/>
              </w:rPr>
              <w:t>Wage rate (helper)</w:t>
            </w:r>
          </w:p>
        </w:tc>
        <w:tc>
          <w:tcPr>
            <w:tcW w:w="1512" w:type="dxa"/>
            <w:tcBorders>
              <w:top w:val="nil"/>
              <w:left w:val="nil"/>
              <w:bottom w:val="single" w:sz="4" w:space="0" w:color="auto"/>
              <w:right w:val="single" w:sz="4" w:space="0" w:color="auto"/>
            </w:tcBorders>
            <w:shd w:val="clear" w:color="auto" w:fill="auto"/>
            <w:noWrap/>
            <w:vAlign w:val="bottom"/>
            <w:hideMark/>
          </w:tcPr>
          <w:p w:rsidR="00573448" w:rsidRPr="00303489" w:rsidP="00AC2CB0" w14:paraId="791B1F55" w14:textId="500F9A92">
            <w:pPr>
              <w:spacing w:after="0"/>
              <w:jc w:val="center"/>
              <w:rPr>
                <w:rFonts w:eastAsia="Times New Roman"/>
                <w:color w:val="000000"/>
                <w:sz w:val="22"/>
                <w:szCs w:val="22"/>
              </w:rPr>
            </w:pPr>
            <w:r w:rsidRPr="00303489">
              <w:rPr>
                <w:rFonts w:eastAsia="Times New Roman"/>
                <w:color w:val="000000"/>
                <w:sz w:val="22"/>
                <w:szCs w:val="22"/>
              </w:rPr>
              <w:t>$</w:t>
            </w:r>
            <w:r w:rsidR="0036110B">
              <w:rPr>
                <w:rFonts w:eastAsia="Times New Roman"/>
                <w:color w:val="000000"/>
                <w:sz w:val="22"/>
                <w:szCs w:val="22"/>
              </w:rPr>
              <w:t>37.02</w:t>
            </w:r>
          </w:p>
        </w:tc>
        <w:tc>
          <w:tcPr>
            <w:tcW w:w="1701" w:type="dxa"/>
            <w:tcBorders>
              <w:top w:val="nil"/>
              <w:left w:val="nil"/>
              <w:bottom w:val="single" w:sz="4" w:space="0" w:color="auto"/>
              <w:right w:val="single" w:sz="4" w:space="0" w:color="auto"/>
            </w:tcBorders>
            <w:shd w:val="clear" w:color="auto" w:fill="auto"/>
            <w:noWrap/>
            <w:vAlign w:val="bottom"/>
            <w:hideMark/>
          </w:tcPr>
          <w:p w:rsidR="00573448" w:rsidRPr="00303489" w:rsidP="00AC2CB0" w14:paraId="208E0687" w14:textId="01A9BEDD">
            <w:pPr>
              <w:spacing w:after="0"/>
              <w:jc w:val="center"/>
              <w:rPr>
                <w:rFonts w:eastAsia="Times New Roman"/>
                <w:color w:val="000000"/>
                <w:sz w:val="22"/>
                <w:szCs w:val="22"/>
              </w:rPr>
            </w:pPr>
            <w:r w:rsidRPr="00303489">
              <w:rPr>
                <w:rFonts w:eastAsia="Times New Roman"/>
                <w:color w:val="000000"/>
                <w:sz w:val="22"/>
                <w:szCs w:val="22"/>
              </w:rPr>
              <w:t>$</w:t>
            </w:r>
            <w:r w:rsidR="0036110B">
              <w:rPr>
                <w:rFonts w:eastAsia="Times New Roman"/>
                <w:color w:val="000000"/>
                <w:sz w:val="22"/>
                <w:szCs w:val="22"/>
              </w:rPr>
              <w:t>37.02</w:t>
            </w:r>
          </w:p>
        </w:tc>
        <w:tc>
          <w:tcPr>
            <w:tcW w:w="1606" w:type="dxa"/>
            <w:tcBorders>
              <w:top w:val="nil"/>
              <w:left w:val="nil"/>
              <w:bottom w:val="single" w:sz="4" w:space="0" w:color="auto"/>
              <w:right w:val="single" w:sz="4" w:space="0" w:color="auto"/>
            </w:tcBorders>
            <w:shd w:val="clear" w:color="auto" w:fill="auto"/>
            <w:noWrap/>
            <w:vAlign w:val="bottom"/>
            <w:hideMark/>
          </w:tcPr>
          <w:p w:rsidR="00573448" w:rsidRPr="00303489" w:rsidP="00AC2CB0" w14:paraId="039D2C42" w14:textId="680BE65F">
            <w:pPr>
              <w:spacing w:after="0"/>
              <w:jc w:val="center"/>
              <w:rPr>
                <w:rFonts w:eastAsia="Times New Roman"/>
                <w:color w:val="000000"/>
                <w:sz w:val="22"/>
                <w:szCs w:val="22"/>
              </w:rPr>
            </w:pPr>
            <w:r w:rsidRPr="00303489">
              <w:rPr>
                <w:rFonts w:eastAsia="Times New Roman"/>
                <w:color w:val="000000"/>
                <w:sz w:val="22"/>
                <w:szCs w:val="22"/>
              </w:rPr>
              <w:t>$</w:t>
            </w:r>
            <w:r w:rsidR="0036110B">
              <w:rPr>
                <w:rFonts w:eastAsia="Times New Roman"/>
                <w:color w:val="000000"/>
                <w:sz w:val="22"/>
                <w:szCs w:val="22"/>
              </w:rPr>
              <w:t>37.02</w:t>
            </w:r>
          </w:p>
        </w:tc>
      </w:tr>
      <w:tr w14:paraId="739CB0DE"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573448" w14:paraId="003BFF58" w14:textId="15AC13B7">
            <w:pPr>
              <w:spacing w:after="0"/>
              <w:rPr>
                <w:rFonts w:eastAsia="Times New Roman"/>
                <w:color w:val="000000"/>
                <w:sz w:val="22"/>
                <w:szCs w:val="22"/>
              </w:rPr>
            </w:pPr>
            <w:r w:rsidRPr="00303489">
              <w:rPr>
                <w:rFonts w:eastAsia="Times New Roman"/>
                <w:color w:val="000000"/>
                <w:sz w:val="22"/>
                <w:szCs w:val="22"/>
              </w:rPr>
              <w:t>Medical markets (total containers)</w:t>
            </w:r>
          </w:p>
        </w:tc>
        <w:tc>
          <w:tcPr>
            <w:tcW w:w="1512"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18BF7CC8" w14:textId="2550C3D5">
            <w:pPr>
              <w:spacing w:after="0"/>
              <w:jc w:val="center"/>
              <w:rPr>
                <w:rFonts w:eastAsia="Times New Roman"/>
                <w:color w:val="000000"/>
                <w:sz w:val="22"/>
                <w:szCs w:val="22"/>
              </w:rPr>
            </w:pPr>
            <w:r w:rsidRPr="00303489">
              <w:rPr>
                <w:rFonts w:eastAsia="Times New Roman"/>
                <w:color w:val="000000"/>
                <w:sz w:val="22"/>
                <w:szCs w:val="22"/>
              </w:rPr>
              <w:t>22,</w:t>
            </w:r>
            <w:r w:rsidRPr="00303489" w:rsidR="00C1074C">
              <w:rPr>
                <w:rFonts w:eastAsia="Times New Roman"/>
                <w:color w:val="000000"/>
                <w:sz w:val="22"/>
                <w:szCs w:val="22"/>
              </w:rPr>
              <w:t>660</w:t>
            </w:r>
            <w:r w:rsidRPr="00303489">
              <w:rPr>
                <w:rFonts w:eastAsia="Times New Roman"/>
                <w:color w:val="000000"/>
                <w:sz w:val="22"/>
                <w:szCs w:val="22"/>
              </w:rPr>
              <w:t>,000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AC2CB0" w14:paraId="0522C5C6" w14:textId="26758C56">
            <w:pPr>
              <w:spacing w:after="0"/>
              <w:jc w:val="center"/>
              <w:rPr>
                <w:rFonts w:eastAsia="Times New Roman"/>
                <w:color w:val="000000"/>
                <w:sz w:val="22"/>
                <w:szCs w:val="22"/>
              </w:rPr>
            </w:pPr>
            <w:r w:rsidRPr="00303489">
              <w:rPr>
                <w:color w:val="000000"/>
                <w:sz w:val="22"/>
                <w:szCs w:val="22"/>
              </w:rPr>
              <w:t>22,</w:t>
            </w:r>
            <w:r w:rsidRPr="00303489" w:rsidR="00C1074C">
              <w:rPr>
                <w:color w:val="000000"/>
                <w:sz w:val="22"/>
                <w:szCs w:val="22"/>
              </w:rPr>
              <w:t>660</w:t>
            </w:r>
            <w:r w:rsidRPr="00303489">
              <w:rPr>
                <w:color w:val="000000"/>
                <w:sz w:val="22"/>
                <w:szCs w:val="22"/>
              </w:rPr>
              <w:t>,000</w:t>
            </w:r>
          </w:p>
        </w:tc>
        <w:tc>
          <w:tcPr>
            <w:tcW w:w="1606"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2209F8DB" w14:textId="06957D70">
            <w:pPr>
              <w:spacing w:after="0"/>
              <w:jc w:val="center"/>
              <w:rPr>
                <w:rFonts w:eastAsia="Times New Roman"/>
                <w:color w:val="000000"/>
                <w:sz w:val="22"/>
                <w:szCs w:val="22"/>
              </w:rPr>
            </w:pPr>
            <w:r w:rsidRPr="00303489">
              <w:rPr>
                <w:rFonts w:eastAsia="Times New Roman"/>
                <w:color w:val="000000"/>
                <w:sz w:val="22"/>
                <w:szCs w:val="22"/>
              </w:rPr>
              <w:t>22,</w:t>
            </w:r>
            <w:r w:rsidRPr="00303489" w:rsidR="00C1074C">
              <w:rPr>
                <w:rFonts w:eastAsia="Times New Roman"/>
                <w:color w:val="000000"/>
                <w:sz w:val="22"/>
                <w:szCs w:val="22"/>
              </w:rPr>
              <w:t>660</w:t>
            </w:r>
            <w:r w:rsidRPr="00303489">
              <w:rPr>
                <w:rFonts w:eastAsia="Times New Roman"/>
                <w:color w:val="000000"/>
                <w:sz w:val="22"/>
                <w:szCs w:val="22"/>
              </w:rPr>
              <w:t>,000</w:t>
            </w:r>
          </w:p>
        </w:tc>
      </w:tr>
      <w:tr w14:paraId="4F33D9A9"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6E0179" w14:paraId="5D3A39B8" w14:textId="3174E457">
            <w:pPr>
              <w:spacing w:after="0"/>
              <w:rPr>
                <w:rFonts w:eastAsia="Times New Roman"/>
                <w:color w:val="000000"/>
                <w:sz w:val="22"/>
                <w:szCs w:val="22"/>
              </w:rPr>
            </w:pPr>
            <w:r w:rsidRPr="00303489">
              <w:rPr>
                <w:rFonts w:eastAsia="Times New Roman"/>
                <w:color w:val="000000"/>
                <w:sz w:val="22"/>
                <w:szCs w:val="22"/>
              </w:rPr>
              <w:t>Medical oxygen (% of total containers)</w:t>
            </w:r>
          </w:p>
        </w:tc>
        <w:tc>
          <w:tcPr>
            <w:tcW w:w="1512"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1DC53877" w14:textId="6C68AFE0">
            <w:pPr>
              <w:spacing w:after="0"/>
              <w:jc w:val="center"/>
              <w:rPr>
                <w:rFonts w:eastAsia="Times New Roman"/>
                <w:color w:val="000000"/>
                <w:sz w:val="22"/>
                <w:szCs w:val="22"/>
              </w:rPr>
            </w:pPr>
            <w:r w:rsidRPr="00303489">
              <w:rPr>
                <w:rFonts w:eastAsia="Times New Roman"/>
                <w:color w:val="000000"/>
                <w:sz w:val="22"/>
                <w:szCs w:val="22"/>
              </w:rPr>
              <w:t>89%</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AC2CB0" w14:paraId="3213E0EF" w14:textId="07300F27">
            <w:pPr>
              <w:spacing w:after="0"/>
              <w:jc w:val="center"/>
              <w:rPr>
                <w:rFonts w:eastAsia="Times New Roman"/>
                <w:color w:val="000000"/>
                <w:sz w:val="22"/>
                <w:szCs w:val="22"/>
              </w:rPr>
            </w:pPr>
            <w:r w:rsidRPr="00303489">
              <w:rPr>
                <w:color w:val="000000"/>
                <w:sz w:val="22"/>
                <w:szCs w:val="22"/>
              </w:rPr>
              <w:t>95%</w:t>
            </w:r>
          </w:p>
        </w:tc>
        <w:tc>
          <w:tcPr>
            <w:tcW w:w="1606"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3FA8F10A" w14:textId="59C1F880">
            <w:pPr>
              <w:spacing w:after="0"/>
              <w:jc w:val="center"/>
              <w:rPr>
                <w:rFonts w:eastAsia="Times New Roman"/>
                <w:color w:val="000000"/>
                <w:sz w:val="22"/>
                <w:szCs w:val="22"/>
              </w:rPr>
            </w:pPr>
            <w:r w:rsidRPr="00303489">
              <w:rPr>
                <w:rFonts w:eastAsia="Times New Roman"/>
                <w:color w:val="000000"/>
                <w:sz w:val="22"/>
                <w:szCs w:val="22"/>
              </w:rPr>
              <w:t>100%</w:t>
            </w:r>
          </w:p>
        </w:tc>
      </w:tr>
      <w:tr w14:paraId="509B5DE5"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6E0179" w14:paraId="1331F7BF" w14:textId="01671C39">
            <w:pPr>
              <w:spacing w:after="0"/>
              <w:rPr>
                <w:rFonts w:eastAsia="Times New Roman"/>
                <w:color w:val="000000"/>
                <w:sz w:val="22"/>
                <w:szCs w:val="22"/>
              </w:rPr>
            </w:pPr>
            <w:r w:rsidRPr="00303489">
              <w:rPr>
                <w:rFonts w:eastAsia="Times New Roman"/>
                <w:color w:val="000000"/>
                <w:sz w:val="22"/>
                <w:szCs w:val="22"/>
              </w:rPr>
              <w:t>Medical markets (total oxygen containers)</w:t>
            </w:r>
          </w:p>
        </w:tc>
        <w:tc>
          <w:tcPr>
            <w:tcW w:w="1512"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7EFA1B92" w14:textId="2FF9DC06">
            <w:pPr>
              <w:spacing w:after="0"/>
              <w:jc w:val="center"/>
              <w:rPr>
                <w:rFonts w:eastAsia="Times New Roman"/>
                <w:color w:val="000000"/>
                <w:sz w:val="22"/>
                <w:szCs w:val="22"/>
              </w:rPr>
            </w:pPr>
            <w:r w:rsidRPr="00303489">
              <w:rPr>
                <w:rFonts w:eastAsia="Times New Roman"/>
                <w:color w:val="000000"/>
                <w:sz w:val="22"/>
                <w:szCs w:val="22"/>
              </w:rPr>
              <w:t>20,</w:t>
            </w:r>
            <w:r w:rsidRPr="00303489" w:rsidR="00C1074C">
              <w:rPr>
                <w:rFonts w:eastAsia="Times New Roman"/>
                <w:color w:val="000000"/>
                <w:sz w:val="22"/>
                <w:szCs w:val="22"/>
              </w:rPr>
              <w:t>167,578</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AC2CB0" w14:paraId="5C00B14A" w14:textId="3E010631">
            <w:pPr>
              <w:spacing w:after="0"/>
              <w:jc w:val="center"/>
              <w:rPr>
                <w:rFonts w:eastAsia="Times New Roman"/>
                <w:color w:val="000000"/>
                <w:sz w:val="22"/>
                <w:szCs w:val="22"/>
              </w:rPr>
            </w:pPr>
            <w:r w:rsidRPr="00303489">
              <w:rPr>
                <w:color w:val="000000"/>
                <w:sz w:val="22"/>
                <w:szCs w:val="22"/>
              </w:rPr>
              <w:t>21,</w:t>
            </w:r>
            <w:r w:rsidRPr="00303489" w:rsidR="00C1074C">
              <w:rPr>
                <w:color w:val="000000"/>
                <w:sz w:val="22"/>
                <w:szCs w:val="22"/>
              </w:rPr>
              <w:t>527,19</w:t>
            </w:r>
            <w:r w:rsidRPr="00303489">
              <w:rPr>
                <w:color w:val="000000"/>
                <w:sz w:val="22"/>
                <w:szCs w:val="22"/>
              </w:rPr>
              <w:t>0</w:t>
            </w:r>
          </w:p>
        </w:tc>
        <w:tc>
          <w:tcPr>
            <w:tcW w:w="1606"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219E4A76" w14:textId="5825A8F8">
            <w:pPr>
              <w:spacing w:after="0"/>
              <w:jc w:val="center"/>
              <w:rPr>
                <w:rFonts w:eastAsia="Times New Roman"/>
                <w:color w:val="000000"/>
                <w:sz w:val="22"/>
                <w:szCs w:val="22"/>
              </w:rPr>
            </w:pPr>
            <w:r w:rsidRPr="00303489">
              <w:rPr>
                <w:rFonts w:eastAsia="Times New Roman"/>
                <w:color w:val="000000"/>
                <w:sz w:val="22"/>
                <w:szCs w:val="22"/>
              </w:rPr>
              <w:t>22,</w:t>
            </w:r>
            <w:r w:rsidRPr="00303489" w:rsidR="00C1074C">
              <w:rPr>
                <w:rFonts w:eastAsia="Times New Roman"/>
                <w:color w:val="000000"/>
                <w:sz w:val="22"/>
                <w:szCs w:val="22"/>
              </w:rPr>
              <w:t>660</w:t>
            </w:r>
            <w:r w:rsidRPr="00303489">
              <w:rPr>
                <w:rFonts w:eastAsia="Times New Roman"/>
                <w:color w:val="000000"/>
                <w:sz w:val="22"/>
                <w:szCs w:val="22"/>
              </w:rPr>
              <w:t>,</w:t>
            </w:r>
            <w:r w:rsidRPr="00303489" w:rsidR="00C1074C">
              <w:rPr>
                <w:rFonts w:eastAsia="Times New Roman"/>
                <w:color w:val="000000"/>
                <w:sz w:val="22"/>
                <w:szCs w:val="22"/>
              </w:rPr>
              <w:t>2</w:t>
            </w:r>
            <w:r w:rsidRPr="00303489">
              <w:rPr>
                <w:rFonts w:eastAsia="Times New Roman"/>
                <w:color w:val="000000"/>
                <w:sz w:val="22"/>
                <w:szCs w:val="22"/>
              </w:rPr>
              <w:t>00</w:t>
            </w:r>
          </w:p>
        </w:tc>
      </w:tr>
      <w:tr w14:paraId="1BDECD5B"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6E0179" w14:paraId="736DE98A" w14:textId="37151D84">
            <w:pPr>
              <w:spacing w:after="0"/>
              <w:rPr>
                <w:rFonts w:eastAsia="Times New Roman"/>
                <w:color w:val="000000"/>
                <w:sz w:val="22"/>
                <w:szCs w:val="22"/>
              </w:rPr>
            </w:pPr>
            <w:r w:rsidRPr="00303489">
              <w:rPr>
                <w:rFonts w:eastAsia="Times New Roman"/>
                <w:color w:val="000000"/>
                <w:sz w:val="22"/>
                <w:szCs w:val="22"/>
              </w:rPr>
              <w:t>Labor hours</w:t>
            </w:r>
          </w:p>
        </w:tc>
        <w:tc>
          <w:tcPr>
            <w:tcW w:w="1512"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5AA53AAF" w14:textId="37D0124D">
            <w:pPr>
              <w:spacing w:after="0"/>
              <w:jc w:val="center"/>
              <w:rPr>
                <w:rFonts w:eastAsia="Times New Roman"/>
                <w:color w:val="000000"/>
                <w:sz w:val="22"/>
                <w:szCs w:val="22"/>
              </w:rPr>
            </w:pPr>
            <w:r w:rsidRPr="00303489">
              <w:rPr>
                <w:rFonts w:eastAsia="Times New Roman"/>
                <w:color w:val="000000"/>
                <w:sz w:val="22"/>
                <w:szCs w:val="22"/>
              </w:rPr>
              <w:t>201,676</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125A6" w:rsidRPr="00303489" w:rsidP="00AC2CB0" w14:paraId="0FC9269E" w14:textId="445AF681">
            <w:pPr>
              <w:spacing w:after="0"/>
              <w:jc w:val="center"/>
              <w:rPr>
                <w:rFonts w:eastAsia="Times New Roman"/>
                <w:color w:val="000000"/>
                <w:sz w:val="22"/>
                <w:szCs w:val="22"/>
              </w:rPr>
            </w:pPr>
            <w:r w:rsidRPr="00303489">
              <w:rPr>
                <w:color w:val="000000"/>
                <w:sz w:val="22"/>
                <w:szCs w:val="22"/>
              </w:rPr>
              <w:t>215,272</w:t>
            </w:r>
          </w:p>
        </w:tc>
        <w:tc>
          <w:tcPr>
            <w:tcW w:w="1606" w:type="dxa"/>
            <w:tcBorders>
              <w:top w:val="nil"/>
              <w:left w:val="nil"/>
              <w:bottom w:val="single" w:sz="4" w:space="0" w:color="auto"/>
              <w:right w:val="single" w:sz="4" w:space="0" w:color="auto"/>
            </w:tcBorders>
            <w:shd w:val="clear" w:color="auto" w:fill="auto"/>
            <w:noWrap/>
            <w:vAlign w:val="bottom"/>
            <w:hideMark/>
          </w:tcPr>
          <w:p w:rsidR="006125A6" w:rsidRPr="00303489" w:rsidP="00AC2CB0" w14:paraId="32DB231D" w14:textId="70AF873B">
            <w:pPr>
              <w:spacing w:after="0"/>
              <w:jc w:val="center"/>
              <w:rPr>
                <w:rFonts w:eastAsia="Times New Roman"/>
                <w:color w:val="000000"/>
                <w:sz w:val="22"/>
                <w:szCs w:val="22"/>
              </w:rPr>
            </w:pPr>
            <w:r w:rsidRPr="00303489">
              <w:rPr>
                <w:rFonts w:eastAsia="Times New Roman"/>
                <w:color w:val="000000"/>
                <w:sz w:val="22"/>
                <w:szCs w:val="22"/>
              </w:rPr>
              <w:t>22</w:t>
            </w:r>
            <w:r w:rsidRPr="00303489" w:rsidR="00C1074C">
              <w:rPr>
                <w:rFonts w:eastAsia="Times New Roman"/>
                <w:color w:val="000000"/>
                <w:sz w:val="22"/>
                <w:szCs w:val="22"/>
              </w:rPr>
              <w:t>6,602</w:t>
            </w:r>
          </w:p>
        </w:tc>
      </w:tr>
      <w:tr w14:paraId="17F6C3E0"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125A6" w:rsidRPr="00303489" w:rsidP="006E0179" w14:paraId="4D78C9EA" w14:textId="002E1F8A">
            <w:pPr>
              <w:spacing w:after="0"/>
              <w:rPr>
                <w:rFonts w:eastAsia="Times New Roman"/>
                <w:color w:val="000000"/>
                <w:sz w:val="22"/>
                <w:szCs w:val="22"/>
              </w:rPr>
            </w:pPr>
            <w:r w:rsidRPr="00303489">
              <w:rPr>
                <w:rFonts w:eastAsia="Times New Roman"/>
                <w:b/>
                <w:color w:val="000000"/>
                <w:sz w:val="22"/>
                <w:szCs w:val="22"/>
              </w:rPr>
              <w:t>One-time cost (millions)</w:t>
            </w:r>
          </w:p>
        </w:tc>
        <w:tc>
          <w:tcPr>
            <w:tcW w:w="1512" w:type="dxa"/>
            <w:tcBorders>
              <w:top w:val="nil"/>
              <w:left w:val="nil"/>
              <w:bottom w:val="single" w:sz="4" w:space="0" w:color="auto"/>
              <w:right w:val="single" w:sz="4" w:space="0" w:color="auto"/>
            </w:tcBorders>
            <w:shd w:val="clear" w:color="auto" w:fill="D9D9D9" w:themeFill="background1" w:themeFillShade="D9"/>
            <w:noWrap/>
            <w:vAlign w:val="bottom"/>
            <w:hideMark/>
          </w:tcPr>
          <w:p w:rsidR="006125A6" w:rsidRPr="00303489" w:rsidP="00AC2CB0" w14:paraId="2DE6F624" w14:textId="09DC30EB">
            <w:pPr>
              <w:spacing w:after="0"/>
              <w:jc w:val="center"/>
              <w:rPr>
                <w:rFonts w:eastAsia="Times New Roman"/>
                <w:color w:val="000000"/>
                <w:sz w:val="22"/>
                <w:szCs w:val="22"/>
              </w:rPr>
            </w:pP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125A6" w:rsidRPr="00303489" w:rsidP="00AC2CB0" w14:paraId="107D9EA5" w14:textId="5F4D4B7C">
            <w:pPr>
              <w:spacing w:after="0"/>
              <w:jc w:val="center"/>
              <w:rPr>
                <w:rFonts w:eastAsia="Times New Roman"/>
                <w:color w:val="000000"/>
                <w:sz w:val="22"/>
                <w:szCs w:val="22"/>
              </w:rPr>
            </w:pPr>
          </w:p>
        </w:tc>
        <w:tc>
          <w:tcPr>
            <w:tcW w:w="1606" w:type="dxa"/>
            <w:tcBorders>
              <w:top w:val="nil"/>
              <w:left w:val="nil"/>
              <w:bottom w:val="single" w:sz="4" w:space="0" w:color="auto"/>
              <w:right w:val="single" w:sz="4" w:space="0" w:color="auto"/>
            </w:tcBorders>
            <w:shd w:val="clear" w:color="auto" w:fill="D9D9D9" w:themeFill="background1" w:themeFillShade="D9"/>
            <w:noWrap/>
            <w:vAlign w:val="bottom"/>
            <w:hideMark/>
          </w:tcPr>
          <w:p w:rsidR="006125A6" w:rsidRPr="00303489" w:rsidP="00AC2CB0" w14:paraId="3E3BD212" w14:textId="3355C304">
            <w:pPr>
              <w:spacing w:after="0"/>
              <w:jc w:val="center"/>
              <w:rPr>
                <w:rFonts w:eastAsia="Times New Roman"/>
                <w:color w:val="000000"/>
                <w:sz w:val="22"/>
                <w:szCs w:val="22"/>
              </w:rPr>
            </w:pPr>
          </w:p>
        </w:tc>
      </w:tr>
      <w:tr w14:paraId="2B1FEEB3"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F1A20" w:rsidRPr="00303489" w:rsidP="005F1A20" w14:paraId="70C518DA" w14:textId="07101ACA">
            <w:pPr>
              <w:spacing w:after="0"/>
              <w:rPr>
                <w:rFonts w:eastAsia="Times New Roman"/>
                <w:color w:val="000000"/>
                <w:sz w:val="22"/>
                <w:szCs w:val="22"/>
              </w:rPr>
            </w:pPr>
            <w:r w:rsidRPr="00303489">
              <w:rPr>
                <w:rFonts w:eastAsia="Times New Roman"/>
                <w:color w:val="000000"/>
                <w:sz w:val="22"/>
                <w:szCs w:val="22"/>
              </w:rPr>
              <w:t xml:space="preserve">Applying stickers </w:t>
            </w:r>
          </w:p>
        </w:tc>
        <w:tc>
          <w:tcPr>
            <w:tcW w:w="1512" w:type="dxa"/>
            <w:tcBorders>
              <w:top w:val="nil"/>
              <w:left w:val="nil"/>
              <w:bottom w:val="single" w:sz="4" w:space="0" w:color="auto"/>
              <w:right w:val="single" w:sz="4" w:space="0" w:color="auto"/>
            </w:tcBorders>
            <w:shd w:val="clear" w:color="auto" w:fill="auto"/>
            <w:noWrap/>
            <w:vAlign w:val="bottom"/>
            <w:hideMark/>
          </w:tcPr>
          <w:p w:rsidR="005F1A20" w:rsidRPr="005F1A20" w:rsidP="005F1A20" w14:paraId="5457510A" w14:textId="2B91AC4C">
            <w:pPr>
              <w:spacing w:after="0"/>
              <w:jc w:val="center"/>
              <w:rPr>
                <w:rFonts w:eastAsia="Times New Roman"/>
                <w:color w:val="000000"/>
                <w:sz w:val="22"/>
                <w:szCs w:val="22"/>
              </w:rPr>
            </w:pPr>
            <w:r w:rsidRPr="000659AD">
              <w:rPr>
                <w:color w:val="000000"/>
                <w:sz w:val="22"/>
                <w:szCs w:val="22"/>
              </w:rPr>
              <w:t>$7</w:t>
            </w:r>
            <w:r>
              <w:rPr>
                <w:color w:val="000000"/>
                <w:sz w:val="22"/>
                <w:szCs w:val="22"/>
              </w:rPr>
              <w:t>.</w:t>
            </w:r>
            <w:r w:rsidRPr="000659AD">
              <w:rPr>
                <w:color w:val="000000"/>
                <w:sz w:val="22"/>
                <w:szCs w:val="22"/>
              </w:rPr>
              <w:t>4</w:t>
            </w:r>
            <w:r>
              <w:rPr>
                <w:color w:val="000000"/>
                <w:sz w:val="22"/>
                <w:szCs w:val="22"/>
              </w:rPr>
              <w:t>7</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F1A20" w:rsidRPr="005F1A20" w:rsidP="005F1A20" w14:paraId="34CCD190" w14:textId="0E8BA020">
            <w:pPr>
              <w:spacing w:after="0"/>
              <w:jc w:val="center"/>
              <w:rPr>
                <w:rFonts w:eastAsia="Times New Roman"/>
                <w:color w:val="000000"/>
                <w:sz w:val="22"/>
                <w:szCs w:val="22"/>
              </w:rPr>
            </w:pPr>
            <w:r w:rsidRPr="000659AD">
              <w:rPr>
                <w:color w:val="000000"/>
                <w:sz w:val="22"/>
                <w:szCs w:val="22"/>
              </w:rPr>
              <w:t>$7</w:t>
            </w:r>
            <w:r>
              <w:rPr>
                <w:color w:val="000000"/>
                <w:sz w:val="22"/>
                <w:szCs w:val="22"/>
              </w:rPr>
              <w:t>.</w:t>
            </w:r>
            <w:r w:rsidRPr="000659AD">
              <w:rPr>
                <w:color w:val="000000"/>
                <w:sz w:val="22"/>
                <w:szCs w:val="22"/>
              </w:rPr>
              <w:t>9</w:t>
            </w:r>
            <w:r>
              <w:rPr>
                <w:color w:val="000000"/>
                <w:sz w:val="22"/>
                <w:szCs w:val="22"/>
              </w:rPr>
              <w:t>7</w:t>
            </w:r>
          </w:p>
        </w:tc>
        <w:tc>
          <w:tcPr>
            <w:tcW w:w="1606" w:type="dxa"/>
            <w:tcBorders>
              <w:top w:val="nil"/>
              <w:left w:val="nil"/>
              <w:bottom w:val="single" w:sz="4" w:space="0" w:color="auto"/>
              <w:right w:val="single" w:sz="4" w:space="0" w:color="auto"/>
            </w:tcBorders>
            <w:shd w:val="clear" w:color="auto" w:fill="auto"/>
            <w:noWrap/>
            <w:vAlign w:val="bottom"/>
            <w:hideMark/>
          </w:tcPr>
          <w:p w:rsidR="005F1A20" w:rsidRPr="005F1A20" w:rsidP="005F1A20" w14:paraId="30904E7D" w14:textId="1D8AAE2A">
            <w:pPr>
              <w:spacing w:after="0"/>
              <w:jc w:val="center"/>
              <w:rPr>
                <w:rFonts w:eastAsia="Times New Roman"/>
                <w:color w:val="000000"/>
                <w:sz w:val="22"/>
                <w:szCs w:val="22"/>
              </w:rPr>
            </w:pPr>
            <w:r w:rsidRPr="000659AD">
              <w:rPr>
                <w:color w:val="000000"/>
                <w:sz w:val="22"/>
                <w:szCs w:val="22"/>
              </w:rPr>
              <w:t>$8</w:t>
            </w:r>
            <w:r>
              <w:rPr>
                <w:color w:val="000000"/>
                <w:sz w:val="22"/>
                <w:szCs w:val="22"/>
              </w:rPr>
              <w:t>.</w:t>
            </w:r>
            <w:r w:rsidRPr="000659AD">
              <w:rPr>
                <w:color w:val="000000"/>
                <w:sz w:val="22"/>
                <w:szCs w:val="22"/>
              </w:rPr>
              <w:t>3</w:t>
            </w:r>
            <w:r>
              <w:rPr>
                <w:color w:val="000000"/>
                <w:sz w:val="22"/>
                <w:szCs w:val="22"/>
              </w:rPr>
              <w:t>9</w:t>
            </w:r>
          </w:p>
        </w:tc>
      </w:tr>
      <w:tr w14:paraId="65FE3D3F"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C30759" w:rsidRPr="00303489" w:rsidP="00C30759" w14:paraId="031501FA" w14:textId="4F02B86C">
            <w:pPr>
              <w:spacing w:after="0"/>
              <w:rPr>
                <w:rFonts w:eastAsia="Times New Roman"/>
                <w:color w:val="000000"/>
                <w:sz w:val="22"/>
                <w:szCs w:val="22"/>
              </w:rPr>
            </w:pPr>
            <w:r w:rsidRPr="00303489">
              <w:rPr>
                <w:rFonts w:eastAsia="Times New Roman"/>
                <w:color w:val="000000"/>
                <w:sz w:val="22"/>
                <w:szCs w:val="22"/>
              </w:rPr>
              <w:t xml:space="preserve">Cost of stickers </w:t>
            </w:r>
          </w:p>
        </w:tc>
        <w:tc>
          <w:tcPr>
            <w:tcW w:w="1512" w:type="dxa"/>
            <w:tcBorders>
              <w:top w:val="nil"/>
              <w:left w:val="nil"/>
              <w:bottom w:val="single" w:sz="4" w:space="0" w:color="auto"/>
              <w:right w:val="single" w:sz="4" w:space="0" w:color="auto"/>
            </w:tcBorders>
            <w:shd w:val="clear" w:color="auto" w:fill="auto"/>
            <w:noWrap/>
            <w:vAlign w:val="bottom"/>
            <w:hideMark/>
          </w:tcPr>
          <w:p w:rsidR="00C30759" w:rsidRPr="00303489" w:rsidP="00C30759" w14:paraId="57F98918" w14:textId="5436C3D2">
            <w:pPr>
              <w:spacing w:after="0"/>
              <w:jc w:val="center"/>
              <w:rPr>
                <w:rFonts w:eastAsia="Times New Roman"/>
                <w:color w:val="000000"/>
                <w:sz w:val="22"/>
                <w:szCs w:val="22"/>
              </w:rPr>
            </w:pPr>
            <w:r w:rsidRPr="00303489">
              <w:rPr>
                <w:color w:val="000000"/>
                <w:sz w:val="22"/>
                <w:szCs w:val="22"/>
              </w:rPr>
              <w:t>$3.03</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C30759" w:rsidRPr="00303489" w:rsidP="00C30759" w14:paraId="1B0D3D2F" w14:textId="5403266E">
            <w:pPr>
              <w:spacing w:after="0"/>
              <w:jc w:val="center"/>
              <w:rPr>
                <w:rFonts w:eastAsia="Times New Roman"/>
                <w:color w:val="000000"/>
                <w:sz w:val="22"/>
                <w:szCs w:val="22"/>
              </w:rPr>
            </w:pPr>
            <w:r w:rsidRPr="00303489">
              <w:rPr>
                <w:color w:val="000000"/>
                <w:sz w:val="22"/>
                <w:szCs w:val="22"/>
              </w:rPr>
              <w:t>$3.23</w:t>
            </w:r>
          </w:p>
        </w:tc>
        <w:tc>
          <w:tcPr>
            <w:tcW w:w="1606" w:type="dxa"/>
            <w:tcBorders>
              <w:top w:val="nil"/>
              <w:left w:val="nil"/>
              <w:bottom w:val="single" w:sz="4" w:space="0" w:color="auto"/>
              <w:right w:val="single" w:sz="4" w:space="0" w:color="auto"/>
            </w:tcBorders>
            <w:shd w:val="clear" w:color="auto" w:fill="auto"/>
            <w:noWrap/>
            <w:vAlign w:val="bottom"/>
            <w:hideMark/>
          </w:tcPr>
          <w:p w:rsidR="00C30759" w:rsidRPr="00303489" w:rsidP="00C30759" w14:paraId="65F0E7EC" w14:textId="17E62D52">
            <w:pPr>
              <w:spacing w:after="0"/>
              <w:jc w:val="center"/>
              <w:rPr>
                <w:rFonts w:eastAsia="Times New Roman"/>
                <w:color w:val="000000"/>
                <w:sz w:val="22"/>
                <w:szCs w:val="22"/>
              </w:rPr>
            </w:pPr>
            <w:r w:rsidRPr="00303489">
              <w:rPr>
                <w:color w:val="000000"/>
                <w:sz w:val="22"/>
                <w:szCs w:val="22"/>
              </w:rPr>
              <w:t>$3.40</w:t>
            </w:r>
          </w:p>
        </w:tc>
      </w:tr>
      <w:tr w14:paraId="6C24F5C9" w14:textId="77777777" w:rsidTr="005F1A20">
        <w:tblPrEx>
          <w:tblW w:w="5000" w:type="pct"/>
          <w:tblLook w:val="04A0"/>
        </w:tblPrEx>
        <w:trPr>
          <w:trHeight w:val="21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432EB9" w:rsidRPr="00303489" w:rsidP="00432EB9" w14:paraId="65808508" w14:textId="47F52CD8">
            <w:pPr>
              <w:spacing w:after="0"/>
              <w:rPr>
                <w:rFonts w:eastAsia="Times New Roman"/>
                <w:b/>
                <w:color w:val="000000"/>
                <w:sz w:val="22"/>
                <w:szCs w:val="22"/>
              </w:rPr>
            </w:pPr>
            <w:r w:rsidRPr="00303489">
              <w:rPr>
                <w:rFonts w:eastAsia="Times New Roman"/>
                <w:color w:val="000000"/>
                <w:sz w:val="22"/>
                <w:szCs w:val="22"/>
              </w:rPr>
              <w:t xml:space="preserve">Total cost </w:t>
            </w:r>
          </w:p>
        </w:tc>
        <w:tc>
          <w:tcPr>
            <w:tcW w:w="1512" w:type="dxa"/>
            <w:tcBorders>
              <w:top w:val="nil"/>
              <w:left w:val="nil"/>
              <w:bottom w:val="single" w:sz="4" w:space="0" w:color="auto"/>
              <w:right w:val="single" w:sz="4" w:space="0" w:color="auto"/>
            </w:tcBorders>
            <w:shd w:val="clear" w:color="auto" w:fill="auto"/>
            <w:noWrap/>
            <w:vAlign w:val="bottom"/>
            <w:hideMark/>
          </w:tcPr>
          <w:p w:rsidR="00432EB9" w:rsidRPr="00432EB9" w:rsidP="00432EB9" w14:paraId="0E7C7A5F" w14:textId="6C48401F">
            <w:pPr>
              <w:spacing w:after="0"/>
              <w:jc w:val="center"/>
              <w:rPr>
                <w:rFonts w:eastAsia="Times New Roman"/>
                <w:color w:val="000000"/>
                <w:sz w:val="22"/>
                <w:szCs w:val="22"/>
              </w:rPr>
            </w:pPr>
            <w:r w:rsidRPr="000659AD">
              <w:rPr>
                <w:color w:val="000000"/>
                <w:sz w:val="22"/>
                <w:szCs w:val="22"/>
              </w:rPr>
              <w:t>$10</w:t>
            </w:r>
            <w:r>
              <w:rPr>
                <w:color w:val="000000"/>
                <w:sz w:val="22"/>
                <w:szCs w:val="22"/>
              </w:rPr>
              <w:t>.</w:t>
            </w:r>
            <w:r w:rsidRPr="000659AD">
              <w:rPr>
                <w:color w:val="000000"/>
                <w:sz w:val="22"/>
                <w:szCs w:val="22"/>
              </w:rPr>
              <w:t>49</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2EB9" w:rsidRPr="00432EB9" w:rsidP="00432EB9" w14:paraId="586F48A8" w14:textId="2AD0CE50">
            <w:pPr>
              <w:spacing w:after="0"/>
              <w:jc w:val="center"/>
              <w:rPr>
                <w:rFonts w:eastAsia="Times New Roman"/>
                <w:color w:val="000000"/>
                <w:sz w:val="22"/>
                <w:szCs w:val="22"/>
              </w:rPr>
            </w:pPr>
            <w:r w:rsidRPr="000659AD">
              <w:rPr>
                <w:color w:val="000000"/>
                <w:sz w:val="22"/>
                <w:szCs w:val="22"/>
              </w:rPr>
              <w:t>$11</w:t>
            </w:r>
            <w:r>
              <w:rPr>
                <w:color w:val="000000"/>
                <w:sz w:val="22"/>
                <w:szCs w:val="22"/>
              </w:rPr>
              <w:t>.20</w:t>
            </w:r>
          </w:p>
        </w:tc>
        <w:tc>
          <w:tcPr>
            <w:tcW w:w="1606" w:type="dxa"/>
            <w:tcBorders>
              <w:top w:val="nil"/>
              <w:left w:val="nil"/>
              <w:bottom w:val="single" w:sz="4" w:space="0" w:color="auto"/>
              <w:right w:val="single" w:sz="4" w:space="0" w:color="auto"/>
            </w:tcBorders>
            <w:shd w:val="clear" w:color="auto" w:fill="auto"/>
            <w:noWrap/>
            <w:vAlign w:val="bottom"/>
            <w:hideMark/>
          </w:tcPr>
          <w:p w:rsidR="00432EB9" w:rsidRPr="00432EB9" w:rsidP="00432EB9" w14:paraId="40432D13" w14:textId="2787A004">
            <w:pPr>
              <w:spacing w:after="0"/>
              <w:jc w:val="center"/>
              <w:rPr>
                <w:rFonts w:eastAsia="Times New Roman"/>
                <w:color w:val="000000"/>
                <w:sz w:val="22"/>
                <w:szCs w:val="22"/>
              </w:rPr>
            </w:pPr>
            <w:r w:rsidRPr="000659AD">
              <w:rPr>
                <w:color w:val="000000"/>
                <w:sz w:val="22"/>
                <w:szCs w:val="22"/>
              </w:rPr>
              <w:t>$11</w:t>
            </w:r>
            <w:r>
              <w:rPr>
                <w:color w:val="000000"/>
                <w:sz w:val="22"/>
                <w:szCs w:val="22"/>
              </w:rPr>
              <w:t>.</w:t>
            </w:r>
            <w:r w:rsidRPr="000659AD">
              <w:rPr>
                <w:color w:val="000000"/>
                <w:sz w:val="22"/>
                <w:szCs w:val="22"/>
              </w:rPr>
              <w:t>7</w:t>
            </w:r>
            <w:r>
              <w:rPr>
                <w:color w:val="000000"/>
                <w:sz w:val="22"/>
                <w:szCs w:val="22"/>
              </w:rPr>
              <w:t>9</w:t>
            </w:r>
          </w:p>
        </w:tc>
      </w:tr>
    </w:tbl>
    <w:p w:rsidR="005B717F" w:rsidP="00112DAD" w14:paraId="50A0A4B7" w14:textId="77777777"/>
    <w:p w:rsidR="00A3474B" w:rsidRPr="003C7643" w:rsidP="003C7643" w14:paraId="34FEEF63" w14:textId="77777777"/>
    <w:p w:rsidR="005633BF" w:rsidP="00482C04" w14:paraId="64259084" w14:textId="5762C4D0">
      <w:pPr>
        <w:pStyle w:val="Heading3"/>
      </w:pPr>
      <w:bookmarkStart w:id="91" w:name="_Toc148515734"/>
      <w:r>
        <w:t xml:space="preserve">Full Compliance </w:t>
      </w:r>
      <w:r w:rsidR="00475CCB">
        <w:t>C</w:t>
      </w:r>
      <w:r>
        <w:t>GMP</w:t>
      </w:r>
      <w:r w:rsidR="000B4DF7">
        <w:t xml:space="preserve"> Requirement</w:t>
      </w:r>
      <w:r>
        <w:t>s</w:t>
      </w:r>
      <w:r w:rsidR="00EE5CEB">
        <w:t xml:space="preserve"> Costs</w:t>
      </w:r>
      <w:bookmarkEnd w:id="91"/>
    </w:p>
    <w:p w:rsidR="001C7EDE" w:rsidP="001C7EDE" w14:paraId="443FD281" w14:textId="77777777">
      <w:pPr>
        <w:ind w:firstLine="720"/>
      </w:pPr>
    </w:p>
    <w:p w:rsidR="00CD681B" w:rsidP="000E6DD7" w14:paraId="0D2365BC" w14:textId="6C020668">
      <w:pPr>
        <w:ind w:firstLine="720"/>
      </w:pPr>
      <w:r>
        <w:t xml:space="preserve">There are </w:t>
      </w:r>
      <w:r w:rsidR="00B47F28">
        <w:t>several</w:t>
      </w:r>
      <w:r>
        <w:t xml:space="preserve"> Part 211 sections that </w:t>
      </w:r>
      <w:r w:rsidR="00D6152C">
        <w:t xml:space="preserve">currently </w:t>
      </w:r>
      <w:r w:rsidR="004E3ECF">
        <w:t>apply to medical</w:t>
      </w:r>
      <w:r w:rsidR="006C282C">
        <w:t xml:space="preserve"> gases</w:t>
      </w:r>
      <w:r w:rsidR="00D6152C">
        <w:t xml:space="preserve"> that have parallel or </w:t>
      </w:r>
      <w:r w:rsidR="003E4040">
        <w:t xml:space="preserve">have </w:t>
      </w:r>
      <w:r w:rsidR="00D6152C">
        <w:t>similar language in</w:t>
      </w:r>
      <w:r w:rsidR="005850FD">
        <w:t xml:space="preserve"> </w:t>
      </w:r>
      <w:r w:rsidR="00D6152C">
        <w:t>Part 213</w:t>
      </w:r>
      <w:r>
        <w:t xml:space="preserve">. We believe that </w:t>
      </w:r>
      <w:r w:rsidR="005850FD">
        <w:t xml:space="preserve">this </w:t>
      </w:r>
      <w:r w:rsidR="00615F3A">
        <w:t>final</w:t>
      </w:r>
      <w:r w:rsidR="005850FD">
        <w:t xml:space="preserve"> rule </w:t>
      </w:r>
      <w:r w:rsidR="001940B0">
        <w:t>will</w:t>
      </w:r>
      <w:r w:rsidR="005850FD">
        <w:t xml:space="preserve"> </w:t>
      </w:r>
      <w:r>
        <w:t>clarif</w:t>
      </w:r>
      <w:r w:rsidR="005850FD">
        <w:t>y</w:t>
      </w:r>
      <w:r>
        <w:t xml:space="preserve"> that these regulations apply to </w:t>
      </w:r>
      <w:r w:rsidR="00A872D6">
        <w:t>medical gases</w:t>
      </w:r>
      <w:r w:rsidR="005850FD">
        <w:t xml:space="preserve"> and</w:t>
      </w:r>
      <w:r>
        <w:t xml:space="preserve"> </w:t>
      </w:r>
      <w:r w:rsidR="003E4040">
        <w:t>may result in</w:t>
      </w:r>
      <w:r w:rsidR="00FD587F">
        <w:t xml:space="preserve"> </w:t>
      </w:r>
      <w:r>
        <w:t>100</w:t>
      </w:r>
      <w:r w:rsidR="00011343">
        <w:t xml:space="preserve"> percent</w:t>
      </w:r>
      <w:r>
        <w:t xml:space="preserve"> compliance from industry. We </w:t>
      </w:r>
      <w:r w:rsidR="00A47F7A">
        <w:t xml:space="preserve">use </w:t>
      </w:r>
      <w:r>
        <w:t>20</w:t>
      </w:r>
      <w:r w:rsidR="007D54A6">
        <w:t>20</w:t>
      </w:r>
      <w:r>
        <w:t xml:space="preserve"> ERG </w:t>
      </w:r>
      <w:r w:rsidR="00501AF1">
        <w:t xml:space="preserve">report </w:t>
      </w:r>
      <w:r>
        <w:t xml:space="preserve">(Ref. </w:t>
      </w:r>
      <w:r w:rsidR="00BB2E72">
        <w:t>2</w:t>
      </w:r>
      <w:r>
        <w:t>) estimates where there is noncompliance with Part 211</w:t>
      </w:r>
      <w:r w:rsidR="00501AF1">
        <w:t xml:space="preserve"> and ERG</w:t>
      </w:r>
      <w:r w:rsidR="00F20158">
        <w:t>’</w:t>
      </w:r>
      <w:r w:rsidR="00501AF1">
        <w:t>s noncompliance estimates (</w:t>
      </w:r>
      <w:r w:rsidR="005A1789">
        <w:t>ERG Table 5-1</w:t>
      </w:r>
      <w:r w:rsidRPr="00987A52" w:rsidR="00501AF1">
        <w:t>)</w:t>
      </w:r>
      <w:r>
        <w:t xml:space="preserve"> to estimate the added burden on industry of moving to full compliance</w:t>
      </w:r>
      <w:r w:rsidR="00FD587F">
        <w:t xml:space="preserve"> with these specific sections</w:t>
      </w:r>
      <w:r>
        <w:t>.</w:t>
      </w:r>
      <w:r w:rsidR="00F67A8D">
        <w:t xml:space="preserve"> </w:t>
      </w:r>
    </w:p>
    <w:p w:rsidR="00E55045" w:rsidRPr="00661A4D" w:rsidP="00F70002" w14:paraId="2C3A41B9" w14:textId="77777777"/>
    <w:p w:rsidR="008A19F7" w:rsidP="00482C04" w14:paraId="1717E3BC" w14:textId="424BC686">
      <w:pPr>
        <w:pStyle w:val="Heading4"/>
        <w:numPr>
          <w:ilvl w:val="0"/>
          <w:numId w:val="33"/>
        </w:numPr>
      </w:pPr>
      <w:bookmarkStart w:id="92" w:name="_Toc148515735"/>
      <w:r w:rsidRPr="00645058">
        <w:t>Full Compliance Quality</w:t>
      </w:r>
      <w:r w:rsidR="00CD681B">
        <w:t xml:space="preserve"> </w:t>
      </w:r>
      <w:r w:rsidRPr="00645058">
        <w:t>Units</w:t>
      </w:r>
      <w:bookmarkEnd w:id="92"/>
    </w:p>
    <w:p w:rsidR="008201F8" w:rsidP="008201F8" w14:paraId="0EDF36C7" w14:textId="760BB40C">
      <w:r>
        <w:tab/>
      </w:r>
      <w:r w:rsidR="00A75BA2">
        <w:t>Under current regulations</w:t>
      </w:r>
      <w:r w:rsidR="003E4040">
        <w:t>,</w:t>
      </w:r>
      <w:r w:rsidR="00A75BA2">
        <w:t xml:space="preserve"> t</w:t>
      </w:r>
      <w:r w:rsidR="000B4D47">
        <w:t>he</w:t>
      </w:r>
      <w:r>
        <w:t xml:space="preserve"> responsibilities of the quality unit</w:t>
      </w:r>
      <w:r w:rsidRPr="00FE39B0" w:rsidR="000B4D47">
        <w:t xml:space="preserve"> require facilities to</w:t>
      </w:r>
      <w:r w:rsidR="00D61741">
        <w:t>:</w:t>
      </w:r>
      <w:r w:rsidRPr="00FE39B0" w:rsidR="000B4D47">
        <w:t xml:space="preserve"> </w:t>
      </w:r>
      <w:r w:rsidR="00622CB3">
        <w:t xml:space="preserve">(1) </w:t>
      </w:r>
      <w:r w:rsidRPr="00FE39B0" w:rsidR="000B4D47">
        <w:t xml:space="preserve">establish a quality </w:t>
      </w:r>
      <w:r w:rsidR="006C69B5">
        <w:t xml:space="preserve">control </w:t>
      </w:r>
      <w:r w:rsidRPr="00FE39B0" w:rsidR="000B4D47">
        <w:t xml:space="preserve">unit, </w:t>
      </w:r>
      <w:r w:rsidR="00622CB3">
        <w:t xml:space="preserve">(2) establish </w:t>
      </w:r>
      <w:r w:rsidR="00D61741">
        <w:t xml:space="preserve">and follow written </w:t>
      </w:r>
      <w:r w:rsidRPr="00FE39B0" w:rsidR="000B4D47">
        <w:t xml:space="preserve">procedures for the quality unit, </w:t>
      </w:r>
      <w:r w:rsidR="00622CB3">
        <w:t xml:space="preserve">and (3) </w:t>
      </w:r>
      <w:r w:rsidRPr="00FE39B0" w:rsidR="000B4D47">
        <w:t>provide adequate laboratory facilities.</w:t>
      </w:r>
      <w:r w:rsidR="000B4D47">
        <w:t xml:space="preserve"> </w:t>
      </w:r>
      <w:r>
        <w:t xml:space="preserve">The </w:t>
      </w:r>
      <w:r w:rsidR="009C4524">
        <w:t xml:space="preserve">new </w:t>
      </w:r>
      <w:r>
        <w:t>requirement</w:t>
      </w:r>
      <w:r w:rsidR="009C4524">
        <w:t>s are</w:t>
      </w:r>
      <w:r>
        <w:t xml:space="preserve"> similar in scope </w:t>
      </w:r>
      <w:r w:rsidRPr="00301002">
        <w:rPr>
          <w:rFonts w:eastAsia="Times New Roman"/>
        </w:rPr>
        <w:t>with one notable change</w:t>
      </w:r>
      <w:r w:rsidR="00257D26">
        <w:rPr>
          <w:rFonts w:eastAsia="Times New Roman"/>
        </w:rPr>
        <w:t>.</w:t>
      </w:r>
      <w:r>
        <w:rPr>
          <w:rFonts w:eastAsia="Times New Roman"/>
        </w:rPr>
        <w:t xml:space="preserve"> FDA</w:t>
      </w:r>
      <w:r w:rsidRPr="00301002">
        <w:rPr>
          <w:rFonts w:eastAsia="Times New Roman"/>
        </w:rPr>
        <w:t xml:space="preserve"> </w:t>
      </w:r>
      <w:r w:rsidR="00264BAF">
        <w:rPr>
          <w:rFonts w:eastAsia="Times New Roman"/>
        </w:rPr>
        <w:t xml:space="preserve">will </w:t>
      </w:r>
      <w:r w:rsidR="008B1739">
        <w:rPr>
          <w:rFonts w:eastAsia="Times New Roman"/>
        </w:rPr>
        <w:t>use</w:t>
      </w:r>
      <w:r w:rsidRPr="00301002" w:rsidR="008B1739">
        <w:rPr>
          <w:rFonts w:eastAsia="Times New Roman"/>
        </w:rPr>
        <w:t xml:space="preserve"> </w:t>
      </w:r>
      <w:r w:rsidRPr="00301002">
        <w:rPr>
          <w:rFonts w:eastAsia="Times New Roman"/>
        </w:rPr>
        <w:t xml:space="preserve">the term “quality unit” instead of </w:t>
      </w:r>
      <w:r w:rsidR="00622CB3">
        <w:rPr>
          <w:rFonts w:eastAsia="Times New Roman"/>
        </w:rPr>
        <w:t xml:space="preserve">the previous term </w:t>
      </w:r>
      <w:r w:rsidRPr="00301002">
        <w:rPr>
          <w:rFonts w:eastAsia="Times New Roman"/>
        </w:rPr>
        <w:t>“quality control unit.”</w:t>
      </w:r>
      <w:r>
        <w:rPr>
          <w:rFonts w:eastAsia="Times New Roman"/>
        </w:rPr>
        <w:t xml:space="preserve"> </w:t>
      </w:r>
      <w:r>
        <w:t xml:space="preserve">ERG </w:t>
      </w:r>
      <w:r w:rsidRPr="00FE39B0" w:rsidR="000B4D47">
        <w:t>interviews with the industry indicate that most medical gas facilities have quality unit</w:t>
      </w:r>
      <w:r w:rsidR="000B4D47">
        <w:t>s</w:t>
      </w:r>
      <w:r w:rsidRPr="00FE39B0" w:rsidR="000B4D47">
        <w:t xml:space="preserve"> and written procedures that detail </w:t>
      </w:r>
      <w:r w:rsidR="000B4D47">
        <w:t xml:space="preserve">those units’ </w:t>
      </w:r>
      <w:r w:rsidRPr="00FE39B0" w:rsidR="000B4D47">
        <w:t>responsibilities.</w:t>
      </w:r>
      <w:r>
        <w:t xml:space="preserve"> However, ERG estimates </w:t>
      </w:r>
      <w:r w:rsidRPr="008201F8">
        <w:t xml:space="preserve">the range of baseline compliance is </w:t>
      </w:r>
      <w:r w:rsidR="00E86659">
        <w:t>between</w:t>
      </w:r>
      <w:r w:rsidRPr="008201F8">
        <w:t xml:space="preserve"> 85 to 100 percent for small firms and 100 percent for large firms. </w:t>
      </w:r>
      <w:r>
        <w:t>This translates to 0</w:t>
      </w:r>
      <w:r w:rsidR="00011343">
        <w:t xml:space="preserve"> to </w:t>
      </w:r>
      <w:r w:rsidR="00FF2052">
        <w:t>6</w:t>
      </w:r>
      <w:r w:rsidR="00011343">
        <w:t xml:space="preserve"> percent</w:t>
      </w:r>
      <w:r>
        <w:t xml:space="preserve"> noncompliance for</w:t>
      </w:r>
      <w:r w:rsidR="00CB153B">
        <w:t xml:space="preserve"> all firms for</w:t>
      </w:r>
      <w:r>
        <w:t xml:space="preserve"> quality units.</w:t>
      </w:r>
    </w:p>
    <w:p w:rsidR="00AE12E6" w:rsidP="003B7206" w14:paraId="203A95EA" w14:textId="548B0EA3">
      <w:pPr>
        <w:pStyle w:val="BodyTextFirstIndent"/>
        <w:ind w:firstLine="720"/>
      </w:pPr>
      <w:r w:rsidRPr="00FE39B0">
        <w:t xml:space="preserve">ERG’s industry expert </w:t>
      </w:r>
      <w:r>
        <w:t xml:space="preserve">suggested </w:t>
      </w:r>
      <w:r w:rsidRPr="00FE39B0">
        <w:t xml:space="preserve">that firms </w:t>
      </w:r>
      <w:r>
        <w:t>that are not fully compliant</w:t>
      </w:r>
      <w:r w:rsidRPr="00FE39B0">
        <w:t xml:space="preserve"> with </w:t>
      </w:r>
      <w:r>
        <w:t xml:space="preserve">current quality unit requirements </w:t>
      </w:r>
      <w:r w:rsidR="001940B0">
        <w:t>will</w:t>
      </w:r>
      <w:r>
        <w:t xml:space="preserve"> likely hire a consultant for an estimated one-time cost of</w:t>
      </w:r>
      <w:r w:rsidRPr="00FE39B0">
        <w:t xml:space="preserve"> $4,000 to help set up a quality unit, provide a procedure manual</w:t>
      </w:r>
      <w:r>
        <w:t xml:space="preserve">, </w:t>
      </w:r>
      <w:r w:rsidRPr="00FE39B0">
        <w:t>assist with other duties such as registration and listing, and provide training. This w</w:t>
      </w:r>
      <w:r>
        <w:t>ould</w:t>
      </w:r>
      <w:r w:rsidRPr="00FE39B0">
        <w:t xml:space="preserve"> be the least cost</w:t>
      </w:r>
      <w:r>
        <w:t>ly</w:t>
      </w:r>
      <w:r w:rsidRPr="00FE39B0">
        <w:t xml:space="preserve"> option</w:t>
      </w:r>
      <w:r>
        <w:t>. F</w:t>
      </w:r>
      <w:r w:rsidRPr="00FE39B0">
        <w:t>or a small firm</w:t>
      </w:r>
      <w:r>
        <w:t>,</w:t>
      </w:r>
      <w:r w:rsidRPr="00FE39B0">
        <w:t xml:space="preserve"> the research </w:t>
      </w:r>
      <w:r>
        <w:t>into</w:t>
      </w:r>
      <w:r w:rsidRPr="00FE39B0">
        <w:t xml:space="preserve"> requirements and </w:t>
      </w:r>
      <w:r>
        <w:t xml:space="preserve">the </w:t>
      </w:r>
      <w:r w:rsidRPr="00FE39B0">
        <w:t xml:space="preserve">procedure development </w:t>
      </w:r>
      <w:r>
        <w:t xml:space="preserve">itself </w:t>
      </w:r>
      <w:r w:rsidRPr="00FE39B0">
        <w:t xml:space="preserve">would take a significant number of labor hours and therefore cost more. </w:t>
      </w:r>
    </w:p>
    <w:p w:rsidR="00AE12E6" w:rsidP="00AE12E6" w14:paraId="3BA70E4D" w14:textId="0EF6553C">
      <w:pPr>
        <w:pStyle w:val="BodyTextFirstIndent"/>
      </w:pPr>
      <w:r w:rsidRPr="000D74D8">
        <w:t xml:space="preserve">In addition, based on input from </w:t>
      </w:r>
      <w:r>
        <w:t>ERG’s</w:t>
      </w:r>
      <w:r w:rsidRPr="000D74D8">
        <w:t xml:space="preserve"> industry expert, ongoing quality </w:t>
      </w:r>
      <w:r>
        <w:t>unit</w:t>
      </w:r>
      <w:r w:rsidRPr="000D74D8">
        <w:t xml:space="preserve"> activities resulting from the new quality unit might take an additional hour per week, or 52 hours per year, for a small firm. </w:t>
      </w:r>
      <w:r>
        <w:t xml:space="preserve">We use the </w:t>
      </w:r>
      <w:r w:rsidR="003153D7">
        <w:t>2022</w:t>
      </w:r>
      <w:r>
        <w:t xml:space="preserve"> wage rate for General and Operations Managers. </w:t>
      </w:r>
      <w:r w:rsidRPr="00311C21">
        <w:t xml:space="preserve">The </w:t>
      </w:r>
      <w:r w:rsidR="003153D7">
        <w:t>2022</w:t>
      </w:r>
      <w:r>
        <w:t xml:space="preserve"> wage</w:t>
      </w:r>
      <w:r w:rsidRPr="00311C21">
        <w:t xml:space="preserve"> rate is $</w:t>
      </w:r>
      <w:r w:rsidR="002218C5">
        <w:t>89.21</w:t>
      </w:r>
      <w:r w:rsidRPr="00311C21">
        <w:t xml:space="preserve">, and we double it to account for benefits and other overhead costs for a </w:t>
      </w:r>
      <w:r>
        <w:t>fully-loaded</w:t>
      </w:r>
      <w:r w:rsidRPr="00311C21">
        <w:t xml:space="preserve"> wage rate of $</w:t>
      </w:r>
      <w:r w:rsidR="002218C5">
        <w:t>178.42</w:t>
      </w:r>
      <w:r w:rsidRPr="00311C21">
        <w:t xml:space="preserve">. </w:t>
      </w:r>
      <w:r>
        <w:t>We multiply the annual time estimate by the fully-loaded wage rate for an ongoing cost of approximately $</w:t>
      </w:r>
      <w:r w:rsidR="00F60F8C">
        <w:t>9</w:t>
      </w:r>
      <w:r>
        <w:t xml:space="preserve">,000 to implement and document the activity. These estimates can be found in </w:t>
      </w:r>
      <w:r w:rsidRPr="00741216" w:rsidR="00741216">
        <w:fldChar w:fldCharType="begin"/>
      </w:r>
      <w:r w:rsidRPr="00741216" w:rsidR="00741216">
        <w:instrText xml:space="preserve"> REF _Ref36642537 \h </w:instrText>
      </w:r>
      <w:r w:rsidRPr="004848C7" w:rsidR="00741216">
        <w:instrText xml:space="preserve"> \* MERGEFORMAT </w:instrText>
      </w:r>
      <w:r w:rsidRPr="00741216" w:rsidR="00741216">
        <w:fldChar w:fldCharType="separate"/>
      </w:r>
      <w:r w:rsidRPr="004848C7" w:rsidR="00741216">
        <w:t xml:space="preserve">Table </w:t>
      </w:r>
      <w:r w:rsidRPr="004848C7" w:rsidR="00741216">
        <w:rPr>
          <w:noProof/>
        </w:rPr>
        <w:t>14</w:t>
      </w:r>
      <w:r w:rsidRPr="00741216" w:rsidR="00741216">
        <w:fldChar w:fldCharType="end"/>
      </w:r>
      <w:r>
        <w:t>.</w:t>
      </w:r>
    </w:p>
    <w:p w:rsidR="00BA5D10" w:rsidP="008201F8" w14:paraId="4F7C8BC3" w14:textId="0A483FEA"/>
    <w:p w:rsidR="0022201D" w:rsidRPr="00AC0BEE" w:rsidP="00FD587F" w14:paraId="10C8A53D" w14:textId="01C19A95">
      <w:pPr>
        <w:pStyle w:val="Caption"/>
        <w:keepNext/>
        <w:rPr>
          <w:b/>
        </w:rPr>
      </w:pPr>
      <w:bookmarkStart w:id="93" w:name="_Ref36642537"/>
      <w:bookmarkStart w:id="94" w:name="_Toc147238758"/>
      <w:r w:rsidRPr="00AC0BEE">
        <w:rPr>
          <w:b/>
        </w:rPr>
        <w:t xml:space="preserve">Table </w:t>
      </w:r>
      <w:r w:rsidRPr="00AC0BEE">
        <w:rPr>
          <w:b/>
        </w:rPr>
        <w:fldChar w:fldCharType="begin"/>
      </w:r>
      <w:r w:rsidRPr="00875B2A">
        <w:rPr>
          <w:b/>
        </w:rPr>
        <w:instrText xml:space="preserve"> SEQ Table \* ARABIC </w:instrText>
      </w:r>
      <w:r w:rsidRPr="00AC0BEE">
        <w:rPr>
          <w:b/>
        </w:rPr>
        <w:fldChar w:fldCharType="separate"/>
      </w:r>
      <w:r w:rsidR="00F06F40">
        <w:rPr>
          <w:b/>
          <w:noProof/>
        </w:rPr>
        <w:t>14</w:t>
      </w:r>
      <w:r w:rsidRPr="00AC0BEE">
        <w:rPr>
          <w:b/>
        </w:rPr>
        <w:fldChar w:fldCharType="end"/>
      </w:r>
      <w:bookmarkEnd w:id="93"/>
      <w:r w:rsidRPr="00AC0BEE">
        <w:rPr>
          <w:b/>
        </w:rPr>
        <w:t>. Quality Unit Costs (ERG Table 6-2)</w:t>
      </w:r>
      <w:bookmarkEnd w:id="94"/>
    </w:p>
    <w:tbl>
      <w:tblPr>
        <w:tblW w:w="5000" w:type="pct"/>
        <w:jc w:val="center"/>
        <w:tblLayout w:type="fixed"/>
        <w:tblLook w:val="04A0"/>
      </w:tblPr>
      <w:tblGrid>
        <w:gridCol w:w="4765"/>
        <w:gridCol w:w="900"/>
        <w:gridCol w:w="990"/>
        <w:gridCol w:w="900"/>
        <w:gridCol w:w="900"/>
        <w:gridCol w:w="895"/>
      </w:tblGrid>
      <w:tr w14:paraId="54033F8C" w14:textId="77777777" w:rsidTr="00714FC0">
        <w:tblPrEx>
          <w:tblW w:w="5000" w:type="pct"/>
          <w:jc w:val="center"/>
          <w:tblLayout w:type="fixed"/>
          <w:tblLook w:val="04A0"/>
        </w:tblPrEx>
        <w:trPr>
          <w:trHeight w:val="216"/>
          <w:jc w:val="center"/>
        </w:trPr>
        <w:tc>
          <w:tcPr>
            <w:tcW w:w="476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rsidR="00BA5D10" w:rsidRPr="00714FC0" w:rsidP="00FD587F" w14:paraId="46DD2EE8" w14:textId="77777777">
            <w:pPr>
              <w:spacing w:after="0"/>
              <w:rPr>
                <w:b/>
                <w:bCs/>
                <w:sz w:val="22"/>
                <w:szCs w:val="22"/>
              </w:rPr>
            </w:pPr>
            <w:r w:rsidRPr="00714FC0">
              <w:rPr>
                <w:b/>
                <w:bCs/>
                <w:sz w:val="22"/>
                <w:szCs w:val="22"/>
              </w:rPr>
              <w:t>Costs</w:t>
            </w:r>
          </w:p>
        </w:tc>
        <w:tc>
          <w:tcPr>
            <w:tcW w:w="1890" w:type="dxa"/>
            <w:gridSpan w:val="2"/>
            <w:tcBorders>
              <w:top w:val="single" w:sz="4" w:space="0" w:color="auto"/>
              <w:left w:val="nil"/>
              <w:bottom w:val="single" w:sz="4" w:space="0" w:color="auto"/>
              <w:right w:val="single" w:sz="4" w:space="0" w:color="auto"/>
            </w:tcBorders>
            <w:shd w:val="clear" w:color="000000" w:fill="D9D9D9"/>
            <w:vAlign w:val="bottom"/>
            <w:hideMark/>
          </w:tcPr>
          <w:p w:rsidR="00BA5D10" w:rsidRPr="00714FC0" w:rsidP="00FD587F" w14:paraId="2E5D5373" w14:textId="77777777">
            <w:pPr>
              <w:spacing w:after="0"/>
              <w:jc w:val="center"/>
              <w:rPr>
                <w:b/>
                <w:bCs/>
                <w:sz w:val="22"/>
                <w:szCs w:val="22"/>
              </w:rPr>
            </w:pPr>
            <w:r w:rsidRPr="00714FC0">
              <w:rPr>
                <w:b/>
                <w:bCs/>
                <w:sz w:val="22"/>
                <w:szCs w:val="22"/>
              </w:rPr>
              <w:t>Fee/Labor Hours</w:t>
            </w:r>
          </w:p>
        </w:tc>
        <w:tc>
          <w:tcPr>
            <w:tcW w:w="900" w:type="dxa"/>
            <w:vMerge w:val="restart"/>
            <w:tcBorders>
              <w:top w:val="single" w:sz="4" w:space="0" w:color="auto"/>
              <w:left w:val="nil"/>
              <w:right w:val="single" w:sz="4" w:space="0" w:color="auto"/>
            </w:tcBorders>
            <w:shd w:val="clear" w:color="000000" w:fill="D9D9D9"/>
            <w:vAlign w:val="bottom"/>
            <w:hideMark/>
          </w:tcPr>
          <w:p w:rsidR="00BA5D10" w:rsidRPr="00714FC0" w:rsidP="00FD587F" w14:paraId="4D571C19" w14:textId="77777777">
            <w:pPr>
              <w:spacing w:after="0"/>
              <w:rPr>
                <w:b/>
                <w:bCs/>
                <w:sz w:val="22"/>
                <w:szCs w:val="22"/>
              </w:rPr>
            </w:pPr>
            <w:r w:rsidRPr="00714FC0">
              <w:rPr>
                <w:b/>
                <w:bCs/>
                <w:sz w:val="22"/>
                <w:szCs w:val="22"/>
              </w:rPr>
              <w:t> </w:t>
            </w:r>
          </w:p>
          <w:p w:rsidR="00BA5D10" w:rsidRPr="00714FC0" w:rsidP="00FD587F" w14:paraId="21DDC333" w14:textId="77777777">
            <w:pPr>
              <w:spacing w:after="0"/>
              <w:jc w:val="center"/>
              <w:rPr>
                <w:b/>
                <w:bCs/>
                <w:sz w:val="22"/>
                <w:szCs w:val="22"/>
              </w:rPr>
            </w:pPr>
            <w:r w:rsidRPr="00714FC0">
              <w:rPr>
                <w:b/>
                <w:bCs/>
                <w:sz w:val="22"/>
                <w:szCs w:val="22"/>
              </w:rPr>
              <w:t>Wages</w:t>
            </w:r>
          </w:p>
        </w:tc>
        <w:tc>
          <w:tcPr>
            <w:tcW w:w="1795" w:type="dxa"/>
            <w:gridSpan w:val="2"/>
            <w:tcBorders>
              <w:top w:val="single" w:sz="4" w:space="0" w:color="auto"/>
              <w:left w:val="nil"/>
              <w:bottom w:val="single" w:sz="4" w:space="0" w:color="auto"/>
              <w:right w:val="single" w:sz="4" w:space="0" w:color="auto"/>
            </w:tcBorders>
            <w:shd w:val="clear" w:color="000000" w:fill="D9D9D9"/>
            <w:vAlign w:val="bottom"/>
            <w:hideMark/>
          </w:tcPr>
          <w:p w:rsidR="00BA5D10" w:rsidRPr="00714FC0" w:rsidP="00FD587F" w14:paraId="53964661" w14:textId="77777777">
            <w:pPr>
              <w:spacing w:after="0"/>
              <w:jc w:val="center"/>
              <w:rPr>
                <w:b/>
                <w:bCs/>
                <w:sz w:val="22"/>
                <w:szCs w:val="22"/>
              </w:rPr>
            </w:pPr>
            <w:r w:rsidRPr="00714FC0">
              <w:rPr>
                <w:b/>
                <w:bCs/>
                <w:sz w:val="22"/>
                <w:szCs w:val="22"/>
              </w:rPr>
              <w:t>Unit Costs</w:t>
            </w:r>
          </w:p>
        </w:tc>
      </w:tr>
      <w:tr w14:paraId="1D534F5E" w14:textId="77777777" w:rsidTr="00714FC0">
        <w:tblPrEx>
          <w:tblW w:w="5000" w:type="pct"/>
          <w:jc w:val="center"/>
          <w:tblLayout w:type="fixed"/>
          <w:tblLook w:val="04A0"/>
        </w:tblPrEx>
        <w:trPr>
          <w:trHeight w:val="216"/>
          <w:jc w:val="center"/>
        </w:trPr>
        <w:tc>
          <w:tcPr>
            <w:tcW w:w="4765" w:type="dxa"/>
            <w:vMerge/>
            <w:tcBorders>
              <w:top w:val="single" w:sz="4" w:space="0" w:color="auto"/>
              <w:left w:val="single" w:sz="4" w:space="0" w:color="auto"/>
              <w:bottom w:val="single" w:sz="4" w:space="0" w:color="000000"/>
              <w:right w:val="single" w:sz="4" w:space="0" w:color="auto"/>
            </w:tcBorders>
            <w:vAlign w:val="center"/>
            <w:hideMark/>
          </w:tcPr>
          <w:p w:rsidR="00BA5D10" w:rsidRPr="00714FC0" w:rsidP="001C7EDE" w14:paraId="1BA9ADE3" w14:textId="77777777">
            <w:pPr>
              <w:rPr>
                <w:b/>
                <w:bCs/>
                <w:sz w:val="22"/>
                <w:szCs w:val="22"/>
              </w:rPr>
            </w:pPr>
          </w:p>
        </w:tc>
        <w:tc>
          <w:tcPr>
            <w:tcW w:w="900" w:type="dxa"/>
            <w:tcBorders>
              <w:top w:val="nil"/>
              <w:left w:val="nil"/>
              <w:bottom w:val="single" w:sz="4" w:space="0" w:color="auto"/>
              <w:right w:val="single" w:sz="4" w:space="0" w:color="auto"/>
            </w:tcBorders>
            <w:shd w:val="clear" w:color="000000" w:fill="D9D9D9"/>
            <w:vAlign w:val="bottom"/>
            <w:hideMark/>
          </w:tcPr>
          <w:p w:rsidR="00BA5D10" w:rsidRPr="00714FC0" w:rsidP="00714FC0" w14:paraId="578090A4" w14:textId="77777777">
            <w:pPr>
              <w:spacing w:after="0"/>
              <w:jc w:val="center"/>
              <w:rPr>
                <w:b/>
                <w:bCs/>
                <w:sz w:val="22"/>
                <w:szCs w:val="22"/>
              </w:rPr>
            </w:pPr>
            <w:r w:rsidRPr="00714FC0">
              <w:rPr>
                <w:b/>
                <w:bCs/>
                <w:sz w:val="22"/>
                <w:szCs w:val="22"/>
              </w:rPr>
              <w:t>Small</w:t>
            </w:r>
          </w:p>
        </w:tc>
        <w:tc>
          <w:tcPr>
            <w:tcW w:w="990" w:type="dxa"/>
            <w:tcBorders>
              <w:top w:val="nil"/>
              <w:left w:val="nil"/>
              <w:bottom w:val="single" w:sz="4" w:space="0" w:color="auto"/>
              <w:right w:val="single" w:sz="4" w:space="0" w:color="auto"/>
            </w:tcBorders>
            <w:shd w:val="clear" w:color="000000" w:fill="D9D9D9"/>
            <w:vAlign w:val="bottom"/>
            <w:hideMark/>
          </w:tcPr>
          <w:p w:rsidR="00BA5D10" w:rsidRPr="00714FC0" w:rsidP="00714FC0" w14:paraId="7A39BFBD" w14:textId="77777777">
            <w:pPr>
              <w:spacing w:after="0"/>
              <w:jc w:val="center"/>
              <w:rPr>
                <w:b/>
                <w:bCs/>
                <w:sz w:val="22"/>
                <w:szCs w:val="22"/>
              </w:rPr>
            </w:pPr>
            <w:r w:rsidRPr="00714FC0">
              <w:rPr>
                <w:b/>
                <w:bCs/>
                <w:sz w:val="22"/>
                <w:szCs w:val="22"/>
              </w:rPr>
              <w:t>Large</w:t>
            </w:r>
          </w:p>
        </w:tc>
        <w:tc>
          <w:tcPr>
            <w:tcW w:w="900" w:type="dxa"/>
            <w:vMerge/>
            <w:tcBorders>
              <w:left w:val="nil"/>
              <w:bottom w:val="single" w:sz="4" w:space="0" w:color="auto"/>
              <w:right w:val="single" w:sz="4" w:space="0" w:color="auto"/>
            </w:tcBorders>
            <w:shd w:val="clear" w:color="000000" w:fill="D9D9D9"/>
            <w:vAlign w:val="bottom"/>
            <w:hideMark/>
          </w:tcPr>
          <w:p w:rsidR="00BA5D10" w:rsidRPr="00714FC0" w:rsidP="001C7EDE" w14:paraId="147D9F89" w14:textId="77777777">
            <w:pPr>
              <w:jc w:val="center"/>
              <w:rPr>
                <w:b/>
                <w:bCs/>
                <w:sz w:val="22"/>
                <w:szCs w:val="22"/>
              </w:rPr>
            </w:pPr>
          </w:p>
        </w:tc>
        <w:tc>
          <w:tcPr>
            <w:tcW w:w="900" w:type="dxa"/>
            <w:tcBorders>
              <w:top w:val="nil"/>
              <w:left w:val="nil"/>
              <w:bottom w:val="single" w:sz="4" w:space="0" w:color="auto"/>
              <w:right w:val="single" w:sz="4" w:space="0" w:color="auto"/>
            </w:tcBorders>
            <w:shd w:val="clear" w:color="000000" w:fill="D9D9D9"/>
            <w:vAlign w:val="bottom"/>
            <w:hideMark/>
          </w:tcPr>
          <w:p w:rsidR="00BA5D10" w:rsidRPr="00714FC0" w:rsidP="00714FC0" w14:paraId="325E1792" w14:textId="77777777">
            <w:pPr>
              <w:spacing w:after="0"/>
              <w:jc w:val="center"/>
              <w:rPr>
                <w:b/>
                <w:bCs/>
                <w:sz w:val="22"/>
                <w:szCs w:val="22"/>
              </w:rPr>
            </w:pPr>
            <w:r w:rsidRPr="00714FC0">
              <w:rPr>
                <w:b/>
                <w:bCs/>
                <w:sz w:val="22"/>
                <w:szCs w:val="22"/>
              </w:rPr>
              <w:t>Small</w:t>
            </w:r>
          </w:p>
        </w:tc>
        <w:tc>
          <w:tcPr>
            <w:tcW w:w="895" w:type="dxa"/>
            <w:tcBorders>
              <w:top w:val="nil"/>
              <w:left w:val="nil"/>
              <w:bottom w:val="single" w:sz="4" w:space="0" w:color="auto"/>
              <w:right w:val="single" w:sz="4" w:space="0" w:color="auto"/>
            </w:tcBorders>
            <w:shd w:val="clear" w:color="000000" w:fill="D9D9D9"/>
            <w:vAlign w:val="bottom"/>
            <w:hideMark/>
          </w:tcPr>
          <w:p w:rsidR="00BA5D10" w:rsidRPr="00714FC0" w:rsidP="00714FC0" w14:paraId="5EBB1CD8" w14:textId="77777777">
            <w:pPr>
              <w:spacing w:after="0"/>
              <w:jc w:val="center"/>
              <w:rPr>
                <w:b/>
                <w:bCs/>
                <w:sz w:val="22"/>
                <w:szCs w:val="22"/>
              </w:rPr>
            </w:pPr>
            <w:r w:rsidRPr="00714FC0">
              <w:rPr>
                <w:b/>
                <w:bCs/>
                <w:sz w:val="22"/>
                <w:szCs w:val="22"/>
              </w:rPr>
              <w:t>Large</w:t>
            </w:r>
          </w:p>
        </w:tc>
      </w:tr>
      <w:tr w14:paraId="69ECEFB4" w14:textId="77777777" w:rsidTr="00714FC0">
        <w:tblPrEx>
          <w:tblW w:w="5000" w:type="pct"/>
          <w:jc w:val="center"/>
          <w:tblLayout w:type="fixed"/>
          <w:tblLook w:val="04A0"/>
        </w:tblPrEx>
        <w:trPr>
          <w:trHeight w:val="216"/>
          <w:jc w:val="center"/>
        </w:trPr>
        <w:tc>
          <w:tcPr>
            <w:tcW w:w="9350"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BA5D10" w:rsidRPr="00714FC0" w:rsidP="00FD587F" w14:paraId="201893DB" w14:textId="0384C019">
            <w:pPr>
              <w:spacing w:after="0"/>
              <w:rPr>
                <w:b/>
                <w:bCs/>
                <w:sz w:val="22"/>
                <w:szCs w:val="22"/>
              </w:rPr>
            </w:pPr>
            <w:r w:rsidRPr="00714FC0">
              <w:rPr>
                <w:b/>
                <w:bCs/>
                <w:sz w:val="22"/>
                <w:szCs w:val="22"/>
              </w:rPr>
              <w:t xml:space="preserve">One-Time Costs (per </w:t>
            </w:r>
            <w:r w:rsidRPr="00714FC0" w:rsidR="0022201D">
              <w:rPr>
                <w:b/>
                <w:bCs/>
                <w:sz w:val="22"/>
                <w:szCs w:val="22"/>
              </w:rPr>
              <w:t>f</w:t>
            </w:r>
            <w:r w:rsidRPr="00714FC0">
              <w:rPr>
                <w:b/>
                <w:bCs/>
                <w:sz w:val="22"/>
                <w:szCs w:val="22"/>
              </w:rPr>
              <w:t>irm)</w:t>
            </w:r>
            <w:r w:rsidR="00875B2A">
              <w:rPr>
                <w:b/>
                <w:bCs/>
                <w:sz w:val="22"/>
                <w:szCs w:val="22"/>
              </w:rPr>
              <w:t xml:space="preserve"> – Develop New Procedures</w:t>
            </w:r>
          </w:p>
        </w:tc>
      </w:tr>
      <w:tr w14:paraId="4EA70EFA" w14:textId="77777777" w:rsidTr="00714FC0">
        <w:tblPrEx>
          <w:tblW w:w="5000" w:type="pct"/>
          <w:jc w:val="center"/>
          <w:tblLayout w:type="fixed"/>
          <w:tblLook w:val="04A0"/>
        </w:tblPrEx>
        <w:trPr>
          <w:trHeight w:val="432"/>
          <w:jc w:val="center"/>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BA5D10" w:rsidRPr="00714FC0" w:rsidP="00FD587F" w14:paraId="193B39B7" w14:textId="5896B1FE">
            <w:pPr>
              <w:spacing w:after="0"/>
              <w:rPr>
                <w:sz w:val="22"/>
                <w:szCs w:val="22"/>
              </w:rPr>
            </w:pPr>
            <w:r w:rsidRPr="00714FC0">
              <w:rPr>
                <w:sz w:val="22"/>
                <w:szCs w:val="22"/>
              </w:rPr>
              <w:t>Consultant fee to set up QU and develop procedures</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1021DA21" w14:textId="77777777">
            <w:pPr>
              <w:spacing w:after="0"/>
              <w:jc w:val="center"/>
              <w:rPr>
                <w:sz w:val="22"/>
                <w:szCs w:val="22"/>
              </w:rPr>
            </w:pPr>
            <w:r w:rsidRPr="00714FC0">
              <w:rPr>
                <w:sz w:val="22"/>
                <w:szCs w:val="22"/>
              </w:rPr>
              <w:t>$4,000</w:t>
            </w:r>
          </w:p>
        </w:tc>
        <w:tc>
          <w:tcPr>
            <w:tcW w:w="99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7DB9E3C0" w14:textId="77777777">
            <w:pPr>
              <w:spacing w:after="0"/>
              <w:jc w:val="center"/>
              <w:rPr>
                <w:sz w:val="22"/>
                <w:szCs w:val="22"/>
              </w:rPr>
            </w:pPr>
            <w:r w:rsidRPr="00714FC0">
              <w:rPr>
                <w:sz w:val="22"/>
                <w:szCs w:val="22"/>
              </w:rPr>
              <w:t>NA</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5F632CB1" w14:textId="77777777">
            <w:pPr>
              <w:spacing w:after="0"/>
              <w:jc w:val="center"/>
              <w:rPr>
                <w:sz w:val="22"/>
                <w:szCs w:val="22"/>
              </w:rPr>
            </w:pPr>
            <w:r w:rsidRPr="00714FC0">
              <w:rPr>
                <w:sz w:val="22"/>
                <w:szCs w:val="22"/>
              </w:rPr>
              <w:t>NA</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7AB66A86" w14:textId="77777777">
            <w:pPr>
              <w:spacing w:after="0"/>
              <w:jc w:val="center"/>
              <w:rPr>
                <w:color w:val="000000"/>
                <w:sz w:val="22"/>
                <w:szCs w:val="22"/>
              </w:rPr>
            </w:pPr>
            <w:r w:rsidRPr="00714FC0">
              <w:rPr>
                <w:color w:val="000000"/>
                <w:sz w:val="22"/>
                <w:szCs w:val="22"/>
              </w:rPr>
              <w:t>$4,000</w:t>
            </w:r>
          </w:p>
        </w:tc>
        <w:tc>
          <w:tcPr>
            <w:tcW w:w="895"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432189EB" w14:textId="77777777">
            <w:pPr>
              <w:spacing w:after="0"/>
              <w:jc w:val="center"/>
              <w:rPr>
                <w:color w:val="000000"/>
                <w:sz w:val="22"/>
                <w:szCs w:val="22"/>
              </w:rPr>
            </w:pPr>
            <w:r w:rsidRPr="00714FC0">
              <w:rPr>
                <w:color w:val="000000"/>
                <w:sz w:val="22"/>
                <w:szCs w:val="22"/>
              </w:rPr>
              <w:t>$0</w:t>
            </w:r>
          </w:p>
        </w:tc>
      </w:tr>
      <w:tr w14:paraId="6363F486" w14:textId="77777777" w:rsidTr="00714FC0">
        <w:tblPrEx>
          <w:tblW w:w="5000" w:type="pct"/>
          <w:jc w:val="center"/>
          <w:tblLayout w:type="fixed"/>
          <w:tblLook w:val="04A0"/>
        </w:tblPrEx>
        <w:trPr>
          <w:trHeight w:val="216"/>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BA5D10" w:rsidRPr="00714FC0" w:rsidP="00FD587F" w14:paraId="79F65EDD" w14:textId="3F6C721F">
            <w:pPr>
              <w:spacing w:after="0"/>
              <w:jc w:val="both"/>
              <w:rPr>
                <w:bCs/>
                <w:sz w:val="22"/>
                <w:szCs w:val="22"/>
              </w:rPr>
            </w:pPr>
            <w:r w:rsidRPr="00714FC0">
              <w:rPr>
                <w:bCs/>
                <w:sz w:val="22"/>
                <w:szCs w:val="22"/>
              </w:rPr>
              <w:t xml:space="preserve">Total </w:t>
            </w:r>
            <w:r w:rsidRPr="00714FC0" w:rsidR="0022201D">
              <w:rPr>
                <w:bCs/>
                <w:sz w:val="22"/>
                <w:szCs w:val="22"/>
              </w:rPr>
              <w:t>u</w:t>
            </w:r>
            <w:r w:rsidRPr="00714FC0">
              <w:rPr>
                <w:bCs/>
                <w:sz w:val="22"/>
                <w:szCs w:val="22"/>
              </w:rPr>
              <w:t xml:space="preserve">nit </w:t>
            </w:r>
            <w:r w:rsidRPr="00714FC0" w:rsidR="0022201D">
              <w:rPr>
                <w:bCs/>
                <w:sz w:val="22"/>
                <w:szCs w:val="22"/>
              </w:rPr>
              <w:t>c</w:t>
            </w:r>
            <w:r w:rsidRPr="00714FC0">
              <w:rPr>
                <w:bCs/>
                <w:sz w:val="22"/>
                <w:szCs w:val="22"/>
              </w:rPr>
              <w:t>ost</w:t>
            </w:r>
          </w:p>
        </w:tc>
        <w:tc>
          <w:tcPr>
            <w:tcW w:w="90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7BA24083" w14:textId="77777777">
            <w:pPr>
              <w:spacing w:after="0"/>
              <w:ind w:firstLine="440" w:firstLineChars="200"/>
              <w:jc w:val="center"/>
              <w:rPr>
                <w:color w:val="000000"/>
                <w:sz w:val="22"/>
                <w:szCs w:val="22"/>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1A91E817" w14:textId="77777777">
            <w:pPr>
              <w:spacing w:after="0"/>
              <w:ind w:firstLine="440" w:firstLineChars="200"/>
              <w:jc w:val="center"/>
              <w:rPr>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6A816FA1" w14:textId="77777777">
            <w:pPr>
              <w:spacing w:after="0"/>
              <w:ind w:firstLine="440" w:firstLineChars="200"/>
              <w:jc w:val="center"/>
              <w:rPr>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02A452F3" w14:textId="77777777">
            <w:pPr>
              <w:spacing w:after="0"/>
              <w:jc w:val="center"/>
              <w:rPr>
                <w:bCs/>
                <w:color w:val="000000"/>
                <w:sz w:val="22"/>
                <w:szCs w:val="22"/>
              </w:rPr>
            </w:pPr>
            <w:r w:rsidRPr="00714FC0">
              <w:rPr>
                <w:bCs/>
                <w:color w:val="000000"/>
                <w:sz w:val="22"/>
                <w:szCs w:val="22"/>
              </w:rPr>
              <w:t>$4,000</w:t>
            </w:r>
          </w:p>
        </w:tc>
        <w:tc>
          <w:tcPr>
            <w:tcW w:w="895"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750EF77C" w14:textId="77777777">
            <w:pPr>
              <w:spacing w:after="0"/>
              <w:jc w:val="center"/>
              <w:rPr>
                <w:bCs/>
                <w:color w:val="000000"/>
                <w:sz w:val="22"/>
                <w:szCs w:val="22"/>
              </w:rPr>
            </w:pPr>
            <w:r w:rsidRPr="00714FC0">
              <w:rPr>
                <w:bCs/>
                <w:color w:val="000000"/>
                <w:sz w:val="22"/>
                <w:szCs w:val="22"/>
              </w:rPr>
              <w:t>$0</w:t>
            </w:r>
          </w:p>
        </w:tc>
      </w:tr>
      <w:tr w14:paraId="3E063C14" w14:textId="77777777" w:rsidTr="00714FC0">
        <w:tblPrEx>
          <w:tblW w:w="5000" w:type="pct"/>
          <w:jc w:val="center"/>
          <w:tblLayout w:type="fixed"/>
          <w:tblLook w:val="04A0"/>
        </w:tblPrEx>
        <w:trPr>
          <w:trHeight w:val="216"/>
          <w:jc w:val="center"/>
        </w:trPr>
        <w:tc>
          <w:tcPr>
            <w:tcW w:w="9350"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BA5D10" w:rsidRPr="00714FC0" w:rsidP="00FD587F" w14:paraId="0CA8AD1F" w14:textId="09F5DF6C">
            <w:pPr>
              <w:spacing w:after="0"/>
              <w:rPr>
                <w:b/>
                <w:bCs/>
                <w:sz w:val="22"/>
                <w:szCs w:val="22"/>
              </w:rPr>
            </w:pPr>
            <w:r w:rsidRPr="00714FC0">
              <w:rPr>
                <w:b/>
                <w:bCs/>
                <w:sz w:val="22"/>
                <w:szCs w:val="22"/>
              </w:rPr>
              <w:t xml:space="preserve">Ongoing </w:t>
            </w:r>
            <w:r w:rsidRPr="00714FC0" w:rsidR="0022201D">
              <w:rPr>
                <w:b/>
                <w:bCs/>
                <w:sz w:val="22"/>
                <w:szCs w:val="22"/>
              </w:rPr>
              <w:t>c</w:t>
            </w:r>
            <w:r w:rsidRPr="00714FC0">
              <w:rPr>
                <w:b/>
                <w:bCs/>
                <w:sz w:val="22"/>
                <w:szCs w:val="22"/>
              </w:rPr>
              <w:t xml:space="preserve">osts (per </w:t>
            </w:r>
            <w:r w:rsidRPr="00714FC0" w:rsidR="0022201D">
              <w:rPr>
                <w:b/>
                <w:bCs/>
                <w:sz w:val="22"/>
                <w:szCs w:val="22"/>
              </w:rPr>
              <w:t>f</w:t>
            </w:r>
            <w:r w:rsidRPr="00714FC0">
              <w:rPr>
                <w:b/>
                <w:bCs/>
                <w:sz w:val="22"/>
                <w:szCs w:val="22"/>
              </w:rPr>
              <w:t>irm)</w:t>
            </w:r>
            <w:r w:rsidR="00875B2A">
              <w:rPr>
                <w:b/>
                <w:bCs/>
                <w:sz w:val="22"/>
                <w:szCs w:val="22"/>
              </w:rPr>
              <w:t xml:space="preserve"> – Implement and Document Activity</w:t>
            </w:r>
          </w:p>
        </w:tc>
      </w:tr>
      <w:tr w14:paraId="734CF325" w14:textId="77777777" w:rsidTr="00714FC0">
        <w:tblPrEx>
          <w:tblW w:w="5000" w:type="pct"/>
          <w:jc w:val="center"/>
          <w:tblLayout w:type="fixed"/>
          <w:tblLook w:val="04A0"/>
        </w:tblPrEx>
        <w:trPr>
          <w:trHeight w:val="216"/>
          <w:jc w:val="center"/>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BA5D10" w:rsidRPr="00714FC0" w:rsidP="00FD587F" w14:paraId="05121847" w14:textId="77777777">
            <w:pPr>
              <w:spacing w:after="0"/>
              <w:rPr>
                <w:sz w:val="22"/>
                <w:szCs w:val="22"/>
              </w:rPr>
            </w:pPr>
            <w:r w:rsidRPr="00714FC0">
              <w:rPr>
                <w:sz w:val="22"/>
                <w:szCs w:val="22"/>
              </w:rPr>
              <w:t>One hour per week for general manager</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223A0DEC" w14:textId="77777777">
            <w:pPr>
              <w:spacing w:after="0"/>
              <w:jc w:val="center"/>
              <w:rPr>
                <w:sz w:val="22"/>
                <w:szCs w:val="22"/>
              </w:rPr>
            </w:pPr>
            <w:r w:rsidRPr="00714FC0">
              <w:rPr>
                <w:sz w:val="22"/>
                <w:szCs w:val="22"/>
              </w:rPr>
              <w:t>52</w:t>
            </w:r>
          </w:p>
        </w:tc>
        <w:tc>
          <w:tcPr>
            <w:tcW w:w="99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2834DE11" w14:textId="77777777">
            <w:pPr>
              <w:spacing w:after="0"/>
              <w:jc w:val="center"/>
              <w:rPr>
                <w:sz w:val="22"/>
                <w:szCs w:val="22"/>
              </w:rPr>
            </w:pPr>
            <w:r w:rsidRPr="00714FC0">
              <w:rPr>
                <w:sz w:val="22"/>
                <w:szCs w:val="22"/>
              </w:rPr>
              <w:t>NA</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0F380905" w14:textId="32540E7F">
            <w:pPr>
              <w:spacing w:after="0"/>
              <w:jc w:val="center"/>
              <w:rPr>
                <w:sz w:val="22"/>
                <w:szCs w:val="22"/>
              </w:rPr>
            </w:pPr>
            <w:r w:rsidRPr="00714FC0">
              <w:rPr>
                <w:sz w:val="22"/>
                <w:szCs w:val="22"/>
              </w:rPr>
              <w:t>$1</w:t>
            </w:r>
            <w:r w:rsidR="002218C5">
              <w:rPr>
                <w:sz w:val="22"/>
                <w:szCs w:val="22"/>
              </w:rPr>
              <w:t>78</w:t>
            </w: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73BECC4C" w14:textId="791AE01A">
            <w:pPr>
              <w:spacing w:after="0"/>
              <w:jc w:val="center"/>
              <w:rPr>
                <w:color w:val="000000"/>
                <w:sz w:val="22"/>
                <w:szCs w:val="22"/>
              </w:rPr>
            </w:pPr>
            <w:r w:rsidRPr="00714FC0">
              <w:rPr>
                <w:color w:val="000000"/>
                <w:sz w:val="22"/>
                <w:szCs w:val="22"/>
              </w:rPr>
              <w:t>$</w:t>
            </w:r>
            <w:r w:rsidR="002218C5">
              <w:rPr>
                <w:color w:val="000000"/>
                <w:sz w:val="22"/>
                <w:szCs w:val="22"/>
              </w:rPr>
              <w:t>9,278</w:t>
            </w:r>
          </w:p>
        </w:tc>
        <w:tc>
          <w:tcPr>
            <w:tcW w:w="895"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79B06462" w14:textId="77777777">
            <w:pPr>
              <w:spacing w:after="0"/>
              <w:jc w:val="center"/>
              <w:rPr>
                <w:color w:val="000000"/>
                <w:sz w:val="22"/>
                <w:szCs w:val="22"/>
              </w:rPr>
            </w:pPr>
            <w:r w:rsidRPr="00714FC0">
              <w:rPr>
                <w:color w:val="000000"/>
                <w:sz w:val="22"/>
                <w:szCs w:val="22"/>
              </w:rPr>
              <w:t>$0</w:t>
            </w:r>
          </w:p>
        </w:tc>
      </w:tr>
      <w:tr w14:paraId="59CE1D41" w14:textId="77777777" w:rsidTr="00714FC0">
        <w:tblPrEx>
          <w:tblW w:w="5000" w:type="pct"/>
          <w:jc w:val="center"/>
          <w:tblLayout w:type="fixed"/>
          <w:tblLook w:val="04A0"/>
        </w:tblPrEx>
        <w:trPr>
          <w:trHeight w:val="216"/>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BA5D10" w:rsidRPr="00714FC0" w:rsidP="00FD587F" w14:paraId="6A18DA49" w14:textId="20B992FA">
            <w:pPr>
              <w:spacing w:after="0"/>
              <w:rPr>
                <w:bCs/>
                <w:sz w:val="22"/>
                <w:szCs w:val="22"/>
              </w:rPr>
            </w:pPr>
            <w:r w:rsidRPr="00714FC0">
              <w:rPr>
                <w:bCs/>
                <w:sz w:val="22"/>
                <w:szCs w:val="22"/>
              </w:rPr>
              <w:t xml:space="preserve">Total </w:t>
            </w:r>
            <w:r w:rsidRPr="00714FC0" w:rsidR="0022201D">
              <w:rPr>
                <w:bCs/>
                <w:sz w:val="22"/>
                <w:szCs w:val="22"/>
              </w:rPr>
              <w:t>u</w:t>
            </w:r>
            <w:r w:rsidRPr="00714FC0">
              <w:rPr>
                <w:bCs/>
                <w:sz w:val="22"/>
                <w:szCs w:val="22"/>
              </w:rPr>
              <w:t xml:space="preserve">nit </w:t>
            </w:r>
            <w:r w:rsidRPr="00714FC0" w:rsidR="0022201D">
              <w:rPr>
                <w:bCs/>
                <w:sz w:val="22"/>
                <w:szCs w:val="22"/>
              </w:rPr>
              <w:t>c</w:t>
            </w:r>
            <w:r w:rsidRPr="00714FC0">
              <w:rPr>
                <w:bCs/>
                <w:sz w:val="22"/>
                <w:szCs w:val="22"/>
              </w:rPr>
              <w:t>ost</w:t>
            </w:r>
          </w:p>
        </w:tc>
        <w:tc>
          <w:tcPr>
            <w:tcW w:w="90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567B087F" w14:textId="77777777">
            <w:pPr>
              <w:spacing w:after="0"/>
              <w:ind w:firstLine="440" w:firstLineChars="200"/>
              <w:jc w:val="center"/>
              <w:rPr>
                <w:sz w:val="22"/>
                <w:szCs w:val="22"/>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4901D225" w14:textId="77777777">
            <w:pPr>
              <w:spacing w:after="0"/>
              <w:ind w:firstLine="440" w:firstLineChars="200"/>
              <w:jc w:val="center"/>
              <w:rPr>
                <w:sz w:val="22"/>
                <w:szCs w:val="22"/>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BA5D10" w:rsidRPr="00714FC0" w:rsidP="00AC2CB0" w14:paraId="65E79F65" w14:textId="77777777">
            <w:pPr>
              <w:spacing w:after="0"/>
              <w:ind w:firstLine="440" w:firstLineChars="200"/>
              <w:jc w:val="center"/>
              <w:rPr>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01DACA40" w14:textId="76152AD7">
            <w:pPr>
              <w:spacing w:after="0"/>
              <w:jc w:val="center"/>
              <w:rPr>
                <w:bCs/>
                <w:color w:val="000000"/>
                <w:sz w:val="22"/>
                <w:szCs w:val="22"/>
              </w:rPr>
            </w:pPr>
            <w:r w:rsidRPr="00714FC0">
              <w:rPr>
                <w:bCs/>
                <w:color w:val="000000"/>
                <w:sz w:val="22"/>
                <w:szCs w:val="22"/>
              </w:rPr>
              <w:t>$</w:t>
            </w:r>
            <w:r w:rsidR="002218C5">
              <w:rPr>
                <w:bCs/>
                <w:color w:val="000000"/>
                <w:sz w:val="22"/>
                <w:szCs w:val="22"/>
              </w:rPr>
              <w:t>9,278</w:t>
            </w:r>
          </w:p>
        </w:tc>
        <w:tc>
          <w:tcPr>
            <w:tcW w:w="895" w:type="dxa"/>
            <w:tcBorders>
              <w:top w:val="nil"/>
              <w:left w:val="nil"/>
              <w:bottom w:val="single" w:sz="4" w:space="0" w:color="auto"/>
              <w:right w:val="single" w:sz="4" w:space="0" w:color="auto"/>
            </w:tcBorders>
            <w:shd w:val="clear" w:color="auto" w:fill="auto"/>
            <w:noWrap/>
            <w:vAlign w:val="bottom"/>
            <w:hideMark/>
          </w:tcPr>
          <w:p w:rsidR="00BA5D10" w:rsidRPr="00714FC0" w:rsidP="00AC2CB0" w14:paraId="418DA396" w14:textId="77777777">
            <w:pPr>
              <w:spacing w:after="0"/>
              <w:jc w:val="center"/>
              <w:rPr>
                <w:bCs/>
                <w:color w:val="000000"/>
                <w:sz w:val="22"/>
                <w:szCs w:val="22"/>
              </w:rPr>
            </w:pPr>
            <w:r w:rsidRPr="00714FC0">
              <w:rPr>
                <w:bCs/>
                <w:color w:val="000000"/>
                <w:sz w:val="22"/>
                <w:szCs w:val="22"/>
              </w:rPr>
              <w:t>$0</w:t>
            </w:r>
          </w:p>
        </w:tc>
      </w:tr>
    </w:tbl>
    <w:p w:rsidR="000D74D8" w:rsidP="003B7206" w14:paraId="23EAB7A0" w14:textId="2C791DBA">
      <w:pPr>
        <w:pStyle w:val="BodyTextFirstIndent"/>
        <w:ind w:firstLine="0"/>
      </w:pPr>
      <w:r w:rsidRPr="00FE39B0">
        <w:t xml:space="preserve"> </w:t>
      </w:r>
    </w:p>
    <w:p w:rsidR="000D74D8" w:rsidP="000D74D8" w14:paraId="5B0FABAB" w14:textId="3C190726">
      <w:pPr>
        <w:pStyle w:val="BodyTextFirstIndent"/>
      </w:pPr>
      <w:r>
        <w:tab/>
      </w:r>
    </w:p>
    <w:p w:rsidR="0024341A" w:rsidP="002E13CF" w14:paraId="1B2810DB" w14:textId="6CF9F1B3">
      <w:pPr>
        <w:pStyle w:val="BodyTextFirstIndent"/>
        <w:ind w:firstLine="720"/>
      </w:pPr>
      <w:r w:rsidRPr="00741216">
        <w:fldChar w:fldCharType="begin"/>
      </w:r>
      <w:r w:rsidRPr="00741216">
        <w:instrText xml:space="preserve"> REF _Ref132015820 \h </w:instrText>
      </w:r>
      <w:r w:rsidRPr="004848C7">
        <w:instrText xml:space="preserve"> \* MERGEFORMAT </w:instrText>
      </w:r>
      <w:r w:rsidRPr="00741216">
        <w:fldChar w:fldCharType="separate"/>
      </w:r>
      <w:r w:rsidRPr="004848C7">
        <w:t xml:space="preserve">Table </w:t>
      </w:r>
      <w:r w:rsidRPr="004848C7">
        <w:rPr>
          <w:noProof/>
        </w:rPr>
        <w:t>15</w:t>
      </w:r>
      <w:r w:rsidRPr="00741216">
        <w:fldChar w:fldCharType="end"/>
      </w:r>
      <w:r w:rsidR="008309D3">
        <w:t xml:space="preserve"> </w:t>
      </w:r>
      <w:r w:rsidRPr="00987A52" w:rsidR="00501AF1">
        <w:t xml:space="preserve">shows the </w:t>
      </w:r>
      <w:r w:rsidRPr="00136929" w:rsidR="00501AF1">
        <w:t xml:space="preserve">one-time costs of hiring a consultant and the ongoing costs of implementing and documenting </w:t>
      </w:r>
      <w:r w:rsidRPr="00AA0928" w:rsidR="00501AF1">
        <w:t xml:space="preserve">the </w:t>
      </w:r>
      <w:r w:rsidRPr="00501AF1" w:rsidR="00501AF1">
        <w:t xml:space="preserve">quality unit for noncompliant small firms. </w:t>
      </w:r>
      <w:r w:rsidRPr="00501AF1" w:rsidR="00311C21">
        <w:t xml:space="preserve">The total one-time cost for the quality unit ranges </w:t>
      </w:r>
      <w:r w:rsidR="00311C21">
        <w:t xml:space="preserve">from </w:t>
      </w:r>
      <w:r w:rsidR="00A75BA2">
        <w:t>$0.00 million to $0.</w:t>
      </w:r>
      <w:r w:rsidR="00102924">
        <w:t>42</w:t>
      </w:r>
      <w:r w:rsidR="00A75BA2">
        <w:t xml:space="preserve"> million with a primary estimate of $0.</w:t>
      </w:r>
      <w:r w:rsidR="00102924">
        <w:t>21</w:t>
      </w:r>
      <w:r w:rsidR="00A75BA2">
        <w:t xml:space="preserve"> million. The total ongoing costs range from $0.00 million to $0.</w:t>
      </w:r>
      <w:r w:rsidR="002218C5">
        <w:t>97</w:t>
      </w:r>
      <w:r w:rsidR="00A75BA2">
        <w:t xml:space="preserve"> million with a primary estimate of $0.4</w:t>
      </w:r>
      <w:r w:rsidR="002218C5">
        <w:t>9</w:t>
      </w:r>
      <w:r w:rsidR="00A75BA2">
        <w:t xml:space="preserve"> million.</w:t>
      </w:r>
    </w:p>
    <w:p w:rsidR="006241EA" w:rsidP="000F4998" w14:paraId="48D8A3E0" w14:textId="74D706EF">
      <w:pPr>
        <w:pStyle w:val="BodyTextFirstIndent"/>
        <w:ind w:firstLine="720"/>
      </w:pPr>
      <w:bookmarkStart w:id="95" w:name="_Ref36647243"/>
    </w:p>
    <w:p w:rsidR="00922C90" w14:paraId="4FB17B15" w14:textId="77777777">
      <w:pPr>
        <w:spacing w:line="276" w:lineRule="auto"/>
        <w:rPr>
          <w:b/>
        </w:rPr>
      </w:pPr>
      <w:r>
        <w:rPr>
          <w:b/>
        </w:rPr>
        <w:br w:type="page"/>
      </w:r>
    </w:p>
    <w:p w:rsidR="00CD681B" w:rsidRPr="003B7206" w:rsidP="002E13CF" w14:paraId="7B8B9D70" w14:textId="29E2F2FE">
      <w:pPr>
        <w:pStyle w:val="Caption"/>
        <w:keepNext/>
        <w:rPr>
          <w:b/>
        </w:rPr>
      </w:pPr>
      <w:bookmarkStart w:id="96" w:name="_Ref132015820"/>
      <w:bookmarkStart w:id="97" w:name="_Toc147238759"/>
      <w:r w:rsidRPr="003B7206">
        <w:rPr>
          <w:b/>
        </w:rPr>
        <w:t xml:space="preserve">Table </w:t>
      </w:r>
      <w:r w:rsidRPr="003B7206">
        <w:rPr>
          <w:b/>
        </w:rPr>
        <w:fldChar w:fldCharType="begin"/>
      </w:r>
      <w:r w:rsidRPr="003B7206">
        <w:rPr>
          <w:b/>
        </w:rPr>
        <w:instrText xml:space="preserve"> SEQ Table \* ARABIC </w:instrText>
      </w:r>
      <w:r w:rsidRPr="003B7206">
        <w:rPr>
          <w:b/>
        </w:rPr>
        <w:fldChar w:fldCharType="separate"/>
      </w:r>
      <w:r w:rsidR="00F06F40">
        <w:rPr>
          <w:b/>
          <w:noProof/>
        </w:rPr>
        <w:t>15</w:t>
      </w:r>
      <w:r w:rsidRPr="003B7206">
        <w:rPr>
          <w:b/>
        </w:rPr>
        <w:fldChar w:fldCharType="end"/>
      </w:r>
      <w:bookmarkEnd w:id="95"/>
      <w:bookmarkEnd w:id="96"/>
      <w:r w:rsidRPr="003B7206">
        <w:rPr>
          <w:b/>
        </w:rPr>
        <w:t>. Costs of Full Compliance with the Quality Unit Requirement</w:t>
      </w:r>
      <w:bookmarkEnd w:id="97"/>
      <w:r w:rsidRPr="003B7206">
        <w:rPr>
          <w:b/>
        </w:rPr>
        <w:t xml:space="preserve"> </w:t>
      </w:r>
    </w:p>
    <w:tbl>
      <w:tblPr>
        <w:tblpPr w:leftFromText="180" w:rightFromText="180" w:vertAnchor="text"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325"/>
        <w:gridCol w:w="1710"/>
        <w:gridCol w:w="1530"/>
        <w:gridCol w:w="1440"/>
        <w:gridCol w:w="1350"/>
      </w:tblGrid>
      <w:tr w14:paraId="67F466A3" w14:textId="77777777" w:rsidTr="00714FC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1008"/>
        </w:trPr>
        <w:tc>
          <w:tcPr>
            <w:tcW w:w="3325" w:type="dxa"/>
            <w:shd w:val="clear" w:color="auto" w:fill="D9D9D9" w:themeFill="background1" w:themeFillShade="D9"/>
          </w:tcPr>
          <w:p w:rsidR="0061711E" w:rsidRPr="005D16D6" w:rsidP="006241EA" w14:paraId="18665BBC" w14:textId="77777777">
            <w:pPr>
              <w:spacing w:after="0"/>
              <w:jc w:val="center"/>
              <w:rPr>
                <w:rFonts w:eastAsia="Times New Roman"/>
                <w:b/>
                <w:bCs/>
                <w:color w:val="000000"/>
                <w:sz w:val="22"/>
                <w:szCs w:val="22"/>
              </w:rPr>
            </w:pPr>
          </w:p>
        </w:tc>
        <w:tc>
          <w:tcPr>
            <w:tcW w:w="1710" w:type="dxa"/>
            <w:shd w:val="clear" w:color="auto" w:fill="D9D9D9" w:themeFill="background1" w:themeFillShade="D9"/>
            <w:vAlign w:val="center"/>
          </w:tcPr>
          <w:p w:rsidR="0061711E" w:rsidRPr="005D16D6" w:rsidP="006241EA" w14:paraId="0D8E61BE" w14:textId="65E1898A">
            <w:pPr>
              <w:spacing w:after="0"/>
              <w:jc w:val="center"/>
              <w:rPr>
                <w:rFonts w:eastAsia="Times New Roman"/>
                <w:b/>
                <w:bCs/>
                <w:color w:val="000000"/>
                <w:sz w:val="22"/>
                <w:szCs w:val="22"/>
              </w:rPr>
            </w:pPr>
            <w:r w:rsidRPr="005D16D6">
              <w:rPr>
                <w:rFonts w:eastAsia="Times New Roman"/>
                <w:b/>
                <w:bCs/>
                <w:color w:val="000000"/>
                <w:sz w:val="22"/>
                <w:szCs w:val="22"/>
              </w:rPr>
              <w:t>Original Manufacturers</w:t>
            </w:r>
          </w:p>
        </w:tc>
        <w:tc>
          <w:tcPr>
            <w:tcW w:w="1530" w:type="dxa"/>
            <w:shd w:val="clear" w:color="auto" w:fill="D9D9D9" w:themeFill="background1" w:themeFillShade="D9"/>
            <w:vAlign w:val="center"/>
          </w:tcPr>
          <w:p w:rsidR="0061711E" w:rsidRPr="005D16D6" w:rsidP="006241EA" w14:paraId="2A4867DA" w14:textId="775D303D">
            <w:pPr>
              <w:spacing w:after="0"/>
              <w:jc w:val="center"/>
              <w:rPr>
                <w:rFonts w:eastAsia="Times New Roman"/>
                <w:b/>
                <w:bCs/>
                <w:color w:val="000000"/>
                <w:sz w:val="22"/>
                <w:szCs w:val="22"/>
              </w:rPr>
            </w:pPr>
            <w:bookmarkStart w:id="98" w:name="_Hlk33016212"/>
            <w:r w:rsidRPr="005D16D6">
              <w:rPr>
                <w:rFonts w:eastAsia="Times New Roman"/>
                <w:b/>
                <w:bCs/>
                <w:color w:val="000000"/>
                <w:sz w:val="22"/>
                <w:szCs w:val="22"/>
              </w:rPr>
              <w:t>Downstream Persons and Entities</w:t>
            </w:r>
            <w:r w:rsidRPr="005D16D6" w:rsidR="00516F9E">
              <w:rPr>
                <w:rFonts w:eastAsia="Times New Roman"/>
                <w:b/>
                <w:bCs/>
                <w:color w:val="000000"/>
                <w:sz w:val="22"/>
                <w:szCs w:val="22"/>
              </w:rPr>
              <w:t xml:space="preserve"> </w:t>
            </w:r>
            <w:r w:rsidRPr="005D16D6">
              <w:rPr>
                <w:rFonts w:eastAsia="Times New Roman"/>
                <w:b/>
                <w:bCs/>
                <w:color w:val="000000"/>
                <w:sz w:val="22"/>
                <w:szCs w:val="22"/>
              </w:rPr>
              <w:t>Not Engaged in Homecare</w:t>
            </w:r>
            <w:bookmarkEnd w:id="98"/>
          </w:p>
        </w:tc>
        <w:tc>
          <w:tcPr>
            <w:tcW w:w="1440" w:type="dxa"/>
            <w:shd w:val="clear" w:color="auto" w:fill="D9D9D9" w:themeFill="background1" w:themeFillShade="D9"/>
            <w:vAlign w:val="center"/>
          </w:tcPr>
          <w:p w:rsidR="0061711E" w:rsidRPr="005D16D6" w:rsidP="006241EA" w14:paraId="36C4E805" w14:textId="4CE75819">
            <w:pPr>
              <w:spacing w:after="0"/>
              <w:jc w:val="center"/>
              <w:rPr>
                <w:rFonts w:eastAsia="Times New Roman"/>
                <w:b/>
                <w:bCs/>
                <w:color w:val="000000"/>
                <w:sz w:val="22"/>
                <w:szCs w:val="22"/>
              </w:rPr>
            </w:pPr>
            <w:r w:rsidRPr="005D16D6">
              <w:rPr>
                <w:rFonts w:eastAsia="Times New Roman"/>
                <w:b/>
                <w:bCs/>
                <w:color w:val="000000"/>
                <w:sz w:val="22"/>
                <w:szCs w:val="22"/>
              </w:rPr>
              <w:t>Downstream Persons and Entities Engaged in Homecare</w:t>
            </w:r>
          </w:p>
        </w:tc>
        <w:tc>
          <w:tcPr>
            <w:tcW w:w="1350" w:type="dxa"/>
            <w:shd w:val="clear" w:color="auto" w:fill="D9D9D9" w:themeFill="background1" w:themeFillShade="D9"/>
            <w:vAlign w:val="center"/>
          </w:tcPr>
          <w:p w:rsidR="0061711E" w:rsidRPr="005D16D6" w:rsidP="006241EA" w14:paraId="3B05C8C8" w14:textId="2A5E25AC">
            <w:pPr>
              <w:spacing w:after="0"/>
              <w:jc w:val="center"/>
              <w:rPr>
                <w:rFonts w:eastAsia="Times New Roman"/>
                <w:b/>
                <w:bCs/>
                <w:color w:val="000000"/>
                <w:sz w:val="22"/>
                <w:szCs w:val="22"/>
              </w:rPr>
            </w:pPr>
            <w:r w:rsidRPr="005D16D6">
              <w:rPr>
                <w:rFonts w:eastAsia="Times New Roman"/>
                <w:b/>
                <w:bCs/>
                <w:color w:val="000000"/>
                <w:sz w:val="22"/>
                <w:szCs w:val="22"/>
              </w:rPr>
              <w:t>Total</w:t>
            </w:r>
          </w:p>
        </w:tc>
      </w:tr>
      <w:tr w14:paraId="6813242C"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center"/>
            <w:hideMark/>
          </w:tcPr>
          <w:p w:rsidR="0061711E" w:rsidRPr="005D16D6" w:rsidP="006241EA" w14:paraId="796FE085" w14:textId="37BD2C96">
            <w:pPr>
              <w:spacing w:after="0"/>
              <w:rPr>
                <w:rFonts w:eastAsia="Times New Roman"/>
                <w:color w:val="000000"/>
                <w:sz w:val="22"/>
                <w:szCs w:val="22"/>
              </w:rPr>
            </w:pPr>
            <w:r w:rsidRPr="005D16D6">
              <w:rPr>
                <w:rFonts w:eastAsia="Times New Roman"/>
                <w:color w:val="000000"/>
                <w:sz w:val="22"/>
                <w:szCs w:val="22"/>
              </w:rPr>
              <w:t xml:space="preserve">Affected </w:t>
            </w:r>
            <w:r w:rsidRPr="005D16D6" w:rsidR="006B6163">
              <w:rPr>
                <w:rFonts w:eastAsia="Times New Roman"/>
                <w:color w:val="000000"/>
                <w:sz w:val="22"/>
                <w:szCs w:val="22"/>
              </w:rPr>
              <w:t>e</w:t>
            </w:r>
            <w:r w:rsidRPr="005D16D6">
              <w:rPr>
                <w:rFonts w:eastAsia="Times New Roman"/>
                <w:color w:val="000000"/>
                <w:sz w:val="22"/>
                <w:szCs w:val="22"/>
              </w:rPr>
              <w:t>ntities</w:t>
            </w:r>
          </w:p>
        </w:tc>
        <w:tc>
          <w:tcPr>
            <w:tcW w:w="1710" w:type="dxa"/>
            <w:shd w:val="clear" w:color="auto" w:fill="auto"/>
            <w:vAlign w:val="center"/>
            <w:hideMark/>
          </w:tcPr>
          <w:p w:rsidR="0061711E" w:rsidRPr="005D16D6" w:rsidP="006241EA" w14:paraId="71342CEA" w14:textId="65FB4885">
            <w:pPr>
              <w:spacing w:after="0"/>
              <w:jc w:val="center"/>
              <w:rPr>
                <w:rFonts w:eastAsia="Times New Roman"/>
                <w:color w:val="000000"/>
                <w:sz w:val="22"/>
                <w:szCs w:val="22"/>
              </w:rPr>
            </w:pPr>
            <w:r w:rsidRPr="005D16D6">
              <w:rPr>
                <w:rFonts w:eastAsia="Times New Roman"/>
                <w:color w:val="000000"/>
                <w:sz w:val="22"/>
                <w:szCs w:val="22"/>
              </w:rPr>
              <w:t>316</w:t>
            </w:r>
          </w:p>
        </w:tc>
        <w:tc>
          <w:tcPr>
            <w:tcW w:w="1530" w:type="dxa"/>
            <w:shd w:val="clear" w:color="auto" w:fill="auto"/>
            <w:vAlign w:val="center"/>
            <w:hideMark/>
          </w:tcPr>
          <w:p w:rsidR="0061711E" w:rsidRPr="005D16D6" w:rsidP="006241EA" w14:paraId="160420F0" w14:textId="1AC4121C">
            <w:pPr>
              <w:spacing w:after="0"/>
              <w:jc w:val="center"/>
              <w:rPr>
                <w:rFonts w:eastAsia="Times New Roman"/>
                <w:color w:val="000000"/>
                <w:sz w:val="22"/>
                <w:szCs w:val="22"/>
              </w:rPr>
            </w:pPr>
            <w:r w:rsidRPr="005D16D6">
              <w:rPr>
                <w:rFonts w:eastAsia="Times New Roman"/>
                <w:color w:val="000000"/>
                <w:sz w:val="22"/>
                <w:szCs w:val="22"/>
              </w:rPr>
              <w:t>1</w:t>
            </w:r>
            <w:r w:rsidRPr="005D16D6" w:rsidR="003A0921">
              <w:rPr>
                <w:rFonts w:eastAsia="Times New Roman"/>
                <w:color w:val="000000"/>
                <w:sz w:val="22"/>
                <w:szCs w:val="22"/>
              </w:rPr>
              <w:t>,</w:t>
            </w:r>
            <w:r w:rsidRPr="005D16D6">
              <w:rPr>
                <w:rFonts w:eastAsia="Times New Roman"/>
                <w:color w:val="000000"/>
                <w:sz w:val="22"/>
                <w:szCs w:val="22"/>
              </w:rPr>
              <w:t>078</w:t>
            </w:r>
          </w:p>
        </w:tc>
        <w:tc>
          <w:tcPr>
            <w:tcW w:w="1440" w:type="dxa"/>
            <w:shd w:val="clear" w:color="auto" w:fill="auto"/>
            <w:vAlign w:val="center"/>
            <w:hideMark/>
          </w:tcPr>
          <w:p w:rsidR="0061711E" w:rsidRPr="005D16D6" w:rsidP="006241EA" w14:paraId="5ED362BC" w14:textId="689ACF83">
            <w:pPr>
              <w:spacing w:after="0"/>
              <w:jc w:val="center"/>
              <w:rPr>
                <w:rFonts w:eastAsia="Times New Roman"/>
                <w:color w:val="000000"/>
                <w:sz w:val="22"/>
                <w:szCs w:val="22"/>
              </w:rPr>
            </w:pPr>
            <w:r w:rsidRPr="005D16D6">
              <w:rPr>
                <w:rFonts w:eastAsia="Times New Roman"/>
                <w:color w:val="000000"/>
                <w:sz w:val="22"/>
                <w:szCs w:val="22"/>
              </w:rPr>
              <w:t>302</w:t>
            </w:r>
          </w:p>
        </w:tc>
        <w:tc>
          <w:tcPr>
            <w:tcW w:w="1350" w:type="dxa"/>
            <w:shd w:val="clear" w:color="auto" w:fill="auto"/>
            <w:vAlign w:val="center"/>
            <w:hideMark/>
          </w:tcPr>
          <w:p w:rsidR="0061711E" w:rsidRPr="005D16D6" w:rsidP="006241EA" w14:paraId="32BF1847" w14:textId="6CE6BC2E">
            <w:pPr>
              <w:spacing w:after="0"/>
              <w:jc w:val="center"/>
              <w:rPr>
                <w:rFonts w:eastAsia="Times New Roman"/>
                <w:color w:val="000000"/>
                <w:sz w:val="22"/>
                <w:szCs w:val="22"/>
              </w:rPr>
            </w:pPr>
            <w:r w:rsidRPr="005D16D6">
              <w:rPr>
                <w:rFonts w:eastAsia="Times New Roman"/>
                <w:color w:val="000000"/>
                <w:sz w:val="22"/>
                <w:szCs w:val="22"/>
              </w:rPr>
              <w:t>1</w:t>
            </w:r>
            <w:r w:rsidRPr="005D16D6" w:rsidR="003A0921">
              <w:rPr>
                <w:rFonts w:eastAsia="Times New Roman"/>
                <w:color w:val="000000"/>
                <w:sz w:val="22"/>
                <w:szCs w:val="22"/>
              </w:rPr>
              <w:t>,</w:t>
            </w:r>
            <w:r w:rsidRPr="005D16D6">
              <w:rPr>
                <w:rFonts w:eastAsia="Times New Roman"/>
                <w:color w:val="000000"/>
                <w:sz w:val="22"/>
                <w:szCs w:val="22"/>
              </w:rPr>
              <w:t>696</w:t>
            </w:r>
          </w:p>
        </w:tc>
      </w:tr>
      <w:tr w14:paraId="00204C1D"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61711E" w:rsidRPr="005D16D6" w:rsidP="006241EA" w14:paraId="415F97A8" w14:textId="710543C8">
            <w:pPr>
              <w:spacing w:after="0"/>
              <w:rPr>
                <w:rFonts w:eastAsia="Times New Roman"/>
                <w:color w:val="000000"/>
                <w:sz w:val="22"/>
                <w:szCs w:val="22"/>
              </w:rPr>
            </w:pPr>
            <w:r w:rsidRPr="005D16D6">
              <w:rPr>
                <w:rFonts w:eastAsia="Times New Roman"/>
                <w:color w:val="000000"/>
                <w:sz w:val="22"/>
                <w:szCs w:val="22"/>
              </w:rPr>
              <w:t>Noncompliance</w:t>
            </w:r>
            <w:r w:rsidRPr="005D16D6">
              <w:rPr>
                <w:rFonts w:eastAsia="Times New Roman"/>
                <w:color w:val="000000"/>
                <w:sz w:val="22"/>
                <w:szCs w:val="22"/>
              </w:rPr>
              <w:t xml:space="preserve"> </w:t>
            </w:r>
            <w:r w:rsidRPr="005D16D6" w:rsidR="009702D2">
              <w:rPr>
                <w:rFonts w:eastAsia="Times New Roman"/>
                <w:color w:val="000000"/>
                <w:sz w:val="22"/>
                <w:szCs w:val="22"/>
              </w:rPr>
              <w:t>q</w:t>
            </w:r>
            <w:r w:rsidRPr="005D16D6">
              <w:rPr>
                <w:rFonts w:eastAsia="Times New Roman"/>
                <w:color w:val="000000"/>
                <w:sz w:val="22"/>
                <w:szCs w:val="22"/>
              </w:rPr>
              <w:t xml:space="preserve">uality </w:t>
            </w:r>
            <w:r w:rsidRPr="005D16D6" w:rsidR="009702D2">
              <w:rPr>
                <w:rFonts w:eastAsia="Times New Roman"/>
                <w:color w:val="000000"/>
                <w:sz w:val="22"/>
                <w:szCs w:val="22"/>
              </w:rPr>
              <w:t>u</w:t>
            </w:r>
            <w:r w:rsidRPr="005D16D6">
              <w:rPr>
                <w:rFonts w:eastAsia="Times New Roman"/>
                <w:color w:val="000000"/>
                <w:sz w:val="22"/>
                <w:szCs w:val="22"/>
              </w:rPr>
              <w:t>nit (</w:t>
            </w:r>
            <w:r w:rsidRPr="005D16D6">
              <w:rPr>
                <w:rFonts w:eastAsia="Times New Roman"/>
                <w:color w:val="000000"/>
                <w:sz w:val="22"/>
                <w:szCs w:val="22"/>
              </w:rPr>
              <w:t>low</w:t>
            </w:r>
            <w:r w:rsidRPr="005D16D6">
              <w:rPr>
                <w:rFonts w:eastAsia="Times New Roman"/>
                <w:color w:val="000000"/>
                <w:sz w:val="22"/>
                <w:szCs w:val="22"/>
              </w:rPr>
              <w:t>)</w:t>
            </w:r>
          </w:p>
        </w:tc>
        <w:tc>
          <w:tcPr>
            <w:tcW w:w="1710" w:type="dxa"/>
            <w:shd w:val="clear" w:color="auto" w:fill="auto"/>
            <w:vAlign w:val="bottom"/>
            <w:hideMark/>
          </w:tcPr>
          <w:p w:rsidR="0061711E" w:rsidRPr="005D16D6" w:rsidP="006241EA" w14:paraId="7F7340FA" w14:textId="7D271B32">
            <w:pPr>
              <w:spacing w:after="0"/>
              <w:jc w:val="center"/>
              <w:rPr>
                <w:rFonts w:eastAsia="Times New Roman"/>
                <w:color w:val="000000"/>
                <w:sz w:val="22"/>
                <w:szCs w:val="22"/>
              </w:rPr>
            </w:pPr>
            <w:r w:rsidRPr="005D16D6">
              <w:rPr>
                <w:rFonts w:eastAsia="Times New Roman"/>
                <w:color w:val="000000"/>
                <w:sz w:val="22"/>
                <w:szCs w:val="22"/>
              </w:rPr>
              <w:t>0%</w:t>
            </w:r>
          </w:p>
        </w:tc>
        <w:tc>
          <w:tcPr>
            <w:tcW w:w="1530" w:type="dxa"/>
            <w:shd w:val="clear" w:color="auto" w:fill="auto"/>
            <w:vAlign w:val="bottom"/>
            <w:hideMark/>
          </w:tcPr>
          <w:p w:rsidR="0061711E" w:rsidRPr="005D16D6" w:rsidP="006241EA" w14:paraId="42CF0E7C" w14:textId="1D17A1EB">
            <w:pPr>
              <w:spacing w:after="0"/>
              <w:jc w:val="center"/>
              <w:rPr>
                <w:rFonts w:eastAsia="Times New Roman"/>
                <w:color w:val="000000"/>
                <w:sz w:val="22"/>
                <w:szCs w:val="22"/>
              </w:rPr>
            </w:pPr>
            <w:r w:rsidRPr="005D16D6">
              <w:rPr>
                <w:rFonts w:eastAsia="Times New Roman"/>
                <w:color w:val="000000"/>
                <w:sz w:val="22"/>
                <w:szCs w:val="22"/>
              </w:rPr>
              <w:t>0%</w:t>
            </w:r>
          </w:p>
        </w:tc>
        <w:tc>
          <w:tcPr>
            <w:tcW w:w="1440" w:type="dxa"/>
            <w:shd w:val="clear" w:color="auto" w:fill="auto"/>
            <w:vAlign w:val="bottom"/>
            <w:hideMark/>
          </w:tcPr>
          <w:p w:rsidR="0061711E" w:rsidRPr="005D16D6" w:rsidP="006241EA" w14:paraId="4781E538" w14:textId="05730B31">
            <w:pPr>
              <w:spacing w:after="0"/>
              <w:jc w:val="center"/>
              <w:rPr>
                <w:rFonts w:eastAsia="Times New Roman"/>
                <w:color w:val="000000"/>
                <w:sz w:val="22"/>
                <w:szCs w:val="22"/>
              </w:rPr>
            </w:pPr>
            <w:r w:rsidRPr="005D16D6">
              <w:rPr>
                <w:rFonts w:eastAsia="Times New Roman"/>
                <w:color w:val="000000"/>
                <w:sz w:val="22"/>
                <w:szCs w:val="22"/>
              </w:rPr>
              <w:t>0%</w:t>
            </w:r>
          </w:p>
        </w:tc>
        <w:tc>
          <w:tcPr>
            <w:tcW w:w="1350" w:type="dxa"/>
            <w:shd w:val="clear" w:color="auto" w:fill="auto"/>
            <w:vAlign w:val="bottom"/>
            <w:hideMark/>
          </w:tcPr>
          <w:p w:rsidR="0061711E" w:rsidRPr="005D16D6" w:rsidP="006241EA" w14:paraId="74B5DE5B" w14:textId="55B66000">
            <w:pPr>
              <w:spacing w:after="0"/>
              <w:jc w:val="center"/>
              <w:rPr>
                <w:rFonts w:eastAsia="Times New Roman"/>
                <w:color w:val="000000"/>
                <w:sz w:val="22"/>
                <w:szCs w:val="22"/>
              </w:rPr>
            </w:pPr>
            <w:r w:rsidRPr="005D16D6">
              <w:rPr>
                <w:rFonts w:eastAsia="Times New Roman"/>
                <w:color w:val="000000"/>
                <w:sz w:val="22"/>
                <w:szCs w:val="22"/>
              </w:rPr>
              <w:t>0%</w:t>
            </w:r>
          </w:p>
        </w:tc>
      </w:tr>
      <w:tr w14:paraId="4EFBEF93"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61711E" w:rsidRPr="005D16D6" w:rsidP="006241EA" w14:paraId="7214A7B5" w14:textId="729DB16E">
            <w:pPr>
              <w:spacing w:after="0"/>
              <w:rPr>
                <w:rFonts w:eastAsia="Times New Roman"/>
                <w:color w:val="000000"/>
                <w:sz w:val="22"/>
                <w:szCs w:val="22"/>
              </w:rPr>
            </w:pPr>
            <w:r w:rsidRPr="005D16D6">
              <w:rPr>
                <w:rFonts w:eastAsia="Times New Roman"/>
                <w:color w:val="000000"/>
                <w:sz w:val="22"/>
                <w:szCs w:val="22"/>
              </w:rPr>
              <w:t xml:space="preserve">Noncompliance </w:t>
            </w:r>
            <w:r w:rsidRPr="005D16D6" w:rsidR="009702D2">
              <w:rPr>
                <w:rFonts w:eastAsia="Times New Roman"/>
                <w:color w:val="000000"/>
                <w:sz w:val="22"/>
                <w:szCs w:val="22"/>
              </w:rPr>
              <w:t>q</w:t>
            </w:r>
            <w:r w:rsidRPr="005D16D6">
              <w:rPr>
                <w:rFonts w:eastAsia="Times New Roman"/>
                <w:color w:val="000000"/>
                <w:sz w:val="22"/>
                <w:szCs w:val="22"/>
              </w:rPr>
              <w:t xml:space="preserve">uality </w:t>
            </w:r>
            <w:r w:rsidRPr="005D16D6" w:rsidR="009702D2">
              <w:rPr>
                <w:rFonts w:eastAsia="Times New Roman"/>
                <w:color w:val="000000"/>
                <w:sz w:val="22"/>
                <w:szCs w:val="22"/>
              </w:rPr>
              <w:t>u</w:t>
            </w:r>
            <w:r w:rsidRPr="005D16D6">
              <w:rPr>
                <w:rFonts w:eastAsia="Times New Roman"/>
                <w:color w:val="000000"/>
                <w:sz w:val="22"/>
                <w:szCs w:val="22"/>
              </w:rPr>
              <w:t>nit (</w:t>
            </w:r>
            <w:r w:rsidRPr="005D16D6">
              <w:rPr>
                <w:rFonts w:eastAsia="Times New Roman"/>
                <w:color w:val="000000"/>
                <w:sz w:val="22"/>
                <w:szCs w:val="22"/>
              </w:rPr>
              <w:t>high</w:t>
            </w:r>
            <w:r w:rsidRPr="005D16D6">
              <w:rPr>
                <w:rFonts w:eastAsia="Times New Roman"/>
                <w:color w:val="000000"/>
                <w:sz w:val="22"/>
                <w:szCs w:val="22"/>
              </w:rPr>
              <w:t>)</w:t>
            </w:r>
          </w:p>
        </w:tc>
        <w:tc>
          <w:tcPr>
            <w:tcW w:w="1710" w:type="dxa"/>
            <w:shd w:val="clear" w:color="auto" w:fill="auto"/>
            <w:vAlign w:val="bottom"/>
            <w:hideMark/>
          </w:tcPr>
          <w:p w:rsidR="0061711E" w:rsidRPr="005D16D6" w:rsidP="006241EA" w14:paraId="47468204" w14:textId="1765C3ED">
            <w:pPr>
              <w:spacing w:after="0"/>
              <w:jc w:val="center"/>
              <w:rPr>
                <w:rFonts w:eastAsia="Times New Roman"/>
                <w:color w:val="000000"/>
                <w:sz w:val="22"/>
                <w:szCs w:val="22"/>
              </w:rPr>
            </w:pPr>
            <w:r w:rsidRPr="005D16D6">
              <w:rPr>
                <w:rFonts w:eastAsia="Times New Roman"/>
                <w:color w:val="000000"/>
                <w:sz w:val="22"/>
                <w:szCs w:val="22"/>
              </w:rPr>
              <w:t>~0%</w:t>
            </w:r>
          </w:p>
        </w:tc>
        <w:tc>
          <w:tcPr>
            <w:tcW w:w="1530" w:type="dxa"/>
            <w:shd w:val="clear" w:color="auto" w:fill="auto"/>
            <w:vAlign w:val="bottom"/>
            <w:hideMark/>
          </w:tcPr>
          <w:p w:rsidR="0061711E" w:rsidRPr="005D16D6" w:rsidP="006241EA" w14:paraId="523766EB" w14:textId="3C27594E">
            <w:pPr>
              <w:spacing w:after="0"/>
              <w:jc w:val="center"/>
              <w:rPr>
                <w:rFonts w:eastAsia="Times New Roman"/>
                <w:color w:val="000000"/>
                <w:sz w:val="22"/>
                <w:szCs w:val="22"/>
              </w:rPr>
            </w:pPr>
            <w:r w:rsidRPr="005D16D6">
              <w:rPr>
                <w:rFonts w:eastAsia="Times New Roman"/>
                <w:color w:val="000000"/>
                <w:sz w:val="22"/>
                <w:szCs w:val="22"/>
              </w:rPr>
              <w:t>7%</w:t>
            </w:r>
          </w:p>
        </w:tc>
        <w:tc>
          <w:tcPr>
            <w:tcW w:w="1440" w:type="dxa"/>
            <w:shd w:val="clear" w:color="auto" w:fill="auto"/>
            <w:vAlign w:val="bottom"/>
            <w:hideMark/>
          </w:tcPr>
          <w:p w:rsidR="0061711E" w:rsidRPr="005D16D6" w:rsidP="006241EA" w14:paraId="3C88AFC6" w14:textId="46DCC9F7">
            <w:pPr>
              <w:spacing w:after="0"/>
              <w:jc w:val="center"/>
              <w:rPr>
                <w:rFonts w:eastAsia="Times New Roman"/>
                <w:color w:val="000000"/>
                <w:sz w:val="22"/>
                <w:szCs w:val="22"/>
              </w:rPr>
            </w:pPr>
            <w:r w:rsidRPr="005D16D6">
              <w:rPr>
                <w:rFonts w:eastAsia="Times New Roman"/>
                <w:color w:val="000000"/>
                <w:sz w:val="22"/>
                <w:szCs w:val="22"/>
              </w:rPr>
              <w:t>9%</w:t>
            </w:r>
          </w:p>
        </w:tc>
        <w:tc>
          <w:tcPr>
            <w:tcW w:w="1350" w:type="dxa"/>
            <w:shd w:val="clear" w:color="auto" w:fill="auto"/>
            <w:vAlign w:val="bottom"/>
            <w:hideMark/>
          </w:tcPr>
          <w:p w:rsidR="0061711E" w:rsidRPr="005D16D6" w:rsidP="006241EA" w14:paraId="39B424FE" w14:textId="007EADAD">
            <w:pPr>
              <w:spacing w:after="0"/>
              <w:jc w:val="center"/>
              <w:rPr>
                <w:rFonts w:eastAsia="Times New Roman"/>
                <w:color w:val="000000"/>
                <w:sz w:val="22"/>
                <w:szCs w:val="22"/>
              </w:rPr>
            </w:pPr>
            <w:r w:rsidRPr="005D16D6">
              <w:rPr>
                <w:rFonts w:eastAsia="Times New Roman"/>
                <w:color w:val="000000"/>
                <w:sz w:val="22"/>
                <w:szCs w:val="22"/>
              </w:rPr>
              <w:t>6%</w:t>
            </w:r>
          </w:p>
        </w:tc>
      </w:tr>
      <w:tr w14:paraId="02D675F9" w14:textId="77777777" w:rsidTr="00714FC0">
        <w:tblPrEx>
          <w:tblW w:w="9355" w:type="dxa"/>
          <w:tblLayout w:type="fixed"/>
          <w:tblCellMar>
            <w:left w:w="115" w:type="dxa"/>
            <w:right w:w="115" w:type="dxa"/>
          </w:tblCellMar>
          <w:tblLook w:val="04A0"/>
        </w:tblPrEx>
        <w:trPr>
          <w:trHeight w:val="216"/>
        </w:trPr>
        <w:tc>
          <w:tcPr>
            <w:tcW w:w="3325" w:type="dxa"/>
            <w:shd w:val="clear" w:color="000000" w:fill="E7E6E6"/>
            <w:noWrap/>
            <w:vAlign w:val="center"/>
            <w:hideMark/>
          </w:tcPr>
          <w:p w:rsidR="0061711E" w:rsidRPr="005D16D6" w:rsidP="006241EA" w14:paraId="3222C94C" w14:textId="620DEB71">
            <w:pPr>
              <w:spacing w:after="0"/>
              <w:rPr>
                <w:rFonts w:eastAsia="Times New Roman"/>
                <w:color w:val="000000"/>
                <w:sz w:val="22"/>
                <w:szCs w:val="22"/>
              </w:rPr>
            </w:pPr>
            <w:r w:rsidRPr="005D16D6">
              <w:rPr>
                <w:rFonts w:eastAsia="Times New Roman"/>
                <w:b/>
                <w:bCs/>
                <w:color w:val="000000"/>
                <w:sz w:val="22"/>
                <w:szCs w:val="22"/>
              </w:rPr>
              <w:t>One-</w:t>
            </w:r>
            <w:r w:rsidRPr="005D16D6" w:rsidR="00A75BA2">
              <w:rPr>
                <w:rFonts w:eastAsia="Times New Roman"/>
                <w:b/>
                <w:bCs/>
                <w:color w:val="000000"/>
                <w:sz w:val="22"/>
                <w:szCs w:val="22"/>
              </w:rPr>
              <w:t>t</w:t>
            </w:r>
            <w:r w:rsidRPr="005D16D6">
              <w:rPr>
                <w:rFonts w:eastAsia="Times New Roman"/>
                <w:b/>
                <w:bCs/>
                <w:color w:val="000000"/>
                <w:sz w:val="22"/>
                <w:szCs w:val="22"/>
              </w:rPr>
              <w:t xml:space="preserve">ime </w:t>
            </w:r>
            <w:r w:rsidRPr="005D16D6" w:rsidR="00A75BA2">
              <w:rPr>
                <w:rFonts w:eastAsia="Times New Roman"/>
                <w:b/>
                <w:bCs/>
                <w:color w:val="000000"/>
                <w:sz w:val="22"/>
                <w:szCs w:val="22"/>
              </w:rPr>
              <w:t>c</w:t>
            </w:r>
            <w:r w:rsidRPr="005D16D6">
              <w:rPr>
                <w:rFonts w:eastAsia="Times New Roman"/>
                <w:b/>
                <w:bCs/>
                <w:color w:val="000000"/>
                <w:sz w:val="22"/>
                <w:szCs w:val="22"/>
              </w:rPr>
              <w:t>ost</w:t>
            </w:r>
            <w:r w:rsidRPr="005D16D6" w:rsidR="00011343">
              <w:rPr>
                <w:rFonts w:eastAsia="Times New Roman"/>
                <w:b/>
                <w:bCs/>
                <w:color w:val="000000"/>
                <w:sz w:val="22"/>
                <w:szCs w:val="22"/>
              </w:rPr>
              <w:t xml:space="preserve"> (millions)</w:t>
            </w:r>
          </w:p>
        </w:tc>
        <w:tc>
          <w:tcPr>
            <w:tcW w:w="1710" w:type="dxa"/>
            <w:shd w:val="clear" w:color="000000" w:fill="E7E6E6"/>
            <w:noWrap/>
            <w:vAlign w:val="bottom"/>
            <w:hideMark/>
          </w:tcPr>
          <w:p w:rsidR="0061711E" w:rsidRPr="005D16D6" w:rsidP="006241EA" w14:paraId="038939F1" w14:textId="018A3E80">
            <w:pPr>
              <w:spacing w:after="0"/>
              <w:jc w:val="center"/>
              <w:rPr>
                <w:rFonts w:eastAsia="Times New Roman"/>
                <w:color w:val="000000"/>
                <w:sz w:val="22"/>
                <w:szCs w:val="22"/>
              </w:rPr>
            </w:pPr>
          </w:p>
        </w:tc>
        <w:tc>
          <w:tcPr>
            <w:tcW w:w="1530" w:type="dxa"/>
            <w:shd w:val="clear" w:color="000000" w:fill="E7E6E6"/>
            <w:noWrap/>
            <w:vAlign w:val="bottom"/>
            <w:hideMark/>
          </w:tcPr>
          <w:p w:rsidR="0061711E" w:rsidRPr="005D16D6" w:rsidP="006241EA" w14:paraId="703E8E1B" w14:textId="2F8C5BFD">
            <w:pPr>
              <w:spacing w:after="0"/>
              <w:jc w:val="center"/>
              <w:rPr>
                <w:rFonts w:eastAsia="Times New Roman"/>
                <w:color w:val="000000"/>
                <w:sz w:val="22"/>
                <w:szCs w:val="22"/>
              </w:rPr>
            </w:pPr>
          </w:p>
        </w:tc>
        <w:tc>
          <w:tcPr>
            <w:tcW w:w="1440" w:type="dxa"/>
            <w:shd w:val="clear" w:color="000000" w:fill="E7E6E6"/>
            <w:noWrap/>
            <w:vAlign w:val="bottom"/>
            <w:hideMark/>
          </w:tcPr>
          <w:p w:rsidR="0061711E" w:rsidRPr="005D16D6" w:rsidP="006241EA" w14:paraId="51AEF8B8" w14:textId="36B1C830">
            <w:pPr>
              <w:spacing w:after="0"/>
              <w:jc w:val="center"/>
              <w:rPr>
                <w:rFonts w:eastAsia="Times New Roman"/>
                <w:color w:val="000000"/>
                <w:sz w:val="22"/>
                <w:szCs w:val="22"/>
              </w:rPr>
            </w:pPr>
          </w:p>
        </w:tc>
        <w:tc>
          <w:tcPr>
            <w:tcW w:w="1350" w:type="dxa"/>
            <w:shd w:val="clear" w:color="000000" w:fill="E7E6E6"/>
            <w:noWrap/>
            <w:vAlign w:val="bottom"/>
            <w:hideMark/>
          </w:tcPr>
          <w:p w:rsidR="0061711E" w:rsidRPr="005D16D6" w:rsidP="006241EA" w14:paraId="7765435E" w14:textId="5D599F28">
            <w:pPr>
              <w:spacing w:after="0"/>
              <w:jc w:val="center"/>
              <w:rPr>
                <w:rFonts w:eastAsia="Times New Roman"/>
                <w:color w:val="000000"/>
                <w:sz w:val="22"/>
                <w:szCs w:val="22"/>
              </w:rPr>
            </w:pPr>
          </w:p>
        </w:tc>
      </w:tr>
      <w:tr w14:paraId="688ED4F3"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61711E" w:rsidRPr="005D16D6" w:rsidP="006241EA" w14:paraId="787878A4" w14:textId="426D1455">
            <w:pPr>
              <w:spacing w:after="0"/>
              <w:rPr>
                <w:rFonts w:eastAsia="Times New Roman"/>
                <w:color w:val="000000"/>
                <w:sz w:val="22"/>
                <w:szCs w:val="22"/>
              </w:rPr>
            </w:pPr>
            <w:r w:rsidRPr="005D16D6">
              <w:rPr>
                <w:rFonts w:eastAsia="Times New Roman"/>
                <w:color w:val="000000"/>
                <w:sz w:val="22"/>
                <w:szCs w:val="22"/>
              </w:rPr>
              <w:t>Consulting fee</w:t>
            </w:r>
          </w:p>
        </w:tc>
        <w:tc>
          <w:tcPr>
            <w:tcW w:w="1710" w:type="dxa"/>
            <w:shd w:val="clear" w:color="auto" w:fill="auto"/>
            <w:noWrap/>
            <w:vAlign w:val="bottom"/>
            <w:hideMark/>
          </w:tcPr>
          <w:p w:rsidR="0061711E" w:rsidRPr="005D16D6" w:rsidP="006241EA" w14:paraId="03F18330" w14:textId="54CA21A1">
            <w:pPr>
              <w:spacing w:after="0"/>
              <w:jc w:val="center"/>
              <w:rPr>
                <w:rFonts w:eastAsia="Times New Roman"/>
                <w:color w:val="000000"/>
                <w:sz w:val="22"/>
                <w:szCs w:val="22"/>
              </w:rPr>
            </w:pPr>
            <w:r w:rsidRPr="005D16D6">
              <w:rPr>
                <w:rFonts w:eastAsia="Times New Roman"/>
                <w:color w:val="000000"/>
                <w:sz w:val="22"/>
                <w:szCs w:val="22"/>
              </w:rPr>
              <w:t>$4,000.00</w:t>
            </w:r>
          </w:p>
        </w:tc>
        <w:tc>
          <w:tcPr>
            <w:tcW w:w="1530" w:type="dxa"/>
            <w:shd w:val="clear" w:color="auto" w:fill="auto"/>
            <w:noWrap/>
            <w:vAlign w:val="bottom"/>
            <w:hideMark/>
          </w:tcPr>
          <w:p w:rsidR="0061711E" w:rsidRPr="005D16D6" w:rsidP="006241EA" w14:paraId="7FFD37E7" w14:textId="625030B1">
            <w:pPr>
              <w:spacing w:after="0"/>
              <w:jc w:val="center"/>
              <w:rPr>
                <w:rFonts w:eastAsia="Times New Roman"/>
                <w:color w:val="000000"/>
                <w:sz w:val="22"/>
                <w:szCs w:val="22"/>
              </w:rPr>
            </w:pPr>
            <w:r w:rsidRPr="005D16D6">
              <w:rPr>
                <w:rFonts w:eastAsia="Times New Roman"/>
                <w:color w:val="000000"/>
                <w:sz w:val="22"/>
                <w:szCs w:val="22"/>
              </w:rPr>
              <w:t>$4,000.00</w:t>
            </w:r>
          </w:p>
        </w:tc>
        <w:tc>
          <w:tcPr>
            <w:tcW w:w="1440" w:type="dxa"/>
            <w:shd w:val="clear" w:color="auto" w:fill="auto"/>
            <w:noWrap/>
            <w:vAlign w:val="bottom"/>
            <w:hideMark/>
          </w:tcPr>
          <w:p w:rsidR="0061711E" w:rsidRPr="005D16D6" w:rsidP="006241EA" w14:paraId="067733BA" w14:textId="08A07D3D">
            <w:pPr>
              <w:spacing w:after="0"/>
              <w:jc w:val="center"/>
              <w:rPr>
                <w:rFonts w:eastAsia="Times New Roman"/>
                <w:color w:val="000000"/>
                <w:sz w:val="22"/>
                <w:szCs w:val="22"/>
              </w:rPr>
            </w:pPr>
            <w:r w:rsidRPr="005D16D6">
              <w:rPr>
                <w:rFonts w:eastAsia="Times New Roman"/>
                <w:color w:val="000000"/>
                <w:sz w:val="22"/>
                <w:szCs w:val="22"/>
              </w:rPr>
              <w:t>$4,000.00</w:t>
            </w:r>
          </w:p>
        </w:tc>
        <w:tc>
          <w:tcPr>
            <w:tcW w:w="1350" w:type="dxa"/>
            <w:shd w:val="clear" w:color="auto" w:fill="auto"/>
            <w:noWrap/>
            <w:vAlign w:val="bottom"/>
            <w:hideMark/>
          </w:tcPr>
          <w:p w:rsidR="0061711E" w:rsidRPr="005D16D6" w:rsidP="006241EA" w14:paraId="73BB03D4" w14:textId="3831FD64">
            <w:pPr>
              <w:spacing w:after="0"/>
              <w:jc w:val="center"/>
              <w:rPr>
                <w:rFonts w:eastAsia="Times New Roman"/>
                <w:color w:val="000000"/>
                <w:sz w:val="22"/>
                <w:szCs w:val="22"/>
              </w:rPr>
            </w:pPr>
            <w:r w:rsidRPr="005D16D6">
              <w:rPr>
                <w:rFonts w:eastAsia="Times New Roman"/>
                <w:color w:val="000000"/>
                <w:sz w:val="22"/>
                <w:szCs w:val="22"/>
              </w:rPr>
              <w:t>$4,000.00</w:t>
            </w:r>
          </w:p>
        </w:tc>
      </w:tr>
      <w:tr w14:paraId="4D4583A1"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4A8C4EB6" w14:textId="2E40B2FE">
            <w:pPr>
              <w:spacing w:after="0"/>
              <w:rPr>
                <w:rFonts w:eastAsia="Times New Roman"/>
                <w:b/>
                <w:bCs/>
                <w:color w:val="000000"/>
                <w:sz w:val="22"/>
                <w:szCs w:val="22"/>
              </w:rPr>
            </w:pPr>
            <w:r w:rsidRPr="005D16D6">
              <w:rPr>
                <w:rFonts w:eastAsia="Times New Roman"/>
                <w:color w:val="000000"/>
                <w:sz w:val="22"/>
                <w:szCs w:val="22"/>
              </w:rPr>
              <w:t>Total one-time cost (low)</w:t>
            </w:r>
          </w:p>
        </w:tc>
        <w:tc>
          <w:tcPr>
            <w:tcW w:w="1710" w:type="dxa"/>
            <w:shd w:val="clear" w:color="auto" w:fill="auto"/>
            <w:noWrap/>
            <w:vAlign w:val="bottom"/>
            <w:hideMark/>
          </w:tcPr>
          <w:p w:rsidR="00102924" w:rsidRPr="005D16D6" w:rsidP="006241EA" w14:paraId="5E37A607" w14:textId="031F7F70">
            <w:pPr>
              <w:spacing w:after="0"/>
              <w:jc w:val="center"/>
              <w:rPr>
                <w:rFonts w:eastAsia="Times New Roman"/>
                <w:b/>
                <w:bCs/>
                <w:color w:val="000000"/>
                <w:sz w:val="22"/>
                <w:szCs w:val="22"/>
              </w:rPr>
            </w:pPr>
            <w:r w:rsidRPr="005D16D6">
              <w:rPr>
                <w:rFonts w:eastAsia="Times New Roman"/>
                <w:color w:val="000000"/>
                <w:sz w:val="22"/>
                <w:szCs w:val="22"/>
              </w:rPr>
              <w:t>$0.00</w:t>
            </w:r>
          </w:p>
        </w:tc>
        <w:tc>
          <w:tcPr>
            <w:tcW w:w="1530" w:type="dxa"/>
            <w:shd w:val="clear" w:color="auto" w:fill="auto"/>
            <w:noWrap/>
            <w:vAlign w:val="bottom"/>
            <w:hideMark/>
          </w:tcPr>
          <w:p w:rsidR="00102924" w:rsidRPr="005D16D6" w:rsidP="006241EA" w14:paraId="1CD680C5" w14:textId="6A6891E6">
            <w:pPr>
              <w:spacing w:after="0"/>
              <w:jc w:val="center"/>
              <w:rPr>
                <w:rFonts w:eastAsia="Times New Roman"/>
                <w:b/>
                <w:bCs/>
                <w:color w:val="000000"/>
                <w:sz w:val="22"/>
                <w:szCs w:val="22"/>
              </w:rPr>
            </w:pPr>
            <w:r w:rsidRPr="005D16D6">
              <w:rPr>
                <w:rFonts w:eastAsia="Times New Roman"/>
                <w:color w:val="000000"/>
                <w:sz w:val="22"/>
                <w:szCs w:val="22"/>
              </w:rPr>
              <w:t>$0.00</w:t>
            </w:r>
          </w:p>
        </w:tc>
        <w:tc>
          <w:tcPr>
            <w:tcW w:w="1440" w:type="dxa"/>
            <w:shd w:val="clear" w:color="auto" w:fill="auto"/>
            <w:noWrap/>
            <w:vAlign w:val="bottom"/>
            <w:hideMark/>
          </w:tcPr>
          <w:p w:rsidR="00102924" w:rsidRPr="005D16D6" w:rsidP="006241EA" w14:paraId="7F0E0F0C" w14:textId="48B216D3">
            <w:pPr>
              <w:spacing w:after="0"/>
              <w:jc w:val="center"/>
              <w:rPr>
                <w:rFonts w:eastAsia="Times New Roman"/>
                <w:b/>
                <w:bCs/>
                <w:color w:val="000000"/>
                <w:sz w:val="22"/>
                <w:szCs w:val="22"/>
              </w:rPr>
            </w:pPr>
            <w:r w:rsidRPr="005D16D6">
              <w:rPr>
                <w:rFonts w:eastAsia="Times New Roman"/>
                <w:color w:val="000000"/>
                <w:sz w:val="22"/>
                <w:szCs w:val="22"/>
              </w:rPr>
              <w:t>$0.00</w:t>
            </w:r>
          </w:p>
        </w:tc>
        <w:tc>
          <w:tcPr>
            <w:tcW w:w="1350" w:type="dxa"/>
            <w:shd w:val="clear" w:color="auto" w:fill="auto"/>
            <w:noWrap/>
            <w:vAlign w:val="bottom"/>
            <w:hideMark/>
          </w:tcPr>
          <w:p w:rsidR="00102924" w:rsidRPr="005D16D6" w:rsidP="006241EA" w14:paraId="1F74574A" w14:textId="73226734">
            <w:pPr>
              <w:spacing w:after="0"/>
              <w:jc w:val="center"/>
              <w:rPr>
                <w:rFonts w:eastAsia="Times New Roman"/>
                <w:b/>
                <w:bCs/>
                <w:color w:val="000000"/>
                <w:sz w:val="22"/>
                <w:szCs w:val="22"/>
              </w:rPr>
            </w:pPr>
            <w:r w:rsidRPr="005D16D6">
              <w:rPr>
                <w:rFonts w:eastAsia="Times New Roman"/>
                <w:color w:val="000000"/>
                <w:sz w:val="22"/>
                <w:szCs w:val="22"/>
              </w:rPr>
              <w:t>$0.00</w:t>
            </w:r>
          </w:p>
        </w:tc>
      </w:tr>
      <w:tr w14:paraId="37D36E78"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7ED797D8" w14:textId="2B443A42">
            <w:pPr>
              <w:spacing w:after="0"/>
              <w:rPr>
                <w:rFonts w:eastAsia="Times New Roman"/>
                <w:color w:val="000000"/>
                <w:sz w:val="22"/>
                <w:szCs w:val="22"/>
              </w:rPr>
            </w:pPr>
            <w:r w:rsidRPr="005D16D6">
              <w:rPr>
                <w:rFonts w:eastAsia="Times New Roman"/>
                <w:color w:val="000000"/>
                <w:sz w:val="22"/>
                <w:szCs w:val="22"/>
              </w:rPr>
              <w:t>Total one-time cost (high)</w:t>
            </w:r>
          </w:p>
        </w:tc>
        <w:tc>
          <w:tcPr>
            <w:tcW w:w="1710" w:type="dxa"/>
            <w:shd w:val="clear" w:color="auto" w:fill="auto"/>
            <w:noWrap/>
            <w:vAlign w:val="bottom"/>
            <w:hideMark/>
          </w:tcPr>
          <w:p w:rsidR="00102924" w:rsidRPr="005D16D6" w:rsidP="006241EA" w14:paraId="111AD3C1" w14:textId="737BD26F">
            <w:pPr>
              <w:spacing w:after="0"/>
              <w:jc w:val="center"/>
              <w:rPr>
                <w:rFonts w:eastAsia="Times New Roman"/>
                <w:color w:val="000000"/>
                <w:sz w:val="22"/>
                <w:szCs w:val="22"/>
              </w:rPr>
            </w:pPr>
            <w:r w:rsidRPr="005D16D6">
              <w:rPr>
                <w:rFonts w:eastAsia="Times New Roman"/>
                <w:color w:val="000000"/>
                <w:sz w:val="22"/>
                <w:szCs w:val="22"/>
              </w:rPr>
              <w:t>$0.00</w:t>
            </w:r>
          </w:p>
        </w:tc>
        <w:tc>
          <w:tcPr>
            <w:tcW w:w="1530" w:type="dxa"/>
            <w:shd w:val="clear" w:color="auto" w:fill="auto"/>
            <w:noWrap/>
            <w:vAlign w:val="bottom"/>
            <w:hideMark/>
          </w:tcPr>
          <w:p w:rsidR="00102924" w:rsidRPr="005D16D6" w:rsidP="006241EA" w14:paraId="00469E42" w14:textId="7044F212">
            <w:pPr>
              <w:spacing w:after="0"/>
              <w:jc w:val="center"/>
              <w:rPr>
                <w:rFonts w:eastAsia="Times New Roman"/>
                <w:color w:val="000000"/>
                <w:sz w:val="22"/>
                <w:szCs w:val="22"/>
              </w:rPr>
            </w:pPr>
            <w:r w:rsidRPr="005D16D6">
              <w:rPr>
                <w:rFonts w:eastAsia="Times New Roman"/>
                <w:color w:val="000000"/>
                <w:sz w:val="22"/>
                <w:szCs w:val="22"/>
              </w:rPr>
              <w:t>$0.30</w:t>
            </w:r>
          </w:p>
        </w:tc>
        <w:tc>
          <w:tcPr>
            <w:tcW w:w="1440" w:type="dxa"/>
            <w:shd w:val="clear" w:color="auto" w:fill="auto"/>
            <w:noWrap/>
            <w:vAlign w:val="bottom"/>
            <w:hideMark/>
          </w:tcPr>
          <w:p w:rsidR="00102924" w:rsidRPr="005D16D6" w:rsidP="006241EA" w14:paraId="0808635D" w14:textId="20077F39">
            <w:pPr>
              <w:spacing w:after="0"/>
              <w:jc w:val="center"/>
              <w:rPr>
                <w:rFonts w:eastAsia="Times New Roman"/>
                <w:color w:val="000000"/>
                <w:sz w:val="22"/>
                <w:szCs w:val="22"/>
              </w:rPr>
            </w:pPr>
            <w:r w:rsidRPr="005D16D6">
              <w:rPr>
                <w:rFonts w:eastAsia="Times New Roman"/>
                <w:color w:val="000000"/>
                <w:sz w:val="22"/>
                <w:szCs w:val="22"/>
              </w:rPr>
              <w:t>$0.11</w:t>
            </w:r>
          </w:p>
        </w:tc>
        <w:tc>
          <w:tcPr>
            <w:tcW w:w="1350" w:type="dxa"/>
            <w:shd w:val="clear" w:color="auto" w:fill="auto"/>
            <w:noWrap/>
            <w:vAlign w:val="bottom"/>
            <w:hideMark/>
          </w:tcPr>
          <w:p w:rsidR="00102924" w:rsidRPr="005D16D6" w:rsidP="006241EA" w14:paraId="3C237886" w14:textId="5AA869B9">
            <w:pPr>
              <w:spacing w:after="0"/>
              <w:jc w:val="center"/>
              <w:rPr>
                <w:rFonts w:eastAsia="Times New Roman"/>
                <w:color w:val="000000"/>
                <w:sz w:val="22"/>
                <w:szCs w:val="22"/>
              </w:rPr>
            </w:pPr>
            <w:r w:rsidRPr="005D16D6">
              <w:rPr>
                <w:rFonts w:eastAsia="Times New Roman"/>
                <w:color w:val="000000"/>
                <w:sz w:val="22"/>
                <w:szCs w:val="22"/>
              </w:rPr>
              <w:t>$0.42</w:t>
            </w:r>
          </w:p>
        </w:tc>
      </w:tr>
      <w:tr w14:paraId="5FF42B74" w14:textId="77777777" w:rsidTr="00714FC0">
        <w:tblPrEx>
          <w:tblW w:w="9355" w:type="dxa"/>
          <w:tblLayout w:type="fixed"/>
          <w:tblCellMar>
            <w:left w:w="115" w:type="dxa"/>
            <w:right w:w="115" w:type="dxa"/>
          </w:tblCellMar>
          <w:tblLook w:val="04A0"/>
        </w:tblPrEx>
        <w:trPr>
          <w:trHeight w:val="216"/>
        </w:trPr>
        <w:tc>
          <w:tcPr>
            <w:tcW w:w="3325" w:type="dxa"/>
            <w:shd w:val="clear" w:color="auto" w:fill="D9D9D9" w:themeFill="background1" w:themeFillShade="D9"/>
            <w:noWrap/>
            <w:vAlign w:val="bottom"/>
            <w:hideMark/>
          </w:tcPr>
          <w:p w:rsidR="00102924" w:rsidRPr="005D16D6" w:rsidP="006241EA" w14:paraId="4541B780" w14:textId="3981F242">
            <w:pPr>
              <w:spacing w:after="0"/>
              <w:rPr>
                <w:rFonts w:eastAsia="Times New Roman"/>
                <w:color w:val="000000"/>
                <w:sz w:val="22"/>
                <w:szCs w:val="22"/>
              </w:rPr>
            </w:pPr>
            <w:r w:rsidRPr="005D16D6">
              <w:rPr>
                <w:rFonts w:eastAsia="Times New Roman"/>
                <w:b/>
                <w:bCs/>
                <w:color w:val="000000"/>
                <w:sz w:val="22"/>
                <w:szCs w:val="22"/>
              </w:rPr>
              <w:t>Ongoing costs (millions)</w:t>
            </w:r>
          </w:p>
        </w:tc>
        <w:tc>
          <w:tcPr>
            <w:tcW w:w="1710" w:type="dxa"/>
            <w:shd w:val="clear" w:color="auto" w:fill="D9D9D9" w:themeFill="background1" w:themeFillShade="D9"/>
            <w:noWrap/>
            <w:vAlign w:val="bottom"/>
            <w:hideMark/>
          </w:tcPr>
          <w:p w:rsidR="00102924" w:rsidRPr="005D16D6" w:rsidP="006241EA" w14:paraId="0A9696D6" w14:textId="49379A07">
            <w:pPr>
              <w:spacing w:after="0"/>
              <w:jc w:val="center"/>
              <w:rPr>
                <w:rFonts w:eastAsia="Times New Roman"/>
                <w:color w:val="000000"/>
                <w:sz w:val="22"/>
                <w:szCs w:val="22"/>
              </w:rPr>
            </w:pPr>
          </w:p>
        </w:tc>
        <w:tc>
          <w:tcPr>
            <w:tcW w:w="1530" w:type="dxa"/>
            <w:shd w:val="clear" w:color="auto" w:fill="D9D9D9" w:themeFill="background1" w:themeFillShade="D9"/>
            <w:noWrap/>
            <w:vAlign w:val="bottom"/>
            <w:hideMark/>
          </w:tcPr>
          <w:p w:rsidR="00102924" w:rsidRPr="005D16D6" w:rsidP="006241EA" w14:paraId="25A56D00" w14:textId="751CE664">
            <w:pPr>
              <w:spacing w:after="0"/>
              <w:jc w:val="center"/>
              <w:rPr>
                <w:rFonts w:eastAsia="Times New Roman"/>
                <w:color w:val="000000"/>
                <w:sz w:val="22"/>
                <w:szCs w:val="22"/>
              </w:rPr>
            </w:pPr>
          </w:p>
        </w:tc>
        <w:tc>
          <w:tcPr>
            <w:tcW w:w="1440" w:type="dxa"/>
            <w:shd w:val="clear" w:color="auto" w:fill="D9D9D9" w:themeFill="background1" w:themeFillShade="D9"/>
            <w:noWrap/>
            <w:vAlign w:val="bottom"/>
            <w:hideMark/>
          </w:tcPr>
          <w:p w:rsidR="00102924" w:rsidRPr="005D16D6" w:rsidP="006241EA" w14:paraId="55AB1B6A" w14:textId="70BF8116">
            <w:pPr>
              <w:spacing w:after="0"/>
              <w:jc w:val="center"/>
              <w:rPr>
                <w:rFonts w:eastAsia="Times New Roman"/>
                <w:color w:val="000000"/>
                <w:sz w:val="22"/>
                <w:szCs w:val="22"/>
              </w:rPr>
            </w:pPr>
          </w:p>
        </w:tc>
        <w:tc>
          <w:tcPr>
            <w:tcW w:w="1350" w:type="dxa"/>
            <w:shd w:val="clear" w:color="auto" w:fill="D9D9D9" w:themeFill="background1" w:themeFillShade="D9"/>
            <w:noWrap/>
            <w:vAlign w:val="bottom"/>
            <w:hideMark/>
          </w:tcPr>
          <w:p w:rsidR="00102924" w:rsidRPr="005D16D6" w:rsidP="006241EA" w14:paraId="2418A163" w14:textId="7DC82572">
            <w:pPr>
              <w:spacing w:after="0"/>
              <w:jc w:val="center"/>
              <w:rPr>
                <w:rFonts w:eastAsia="Times New Roman"/>
                <w:color w:val="000000"/>
                <w:sz w:val="22"/>
                <w:szCs w:val="22"/>
              </w:rPr>
            </w:pPr>
          </w:p>
        </w:tc>
      </w:tr>
      <w:tr w14:paraId="37C74DC7"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3533EED6" w14:textId="6EB9CF27">
            <w:pPr>
              <w:spacing w:after="0"/>
              <w:rPr>
                <w:rFonts w:eastAsia="Times New Roman"/>
                <w:color w:val="000000"/>
                <w:sz w:val="22"/>
                <w:szCs w:val="22"/>
              </w:rPr>
            </w:pPr>
            <w:r w:rsidRPr="005D16D6">
              <w:rPr>
                <w:rFonts w:eastAsia="Times New Roman"/>
                <w:color w:val="000000"/>
                <w:sz w:val="22"/>
                <w:szCs w:val="22"/>
              </w:rPr>
              <w:t>Time per facility (hours)</w:t>
            </w:r>
          </w:p>
        </w:tc>
        <w:tc>
          <w:tcPr>
            <w:tcW w:w="1710" w:type="dxa"/>
            <w:shd w:val="clear" w:color="auto" w:fill="auto"/>
            <w:noWrap/>
            <w:vAlign w:val="bottom"/>
            <w:hideMark/>
          </w:tcPr>
          <w:p w:rsidR="00102924" w:rsidRPr="005D16D6" w:rsidP="006241EA" w14:paraId="0E24A03D" w14:textId="1E60510B">
            <w:pPr>
              <w:spacing w:after="0"/>
              <w:jc w:val="center"/>
              <w:rPr>
                <w:rFonts w:eastAsia="Times New Roman"/>
                <w:color w:val="000000"/>
                <w:sz w:val="22"/>
                <w:szCs w:val="22"/>
              </w:rPr>
            </w:pPr>
            <w:r w:rsidRPr="005D16D6">
              <w:rPr>
                <w:rFonts w:eastAsia="Times New Roman"/>
                <w:color w:val="000000"/>
                <w:sz w:val="22"/>
                <w:szCs w:val="22"/>
              </w:rPr>
              <w:t>52</w:t>
            </w:r>
          </w:p>
        </w:tc>
        <w:tc>
          <w:tcPr>
            <w:tcW w:w="1530" w:type="dxa"/>
            <w:shd w:val="clear" w:color="auto" w:fill="auto"/>
            <w:noWrap/>
            <w:vAlign w:val="bottom"/>
            <w:hideMark/>
          </w:tcPr>
          <w:p w:rsidR="00102924" w:rsidRPr="005D16D6" w:rsidP="006241EA" w14:paraId="30B143B1" w14:textId="7011D228">
            <w:pPr>
              <w:spacing w:after="0"/>
              <w:jc w:val="center"/>
              <w:rPr>
                <w:rFonts w:eastAsia="Times New Roman"/>
                <w:color w:val="000000"/>
                <w:sz w:val="22"/>
                <w:szCs w:val="22"/>
              </w:rPr>
            </w:pPr>
            <w:r w:rsidRPr="005D16D6">
              <w:rPr>
                <w:rFonts w:eastAsia="Times New Roman"/>
                <w:color w:val="000000"/>
                <w:sz w:val="22"/>
                <w:szCs w:val="22"/>
              </w:rPr>
              <w:t>52</w:t>
            </w:r>
          </w:p>
        </w:tc>
        <w:tc>
          <w:tcPr>
            <w:tcW w:w="1440" w:type="dxa"/>
            <w:shd w:val="clear" w:color="auto" w:fill="auto"/>
            <w:noWrap/>
            <w:vAlign w:val="bottom"/>
            <w:hideMark/>
          </w:tcPr>
          <w:p w:rsidR="00102924" w:rsidRPr="005D16D6" w:rsidP="006241EA" w14:paraId="1904F339" w14:textId="76B84D73">
            <w:pPr>
              <w:spacing w:after="0"/>
              <w:jc w:val="center"/>
              <w:rPr>
                <w:rFonts w:eastAsia="Times New Roman"/>
                <w:color w:val="000000"/>
                <w:sz w:val="22"/>
                <w:szCs w:val="22"/>
              </w:rPr>
            </w:pPr>
            <w:r w:rsidRPr="005D16D6">
              <w:rPr>
                <w:rFonts w:eastAsia="Times New Roman"/>
                <w:color w:val="000000"/>
                <w:sz w:val="22"/>
                <w:szCs w:val="22"/>
              </w:rPr>
              <w:t>52</w:t>
            </w:r>
          </w:p>
        </w:tc>
        <w:tc>
          <w:tcPr>
            <w:tcW w:w="1350" w:type="dxa"/>
            <w:shd w:val="clear" w:color="auto" w:fill="auto"/>
            <w:noWrap/>
            <w:vAlign w:val="bottom"/>
            <w:hideMark/>
          </w:tcPr>
          <w:p w:rsidR="00102924" w:rsidRPr="005D16D6" w:rsidP="006241EA" w14:paraId="113EF846" w14:textId="17803DF9">
            <w:pPr>
              <w:spacing w:after="0"/>
              <w:jc w:val="center"/>
              <w:rPr>
                <w:rFonts w:eastAsia="Times New Roman"/>
                <w:color w:val="000000"/>
                <w:sz w:val="22"/>
                <w:szCs w:val="22"/>
              </w:rPr>
            </w:pPr>
            <w:r w:rsidRPr="005D16D6">
              <w:rPr>
                <w:rFonts w:eastAsia="Times New Roman"/>
                <w:color w:val="000000"/>
                <w:sz w:val="22"/>
                <w:szCs w:val="22"/>
              </w:rPr>
              <w:t>52</w:t>
            </w:r>
          </w:p>
        </w:tc>
      </w:tr>
      <w:tr w14:paraId="7613AC92"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73FF958B" w14:textId="694D02D4">
            <w:pPr>
              <w:spacing w:after="0"/>
              <w:rPr>
                <w:rFonts w:eastAsia="Times New Roman"/>
                <w:color w:val="000000"/>
                <w:sz w:val="22"/>
                <w:szCs w:val="22"/>
              </w:rPr>
            </w:pPr>
            <w:r w:rsidRPr="005D16D6">
              <w:rPr>
                <w:rFonts w:eastAsia="Times New Roman"/>
                <w:color w:val="000000"/>
                <w:sz w:val="22"/>
                <w:szCs w:val="22"/>
              </w:rPr>
              <w:t>Wage rate (manager)</w:t>
            </w:r>
          </w:p>
        </w:tc>
        <w:tc>
          <w:tcPr>
            <w:tcW w:w="1710" w:type="dxa"/>
            <w:shd w:val="clear" w:color="auto" w:fill="auto"/>
            <w:noWrap/>
            <w:vAlign w:val="bottom"/>
            <w:hideMark/>
          </w:tcPr>
          <w:p w:rsidR="00102924" w:rsidRPr="005D16D6" w:rsidP="006241EA" w14:paraId="58389AD4" w14:textId="47F949F5">
            <w:pPr>
              <w:spacing w:after="0"/>
              <w:jc w:val="center"/>
              <w:rPr>
                <w:rFonts w:eastAsia="Times New Roman"/>
                <w:color w:val="000000"/>
                <w:sz w:val="22"/>
                <w:szCs w:val="22"/>
              </w:rPr>
            </w:pPr>
            <w:r w:rsidRPr="005D16D6">
              <w:rPr>
                <w:rFonts w:eastAsia="Times New Roman"/>
                <w:color w:val="000000"/>
                <w:sz w:val="22"/>
                <w:szCs w:val="22"/>
              </w:rPr>
              <w:t>$</w:t>
            </w:r>
            <w:r w:rsidR="002218C5">
              <w:rPr>
                <w:rFonts w:eastAsia="Times New Roman"/>
                <w:color w:val="000000"/>
                <w:sz w:val="22"/>
                <w:szCs w:val="22"/>
              </w:rPr>
              <w:t>178.42</w:t>
            </w:r>
          </w:p>
        </w:tc>
        <w:tc>
          <w:tcPr>
            <w:tcW w:w="1530" w:type="dxa"/>
            <w:shd w:val="clear" w:color="auto" w:fill="auto"/>
            <w:noWrap/>
            <w:vAlign w:val="bottom"/>
            <w:hideMark/>
          </w:tcPr>
          <w:p w:rsidR="00102924" w:rsidRPr="005D16D6" w:rsidP="006241EA" w14:paraId="01922AF6" w14:textId="5B1CBD6D">
            <w:pPr>
              <w:spacing w:after="0"/>
              <w:jc w:val="center"/>
              <w:rPr>
                <w:rFonts w:eastAsia="Times New Roman"/>
                <w:color w:val="000000"/>
                <w:sz w:val="22"/>
                <w:szCs w:val="22"/>
              </w:rPr>
            </w:pPr>
            <w:r w:rsidRPr="005D16D6">
              <w:rPr>
                <w:rFonts w:eastAsia="Times New Roman"/>
                <w:color w:val="000000"/>
                <w:sz w:val="22"/>
                <w:szCs w:val="22"/>
              </w:rPr>
              <w:t>$</w:t>
            </w:r>
            <w:r w:rsidR="002218C5">
              <w:rPr>
                <w:rFonts w:eastAsia="Times New Roman"/>
                <w:color w:val="000000"/>
                <w:sz w:val="22"/>
                <w:szCs w:val="22"/>
              </w:rPr>
              <w:t>178.42</w:t>
            </w:r>
          </w:p>
        </w:tc>
        <w:tc>
          <w:tcPr>
            <w:tcW w:w="1440" w:type="dxa"/>
            <w:shd w:val="clear" w:color="auto" w:fill="auto"/>
            <w:noWrap/>
            <w:vAlign w:val="bottom"/>
            <w:hideMark/>
          </w:tcPr>
          <w:p w:rsidR="00102924" w:rsidRPr="005D16D6" w:rsidP="006241EA" w14:paraId="2449EE84" w14:textId="0EE7A58F">
            <w:pPr>
              <w:spacing w:after="0"/>
              <w:jc w:val="center"/>
              <w:rPr>
                <w:rFonts w:eastAsia="Times New Roman"/>
                <w:color w:val="000000"/>
                <w:sz w:val="22"/>
                <w:szCs w:val="22"/>
              </w:rPr>
            </w:pPr>
            <w:r w:rsidRPr="005D16D6">
              <w:rPr>
                <w:rFonts w:eastAsia="Times New Roman"/>
                <w:color w:val="000000"/>
                <w:sz w:val="22"/>
                <w:szCs w:val="22"/>
              </w:rPr>
              <w:t>$</w:t>
            </w:r>
            <w:r w:rsidR="002218C5">
              <w:rPr>
                <w:rFonts w:eastAsia="Times New Roman"/>
                <w:color w:val="000000"/>
                <w:sz w:val="22"/>
                <w:szCs w:val="22"/>
              </w:rPr>
              <w:t>178.42</w:t>
            </w:r>
          </w:p>
        </w:tc>
        <w:tc>
          <w:tcPr>
            <w:tcW w:w="1350" w:type="dxa"/>
            <w:shd w:val="clear" w:color="auto" w:fill="auto"/>
            <w:noWrap/>
            <w:vAlign w:val="bottom"/>
            <w:hideMark/>
          </w:tcPr>
          <w:p w:rsidR="00102924" w:rsidRPr="005D16D6" w:rsidP="006241EA" w14:paraId="4FC28FCE" w14:textId="5D25D9BB">
            <w:pPr>
              <w:spacing w:after="0"/>
              <w:jc w:val="center"/>
              <w:rPr>
                <w:rFonts w:eastAsia="Times New Roman"/>
                <w:color w:val="000000"/>
                <w:sz w:val="22"/>
                <w:szCs w:val="22"/>
              </w:rPr>
            </w:pPr>
            <w:r w:rsidRPr="005D16D6">
              <w:rPr>
                <w:rFonts w:eastAsia="Times New Roman"/>
                <w:color w:val="000000"/>
                <w:sz w:val="22"/>
                <w:szCs w:val="22"/>
              </w:rPr>
              <w:t>$</w:t>
            </w:r>
            <w:r w:rsidR="002218C5">
              <w:rPr>
                <w:rFonts w:eastAsia="Times New Roman"/>
                <w:color w:val="000000"/>
                <w:sz w:val="22"/>
                <w:szCs w:val="22"/>
              </w:rPr>
              <w:t>178.42</w:t>
            </w:r>
          </w:p>
        </w:tc>
      </w:tr>
      <w:tr w14:paraId="37D657F8"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6BD05BF7" w14:textId="231A05D3">
            <w:pPr>
              <w:spacing w:after="0"/>
              <w:rPr>
                <w:rFonts w:eastAsia="Times New Roman"/>
                <w:b/>
                <w:bCs/>
                <w:color w:val="000000"/>
                <w:sz w:val="22"/>
                <w:szCs w:val="22"/>
              </w:rPr>
            </w:pPr>
            <w:r w:rsidRPr="005D16D6">
              <w:rPr>
                <w:rFonts w:eastAsia="Times New Roman"/>
                <w:color w:val="000000"/>
                <w:sz w:val="22"/>
                <w:szCs w:val="22"/>
              </w:rPr>
              <w:t>Total ongoing cost (low)</w:t>
            </w:r>
          </w:p>
        </w:tc>
        <w:tc>
          <w:tcPr>
            <w:tcW w:w="1710" w:type="dxa"/>
            <w:shd w:val="clear" w:color="auto" w:fill="auto"/>
            <w:noWrap/>
            <w:vAlign w:val="bottom"/>
            <w:hideMark/>
          </w:tcPr>
          <w:p w:rsidR="00102924" w:rsidRPr="005D16D6" w:rsidP="006241EA" w14:paraId="20AFDE05" w14:textId="0FCF6B25">
            <w:pPr>
              <w:spacing w:after="0"/>
              <w:jc w:val="center"/>
              <w:rPr>
                <w:rFonts w:eastAsia="Times New Roman"/>
                <w:b/>
                <w:bCs/>
                <w:color w:val="000000"/>
                <w:sz w:val="22"/>
                <w:szCs w:val="22"/>
              </w:rPr>
            </w:pPr>
            <w:r w:rsidRPr="005D16D6">
              <w:rPr>
                <w:rFonts w:eastAsia="Times New Roman"/>
                <w:color w:val="000000"/>
                <w:sz w:val="22"/>
                <w:szCs w:val="22"/>
              </w:rPr>
              <w:t>$0.00</w:t>
            </w:r>
          </w:p>
        </w:tc>
        <w:tc>
          <w:tcPr>
            <w:tcW w:w="1530" w:type="dxa"/>
            <w:shd w:val="clear" w:color="auto" w:fill="auto"/>
            <w:noWrap/>
            <w:vAlign w:val="bottom"/>
            <w:hideMark/>
          </w:tcPr>
          <w:p w:rsidR="00102924" w:rsidRPr="005D16D6" w:rsidP="006241EA" w14:paraId="43311DDB" w14:textId="076E4B95">
            <w:pPr>
              <w:spacing w:after="0"/>
              <w:jc w:val="center"/>
              <w:rPr>
                <w:rFonts w:eastAsia="Times New Roman"/>
                <w:b/>
                <w:bCs/>
                <w:color w:val="000000"/>
                <w:sz w:val="22"/>
                <w:szCs w:val="22"/>
              </w:rPr>
            </w:pPr>
            <w:r w:rsidRPr="005D16D6">
              <w:rPr>
                <w:rFonts w:eastAsia="Times New Roman"/>
                <w:color w:val="000000"/>
                <w:sz w:val="22"/>
                <w:szCs w:val="22"/>
              </w:rPr>
              <w:t>$0.00</w:t>
            </w:r>
          </w:p>
        </w:tc>
        <w:tc>
          <w:tcPr>
            <w:tcW w:w="1440" w:type="dxa"/>
            <w:shd w:val="clear" w:color="auto" w:fill="auto"/>
            <w:noWrap/>
            <w:vAlign w:val="bottom"/>
            <w:hideMark/>
          </w:tcPr>
          <w:p w:rsidR="00102924" w:rsidRPr="005D16D6" w:rsidP="006241EA" w14:paraId="62939062" w14:textId="5FAC1354">
            <w:pPr>
              <w:spacing w:after="0"/>
              <w:jc w:val="center"/>
              <w:rPr>
                <w:rFonts w:eastAsia="Times New Roman"/>
                <w:b/>
                <w:bCs/>
                <w:color w:val="000000"/>
                <w:sz w:val="22"/>
                <w:szCs w:val="22"/>
              </w:rPr>
            </w:pPr>
            <w:r w:rsidRPr="005D16D6">
              <w:rPr>
                <w:rFonts w:eastAsia="Times New Roman"/>
                <w:color w:val="000000"/>
                <w:sz w:val="22"/>
                <w:szCs w:val="22"/>
              </w:rPr>
              <w:t>$0.00</w:t>
            </w:r>
          </w:p>
        </w:tc>
        <w:tc>
          <w:tcPr>
            <w:tcW w:w="1350" w:type="dxa"/>
            <w:shd w:val="clear" w:color="auto" w:fill="auto"/>
            <w:noWrap/>
            <w:vAlign w:val="bottom"/>
            <w:hideMark/>
          </w:tcPr>
          <w:p w:rsidR="00102924" w:rsidRPr="005D16D6" w:rsidP="006241EA" w14:paraId="04226DAE" w14:textId="0F594CE3">
            <w:pPr>
              <w:spacing w:after="0"/>
              <w:jc w:val="center"/>
              <w:rPr>
                <w:rFonts w:eastAsia="Times New Roman"/>
                <w:b/>
                <w:bCs/>
                <w:color w:val="000000"/>
                <w:sz w:val="22"/>
                <w:szCs w:val="22"/>
              </w:rPr>
            </w:pPr>
            <w:r w:rsidRPr="005D16D6">
              <w:rPr>
                <w:rFonts w:eastAsia="Times New Roman"/>
                <w:color w:val="000000"/>
                <w:sz w:val="22"/>
                <w:szCs w:val="22"/>
              </w:rPr>
              <w:t>$0.00</w:t>
            </w:r>
          </w:p>
        </w:tc>
      </w:tr>
      <w:tr w14:paraId="0E2A21F0" w14:textId="77777777" w:rsidTr="00714FC0">
        <w:tblPrEx>
          <w:tblW w:w="9355" w:type="dxa"/>
          <w:tblLayout w:type="fixed"/>
          <w:tblCellMar>
            <w:left w:w="115" w:type="dxa"/>
            <w:right w:w="115" w:type="dxa"/>
          </w:tblCellMar>
          <w:tblLook w:val="04A0"/>
        </w:tblPrEx>
        <w:trPr>
          <w:trHeight w:val="216"/>
        </w:trPr>
        <w:tc>
          <w:tcPr>
            <w:tcW w:w="3325" w:type="dxa"/>
            <w:shd w:val="clear" w:color="auto" w:fill="auto"/>
            <w:noWrap/>
            <w:vAlign w:val="bottom"/>
            <w:hideMark/>
          </w:tcPr>
          <w:p w:rsidR="00102924" w:rsidRPr="005D16D6" w:rsidP="006241EA" w14:paraId="34F9A1EE" w14:textId="432FD750">
            <w:pPr>
              <w:spacing w:after="0"/>
              <w:rPr>
                <w:rFonts w:eastAsia="Times New Roman"/>
                <w:color w:val="000000"/>
                <w:sz w:val="22"/>
                <w:szCs w:val="22"/>
              </w:rPr>
            </w:pPr>
            <w:r w:rsidRPr="005D16D6">
              <w:rPr>
                <w:rFonts w:eastAsia="Times New Roman"/>
                <w:color w:val="000000"/>
                <w:sz w:val="22"/>
                <w:szCs w:val="22"/>
              </w:rPr>
              <w:t>Total ongoing cost (high)</w:t>
            </w:r>
          </w:p>
        </w:tc>
        <w:tc>
          <w:tcPr>
            <w:tcW w:w="1710" w:type="dxa"/>
            <w:shd w:val="clear" w:color="auto" w:fill="auto"/>
            <w:noWrap/>
            <w:vAlign w:val="bottom"/>
            <w:hideMark/>
          </w:tcPr>
          <w:p w:rsidR="00102924" w:rsidRPr="005D16D6" w:rsidP="006241EA" w14:paraId="1A219662" w14:textId="1D63E996">
            <w:pPr>
              <w:spacing w:after="0"/>
              <w:jc w:val="center"/>
              <w:rPr>
                <w:rFonts w:eastAsia="Times New Roman"/>
                <w:color w:val="000000"/>
                <w:sz w:val="22"/>
                <w:szCs w:val="22"/>
              </w:rPr>
            </w:pPr>
            <w:r w:rsidRPr="005D16D6">
              <w:rPr>
                <w:rFonts w:eastAsia="Times New Roman"/>
                <w:color w:val="000000"/>
                <w:sz w:val="22"/>
                <w:szCs w:val="22"/>
              </w:rPr>
              <w:t>$0.01</w:t>
            </w:r>
          </w:p>
        </w:tc>
        <w:tc>
          <w:tcPr>
            <w:tcW w:w="1530" w:type="dxa"/>
            <w:shd w:val="clear" w:color="auto" w:fill="auto"/>
            <w:noWrap/>
            <w:vAlign w:val="bottom"/>
            <w:hideMark/>
          </w:tcPr>
          <w:p w:rsidR="00102924" w:rsidRPr="005D16D6" w:rsidP="006241EA" w14:paraId="6ABEC3C3" w14:textId="078DC4A3">
            <w:pPr>
              <w:spacing w:after="0"/>
              <w:jc w:val="center"/>
              <w:rPr>
                <w:rFonts w:eastAsia="Times New Roman"/>
                <w:color w:val="000000"/>
                <w:sz w:val="22"/>
                <w:szCs w:val="22"/>
              </w:rPr>
            </w:pPr>
            <w:r w:rsidRPr="005D16D6">
              <w:rPr>
                <w:rFonts w:eastAsia="Times New Roman"/>
                <w:color w:val="000000"/>
                <w:sz w:val="22"/>
                <w:szCs w:val="22"/>
              </w:rPr>
              <w:t>$0.</w:t>
            </w:r>
            <w:r w:rsidR="002218C5">
              <w:rPr>
                <w:rFonts w:eastAsia="Times New Roman"/>
                <w:color w:val="000000"/>
                <w:sz w:val="22"/>
                <w:szCs w:val="22"/>
              </w:rPr>
              <w:t>70</w:t>
            </w:r>
          </w:p>
        </w:tc>
        <w:tc>
          <w:tcPr>
            <w:tcW w:w="1440" w:type="dxa"/>
            <w:shd w:val="clear" w:color="auto" w:fill="auto"/>
            <w:noWrap/>
            <w:vAlign w:val="bottom"/>
            <w:hideMark/>
          </w:tcPr>
          <w:p w:rsidR="00102924" w:rsidRPr="005D16D6" w:rsidP="006241EA" w14:paraId="1B3BCA65" w14:textId="64BD51D7">
            <w:pPr>
              <w:spacing w:after="0"/>
              <w:jc w:val="center"/>
              <w:rPr>
                <w:rFonts w:eastAsia="Times New Roman"/>
                <w:color w:val="000000"/>
                <w:sz w:val="22"/>
                <w:szCs w:val="22"/>
              </w:rPr>
            </w:pPr>
            <w:r w:rsidRPr="005D16D6">
              <w:rPr>
                <w:rFonts w:eastAsia="Times New Roman"/>
                <w:color w:val="000000"/>
                <w:sz w:val="22"/>
                <w:szCs w:val="22"/>
              </w:rPr>
              <w:t>$0.2</w:t>
            </w:r>
            <w:r w:rsidR="002218C5">
              <w:rPr>
                <w:rFonts w:eastAsia="Times New Roman"/>
                <w:color w:val="000000"/>
                <w:sz w:val="22"/>
                <w:szCs w:val="22"/>
              </w:rPr>
              <w:t>7</w:t>
            </w:r>
          </w:p>
        </w:tc>
        <w:tc>
          <w:tcPr>
            <w:tcW w:w="1350" w:type="dxa"/>
            <w:shd w:val="clear" w:color="auto" w:fill="auto"/>
            <w:noWrap/>
            <w:vAlign w:val="bottom"/>
            <w:hideMark/>
          </w:tcPr>
          <w:p w:rsidR="00102924" w:rsidRPr="005D16D6" w:rsidP="006241EA" w14:paraId="32053E0C" w14:textId="4DF9A0E3">
            <w:pPr>
              <w:spacing w:after="0"/>
              <w:jc w:val="center"/>
              <w:rPr>
                <w:rFonts w:eastAsia="Times New Roman"/>
                <w:color w:val="000000"/>
                <w:sz w:val="22"/>
                <w:szCs w:val="22"/>
              </w:rPr>
            </w:pPr>
            <w:r w:rsidRPr="005D16D6">
              <w:rPr>
                <w:rFonts w:eastAsia="Times New Roman"/>
                <w:color w:val="000000"/>
                <w:sz w:val="22"/>
                <w:szCs w:val="22"/>
              </w:rPr>
              <w:t>$0.</w:t>
            </w:r>
            <w:r w:rsidR="002218C5">
              <w:rPr>
                <w:rFonts w:eastAsia="Times New Roman"/>
                <w:color w:val="000000"/>
                <w:sz w:val="22"/>
                <w:szCs w:val="22"/>
              </w:rPr>
              <w:t>97</w:t>
            </w:r>
          </w:p>
        </w:tc>
      </w:tr>
    </w:tbl>
    <w:p w:rsidR="008A19F7" w:rsidP="00F47D86" w14:paraId="0A886816" w14:textId="202C348A">
      <w:pPr>
        <w:rPr>
          <w:iCs/>
        </w:rPr>
      </w:pPr>
      <w:r w:rsidRPr="004B2F48">
        <w:rPr>
          <w:iCs/>
        </w:rPr>
        <w:tab/>
      </w:r>
    </w:p>
    <w:p w:rsidR="001D10A1" w:rsidRPr="004B2F48" w:rsidP="00F47D86" w14:paraId="0B96C956" w14:textId="77777777">
      <w:pPr>
        <w:rPr>
          <w:iCs/>
        </w:rPr>
      </w:pPr>
    </w:p>
    <w:p w:rsidR="008A19F7" w:rsidP="00482C04" w14:paraId="2E0DBDBB" w14:textId="1F75DBEE">
      <w:pPr>
        <w:pStyle w:val="Heading4"/>
      </w:pPr>
      <w:bookmarkStart w:id="99" w:name="_Toc148515736"/>
      <w:r w:rsidRPr="000E2817">
        <w:t xml:space="preserve">Full Compliance </w:t>
      </w:r>
      <w:bookmarkStart w:id="100" w:name="_Hlk33695155"/>
      <w:r w:rsidRPr="000E2817">
        <w:t xml:space="preserve">Personnel </w:t>
      </w:r>
      <w:r w:rsidR="005D2117">
        <w:t>Q</w:t>
      </w:r>
      <w:r w:rsidRPr="000E2817">
        <w:t xml:space="preserve">ualifications and </w:t>
      </w:r>
      <w:r w:rsidR="005D2117">
        <w:t>R</w:t>
      </w:r>
      <w:r w:rsidRPr="000E2817">
        <w:t>esponsibilities</w:t>
      </w:r>
      <w:bookmarkEnd w:id="99"/>
      <w:bookmarkEnd w:id="100"/>
    </w:p>
    <w:p w:rsidR="00AC3953" w:rsidP="00A75BA2" w14:paraId="037B0FB7" w14:textId="02DA9F19">
      <w:r>
        <w:tab/>
        <w:t>Under the current regulations a</w:t>
      </w:r>
      <w:r w:rsidRPr="00A75BA2">
        <w:t>ll personnel are required to have the education, training, and experience necessary to perform their duties</w:t>
      </w:r>
      <w:r w:rsidR="00C40FCD">
        <w:t>.</w:t>
      </w:r>
      <w:r w:rsidRPr="00A75BA2">
        <w:t xml:space="preserve"> </w:t>
      </w:r>
      <w:r w:rsidR="00635ECF">
        <w:t xml:space="preserve">This </w:t>
      </w:r>
      <w:r w:rsidR="00615F3A">
        <w:t>final</w:t>
      </w:r>
      <w:r w:rsidR="00635ECF">
        <w:t xml:space="preserve"> rule </w:t>
      </w:r>
      <w:r w:rsidR="001940B0">
        <w:t>will</w:t>
      </w:r>
      <w:r w:rsidRPr="00AC3953">
        <w:t xml:space="preserve"> add a requirement that manufacturers maintain written documentation demonstrating employees’ accomplishment of training, including the date, type of training, and </w:t>
      </w:r>
      <w:r w:rsidR="00C40FCD">
        <w:t xml:space="preserve">training </w:t>
      </w:r>
      <w:r w:rsidRPr="00AC3953">
        <w:t>results such as test results</w:t>
      </w:r>
      <w:r>
        <w:t xml:space="preserve">. We will address that cost in </w:t>
      </w:r>
      <w:r w:rsidR="00206E9E">
        <w:t xml:space="preserve">section </w:t>
      </w:r>
      <w:r w:rsidR="00DD666C">
        <w:t>II.F.4.</w:t>
      </w:r>
      <w:r w:rsidR="00FA1983">
        <w:t>a</w:t>
      </w:r>
      <w:r>
        <w:t xml:space="preserve">. Here we will only address the costs of firms moving to full compliance. </w:t>
      </w:r>
    </w:p>
    <w:p w:rsidR="00AC3953" w:rsidP="00B04CDC" w14:paraId="6D0CB731" w14:textId="1A829D67">
      <w:pPr>
        <w:ind w:firstLine="720"/>
      </w:pPr>
      <w:r>
        <w:t>B</w:t>
      </w:r>
      <w:r w:rsidRPr="00AC3953">
        <w:t>ased on consultant input, ERG estimate</w:t>
      </w:r>
      <w:r>
        <w:t>s</w:t>
      </w:r>
      <w:r w:rsidRPr="00AC3953">
        <w:t xml:space="preserve"> 100 percent compliance with annual training requirements for large firms and 50 to 100 percent compliance for small firms. </w:t>
      </w:r>
      <w:r>
        <w:t>This translates to 0</w:t>
      </w:r>
      <w:r w:rsidR="00011343">
        <w:t xml:space="preserve"> to </w:t>
      </w:r>
      <w:r w:rsidR="00364EE0">
        <w:t>21</w:t>
      </w:r>
      <w:r w:rsidR="00011343">
        <w:t xml:space="preserve"> percent </w:t>
      </w:r>
      <w:r>
        <w:t>noncompliance for all firms.</w:t>
      </w:r>
      <w:r w:rsidR="003B4DE1">
        <w:t xml:space="preserve"> </w:t>
      </w:r>
    </w:p>
    <w:p w:rsidR="00011343" w14:paraId="53056E33" w14:textId="68756EC6">
      <w:pPr>
        <w:ind w:firstLine="720"/>
      </w:pPr>
      <w:r>
        <w:t>For firms that are currently noncompliant we assume</w:t>
      </w:r>
      <w:r w:rsidRPr="00011343">
        <w:t xml:space="preserve"> </w:t>
      </w:r>
      <w:r>
        <w:t xml:space="preserve">an ongoing cost for </w:t>
      </w:r>
      <w:r w:rsidRPr="00011343">
        <w:t xml:space="preserve">annual </w:t>
      </w:r>
      <w:r>
        <w:t>training</w:t>
      </w:r>
      <w:r w:rsidRPr="00011343">
        <w:t xml:space="preserve">. </w:t>
      </w:r>
      <w:r w:rsidR="00507FC2">
        <w:t xml:space="preserve">Using </w:t>
      </w:r>
      <w:r w:rsidRPr="00011343">
        <w:t>ERG</w:t>
      </w:r>
      <w:r w:rsidR="00507FC2">
        <w:t xml:space="preserve"> estimates we</w:t>
      </w:r>
      <w:r w:rsidRPr="00011343">
        <w:t xml:space="preserve"> assume that all employees </w:t>
      </w:r>
      <w:r w:rsidR="00267BE8">
        <w:t xml:space="preserve">of establishments </w:t>
      </w:r>
      <w:r w:rsidR="00F600AA">
        <w:t xml:space="preserve">currently subject to </w:t>
      </w:r>
      <w:r w:rsidRPr="00011343">
        <w:t xml:space="preserve">Part 211 </w:t>
      </w:r>
      <w:r w:rsidR="001940B0">
        <w:t>will</w:t>
      </w:r>
      <w:r w:rsidRPr="00011343">
        <w:t xml:space="preserve"> need to take the training, including all quality control, production, and delivery personnel. Small firms can take advantage of available online training tutorials that include an examination, although </w:t>
      </w:r>
      <w:r>
        <w:t xml:space="preserve">the ERG </w:t>
      </w:r>
      <w:r w:rsidRPr="00011343">
        <w:t>consultant reports that in-person training is also common. Given that the least cost</w:t>
      </w:r>
      <w:r w:rsidR="000C0ED6">
        <w:t>ly</w:t>
      </w:r>
      <w:r w:rsidRPr="00011343">
        <w:t xml:space="preserve"> option is to utilize online training, ERG estimate</w:t>
      </w:r>
      <w:r>
        <w:t>s</w:t>
      </w:r>
      <w:r w:rsidRPr="00011343">
        <w:t xml:space="preserve"> training costs based on fees for a one-day online course from </w:t>
      </w:r>
      <w:r w:rsidR="003422CD">
        <w:t>a private firm</w:t>
      </w:r>
      <w:r w:rsidRPr="00011343">
        <w:t xml:space="preserve">, which provides finished pharmaceuticals FDA-CGMP training for $339.96 for 10 employees. </w:t>
      </w:r>
      <w:r w:rsidR="00F600AA">
        <w:t xml:space="preserve">ERG estimates </w:t>
      </w:r>
      <w:r w:rsidRPr="00011343">
        <w:t xml:space="preserve">the typical small facility </w:t>
      </w:r>
      <w:r w:rsidR="006C59E8">
        <w:t>will</w:t>
      </w:r>
      <w:r w:rsidRPr="00011343">
        <w:t xml:space="preserve"> train </w:t>
      </w:r>
      <w:r w:rsidR="00C06496">
        <w:t>5</w:t>
      </w:r>
      <w:r w:rsidRPr="00011343">
        <w:t xml:space="preserve"> employees and one supervisor. ERG assume</w:t>
      </w:r>
      <w:r w:rsidR="006A06AA">
        <w:t>s</w:t>
      </w:r>
      <w:r w:rsidRPr="00011343">
        <w:t xml:space="preserve"> that the training requires eight hours and estimates training for small firms might average around $3,000 per firm (see</w:t>
      </w:r>
      <w:r>
        <w:t xml:space="preserve"> </w:t>
      </w:r>
      <w:r w:rsidRPr="006C4C47" w:rsidR="006C4C47">
        <w:fldChar w:fldCharType="begin"/>
      </w:r>
      <w:r w:rsidRPr="006C4C47" w:rsidR="006C4C47">
        <w:instrText xml:space="preserve"> REF _Ref36215746 \h </w:instrText>
      </w:r>
      <w:r w:rsidRPr="004F7AA6" w:rsidR="006C4C47">
        <w:instrText xml:space="preserve"> \* MERGEFORMAT </w:instrText>
      </w:r>
      <w:r w:rsidRPr="006C4C47" w:rsidR="006C4C47">
        <w:fldChar w:fldCharType="separate"/>
      </w:r>
      <w:r w:rsidRPr="004848C7" w:rsidR="00264BAF">
        <w:t xml:space="preserve">Table </w:t>
      </w:r>
      <w:r w:rsidRPr="004848C7" w:rsidR="00264BAF">
        <w:rPr>
          <w:noProof/>
        </w:rPr>
        <w:t>16</w:t>
      </w:r>
      <w:r w:rsidRPr="006C4C47" w:rsidR="006C4C47">
        <w:fldChar w:fldCharType="end"/>
      </w:r>
      <w:r w:rsidRPr="00011343">
        <w:t xml:space="preserve">), including maintaining the records of this training. </w:t>
      </w:r>
    </w:p>
    <w:p w:rsidR="00CD681B" w:rsidP="00CD681B" w14:paraId="130A1EA3" w14:textId="06460C3D"/>
    <w:p w:rsidR="00CD681B" w:rsidRPr="009320D0" w:rsidP="009320D0" w14:paraId="48503C67" w14:textId="6843A9CD">
      <w:pPr>
        <w:pStyle w:val="Caption"/>
        <w:keepNext/>
        <w:rPr>
          <w:b/>
        </w:rPr>
      </w:pPr>
      <w:bookmarkStart w:id="101" w:name="_Ref36215746"/>
      <w:bookmarkStart w:id="102" w:name="_Toc147238760"/>
      <w:r w:rsidRPr="009320D0">
        <w:rPr>
          <w:b/>
        </w:rPr>
        <w:t xml:space="preserve">Table </w:t>
      </w:r>
      <w:r w:rsidRPr="009320D0">
        <w:rPr>
          <w:b/>
        </w:rPr>
        <w:fldChar w:fldCharType="begin"/>
      </w:r>
      <w:r w:rsidRPr="009320D0">
        <w:rPr>
          <w:b/>
        </w:rPr>
        <w:instrText xml:space="preserve"> SEQ Table \* ARABIC </w:instrText>
      </w:r>
      <w:r w:rsidRPr="009320D0">
        <w:rPr>
          <w:b/>
        </w:rPr>
        <w:fldChar w:fldCharType="separate"/>
      </w:r>
      <w:r w:rsidR="00D61E3B">
        <w:rPr>
          <w:b/>
          <w:noProof/>
        </w:rPr>
        <w:t>16</w:t>
      </w:r>
      <w:r w:rsidRPr="009320D0">
        <w:rPr>
          <w:b/>
        </w:rPr>
        <w:fldChar w:fldCharType="end"/>
      </w:r>
      <w:bookmarkEnd w:id="101"/>
      <w:r w:rsidRPr="009320D0">
        <w:rPr>
          <w:b/>
        </w:rPr>
        <w:t xml:space="preserve">. </w:t>
      </w:r>
      <w:r>
        <w:rPr>
          <w:b/>
        </w:rPr>
        <w:t>Per Firm Cost of Training for Personnel Qualifications and Responsibilities</w:t>
      </w:r>
      <w:bookmarkEnd w:id="102"/>
    </w:p>
    <w:tbl>
      <w:tblPr>
        <w:tblW w:w="5000" w:type="pct"/>
        <w:jc w:val="center"/>
        <w:tblLayout w:type="fixed"/>
        <w:tblLook w:val="04A0"/>
      </w:tblPr>
      <w:tblGrid>
        <w:gridCol w:w="4495"/>
        <w:gridCol w:w="909"/>
        <w:gridCol w:w="910"/>
        <w:gridCol w:w="1331"/>
        <w:gridCol w:w="900"/>
        <w:gridCol w:w="805"/>
      </w:tblGrid>
      <w:tr w14:paraId="1E8DEC27" w14:textId="77777777" w:rsidTr="005D16D6">
        <w:tblPrEx>
          <w:tblW w:w="5000" w:type="pct"/>
          <w:jc w:val="center"/>
          <w:tblLayout w:type="fixed"/>
          <w:tblLook w:val="04A0"/>
        </w:tblPrEx>
        <w:trPr>
          <w:jc w:val="center"/>
        </w:trPr>
        <w:tc>
          <w:tcPr>
            <w:tcW w:w="449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rsidR="003422CD" w:rsidRPr="00FB3B16" w:rsidP="00F70002" w14:paraId="48EA7201" w14:textId="77777777">
            <w:pPr>
              <w:spacing w:after="0"/>
              <w:rPr>
                <w:b/>
                <w:bCs/>
                <w:sz w:val="22"/>
                <w:szCs w:val="22"/>
              </w:rPr>
            </w:pPr>
            <w:r w:rsidRPr="00FB3B16">
              <w:rPr>
                <w:b/>
                <w:bCs/>
                <w:sz w:val="22"/>
                <w:szCs w:val="22"/>
              </w:rPr>
              <w:t>Ongoing Costs (per Firm)</w:t>
            </w:r>
          </w:p>
        </w:tc>
        <w:tc>
          <w:tcPr>
            <w:tcW w:w="1819"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FB3B16" w:rsidP="00F70002" w14:paraId="65247E82" w14:textId="77777777">
            <w:pPr>
              <w:spacing w:after="0"/>
              <w:jc w:val="center"/>
              <w:rPr>
                <w:b/>
                <w:bCs/>
                <w:sz w:val="22"/>
                <w:szCs w:val="22"/>
              </w:rPr>
            </w:pPr>
            <w:r w:rsidRPr="00FB3B16">
              <w:rPr>
                <w:b/>
                <w:bCs/>
                <w:sz w:val="22"/>
                <w:szCs w:val="22"/>
              </w:rPr>
              <w:t>Labor Hours</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422CD" w:rsidRPr="00FB3B16" w:rsidP="00F70002" w14:paraId="44161B84" w14:textId="77777777">
            <w:pPr>
              <w:spacing w:after="0"/>
              <w:jc w:val="center"/>
              <w:rPr>
                <w:b/>
                <w:bCs/>
                <w:sz w:val="22"/>
                <w:szCs w:val="22"/>
              </w:rPr>
            </w:pPr>
            <w:r w:rsidRPr="00FB3B16">
              <w:rPr>
                <w:b/>
                <w:bCs/>
                <w:sz w:val="22"/>
                <w:szCs w:val="22"/>
              </w:rPr>
              <w:t>Wages/Cost per Unit</w:t>
            </w:r>
          </w:p>
        </w:tc>
        <w:tc>
          <w:tcPr>
            <w:tcW w:w="1705"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FB3B16" w:rsidP="00F70002" w14:paraId="1F2A6C13" w14:textId="77777777">
            <w:pPr>
              <w:spacing w:after="0"/>
              <w:jc w:val="center"/>
              <w:rPr>
                <w:b/>
                <w:bCs/>
                <w:sz w:val="22"/>
                <w:szCs w:val="22"/>
              </w:rPr>
            </w:pPr>
            <w:r w:rsidRPr="00FB3B16">
              <w:rPr>
                <w:b/>
                <w:bCs/>
                <w:sz w:val="22"/>
                <w:szCs w:val="22"/>
              </w:rPr>
              <w:t>Unit Costs</w:t>
            </w:r>
          </w:p>
        </w:tc>
      </w:tr>
      <w:tr w14:paraId="5E0157B6" w14:textId="77777777" w:rsidTr="005D16D6">
        <w:tblPrEx>
          <w:tblW w:w="5000" w:type="pct"/>
          <w:jc w:val="center"/>
          <w:tblLayout w:type="fixed"/>
          <w:tblLook w:val="04A0"/>
        </w:tblPrEx>
        <w:trPr>
          <w:jc w:val="center"/>
        </w:trPr>
        <w:tc>
          <w:tcPr>
            <w:tcW w:w="449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3422CD" w:rsidRPr="003B7206" w:rsidP="00F70002" w14:paraId="45A94ACA" w14:textId="77777777">
            <w:pPr>
              <w:spacing w:after="0"/>
              <w:rPr>
                <w:b/>
                <w:bCs/>
                <w:sz w:val="22"/>
                <w:szCs w:val="22"/>
              </w:rPr>
            </w:pPr>
          </w:p>
        </w:tc>
        <w:tc>
          <w:tcPr>
            <w:tcW w:w="90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3B7206" w:rsidP="00F70002" w14:paraId="0AA7112F" w14:textId="77777777">
            <w:pPr>
              <w:spacing w:after="0"/>
              <w:jc w:val="center"/>
              <w:rPr>
                <w:b/>
                <w:bCs/>
                <w:sz w:val="22"/>
                <w:szCs w:val="22"/>
              </w:rPr>
            </w:pPr>
            <w:r w:rsidRPr="003B7206">
              <w:rPr>
                <w:b/>
                <w:bCs/>
                <w:sz w:val="22"/>
                <w:szCs w:val="22"/>
              </w:rPr>
              <w:t>Small</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3B7206" w:rsidP="00F70002" w14:paraId="464AFDD5" w14:textId="77777777">
            <w:pPr>
              <w:spacing w:after="0"/>
              <w:jc w:val="center"/>
              <w:rPr>
                <w:b/>
                <w:bCs/>
                <w:sz w:val="22"/>
                <w:szCs w:val="22"/>
              </w:rPr>
            </w:pPr>
            <w:r w:rsidRPr="003B7206">
              <w:rPr>
                <w:b/>
                <w:bCs/>
                <w:sz w:val="22"/>
                <w:szCs w:val="22"/>
              </w:rPr>
              <w:t>Large</w:t>
            </w:r>
          </w:p>
        </w:tc>
        <w:tc>
          <w:tcPr>
            <w:tcW w:w="1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22CD" w:rsidRPr="003B7206" w:rsidP="00F70002" w14:paraId="45F8B257" w14:textId="77777777">
            <w:pPr>
              <w:spacing w:after="0"/>
              <w:rPr>
                <w:b/>
                <w:bCs/>
                <w:sz w:val="22"/>
                <w:szCs w:val="22"/>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3B7206" w:rsidP="00F70002" w14:paraId="70DE84E6" w14:textId="77777777">
            <w:pPr>
              <w:spacing w:after="0"/>
              <w:jc w:val="center"/>
              <w:rPr>
                <w:b/>
                <w:bCs/>
                <w:sz w:val="22"/>
                <w:szCs w:val="22"/>
              </w:rPr>
            </w:pPr>
            <w:r w:rsidRPr="003B7206">
              <w:rPr>
                <w:b/>
                <w:bCs/>
                <w:sz w:val="22"/>
                <w:szCs w:val="22"/>
              </w:rPr>
              <w:t>Small</w:t>
            </w:r>
          </w:p>
        </w:tc>
        <w:tc>
          <w:tcPr>
            <w:tcW w:w="80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422CD" w:rsidRPr="003B7206" w:rsidP="00F70002" w14:paraId="239D6ED5" w14:textId="77777777">
            <w:pPr>
              <w:spacing w:after="0"/>
              <w:jc w:val="center"/>
              <w:rPr>
                <w:b/>
                <w:bCs/>
                <w:sz w:val="22"/>
                <w:szCs w:val="22"/>
              </w:rPr>
            </w:pPr>
            <w:r w:rsidRPr="003B7206">
              <w:rPr>
                <w:b/>
                <w:bCs/>
                <w:sz w:val="22"/>
                <w:szCs w:val="22"/>
              </w:rPr>
              <w:t>Large</w:t>
            </w:r>
          </w:p>
        </w:tc>
      </w:tr>
      <w:tr w14:paraId="2336D436" w14:textId="77777777" w:rsidTr="005D16D6">
        <w:tblPrEx>
          <w:tblW w:w="5000" w:type="pct"/>
          <w:jc w:val="center"/>
          <w:tblLayout w:type="fixed"/>
          <w:tblLook w:val="04A0"/>
        </w:tblPrEx>
        <w:trPr>
          <w:jc w:val="center"/>
        </w:trPr>
        <w:tc>
          <w:tcPr>
            <w:tcW w:w="93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1343" w:rsidRPr="00FB3B16" w:rsidP="00F70002" w14:paraId="748EBEB3" w14:textId="77777777">
            <w:pPr>
              <w:spacing w:after="0"/>
              <w:rPr>
                <w:b/>
                <w:bCs/>
                <w:sz w:val="22"/>
                <w:szCs w:val="22"/>
              </w:rPr>
            </w:pPr>
            <w:r w:rsidRPr="00FB3B16">
              <w:rPr>
                <w:b/>
                <w:bCs/>
                <w:sz w:val="22"/>
                <w:szCs w:val="22"/>
              </w:rPr>
              <w:t xml:space="preserve">Annual Training </w:t>
            </w:r>
          </w:p>
        </w:tc>
      </w:tr>
      <w:tr w14:paraId="287B5E3F" w14:textId="77777777" w:rsidTr="005D16D6">
        <w:tblPrEx>
          <w:tblW w:w="5000" w:type="pct"/>
          <w:jc w:val="center"/>
          <w:tblLayout w:type="fixed"/>
          <w:tblLook w:val="04A0"/>
        </w:tblPrEx>
        <w:trPr>
          <w:jc w:val="center"/>
        </w:trPr>
        <w:tc>
          <w:tcPr>
            <w:tcW w:w="4495" w:type="dxa"/>
            <w:tcBorders>
              <w:top w:val="nil"/>
              <w:left w:val="single" w:sz="4" w:space="0" w:color="auto"/>
              <w:bottom w:val="single" w:sz="4" w:space="0" w:color="auto"/>
              <w:right w:val="single" w:sz="4" w:space="0" w:color="auto"/>
            </w:tcBorders>
            <w:shd w:val="clear" w:color="auto" w:fill="auto"/>
            <w:vAlign w:val="center"/>
            <w:hideMark/>
          </w:tcPr>
          <w:p w:rsidR="003422CD" w:rsidRPr="00FB3B16" w:rsidP="00F70002" w14:paraId="0977E6C6" w14:textId="77777777">
            <w:pPr>
              <w:spacing w:after="0"/>
              <w:rPr>
                <w:sz w:val="22"/>
                <w:szCs w:val="22"/>
              </w:rPr>
            </w:pPr>
            <w:r w:rsidRPr="00FB3B16">
              <w:rPr>
                <w:sz w:val="22"/>
                <w:szCs w:val="22"/>
              </w:rPr>
              <w:t>Fee for online course for average firm</w:t>
            </w:r>
          </w:p>
        </w:tc>
        <w:tc>
          <w:tcPr>
            <w:tcW w:w="909"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57DCF486" w14:textId="77777777">
            <w:pPr>
              <w:spacing w:after="0"/>
              <w:jc w:val="center"/>
              <w:rPr>
                <w:color w:val="000000"/>
                <w:sz w:val="22"/>
                <w:szCs w:val="22"/>
              </w:rPr>
            </w:pPr>
            <w:r w:rsidRPr="00FB3B16">
              <w:rPr>
                <w:color w:val="000000"/>
                <w:sz w:val="22"/>
                <w:szCs w:val="22"/>
              </w:rPr>
              <w:t>NA</w:t>
            </w:r>
          </w:p>
        </w:tc>
        <w:tc>
          <w:tcPr>
            <w:tcW w:w="91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529D942B" w14:textId="77777777">
            <w:pPr>
              <w:spacing w:after="0"/>
              <w:jc w:val="center"/>
              <w:rPr>
                <w:color w:val="000000"/>
                <w:sz w:val="22"/>
                <w:szCs w:val="22"/>
              </w:rPr>
            </w:pPr>
            <w:r w:rsidRPr="00FB3B16">
              <w:rPr>
                <w:color w:val="000000"/>
                <w:sz w:val="22"/>
                <w:szCs w:val="22"/>
              </w:rPr>
              <w:t>NA</w:t>
            </w:r>
          </w:p>
        </w:tc>
        <w:tc>
          <w:tcPr>
            <w:tcW w:w="1331"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024A0726" w14:textId="77777777">
            <w:pPr>
              <w:spacing w:after="0"/>
              <w:jc w:val="center"/>
              <w:rPr>
                <w:sz w:val="22"/>
                <w:szCs w:val="22"/>
              </w:rPr>
            </w:pPr>
            <w:r w:rsidRPr="00FB3B16">
              <w:rPr>
                <w:sz w:val="22"/>
                <w:szCs w:val="22"/>
              </w:rPr>
              <w:t>$340</w:t>
            </w:r>
          </w:p>
        </w:tc>
        <w:tc>
          <w:tcPr>
            <w:tcW w:w="90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6D00E1E4" w14:textId="77777777">
            <w:pPr>
              <w:spacing w:after="0"/>
              <w:jc w:val="center"/>
              <w:rPr>
                <w:color w:val="000000"/>
                <w:sz w:val="22"/>
                <w:szCs w:val="22"/>
              </w:rPr>
            </w:pPr>
            <w:r w:rsidRPr="00FB3B16">
              <w:rPr>
                <w:color w:val="000000"/>
                <w:sz w:val="22"/>
                <w:szCs w:val="22"/>
              </w:rPr>
              <w:t>$340</w:t>
            </w:r>
          </w:p>
        </w:tc>
        <w:tc>
          <w:tcPr>
            <w:tcW w:w="805"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55E6E4A9" w14:textId="77777777">
            <w:pPr>
              <w:spacing w:after="0"/>
              <w:jc w:val="center"/>
              <w:rPr>
                <w:color w:val="000000"/>
                <w:sz w:val="22"/>
                <w:szCs w:val="22"/>
              </w:rPr>
            </w:pPr>
            <w:r w:rsidRPr="00FB3B16">
              <w:rPr>
                <w:color w:val="000000"/>
                <w:sz w:val="22"/>
                <w:szCs w:val="22"/>
              </w:rPr>
              <w:t>$0</w:t>
            </w:r>
          </w:p>
        </w:tc>
      </w:tr>
      <w:tr w14:paraId="03C36B59" w14:textId="77777777" w:rsidTr="005D16D6">
        <w:tblPrEx>
          <w:tblW w:w="5000" w:type="pct"/>
          <w:jc w:val="center"/>
          <w:tblLayout w:type="fixed"/>
          <w:tblLook w:val="04A0"/>
        </w:tblPrEx>
        <w:trPr>
          <w:jc w:val="center"/>
        </w:trPr>
        <w:tc>
          <w:tcPr>
            <w:tcW w:w="4495" w:type="dxa"/>
            <w:tcBorders>
              <w:top w:val="nil"/>
              <w:left w:val="single" w:sz="4" w:space="0" w:color="auto"/>
              <w:bottom w:val="single" w:sz="4" w:space="0" w:color="auto"/>
              <w:right w:val="single" w:sz="4" w:space="0" w:color="auto"/>
            </w:tcBorders>
            <w:shd w:val="clear" w:color="auto" w:fill="auto"/>
            <w:vAlign w:val="center"/>
            <w:hideMark/>
          </w:tcPr>
          <w:p w:rsidR="003422CD" w:rsidRPr="00FB3B16" w:rsidP="00F70002" w14:paraId="1FDB50F5" w14:textId="77777777">
            <w:pPr>
              <w:spacing w:after="0"/>
              <w:rPr>
                <w:sz w:val="22"/>
                <w:szCs w:val="22"/>
              </w:rPr>
            </w:pPr>
            <w:r w:rsidRPr="00FB3B16">
              <w:rPr>
                <w:sz w:val="22"/>
                <w:szCs w:val="22"/>
              </w:rPr>
              <w:t>Eight hours of training for one plant supervisor</w:t>
            </w:r>
          </w:p>
        </w:tc>
        <w:tc>
          <w:tcPr>
            <w:tcW w:w="909"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3BBD9814" w14:textId="77777777">
            <w:pPr>
              <w:spacing w:after="0"/>
              <w:jc w:val="center"/>
              <w:rPr>
                <w:sz w:val="22"/>
                <w:szCs w:val="22"/>
              </w:rPr>
            </w:pPr>
            <w:r w:rsidRPr="00FB3B16">
              <w:rPr>
                <w:sz w:val="22"/>
                <w:szCs w:val="22"/>
              </w:rPr>
              <w:t>8</w:t>
            </w:r>
          </w:p>
        </w:tc>
        <w:tc>
          <w:tcPr>
            <w:tcW w:w="91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737FFF45" w14:textId="77777777">
            <w:pPr>
              <w:spacing w:after="0"/>
              <w:jc w:val="center"/>
              <w:rPr>
                <w:color w:val="000000"/>
                <w:sz w:val="22"/>
                <w:szCs w:val="22"/>
              </w:rPr>
            </w:pPr>
            <w:r w:rsidRPr="00FB3B16">
              <w:rPr>
                <w:color w:val="000000"/>
                <w:sz w:val="22"/>
                <w:szCs w:val="22"/>
              </w:rPr>
              <w:t>NA</w:t>
            </w:r>
          </w:p>
        </w:tc>
        <w:tc>
          <w:tcPr>
            <w:tcW w:w="1331"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1070E943" w14:textId="7C9E00FF">
            <w:pPr>
              <w:spacing w:after="0"/>
              <w:jc w:val="center"/>
              <w:rPr>
                <w:sz w:val="22"/>
                <w:szCs w:val="22"/>
              </w:rPr>
            </w:pPr>
            <w:r w:rsidRPr="00FB3B16">
              <w:rPr>
                <w:sz w:val="22"/>
                <w:szCs w:val="22"/>
              </w:rPr>
              <w:t>$7</w:t>
            </w:r>
            <w:r w:rsidR="0072227F">
              <w:rPr>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56B17818" w14:textId="16B9B255">
            <w:pPr>
              <w:spacing w:after="0"/>
              <w:jc w:val="center"/>
              <w:rPr>
                <w:color w:val="000000"/>
                <w:sz w:val="22"/>
                <w:szCs w:val="22"/>
              </w:rPr>
            </w:pPr>
            <w:r w:rsidRPr="00FB3B16">
              <w:rPr>
                <w:color w:val="000000"/>
                <w:sz w:val="22"/>
                <w:szCs w:val="22"/>
              </w:rPr>
              <w:t>$</w:t>
            </w:r>
            <w:r w:rsidR="00824851">
              <w:rPr>
                <w:color w:val="000000"/>
                <w:sz w:val="22"/>
                <w:szCs w:val="22"/>
              </w:rPr>
              <w:t>604</w:t>
            </w:r>
          </w:p>
        </w:tc>
        <w:tc>
          <w:tcPr>
            <w:tcW w:w="805"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715918DE" w14:textId="77777777">
            <w:pPr>
              <w:spacing w:after="0"/>
              <w:jc w:val="center"/>
              <w:rPr>
                <w:color w:val="000000"/>
                <w:sz w:val="22"/>
                <w:szCs w:val="22"/>
              </w:rPr>
            </w:pPr>
            <w:r w:rsidRPr="00FB3B16">
              <w:rPr>
                <w:color w:val="000000"/>
                <w:sz w:val="22"/>
                <w:szCs w:val="22"/>
              </w:rPr>
              <w:t>$0</w:t>
            </w:r>
          </w:p>
        </w:tc>
      </w:tr>
      <w:tr w14:paraId="14E8AE96" w14:textId="77777777" w:rsidTr="005D16D6">
        <w:tblPrEx>
          <w:tblW w:w="5000" w:type="pct"/>
          <w:jc w:val="center"/>
          <w:tblLayout w:type="fixed"/>
          <w:tblLook w:val="04A0"/>
        </w:tblPrEx>
        <w:trPr>
          <w:jc w:val="center"/>
        </w:trPr>
        <w:tc>
          <w:tcPr>
            <w:tcW w:w="4495" w:type="dxa"/>
            <w:tcBorders>
              <w:top w:val="nil"/>
              <w:left w:val="single" w:sz="4" w:space="0" w:color="auto"/>
              <w:bottom w:val="single" w:sz="4" w:space="0" w:color="auto"/>
              <w:right w:val="single" w:sz="4" w:space="0" w:color="auto"/>
            </w:tcBorders>
            <w:shd w:val="clear" w:color="auto" w:fill="auto"/>
            <w:vAlign w:val="center"/>
            <w:hideMark/>
          </w:tcPr>
          <w:p w:rsidR="003422CD" w:rsidRPr="00FB3B16" w:rsidP="00F70002" w14:paraId="7AF9DEFE" w14:textId="77777777">
            <w:pPr>
              <w:spacing w:after="0"/>
              <w:rPr>
                <w:sz w:val="22"/>
                <w:szCs w:val="22"/>
              </w:rPr>
            </w:pPr>
            <w:r w:rsidRPr="00FB3B16">
              <w:rPr>
                <w:sz w:val="22"/>
                <w:szCs w:val="22"/>
              </w:rPr>
              <w:t>Eight hours of training for 5 plant and system operators</w:t>
            </w:r>
          </w:p>
        </w:tc>
        <w:tc>
          <w:tcPr>
            <w:tcW w:w="909"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5EECA6CE" w14:textId="77777777">
            <w:pPr>
              <w:spacing w:after="0"/>
              <w:jc w:val="center"/>
              <w:rPr>
                <w:sz w:val="22"/>
                <w:szCs w:val="22"/>
              </w:rPr>
            </w:pPr>
            <w:r w:rsidRPr="00FB3B16">
              <w:rPr>
                <w:sz w:val="22"/>
                <w:szCs w:val="22"/>
              </w:rPr>
              <w:t>40</w:t>
            </w:r>
          </w:p>
        </w:tc>
        <w:tc>
          <w:tcPr>
            <w:tcW w:w="91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37C81729" w14:textId="77777777">
            <w:pPr>
              <w:spacing w:after="0"/>
              <w:jc w:val="center"/>
              <w:rPr>
                <w:color w:val="000000"/>
                <w:sz w:val="22"/>
                <w:szCs w:val="22"/>
              </w:rPr>
            </w:pPr>
            <w:r w:rsidRPr="00FB3B16">
              <w:rPr>
                <w:color w:val="000000"/>
                <w:sz w:val="22"/>
                <w:szCs w:val="22"/>
              </w:rPr>
              <w:t>NA</w:t>
            </w:r>
          </w:p>
        </w:tc>
        <w:tc>
          <w:tcPr>
            <w:tcW w:w="1331"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122D5012" w14:textId="002A9889">
            <w:pPr>
              <w:spacing w:after="0"/>
              <w:jc w:val="center"/>
              <w:rPr>
                <w:sz w:val="22"/>
                <w:szCs w:val="22"/>
              </w:rPr>
            </w:pPr>
            <w:r w:rsidRPr="00FB3B16">
              <w:rPr>
                <w:sz w:val="22"/>
                <w:szCs w:val="22"/>
              </w:rPr>
              <w:t>$5</w:t>
            </w:r>
            <w:r w:rsidR="00DE5FF4">
              <w:rPr>
                <w:sz w:val="22"/>
                <w:szCs w:val="22"/>
              </w:rPr>
              <w:t>6</w:t>
            </w:r>
          </w:p>
        </w:tc>
        <w:tc>
          <w:tcPr>
            <w:tcW w:w="900"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6F6583A6" w14:textId="6CFB2A29">
            <w:pPr>
              <w:spacing w:after="0"/>
              <w:jc w:val="center"/>
              <w:rPr>
                <w:color w:val="000000"/>
                <w:sz w:val="22"/>
                <w:szCs w:val="22"/>
              </w:rPr>
            </w:pPr>
            <w:r w:rsidRPr="00FB3B16">
              <w:rPr>
                <w:color w:val="000000"/>
                <w:sz w:val="22"/>
                <w:szCs w:val="22"/>
              </w:rPr>
              <w:t>$2,</w:t>
            </w:r>
            <w:r w:rsidR="00824851">
              <w:rPr>
                <w:color w:val="000000"/>
                <w:sz w:val="22"/>
                <w:szCs w:val="22"/>
              </w:rPr>
              <w:t>224</w:t>
            </w:r>
          </w:p>
        </w:tc>
        <w:tc>
          <w:tcPr>
            <w:tcW w:w="805" w:type="dxa"/>
            <w:tcBorders>
              <w:top w:val="nil"/>
              <w:left w:val="nil"/>
              <w:bottom w:val="single" w:sz="4" w:space="0" w:color="auto"/>
              <w:right w:val="single" w:sz="4" w:space="0" w:color="auto"/>
            </w:tcBorders>
            <w:shd w:val="clear" w:color="auto" w:fill="auto"/>
            <w:noWrap/>
            <w:vAlign w:val="center"/>
            <w:hideMark/>
          </w:tcPr>
          <w:p w:rsidR="003422CD" w:rsidRPr="00FB3B16" w:rsidP="00AC2CB0" w14:paraId="24787197" w14:textId="77777777">
            <w:pPr>
              <w:spacing w:after="0"/>
              <w:jc w:val="center"/>
              <w:rPr>
                <w:color w:val="000000"/>
                <w:sz w:val="22"/>
                <w:szCs w:val="22"/>
              </w:rPr>
            </w:pPr>
            <w:r w:rsidRPr="00FB3B16">
              <w:rPr>
                <w:color w:val="000000"/>
                <w:sz w:val="22"/>
                <w:szCs w:val="22"/>
              </w:rPr>
              <w:t>$0</w:t>
            </w:r>
          </w:p>
        </w:tc>
      </w:tr>
      <w:tr w14:paraId="198220FE" w14:textId="77777777" w:rsidTr="005D16D6">
        <w:tblPrEx>
          <w:tblW w:w="5000" w:type="pct"/>
          <w:jc w:val="center"/>
          <w:tblLayout w:type="fixed"/>
          <w:tblLook w:val="04A0"/>
        </w:tblPrEx>
        <w:trPr>
          <w:jc w:val="center"/>
        </w:trPr>
        <w:tc>
          <w:tcPr>
            <w:tcW w:w="44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B4151" w:rsidRPr="003B7206" w:rsidP="00F70002" w14:paraId="61E2431F" w14:textId="70DFA9C6">
            <w:pPr>
              <w:spacing w:after="0"/>
              <w:rPr>
                <w:b/>
                <w:bCs/>
                <w:sz w:val="22"/>
                <w:szCs w:val="22"/>
              </w:rPr>
            </w:pPr>
            <w:r w:rsidRPr="003B7206">
              <w:rPr>
                <w:b/>
                <w:bCs/>
                <w:sz w:val="22"/>
                <w:szCs w:val="22"/>
              </w:rPr>
              <w:t xml:space="preserve">Total </w:t>
            </w:r>
            <w:r w:rsidR="00AE12E6">
              <w:rPr>
                <w:b/>
                <w:bCs/>
                <w:sz w:val="22"/>
                <w:szCs w:val="22"/>
              </w:rPr>
              <w:t>c</w:t>
            </w:r>
            <w:r w:rsidRPr="003B7206">
              <w:rPr>
                <w:b/>
                <w:bCs/>
                <w:sz w:val="22"/>
                <w:szCs w:val="22"/>
              </w:rPr>
              <w:t>ost</w:t>
            </w:r>
          </w:p>
        </w:tc>
        <w:tc>
          <w:tcPr>
            <w:tcW w:w="909" w:type="dxa"/>
            <w:tcBorders>
              <w:top w:val="nil"/>
              <w:left w:val="nil"/>
              <w:bottom w:val="single" w:sz="4" w:space="0" w:color="auto"/>
              <w:right w:val="single" w:sz="4" w:space="0" w:color="auto"/>
            </w:tcBorders>
            <w:shd w:val="clear" w:color="auto" w:fill="D9D9D9" w:themeFill="background1" w:themeFillShade="D9"/>
            <w:noWrap/>
            <w:vAlign w:val="center"/>
          </w:tcPr>
          <w:p w:rsidR="004B4151" w:rsidRPr="00FB3B16" w:rsidP="00AC2CB0" w14:paraId="4035DFB1" w14:textId="77777777">
            <w:pPr>
              <w:spacing w:after="0"/>
              <w:jc w:val="center"/>
              <w:rPr>
                <w:sz w:val="22"/>
                <w:szCs w:val="22"/>
              </w:rPr>
            </w:pPr>
          </w:p>
        </w:tc>
        <w:tc>
          <w:tcPr>
            <w:tcW w:w="910" w:type="dxa"/>
            <w:tcBorders>
              <w:top w:val="nil"/>
              <w:left w:val="nil"/>
              <w:bottom w:val="single" w:sz="4" w:space="0" w:color="auto"/>
              <w:right w:val="single" w:sz="4" w:space="0" w:color="auto"/>
            </w:tcBorders>
            <w:shd w:val="clear" w:color="auto" w:fill="D9D9D9" w:themeFill="background1" w:themeFillShade="D9"/>
            <w:noWrap/>
            <w:vAlign w:val="center"/>
          </w:tcPr>
          <w:p w:rsidR="004B4151" w:rsidRPr="00FB3B16" w:rsidP="00AC2CB0" w14:paraId="6DD36490" w14:textId="77777777">
            <w:pPr>
              <w:spacing w:after="0"/>
              <w:jc w:val="center"/>
              <w:rPr>
                <w:color w:val="000000"/>
                <w:sz w:val="22"/>
                <w:szCs w:val="22"/>
              </w:rPr>
            </w:pPr>
          </w:p>
        </w:tc>
        <w:tc>
          <w:tcPr>
            <w:tcW w:w="1331" w:type="dxa"/>
            <w:tcBorders>
              <w:top w:val="nil"/>
              <w:left w:val="nil"/>
              <w:bottom w:val="single" w:sz="4" w:space="0" w:color="auto"/>
              <w:right w:val="single" w:sz="4" w:space="0" w:color="auto"/>
            </w:tcBorders>
            <w:shd w:val="clear" w:color="auto" w:fill="D9D9D9" w:themeFill="background1" w:themeFillShade="D9"/>
            <w:noWrap/>
            <w:vAlign w:val="center"/>
          </w:tcPr>
          <w:p w:rsidR="004B4151" w:rsidRPr="00FB3B16" w:rsidP="00AC2CB0" w14:paraId="61C5CB4B" w14:textId="77777777">
            <w:pPr>
              <w:spacing w:after="0"/>
              <w:jc w:val="center"/>
              <w:rPr>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rsidR="004B4151" w:rsidRPr="00FB3B16" w:rsidP="00AC2CB0" w14:paraId="7C14D422" w14:textId="77777777">
            <w:pPr>
              <w:spacing w:after="0"/>
              <w:jc w:val="center"/>
              <w:rPr>
                <w:color w:val="000000"/>
                <w:sz w:val="22"/>
                <w:szCs w:val="22"/>
              </w:rPr>
            </w:pPr>
          </w:p>
        </w:tc>
        <w:tc>
          <w:tcPr>
            <w:tcW w:w="805" w:type="dxa"/>
            <w:tcBorders>
              <w:top w:val="nil"/>
              <w:left w:val="nil"/>
              <w:bottom w:val="single" w:sz="4" w:space="0" w:color="auto"/>
              <w:right w:val="single" w:sz="4" w:space="0" w:color="auto"/>
            </w:tcBorders>
            <w:shd w:val="clear" w:color="auto" w:fill="D9D9D9" w:themeFill="background1" w:themeFillShade="D9"/>
            <w:noWrap/>
            <w:vAlign w:val="center"/>
          </w:tcPr>
          <w:p w:rsidR="004B4151" w:rsidRPr="00FB3B16" w:rsidP="00AC2CB0" w14:paraId="461B1F07" w14:textId="77777777">
            <w:pPr>
              <w:spacing w:after="0"/>
              <w:jc w:val="center"/>
              <w:rPr>
                <w:color w:val="000000"/>
                <w:sz w:val="22"/>
                <w:szCs w:val="22"/>
              </w:rPr>
            </w:pPr>
          </w:p>
        </w:tc>
      </w:tr>
      <w:tr w14:paraId="7C729DD1" w14:textId="77777777" w:rsidTr="005D16D6">
        <w:tblPrEx>
          <w:tblW w:w="5000" w:type="pct"/>
          <w:jc w:val="center"/>
          <w:tblLayout w:type="fixed"/>
          <w:tblLook w:val="04A0"/>
        </w:tblPrEx>
        <w:trPr>
          <w:trHeight w:val="134"/>
          <w:jc w:val="center"/>
        </w:trPr>
        <w:tc>
          <w:tcPr>
            <w:tcW w:w="4495" w:type="dxa"/>
            <w:tcBorders>
              <w:top w:val="nil"/>
              <w:left w:val="single" w:sz="4" w:space="0" w:color="auto"/>
              <w:bottom w:val="single" w:sz="4" w:space="0" w:color="auto"/>
              <w:right w:val="single" w:sz="4" w:space="0" w:color="auto"/>
            </w:tcBorders>
            <w:shd w:val="clear" w:color="auto" w:fill="auto"/>
            <w:noWrap/>
            <w:vAlign w:val="center"/>
            <w:hideMark/>
          </w:tcPr>
          <w:p w:rsidR="003422CD" w:rsidRPr="003B7206" w:rsidP="00F70002" w14:paraId="3D7E611F" w14:textId="246A0350">
            <w:pPr>
              <w:spacing w:after="0"/>
              <w:rPr>
                <w:sz w:val="22"/>
                <w:szCs w:val="22"/>
              </w:rPr>
            </w:pPr>
            <w:r w:rsidRPr="003B7206">
              <w:rPr>
                <w:sz w:val="22"/>
                <w:szCs w:val="22"/>
              </w:rPr>
              <w:t xml:space="preserve">Total </w:t>
            </w:r>
            <w:r w:rsidR="00AE12E6">
              <w:rPr>
                <w:sz w:val="22"/>
                <w:szCs w:val="22"/>
              </w:rPr>
              <w:t>u</w:t>
            </w:r>
            <w:r w:rsidRPr="003B7206">
              <w:rPr>
                <w:sz w:val="22"/>
                <w:szCs w:val="22"/>
              </w:rPr>
              <w:t xml:space="preserve">nit </w:t>
            </w:r>
            <w:r w:rsidR="00AE12E6">
              <w:rPr>
                <w:sz w:val="22"/>
                <w:szCs w:val="22"/>
              </w:rPr>
              <w:t>c</w:t>
            </w:r>
            <w:r w:rsidRPr="003B7206">
              <w:rPr>
                <w:sz w:val="22"/>
                <w:szCs w:val="22"/>
              </w:rPr>
              <w:t>ost</w:t>
            </w:r>
          </w:p>
        </w:tc>
        <w:tc>
          <w:tcPr>
            <w:tcW w:w="909" w:type="dxa"/>
            <w:tcBorders>
              <w:top w:val="nil"/>
              <w:left w:val="nil"/>
              <w:bottom w:val="single" w:sz="4" w:space="0" w:color="auto"/>
              <w:right w:val="single" w:sz="4" w:space="0" w:color="auto"/>
            </w:tcBorders>
            <w:shd w:val="clear" w:color="auto" w:fill="auto"/>
            <w:noWrap/>
            <w:vAlign w:val="center"/>
            <w:hideMark/>
          </w:tcPr>
          <w:p w:rsidR="003422CD" w:rsidRPr="003B7206" w:rsidP="00AC2CB0" w14:paraId="3460B7AE" w14:textId="635F5827">
            <w:pPr>
              <w:spacing w:after="0"/>
              <w:jc w:val="center"/>
              <w:rPr>
                <w:sz w:val="22"/>
                <w:szCs w:val="22"/>
              </w:rPr>
            </w:pPr>
          </w:p>
        </w:tc>
        <w:tc>
          <w:tcPr>
            <w:tcW w:w="910" w:type="dxa"/>
            <w:tcBorders>
              <w:top w:val="nil"/>
              <w:left w:val="nil"/>
              <w:bottom w:val="single" w:sz="4" w:space="0" w:color="auto"/>
              <w:right w:val="single" w:sz="4" w:space="0" w:color="auto"/>
            </w:tcBorders>
            <w:shd w:val="clear" w:color="auto" w:fill="auto"/>
            <w:noWrap/>
            <w:vAlign w:val="center"/>
            <w:hideMark/>
          </w:tcPr>
          <w:p w:rsidR="003422CD" w:rsidRPr="003B7206" w:rsidP="00AC2CB0" w14:paraId="7D736ABE" w14:textId="5BC5AC67">
            <w:pPr>
              <w:spacing w:after="0"/>
              <w:jc w:val="center"/>
              <w:rPr>
                <w:sz w:val="22"/>
                <w:szCs w:val="22"/>
              </w:rPr>
            </w:pPr>
          </w:p>
        </w:tc>
        <w:tc>
          <w:tcPr>
            <w:tcW w:w="1331" w:type="dxa"/>
            <w:tcBorders>
              <w:top w:val="nil"/>
              <w:left w:val="nil"/>
              <w:bottom w:val="single" w:sz="4" w:space="0" w:color="auto"/>
              <w:right w:val="single" w:sz="4" w:space="0" w:color="auto"/>
            </w:tcBorders>
            <w:shd w:val="clear" w:color="auto" w:fill="auto"/>
            <w:noWrap/>
            <w:vAlign w:val="center"/>
            <w:hideMark/>
          </w:tcPr>
          <w:p w:rsidR="003422CD" w:rsidRPr="003B7206" w:rsidP="00AC2CB0" w14:paraId="4FD307BD" w14:textId="4973DC42">
            <w:pPr>
              <w:spacing w:after="0"/>
              <w:jc w:val="center"/>
              <w:rPr>
                <w:sz w:val="22"/>
                <w:szCs w:val="22"/>
              </w:rPr>
            </w:pPr>
          </w:p>
        </w:tc>
        <w:tc>
          <w:tcPr>
            <w:tcW w:w="900" w:type="dxa"/>
            <w:tcBorders>
              <w:top w:val="nil"/>
              <w:left w:val="nil"/>
              <w:bottom w:val="single" w:sz="4" w:space="0" w:color="auto"/>
              <w:right w:val="single" w:sz="4" w:space="0" w:color="auto"/>
            </w:tcBorders>
            <w:shd w:val="clear" w:color="auto" w:fill="auto"/>
            <w:noWrap/>
            <w:vAlign w:val="center"/>
            <w:hideMark/>
          </w:tcPr>
          <w:p w:rsidR="003422CD" w:rsidRPr="003B7206" w:rsidP="00AC2CB0" w14:paraId="6DDCBC4B" w14:textId="7A8D6B70">
            <w:pPr>
              <w:spacing w:after="0"/>
              <w:jc w:val="center"/>
              <w:rPr>
                <w:color w:val="000000"/>
                <w:sz w:val="22"/>
                <w:szCs w:val="22"/>
              </w:rPr>
            </w:pPr>
            <w:r w:rsidRPr="003B7206">
              <w:rPr>
                <w:color w:val="000000"/>
                <w:sz w:val="22"/>
                <w:szCs w:val="22"/>
              </w:rPr>
              <w:t>$</w:t>
            </w:r>
            <w:r w:rsidR="00DE5FF4">
              <w:rPr>
                <w:color w:val="000000"/>
                <w:sz w:val="22"/>
                <w:szCs w:val="22"/>
              </w:rPr>
              <w:t>3,1</w:t>
            </w:r>
            <w:r w:rsidR="00824851">
              <w:rPr>
                <w:color w:val="000000"/>
                <w:sz w:val="22"/>
                <w:szCs w:val="22"/>
              </w:rPr>
              <w:t>67</w:t>
            </w:r>
          </w:p>
        </w:tc>
        <w:tc>
          <w:tcPr>
            <w:tcW w:w="805" w:type="dxa"/>
            <w:tcBorders>
              <w:top w:val="nil"/>
              <w:left w:val="nil"/>
              <w:bottom w:val="single" w:sz="4" w:space="0" w:color="auto"/>
              <w:right w:val="single" w:sz="4" w:space="0" w:color="auto"/>
            </w:tcBorders>
            <w:shd w:val="clear" w:color="auto" w:fill="auto"/>
            <w:noWrap/>
            <w:vAlign w:val="center"/>
            <w:hideMark/>
          </w:tcPr>
          <w:p w:rsidR="003422CD" w:rsidRPr="003B7206" w:rsidP="00AC2CB0" w14:paraId="483072E5" w14:textId="77777777">
            <w:pPr>
              <w:spacing w:after="0"/>
              <w:jc w:val="center"/>
              <w:rPr>
                <w:color w:val="000000"/>
                <w:sz w:val="22"/>
                <w:szCs w:val="22"/>
              </w:rPr>
            </w:pPr>
            <w:r w:rsidRPr="003B7206">
              <w:rPr>
                <w:color w:val="000000"/>
                <w:sz w:val="22"/>
                <w:szCs w:val="22"/>
              </w:rPr>
              <w:t>$0</w:t>
            </w:r>
          </w:p>
        </w:tc>
      </w:tr>
    </w:tbl>
    <w:p w:rsidR="00011343" w:rsidP="00011343" w14:paraId="3E9A84EE" w14:textId="303ADF5D">
      <w:pPr>
        <w:ind w:firstLine="360"/>
      </w:pPr>
    </w:p>
    <w:p w:rsidR="00922C90" w:rsidP="00011343" w14:paraId="3C2DBE27" w14:textId="77777777">
      <w:pPr>
        <w:ind w:firstLine="360"/>
      </w:pPr>
    </w:p>
    <w:p w:rsidR="00D407BD" w:rsidP="00AF5734" w14:paraId="52BAF797" w14:textId="5895D21B">
      <w:pPr>
        <w:ind w:firstLine="720"/>
      </w:pPr>
      <w:r w:rsidRPr="00987A52">
        <w:fldChar w:fldCharType="begin"/>
      </w:r>
      <w:r w:rsidRPr="00501AF1">
        <w:instrText xml:space="preserve"> REF _Ref36647603 \h </w:instrText>
      </w:r>
      <w:r w:rsidRPr="000E6DD7">
        <w:instrText xml:space="preserve"> \* MERGEFORMAT </w:instrText>
      </w:r>
      <w:r w:rsidRPr="00987A52">
        <w:fldChar w:fldCharType="separate"/>
      </w:r>
      <w:r w:rsidRPr="004848C7" w:rsidR="00264BAF">
        <w:t xml:space="preserve">Table </w:t>
      </w:r>
      <w:r w:rsidRPr="004848C7" w:rsidR="00264BAF">
        <w:rPr>
          <w:noProof/>
        </w:rPr>
        <w:t>17</w:t>
      </w:r>
      <w:r w:rsidRPr="00987A52">
        <w:fldChar w:fldCharType="end"/>
      </w:r>
      <w:r w:rsidRPr="00987A52">
        <w:t xml:space="preserve"> shows the costs of small firms becoming compl</w:t>
      </w:r>
      <w:r w:rsidR="004C5F4A">
        <w:t>i</w:t>
      </w:r>
      <w:r w:rsidRPr="00987A52">
        <w:t xml:space="preserve">ant with the personnel </w:t>
      </w:r>
      <w:r w:rsidRPr="00AA0928">
        <w:t xml:space="preserve">qualifications and responsibilities. </w:t>
      </w:r>
      <w:r w:rsidRPr="00501AF1" w:rsidR="00011343">
        <w:t>We use ERG’s estimate of an annual cost to small firms of $</w:t>
      </w:r>
      <w:r w:rsidR="00DE5FF4">
        <w:t>3,1</w:t>
      </w:r>
      <w:r w:rsidR="00824851">
        <w:t>67.48</w:t>
      </w:r>
      <w:r w:rsidRPr="00501AF1" w:rsidR="00011343">
        <w:t xml:space="preserve"> to estimate the total ongoing cost for small firms that are currently noncompliant with </w:t>
      </w:r>
      <w:r w:rsidR="00F46FB1">
        <w:t xml:space="preserve">current </w:t>
      </w:r>
      <w:r w:rsidRPr="00987A52" w:rsidR="00F46FB1">
        <w:t xml:space="preserve">personnel </w:t>
      </w:r>
      <w:r w:rsidRPr="00AA0928" w:rsidR="00F46FB1">
        <w:t>qualifications and responsibilities</w:t>
      </w:r>
      <w:r w:rsidR="00F46FB1">
        <w:t xml:space="preserve"> requirements</w:t>
      </w:r>
      <w:r w:rsidRPr="00501AF1" w:rsidR="00011343">
        <w:t>. The total ongoing cost</w:t>
      </w:r>
      <w:r w:rsidR="00011343">
        <w:t xml:space="preserve">s range from $0.00 million to </w:t>
      </w:r>
      <w:r w:rsidR="003B4DE1">
        <w:t>$</w:t>
      </w:r>
      <w:r w:rsidR="00364EE0">
        <w:t>1.</w:t>
      </w:r>
      <w:r w:rsidR="00DE5FF4">
        <w:t>1</w:t>
      </w:r>
      <w:r w:rsidR="00824851">
        <w:t>1</w:t>
      </w:r>
      <w:r w:rsidR="00011343">
        <w:t xml:space="preserve"> million with a primary estimate of $0.</w:t>
      </w:r>
      <w:r w:rsidR="00364EE0">
        <w:t>5</w:t>
      </w:r>
      <w:r w:rsidR="00DE5FF4">
        <w:t>5</w:t>
      </w:r>
      <w:r w:rsidR="00011343">
        <w:t xml:space="preserve"> million.</w:t>
      </w:r>
    </w:p>
    <w:p w:rsidR="00CD524F" w:rsidP="00F70002" w14:paraId="4C8557C5" w14:textId="77777777"/>
    <w:p w:rsidR="00CD681B" w:rsidRPr="009320D0" w:rsidP="009320D0" w14:paraId="388B25DF" w14:textId="3E184BA6">
      <w:pPr>
        <w:pStyle w:val="Caption"/>
        <w:keepNext/>
        <w:rPr>
          <w:b/>
        </w:rPr>
      </w:pPr>
      <w:bookmarkStart w:id="103" w:name="_Ref36647603"/>
      <w:bookmarkStart w:id="104" w:name="_Toc147238761"/>
      <w:r w:rsidRPr="009320D0">
        <w:rPr>
          <w:b/>
        </w:rPr>
        <w:t xml:space="preserve">Table </w:t>
      </w:r>
      <w:r w:rsidRPr="009320D0">
        <w:rPr>
          <w:b/>
        </w:rPr>
        <w:fldChar w:fldCharType="begin"/>
      </w:r>
      <w:r w:rsidRPr="009320D0">
        <w:rPr>
          <w:b/>
        </w:rPr>
        <w:instrText xml:space="preserve"> SEQ Table \* ARABIC </w:instrText>
      </w:r>
      <w:r w:rsidRPr="009320D0">
        <w:rPr>
          <w:b/>
        </w:rPr>
        <w:fldChar w:fldCharType="separate"/>
      </w:r>
      <w:r w:rsidR="00D61E3B">
        <w:rPr>
          <w:b/>
          <w:noProof/>
        </w:rPr>
        <w:t>17</w:t>
      </w:r>
      <w:r w:rsidRPr="009320D0">
        <w:rPr>
          <w:b/>
        </w:rPr>
        <w:fldChar w:fldCharType="end"/>
      </w:r>
      <w:bookmarkEnd w:id="103"/>
      <w:r w:rsidRPr="009320D0">
        <w:rPr>
          <w:b/>
        </w:rPr>
        <w:t xml:space="preserve">. </w:t>
      </w:r>
      <w:r w:rsidRPr="00CD681B">
        <w:rPr>
          <w:b/>
        </w:rPr>
        <w:t xml:space="preserve">Cost of Full Compliance with Personnel </w:t>
      </w:r>
      <w:r w:rsidR="00501AF1">
        <w:rPr>
          <w:b/>
        </w:rPr>
        <w:t>Q</w:t>
      </w:r>
      <w:r w:rsidRPr="00CD681B">
        <w:rPr>
          <w:b/>
        </w:rPr>
        <w:t xml:space="preserve">ualifications and </w:t>
      </w:r>
      <w:r w:rsidR="00501AF1">
        <w:rPr>
          <w:b/>
        </w:rPr>
        <w:t>R</w:t>
      </w:r>
      <w:r w:rsidRPr="00CD681B">
        <w:rPr>
          <w:b/>
        </w:rPr>
        <w:t>esponsibilities</w:t>
      </w:r>
      <w:bookmarkEnd w:id="104"/>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7"/>
        <w:gridCol w:w="1679"/>
        <w:gridCol w:w="1591"/>
        <w:gridCol w:w="1478"/>
        <w:gridCol w:w="1175"/>
      </w:tblGrid>
      <w:tr w14:paraId="272D66A8" w14:textId="77E6534A" w:rsidTr="00E9361D">
        <w:tblPrEx>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3427" w:type="dxa"/>
            <w:shd w:val="clear" w:color="auto" w:fill="D9D9D9" w:themeFill="background1" w:themeFillShade="D9"/>
          </w:tcPr>
          <w:p w:rsidR="00364EE0" w:rsidRPr="005D16D6" w:rsidP="001B4513" w14:paraId="5EBE361E" w14:textId="77777777">
            <w:pPr>
              <w:spacing w:after="0"/>
              <w:jc w:val="center"/>
              <w:rPr>
                <w:rFonts w:eastAsia="Times New Roman"/>
                <w:b/>
                <w:bCs/>
                <w:color w:val="000000"/>
                <w:sz w:val="22"/>
                <w:szCs w:val="22"/>
              </w:rPr>
            </w:pPr>
          </w:p>
        </w:tc>
        <w:tc>
          <w:tcPr>
            <w:tcW w:w="1679" w:type="dxa"/>
            <w:shd w:val="clear" w:color="auto" w:fill="D9D9D9" w:themeFill="background1" w:themeFillShade="D9"/>
            <w:vAlign w:val="center"/>
            <w:hideMark/>
          </w:tcPr>
          <w:p w:rsidR="00364EE0" w:rsidRPr="005D16D6" w:rsidP="00C346DD" w14:paraId="7B882738" w14:textId="53723092">
            <w:pPr>
              <w:spacing w:after="0"/>
              <w:jc w:val="center"/>
              <w:rPr>
                <w:rFonts w:eastAsia="Times New Roman"/>
                <w:b/>
                <w:bCs/>
                <w:color w:val="000000"/>
                <w:sz w:val="22"/>
                <w:szCs w:val="22"/>
              </w:rPr>
            </w:pPr>
            <w:r w:rsidRPr="005D16D6">
              <w:rPr>
                <w:rFonts w:eastAsia="Times New Roman"/>
                <w:b/>
                <w:bCs/>
                <w:color w:val="000000"/>
                <w:sz w:val="22"/>
                <w:szCs w:val="22"/>
              </w:rPr>
              <w:t>Original Manufacturers</w:t>
            </w:r>
          </w:p>
        </w:tc>
        <w:tc>
          <w:tcPr>
            <w:tcW w:w="1591" w:type="dxa"/>
            <w:shd w:val="clear" w:color="auto" w:fill="D9D9D9" w:themeFill="background1" w:themeFillShade="D9"/>
            <w:vAlign w:val="center"/>
            <w:hideMark/>
          </w:tcPr>
          <w:p w:rsidR="00364EE0" w:rsidRPr="005D16D6" w:rsidP="00C346DD" w14:paraId="31558AE7" w14:textId="1F5005E5">
            <w:pPr>
              <w:spacing w:after="0"/>
              <w:jc w:val="center"/>
              <w:rPr>
                <w:rFonts w:eastAsia="Times New Roman"/>
                <w:b/>
                <w:bCs/>
                <w:color w:val="000000"/>
                <w:sz w:val="22"/>
                <w:szCs w:val="22"/>
              </w:rPr>
            </w:pPr>
            <w:r w:rsidRPr="005D16D6">
              <w:rPr>
                <w:rFonts w:eastAsia="Times New Roman"/>
                <w:b/>
                <w:bCs/>
                <w:color w:val="000000"/>
                <w:sz w:val="22"/>
                <w:szCs w:val="22"/>
              </w:rPr>
              <w:t>Downstream Persons and Entities</w:t>
            </w:r>
            <w:r w:rsidRPr="005D16D6" w:rsidR="00516F9E">
              <w:rPr>
                <w:rFonts w:eastAsia="Times New Roman"/>
                <w:b/>
                <w:bCs/>
                <w:color w:val="000000"/>
                <w:sz w:val="22"/>
                <w:szCs w:val="22"/>
              </w:rPr>
              <w:t xml:space="preserve"> </w:t>
            </w:r>
            <w:r w:rsidRPr="005D16D6">
              <w:rPr>
                <w:rFonts w:eastAsia="Times New Roman"/>
                <w:b/>
                <w:bCs/>
                <w:color w:val="000000"/>
                <w:sz w:val="22"/>
                <w:szCs w:val="22"/>
              </w:rPr>
              <w:t>Not Engaged in Homecare</w:t>
            </w:r>
          </w:p>
        </w:tc>
        <w:tc>
          <w:tcPr>
            <w:tcW w:w="1478" w:type="dxa"/>
            <w:shd w:val="clear" w:color="auto" w:fill="D9D9D9" w:themeFill="background1" w:themeFillShade="D9"/>
            <w:vAlign w:val="center"/>
            <w:hideMark/>
          </w:tcPr>
          <w:p w:rsidR="00364EE0" w:rsidRPr="005D16D6" w:rsidP="00C346DD" w14:paraId="71F45DF7" w14:textId="5D03F403">
            <w:pPr>
              <w:spacing w:after="0"/>
              <w:jc w:val="center"/>
              <w:rPr>
                <w:rFonts w:eastAsia="Times New Roman"/>
                <w:b/>
                <w:bCs/>
                <w:color w:val="000000"/>
                <w:sz w:val="22"/>
                <w:szCs w:val="22"/>
              </w:rPr>
            </w:pPr>
            <w:r w:rsidRPr="005D16D6">
              <w:rPr>
                <w:rFonts w:eastAsia="Times New Roman"/>
                <w:b/>
                <w:bCs/>
                <w:color w:val="000000"/>
                <w:sz w:val="22"/>
                <w:szCs w:val="22"/>
              </w:rPr>
              <w:t>Downstream Persons and Entities Engaged in Homecare</w:t>
            </w:r>
          </w:p>
          <w:p w:rsidR="00364EE0" w:rsidRPr="005D16D6" w:rsidP="00AC2CB0" w14:paraId="39BE87A0" w14:textId="02E04CF1">
            <w:pPr>
              <w:jc w:val="center"/>
              <w:rPr>
                <w:rFonts w:eastAsia="Times New Roman"/>
                <w:sz w:val="22"/>
                <w:szCs w:val="22"/>
              </w:rPr>
            </w:pPr>
          </w:p>
        </w:tc>
        <w:tc>
          <w:tcPr>
            <w:tcW w:w="1175" w:type="dxa"/>
            <w:shd w:val="clear" w:color="auto" w:fill="D9D9D9" w:themeFill="background1" w:themeFillShade="D9"/>
            <w:vAlign w:val="center"/>
          </w:tcPr>
          <w:p w:rsidR="00364EE0" w:rsidRPr="005D16D6" w:rsidP="00220847" w14:paraId="5A16370A" w14:textId="17EBDC24">
            <w:pPr>
              <w:spacing w:after="0"/>
              <w:jc w:val="center"/>
              <w:rPr>
                <w:rFonts w:eastAsia="Times New Roman"/>
                <w:b/>
                <w:bCs/>
                <w:color w:val="000000"/>
                <w:sz w:val="22"/>
                <w:szCs w:val="22"/>
              </w:rPr>
            </w:pPr>
            <w:r w:rsidRPr="005D16D6">
              <w:rPr>
                <w:rFonts w:eastAsia="Times New Roman"/>
                <w:b/>
                <w:bCs/>
                <w:color w:val="000000"/>
                <w:sz w:val="22"/>
                <w:szCs w:val="22"/>
              </w:rPr>
              <w:t>Total</w:t>
            </w:r>
          </w:p>
        </w:tc>
      </w:tr>
      <w:tr w14:paraId="4E7EECD3" w14:textId="214A6FE6" w:rsidTr="00E9361D">
        <w:tblPrEx>
          <w:tblW w:w="5000" w:type="pct"/>
          <w:tblInd w:w="10" w:type="dxa"/>
          <w:tblLayout w:type="fixed"/>
          <w:tblLook w:val="04A0"/>
        </w:tblPrEx>
        <w:trPr>
          <w:trHeight w:val="80"/>
        </w:trPr>
        <w:tc>
          <w:tcPr>
            <w:tcW w:w="3427" w:type="dxa"/>
            <w:shd w:val="clear" w:color="auto" w:fill="auto"/>
            <w:vAlign w:val="center"/>
            <w:hideMark/>
          </w:tcPr>
          <w:p w:rsidR="00364EE0" w:rsidRPr="005D16D6" w:rsidP="001B4513" w14:paraId="7401833F" w14:textId="1066352E">
            <w:pPr>
              <w:spacing w:after="0"/>
              <w:rPr>
                <w:rFonts w:eastAsia="Times New Roman"/>
                <w:color w:val="000000"/>
                <w:sz w:val="22"/>
                <w:szCs w:val="22"/>
              </w:rPr>
            </w:pPr>
            <w:r w:rsidRPr="005D16D6">
              <w:rPr>
                <w:rFonts w:eastAsia="Times New Roman"/>
                <w:color w:val="000000"/>
                <w:sz w:val="22"/>
                <w:szCs w:val="22"/>
              </w:rPr>
              <w:t>Affected Entities</w:t>
            </w:r>
          </w:p>
        </w:tc>
        <w:tc>
          <w:tcPr>
            <w:tcW w:w="1679" w:type="dxa"/>
            <w:shd w:val="clear" w:color="auto" w:fill="auto"/>
            <w:vAlign w:val="center"/>
            <w:hideMark/>
          </w:tcPr>
          <w:p w:rsidR="00364EE0" w:rsidRPr="005D16D6" w:rsidP="00220847" w14:paraId="0A3E6335" w14:textId="2B6D34E8">
            <w:pPr>
              <w:spacing w:after="0"/>
              <w:jc w:val="center"/>
              <w:rPr>
                <w:rFonts w:eastAsia="Times New Roman"/>
                <w:color w:val="000000"/>
                <w:sz w:val="22"/>
                <w:szCs w:val="22"/>
              </w:rPr>
            </w:pPr>
            <w:r w:rsidRPr="005D16D6">
              <w:rPr>
                <w:rFonts w:eastAsia="Times New Roman"/>
                <w:color w:val="000000"/>
                <w:sz w:val="22"/>
                <w:szCs w:val="22"/>
              </w:rPr>
              <w:t>316</w:t>
            </w:r>
          </w:p>
        </w:tc>
        <w:tc>
          <w:tcPr>
            <w:tcW w:w="1591" w:type="dxa"/>
            <w:shd w:val="clear" w:color="auto" w:fill="auto"/>
            <w:vAlign w:val="center"/>
            <w:hideMark/>
          </w:tcPr>
          <w:p w:rsidR="00364EE0" w:rsidRPr="005D16D6" w:rsidP="00220847" w14:paraId="722D5281" w14:textId="7B4E0284">
            <w:pPr>
              <w:spacing w:after="0"/>
              <w:jc w:val="center"/>
              <w:rPr>
                <w:rFonts w:eastAsia="Times New Roman"/>
                <w:color w:val="000000"/>
                <w:sz w:val="22"/>
                <w:szCs w:val="22"/>
              </w:rPr>
            </w:pPr>
            <w:r w:rsidRPr="005D16D6">
              <w:rPr>
                <w:rFonts w:eastAsia="Times New Roman"/>
                <w:color w:val="000000"/>
                <w:sz w:val="22"/>
                <w:szCs w:val="22"/>
              </w:rPr>
              <w:t>1,078</w:t>
            </w:r>
          </w:p>
        </w:tc>
        <w:tc>
          <w:tcPr>
            <w:tcW w:w="1478" w:type="dxa"/>
            <w:shd w:val="clear" w:color="auto" w:fill="auto"/>
            <w:vAlign w:val="center"/>
            <w:hideMark/>
          </w:tcPr>
          <w:p w:rsidR="00364EE0" w:rsidRPr="005D16D6" w:rsidP="00220847" w14:paraId="46CA006B" w14:textId="420A446B">
            <w:pPr>
              <w:spacing w:after="0"/>
              <w:jc w:val="center"/>
              <w:rPr>
                <w:rFonts w:eastAsia="Times New Roman"/>
                <w:color w:val="000000"/>
                <w:sz w:val="22"/>
                <w:szCs w:val="22"/>
              </w:rPr>
            </w:pPr>
            <w:r w:rsidRPr="005D16D6">
              <w:rPr>
                <w:rFonts w:eastAsia="Times New Roman"/>
                <w:color w:val="000000"/>
                <w:sz w:val="22"/>
                <w:szCs w:val="22"/>
              </w:rPr>
              <w:t>302</w:t>
            </w:r>
          </w:p>
        </w:tc>
        <w:tc>
          <w:tcPr>
            <w:tcW w:w="1175" w:type="dxa"/>
            <w:vAlign w:val="center"/>
          </w:tcPr>
          <w:p w:rsidR="00364EE0" w:rsidRPr="005D16D6" w:rsidP="00220847" w14:paraId="3FB3884C" w14:textId="3708908A">
            <w:pPr>
              <w:spacing w:after="0"/>
              <w:jc w:val="center"/>
              <w:rPr>
                <w:rFonts w:eastAsia="Times New Roman"/>
                <w:color w:val="000000"/>
                <w:sz w:val="22"/>
                <w:szCs w:val="22"/>
              </w:rPr>
            </w:pPr>
            <w:r w:rsidRPr="005D16D6">
              <w:rPr>
                <w:rFonts w:eastAsia="Times New Roman"/>
                <w:color w:val="000000"/>
                <w:sz w:val="22"/>
                <w:szCs w:val="22"/>
              </w:rPr>
              <w:t>1,696</w:t>
            </w:r>
          </w:p>
        </w:tc>
      </w:tr>
      <w:tr w14:paraId="3565B24B" w14:textId="658098DC" w:rsidTr="00E9361D">
        <w:tblPrEx>
          <w:tblW w:w="5000" w:type="pct"/>
          <w:tblInd w:w="10" w:type="dxa"/>
          <w:tblLayout w:type="fixed"/>
          <w:tblLook w:val="04A0"/>
        </w:tblPrEx>
        <w:trPr>
          <w:trHeight w:val="42"/>
        </w:trPr>
        <w:tc>
          <w:tcPr>
            <w:tcW w:w="3427" w:type="dxa"/>
            <w:shd w:val="clear" w:color="auto" w:fill="auto"/>
            <w:vAlign w:val="center"/>
            <w:hideMark/>
          </w:tcPr>
          <w:p w:rsidR="00364EE0" w:rsidRPr="005D16D6" w:rsidP="001B4513" w14:paraId="76504054" w14:textId="780F46D9">
            <w:pPr>
              <w:spacing w:after="0"/>
              <w:rPr>
                <w:rFonts w:eastAsia="Times New Roman"/>
                <w:color w:val="000000"/>
                <w:sz w:val="22"/>
                <w:szCs w:val="22"/>
              </w:rPr>
            </w:pPr>
            <w:r w:rsidRPr="005D16D6">
              <w:rPr>
                <w:rFonts w:eastAsia="Times New Roman"/>
                <w:color w:val="000000"/>
                <w:sz w:val="22"/>
                <w:szCs w:val="22"/>
              </w:rPr>
              <w:t>Percent noncompliant establishments (low)</w:t>
            </w:r>
          </w:p>
        </w:tc>
        <w:tc>
          <w:tcPr>
            <w:tcW w:w="1679" w:type="dxa"/>
            <w:shd w:val="clear" w:color="auto" w:fill="auto"/>
            <w:vAlign w:val="center"/>
            <w:hideMark/>
          </w:tcPr>
          <w:p w:rsidR="00364EE0" w:rsidRPr="005D16D6" w:rsidP="00220847" w14:paraId="03B4322D" w14:textId="1F45E1FC">
            <w:pPr>
              <w:spacing w:after="0"/>
              <w:jc w:val="center"/>
              <w:rPr>
                <w:rFonts w:eastAsia="Times New Roman"/>
                <w:color w:val="000000"/>
                <w:sz w:val="22"/>
                <w:szCs w:val="22"/>
              </w:rPr>
            </w:pPr>
            <w:r w:rsidRPr="005D16D6">
              <w:rPr>
                <w:rFonts w:eastAsia="Times New Roman"/>
                <w:color w:val="000000"/>
                <w:sz w:val="22"/>
                <w:szCs w:val="22"/>
              </w:rPr>
              <w:t>0%</w:t>
            </w:r>
          </w:p>
        </w:tc>
        <w:tc>
          <w:tcPr>
            <w:tcW w:w="1591" w:type="dxa"/>
            <w:shd w:val="clear" w:color="auto" w:fill="auto"/>
            <w:vAlign w:val="center"/>
            <w:hideMark/>
          </w:tcPr>
          <w:p w:rsidR="00364EE0" w:rsidRPr="005D16D6" w:rsidP="00220847" w14:paraId="0BDF7129" w14:textId="7EED9180">
            <w:pPr>
              <w:spacing w:after="0"/>
              <w:jc w:val="center"/>
              <w:rPr>
                <w:rFonts w:eastAsia="Times New Roman"/>
                <w:color w:val="000000"/>
                <w:sz w:val="22"/>
                <w:szCs w:val="22"/>
              </w:rPr>
            </w:pPr>
            <w:r w:rsidRPr="005D16D6">
              <w:rPr>
                <w:rFonts w:eastAsia="Times New Roman"/>
                <w:color w:val="000000"/>
                <w:sz w:val="22"/>
                <w:szCs w:val="22"/>
              </w:rPr>
              <w:t>0%</w:t>
            </w:r>
          </w:p>
        </w:tc>
        <w:tc>
          <w:tcPr>
            <w:tcW w:w="1478" w:type="dxa"/>
            <w:shd w:val="clear" w:color="auto" w:fill="auto"/>
            <w:vAlign w:val="center"/>
            <w:hideMark/>
          </w:tcPr>
          <w:p w:rsidR="00364EE0" w:rsidRPr="005D16D6" w:rsidP="00220847" w14:paraId="110985FB" w14:textId="4E71B8E9">
            <w:pPr>
              <w:spacing w:after="0"/>
              <w:jc w:val="center"/>
              <w:rPr>
                <w:rFonts w:eastAsia="Times New Roman"/>
                <w:color w:val="000000"/>
                <w:sz w:val="22"/>
                <w:szCs w:val="22"/>
              </w:rPr>
            </w:pPr>
            <w:r w:rsidRPr="005D16D6">
              <w:rPr>
                <w:rFonts w:eastAsia="Times New Roman"/>
                <w:color w:val="000000"/>
                <w:sz w:val="22"/>
                <w:szCs w:val="22"/>
              </w:rPr>
              <w:t>0%</w:t>
            </w:r>
          </w:p>
        </w:tc>
        <w:tc>
          <w:tcPr>
            <w:tcW w:w="1175" w:type="dxa"/>
            <w:vAlign w:val="center"/>
          </w:tcPr>
          <w:p w:rsidR="00364EE0" w:rsidRPr="005D16D6" w:rsidP="00220847" w14:paraId="1175142E" w14:textId="68AF9A69">
            <w:pPr>
              <w:spacing w:after="0"/>
              <w:jc w:val="center"/>
              <w:rPr>
                <w:rFonts w:eastAsia="Times New Roman"/>
                <w:color w:val="000000"/>
                <w:sz w:val="22"/>
                <w:szCs w:val="22"/>
              </w:rPr>
            </w:pPr>
            <w:r w:rsidRPr="005D16D6">
              <w:rPr>
                <w:rFonts w:eastAsia="Times New Roman"/>
                <w:color w:val="000000"/>
                <w:sz w:val="22"/>
                <w:szCs w:val="22"/>
              </w:rPr>
              <w:t>0%</w:t>
            </w:r>
          </w:p>
        </w:tc>
      </w:tr>
      <w:tr w14:paraId="0E51130F" w14:textId="5393DD89" w:rsidTr="00E9361D">
        <w:tblPrEx>
          <w:tblW w:w="5000" w:type="pct"/>
          <w:tblInd w:w="10" w:type="dxa"/>
          <w:tblLayout w:type="fixed"/>
          <w:tblLook w:val="04A0"/>
        </w:tblPrEx>
        <w:trPr>
          <w:trHeight w:val="206"/>
        </w:trPr>
        <w:tc>
          <w:tcPr>
            <w:tcW w:w="3427" w:type="dxa"/>
            <w:shd w:val="clear" w:color="auto" w:fill="auto"/>
            <w:vAlign w:val="center"/>
            <w:hideMark/>
          </w:tcPr>
          <w:p w:rsidR="00364EE0" w:rsidRPr="005D16D6" w:rsidP="001B4513" w14:paraId="1975C55C" w14:textId="04E37B0F">
            <w:pPr>
              <w:spacing w:after="0"/>
              <w:rPr>
                <w:rFonts w:eastAsia="Times New Roman"/>
                <w:color w:val="000000"/>
                <w:sz w:val="22"/>
                <w:szCs w:val="22"/>
              </w:rPr>
            </w:pPr>
            <w:r w:rsidRPr="005D16D6">
              <w:rPr>
                <w:rFonts w:eastAsia="Times New Roman"/>
                <w:color w:val="000000"/>
                <w:sz w:val="22"/>
                <w:szCs w:val="22"/>
              </w:rPr>
              <w:t>Percent noncompliant establishments (high)</w:t>
            </w:r>
          </w:p>
        </w:tc>
        <w:tc>
          <w:tcPr>
            <w:tcW w:w="1679" w:type="dxa"/>
            <w:shd w:val="clear" w:color="auto" w:fill="auto"/>
            <w:vAlign w:val="center"/>
            <w:hideMark/>
          </w:tcPr>
          <w:p w:rsidR="00364EE0" w:rsidRPr="005D16D6" w:rsidP="00220847" w14:paraId="3D730C97" w14:textId="633AEBF0">
            <w:pPr>
              <w:spacing w:after="0"/>
              <w:jc w:val="center"/>
              <w:rPr>
                <w:rFonts w:eastAsia="Times New Roman"/>
                <w:color w:val="000000"/>
                <w:sz w:val="22"/>
                <w:szCs w:val="22"/>
              </w:rPr>
            </w:pPr>
            <w:r w:rsidRPr="005D16D6">
              <w:rPr>
                <w:rFonts w:eastAsia="Times New Roman"/>
                <w:color w:val="000000"/>
                <w:sz w:val="22"/>
                <w:szCs w:val="22"/>
              </w:rPr>
              <w:t>1%</w:t>
            </w:r>
          </w:p>
        </w:tc>
        <w:tc>
          <w:tcPr>
            <w:tcW w:w="1591" w:type="dxa"/>
            <w:shd w:val="clear" w:color="auto" w:fill="auto"/>
            <w:vAlign w:val="center"/>
            <w:hideMark/>
          </w:tcPr>
          <w:p w:rsidR="00364EE0" w:rsidRPr="005D16D6" w:rsidP="00220847" w14:paraId="15418C34" w14:textId="7A9C76AD">
            <w:pPr>
              <w:spacing w:after="0"/>
              <w:jc w:val="center"/>
              <w:rPr>
                <w:rFonts w:eastAsia="Times New Roman"/>
                <w:color w:val="000000"/>
                <w:sz w:val="22"/>
                <w:szCs w:val="22"/>
              </w:rPr>
            </w:pPr>
            <w:r w:rsidRPr="005D16D6">
              <w:rPr>
                <w:rFonts w:eastAsia="Times New Roman"/>
                <w:color w:val="000000"/>
                <w:sz w:val="22"/>
                <w:szCs w:val="22"/>
              </w:rPr>
              <w:t>23%</w:t>
            </w:r>
          </w:p>
        </w:tc>
        <w:tc>
          <w:tcPr>
            <w:tcW w:w="1478" w:type="dxa"/>
            <w:shd w:val="clear" w:color="auto" w:fill="auto"/>
            <w:vAlign w:val="center"/>
            <w:hideMark/>
          </w:tcPr>
          <w:p w:rsidR="00364EE0" w:rsidRPr="005D16D6" w:rsidP="00220847" w14:paraId="144AA2B7" w14:textId="1EEF8328">
            <w:pPr>
              <w:spacing w:after="0"/>
              <w:jc w:val="center"/>
              <w:rPr>
                <w:rFonts w:eastAsia="Times New Roman"/>
                <w:color w:val="000000"/>
                <w:sz w:val="22"/>
                <w:szCs w:val="22"/>
              </w:rPr>
            </w:pPr>
            <w:r w:rsidRPr="005D16D6">
              <w:rPr>
                <w:rFonts w:eastAsia="Times New Roman"/>
                <w:color w:val="000000"/>
                <w:sz w:val="22"/>
                <w:szCs w:val="22"/>
              </w:rPr>
              <w:t>32%</w:t>
            </w:r>
          </w:p>
        </w:tc>
        <w:tc>
          <w:tcPr>
            <w:tcW w:w="1175" w:type="dxa"/>
            <w:vAlign w:val="center"/>
          </w:tcPr>
          <w:p w:rsidR="00364EE0" w:rsidRPr="005D16D6" w:rsidP="00220847" w14:paraId="6AA6ACC7" w14:textId="61C832CE">
            <w:pPr>
              <w:spacing w:after="0"/>
              <w:jc w:val="center"/>
              <w:rPr>
                <w:rFonts w:eastAsia="Times New Roman"/>
                <w:color w:val="000000"/>
                <w:sz w:val="22"/>
                <w:szCs w:val="22"/>
              </w:rPr>
            </w:pPr>
            <w:r w:rsidRPr="005D16D6">
              <w:rPr>
                <w:rFonts w:eastAsia="Times New Roman"/>
                <w:color w:val="000000"/>
                <w:sz w:val="22"/>
                <w:szCs w:val="22"/>
              </w:rPr>
              <w:t>21%</w:t>
            </w:r>
          </w:p>
        </w:tc>
      </w:tr>
      <w:tr w14:paraId="21C00533" w14:textId="173F5099" w:rsidTr="00E9361D">
        <w:tblPrEx>
          <w:tblW w:w="5000" w:type="pct"/>
          <w:tblInd w:w="10" w:type="dxa"/>
          <w:tblLayout w:type="fixed"/>
          <w:tblLook w:val="04A0"/>
        </w:tblPrEx>
        <w:trPr>
          <w:trHeight w:val="296"/>
        </w:trPr>
        <w:tc>
          <w:tcPr>
            <w:tcW w:w="3427" w:type="dxa"/>
            <w:shd w:val="clear" w:color="auto" w:fill="auto"/>
            <w:vAlign w:val="center"/>
            <w:hideMark/>
          </w:tcPr>
          <w:p w:rsidR="00364EE0" w:rsidRPr="005D16D6" w:rsidP="001B4513" w14:paraId="5754F25A" w14:textId="2D642064">
            <w:pPr>
              <w:spacing w:after="0"/>
              <w:rPr>
                <w:rFonts w:eastAsia="Times New Roman"/>
                <w:color w:val="000000"/>
                <w:sz w:val="22"/>
                <w:szCs w:val="22"/>
              </w:rPr>
            </w:pPr>
            <w:r w:rsidRPr="005D16D6">
              <w:rPr>
                <w:rFonts w:eastAsia="Times New Roman"/>
                <w:color w:val="000000"/>
                <w:sz w:val="22"/>
                <w:szCs w:val="22"/>
              </w:rPr>
              <w:t>Noncompliant establishments count (low)</w:t>
            </w:r>
          </w:p>
        </w:tc>
        <w:tc>
          <w:tcPr>
            <w:tcW w:w="1679" w:type="dxa"/>
            <w:shd w:val="clear" w:color="auto" w:fill="auto"/>
            <w:vAlign w:val="center"/>
            <w:hideMark/>
          </w:tcPr>
          <w:p w:rsidR="00364EE0" w:rsidRPr="005D16D6" w:rsidP="00220847" w14:paraId="429BC768" w14:textId="62311A4F">
            <w:pPr>
              <w:spacing w:after="0"/>
              <w:jc w:val="center"/>
              <w:rPr>
                <w:rFonts w:eastAsia="Times New Roman"/>
                <w:color w:val="000000"/>
                <w:sz w:val="22"/>
                <w:szCs w:val="22"/>
              </w:rPr>
            </w:pPr>
            <w:r w:rsidRPr="005D16D6">
              <w:rPr>
                <w:rFonts w:eastAsia="Times New Roman"/>
                <w:color w:val="000000"/>
                <w:sz w:val="22"/>
                <w:szCs w:val="22"/>
              </w:rPr>
              <w:t>0</w:t>
            </w:r>
          </w:p>
        </w:tc>
        <w:tc>
          <w:tcPr>
            <w:tcW w:w="1591" w:type="dxa"/>
            <w:shd w:val="clear" w:color="auto" w:fill="auto"/>
            <w:vAlign w:val="center"/>
            <w:hideMark/>
          </w:tcPr>
          <w:p w:rsidR="00364EE0" w:rsidRPr="005D16D6" w:rsidP="00220847" w14:paraId="7806E305" w14:textId="60CFC210">
            <w:pPr>
              <w:spacing w:after="0"/>
              <w:jc w:val="center"/>
              <w:rPr>
                <w:rFonts w:eastAsia="Times New Roman"/>
                <w:color w:val="000000"/>
                <w:sz w:val="22"/>
                <w:szCs w:val="22"/>
              </w:rPr>
            </w:pPr>
            <w:r w:rsidRPr="005D16D6">
              <w:rPr>
                <w:rFonts w:eastAsia="Times New Roman"/>
                <w:color w:val="000000"/>
                <w:sz w:val="22"/>
                <w:szCs w:val="22"/>
              </w:rPr>
              <w:t>0</w:t>
            </w:r>
          </w:p>
        </w:tc>
        <w:tc>
          <w:tcPr>
            <w:tcW w:w="1478" w:type="dxa"/>
            <w:shd w:val="clear" w:color="auto" w:fill="auto"/>
            <w:vAlign w:val="center"/>
            <w:hideMark/>
          </w:tcPr>
          <w:p w:rsidR="00364EE0" w:rsidRPr="005D16D6" w:rsidP="00220847" w14:paraId="3706FA60" w14:textId="7EBEEB6F">
            <w:pPr>
              <w:spacing w:after="0"/>
              <w:jc w:val="center"/>
              <w:rPr>
                <w:rFonts w:eastAsia="Times New Roman"/>
                <w:color w:val="000000"/>
                <w:sz w:val="22"/>
                <w:szCs w:val="22"/>
              </w:rPr>
            </w:pPr>
            <w:r w:rsidRPr="005D16D6">
              <w:rPr>
                <w:rFonts w:eastAsia="Times New Roman"/>
                <w:color w:val="000000"/>
                <w:sz w:val="22"/>
                <w:szCs w:val="22"/>
              </w:rPr>
              <w:t>0</w:t>
            </w:r>
          </w:p>
        </w:tc>
        <w:tc>
          <w:tcPr>
            <w:tcW w:w="1175" w:type="dxa"/>
            <w:vAlign w:val="center"/>
          </w:tcPr>
          <w:p w:rsidR="00364EE0" w:rsidRPr="005D16D6" w:rsidP="00220847" w14:paraId="7303AC2F" w14:textId="5851EB37">
            <w:pPr>
              <w:spacing w:after="0"/>
              <w:jc w:val="center"/>
              <w:rPr>
                <w:rFonts w:eastAsia="Times New Roman"/>
                <w:color w:val="000000"/>
                <w:sz w:val="22"/>
                <w:szCs w:val="22"/>
              </w:rPr>
            </w:pPr>
            <w:r w:rsidRPr="005D16D6">
              <w:rPr>
                <w:rFonts w:eastAsia="Times New Roman"/>
                <w:color w:val="000000"/>
                <w:sz w:val="22"/>
                <w:szCs w:val="22"/>
              </w:rPr>
              <w:t>0</w:t>
            </w:r>
          </w:p>
        </w:tc>
      </w:tr>
      <w:tr w14:paraId="3D55F26C" w14:textId="6EF18686" w:rsidTr="00E9361D">
        <w:tblPrEx>
          <w:tblW w:w="5000" w:type="pct"/>
          <w:tblInd w:w="10" w:type="dxa"/>
          <w:tblLayout w:type="fixed"/>
          <w:tblLook w:val="04A0"/>
        </w:tblPrEx>
        <w:trPr>
          <w:trHeight w:val="143"/>
        </w:trPr>
        <w:tc>
          <w:tcPr>
            <w:tcW w:w="3427" w:type="dxa"/>
            <w:shd w:val="clear" w:color="auto" w:fill="auto"/>
            <w:vAlign w:val="center"/>
            <w:hideMark/>
          </w:tcPr>
          <w:p w:rsidR="00364EE0" w:rsidRPr="005D16D6" w:rsidP="001B4513" w14:paraId="5E944493" w14:textId="63B06646">
            <w:pPr>
              <w:spacing w:after="0"/>
              <w:rPr>
                <w:rFonts w:eastAsia="Times New Roman"/>
                <w:color w:val="000000"/>
                <w:sz w:val="22"/>
                <w:szCs w:val="22"/>
              </w:rPr>
            </w:pPr>
            <w:r w:rsidRPr="005D16D6">
              <w:rPr>
                <w:rFonts w:eastAsia="Times New Roman"/>
                <w:color w:val="000000"/>
                <w:sz w:val="22"/>
                <w:szCs w:val="22"/>
              </w:rPr>
              <w:t>Noncompliant establishments count (high)</w:t>
            </w:r>
          </w:p>
        </w:tc>
        <w:tc>
          <w:tcPr>
            <w:tcW w:w="1679" w:type="dxa"/>
            <w:shd w:val="clear" w:color="auto" w:fill="auto"/>
            <w:noWrap/>
            <w:vAlign w:val="center"/>
            <w:hideMark/>
          </w:tcPr>
          <w:p w:rsidR="00364EE0" w:rsidRPr="005D16D6" w:rsidP="00220847" w14:paraId="04A11B51" w14:textId="7A4E42D4">
            <w:pPr>
              <w:spacing w:after="0"/>
              <w:jc w:val="center"/>
              <w:rPr>
                <w:rFonts w:eastAsia="Times New Roman"/>
                <w:color w:val="000000"/>
                <w:sz w:val="22"/>
                <w:szCs w:val="22"/>
              </w:rPr>
            </w:pPr>
            <w:r w:rsidRPr="005D16D6">
              <w:rPr>
                <w:rFonts w:eastAsia="Times New Roman"/>
                <w:color w:val="000000"/>
                <w:sz w:val="22"/>
                <w:szCs w:val="22"/>
              </w:rPr>
              <w:t>2</w:t>
            </w:r>
          </w:p>
        </w:tc>
        <w:tc>
          <w:tcPr>
            <w:tcW w:w="1591" w:type="dxa"/>
            <w:shd w:val="clear" w:color="auto" w:fill="auto"/>
            <w:noWrap/>
            <w:vAlign w:val="center"/>
            <w:hideMark/>
          </w:tcPr>
          <w:p w:rsidR="00364EE0" w:rsidRPr="005D16D6" w:rsidP="00220847" w14:paraId="54416263" w14:textId="2A866751">
            <w:pPr>
              <w:spacing w:after="0"/>
              <w:jc w:val="center"/>
              <w:rPr>
                <w:rFonts w:eastAsia="Times New Roman"/>
                <w:color w:val="000000"/>
                <w:sz w:val="22"/>
                <w:szCs w:val="22"/>
              </w:rPr>
            </w:pPr>
            <w:r w:rsidRPr="005D16D6">
              <w:rPr>
                <w:rFonts w:eastAsia="Times New Roman"/>
                <w:color w:val="000000"/>
                <w:sz w:val="22"/>
                <w:szCs w:val="22"/>
              </w:rPr>
              <w:t>252</w:t>
            </w:r>
          </w:p>
        </w:tc>
        <w:tc>
          <w:tcPr>
            <w:tcW w:w="1478" w:type="dxa"/>
            <w:shd w:val="clear" w:color="auto" w:fill="auto"/>
            <w:noWrap/>
            <w:vAlign w:val="center"/>
            <w:hideMark/>
          </w:tcPr>
          <w:p w:rsidR="00364EE0" w:rsidRPr="005D16D6" w:rsidP="00220847" w14:paraId="0F294558" w14:textId="6587578B">
            <w:pPr>
              <w:spacing w:after="0"/>
              <w:jc w:val="center"/>
              <w:rPr>
                <w:rFonts w:eastAsia="Times New Roman"/>
                <w:color w:val="000000"/>
                <w:sz w:val="22"/>
                <w:szCs w:val="22"/>
              </w:rPr>
            </w:pPr>
            <w:r w:rsidRPr="005D16D6">
              <w:rPr>
                <w:rFonts w:eastAsia="Times New Roman"/>
                <w:color w:val="000000"/>
                <w:sz w:val="22"/>
                <w:szCs w:val="22"/>
              </w:rPr>
              <w:t>96</w:t>
            </w:r>
          </w:p>
        </w:tc>
        <w:tc>
          <w:tcPr>
            <w:tcW w:w="1175" w:type="dxa"/>
            <w:vAlign w:val="center"/>
          </w:tcPr>
          <w:p w:rsidR="00364EE0" w:rsidRPr="005D16D6" w:rsidP="00220847" w14:paraId="42C2C1D5" w14:textId="71708817">
            <w:pPr>
              <w:spacing w:after="0"/>
              <w:jc w:val="center"/>
              <w:rPr>
                <w:rFonts w:eastAsia="Times New Roman"/>
                <w:color w:val="000000"/>
                <w:sz w:val="22"/>
                <w:szCs w:val="22"/>
              </w:rPr>
            </w:pPr>
            <w:r w:rsidRPr="005D16D6">
              <w:rPr>
                <w:rFonts w:eastAsia="Times New Roman"/>
                <w:color w:val="000000"/>
                <w:sz w:val="22"/>
                <w:szCs w:val="22"/>
              </w:rPr>
              <w:t>350</w:t>
            </w:r>
          </w:p>
        </w:tc>
      </w:tr>
      <w:tr w14:paraId="0930CD4B" w14:textId="4492EBA9" w:rsidTr="00E9361D">
        <w:tblPrEx>
          <w:tblW w:w="5000" w:type="pct"/>
          <w:tblInd w:w="10" w:type="dxa"/>
          <w:tblLayout w:type="fixed"/>
          <w:tblLook w:val="04A0"/>
        </w:tblPrEx>
        <w:trPr>
          <w:trHeight w:val="152"/>
        </w:trPr>
        <w:tc>
          <w:tcPr>
            <w:tcW w:w="3427" w:type="dxa"/>
            <w:shd w:val="clear" w:color="auto" w:fill="auto"/>
            <w:vAlign w:val="bottom"/>
            <w:hideMark/>
          </w:tcPr>
          <w:p w:rsidR="00364EE0" w:rsidRPr="005D16D6" w:rsidP="001B4513" w14:paraId="2541EE94" w14:textId="50CBFC4C">
            <w:pPr>
              <w:spacing w:after="0"/>
              <w:rPr>
                <w:rFonts w:eastAsia="Times New Roman"/>
                <w:color w:val="000000"/>
                <w:sz w:val="22"/>
                <w:szCs w:val="22"/>
              </w:rPr>
            </w:pPr>
            <w:r w:rsidRPr="005D16D6">
              <w:rPr>
                <w:rFonts w:eastAsia="Times New Roman"/>
                <w:color w:val="000000"/>
                <w:sz w:val="22"/>
                <w:szCs w:val="22"/>
              </w:rPr>
              <w:t>Cost (per firm)</w:t>
            </w:r>
          </w:p>
        </w:tc>
        <w:tc>
          <w:tcPr>
            <w:tcW w:w="1679" w:type="dxa"/>
            <w:shd w:val="clear" w:color="auto" w:fill="auto"/>
            <w:noWrap/>
            <w:vAlign w:val="center"/>
            <w:hideMark/>
          </w:tcPr>
          <w:p w:rsidR="00364EE0" w:rsidRPr="005D16D6" w:rsidP="00220847" w14:paraId="0D2406E2" w14:textId="06AA3C9D">
            <w:pPr>
              <w:spacing w:after="0"/>
              <w:jc w:val="center"/>
              <w:rPr>
                <w:rFonts w:eastAsia="Times New Roman"/>
                <w:color w:val="000000"/>
                <w:sz w:val="22"/>
                <w:szCs w:val="22"/>
              </w:rPr>
            </w:pPr>
            <w:r w:rsidRPr="005D16D6">
              <w:rPr>
                <w:rFonts w:eastAsia="Times New Roman"/>
                <w:color w:val="000000"/>
                <w:sz w:val="22"/>
                <w:szCs w:val="22"/>
              </w:rPr>
              <w:t>$</w:t>
            </w:r>
            <w:r w:rsidRPr="00E9361D" w:rsidR="00DE5FF4">
              <w:rPr>
                <w:sz w:val="22"/>
                <w:szCs w:val="22"/>
              </w:rPr>
              <w:t>3,1</w:t>
            </w:r>
            <w:r w:rsidR="00824851">
              <w:rPr>
                <w:sz w:val="22"/>
                <w:szCs w:val="22"/>
              </w:rPr>
              <w:t>67.48</w:t>
            </w:r>
          </w:p>
        </w:tc>
        <w:tc>
          <w:tcPr>
            <w:tcW w:w="1591" w:type="dxa"/>
            <w:shd w:val="clear" w:color="auto" w:fill="auto"/>
            <w:noWrap/>
            <w:vAlign w:val="center"/>
            <w:hideMark/>
          </w:tcPr>
          <w:p w:rsidR="00364EE0" w:rsidRPr="005D16D6" w:rsidP="00220847" w14:paraId="7C117C08" w14:textId="4BE40E9A">
            <w:pPr>
              <w:spacing w:after="0"/>
              <w:jc w:val="center"/>
              <w:rPr>
                <w:rFonts w:eastAsia="Times New Roman"/>
                <w:color w:val="000000"/>
                <w:sz w:val="22"/>
                <w:szCs w:val="22"/>
              </w:rPr>
            </w:pPr>
            <w:r w:rsidRPr="005D16D6">
              <w:rPr>
                <w:rFonts w:eastAsia="Times New Roman"/>
                <w:color w:val="000000"/>
                <w:sz w:val="22"/>
                <w:szCs w:val="22"/>
              </w:rPr>
              <w:t>$</w:t>
            </w:r>
            <w:r w:rsidRPr="00E9361D" w:rsidR="00DE5FF4">
              <w:rPr>
                <w:sz w:val="22"/>
                <w:szCs w:val="22"/>
              </w:rPr>
              <w:t>3,1</w:t>
            </w:r>
            <w:r w:rsidR="00824851">
              <w:rPr>
                <w:sz w:val="22"/>
                <w:szCs w:val="22"/>
              </w:rPr>
              <w:t>67.48</w:t>
            </w:r>
          </w:p>
        </w:tc>
        <w:tc>
          <w:tcPr>
            <w:tcW w:w="1478" w:type="dxa"/>
            <w:shd w:val="clear" w:color="auto" w:fill="auto"/>
            <w:noWrap/>
            <w:vAlign w:val="center"/>
            <w:hideMark/>
          </w:tcPr>
          <w:p w:rsidR="00364EE0" w:rsidRPr="005D16D6" w:rsidP="00220847" w14:paraId="24451484" w14:textId="0711134C">
            <w:pPr>
              <w:spacing w:after="0"/>
              <w:jc w:val="center"/>
              <w:rPr>
                <w:rFonts w:eastAsia="Times New Roman"/>
                <w:color w:val="000000"/>
                <w:sz w:val="22"/>
                <w:szCs w:val="22"/>
              </w:rPr>
            </w:pPr>
            <w:r w:rsidRPr="005D16D6">
              <w:rPr>
                <w:rFonts w:eastAsia="Times New Roman"/>
                <w:color w:val="000000"/>
                <w:sz w:val="22"/>
                <w:szCs w:val="22"/>
              </w:rPr>
              <w:t>$</w:t>
            </w:r>
            <w:r w:rsidRPr="00E9361D" w:rsidR="00DE5FF4">
              <w:rPr>
                <w:sz w:val="22"/>
                <w:szCs w:val="22"/>
              </w:rPr>
              <w:t>3,1</w:t>
            </w:r>
            <w:r w:rsidR="00824851">
              <w:rPr>
                <w:sz w:val="22"/>
                <w:szCs w:val="22"/>
              </w:rPr>
              <w:t>67.48</w:t>
            </w:r>
          </w:p>
        </w:tc>
        <w:tc>
          <w:tcPr>
            <w:tcW w:w="1175" w:type="dxa"/>
            <w:vAlign w:val="center"/>
          </w:tcPr>
          <w:p w:rsidR="00364EE0" w:rsidRPr="005D16D6" w:rsidP="00220847" w14:paraId="53677FB8" w14:textId="351E0CEC">
            <w:pPr>
              <w:spacing w:after="0"/>
              <w:jc w:val="center"/>
              <w:rPr>
                <w:rFonts w:eastAsia="Times New Roman"/>
                <w:color w:val="000000"/>
                <w:sz w:val="22"/>
                <w:szCs w:val="22"/>
              </w:rPr>
            </w:pPr>
            <w:r w:rsidRPr="005D16D6">
              <w:rPr>
                <w:rFonts w:eastAsia="Times New Roman"/>
                <w:color w:val="000000"/>
                <w:sz w:val="22"/>
                <w:szCs w:val="22"/>
              </w:rPr>
              <w:t>$</w:t>
            </w:r>
            <w:r w:rsidRPr="00E9361D" w:rsidR="00DE5FF4">
              <w:rPr>
                <w:sz w:val="22"/>
                <w:szCs w:val="22"/>
              </w:rPr>
              <w:t>3,1</w:t>
            </w:r>
            <w:r w:rsidR="00824851">
              <w:rPr>
                <w:sz w:val="22"/>
                <w:szCs w:val="22"/>
              </w:rPr>
              <w:t>67.48</w:t>
            </w:r>
          </w:p>
        </w:tc>
      </w:tr>
      <w:tr w14:paraId="22544B68" w14:textId="449BA111" w:rsidTr="00E9361D">
        <w:tblPrEx>
          <w:tblW w:w="5000" w:type="pct"/>
          <w:tblInd w:w="10" w:type="dxa"/>
          <w:tblLayout w:type="fixed"/>
          <w:tblLook w:val="04A0"/>
        </w:tblPrEx>
        <w:trPr>
          <w:trHeight w:val="260"/>
        </w:trPr>
        <w:tc>
          <w:tcPr>
            <w:tcW w:w="3427" w:type="dxa"/>
            <w:shd w:val="clear" w:color="auto" w:fill="D9D9D9" w:themeFill="background1" w:themeFillShade="D9"/>
            <w:vAlign w:val="center"/>
          </w:tcPr>
          <w:p w:rsidR="00364EE0" w:rsidRPr="005D16D6" w:rsidP="001B4513" w14:paraId="304078B5" w14:textId="41E15D88">
            <w:pPr>
              <w:spacing w:after="0"/>
              <w:rPr>
                <w:rFonts w:eastAsia="Times New Roman"/>
                <w:b/>
                <w:color w:val="000000"/>
                <w:sz w:val="22"/>
                <w:szCs w:val="22"/>
              </w:rPr>
            </w:pPr>
            <w:r w:rsidRPr="005D16D6">
              <w:rPr>
                <w:rFonts w:eastAsia="Times New Roman"/>
                <w:b/>
                <w:color w:val="000000"/>
                <w:sz w:val="22"/>
                <w:szCs w:val="22"/>
              </w:rPr>
              <w:t>Ongoing costs (millions)</w:t>
            </w:r>
          </w:p>
        </w:tc>
        <w:tc>
          <w:tcPr>
            <w:tcW w:w="1679" w:type="dxa"/>
            <w:shd w:val="clear" w:color="auto" w:fill="D9D9D9" w:themeFill="background1" w:themeFillShade="D9"/>
            <w:noWrap/>
            <w:vAlign w:val="center"/>
          </w:tcPr>
          <w:p w:rsidR="00364EE0" w:rsidRPr="005D16D6" w:rsidP="00220847" w14:paraId="7D217CC3" w14:textId="607C7599">
            <w:pPr>
              <w:spacing w:after="0"/>
              <w:jc w:val="center"/>
              <w:rPr>
                <w:rFonts w:eastAsia="Times New Roman"/>
                <w:color w:val="000000"/>
                <w:sz w:val="22"/>
                <w:szCs w:val="22"/>
              </w:rPr>
            </w:pPr>
          </w:p>
        </w:tc>
        <w:tc>
          <w:tcPr>
            <w:tcW w:w="1591" w:type="dxa"/>
            <w:shd w:val="clear" w:color="auto" w:fill="D9D9D9" w:themeFill="background1" w:themeFillShade="D9"/>
            <w:noWrap/>
            <w:vAlign w:val="center"/>
          </w:tcPr>
          <w:p w:rsidR="00364EE0" w:rsidRPr="005D16D6" w:rsidP="00220847" w14:paraId="3959AA13" w14:textId="3E79C4B7">
            <w:pPr>
              <w:spacing w:after="0"/>
              <w:jc w:val="center"/>
              <w:rPr>
                <w:rFonts w:eastAsia="Times New Roman"/>
                <w:color w:val="000000"/>
                <w:sz w:val="22"/>
                <w:szCs w:val="22"/>
              </w:rPr>
            </w:pPr>
          </w:p>
        </w:tc>
        <w:tc>
          <w:tcPr>
            <w:tcW w:w="1478" w:type="dxa"/>
            <w:shd w:val="clear" w:color="auto" w:fill="D9D9D9" w:themeFill="background1" w:themeFillShade="D9"/>
            <w:noWrap/>
            <w:vAlign w:val="center"/>
          </w:tcPr>
          <w:p w:rsidR="00364EE0" w:rsidRPr="005D16D6" w:rsidP="00220847" w14:paraId="3A63D0F6" w14:textId="562E6F1C">
            <w:pPr>
              <w:spacing w:after="0"/>
              <w:jc w:val="center"/>
              <w:rPr>
                <w:rFonts w:eastAsia="Times New Roman"/>
                <w:color w:val="000000"/>
                <w:sz w:val="22"/>
                <w:szCs w:val="22"/>
              </w:rPr>
            </w:pPr>
          </w:p>
        </w:tc>
        <w:tc>
          <w:tcPr>
            <w:tcW w:w="1175" w:type="dxa"/>
            <w:shd w:val="clear" w:color="auto" w:fill="D9D9D9" w:themeFill="background1" w:themeFillShade="D9"/>
            <w:vAlign w:val="center"/>
          </w:tcPr>
          <w:p w:rsidR="00364EE0" w:rsidRPr="005D16D6" w:rsidP="00220847" w14:paraId="217EE03F" w14:textId="77777777">
            <w:pPr>
              <w:spacing w:after="0"/>
              <w:jc w:val="center"/>
              <w:rPr>
                <w:rFonts w:eastAsia="Times New Roman"/>
                <w:color w:val="000000"/>
                <w:sz w:val="22"/>
                <w:szCs w:val="22"/>
              </w:rPr>
            </w:pPr>
          </w:p>
        </w:tc>
      </w:tr>
      <w:tr w14:paraId="0BFC379B" w14:textId="1B6D86EA" w:rsidTr="00E9361D">
        <w:tblPrEx>
          <w:tblW w:w="5000" w:type="pct"/>
          <w:tblInd w:w="10" w:type="dxa"/>
          <w:tblLayout w:type="fixed"/>
          <w:tblLook w:val="04A0"/>
        </w:tblPrEx>
        <w:trPr>
          <w:trHeight w:val="290"/>
        </w:trPr>
        <w:tc>
          <w:tcPr>
            <w:tcW w:w="3427" w:type="dxa"/>
            <w:shd w:val="clear" w:color="auto" w:fill="auto"/>
            <w:noWrap/>
            <w:vAlign w:val="center"/>
          </w:tcPr>
          <w:p w:rsidR="00364EE0" w:rsidRPr="005D16D6" w:rsidP="009E689F" w14:paraId="16DD86B0" w14:textId="0755666B">
            <w:pPr>
              <w:spacing w:after="0"/>
              <w:rPr>
                <w:rFonts w:eastAsia="Times New Roman"/>
                <w:color w:val="000000"/>
                <w:sz w:val="22"/>
                <w:szCs w:val="22"/>
              </w:rPr>
            </w:pPr>
            <w:r w:rsidRPr="005D16D6">
              <w:rPr>
                <w:rFonts w:eastAsia="Times New Roman"/>
                <w:color w:val="000000"/>
                <w:sz w:val="22"/>
                <w:szCs w:val="22"/>
              </w:rPr>
              <w:t>Total ongoing cost (low)</w:t>
            </w:r>
          </w:p>
        </w:tc>
        <w:tc>
          <w:tcPr>
            <w:tcW w:w="1679" w:type="dxa"/>
            <w:shd w:val="clear" w:color="auto" w:fill="auto"/>
            <w:noWrap/>
            <w:vAlign w:val="center"/>
          </w:tcPr>
          <w:p w:rsidR="00364EE0" w:rsidRPr="005D16D6" w:rsidP="00220847" w14:paraId="7C17E0A1" w14:textId="3B68AFB0">
            <w:pPr>
              <w:spacing w:after="0"/>
              <w:jc w:val="center"/>
              <w:rPr>
                <w:rFonts w:eastAsia="Times New Roman"/>
                <w:color w:val="000000"/>
                <w:sz w:val="22"/>
                <w:szCs w:val="22"/>
              </w:rPr>
            </w:pPr>
            <w:r w:rsidRPr="005D16D6">
              <w:rPr>
                <w:rFonts w:eastAsia="Times New Roman"/>
                <w:color w:val="000000"/>
                <w:sz w:val="22"/>
                <w:szCs w:val="22"/>
              </w:rPr>
              <w:t>$0.00</w:t>
            </w:r>
          </w:p>
        </w:tc>
        <w:tc>
          <w:tcPr>
            <w:tcW w:w="1591" w:type="dxa"/>
            <w:shd w:val="clear" w:color="auto" w:fill="auto"/>
            <w:noWrap/>
            <w:vAlign w:val="center"/>
          </w:tcPr>
          <w:p w:rsidR="00364EE0" w:rsidRPr="005D16D6" w:rsidP="00220847" w14:paraId="2FC6F331" w14:textId="1B21CD72">
            <w:pPr>
              <w:spacing w:after="0"/>
              <w:jc w:val="center"/>
              <w:rPr>
                <w:rFonts w:eastAsia="Times New Roman"/>
                <w:color w:val="000000"/>
                <w:sz w:val="22"/>
                <w:szCs w:val="22"/>
              </w:rPr>
            </w:pPr>
            <w:r w:rsidRPr="005D16D6">
              <w:rPr>
                <w:rFonts w:eastAsia="Times New Roman"/>
                <w:color w:val="000000"/>
                <w:sz w:val="22"/>
                <w:szCs w:val="22"/>
              </w:rPr>
              <w:t>$0.00</w:t>
            </w:r>
          </w:p>
        </w:tc>
        <w:tc>
          <w:tcPr>
            <w:tcW w:w="1478" w:type="dxa"/>
            <w:shd w:val="clear" w:color="auto" w:fill="auto"/>
            <w:noWrap/>
            <w:vAlign w:val="center"/>
          </w:tcPr>
          <w:p w:rsidR="00364EE0" w:rsidRPr="005D16D6" w:rsidP="00220847" w14:paraId="31A46D27" w14:textId="14E72143">
            <w:pPr>
              <w:spacing w:after="0"/>
              <w:jc w:val="center"/>
              <w:rPr>
                <w:rFonts w:eastAsia="Times New Roman"/>
                <w:color w:val="000000"/>
                <w:sz w:val="22"/>
                <w:szCs w:val="22"/>
              </w:rPr>
            </w:pPr>
            <w:r w:rsidRPr="005D16D6">
              <w:rPr>
                <w:rFonts w:eastAsia="Times New Roman"/>
                <w:color w:val="000000"/>
                <w:sz w:val="22"/>
                <w:szCs w:val="22"/>
              </w:rPr>
              <w:t>$0.00</w:t>
            </w:r>
          </w:p>
        </w:tc>
        <w:tc>
          <w:tcPr>
            <w:tcW w:w="1175" w:type="dxa"/>
            <w:vAlign w:val="center"/>
          </w:tcPr>
          <w:p w:rsidR="00364EE0" w:rsidRPr="005D16D6" w:rsidP="00220847" w14:paraId="53DD710F" w14:textId="7F956341">
            <w:pPr>
              <w:spacing w:after="0"/>
              <w:jc w:val="center"/>
              <w:rPr>
                <w:rFonts w:eastAsia="Times New Roman"/>
                <w:color w:val="000000"/>
                <w:sz w:val="22"/>
                <w:szCs w:val="22"/>
              </w:rPr>
            </w:pPr>
            <w:r w:rsidRPr="005D16D6">
              <w:rPr>
                <w:rFonts w:eastAsia="Times New Roman"/>
                <w:color w:val="000000"/>
                <w:sz w:val="22"/>
                <w:szCs w:val="22"/>
              </w:rPr>
              <w:t>$0.00</w:t>
            </w:r>
          </w:p>
        </w:tc>
      </w:tr>
      <w:tr w14:paraId="48CC2C54" w14:textId="7147332C" w:rsidTr="00E9361D">
        <w:tblPrEx>
          <w:tblW w:w="5000" w:type="pct"/>
          <w:tblInd w:w="10" w:type="dxa"/>
          <w:tblLayout w:type="fixed"/>
          <w:tblLook w:val="04A0"/>
        </w:tblPrEx>
        <w:trPr>
          <w:trHeight w:val="290"/>
        </w:trPr>
        <w:tc>
          <w:tcPr>
            <w:tcW w:w="3427" w:type="dxa"/>
            <w:shd w:val="clear" w:color="auto" w:fill="auto"/>
            <w:vAlign w:val="center"/>
          </w:tcPr>
          <w:p w:rsidR="00364EE0" w:rsidRPr="005D16D6" w:rsidP="009E689F" w14:paraId="65EDDEE4" w14:textId="71CEFC05">
            <w:pPr>
              <w:spacing w:after="0"/>
              <w:rPr>
                <w:rFonts w:eastAsia="Times New Roman"/>
                <w:color w:val="000000"/>
                <w:sz w:val="22"/>
                <w:szCs w:val="22"/>
              </w:rPr>
            </w:pPr>
            <w:r w:rsidRPr="005D16D6">
              <w:rPr>
                <w:rFonts w:eastAsia="Times New Roman"/>
                <w:color w:val="000000"/>
                <w:sz w:val="22"/>
                <w:szCs w:val="22"/>
              </w:rPr>
              <w:t>Total ongoing cost (high)</w:t>
            </w:r>
          </w:p>
        </w:tc>
        <w:tc>
          <w:tcPr>
            <w:tcW w:w="1679" w:type="dxa"/>
            <w:shd w:val="clear" w:color="auto" w:fill="auto"/>
            <w:noWrap/>
            <w:vAlign w:val="center"/>
          </w:tcPr>
          <w:p w:rsidR="00364EE0" w:rsidRPr="005D16D6" w:rsidP="00220847" w14:paraId="480174D6" w14:textId="2701EC9A">
            <w:pPr>
              <w:spacing w:after="0"/>
              <w:jc w:val="center"/>
              <w:rPr>
                <w:rFonts w:eastAsia="Times New Roman"/>
                <w:color w:val="000000"/>
                <w:sz w:val="22"/>
                <w:szCs w:val="22"/>
              </w:rPr>
            </w:pPr>
            <w:r w:rsidRPr="005D16D6">
              <w:rPr>
                <w:rFonts w:eastAsia="Times New Roman"/>
                <w:color w:val="000000"/>
                <w:sz w:val="22"/>
                <w:szCs w:val="22"/>
              </w:rPr>
              <w:t>$0.01</w:t>
            </w:r>
          </w:p>
        </w:tc>
        <w:tc>
          <w:tcPr>
            <w:tcW w:w="1591" w:type="dxa"/>
            <w:shd w:val="clear" w:color="auto" w:fill="auto"/>
            <w:noWrap/>
            <w:vAlign w:val="center"/>
          </w:tcPr>
          <w:p w:rsidR="00364EE0" w:rsidRPr="005D16D6" w:rsidP="00220847" w14:paraId="16384FC4" w14:textId="79D7307F">
            <w:pPr>
              <w:spacing w:after="0"/>
              <w:jc w:val="center"/>
              <w:rPr>
                <w:rFonts w:eastAsia="Times New Roman"/>
                <w:color w:val="000000"/>
                <w:sz w:val="22"/>
                <w:szCs w:val="22"/>
              </w:rPr>
            </w:pPr>
            <w:r w:rsidRPr="005D16D6">
              <w:rPr>
                <w:rFonts w:eastAsia="Times New Roman"/>
                <w:color w:val="000000"/>
                <w:sz w:val="22"/>
                <w:szCs w:val="22"/>
              </w:rPr>
              <w:t>$0.</w:t>
            </w:r>
            <w:r w:rsidR="00824851">
              <w:rPr>
                <w:rFonts w:eastAsia="Times New Roman"/>
                <w:color w:val="000000"/>
                <w:sz w:val="22"/>
                <w:szCs w:val="22"/>
              </w:rPr>
              <w:t>80</w:t>
            </w:r>
          </w:p>
        </w:tc>
        <w:tc>
          <w:tcPr>
            <w:tcW w:w="1478" w:type="dxa"/>
            <w:shd w:val="clear" w:color="auto" w:fill="auto"/>
            <w:noWrap/>
            <w:vAlign w:val="center"/>
          </w:tcPr>
          <w:p w:rsidR="00364EE0" w:rsidRPr="005D16D6" w:rsidP="00220847" w14:paraId="05D49E5E" w14:textId="45384225">
            <w:pPr>
              <w:spacing w:after="0"/>
              <w:jc w:val="center"/>
              <w:rPr>
                <w:rFonts w:eastAsia="Times New Roman"/>
                <w:color w:val="000000"/>
                <w:sz w:val="22"/>
                <w:szCs w:val="22"/>
              </w:rPr>
            </w:pPr>
            <w:r w:rsidRPr="005D16D6">
              <w:rPr>
                <w:rFonts w:eastAsia="Times New Roman"/>
                <w:color w:val="000000"/>
                <w:sz w:val="22"/>
                <w:szCs w:val="22"/>
              </w:rPr>
              <w:t>$0.</w:t>
            </w:r>
            <w:r w:rsidRPr="005D16D6" w:rsidR="00DE5FF4">
              <w:rPr>
                <w:rFonts w:eastAsia="Times New Roman"/>
                <w:color w:val="000000"/>
                <w:sz w:val="22"/>
                <w:szCs w:val="22"/>
              </w:rPr>
              <w:t>30</w:t>
            </w:r>
          </w:p>
        </w:tc>
        <w:tc>
          <w:tcPr>
            <w:tcW w:w="1175" w:type="dxa"/>
            <w:vAlign w:val="center"/>
          </w:tcPr>
          <w:p w:rsidR="00364EE0" w:rsidRPr="005D16D6" w:rsidP="00220847" w14:paraId="5383204F" w14:textId="4F6C6A2D">
            <w:pPr>
              <w:spacing w:after="0"/>
              <w:jc w:val="center"/>
              <w:rPr>
                <w:rFonts w:eastAsia="Times New Roman"/>
                <w:color w:val="000000"/>
                <w:sz w:val="22"/>
                <w:szCs w:val="22"/>
              </w:rPr>
            </w:pPr>
            <w:r w:rsidRPr="005D16D6">
              <w:rPr>
                <w:rFonts w:eastAsia="Times New Roman"/>
                <w:color w:val="000000"/>
                <w:sz w:val="22"/>
                <w:szCs w:val="22"/>
              </w:rPr>
              <w:t>$1.</w:t>
            </w:r>
            <w:r w:rsidRPr="005D16D6" w:rsidR="00DE5FF4">
              <w:rPr>
                <w:rFonts w:eastAsia="Times New Roman"/>
                <w:color w:val="000000"/>
                <w:sz w:val="22"/>
                <w:szCs w:val="22"/>
              </w:rPr>
              <w:t>1</w:t>
            </w:r>
            <w:r w:rsidR="00824851">
              <w:rPr>
                <w:rFonts w:eastAsia="Times New Roman"/>
                <w:color w:val="000000"/>
                <w:sz w:val="22"/>
                <w:szCs w:val="22"/>
              </w:rPr>
              <w:t>1</w:t>
            </w:r>
          </w:p>
        </w:tc>
      </w:tr>
    </w:tbl>
    <w:p w:rsidR="0024341A" w:rsidP="001D10A1" w14:paraId="19BD3163" w14:textId="77777777"/>
    <w:p w:rsidR="00267113" w:rsidP="004848C7" w14:paraId="6B6E4258" w14:textId="6B8D967A">
      <w:pPr>
        <w:rPr>
          <w:u w:val="single"/>
        </w:rPr>
      </w:pPr>
    </w:p>
    <w:p w:rsidR="00475CCB" w:rsidP="00482C04" w14:paraId="302A8ECB" w14:textId="4F5FFE1B">
      <w:pPr>
        <w:pStyle w:val="Heading3"/>
      </w:pPr>
      <w:bookmarkStart w:id="105" w:name="_Toc148515737"/>
      <w:r>
        <w:t>CGMP</w:t>
      </w:r>
      <w:r w:rsidR="000B4DF7">
        <w:t xml:space="preserve"> Requirement</w:t>
      </w:r>
      <w:r>
        <w:t>s</w:t>
      </w:r>
      <w:r w:rsidR="00C738E4">
        <w:t xml:space="preserve"> Costs</w:t>
      </w:r>
      <w:bookmarkEnd w:id="105"/>
    </w:p>
    <w:p w:rsidR="00C738E4" w:rsidRPr="00C738E4" w:rsidP="00E64B94" w14:paraId="4B6D0B68" w14:textId="77777777"/>
    <w:p w:rsidR="00475CCB" w:rsidP="00482C04" w14:paraId="5ECAD789" w14:textId="7BA90044">
      <w:pPr>
        <w:pStyle w:val="Heading4"/>
        <w:numPr>
          <w:ilvl w:val="0"/>
          <w:numId w:val="34"/>
        </w:numPr>
      </w:pPr>
      <w:bookmarkStart w:id="106" w:name="_Toc148515738"/>
      <w:r w:rsidRPr="00E64B94">
        <w:t xml:space="preserve">Written Procedures for </w:t>
      </w:r>
      <w:r w:rsidRPr="00E64B94" w:rsidR="00336F6A">
        <w:t xml:space="preserve">Personnel </w:t>
      </w:r>
      <w:r w:rsidR="00F72062">
        <w:t>Q</w:t>
      </w:r>
      <w:r w:rsidRPr="00E64B94" w:rsidR="00336F6A">
        <w:t xml:space="preserve">ualifications and </w:t>
      </w:r>
      <w:r w:rsidR="00F72062">
        <w:t>R</w:t>
      </w:r>
      <w:r w:rsidRPr="00E64B94" w:rsidR="00336F6A">
        <w:t>esponsibilities</w:t>
      </w:r>
      <w:bookmarkEnd w:id="106"/>
    </w:p>
    <w:p w:rsidR="003B4DE1" w14:paraId="31FBB348" w14:textId="34BCF333">
      <w:pPr>
        <w:rPr>
          <w:rFonts w:eastAsia="Times New Roman"/>
        </w:rPr>
      </w:pPr>
      <w:r>
        <w:tab/>
      </w:r>
      <w:r w:rsidR="00636566">
        <w:rPr>
          <w:rFonts w:eastAsia="Times New Roman"/>
        </w:rPr>
        <w:t xml:space="preserve">This </w:t>
      </w:r>
      <w:r w:rsidR="00615F3A">
        <w:rPr>
          <w:rFonts w:eastAsia="Times New Roman"/>
        </w:rPr>
        <w:t>final</w:t>
      </w:r>
      <w:r>
        <w:rPr>
          <w:rFonts w:eastAsia="Times New Roman"/>
        </w:rPr>
        <w:t xml:space="preserve"> </w:t>
      </w:r>
      <w:r w:rsidR="00636566">
        <w:rPr>
          <w:rFonts w:eastAsia="Times New Roman"/>
        </w:rPr>
        <w:t xml:space="preserve">rule </w:t>
      </w:r>
      <w:r w:rsidR="001940B0">
        <w:rPr>
          <w:rFonts w:eastAsia="Times New Roman"/>
        </w:rPr>
        <w:t>will</w:t>
      </w:r>
      <w:r w:rsidRPr="00301002" w:rsidR="00636566">
        <w:rPr>
          <w:rFonts w:eastAsia="Times New Roman"/>
        </w:rPr>
        <w:t xml:space="preserve"> require manufacturers maintain written </w:t>
      </w:r>
      <w:bookmarkStart w:id="107" w:name="_Hlk32501198"/>
      <w:r w:rsidRPr="00301002" w:rsidR="00636566">
        <w:rPr>
          <w:rFonts w:eastAsia="Times New Roman"/>
        </w:rPr>
        <w:t>documentation demonstrating employees’ accomplishment of training</w:t>
      </w:r>
      <w:bookmarkEnd w:id="107"/>
      <w:r w:rsidRPr="00301002" w:rsidR="00636566">
        <w:rPr>
          <w:rFonts w:eastAsia="Times New Roman"/>
        </w:rPr>
        <w:t>, including the date, type of training, and results</w:t>
      </w:r>
      <w:r w:rsidR="00636566">
        <w:rPr>
          <w:rFonts w:eastAsia="Times New Roman"/>
        </w:rPr>
        <w:t xml:space="preserve"> (e.g.,</w:t>
      </w:r>
      <w:r w:rsidRPr="00301002" w:rsidR="00636566">
        <w:rPr>
          <w:rFonts w:eastAsia="Times New Roman"/>
        </w:rPr>
        <w:t xml:space="preserve"> test results</w:t>
      </w:r>
      <w:r w:rsidR="00636566">
        <w:rPr>
          <w:rFonts w:eastAsia="Times New Roman"/>
        </w:rPr>
        <w:t>)</w:t>
      </w:r>
      <w:r w:rsidRPr="00301002" w:rsidR="00636566">
        <w:rPr>
          <w:rFonts w:eastAsia="Times New Roman"/>
        </w:rPr>
        <w:t>.</w:t>
      </w:r>
    </w:p>
    <w:p w:rsidR="00507FC2" w:rsidP="00507FC2" w14:paraId="384393B0" w14:textId="25A44EE4">
      <w:pPr>
        <w:ind w:firstLine="720"/>
        <w:rPr>
          <w:rFonts w:eastAsia="Times New Roman"/>
        </w:rPr>
      </w:pPr>
      <w:r>
        <w:rPr>
          <w:rFonts w:eastAsia="Times New Roman"/>
        </w:rPr>
        <w:t>SMEs</w:t>
      </w:r>
      <w:r>
        <w:rPr>
          <w:rFonts w:eastAsia="Times New Roman"/>
        </w:rPr>
        <w:t xml:space="preserve"> estimate that maintaining </w:t>
      </w:r>
      <w:r w:rsidRPr="00A35B5D" w:rsidR="00A35B5D">
        <w:rPr>
          <w:rFonts w:eastAsia="Times New Roman"/>
        </w:rPr>
        <w:t>documentation demonstrating employees’ accomplishment</w:t>
      </w:r>
      <w:r w:rsidR="00196249">
        <w:rPr>
          <w:rFonts w:eastAsia="Times New Roman"/>
        </w:rPr>
        <w:t>s</w:t>
      </w:r>
      <w:r w:rsidRPr="00A35B5D" w:rsidR="00A35B5D">
        <w:rPr>
          <w:rFonts w:eastAsia="Times New Roman"/>
        </w:rPr>
        <w:t xml:space="preserve"> of training </w:t>
      </w:r>
      <w:r w:rsidR="006C59E8">
        <w:rPr>
          <w:rFonts w:eastAsia="Times New Roman"/>
        </w:rPr>
        <w:t>will</w:t>
      </w:r>
      <w:r>
        <w:rPr>
          <w:rFonts w:eastAsia="Times New Roman"/>
        </w:rPr>
        <w:t xml:space="preserve"> take 2.5 minutes to 5 minutes per employee</w:t>
      </w:r>
      <w:r w:rsidR="006F5EC3">
        <w:rPr>
          <w:rFonts w:eastAsia="Times New Roman"/>
        </w:rPr>
        <w:t xml:space="preserve"> per year</w:t>
      </w:r>
      <w:r>
        <w:rPr>
          <w:rFonts w:eastAsia="Times New Roman"/>
        </w:rPr>
        <w:t xml:space="preserve">. </w:t>
      </w:r>
      <w:r w:rsidR="005A1789">
        <w:rPr>
          <w:rFonts w:eastAsia="Times New Roman"/>
        </w:rPr>
        <w:t>The 20</w:t>
      </w:r>
      <w:r w:rsidR="007D54A6">
        <w:rPr>
          <w:rFonts w:eastAsia="Times New Roman"/>
        </w:rPr>
        <w:t>20</w:t>
      </w:r>
      <w:r w:rsidR="005A1789">
        <w:rPr>
          <w:rFonts w:eastAsia="Times New Roman"/>
        </w:rPr>
        <w:t xml:space="preserve"> </w:t>
      </w:r>
      <w:r>
        <w:rPr>
          <w:rFonts w:eastAsia="Times New Roman"/>
        </w:rPr>
        <w:t xml:space="preserve">ERG </w:t>
      </w:r>
      <w:r w:rsidR="005A1789">
        <w:rPr>
          <w:rFonts w:eastAsia="Times New Roman"/>
        </w:rPr>
        <w:t xml:space="preserve">report (Ref. </w:t>
      </w:r>
      <w:r w:rsidR="00BB2E72">
        <w:rPr>
          <w:rFonts w:eastAsia="Times New Roman"/>
        </w:rPr>
        <w:t>2</w:t>
      </w:r>
      <w:r w:rsidR="005A1789">
        <w:rPr>
          <w:rFonts w:eastAsia="Times New Roman"/>
        </w:rPr>
        <w:t xml:space="preserve">) </w:t>
      </w:r>
      <w:r>
        <w:rPr>
          <w:rFonts w:eastAsia="Times New Roman"/>
        </w:rPr>
        <w:t xml:space="preserve">estimates </w:t>
      </w:r>
      <w:r w:rsidR="00A21CBA">
        <w:rPr>
          <w:rFonts w:eastAsia="Times New Roman"/>
        </w:rPr>
        <w:t>that small</w:t>
      </w:r>
      <w:r w:rsidR="00D8314C">
        <w:rPr>
          <w:rFonts w:eastAsia="Times New Roman"/>
        </w:rPr>
        <w:t xml:space="preserve"> firms </w:t>
      </w:r>
      <w:r w:rsidR="006C59E8">
        <w:rPr>
          <w:rFonts w:eastAsia="Times New Roman"/>
        </w:rPr>
        <w:t>will</w:t>
      </w:r>
      <w:r w:rsidR="00A35B5D">
        <w:rPr>
          <w:rFonts w:eastAsia="Times New Roman"/>
        </w:rPr>
        <w:t xml:space="preserve"> have 6 employees taking training and </w:t>
      </w:r>
      <w:r w:rsidR="006C59E8">
        <w:rPr>
          <w:rFonts w:eastAsia="Times New Roman"/>
        </w:rPr>
        <w:t>will</w:t>
      </w:r>
      <w:r w:rsidR="00A35B5D">
        <w:rPr>
          <w:rFonts w:eastAsia="Times New Roman"/>
        </w:rPr>
        <w:t xml:space="preserve"> need </w:t>
      </w:r>
      <w:r w:rsidR="00196249">
        <w:rPr>
          <w:rFonts w:eastAsia="Times New Roman"/>
        </w:rPr>
        <w:t xml:space="preserve">training </w:t>
      </w:r>
      <w:r w:rsidRPr="00A35B5D" w:rsidR="00A35B5D">
        <w:rPr>
          <w:rFonts w:eastAsia="Times New Roman"/>
        </w:rPr>
        <w:t xml:space="preserve">documentation </w:t>
      </w:r>
      <w:r w:rsidR="005A1789">
        <w:rPr>
          <w:rFonts w:eastAsia="Times New Roman"/>
        </w:rPr>
        <w:t>(ERG Table 6-4)</w:t>
      </w:r>
      <w:r w:rsidR="00A35B5D">
        <w:rPr>
          <w:rFonts w:eastAsia="Times New Roman"/>
        </w:rPr>
        <w:t>. We double ERG’s estimate for number of employees taking trainings for large firm</w:t>
      </w:r>
      <w:r w:rsidR="000D5B95">
        <w:rPr>
          <w:rFonts w:eastAsia="Times New Roman"/>
        </w:rPr>
        <w:t>s</w:t>
      </w:r>
      <w:r w:rsidR="00A35B5D">
        <w:rPr>
          <w:rFonts w:eastAsia="Times New Roman"/>
        </w:rPr>
        <w:t xml:space="preserve"> for a total of 12 employees. The estimates in </w:t>
      </w:r>
      <w:r w:rsidRPr="006C4C47" w:rsidR="006C4C47">
        <w:rPr>
          <w:rFonts w:eastAsia="Times New Roman"/>
        </w:rPr>
        <w:fldChar w:fldCharType="begin"/>
      </w:r>
      <w:r w:rsidRPr="006C4C47" w:rsidR="006C4C47">
        <w:rPr>
          <w:rFonts w:eastAsia="Times New Roman"/>
        </w:rPr>
        <w:instrText xml:space="preserve"> REF _Ref36216632 \h </w:instrText>
      </w:r>
      <w:r w:rsidRPr="000E6DD7" w:rsidR="006C4C47">
        <w:rPr>
          <w:rFonts w:eastAsia="Times New Roman"/>
        </w:rPr>
        <w:instrText xml:space="preserve"> \* MERGEFORMAT </w:instrText>
      </w:r>
      <w:r w:rsidRPr="006C4C47" w:rsidR="006C4C47">
        <w:rPr>
          <w:rFonts w:eastAsia="Times New Roman"/>
        </w:rPr>
        <w:fldChar w:fldCharType="separate"/>
      </w:r>
      <w:r w:rsidRPr="004848C7" w:rsidR="00264BAF">
        <w:t xml:space="preserve">Table </w:t>
      </w:r>
      <w:r w:rsidRPr="004848C7" w:rsidR="00264BAF">
        <w:rPr>
          <w:noProof/>
        </w:rPr>
        <w:t>18</w:t>
      </w:r>
      <w:r w:rsidRPr="006C4C47" w:rsidR="006C4C47">
        <w:rPr>
          <w:rFonts w:eastAsia="Times New Roman"/>
        </w:rPr>
        <w:fldChar w:fldCharType="end"/>
      </w:r>
      <w:r w:rsidRPr="006C4C47" w:rsidR="006C4C47">
        <w:rPr>
          <w:rFonts w:eastAsia="Times New Roman"/>
        </w:rPr>
        <w:t xml:space="preserve"> </w:t>
      </w:r>
      <w:r w:rsidR="00A35B5D">
        <w:rPr>
          <w:rFonts w:eastAsia="Times New Roman"/>
        </w:rPr>
        <w:t>are the average number of employees by entity type w</w:t>
      </w:r>
      <w:r w:rsidR="00F72062">
        <w:rPr>
          <w:rFonts w:eastAsia="Times New Roman"/>
        </w:rPr>
        <w:t>eight</w:t>
      </w:r>
      <w:r w:rsidR="00A35B5D">
        <w:rPr>
          <w:rFonts w:eastAsia="Times New Roman"/>
        </w:rPr>
        <w:t xml:space="preserve">ed by the ratio of small firms to large firms. A detailed table on number of affected entities can be found in </w:t>
      </w:r>
      <w:r w:rsidRPr="00236EA1" w:rsidR="00236EA1">
        <w:rPr>
          <w:rFonts w:eastAsia="Times New Roman"/>
        </w:rPr>
        <w:fldChar w:fldCharType="begin"/>
      </w:r>
      <w:r w:rsidRPr="00236EA1" w:rsidR="00236EA1">
        <w:rPr>
          <w:rFonts w:eastAsia="Times New Roman"/>
        </w:rPr>
        <w:instrText xml:space="preserve"> REF _Ref36641568 \h </w:instrText>
      </w:r>
      <w:r w:rsidRPr="004848C7" w:rsidR="00236EA1">
        <w:rPr>
          <w:rFonts w:eastAsia="Times New Roman"/>
        </w:rPr>
        <w:instrText xml:space="preserve"> \* MERGEFORMAT </w:instrText>
      </w:r>
      <w:r w:rsidRPr="00236EA1" w:rsidR="00236EA1">
        <w:rPr>
          <w:rFonts w:eastAsia="Times New Roman"/>
        </w:rPr>
        <w:fldChar w:fldCharType="separate"/>
      </w:r>
      <w:r w:rsidRPr="004848C7" w:rsidR="00236EA1">
        <w:t xml:space="preserve">Table </w:t>
      </w:r>
      <w:r w:rsidRPr="004848C7" w:rsidR="00236EA1">
        <w:rPr>
          <w:noProof/>
        </w:rPr>
        <w:t>5</w:t>
      </w:r>
      <w:r w:rsidRPr="00236EA1" w:rsidR="00236EA1">
        <w:rPr>
          <w:rFonts w:eastAsia="Times New Roman"/>
        </w:rPr>
        <w:fldChar w:fldCharType="end"/>
      </w:r>
      <w:r w:rsidR="00A35B5D">
        <w:rPr>
          <w:rFonts w:eastAsia="Times New Roman"/>
        </w:rPr>
        <w:t xml:space="preserve">. </w:t>
      </w:r>
    </w:p>
    <w:p w:rsidR="00F72062" w:rsidP="00E64B94" w14:paraId="5FBF237E" w14:textId="7C279FBB">
      <w:pPr>
        <w:ind w:firstLine="720"/>
        <w:rPr>
          <w:rFonts w:eastAsia="Times New Roman"/>
        </w:rPr>
      </w:pPr>
      <w:bookmarkStart w:id="108" w:name="_Hlk32504105"/>
      <w:r>
        <w:t xml:space="preserve">We use the </w:t>
      </w:r>
      <w:r w:rsidR="003153D7">
        <w:t>2022</w:t>
      </w:r>
      <w:r w:rsidR="00242455">
        <w:t xml:space="preserve"> wage</w:t>
      </w:r>
      <w:r>
        <w:t xml:space="preserve"> rate for </w:t>
      </w:r>
      <w:r w:rsidRPr="00987A52" w:rsidR="00753B47">
        <w:t xml:space="preserve">File Clerk </w:t>
      </w:r>
      <w:r w:rsidRPr="00987A52">
        <w:t>and double it</w:t>
      </w:r>
      <w:r w:rsidRPr="00136929">
        <w:t xml:space="preserve"> for a </w:t>
      </w:r>
      <w:r w:rsidR="00986206">
        <w:t>fully-loaded</w:t>
      </w:r>
      <w:r w:rsidRPr="00136929">
        <w:t xml:space="preserve"> wage rate of $</w:t>
      </w:r>
      <w:r w:rsidR="00F46E4E">
        <w:t>47.32</w:t>
      </w:r>
      <w:r w:rsidRPr="00136929">
        <w:t>.</w:t>
      </w:r>
      <w:r w:rsidRPr="00136929" w:rsidR="000C543F">
        <w:t xml:space="preserve"> </w:t>
      </w:r>
      <w:r w:rsidRPr="00987A52" w:rsidR="000C543F">
        <w:fldChar w:fldCharType="begin"/>
      </w:r>
      <w:r w:rsidRPr="00987A52" w:rsidR="000C543F">
        <w:instrText xml:space="preserve"> REF _Ref36216632 \h </w:instrText>
      </w:r>
      <w:r w:rsidRPr="000E6DD7" w:rsidR="00987A52">
        <w:instrText xml:space="preserve"> \* MERGEFORMAT </w:instrText>
      </w:r>
      <w:r w:rsidRPr="00987A52" w:rsidR="000C543F">
        <w:fldChar w:fldCharType="separate"/>
      </w:r>
      <w:r w:rsidRPr="004848C7" w:rsidR="00264BAF">
        <w:t xml:space="preserve">Table </w:t>
      </w:r>
      <w:r w:rsidRPr="004848C7" w:rsidR="00264BAF">
        <w:rPr>
          <w:noProof/>
        </w:rPr>
        <w:t>18</w:t>
      </w:r>
      <w:r w:rsidRPr="00987A52" w:rsidR="000C543F">
        <w:fldChar w:fldCharType="end"/>
      </w:r>
      <w:r w:rsidRPr="00987A52" w:rsidR="000C543F">
        <w:t xml:space="preserve"> shows the ongoing cost</w:t>
      </w:r>
      <w:r w:rsidRPr="00136929" w:rsidR="00987A52">
        <w:t xml:space="preserve"> of requiring </w:t>
      </w:r>
      <w:r w:rsidR="00BB1126">
        <w:t xml:space="preserve">documentation of </w:t>
      </w:r>
      <w:r w:rsidRPr="00136929" w:rsidR="00987A52">
        <w:t>written procedures for personnel qualifications and</w:t>
      </w:r>
      <w:r w:rsidR="00987A52">
        <w:t xml:space="preserve"> responsibilities.</w:t>
      </w:r>
      <w:r>
        <w:t xml:space="preserve"> The total ongoing costs range from $0.</w:t>
      </w:r>
      <w:r w:rsidR="006E5F75">
        <w:t>0</w:t>
      </w:r>
      <w:r w:rsidR="00681FF4">
        <w:t>3</w:t>
      </w:r>
      <w:r>
        <w:t xml:space="preserve"> million to $0.</w:t>
      </w:r>
      <w:r w:rsidR="00753B47">
        <w:t>0</w:t>
      </w:r>
      <w:r w:rsidR="00F46E4E">
        <w:t>6</w:t>
      </w:r>
      <w:r>
        <w:t xml:space="preserve"> million with a primary estimate of $0.</w:t>
      </w:r>
      <w:r w:rsidR="00753B47">
        <w:t>0</w:t>
      </w:r>
      <w:r w:rsidR="00F46E4E">
        <w:t>5</w:t>
      </w:r>
      <w:r>
        <w:t xml:space="preserve"> million.</w:t>
      </w:r>
      <w:r w:rsidR="005902AD">
        <w:t xml:space="preserve"> Because we recognize that most firms already adequately train their employees, and their personnel records </w:t>
      </w:r>
      <w:r w:rsidR="001940B0">
        <w:t>will</w:t>
      </w:r>
      <w:r w:rsidR="005902AD">
        <w:t xml:space="preserve"> demonstrate this training, </w:t>
      </w:r>
      <w:r w:rsidR="00196249">
        <w:t xml:space="preserve">we believe </w:t>
      </w:r>
      <w:r w:rsidR="005902AD">
        <w:t>our estimate reflect</w:t>
      </w:r>
      <w:r w:rsidR="00CF52A1">
        <w:t>s</w:t>
      </w:r>
      <w:r w:rsidR="005902AD">
        <w:t xml:space="preserve"> </w:t>
      </w:r>
      <w:r w:rsidR="00CF52A1">
        <w:t xml:space="preserve">an </w:t>
      </w:r>
      <w:r w:rsidR="005902AD">
        <w:t xml:space="preserve">upper bound cost estimate. </w:t>
      </w:r>
    </w:p>
    <w:bookmarkEnd w:id="108"/>
    <w:p w:rsidR="00507FC2" w14:paraId="7C344DCB" w14:textId="51725964">
      <w:pPr>
        <w:rPr>
          <w:rFonts w:eastAsia="Times New Roman"/>
        </w:rPr>
      </w:pPr>
    </w:p>
    <w:p w:rsidR="00CD681B" w:rsidRPr="00E64B94" w:rsidP="00E64B94" w14:paraId="2ADC3A9B" w14:textId="3D170C2E">
      <w:pPr>
        <w:pStyle w:val="Caption"/>
        <w:keepNext/>
        <w:rPr>
          <w:b/>
        </w:rPr>
      </w:pPr>
      <w:bookmarkStart w:id="109" w:name="_Ref36216632"/>
      <w:bookmarkStart w:id="110" w:name="_Toc147238762"/>
      <w:r w:rsidRPr="00E64B94">
        <w:rPr>
          <w:b/>
        </w:rPr>
        <w:t xml:space="preserve">Table </w:t>
      </w:r>
      <w:r w:rsidRPr="00E64B94">
        <w:rPr>
          <w:b/>
        </w:rPr>
        <w:fldChar w:fldCharType="begin"/>
      </w:r>
      <w:r w:rsidRPr="00E64B94">
        <w:rPr>
          <w:b/>
        </w:rPr>
        <w:instrText xml:space="preserve"> SEQ Table \* ARABIC </w:instrText>
      </w:r>
      <w:r w:rsidRPr="00E64B94">
        <w:rPr>
          <w:b/>
        </w:rPr>
        <w:fldChar w:fldCharType="separate"/>
      </w:r>
      <w:r w:rsidR="00D61E3B">
        <w:rPr>
          <w:b/>
          <w:noProof/>
        </w:rPr>
        <w:t>18</w:t>
      </w:r>
      <w:r w:rsidRPr="00E64B94">
        <w:rPr>
          <w:b/>
        </w:rPr>
        <w:fldChar w:fldCharType="end"/>
      </w:r>
      <w:bookmarkEnd w:id="109"/>
      <w:r w:rsidRPr="00E64B94">
        <w:rPr>
          <w:b/>
        </w:rPr>
        <w:t xml:space="preserve">. </w:t>
      </w:r>
      <w:r w:rsidRPr="00E64B94">
        <w:rPr>
          <w:rFonts w:eastAsia="Times New Roman"/>
          <w:b/>
        </w:rPr>
        <w:t xml:space="preserve">Costs of </w:t>
      </w:r>
      <w:r w:rsidRPr="00E64B94">
        <w:rPr>
          <w:b/>
        </w:rPr>
        <w:t xml:space="preserve">Written Procedures for </w:t>
      </w:r>
      <w:r w:rsidRPr="00E64B94">
        <w:rPr>
          <w:rFonts w:eastAsia="Times New Roman"/>
          <w:b/>
        </w:rPr>
        <w:t>Personnel Qualifications and Responsibilities</w:t>
      </w:r>
      <w:bookmarkEnd w:id="110"/>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6"/>
        <w:gridCol w:w="1639"/>
        <w:gridCol w:w="1766"/>
        <w:gridCol w:w="1514"/>
        <w:gridCol w:w="1135"/>
      </w:tblGrid>
      <w:tr w14:paraId="22BBDBFD" w14:textId="268B1206" w:rsidTr="003B7206">
        <w:tblPrEx>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50"/>
        </w:trPr>
        <w:tc>
          <w:tcPr>
            <w:tcW w:w="3296" w:type="dxa"/>
            <w:shd w:val="clear" w:color="auto" w:fill="D9D9D9" w:themeFill="background1" w:themeFillShade="D9"/>
          </w:tcPr>
          <w:p w:rsidR="00364EE0" w:rsidRPr="000249FF" w:rsidP="00921A62" w14:paraId="298D885F" w14:textId="77777777">
            <w:pPr>
              <w:spacing w:after="0"/>
              <w:jc w:val="center"/>
              <w:rPr>
                <w:rFonts w:eastAsia="Times New Roman"/>
                <w:b/>
                <w:bCs/>
                <w:color w:val="000000"/>
                <w:sz w:val="22"/>
                <w:szCs w:val="22"/>
              </w:rPr>
            </w:pPr>
          </w:p>
        </w:tc>
        <w:tc>
          <w:tcPr>
            <w:tcW w:w="1639" w:type="dxa"/>
            <w:shd w:val="clear" w:color="auto" w:fill="D9D9D9" w:themeFill="background1" w:themeFillShade="D9"/>
            <w:vAlign w:val="center"/>
            <w:hideMark/>
          </w:tcPr>
          <w:p w:rsidR="00364EE0" w:rsidRPr="000249FF" w:rsidP="00C346DD" w14:paraId="43F11EA1" w14:textId="56878F33">
            <w:pPr>
              <w:spacing w:after="0"/>
              <w:jc w:val="center"/>
              <w:rPr>
                <w:rFonts w:eastAsia="Times New Roman"/>
                <w:b/>
                <w:bCs/>
                <w:color w:val="000000"/>
                <w:sz w:val="22"/>
                <w:szCs w:val="22"/>
              </w:rPr>
            </w:pPr>
            <w:r w:rsidRPr="000249FF">
              <w:rPr>
                <w:rFonts w:eastAsia="Times New Roman"/>
                <w:b/>
                <w:bCs/>
                <w:color w:val="000000"/>
                <w:sz w:val="22"/>
                <w:szCs w:val="22"/>
              </w:rPr>
              <w:t>Original Manufacturers</w:t>
            </w:r>
          </w:p>
        </w:tc>
        <w:tc>
          <w:tcPr>
            <w:tcW w:w="1766" w:type="dxa"/>
            <w:shd w:val="clear" w:color="auto" w:fill="D9D9D9" w:themeFill="background1" w:themeFillShade="D9"/>
            <w:vAlign w:val="center"/>
            <w:hideMark/>
          </w:tcPr>
          <w:p w:rsidR="00364EE0" w:rsidRPr="000249FF" w:rsidP="00C346DD" w14:paraId="1430D40B" w14:textId="62A01C2D">
            <w:pPr>
              <w:spacing w:after="0"/>
              <w:jc w:val="center"/>
              <w:rPr>
                <w:rFonts w:eastAsia="Times New Roman"/>
                <w:b/>
                <w:bCs/>
                <w:color w:val="000000"/>
                <w:sz w:val="22"/>
                <w:szCs w:val="22"/>
              </w:rPr>
            </w:pPr>
            <w:r w:rsidRPr="000249FF">
              <w:rPr>
                <w:rFonts w:eastAsia="Times New Roman"/>
                <w:b/>
                <w:bCs/>
                <w:color w:val="000000"/>
                <w:sz w:val="22"/>
                <w:szCs w:val="22"/>
              </w:rPr>
              <w:t>Downstream Persons and Entities</w:t>
            </w:r>
            <w:r w:rsidRPr="000249FF" w:rsidR="00C26186">
              <w:rPr>
                <w:rFonts w:eastAsia="Times New Roman"/>
                <w:b/>
                <w:bCs/>
                <w:color w:val="000000"/>
                <w:sz w:val="22"/>
                <w:szCs w:val="22"/>
              </w:rPr>
              <w:t xml:space="preserve"> </w:t>
            </w:r>
            <w:r w:rsidRPr="000249FF">
              <w:rPr>
                <w:rFonts w:eastAsia="Times New Roman"/>
                <w:b/>
                <w:bCs/>
                <w:color w:val="000000"/>
                <w:sz w:val="22"/>
                <w:szCs w:val="22"/>
              </w:rPr>
              <w:t>Not Engaged in Homecare</w:t>
            </w:r>
          </w:p>
        </w:tc>
        <w:tc>
          <w:tcPr>
            <w:tcW w:w="1514" w:type="dxa"/>
            <w:shd w:val="clear" w:color="auto" w:fill="D9D9D9" w:themeFill="background1" w:themeFillShade="D9"/>
            <w:vAlign w:val="center"/>
            <w:hideMark/>
          </w:tcPr>
          <w:p w:rsidR="00364EE0" w:rsidRPr="000249FF" w:rsidP="00C346DD" w14:paraId="30435D66" w14:textId="628BB274">
            <w:pPr>
              <w:spacing w:after="0"/>
              <w:jc w:val="center"/>
              <w:rPr>
                <w:rFonts w:eastAsia="Times New Roman"/>
                <w:b/>
                <w:bCs/>
                <w:color w:val="000000"/>
                <w:sz w:val="22"/>
                <w:szCs w:val="22"/>
              </w:rPr>
            </w:pPr>
            <w:r w:rsidRPr="000249FF">
              <w:rPr>
                <w:rFonts w:eastAsia="Times New Roman"/>
                <w:b/>
                <w:bCs/>
                <w:color w:val="000000"/>
                <w:sz w:val="22"/>
                <w:szCs w:val="22"/>
              </w:rPr>
              <w:t>Downstream Persons and Entities Engaged in Homecare</w:t>
            </w:r>
          </w:p>
        </w:tc>
        <w:tc>
          <w:tcPr>
            <w:tcW w:w="1135" w:type="dxa"/>
            <w:shd w:val="clear" w:color="auto" w:fill="D9D9D9" w:themeFill="background1" w:themeFillShade="D9"/>
          </w:tcPr>
          <w:p w:rsidR="00364EE0" w:rsidRPr="000249FF" w:rsidP="00C346DD" w14:paraId="66F6A358" w14:textId="77777777">
            <w:pPr>
              <w:spacing w:after="0"/>
              <w:jc w:val="center"/>
              <w:rPr>
                <w:rFonts w:eastAsia="Times New Roman"/>
                <w:b/>
                <w:bCs/>
                <w:color w:val="000000"/>
                <w:sz w:val="22"/>
                <w:szCs w:val="22"/>
              </w:rPr>
            </w:pPr>
          </w:p>
          <w:p w:rsidR="00364EE0" w:rsidRPr="000249FF" w:rsidP="00C346DD" w14:paraId="5FA5CC52" w14:textId="77777777">
            <w:pPr>
              <w:spacing w:after="0"/>
              <w:jc w:val="center"/>
              <w:rPr>
                <w:rFonts w:eastAsia="Times New Roman"/>
                <w:b/>
                <w:bCs/>
                <w:color w:val="000000"/>
                <w:sz w:val="22"/>
                <w:szCs w:val="22"/>
              </w:rPr>
            </w:pPr>
          </w:p>
          <w:p w:rsidR="00364EE0" w:rsidRPr="000249FF" w:rsidP="00C346DD" w14:paraId="403F4466" w14:textId="1EE55976">
            <w:pPr>
              <w:spacing w:after="0"/>
              <w:jc w:val="center"/>
              <w:rPr>
                <w:rFonts w:eastAsia="Times New Roman"/>
                <w:b/>
                <w:bCs/>
                <w:color w:val="000000"/>
                <w:sz w:val="22"/>
                <w:szCs w:val="22"/>
              </w:rPr>
            </w:pPr>
            <w:r w:rsidRPr="000249FF">
              <w:rPr>
                <w:rFonts w:eastAsia="Times New Roman"/>
                <w:b/>
                <w:bCs/>
                <w:color w:val="000000"/>
                <w:sz w:val="22"/>
                <w:szCs w:val="22"/>
              </w:rPr>
              <w:t>Total</w:t>
            </w:r>
          </w:p>
        </w:tc>
      </w:tr>
      <w:tr w14:paraId="206CBAE6" w14:textId="562FDD30" w:rsidTr="003B7206">
        <w:tblPrEx>
          <w:tblW w:w="5000" w:type="pct"/>
          <w:tblInd w:w="10" w:type="dxa"/>
          <w:tblLayout w:type="fixed"/>
          <w:tblLook w:val="04A0"/>
        </w:tblPrEx>
        <w:trPr>
          <w:trHeight w:val="216"/>
        </w:trPr>
        <w:tc>
          <w:tcPr>
            <w:tcW w:w="3296" w:type="dxa"/>
            <w:shd w:val="clear" w:color="auto" w:fill="auto"/>
            <w:vAlign w:val="center"/>
            <w:hideMark/>
          </w:tcPr>
          <w:p w:rsidR="00364EE0" w:rsidRPr="000249FF" w:rsidP="00921A62" w14:paraId="3358156E" w14:textId="607482A9">
            <w:pPr>
              <w:spacing w:after="0"/>
              <w:rPr>
                <w:rFonts w:eastAsia="Times New Roman"/>
                <w:color w:val="000000"/>
                <w:sz w:val="22"/>
                <w:szCs w:val="22"/>
              </w:rPr>
            </w:pPr>
            <w:r w:rsidRPr="000249FF">
              <w:rPr>
                <w:rFonts w:eastAsia="Times New Roman"/>
                <w:color w:val="000000"/>
                <w:sz w:val="22"/>
                <w:szCs w:val="22"/>
              </w:rPr>
              <w:t xml:space="preserve">Affected entities </w:t>
            </w:r>
          </w:p>
        </w:tc>
        <w:tc>
          <w:tcPr>
            <w:tcW w:w="1639" w:type="dxa"/>
            <w:shd w:val="clear" w:color="auto" w:fill="auto"/>
            <w:vAlign w:val="center"/>
            <w:hideMark/>
          </w:tcPr>
          <w:p w:rsidR="00364EE0" w:rsidRPr="000249FF" w:rsidP="00220847" w14:paraId="5B8F16B8" w14:textId="5E43EF11">
            <w:pPr>
              <w:spacing w:after="0"/>
              <w:jc w:val="center"/>
              <w:rPr>
                <w:rFonts w:eastAsia="Times New Roman"/>
                <w:color w:val="000000"/>
                <w:sz w:val="22"/>
                <w:szCs w:val="22"/>
              </w:rPr>
            </w:pPr>
            <w:r w:rsidRPr="000249FF">
              <w:rPr>
                <w:rFonts w:eastAsia="Times New Roman"/>
                <w:color w:val="000000"/>
                <w:sz w:val="22"/>
                <w:szCs w:val="22"/>
              </w:rPr>
              <w:t>316</w:t>
            </w:r>
          </w:p>
        </w:tc>
        <w:tc>
          <w:tcPr>
            <w:tcW w:w="1766" w:type="dxa"/>
            <w:shd w:val="clear" w:color="auto" w:fill="auto"/>
            <w:vAlign w:val="center"/>
            <w:hideMark/>
          </w:tcPr>
          <w:p w:rsidR="00364EE0" w:rsidRPr="000249FF" w:rsidP="00220847" w14:paraId="26ED3FB3" w14:textId="2D684884">
            <w:pPr>
              <w:spacing w:after="0"/>
              <w:jc w:val="center"/>
              <w:rPr>
                <w:rFonts w:eastAsia="Times New Roman"/>
                <w:color w:val="000000"/>
                <w:sz w:val="22"/>
                <w:szCs w:val="22"/>
              </w:rPr>
            </w:pPr>
            <w:r w:rsidRPr="000249FF">
              <w:rPr>
                <w:rFonts w:eastAsia="Times New Roman"/>
                <w:color w:val="000000"/>
                <w:sz w:val="22"/>
                <w:szCs w:val="22"/>
              </w:rPr>
              <w:t>1,078</w:t>
            </w:r>
          </w:p>
        </w:tc>
        <w:tc>
          <w:tcPr>
            <w:tcW w:w="1514" w:type="dxa"/>
            <w:shd w:val="clear" w:color="auto" w:fill="auto"/>
            <w:vAlign w:val="center"/>
            <w:hideMark/>
          </w:tcPr>
          <w:p w:rsidR="00364EE0" w:rsidRPr="000249FF" w:rsidP="00220847" w14:paraId="76511A59" w14:textId="74F22AAF">
            <w:pPr>
              <w:spacing w:after="0"/>
              <w:jc w:val="center"/>
              <w:rPr>
                <w:rFonts w:eastAsia="Times New Roman"/>
                <w:color w:val="000000"/>
                <w:sz w:val="22"/>
                <w:szCs w:val="22"/>
              </w:rPr>
            </w:pPr>
            <w:r w:rsidRPr="000249FF">
              <w:rPr>
                <w:rFonts w:eastAsia="Times New Roman"/>
                <w:color w:val="000000"/>
                <w:sz w:val="22"/>
                <w:szCs w:val="22"/>
              </w:rPr>
              <w:t>302</w:t>
            </w:r>
          </w:p>
        </w:tc>
        <w:tc>
          <w:tcPr>
            <w:tcW w:w="1135" w:type="dxa"/>
            <w:vAlign w:val="center"/>
          </w:tcPr>
          <w:p w:rsidR="00364EE0" w:rsidRPr="000249FF" w:rsidP="00220847" w14:paraId="05455601" w14:textId="29D556F5">
            <w:pPr>
              <w:spacing w:after="0"/>
              <w:jc w:val="center"/>
              <w:rPr>
                <w:rFonts w:eastAsia="Times New Roman"/>
                <w:color w:val="000000"/>
                <w:sz w:val="22"/>
                <w:szCs w:val="22"/>
              </w:rPr>
            </w:pPr>
            <w:r w:rsidRPr="000249FF">
              <w:rPr>
                <w:rFonts w:eastAsia="Times New Roman"/>
                <w:color w:val="000000"/>
                <w:sz w:val="22"/>
                <w:szCs w:val="22"/>
              </w:rPr>
              <w:t>1,696</w:t>
            </w:r>
          </w:p>
        </w:tc>
      </w:tr>
      <w:tr w14:paraId="14893BB2" w14:textId="5001167D" w:rsidTr="003B7206">
        <w:tblPrEx>
          <w:tblW w:w="5000" w:type="pct"/>
          <w:tblInd w:w="10" w:type="dxa"/>
          <w:tblLayout w:type="fixed"/>
          <w:tblLook w:val="04A0"/>
        </w:tblPrEx>
        <w:trPr>
          <w:trHeight w:val="216"/>
        </w:trPr>
        <w:tc>
          <w:tcPr>
            <w:tcW w:w="3296" w:type="dxa"/>
            <w:shd w:val="clear" w:color="auto" w:fill="auto"/>
            <w:vAlign w:val="center"/>
            <w:hideMark/>
          </w:tcPr>
          <w:p w:rsidR="00364EE0" w:rsidRPr="000249FF" w:rsidP="00921A62" w14:paraId="064AD90F" w14:textId="3B9CFAAA">
            <w:pPr>
              <w:spacing w:after="0"/>
              <w:rPr>
                <w:rFonts w:eastAsia="Times New Roman"/>
                <w:color w:val="000000"/>
                <w:sz w:val="22"/>
                <w:szCs w:val="22"/>
              </w:rPr>
            </w:pPr>
            <w:r w:rsidRPr="000249FF">
              <w:rPr>
                <w:rFonts w:eastAsia="Times New Roman"/>
                <w:color w:val="000000"/>
                <w:sz w:val="22"/>
                <w:szCs w:val="22"/>
              </w:rPr>
              <w:t>Number of employees (per firm)</w:t>
            </w:r>
          </w:p>
        </w:tc>
        <w:tc>
          <w:tcPr>
            <w:tcW w:w="1639" w:type="dxa"/>
            <w:shd w:val="clear" w:color="auto" w:fill="auto"/>
            <w:vAlign w:val="center"/>
            <w:hideMark/>
          </w:tcPr>
          <w:p w:rsidR="00364EE0" w:rsidRPr="000249FF" w:rsidP="00220847" w14:paraId="58665897" w14:textId="3DC4C459">
            <w:pPr>
              <w:spacing w:after="0"/>
              <w:jc w:val="center"/>
              <w:rPr>
                <w:rFonts w:eastAsia="Times New Roman"/>
                <w:color w:val="000000"/>
                <w:sz w:val="22"/>
                <w:szCs w:val="22"/>
              </w:rPr>
            </w:pPr>
            <w:r w:rsidRPr="000249FF">
              <w:rPr>
                <w:rFonts w:eastAsia="Times New Roman"/>
                <w:color w:val="000000"/>
                <w:sz w:val="22"/>
                <w:szCs w:val="22"/>
              </w:rPr>
              <w:t>12</w:t>
            </w:r>
          </w:p>
        </w:tc>
        <w:tc>
          <w:tcPr>
            <w:tcW w:w="1766" w:type="dxa"/>
            <w:shd w:val="clear" w:color="auto" w:fill="auto"/>
            <w:vAlign w:val="center"/>
            <w:hideMark/>
          </w:tcPr>
          <w:p w:rsidR="00364EE0" w:rsidRPr="000249FF" w:rsidP="00220847" w14:paraId="50440111" w14:textId="5910A4D3">
            <w:pPr>
              <w:spacing w:after="0"/>
              <w:jc w:val="center"/>
              <w:rPr>
                <w:rFonts w:eastAsia="Times New Roman"/>
                <w:color w:val="000000"/>
                <w:sz w:val="22"/>
                <w:szCs w:val="22"/>
              </w:rPr>
            </w:pPr>
            <w:r w:rsidRPr="000249FF">
              <w:rPr>
                <w:rFonts w:eastAsia="Times New Roman"/>
                <w:color w:val="000000"/>
                <w:sz w:val="22"/>
                <w:szCs w:val="22"/>
              </w:rPr>
              <w:t>9</w:t>
            </w:r>
          </w:p>
        </w:tc>
        <w:tc>
          <w:tcPr>
            <w:tcW w:w="1514" w:type="dxa"/>
            <w:shd w:val="clear" w:color="auto" w:fill="auto"/>
            <w:vAlign w:val="center"/>
            <w:hideMark/>
          </w:tcPr>
          <w:p w:rsidR="00364EE0" w:rsidRPr="000249FF" w:rsidP="00220847" w14:paraId="1263AA4E" w14:textId="220C2FC7">
            <w:pPr>
              <w:spacing w:after="0"/>
              <w:jc w:val="center"/>
              <w:rPr>
                <w:rFonts w:eastAsia="Times New Roman"/>
                <w:color w:val="000000"/>
                <w:sz w:val="22"/>
                <w:szCs w:val="22"/>
              </w:rPr>
            </w:pPr>
            <w:r w:rsidRPr="000249FF">
              <w:rPr>
                <w:rFonts w:eastAsia="Times New Roman"/>
                <w:color w:val="000000"/>
                <w:sz w:val="22"/>
                <w:szCs w:val="22"/>
              </w:rPr>
              <w:t>10</w:t>
            </w:r>
          </w:p>
        </w:tc>
        <w:tc>
          <w:tcPr>
            <w:tcW w:w="1135" w:type="dxa"/>
            <w:vAlign w:val="center"/>
          </w:tcPr>
          <w:p w:rsidR="00364EE0" w:rsidRPr="000249FF" w:rsidP="00220847" w14:paraId="54C8A71B" w14:textId="5ABDE3F1">
            <w:pPr>
              <w:spacing w:after="0"/>
              <w:jc w:val="center"/>
              <w:rPr>
                <w:rFonts w:eastAsia="Times New Roman"/>
                <w:color w:val="000000"/>
                <w:sz w:val="22"/>
                <w:szCs w:val="22"/>
              </w:rPr>
            </w:pPr>
            <w:r w:rsidRPr="000249FF">
              <w:rPr>
                <w:rFonts w:eastAsia="Times New Roman"/>
                <w:color w:val="000000"/>
                <w:sz w:val="22"/>
                <w:szCs w:val="22"/>
              </w:rPr>
              <w:t>10</w:t>
            </w:r>
          </w:p>
        </w:tc>
      </w:tr>
      <w:tr w14:paraId="739C6565" w14:textId="30BF8DA7" w:rsidTr="003B7206">
        <w:tblPrEx>
          <w:tblW w:w="5000" w:type="pct"/>
          <w:tblInd w:w="10" w:type="dxa"/>
          <w:tblLayout w:type="fixed"/>
          <w:tblLook w:val="04A0"/>
        </w:tblPrEx>
        <w:trPr>
          <w:trHeight w:val="197"/>
        </w:trPr>
        <w:tc>
          <w:tcPr>
            <w:tcW w:w="3296" w:type="dxa"/>
            <w:shd w:val="clear" w:color="auto" w:fill="auto"/>
            <w:vAlign w:val="center"/>
          </w:tcPr>
          <w:p w:rsidR="00364EE0" w:rsidRPr="000249FF" w:rsidP="00921A62" w14:paraId="6FC3C878" w14:textId="59EF5B32">
            <w:pPr>
              <w:spacing w:after="0"/>
              <w:rPr>
                <w:rFonts w:eastAsia="Times New Roman"/>
                <w:color w:val="000000"/>
                <w:sz w:val="22"/>
                <w:szCs w:val="22"/>
              </w:rPr>
            </w:pPr>
            <w:r w:rsidRPr="000249FF">
              <w:rPr>
                <w:rFonts w:eastAsia="Times New Roman"/>
                <w:color w:val="000000"/>
                <w:sz w:val="22"/>
                <w:szCs w:val="22"/>
              </w:rPr>
              <w:t>Time per document low (minutes)</w:t>
            </w:r>
          </w:p>
        </w:tc>
        <w:tc>
          <w:tcPr>
            <w:tcW w:w="1639" w:type="dxa"/>
            <w:shd w:val="clear" w:color="auto" w:fill="auto"/>
            <w:vAlign w:val="center"/>
          </w:tcPr>
          <w:p w:rsidR="00364EE0" w:rsidRPr="000249FF" w:rsidP="00220847" w14:paraId="43FB6521" w14:textId="14A86D12">
            <w:pPr>
              <w:spacing w:after="0"/>
              <w:jc w:val="center"/>
              <w:rPr>
                <w:rFonts w:eastAsia="Times New Roman"/>
                <w:color w:val="000000"/>
                <w:sz w:val="22"/>
                <w:szCs w:val="22"/>
              </w:rPr>
            </w:pPr>
            <w:r w:rsidRPr="000249FF">
              <w:rPr>
                <w:rFonts w:eastAsia="Times New Roman"/>
                <w:color w:val="000000"/>
                <w:sz w:val="22"/>
                <w:szCs w:val="22"/>
              </w:rPr>
              <w:t>2.5</w:t>
            </w:r>
          </w:p>
        </w:tc>
        <w:tc>
          <w:tcPr>
            <w:tcW w:w="1766" w:type="dxa"/>
            <w:shd w:val="clear" w:color="auto" w:fill="auto"/>
            <w:vAlign w:val="center"/>
          </w:tcPr>
          <w:p w:rsidR="00364EE0" w:rsidRPr="000249FF" w:rsidP="00220847" w14:paraId="385D8C62" w14:textId="55A1FE6E">
            <w:pPr>
              <w:spacing w:after="0"/>
              <w:jc w:val="center"/>
              <w:rPr>
                <w:rFonts w:eastAsia="Times New Roman"/>
                <w:color w:val="000000"/>
                <w:sz w:val="22"/>
                <w:szCs w:val="22"/>
              </w:rPr>
            </w:pPr>
            <w:r w:rsidRPr="000249FF">
              <w:rPr>
                <w:rFonts w:eastAsia="Times New Roman"/>
                <w:color w:val="000000"/>
                <w:sz w:val="22"/>
                <w:szCs w:val="22"/>
              </w:rPr>
              <w:t>2.5</w:t>
            </w:r>
          </w:p>
        </w:tc>
        <w:tc>
          <w:tcPr>
            <w:tcW w:w="1514" w:type="dxa"/>
            <w:shd w:val="clear" w:color="auto" w:fill="auto"/>
            <w:vAlign w:val="center"/>
          </w:tcPr>
          <w:p w:rsidR="00364EE0" w:rsidRPr="000249FF" w:rsidP="00220847" w14:paraId="38536D7F" w14:textId="464A05D8">
            <w:pPr>
              <w:spacing w:after="0"/>
              <w:jc w:val="center"/>
              <w:rPr>
                <w:rFonts w:eastAsia="Times New Roman"/>
                <w:color w:val="000000"/>
                <w:sz w:val="22"/>
                <w:szCs w:val="22"/>
              </w:rPr>
            </w:pPr>
            <w:r w:rsidRPr="000249FF">
              <w:rPr>
                <w:rFonts w:eastAsia="Times New Roman"/>
                <w:color w:val="000000"/>
                <w:sz w:val="22"/>
                <w:szCs w:val="22"/>
              </w:rPr>
              <w:t>2.5</w:t>
            </w:r>
          </w:p>
        </w:tc>
        <w:tc>
          <w:tcPr>
            <w:tcW w:w="1135" w:type="dxa"/>
            <w:vAlign w:val="center"/>
          </w:tcPr>
          <w:p w:rsidR="00364EE0" w:rsidRPr="000249FF" w:rsidP="00220847" w14:paraId="3FAA0726" w14:textId="44AFCC35">
            <w:pPr>
              <w:spacing w:after="0"/>
              <w:jc w:val="center"/>
              <w:rPr>
                <w:rFonts w:eastAsia="Times New Roman"/>
                <w:color w:val="000000"/>
                <w:sz w:val="22"/>
                <w:szCs w:val="22"/>
              </w:rPr>
            </w:pPr>
            <w:r w:rsidRPr="000249FF">
              <w:rPr>
                <w:rFonts w:eastAsia="Times New Roman"/>
                <w:color w:val="000000"/>
                <w:sz w:val="22"/>
                <w:szCs w:val="22"/>
              </w:rPr>
              <w:t>2.5</w:t>
            </w:r>
          </w:p>
        </w:tc>
      </w:tr>
      <w:tr w14:paraId="6B1E38DE" w14:textId="78E12195" w:rsidTr="003B7206">
        <w:tblPrEx>
          <w:tblW w:w="5000" w:type="pct"/>
          <w:tblInd w:w="10" w:type="dxa"/>
          <w:tblLayout w:type="fixed"/>
          <w:tblLook w:val="04A0"/>
        </w:tblPrEx>
        <w:trPr>
          <w:trHeight w:val="296"/>
        </w:trPr>
        <w:tc>
          <w:tcPr>
            <w:tcW w:w="3296" w:type="dxa"/>
            <w:shd w:val="clear" w:color="auto" w:fill="auto"/>
            <w:vAlign w:val="center"/>
          </w:tcPr>
          <w:p w:rsidR="00364EE0" w:rsidRPr="000249FF" w:rsidP="00F932FC" w14:paraId="51EABFBD" w14:textId="3FCF2619">
            <w:pPr>
              <w:spacing w:after="0"/>
              <w:rPr>
                <w:rFonts w:eastAsia="Times New Roman"/>
                <w:color w:val="000000"/>
                <w:sz w:val="22"/>
                <w:szCs w:val="22"/>
              </w:rPr>
            </w:pPr>
            <w:r w:rsidRPr="000249FF">
              <w:rPr>
                <w:rFonts w:eastAsia="Times New Roman"/>
                <w:color w:val="000000"/>
                <w:sz w:val="22"/>
                <w:szCs w:val="22"/>
              </w:rPr>
              <w:t>Time per document high (minutes)</w:t>
            </w:r>
          </w:p>
        </w:tc>
        <w:tc>
          <w:tcPr>
            <w:tcW w:w="1639" w:type="dxa"/>
            <w:shd w:val="clear" w:color="auto" w:fill="auto"/>
            <w:noWrap/>
            <w:vAlign w:val="center"/>
          </w:tcPr>
          <w:p w:rsidR="00364EE0" w:rsidRPr="000249FF" w:rsidP="00220847" w14:paraId="2C69D450" w14:textId="72D56BB8">
            <w:pPr>
              <w:spacing w:after="0"/>
              <w:jc w:val="center"/>
              <w:rPr>
                <w:rFonts w:eastAsia="Times New Roman"/>
                <w:color w:val="000000"/>
                <w:sz w:val="22"/>
                <w:szCs w:val="22"/>
              </w:rPr>
            </w:pPr>
            <w:r w:rsidRPr="000249FF">
              <w:rPr>
                <w:rFonts w:eastAsia="Times New Roman"/>
                <w:color w:val="000000"/>
                <w:sz w:val="22"/>
                <w:szCs w:val="22"/>
              </w:rPr>
              <w:t>5</w:t>
            </w:r>
          </w:p>
        </w:tc>
        <w:tc>
          <w:tcPr>
            <w:tcW w:w="1766" w:type="dxa"/>
            <w:shd w:val="clear" w:color="auto" w:fill="auto"/>
            <w:noWrap/>
            <w:vAlign w:val="center"/>
          </w:tcPr>
          <w:p w:rsidR="00364EE0" w:rsidRPr="000249FF" w:rsidP="00220847" w14:paraId="45E365F3" w14:textId="00927665">
            <w:pPr>
              <w:spacing w:after="0"/>
              <w:jc w:val="center"/>
              <w:rPr>
                <w:rFonts w:eastAsia="Times New Roman"/>
                <w:color w:val="000000"/>
                <w:sz w:val="22"/>
                <w:szCs w:val="22"/>
              </w:rPr>
            </w:pPr>
            <w:r w:rsidRPr="000249FF">
              <w:rPr>
                <w:rFonts w:eastAsia="Times New Roman"/>
                <w:color w:val="000000"/>
                <w:sz w:val="22"/>
                <w:szCs w:val="22"/>
              </w:rPr>
              <w:t>5</w:t>
            </w:r>
          </w:p>
        </w:tc>
        <w:tc>
          <w:tcPr>
            <w:tcW w:w="1514" w:type="dxa"/>
            <w:shd w:val="clear" w:color="auto" w:fill="auto"/>
            <w:noWrap/>
            <w:vAlign w:val="center"/>
          </w:tcPr>
          <w:p w:rsidR="00364EE0" w:rsidRPr="000249FF" w:rsidP="00220847" w14:paraId="585C61BB" w14:textId="35EDD1D4">
            <w:pPr>
              <w:spacing w:after="0"/>
              <w:jc w:val="center"/>
              <w:rPr>
                <w:rFonts w:eastAsia="Times New Roman"/>
                <w:color w:val="000000"/>
                <w:sz w:val="22"/>
                <w:szCs w:val="22"/>
              </w:rPr>
            </w:pPr>
            <w:r w:rsidRPr="000249FF">
              <w:rPr>
                <w:rFonts w:eastAsia="Times New Roman"/>
                <w:color w:val="000000"/>
                <w:sz w:val="22"/>
                <w:szCs w:val="22"/>
              </w:rPr>
              <w:t>5</w:t>
            </w:r>
          </w:p>
        </w:tc>
        <w:tc>
          <w:tcPr>
            <w:tcW w:w="1135" w:type="dxa"/>
            <w:vAlign w:val="center"/>
          </w:tcPr>
          <w:p w:rsidR="00364EE0" w:rsidRPr="000249FF" w:rsidP="00220847" w14:paraId="6FD236BB" w14:textId="2739D496">
            <w:pPr>
              <w:spacing w:after="0"/>
              <w:jc w:val="center"/>
              <w:rPr>
                <w:rFonts w:eastAsia="Times New Roman"/>
                <w:color w:val="000000"/>
                <w:sz w:val="22"/>
                <w:szCs w:val="22"/>
              </w:rPr>
            </w:pPr>
            <w:r w:rsidRPr="000249FF">
              <w:rPr>
                <w:rFonts w:eastAsia="Times New Roman"/>
                <w:color w:val="000000"/>
                <w:sz w:val="22"/>
                <w:szCs w:val="22"/>
              </w:rPr>
              <w:t>5</w:t>
            </w:r>
          </w:p>
        </w:tc>
      </w:tr>
      <w:tr w14:paraId="4EC63938" w14:textId="6E8A8975" w:rsidTr="003B7206">
        <w:tblPrEx>
          <w:tblW w:w="5000" w:type="pct"/>
          <w:tblInd w:w="10" w:type="dxa"/>
          <w:tblLayout w:type="fixed"/>
          <w:tblLook w:val="04A0"/>
        </w:tblPrEx>
        <w:trPr>
          <w:trHeight w:val="144"/>
        </w:trPr>
        <w:tc>
          <w:tcPr>
            <w:tcW w:w="3296" w:type="dxa"/>
            <w:shd w:val="clear" w:color="auto" w:fill="auto"/>
            <w:vAlign w:val="center"/>
          </w:tcPr>
          <w:p w:rsidR="00364EE0" w:rsidRPr="000249FF" w:rsidP="00F932FC" w14:paraId="0178991C" w14:textId="1CA9F4BB">
            <w:pPr>
              <w:spacing w:after="0"/>
              <w:rPr>
                <w:rFonts w:eastAsia="Times New Roman"/>
                <w:color w:val="000000"/>
                <w:sz w:val="22"/>
                <w:szCs w:val="22"/>
              </w:rPr>
            </w:pPr>
            <w:r w:rsidRPr="000249FF">
              <w:rPr>
                <w:rFonts w:eastAsia="Times New Roman"/>
                <w:color w:val="000000"/>
                <w:sz w:val="22"/>
                <w:szCs w:val="22"/>
              </w:rPr>
              <w:t>Wage rate (file clerk)</w:t>
            </w:r>
          </w:p>
        </w:tc>
        <w:tc>
          <w:tcPr>
            <w:tcW w:w="1639" w:type="dxa"/>
            <w:shd w:val="clear" w:color="auto" w:fill="auto"/>
            <w:noWrap/>
            <w:vAlign w:val="center"/>
          </w:tcPr>
          <w:p w:rsidR="00364EE0" w:rsidRPr="000249FF" w:rsidP="00220847" w14:paraId="611F671C" w14:textId="3B55249B">
            <w:pPr>
              <w:spacing w:after="0"/>
              <w:jc w:val="center"/>
              <w:rPr>
                <w:rFonts w:eastAsia="Times New Roman"/>
                <w:color w:val="000000"/>
                <w:sz w:val="22"/>
                <w:szCs w:val="22"/>
              </w:rPr>
            </w:pPr>
            <w:r w:rsidRPr="000249FF">
              <w:rPr>
                <w:rFonts w:eastAsia="Times New Roman"/>
                <w:color w:val="000000"/>
                <w:sz w:val="22"/>
                <w:szCs w:val="22"/>
              </w:rPr>
              <w:t>$</w:t>
            </w:r>
            <w:r w:rsidR="00F46E4E">
              <w:rPr>
                <w:rFonts w:eastAsia="Times New Roman"/>
                <w:color w:val="000000"/>
                <w:sz w:val="22"/>
                <w:szCs w:val="22"/>
              </w:rPr>
              <w:t>47.32</w:t>
            </w:r>
          </w:p>
        </w:tc>
        <w:tc>
          <w:tcPr>
            <w:tcW w:w="1766" w:type="dxa"/>
            <w:shd w:val="clear" w:color="auto" w:fill="auto"/>
            <w:noWrap/>
            <w:vAlign w:val="center"/>
          </w:tcPr>
          <w:p w:rsidR="00364EE0" w:rsidRPr="000249FF" w:rsidP="00220847" w14:paraId="350B80CA" w14:textId="1D76A3CB">
            <w:pPr>
              <w:spacing w:after="0"/>
              <w:jc w:val="center"/>
              <w:rPr>
                <w:rFonts w:eastAsia="Times New Roman"/>
                <w:color w:val="000000"/>
                <w:sz w:val="22"/>
                <w:szCs w:val="22"/>
              </w:rPr>
            </w:pPr>
            <w:r w:rsidRPr="000249FF">
              <w:rPr>
                <w:rFonts w:eastAsia="Times New Roman"/>
                <w:color w:val="000000"/>
                <w:sz w:val="22"/>
                <w:szCs w:val="22"/>
              </w:rPr>
              <w:t>$</w:t>
            </w:r>
            <w:r w:rsidR="00F46E4E">
              <w:rPr>
                <w:rFonts w:eastAsia="Times New Roman"/>
                <w:color w:val="000000"/>
                <w:sz w:val="22"/>
                <w:szCs w:val="22"/>
              </w:rPr>
              <w:t>47.32</w:t>
            </w:r>
          </w:p>
        </w:tc>
        <w:tc>
          <w:tcPr>
            <w:tcW w:w="1514" w:type="dxa"/>
            <w:shd w:val="clear" w:color="auto" w:fill="auto"/>
            <w:noWrap/>
            <w:vAlign w:val="center"/>
          </w:tcPr>
          <w:p w:rsidR="00364EE0" w:rsidRPr="000249FF" w:rsidP="00220847" w14:paraId="1C323FCC" w14:textId="36E4CE39">
            <w:pPr>
              <w:spacing w:after="0"/>
              <w:jc w:val="center"/>
              <w:rPr>
                <w:rFonts w:eastAsia="Times New Roman"/>
                <w:color w:val="000000"/>
                <w:sz w:val="22"/>
                <w:szCs w:val="22"/>
              </w:rPr>
            </w:pPr>
            <w:r w:rsidRPr="000249FF">
              <w:rPr>
                <w:rFonts w:eastAsia="Times New Roman"/>
                <w:color w:val="000000"/>
                <w:sz w:val="22"/>
                <w:szCs w:val="22"/>
              </w:rPr>
              <w:t>$</w:t>
            </w:r>
            <w:r w:rsidR="00F46E4E">
              <w:rPr>
                <w:rFonts w:eastAsia="Times New Roman"/>
                <w:color w:val="000000"/>
                <w:sz w:val="22"/>
                <w:szCs w:val="22"/>
              </w:rPr>
              <w:t>47.32</w:t>
            </w:r>
          </w:p>
        </w:tc>
        <w:tc>
          <w:tcPr>
            <w:tcW w:w="1135" w:type="dxa"/>
            <w:vAlign w:val="center"/>
          </w:tcPr>
          <w:p w:rsidR="00364EE0" w:rsidRPr="000249FF" w:rsidP="00220847" w14:paraId="53C85280" w14:textId="55D9E5C6">
            <w:pPr>
              <w:spacing w:after="0"/>
              <w:jc w:val="center"/>
              <w:rPr>
                <w:rFonts w:eastAsia="Times New Roman"/>
                <w:color w:val="000000"/>
                <w:sz w:val="22"/>
                <w:szCs w:val="22"/>
              </w:rPr>
            </w:pPr>
            <w:r w:rsidRPr="000249FF">
              <w:rPr>
                <w:rFonts w:eastAsia="Times New Roman"/>
                <w:color w:val="000000"/>
                <w:sz w:val="22"/>
                <w:szCs w:val="22"/>
              </w:rPr>
              <w:t>$</w:t>
            </w:r>
            <w:r w:rsidR="00F46E4E">
              <w:rPr>
                <w:rFonts w:eastAsia="Times New Roman"/>
                <w:color w:val="000000"/>
                <w:sz w:val="22"/>
                <w:szCs w:val="22"/>
              </w:rPr>
              <w:t>47.32</w:t>
            </w:r>
          </w:p>
        </w:tc>
      </w:tr>
      <w:tr w14:paraId="3E94201D" w14:textId="4711E239" w:rsidTr="003B7206">
        <w:tblPrEx>
          <w:tblW w:w="5000" w:type="pct"/>
          <w:tblInd w:w="10" w:type="dxa"/>
          <w:tblLayout w:type="fixed"/>
          <w:tblLook w:val="04A0"/>
        </w:tblPrEx>
        <w:trPr>
          <w:trHeight w:val="144"/>
        </w:trPr>
        <w:tc>
          <w:tcPr>
            <w:tcW w:w="3296" w:type="dxa"/>
            <w:shd w:val="clear" w:color="auto" w:fill="D9D9D9" w:themeFill="background1" w:themeFillShade="D9"/>
            <w:vAlign w:val="center"/>
          </w:tcPr>
          <w:p w:rsidR="00364EE0" w:rsidRPr="000249FF" w:rsidP="00F932FC" w14:paraId="258DF775" w14:textId="4CE9D3F7">
            <w:pPr>
              <w:spacing w:after="0"/>
              <w:rPr>
                <w:rFonts w:eastAsia="Times New Roman"/>
                <w:b/>
                <w:color w:val="000000"/>
                <w:sz w:val="22"/>
                <w:szCs w:val="22"/>
              </w:rPr>
            </w:pPr>
            <w:r w:rsidRPr="000249FF">
              <w:rPr>
                <w:rFonts w:eastAsia="Times New Roman"/>
                <w:b/>
                <w:color w:val="000000"/>
                <w:sz w:val="22"/>
                <w:szCs w:val="22"/>
              </w:rPr>
              <w:t xml:space="preserve">Ongoing costs (millions) </w:t>
            </w:r>
          </w:p>
        </w:tc>
        <w:tc>
          <w:tcPr>
            <w:tcW w:w="1639" w:type="dxa"/>
            <w:shd w:val="clear" w:color="auto" w:fill="D9D9D9" w:themeFill="background1" w:themeFillShade="D9"/>
            <w:noWrap/>
            <w:vAlign w:val="bottom"/>
          </w:tcPr>
          <w:p w:rsidR="00364EE0" w:rsidRPr="000249FF" w:rsidP="00AC2CB0" w14:paraId="57AA8F13" w14:textId="4978F1A5">
            <w:pPr>
              <w:spacing w:after="0"/>
              <w:jc w:val="center"/>
              <w:rPr>
                <w:rFonts w:eastAsia="Times New Roman"/>
                <w:b/>
                <w:color w:val="000000"/>
                <w:sz w:val="22"/>
                <w:szCs w:val="22"/>
              </w:rPr>
            </w:pPr>
          </w:p>
        </w:tc>
        <w:tc>
          <w:tcPr>
            <w:tcW w:w="1766" w:type="dxa"/>
            <w:shd w:val="clear" w:color="auto" w:fill="D9D9D9" w:themeFill="background1" w:themeFillShade="D9"/>
            <w:noWrap/>
            <w:vAlign w:val="bottom"/>
          </w:tcPr>
          <w:p w:rsidR="00364EE0" w:rsidRPr="000249FF" w:rsidP="00AC2CB0" w14:paraId="5F4FC0A3" w14:textId="1F70E7CA">
            <w:pPr>
              <w:spacing w:after="0"/>
              <w:jc w:val="center"/>
              <w:rPr>
                <w:rFonts w:eastAsia="Times New Roman"/>
                <w:b/>
                <w:color w:val="000000"/>
                <w:sz w:val="22"/>
                <w:szCs w:val="22"/>
              </w:rPr>
            </w:pPr>
          </w:p>
        </w:tc>
        <w:tc>
          <w:tcPr>
            <w:tcW w:w="1514" w:type="dxa"/>
            <w:shd w:val="clear" w:color="auto" w:fill="D9D9D9" w:themeFill="background1" w:themeFillShade="D9"/>
            <w:noWrap/>
            <w:vAlign w:val="bottom"/>
          </w:tcPr>
          <w:p w:rsidR="00364EE0" w:rsidRPr="000249FF" w:rsidP="00AC2CB0" w14:paraId="40A2BF5D" w14:textId="153417B4">
            <w:pPr>
              <w:spacing w:after="0"/>
              <w:jc w:val="center"/>
              <w:rPr>
                <w:rFonts w:eastAsia="Times New Roman"/>
                <w:b/>
                <w:color w:val="000000"/>
                <w:sz w:val="22"/>
                <w:szCs w:val="22"/>
              </w:rPr>
            </w:pPr>
          </w:p>
        </w:tc>
        <w:tc>
          <w:tcPr>
            <w:tcW w:w="1135" w:type="dxa"/>
            <w:shd w:val="clear" w:color="auto" w:fill="D9D9D9" w:themeFill="background1" w:themeFillShade="D9"/>
          </w:tcPr>
          <w:p w:rsidR="00364EE0" w:rsidRPr="000249FF" w:rsidP="00AC2CB0" w14:paraId="142089DD" w14:textId="77777777">
            <w:pPr>
              <w:spacing w:after="0"/>
              <w:jc w:val="center"/>
              <w:rPr>
                <w:rFonts w:eastAsia="Times New Roman"/>
                <w:b/>
                <w:color w:val="000000"/>
                <w:sz w:val="22"/>
                <w:szCs w:val="22"/>
              </w:rPr>
            </w:pPr>
          </w:p>
        </w:tc>
      </w:tr>
      <w:tr w14:paraId="21D106AF" w14:textId="3F559F01" w:rsidTr="003B7206">
        <w:tblPrEx>
          <w:tblW w:w="5000" w:type="pct"/>
          <w:tblInd w:w="10" w:type="dxa"/>
          <w:tblLayout w:type="fixed"/>
          <w:tblLook w:val="04A0"/>
        </w:tblPrEx>
        <w:trPr>
          <w:trHeight w:val="144"/>
        </w:trPr>
        <w:tc>
          <w:tcPr>
            <w:tcW w:w="3296" w:type="dxa"/>
            <w:shd w:val="clear" w:color="auto" w:fill="auto"/>
            <w:vAlign w:val="center"/>
          </w:tcPr>
          <w:p w:rsidR="00364EE0" w:rsidRPr="000249FF" w:rsidP="00F932FC" w14:paraId="53A0BD65" w14:textId="328D7775">
            <w:pPr>
              <w:spacing w:after="0"/>
              <w:rPr>
                <w:rFonts w:eastAsia="Times New Roman"/>
                <w:color w:val="000000"/>
                <w:sz w:val="22"/>
                <w:szCs w:val="22"/>
              </w:rPr>
            </w:pPr>
            <w:r w:rsidRPr="000249FF">
              <w:rPr>
                <w:rFonts w:eastAsia="Times New Roman"/>
                <w:color w:val="000000"/>
                <w:sz w:val="22"/>
                <w:szCs w:val="22"/>
              </w:rPr>
              <w:t>Total ongoing cost (low)</w:t>
            </w:r>
          </w:p>
        </w:tc>
        <w:tc>
          <w:tcPr>
            <w:tcW w:w="1639" w:type="dxa"/>
            <w:shd w:val="clear" w:color="auto" w:fill="auto"/>
            <w:noWrap/>
            <w:vAlign w:val="bottom"/>
          </w:tcPr>
          <w:p w:rsidR="00364EE0" w:rsidRPr="000249FF" w:rsidP="00AC2CB0" w14:paraId="66549EB3" w14:textId="5E52EBD1">
            <w:pPr>
              <w:spacing w:after="0"/>
              <w:jc w:val="center"/>
              <w:rPr>
                <w:rFonts w:eastAsia="Times New Roman"/>
                <w:color w:val="000000"/>
                <w:sz w:val="22"/>
                <w:szCs w:val="22"/>
              </w:rPr>
            </w:pPr>
            <w:r w:rsidRPr="000249FF">
              <w:rPr>
                <w:rFonts w:eastAsia="Times New Roman"/>
                <w:color w:val="000000"/>
                <w:sz w:val="22"/>
                <w:szCs w:val="22"/>
              </w:rPr>
              <w:t>$0.01</w:t>
            </w:r>
          </w:p>
        </w:tc>
        <w:tc>
          <w:tcPr>
            <w:tcW w:w="1766" w:type="dxa"/>
            <w:shd w:val="clear" w:color="auto" w:fill="auto"/>
            <w:noWrap/>
            <w:vAlign w:val="bottom"/>
          </w:tcPr>
          <w:p w:rsidR="00364EE0" w:rsidRPr="000249FF" w:rsidP="00AC2CB0" w14:paraId="2EA36860" w14:textId="69492F85">
            <w:pPr>
              <w:spacing w:after="0"/>
              <w:jc w:val="center"/>
              <w:rPr>
                <w:rFonts w:eastAsia="Times New Roman"/>
                <w:color w:val="000000"/>
                <w:sz w:val="22"/>
                <w:szCs w:val="22"/>
              </w:rPr>
            </w:pPr>
            <w:r w:rsidRPr="000249FF">
              <w:rPr>
                <w:rFonts w:eastAsia="Times New Roman"/>
                <w:color w:val="000000"/>
                <w:sz w:val="22"/>
                <w:szCs w:val="22"/>
              </w:rPr>
              <w:t>$0.02</w:t>
            </w:r>
          </w:p>
        </w:tc>
        <w:tc>
          <w:tcPr>
            <w:tcW w:w="1514" w:type="dxa"/>
            <w:shd w:val="clear" w:color="auto" w:fill="auto"/>
            <w:noWrap/>
            <w:vAlign w:val="bottom"/>
          </w:tcPr>
          <w:p w:rsidR="00364EE0" w:rsidRPr="000249FF" w:rsidP="00AC2CB0" w14:paraId="54963736" w14:textId="095C6A52">
            <w:pPr>
              <w:spacing w:after="0"/>
              <w:jc w:val="center"/>
              <w:rPr>
                <w:rFonts w:eastAsia="Times New Roman"/>
                <w:color w:val="000000"/>
                <w:sz w:val="22"/>
                <w:szCs w:val="22"/>
              </w:rPr>
            </w:pPr>
            <w:r w:rsidRPr="000249FF">
              <w:rPr>
                <w:rFonts w:eastAsia="Times New Roman"/>
                <w:color w:val="000000"/>
                <w:sz w:val="22"/>
                <w:szCs w:val="22"/>
              </w:rPr>
              <w:t>$0.00</w:t>
            </w:r>
          </w:p>
        </w:tc>
        <w:tc>
          <w:tcPr>
            <w:tcW w:w="1135" w:type="dxa"/>
          </w:tcPr>
          <w:p w:rsidR="00364EE0" w:rsidRPr="000249FF" w:rsidP="00AC2CB0" w14:paraId="52C1BA49" w14:textId="1AAF5B8B">
            <w:pPr>
              <w:spacing w:after="0"/>
              <w:jc w:val="center"/>
              <w:rPr>
                <w:rFonts w:eastAsia="Times New Roman"/>
                <w:color w:val="000000"/>
                <w:sz w:val="22"/>
                <w:szCs w:val="22"/>
              </w:rPr>
            </w:pPr>
            <w:r w:rsidRPr="000249FF">
              <w:rPr>
                <w:rFonts w:eastAsia="Times New Roman"/>
                <w:color w:val="000000"/>
                <w:sz w:val="22"/>
                <w:szCs w:val="22"/>
              </w:rPr>
              <w:t>$0.0</w:t>
            </w:r>
            <w:r w:rsidRPr="000249FF" w:rsidR="00681FF4">
              <w:rPr>
                <w:rFonts w:eastAsia="Times New Roman"/>
                <w:color w:val="000000"/>
                <w:sz w:val="22"/>
                <w:szCs w:val="22"/>
              </w:rPr>
              <w:t>3</w:t>
            </w:r>
          </w:p>
        </w:tc>
      </w:tr>
      <w:tr w14:paraId="2D7B2487" w14:textId="6D1462F3" w:rsidTr="003B7206">
        <w:tblPrEx>
          <w:tblW w:w="5000" w:type="pct"/>
          <w:tblInd w:w="10" w:type="dxa"/>
          <w:tblLayout w:type="fixed"/>
          <w:tblLook w:val="04A0"/>
        </w:tblPrEx>
        <w:trPr>
          <w:trHeight w:val="144"/>
        </w:trPr>
        <w:tc>
          <w:tcPr>
            <w:tcW w:w="3296" w:type="dxa"/>
            <w:shd w:val="clear" w:color="auto" w:fill="auto"/>
            <w:vAlign w:val="center"/>
          </w:tcPr>
          <w:p w:rsidR="00364EE0" w:rsidRPr="000249FF" w:rsidP="00F932FC" w14:paraId="77B4E91F" w14:textId="0C045F90">
            <w:pPr>
              <w:spacing w:after="0"/>
              <w:rPr>
                <w:rFonts w:eastAsia="Times New Roman"/>
                <w:color w:val="000000"/>
                <w:sz w:val="22"/>
                <w:szCs w:val="22"/>
              </w:rPr>
            </w:pPr>
            <w:r w:rsidRPr="000249FF">
              <w:rPr>
                <w:rFonts w:eastAsia="Times New Roman"/>
                <w:color w:val="000000"/>
                <w:sz w:val="22"/>
                <w:szCs w:val="22"/>
              </w:rPr>
              <w:t>Total ongoing cost (high)</w:t>
            </w:r>
          </w:p>
        </w:tc>
        <w:tc>
          <w:tcPr>
            <w:tcW w:w="1639" w:type="dxa"/>
            <w:shd w:val="clear" w:color="auto" w:fill="auto"/>
            <w:noWrap/>
            <w:vAlign w:val="bottom"/>
          </w:tcPr>
          <w:p w:rsidR="00364EE0" w:rsidRPr="000249FF" w:rsidP="00AC2CB0" w14:paraId="72605121" w14:textId="648A6F2C">
            <w:pPr>
              <w:spacing w:after="0"/>
              <w:jc w:val="center"/>
              <w:rPr>
                <w:rFonts w:eastAsia="Times New Roman"/>
                <w:color w:val="000000"/>
                <w:sz w:val="22"/>
                <w:szCs w:val="22"/>
              </w:rPr>
            </w:pPr>
            <w:r w:rsidRPr="000249FF">
              <w:rPr>
                <w:rFonts w:eastAsia="Times New Roman"/>
                <w:color w:val="000000"/>
                <w:sz w:val="22"/>
                <w:szCs w:val="22"/>
              </w:rPr>
              <w:t>$0.01</w:t>
            </w:r>
          </w:p>
        </w:tc>
        <w:tc>
          <w:tcPr>
            <w:tcW w:w="1766" w:type="dxa"/>
            <w:shd w:val="clear" w:color="auto" w:fill="auto"/>
            <w:noWrap/>
            <w:vAlign w:val="bottom"/>
          </w:tcPr>
          <w:p w:rsidR="00364EE0" w:rsidRPr="000249FF" w:rsidP="00AC2CB0" w14:paraId="74155D64" w14:textId="2B9896FE">
            <w:pPr>
              <w:spacing w:after="0"/>
              <w:jc w:val="center"/>
              <w:rPr>
                <w:rFonts w:eastAsia="Times New Roman"/>
                <w:color w:val="000000"/>
                <w:sz w:val="22"/>
                <w:szCs w:val="22"/>
              </w:rPr>
            </w:pPr>
            <w:r w:rsidRPr="000249FF">
              <w:rPr>
                <w:rFonts w:eastAsia="Times New Roman"/>
                <w:color w:val="000000"/>
                <w:sz w:val="22"/>
                <w:szCs w:val="22"/>
              </w:rPr>
              <w:t>$0.03</w:t>
            </w:r>
          </w:p>
        </w:tc>
        <w:tc>
          <w:tcPr>
            <w:tcW w:w="1514" w:type="dxa"/>
            <w:shd w:val="clear" w:color="auto" w:fill="auto"/>
            <w:noWrap/>
            <w:vAlign w:val="bottom"/>
          </w:tcPr>
          <w:p w:rsidR="00364EE0" w:rsidRPr="000249FF" w:rsidP="00AC2CB0" w14:paraId="65DB69EA" w14:textId="39679140">
            <w:pPr>
              <w:spacing w:after="0"/>
              <w:jc w:val="center"/>
              <w:rPr>
                <w:rFonts w:eastAsia="Times New Roman"/>
                <w:color w:val="000000"/>
                <w:sz w:val="22"/>
                <w:szCs w:val="22"/>
              </w:rPr>
            </w:pPr>
            <w:r w:rsidRPr="000249FF">
              <w:rPr>
                <w:rFonts w:eastAsia="Times New Roman"/>
                <w:color w:val="000000"/>
                <w:sz w:val="22"/>
                <w:szCs w:val="22"/>
              </w:rPr>
              <w:t>$0.01</w:t>
            </w:r>
          </w:p>
        </w:tc>
        <w:tc>
          <w:tcPr>
            <w:tcW w:w="1135" w:type="dxa"/>
          </w:tcPr>
          <w:p w:rsidR="00364EE0" w:rsidRPr="000249FF" w:rsidP="00AC2CB0" w14:paraId="4224FBB7" w14:textId="2350B6EC">
            <w:pPr>
              <w:spacing w:after="0"/>
              <w:jc w:val="center"/>
              <w:rPr>
                <w:rFonts w:eastAsia="Times New Roman"/>
                <w:color w:val="000000"/>
                <w:sz w:val="22"/>
                <w:szCs w:val="22"/>
              </w:rPr>
            </w:pPr>
            <w:r w:rsidRPr="000249FF">
              <w:rPr>
                <w:rFonts w:eastAsia="Times New Roman"/>
                <w:color w:val="000000"/>
                <w:sz w:val="22"/>
                <w:szCs w:val="22"/>
              </w:rPr>
              <w:t>$0.0</w:t>
            </w:r>
            <w:r w:rsidR="00F46E4E">
              <w:rPr>
                <w:rFonts w:eastAsia="Times New Roman"/>
                <w:color w:val="000000"/>
                <w:sz w:val="22"/>
                <w:szCs w:val="22"/>
              </w:rPr>
              <w:t>6</w:t>
            </w:r>
          </w:p>
        </w:tc>
      </w:tr>
    </w:tbl>
    <w:p w:rsidR="00C35D62" w14:paraId="7AA127AF" w14:textId="77777777">
      <w:pPr>
        <w:pStyle w:val="BodyTextFirstIndent"/>
      </w:pPr>
    </w:p>
    <w:p w:rsidR="00987A52" w14:paraId="1C9601F1" w14:textId="77777777">
      <w:pPr>
        <w:pStyle w:val="BodyTextFirstIndent"/>
        <w:ind w:firstLine="0"/>
      </w:pPr>
    </w:p>
    <w:p w:rsidR="00F277FD" w:rsidRPr="00BD4105" w:rsidP="00BD4105" w14:paraId="144C57AD" w14:textId="21FD3C90">
      <w:pPr>
        <w:pStyle w:val="Heading4"/>
      </w:pPr>
      <w:bookmarkStart w:id="111" w:name="_Toc132274637"/>
      <w:bookmarkStart w:id="112" w:name="_Toc132274638"/>
      <w:bookmarkStart w:id="113" w:name="_Toc132274639"/>
      <w:bookmarkStart w:id="114" w:name="_Toc148515739"/>
      <w:bookmarkEnd w:id="111"/>
      <w:bookmarkEnd w:id="112"/>
      <w:bookmarkEnd w:id="113"/>
      <w:r w:rsidRPr="00CA5CC1">
        <w:t xml:space="preserve">Rejected Containers </w:t>
      </w:r>
      <w:r w:rsidR="00126E73">
        <w:t>M</w:t>
      </w:r>
      <w:r w:rsidRPr="00CA5CC1">
        <w:t xml:space="preserve">ust be </w:t>
      </w:r>
      <w:r w:rsidR="00126E73">
        <w:t>Documented and Assessed</w:t>
      </w:r>
      <w:bookmarkEnd w:id="114"/>
    </w:p>
    <w:p w:rsidR="003736DC" w:rsidP="00482C04" w14:paraId="79CC17DD" w14:textId="50842C0A">
      <w:pPr>
        <w:pStyle w:val="BodyTextFirstIndent"/>
        <w:ind w:firstLine="720"/>
      </w:pPr>
      <w:r>
        <w:t xml:space="preserve">This </w:t>
      </w:r>
      <w:r w:rsidR="00615F3A">
        <w:t>final</w:t>
      </w:r>
      <w:r>
        <w:t xml:space="preserve"> rule </w:t>
      </w:r>
      <w:r w:rsidR="001940B0">
        <w:t>will</w:t>
      </w:r>
      <w:r>
        <w:t xml:space="preserve"> add the requirement that rejected components, </w:t>
      </w:r>
      <w:r w:rsidR="003B32E1">
        <w:t>incoming DMG</w:t>
      </w:r>
      <w:r w:rsidR="00693287">
        <w:t>s</w:t>
      </w:r>
      <w:r w:rsidR="0012598D">
        <w:t xml:space="preserve">, and medical gas </w:t>
      </w:r>
      <w:r>
        <w:t>containers and closures must be documented</w:t>
      </w:r>
      <w:r w:rsidR="0012598D">
        <w:t xml:space="preserve"> and assessed</w:t>
      </w:r>
      <w:r>
        <w:t xml:space="preserve">. We use the ERG estimates of 33.4 million DMG containers. We estimate </w:t>
      </w:r>
      <w:r w:rsidR="00F277FD">
        <w:t xml:space="preserve">a </w:t>
      </w:r>
      <w:r>
        <w:t xml:space="preserve">0 to 0.1 percent rejection rate. We estimate it </w:t>
      </w:r>
      <w:r w:rsidR="006C59E8">
        <w:t>will</w:t>
      </w:r>
      <w:r>
        <w:t xml:space="preserve"> take 5 minutes to document and </w:t>
      </w:r>
      <w:r w:rsidR="00607881">
        <w:t xml:space="preserve">assess </w:t>
      </w:r>
      <w:r>
        <w:t xml:space="preserve">components, containers, and closures. </w:t>
      </w:r>
    </w:p>
    <w:p w:rsidR="00EB0C6B" w:rsidP="000E6DD7" w14:paraId="30C4D0B7" w14:textId="4777BFD5">
      <w:pPr>
        <w:ind w:firstLine="720"/>
      </w:pPr>
      <w:r>
        <w:t xml:space="preserve">We use the </w:t>
      </w:r>
      <w:r w:rsidR="003153D7">
        <w:t>2022</w:t>
      </w:r>
      <w:r w:rsidR="00242455">
        <w:t xml:space="preserve"> wage</w:t>
      </w:r>
      <w:r>
        <w:t xml:space="preserve"> rate for General and Operations Managers and double it</w:t>
      </w:r>
      <w:r w:rsidRPr="00311C21">
        <w:t xml:space="preserve"> for a </w:t>
      </w:r>
      <w:r w:rsidR="00986206">
        <w:t>fully-loaded</w:t>
      </w:r>
      <w:r w:rsidRPr="00311C21">
        <w:t xml:space="preserve"> wage rate of $</w:t>
      </w:r>
      <w:r w:rsidR="002218C5">
        <w:t>178.42</w:t>
      </w:r>
      <w:r w:rsidRPr="00C82105">
        <w:t xml:space="preserve">. </w:t>
      </w:r>
      <w:r w:rsidRPr="006E6785" w:rsidR="00C82105">
        <w:fldChar w:fldCharType="begin"/>
      </w:r>
      <w:r w:rsidRPr="00C82105" w:rsidR="00C82105">
        <w:instrText xml:space="preserve"> REF _Ref36650195 \h </w:instrText>
      </w:r>
      <w:r w:rsidRPr="00C340FA" w:rsidR="00C82105">
        <w:instrText xml:space="preserve"> \* MERGEFORMAT </w:instrText>
      </w:r>
      <w:r w:rsidRPr="006E6785" w:rsidR="00C82105">
        <w:fldChar w:fldCharType="separate"/>
      </w:r>
      <w:r w:rsidRPr="004848C7" w:rsidR="00264BAF">
        <w:t xml:space="preserve">Table </w:t>
      </w:r>
      <w:r w:rsidRPr="004848C7" w:rsidR="00264BAF">
        <w:rPr>
          <w:noProof/>
        </w:rPr>
        <w:t>19</w:t>
      </w:r>
      <w:r w:rsidRPr="006E6785" w:rsidR="00C82105">
        <w:fldChar w:fldCharType="end"/>
      </w:r>
      <w:r w:rsidRPr="00AA0928" w:rsidR="00C82105">
        <w:t xml:space="preserve"> shows the ongoing cost of the added </w:t>
      </w:r>
      <w:r w:rsidRPr="00C82105" w:rsidR="00C82105">
        <w:t xml:space="preserve">requirement </w:t>
      </w:r>
      <w:r w:rsidRPr="00C82105" w:rsidR="00C82105">
        <w:t>that rejected DMG containers must be do</w:t>
      </w:r>
      <w:r w:rsidR="00C82105">
        <w:t xml:space="preserve">cumented and tracked. </w:t>
      </w:r>
      <w:r>
        <w:t>The total ongoing costs range from $0.00 million to $0.</w:t>
      </w:r>
      <w:r w:rsidR="0005024E">
        <w:t>50</w:t>
      </w:r>
      <w:r>
        <w:t xml:space="preserve"> million with a primary estimate of $0.2</w:t>
      </w:r>
      <w:r w:rsidR="0005024E">
        <w:t>5</w:t>
      </w:r>
      <w:r>
        <w:t xml:space="preserve"> million.</w:t>
      </w:r>
    </w:p>
    <w:p w:rsidR="00640234" w:rsidP="000E6DD7" w14:paraId="1770D965" w14:textId="77777777">
      <w:pPr>
        <w:ind w:firstLine="720"/>
      </w:pPr>
    </w:p>
    <w:p w:rsidR="00CD681B" w:rsidRPr="00482C04" w:rsidP="00482C04" w14:paraId="20729EB7" w14:textId="4D20F113">
      <w:pPr>
        <w:pStyle w:val="Caption"/>
        <w:keepNext/>
        <w:rPr>
          <w:b/>
        </w:rPr>
      </w:pPr>
      <w:bookmarkStart w:id="115" w:name="_Ref36650195"/>
      <w:bookmarkStart w:id="116" w:name="_Toc147238763"/>
      <w:r w:rsidRPr="00482C04">
        <w:rPr>
          <w:b/>
        </w:rPr>
        <w:t xml:space="preserve">Table </w:t>
      </w:r>
      <w:r w:rsidRPr="00482C04">
        <w:rPr>
          <w:b/>
        </w:rPr>
        <w:fldChar w:fldCharType="begin"/>
      </w:r>
      <w:r w:rsidRPr="00482C04">
        <w:rPr>
          <w:b/>
        </w:rPr>
        <w:instrText xml:space="preserve"> SEQ Table \* ARABIC </w:instrText>
      </w:r>
      <w:r w:rsidRPr="00482C04">
        <w:rPr>
          <w:b/>
        </w:rPr>
        <w:fldChar w:fldCharType="separate"/>
      </w:r>
      <w:r w:rsidR="00D61E3B">
        <w:rPr>
          <w:b/>
          <w:noProof/>
        </w:rPr>
        <w:t>19</w:t>
      </w:r>
      <w:r w:rsidRPr="00482C04">
        <w:rPr>
          <w:b/>
        </w:rPr>
        <w:fldChar w:fldCharType="end"/>
      </w:r>
      <w:bookmarkEnd w:id="115"/>
      <w:r w:rsidRPr="00482C04">
        <w:rPr>
          <w:b/>
        </w:rPr>
        <w:t xml:space="preserve">. Costs from </w:t>
      </w:r>
      <w:r w:rsidR="00607881">
        <w:rPr>
          <w:b/>
        </w:rPr>
        <w:t>Documenting and Assessing</w:t>
      </w:r>
      <w:r w:rsidRPr="00482C04" w:rsidR="00607881">
        <w:rPr>
          <w:b/>
        </w:rPr>
        <w:t xml:space="preserve"> </w:t>
      </w:r>
      <w:r w:rsidRPr="00482C04">
        <w:rPr>
          <w:b/>
        </w:rPr>
        <w:t>Rejected Containers</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096"/>
        <w:gridCol w:w="1080"/>
        <w:gridCol w:w="1080"/>
        <w:gridCol w:w="1260"/>
        <w:gridCol w:w="1149"/>
        <w:gridCol w:w="1096"/>
      </w:tblGrid>
      <w:tr w14:paraId="05E56363" w14:textId="77777777" w:rsidTr="000659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rPr>
        <w:tc>
          <w:tcPr>
            <w:tcW w:w="2695" w:type="dxa"/>
            <w:shd w:val="clear" w:color="000000" w:fill="D9D9D9"/>
            <w:vAlign w:val="center"/>
            <w:hideMark/>
          </w:tcPr>
          <w:p w:rsidR="003736DC" w:rsidRPr="000249FF" w:rsidP="00E94D6A" w14:paraId="12BA6677" w14:textId="77777777">
            <w:pPr>
              <w:spacing w:after="0"/>
              <w:rPr>
                <w:rFonts w:eastAsia="Times New Roman"/>
                <w:color w:val="000000"/>
                <w:sz w:val="22"/>
                <w:szCs w:val="22"/>
              </w:rPr>
            </w:pPr>
            <w:r w:rsidRPr="000249FF">
              <w:rPr>
                <w:rFonts w:eastAsia="Times New Roman"/>
                <w:color w:val="000000"/>
                <w:sz w:val="22"/>
                <w:szCs w:val="22"/>
              </w:rPr>
              <w:t> </w:t>
            </w:r>
          </w:p>
        </w:tc>
        <w:tc>
          <w:tcPr>
            <w:tcW w:w="990" w:type="dxa"/>
            <w:shd w:val="clear" w:color="000000" w:fill="D9D9D9"/>
            <w:vAlign w:val="center"/>
            <w:hideMark/>
          </w:tcPr>
          <w:p w:rsidR="003736DC" w:rsidRPr="000249FF" w:rsidP="00C346DD" w14:paraId="13F9A026" w14:textId="77777777">
            <w:pPr>
              <w:spacing w:after="0"/>
              <w:jc w:val="center"/>
              <w:rPr>
                <w:rFonts w:eastAsia="Times New Roman"/>
                <w:b/>
                <w:bCs/>
                <w:color w:val="000000"/>
                <w:sz w:val="22"/>
                <w:szCs w:val="22"/>
              </w:rPr>
            </w:pPr>
            <w:r w:rsidRPr="000249FF">
              <w:rPr>
                <w:rFonts w:eastAsia="Times New Roman"/>
                <w:b/>
                <w:bCs/>
                <w:color w:val="000000"/>
                <w:sz w:val="22"/>
                <w:szCs w:val="22"/>
              </w:rPr>
              <w:t>Oxygen</w:t>
            </w:r>
          </w:p>
        </w:tc>
        <w:tc>
          <w:tcPr>
            <w:tcW w:w="1080" w:type="dxa"/>
            <w:shd w:val="clear" w:color="000000" w:fill="D9D9D9"/>
            <w:vAlign w:val="center"/>
            <w:hideMark/>
          </w:tcPr>
          <w:p w:rsidR="003736DC" w:rsidRPr="000249FF" w:rsidP="00C346DD" w14:paraId="6A819F21" w14:textId="77777777">
            <w:pPr>
              <w:spacing w:after="0"/>
              <w:jc w:val="center"/>
              <w:rPr>
                <w:rFonts w:eastAsia="Times New Roman"/>
                <w:b/>
                <w:bCs/>
                <w:color w:val="000000"/>
                <w:sz w:val="22"/>
                <w:szCs w:val="22"/>
              </w:rPr>
            </w:pPr>
            <w:r w:rsidRPr="000249FF">
              <w:rPr>
                <w:rFonts w:eastAsia="Times New Roman"/>
                <w:b/>
                <w:bCs/>
                <w:color w:val="000000"/>
                <w:sz w:val="22"/>
                <w:szCs w:val="22"/>
              </w:rPr>
              <w:t>Nitrogen</w:t>
            </w:r>
          </w:p>
        </w:tc>
        <w:tc>
          <w:tcPr>
            <w:tcW w:w="1080" w:type="dxa"/>
            <w:shd w:val="clear" w:color="000000" w:fill="D9D9D9"/>
            <w:vAlign w:val="center"/>
            <w:hideMark/>
          </w:tcPr>
          <w:p w:rsidR="003736DC" w:rsidRPr="000249FF" w:rsidP="00C346DD" w14:paraId="09C2A037" w14:textId="77777777">
            <w:pPr>
              <w:spacing w:after="0"/>
              <w:jc w:val="center"/>
              <w:rPr>
                <w:rFonts w:eastAsia="Times New Roman"/>
                <w:b/>
                <w:bCs/>
                <w:color w:val="000000"/>
                <w:sz w:val="22"/>
                <w:szCs w:val="22"/>
              </w:rPr>
            </w:pPr>
            <w:r w:rsidRPr="000249FF">
              <w:rPr>
                <w:rFonts w:eastAsia="Times New Roman"/>
                <w:b/>
                <w:bCs/>
                <w:color w:val="000000"/>
                <w:sz w:val="22"/>
                <w:szCs w:val="22"/>
              </w:rPr>
              <w:t>Nitrous Oxide</w:t>
            </w:r>
          </w:p>
        </w:tc>
        <w:tc>
          <w:tcPr>
            <w:tcW w:w="1260" w:type="dxa"/>
            <w:shd w:val="clear" w:color="000000" w:fill="D9D9D9"/>
            <w:vAlign w:val="center"/>
            <w:hideMark/>
          </w:tcPr>
          <w:p w:rsidR="003736DC" w:rsidRPr="000249FF" w:rsidP="00C346DD" w14:paraId="0A890EB0" w14:textId="77777777">
            <w:pPr>
              <w:spacing w:after="0"/>
              <w:jc w:val="center"/>
              <w:rPr>
                <w:rFonts w:eastAsia="Times New Roman"/>
                <w:b/>
                <w:bCs/>
                <w:color w:val="000000"/>
                <w:sz w:val="22"/>
                <w:szCs w:val="22"/>
              </w:rPr>
            </w:pPr>
            <w:r w:rsidRPr="000249FF">
              <w:rPr>
                <w:rFonts w:eastAsia="Times New Roman"/>
                <w:b/>
                <w:bCs/>
                <w:color w:val="000000"/>
                <w:sz w:val="22"/>
                <w:szCs w:val="22"/>
              </w:rPr>
              <w:t>Other Anesthesia</w:t>
            </w:r>
          </w:p>
        </w:tc>
        <w:tc>
          <w:tcPr>
            <w:tcW w:w="1149" w:type="dxa"/>
            <w:shd w:val="clear" w:color="000000" w:fill="D9D9D9"/>
            <w:vAlign w:val="center"/>
            <w:hideMark/>
          </w:tcPr>
          <w:p w:rsidR="003736DC" w:rsidRPr="000249FF" w:rsidP="00C346DD" w14:paraId="47052BF6" w14:textId="77777777">
            <w:pPr>
              <w:spacing w:after="0"/>
              <w:jc w:val="center"/>
              <w:rPr>
                <w:rFonts w:eastAsia="Times New Roman"/>
                <w:b/>
                <w:bCs/>
                <w:color w:val="000000"/>
                <w:sz w:val="22"/>
                <w:szCs w:val="22"/>
              </w:rPr>
            </w:pPr>
            <w:r w:rsidRPr="000249FF">
              <w:rPr>
                <w:rFonts w:eastAsia="Times New Roman"/>
                <w:b/>
                <w:bCs/>
                <w:color w:val="000000"/>
                <w:sz w:val="22"/>
                <w:szCs w:val="22"/>
              </w:rPr>
              <w:t>Medical Specialty Gases</w:t>
            </w:r>
          </w:p>
        </w:tc>
        <w:tc>
          <w:tcPr>
            <w:tcW w:w="1096" w:type="dxa"/>
            <w:shd w:val="clear" w:color="000000" w:fill="D9D9D9"/>
            <w:vAlign w:val="center"/>
            <w:hideMark/>
          </w:tcPr>
          <w:p w:rsidR="003736DC" w:rsidRPr="000249FF" w:rsidP="00C346DD" w14:paraId="2C7454C9" w14:textId="77777777">
            <w:pPr>
              <w:spacing w:after="0"/>
              <w:jc w:val="center"/>
              <w:rPr>
                <w:rFonts w:eastAsia="Times New Roman"/>
                <w:b/>
                <w:bCs/>
                <w:color w:val="000000"/>
                <w:sz w:val="22"/>
                <w:szCs w:val="22"/>
              </w:rPr>
            </w:pPr>
            <w:r w:rsidRPr="000249FF">
              <w:rPr>
                <w:rFonts w:eastAsia="Times New Roman"/>
                <w:b/>
                <w:bCs/>
                <w:color w:val="000000"/>
                <w:sz w:val="22"/>
                <w:szCs w:val="22"/>
              </w:rPr>
              <w:t>Total</w:t>
            </w:r>
          </w:p>
        </w:tc>
      </w:tr>
      <w:tr w14:paraId="75D59777" w14:textId="77777777" w:rsidTr="000659AD">
        <w:tblPrEx>
          <w:tblW w:w="5000" w:type="pct"/>
          <w:tblLook w:val="04A0"/>
        </w:tblPrEx>
        <w:trPr>
          <w:trHeight w:val="432"/>
        </w:trPr>
        <w:tc>
          <w:tcPr>
            <w:tcW w:w="2695" w:type="dxa"/>
            <w:shd w:val="clear" w:color="auto" w:fill="auto"/>
            <w:vAlign w:val="center"/>
            <w:hideMark/>
          </w:tcPr>
          <w:p w:rsidR="00524C13" w:rsidRPr="000249FF" w:rsidP="00524C13" w14:paraId="4C228190" w14:textId="0AC61DA2">
            <w:pPr>
              <w:spacing w:after="0"/>
              <w:rPr>
                <w:rFonts w:eastAsia="Times New Roman"/>
                <w:color w:val="000000"/>
                <w:sz w:val="22"/>
                <w:szCs w:val="22"/>
              </w:rPr>
            </w:pPr>
            <w:r w:rsidRPr="000249FF">
              <w:rPr>
                <w:rFonts w:eastAsia="Times New Roman"/>
                <w:color w:val="000000"/>
                <w:sz w:val="22"/>
                <w:szCs w:val="22"/>
              </w:rPr>
              <w:t>All Container Types</w:t>
            </w:r>
            <w:r w:rsidRPr="000249FF" w:rsidR="00B075E5">
              <w:rPr>
                <w:rFonts w:eastAsia="Times New Roman"/>
                <w:color w:val="000000"/>
                <w:sz w:val="22"/>
                <w:szCs w:val="22"/>
              </w:rPr>
              <w:t xml:space="preserve"> (</w:t>
            </w:r>
            <w:r w:rsidRPr="000249FF" w:rsidR="005C679C">
              <w:rPr>
                <w:rFonts w:eastAsia="Times New Roman"/>
                <w:color w:val="000000"/>
                <w:sz w:val="22"/>
                <w:szCs w:val="22"/>
              </w:rPr>
              <w:t>thousands</w:t>
            </w:r>
            <w:r w:rsidRPr="000249FF" w:rsidR="00B075E5">
              <w:rPr>
                <w:rFonts w:eastAsia="Times New Roman"/>
                <w:color w:val="000000"/>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C13" w:rsidRPr="000249FF" w:rsidP="00AC2CB0" w14:paraId="62D15EC8" w14:textId="711C2E26">
            <w:pPr>
              <w:spacing w:after="0"/>
              <w:jc w:val="center"/>
              <w:rPr>
                <w:rFonts w:eastAsia="Times New Roman"/>
                <w:color w:val="000000"/>
                <w:sz w:val="22"/>
                <w:szCs w:val="22"/>
              </w:rPr>
            </w:pPr>
            <w:r w:rsidRPr="000249FF">
              <w:rPr>
                <w:color w:val="000000"/>
                <w:sz w:val="22"/>
                <w:szCs w:val="22"/>
              </w:rPr>
              <w:t>32,424.12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24C13" w:rsidRPr="000249FF" w:rsidP="00AC2CB0" w14:paraId="152E06F6" w14:textId="2368C85C">
            <w:pPr>
              <w:spacing w:after="0"/>
              <w:jc w:val="center"/>
              <w:rPr>
                <w:rFonts w:eastAsia="Times New Roman"/>
                <w:color w:val="000000"/>
                <w:sz w:val="22"/>
                <w:szCs w:val="22"/>
              </w:rPr>
            </w:pPr>
            <w:r w:rsidRPr="000249FF">
              <w:rPr>
                <w:color w:val="000000"/>
                <w:sz w:val="22"/>
                <w:szCs w:val="22"/>
              </w:rPr>
              <w:t>179.97</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24C13" w:rsidRPr="000249FF" w:rsidP="00AC2CB0" w14:paraId="21CDB8DA" w14:textId="44F22868">
            <w:pPr>
              <w:spacing w:after="0"/>
              <w:jc w:val="center"/>
              <w:rPr>
                <w:rFonts w:eastAsia="Times New Roman"/>
                <w:color w:val="000000"/>
                <w:sz w:val="22"/>
                <w:szCs w:val="22"/>
              </w:rPr>
            </w:pPr>
            <w:r w:rsidRPr="000249FF">
              <w:rPr>
                <w:color w:val="000000"/>
                <w:sz w:val="22"/>
                <w:szCs w:val="22"/>
              </w:rPr>
              <w:t>479.72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24C13" w:rsidRPr="000249FF" w:rsidP="00AC2CB0" w14:paraId="6C39407C" w14:textId="6CD914BC">
            <w:pPr>
              <w:spacing w:after="0"/>
              <w:jc w:val="center"/>
              <w:rPr>
                <w:rFonts w:eastAsia="Times New Roman"/>
                <w:color w:val="000000"/>
                <w:sz w:val="22"/>
                <w:szCs w:val="22"/>
              </w:rPr>
            </w:pPr>
            <w:r w:rsidRPr="000249FF">
              <w:rPr>
                <w:color w:val="000000"/>
                <w:sz w:val="22"/>
                <w:szCs w:val="22"/>
              </w:rPr>
              <w:t>58.44</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524C13" w:rsidRPr="000249FF" w:rsidP="00AC2CB0" w14:paraId="6B6BC536" w14:textId="3AFA19DF">
            <w:pPr>
              <w:spacing w:after="0"/>
              <w:jc w:val="center"/>
              <w:rPr>
                <w:rFonts w:eastAsia="Times New Roman"/>
                <w:color w:val="000000"/>
                <w:sz w:val="22"/>
                <w:szCs w:val="22"/>
              </w:rPr>
            </w:pPr>
            <w:r w:rsidRPr="000249FF">
              <w:rPr>
                <w:color w:val="000000"/>
                <w:sz w:val="22"/>
                <w:szCs w:val="22"/>
              </w:rPr>
              <w:t>257.14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24C13" w:rsidRPr="000249FF" w:rsidP="00AC2CB0" w14:paraId="2079A5AD" w14:textId="7328EEE4">
            <w:pPr>
              <w:spacing w:after="0"/>
              <w:jc w:val="center"/>
              <w:rPr>
                <w:rFonts w:eastAsia="Times New Roman"/>
                <w:color w:val="000000"/>
                <w:sz w:val="22"/>
                <w:szCs w:val="22"/>
              </w:rPr>
            </w:pPr>
            <w:r w:rsidRPr="000249FF">
              <w:rPr>
                <w:color w:val="000000"/>
                <w:sz w:val="22"/>
                <w:szCs w:val="22"/>
              </w:rPr>
              <w:t>33,399.40</w:t>
            </w:r>
          </w:p>
        </w:tc>
      </w:tr>
      <w:tr w14:paraId="1C95CD0C" w14:textId="77777777" w:rsidTr="000659AD">
        <w:tblPrEx>
          <w:tblW w:w="5000" w:type="pct"/>
          <w:tblLook w:val="04A0"/>
        </w:tblPrEx>
        <w:trPr>
          <w:trHeight w:val="432"/>
        </w:trPr>
        <w:tc>
          <w:tcPr>
            <w:tcW w:w="2695" w:type="dxa"/>
            <w:shd w:val="clear" w:color="auto" w:fill="auto"/>
            <w:vAlign w:val="center"/>
            <w:hideMark/>
          </w:tcPr>
          <w:p w:rsidR="003736DC" w:rsidRPr="000249FF" w:rsidP="00E94D6A" w14:paraId="1E20A439" w14:textId="77777777">
            <w:pPr>
              <w:spacing w:after="0"/>
              <w:rPr>
                <w:rFonts w:eastAsia="Times New Roman"/>
                <w:color w:val="000000"/>
                <w:sz w:val="22"/>
                <w:szCs w:val="22"/>
              </w:rPr>
            </w:pPr>
            <w:r w:rsidRPr="000249FF">
              <w:rPr>
                <w:rFonts w:eastAsia="Times New Roman"/>
                <w:color w:val="000000"/>
                <w:sz w:val="22"/>
                <w:szCs w:val="22"/>
              </w:rPr>
              <w:t>Percentage of containers rejected (low)</w:t>
            </w:r>
          </w:p>
        </w:tc>
        <w:tc>
          <w:tcPr>
            <w:tcW w:w="990" w:type="dxa"/>
            <w:shd w:val="clear" w:color="auto" w:fill="auto"/>
            <w:vAlign w:val="center"/>
            <w:hideMark/>
          </w:tcPr>
          <w:p w:rsidR="003736DC" w:rsidRPr="000249FF" w:rsidP="00AC2CB0" w14:paraId="6548D913" w14:textId="77777777">
            <w:pPr>
              <w:spacing w:after="0"/>
              <w:jc w:val="center"/>
              <w:rPr>
                <w:rFonts w:eastAsia="Times New Roman"/>
                <w:color w:val="000000"/>
                <w:sz w:val="22"/>
                <w:szCs w:val="22"/>
              </w:rPr>
            </w:pPr>
            <w:r w:rsidRPr="000249FF">
              <w:rPr>
                <w:rFonts w:eastAsia="Times New Roman"/>
                <w:color w:val="000000"/>
                <w:sz w:val="22"/>
                <w:szCs w:val="22"/>
              </w:rPr>
              <w:t>0%</w:t>
            </w:r>
          </w:p>
        </w:tc>
        <w:tc>
          <w:tcPr>
            <w:tcW w:w="1080" w:type="dxa"/>
            <w:shd w:val="clear" w:color="auto" w:fill="auto"/>
            <w:vAlign w:val="center"/>
            <w:hideMark/>
          </w:tcPr>
          <w:p w:rsidR="003736DC" w:rsidRPr="000249FF" w:rsidP="00AC2CB0" w14:paraId="36BC9AD9" w14:textId="77777777">
            <w:pPr>
              <w:spacing w:after="0"/>
              <w:jc w:val="center"/>
              <w:rPr>
                <w:rFonts w:eastAsia="Times New Roman"/>
                <w:color w:val="000000"/>
                <w:sz w:val="22"/>
                <w:szCs w:val="22"/>
              </w:rPr>
            </w:pPr>
            <w:r w:rsidRPr="000249FF">
              <w:rPr>
                <w:rFonts w:eastAsia="Times New Roman"/>
                <w:color w:val="000000"/>
                <w:sz w:val="22"/>
                <w:szCs w:val="22"/>
              </w:rPr>
              <w:t>0%</w:t>
            </w:r>
          </w:p>
        </w:tc>
        <w:tc>
          <w:tcPr>
            <w:tcW w:w="1080" w:type="dxa"/>
            <w:shd w:val="clear" w:color="auto" w:fill="auto"/>
            <w:vAlign w:val="center"/>
            <w:hideMark/>
          </w:tcPr>
          <w:p w:rsidR="003736DC" w:rsidRPr="000249FF" w:rsidP="00AC2CB0" w14:paraId="7C8D54B7" w14:textId="77777777">
            <w:pPr>
              <w:spacing w:after="0"/>
              <w:jc w:val="center"/>
              <w:rPr>
                <w:rFonts w:eastAsia="Times New Roman"/>
                <w:color w:val="000000"/>
                <w:sz w:val="22"/>
                <w:szCs w:val="22"/>
              </w:rPr>
            </w:pPr>
            <w:r w:rsidRPr="000249FF">
              <w:rPr>
                <w:rFonts w:eastAsia="Times New Roman"/>
                <w:color w:val="000000"/>
                <w:sz w:val="22"/>
                <w:szCs w:val="22"/>
              </w:rPr>
              <w:t>0%</w:t>
            </w:r>
          </w:p>
        </w:tc>
        <w:tc>
          <w:tcPr>
            <w:tcW w:w="1260" w:type="dxa"/>
            <w:shd w:val="clear" w:color="auto" w:fill="auto"/>
            <w:vAlign w:val="center"/>
            <w:hideMark/>
          </w:tcPr>
          <w:p w:rsidR="003736DC" w:rsidRPr="000249FF" w:rsidP="00AC2CB0" w14:paraId="54F7E12C" w14:textId="77777777">
            <w:pPr>
              <w:spacing w:after="0"/>
              <w:jc w:val="center"/>
              <w:rPr>
                <w:rFonts w:eastAsia="Times New Roman"/>
                <w:color w:val="000000"/>
                <w:sz w:val="22"/>
                <w:szCs w:val="22"/>
              </w:rPr>
            </w:pPr>
            <w:r w:rsidRPr="000249FF">
              <w:rPr>
                <w:rFonts w:eastAsia="Times New Roman"/>
                <w:color w:val="000000"/>
                <w:sz w:val="22"/>
                <w:szCs w:val="22"/>
              </w:rPr>
              <w:t>0%</w:t>
            </w:r>
          </w:p>
        </w:tc>
        <w:tc>
          <w:tcPr>
            <w:tcW w:w="1149" w:type="dxa"/>
            <w:shd w:val="clear" w:color="auto" w:fill="auto"/>
            <w:vAlign w:val="center"/>
            <w:hideMark/>
          </w:tcPr>
          <w:p w:rsidR="003736DC" w:rsidRPr="000249FF" w:rsidP="00AC2CB0" w14:paraId="44863604" w14:textId="77777777">
            <w:pPr>
              <w:spacing w:after="0"/>
              <w:jc w:val="center"/>
              <w:rPr>
                <w:rFonts w:eastAsia="Times New Roman"/>
                <w:color w:val="000000"/>
                <w:sz w:val="22"/>
                <w:szCs w:val="22"/>
              </w:rPr>
            </w:pPr>
            <w:r w:rsidRPr="000249FF">
              <w:rPr>
                <w:rFonts w:eastAsia="Times New Roman"/>
                <w:color w:val="000000"/>
                <w:sz w:val="22"/>
                <w:szCs w:val="22"/>
              </w:rPr>
              <w:t>0%</w:t>
            </w:r>
          </w:p>
        </w:tc>
        <w:tc>
          <w:tcPr>
            <w:tcW w:w="1096" w:type="dxa"/>
            <w:shd w:val="clear" w:color="auto" w:fill="auto"/>
            <w:vAlign w:val="center"/>
            <w:hideMark/>
          </w:tcPr>
          <w:p w:rsidR="003736DC" w:rsidRPr="000249FF" w:rsidP="00AC2CB0" w14:paraId="6BD319E8" w14:textId="77777777">
            <w:pPr>
              <w:spacing w:after="0"/>
              <w:jc w:val="center"/>
              <w:rPr>
                <w:rFonts w:eastAsia="Times New Roman"/>
                <w:color w:val="000000"/>
                <w:sz w:val="22"/>
                <w:szCs w:val="22"/>
              </w:rPr>
            </w:pPr>
            <w:r w:rsidRPr="000249FF">
              <w:rPr>
                <w:rFonts w:eastAsia="Times New Roman"/>
                <w:color w:val="000000"/>
                <w:sz w:val="22"/>
                <w:szCs w:val="22"/>
              </w:rPr>
              <w:t>0%</w:t>
            </w:r>
          </w:p>
        </w:tc>
      </w:tr>
      <w:tr w14:paraId="76B7D5F7" w14:textId="77777777" w:rsidTr="000659AD">
        <w:tblPrEx>
          <w:tblW w:w="5000" w:type="pct"/>
          <w:tblLook w:val="04A0"/>
        </w:tblPrEx>
        <w:trPr>
          <w:trHeight w:val="432"/>
        </w:trPr>
        <w:tc>
          <w:tcPr>
            <w:tcW w:w="2695" w:type="dxa"/>
            <w:shd w:val="clear" w:color="auto" w:fill="auto"/>
            <w:vAlign w:val="center"/>
            <w:hideMark/>
          </w:tcPr>
          <w:p w:rsidR="003736DC" w:rsidRPr="000249FF" w:rsidP="00E94D6A" w14:paraId="39E81143" w14:textId="77777777">
            <w:pPr>
              <w:spacing w:after="0"/>
              <w:rPr>
                <w:rFonts w:eastAsia="Times New Roman"/>
                <w:color w:val="000000"/>
                <w:sz w:val="22"/>
                <w:szCs w:val="22"/>
              </w:rPr>
            </w:pPr>
            <w:r w:rsidRPr="000249FF">
              <w:rPr>
                <w:rFonts w:eastAsia="Times New Roman"/>
                <w:color w:val="000000"/>
                <w:sz w:val="22"/>
                <w:szCs w:val="22"/>
              </w:rPr>
              <w:t>Percentage of containers rejected (high)</w:t>
            </w:r>
          </w:p>
        </w:tc>
        <w:tc>
          <w:tcPr>
            <w:tcW w:w="990" w:type="dxa"/>
            <w:shd w:val="clear" w:color="auto" w:fill="auto"/>
            <w:vAlign w:val="center"/>
            <w:hideMark/>
          </w:tcPr>
          <w:p w:rsidR="003736DC" w:rsidRPr="000249FF" w:rsidP="00AC2CB0" w14:paraId="16EB1142" w14:textId="77777777">
            <w:pPr>
              <w:spacing w:after="0"/>
              <w:jc w:val="center"/>
              <w:rPr>
                <w:rFonts w:eastAsia="Times New Roman"/>
                <w:color w:val="000000"/>
                <w:sz w:val="22"/>
                <w:szCs w:val="22"/>
              </w:rPr>
            </w:pPr>
            <w:r w:rsidRPr="000249FF">
              <w:rPr>
                <w:rFonts w:eastAsia="Times New Roman"/>
                <w:color w:val="000000"/>
                <w:sz w:val="22"/>
                <w:szCs w:val="22"/>
              </w:rPr>
              <w:t>0.1%</w:t>
            </w:r>
          </w:p>
        </w:tc>
        <w:tc>
          <w:tcPr>
            <w:tcW w:w="1080" w:type="dxa"/>
            <w:shd w:val="clear" w:color="auto" w:fill="auto"/>
            <w:vAlign w:val="center"/>
            <w:hideMark/>
          </w:tcPr>
          <w:p w:rsidR="003736DC" w:rsidRPr="000249FF" w:rsidP="00AC2CB0" w14:paraId="5301C341" w14:textId="77777777">
            <w:pPr>
              <w:spacing w:after="0"/>
              <w:jc w:val="center"/>
              <w:rPr>
                <w:rFonts w:eastAsia="Times New Roman"/>
                <w:color w:val="000000"/>
                <w:sz w:val="22"/>
                <w:szCs w:val="22"/>
              </w:rPr>
            </w:pPr>
            <w:r w:rsidRPr="000249FF">
              <w:rPr>
                <w:rFonts w:eastAsia="Times New Roman"/>
                <w:color w:val="000000"/>
                <w:sz w:val="22"/>
                <w:szCs w:val="22"/>
              </w:rPr>
              <w:t>0.1%</w:t>
            </w:r>
          </w:p>
        </w:tc>
        <w:tc>
          <w:tcPr>
            <w:tcW w:w="1080" w:type="dxa"/>
            <w:shd w:val="clear" w:color="auto" w:fill="auto"/>
            <w:vAlign w:val="center"/>
            <w:hideMark/>
          </w:tcPr>
          <w:p w:rsidR="003736DC" w:rsidRPr="000249FF" w:rsidP="00AC2CB0" w14:paraId="05AC69E3" w14:textId="77777777">
            <w:pPr>
              <w:spacing w:after="0"/>
              <w:jc w:val="center"/>
              <w:rPr>
                <w:rFonts w:eastAsia="Times New Roman"/>
                <w:color w:val="000000"/>
                <w:sz w:val="22"/>
                <w:szCs w:val="22"/>
              </w:rPr>
            </w:pPr>
            <w:r w:rsidRPr="000249FF">
              <w:rPr>
                <w:rFonts w:eastAsia="Times New Roman"/>
                <w:color w:val="000000"/>
                <w:sz w:val="22"/>
                <w:szCs w:val="22"/>
              </w:rPr>
              <w:t>0.1%</w:t>
            </w:r>
          </w:p>
        </w:tc>
        <w:tc>
          <w:tcPr>
            <w:tcW w:w="1260" w:type="dxa"/>
            <w:shd w:val="clear" w:color="auto" w:fill="auto"/>
            <w:vAlign w:val="center"/>
            <w:hideMark/>
          </w:tcPr>
          <w:p w:rsidR="003736DC" w:rsidRPr="000249FF" w:rsidP="00AC2CB0" w14:paraId="4266D1B4" w14:textId="77777777">
            <w:pPr>
              <w:spacing w:after="0"/>
              <w:jc w:val="center"/>
              <w:rPr>
                <w:rFonts w:eastAsia="Times New Roman"/>
                <w:color w:val="000000"/>
                <w:sz w:val="22"/>
                <w:szCs w:val="22"/>
              </w:rPr>
            </w:pPr>
            <w:r w:rsidRPr="000249FF">
              <w:rPr>
                <w:rFonts w:eastAsia="Times New Roman"/>
                <w:color w:val="000000"/>
                <w:sz w:val="22"/>
                <w:szCs w:val="22"/>
              </w:rPr>
              <w:t>0.1%</w:t>
            </w:r>
          </w:p>
        </w:tc>
        <w:tc>
          <w:tcPr>
            <w:tcW w:w="1149" w:type="dxa"/>
            <w:shd w:val="clear" w:color="auto" w:fill="auto"/>
            <w:vAlign w:val="center"/>
            <w:hideMark/>
          </w:tcPr>
          <w:p w:rsidR="003736DC" w:rsidRPr="000249FF" w:rsidP="00AC2CB0" w14:paraId="7D87AE9E" w14:textId="77777777">
            <w:pPr>
              <w:spacing w:after="0"/>
              <w:jc w:val="center"/>
              <w:rPr>
                <w:rFonts w:eastAsia="Times New Roman"/>
                <w:color w:val="000000"/>
                <w:sz w:val="22"/>
                <w:szCs w:val="22"/>
              </w:rPr>
            </w:pPr>
            <w:r w:rsidRPr="000249FF">
              <w:rPr>
                <w:rFonts w:eastAsia="Times New Roman"/>
                <w:color w:val="000000"/>
                <w:sz w:val="22"/>
                <w:szCs w:val="22"/>
              </w:rPr>
              <w:t>0.1%</w:t>
            </w:r>
          </w:p>
        </w:tc>
        <w:tc>
          <w:tcPr>
            <w:tcW w:w="1096" w:type="dxa"/>
            <w:shd w:val="clear" w:color="auto" w:fill="auto"/>
            <w:vAlign w:val="center"/>
            <w:hideMark/>
          </w:tcPr>
          <w:p w:rsidR="003736DC" w:rsidRPr="000249FF" w:rsidP="00AC2CB0" w14:paraId="5942E77F" w14:textId="77777777">
            <w:pPr>
              <w:spacing w:after="0"/>
              <w:jc w:val="center"/>
              <w:rPr>
                <w:rFonts w:eastAsia="Times New Roman"/>
                <w:color w:val="000000"/>
                <w:sz w:val="22"/>
                <w:szCs w:val="22"/>
              </w:rPr>
            </w:pPr>
            <w:r w:rsidRPr="000249FF">
              <w:rPr>
                <w:rFonts w:eastAsia="Times New Roman"/>
                <w:color w:val="000000"/>
                <w:sz w:val="22"/>
                <w:szCs w:val="22"/>
              </w:rPr>
              <w:t>0.1%</w:t>
            </w:r>
          </w:p>
        </w:tc>
      </w:tr>
      <w:tr w14:paraId="1A813CE8" w14:textId="77777777" w:rsidTr="000659AD">
        <w:tblPrEx>
          <w:tblW w:w="5000" w:type="pct"/>
          <w:tblLook w:val="04A0"/>
        </w:tblPrEx>
        <w:trPr>
          <w:trHeight w:val="432"/>
        </w:trPr>
        <w:tc>
          <w:tcPr>
            <w:tcW w:w="2695" w:type="dxa"/>
            <w:shd w:val="clear" w:color="auto" w:fill="auto"/>
            <w:vAlign w:val="center"/>
            <w:hideMark/>
          </w:tcPr>
          <w:p w:rsidR="003736DC" w:rsidRPr="000249FF" w:rsidP="00E94D6A" w14:paraId="059854FA" w14:textId="77777777">
            <w:pPr>
              <w:spacing w:after="0"/>
              <w:rPr>
                <w:rFonts w:eastAsia="Times New Roman"/>
                <w:color w:val="000000"/>
                <w:sz w:val="22"/>
                <w:szCs w:val="22"/>
              </w:rPr>
            </w:pPr>
            <w:r w:rsidRPr="000249FF">
              <w:rPr>
                <w:rFonts w:eastAsia="Times New Roman"/>
                <w:color w:val="000000"/>
                <w:sz w:val="22"/>
                <w:szCs w:val="22"/>
              </w:rPr>
              <w:t>Time to document and track (minutes)</w:t>
            </w:r>
          </w:p>
        </w:tc>
        <w:tc>
          <w:tcPr>
            <w:tcW w:w="990" w:type="dxa"/>
            <w:shd w:val="clear" w:color="auto" w:fill="auto"/>
            <w:vAlign w:val="center"/>
            <w:hideMark/>
          </w:tcPr>
          <w:p w:rsidR="003736DC" w:rsidRPr="000249FF" w:rsidP="00AC2CB0" w14:paraId="4000B231" w14:textId="77777777">
            <w:pPr>
              <w:spacing w:after="0"/>
              <w:jc w:val="center"/>
              <w:rPr>
                <w:rFonts w:eastAsia="Times New Roman"/>
                <w:color w:val="000000"/>
                <w:sz w:val="22"/>
                <w:szCs w:val="22"/>
              </w:rPr>
            </w:pPr>
            <w:r w:rsidRPr="000249FF">
              <w:rPr>
                <w:rFonts w:eastAsia="Times New Roman"/>
                <w:color w:val="000000"/>
                <w:sz w:val="22"/>
                <w:szCs w:val="22"/>
              </w:rPr>
              <w:t>5</w:t>
            </w:r>
          </w:p>
        </w:tc>
        <w:tc>
          <w:tcPr>
            <w:tcW w:w="1080" w:type="dxa"/>
            <w:shd w:val="clear" w:color="auto" w:fill="auto"/>
            <w:vAlign w:val="center"/>
            <w:hideMark/>
          </w:tcPr>
          <w:p w:rsidR="003736DC" w:rsidRPr="000249FF" w:rsidP="00AC2CB0" w14:paraId="75C0E48E" w14:textId="77777777">
            <w:pPr>
              <w:spacing w:after="0"/>
              <w:jc w:val="center"/>
              <w:rPr>
                <w:rFonts w:eastAsia="Times New Roman"/>
                <w:color w:val="000000"/>
                <w:sz w:val="22"/>
                <w:szCs w:val="22"/>
              </w:rPr>
            </w:pPr>
            <w:r w:rsidRPr="000249FF">
              <w:rPr>
                <w:rFonts w:eastAsia="Times New Roman"/>
                <w:color w:val="000000"/>
                <w:sz w:val="22"/>
                <w:szCs w:val="22"/>
              </w:rPr>
              <w:t>5</w:t>
            </w:r>
          </w:p>
        </w:tc>
        <w:tc>
          <w:tcPr>
            <w:tcW w:w="1080" w:type="dxa"/>
            <w:shd w:val="clear" w:color="auto" w:fill="auto"/>
            <w:vAlign w:val="center"/>
            <w:hideMark/>
          </w:tcPr>
          <w:p w:rsidR="003736DC" w:rsidRPr="000249FF" w:rsidP="00AC2CB0" w14:paraId="040D04DD" w14:textId="77777777">
            <w:pPr>
              <w:spacing w:after="0"/>
              <w:jc w:val="center"/>
              <w:rPr>
                <w:rFonts w:eastAsia="Times New Roman"/>
                <w:color w:val="000000"/>
                <w:sz w:val="22"/>
                <w:szCs w:val="22"/>
              </w:rPr>
            </w:pPr>
            <w:r w:rsidRPr="000249FF">
              <w:rPr>
                <w:rFonts w:eastAsia="Times New Roman"/>
                <w:color w:val="000000"/>
                <w:sz w:val="22"/>
                <w:szCs w:val="22"/>
              </w:rPr>
              <w:t>5</w:t>
            </w:r>
          </w:p>
        </w:tc>
        <w:tc>
          <w:tcPr>
            <w:tcW w:w="1260" w:type="dxa"/>
            <w:shd w:val="clear" w:color="auto" w:fill="auto"/>
            <w:vAlign w:val="center"/>
            <w:hideMark/>
          </w:tcPr>
          <w:p w:rsidR="003736DC" w:rsidRPr="000249FF" w:rsidP="00AC2CB0" w14:paraId="02804DB5" w14:textId="77777777">
            <w:pPr>
              <w:spacing w:after="0"/>
              <w:jc w:val="center"/>
              <w:rPr>
                <w:rFonts w:eastAsia="Times New Roman"/>
                <w:color w:val="000000"/>
                <w:sz w:val="22"/>
                <w:szCs w:val="22"/>
              </w:rPr>
            </w:pPr>
            <w:r w:rsidRPr="000249FF">
              <w:rPr>
                <w:rFonts w:eastAsia="Times New Roman"/>
                <w:color w:val="000000"/>
                <w:sz w:val="22"/>
                <w:szCs w:val="22"/>
              </w:rPr>
              <w:t>5</w:t>
            </w:r>
          </w:p>
        </w:tc>
        <w:tc>
          <w:tcPr>
            <w:tcW w:w="1149" w:type="dxa"/>
            <w:shd w:val="clear" w:color="auto" w:fill="auto"/>
            <w:vAlign w:val="center"/>
            <w:hideMark/>
          </w:tcPr>
          <w:p w:rsidR="003736DC" w:rsidRPr="000249FF" w:rsidP="00AC2CB0" w14:paraId="0F31CDCE" w14:textId="77777777">
            <w:pPr>
              <w:spacing w:after="0"/>
              <w:jc w:val="center"/>
              <w:rPr>
                <w:rFonts w:eastAsia="Times New Roman"/>
                <w:color w:val="000000"/>
                <w:sz w:val="22"/>
                <w:szCs w:val="22"/>
              </w:rPr>
            </w:pPr>
            <w:r w:rsidRPr="000249FF">
              <w:rPr>
                <w:rFonts w:eastAsia="Times New Roman"/>
                <w:color w:val="000000"/>
                <w:sz w:val="22"/>
                <w:szCs w:val="22"/>
              </w:rPr>
              <w:t>5</w:t>
            </w:r>
          </w:p>
        </w:tc>
        <w:tc>
          <w:tcPr>
            <w:tcW w:w="1096" w:type="dxa"/>
            <w:shd w:val="clear" w:color="auto" w:fill="auto"/>
            <w:vAlign w:val="center"/>
            <w:hideMark/>
          </w:tcPr>
          <w:p w:rsidR="003736DC" w:rsidRPr="000249FF" w:rsidP="00AC2CB0" w14:paraId="04B12265" w14:textId="77777777">
            <w:pPr>
              <w:spacing w:after="0"/>
              <w:jc w:val="center"/>
              <w:rPr>
                <w:rFonts w:eastAsia="Times New Roman"/>
                <w:color w:val="000000"/>
                <w:sz w:val="22"/>
                <w:szCs w:val="22"/>
              </w:rPr>
            </w:pPr>
            <w:r w:rsidRPr="000249FF">
              <w:rPr>
                <w:rFonts w:eastAsia="Times New Roman"/>
                <w:color w:val="000000"/>
                <w:sz w:val="22"/>
                <w:szCs w:val="22"/>
              </w:rPr>
              <w:t>5</w:t>
            </w:r>
          </w:p>
        </w:tc>
      </w:tr>
      <w:tr w14:paraId="03F83402" w14:textId="77777777" w:rsidTr="000659AD">
        <w:tblPrEx>
          <w:tblW w:w="5000" w:type="pct"/>
          <w:tblLook w:val="04A0"/>
        </w:tblPrEx>
        <w:trPr>
          <w:trHeight w:val="144"/>
        </w:trPr>
        <w:tc>
          <w:tcPr>
            <w:tcW w:w="2695" w:type="dxa"/>
            <w:shd w:val="clear" w:color="auto" w:fill="auto"/>
            <w:vAlign w:val="center"/>
            <w:hideMark/>
          </w:tcPr>
          <w:p w:rsidR="003736DC" w:rsidRPr="000249FF" w:rsidP="00E94D6A" w14:paraId="6B0A5D4E" w14:textId="77777777">
            <w:pPr>
              <w:spacing w:after="0"/>
              <w:rPr>
                <w:rFonts w:eastAsia="Times New Roman"/>
                <w:color w:val="000000"/>
                <w:sz w:val="22"/>
                <w:szCs w:val="22"/>
              </w:rPr>
            </w:pPr>
            <w:r w:rsidRPr="000249FF">
              <w:rPr>
                <w:rFonts w:eastAsia="Times New Roman"/>
                <w:color w:val="000000"/>
                <w:sz w:val="22"/>
                <w:szCs w:val="22"/>
              </w:rPr>
              <w:t>Wage rate</w:t>
            </w:r>
          </w:p>
        </w:tc>
        <w:tc>
          <w:tcPr>
            <w:tcW w:w="990" w:type="dxa"/>
            <w:shd w:val="clear" w:color="auto" w:fill="auto"/>
            <w:noWrap/>
            <w:vAlign w:val="bottom"/>
            <w:hideMark/>
          </w:tcPr>
          <w:p w:rsidR="003736DC" w:rsidRPr="000249FF" w:rsidP="00AC2CB0" w14:paraId="07AA6F0D" w14:textId="3C3D6554">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c>
          <w:tcPr>
            <w:tcW w:w="1080" w:type="dxa"/>
            <w:shd w:val="clear" w:color="auto" w:fill="auto"/>
            <w:noWrap/>
            <w:vAlign w:val="bottom"/>
            <w:hideMark/>
          </w:tcPr>
          <w:p w:rsidR="003736DC" w:rsidRPr="000249FF" w:rsidP="00AC2CB0" w14:paraId="307306FD" w14:textId="328A0B14">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c>
          <w:tcPr>
            <w:tcW w:w="1080" w:type="dxa"/>
            <w:shd w:val="clear" w:color="auto" w:fill="auto"/>
            <w:noWrap/>
            <w:vAlign w:val="bottom"/>
            <w:hideMark/>
          </w:tcPr>
          <w:p w:rsidR="003736DC" w:rsidRPr="000249FF" w:rsidP="00AC2CB0" w14:paraId="47DFD367" w14:textId="17C992A3">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c>
          <w:tcPr>
            <w:tcW w:w="1260" w:type="dxa"/>
            <w:shd w:val="clear" w:color="auto" w:fill="auto"/>
            <w:noWrap/>
            <w:vAlign w:val="bottom"/>
            <w:hideMark/>
          </w:tcPr>
          <w:p w:rsidR="003736DC" w:rsidRPr="000249FF" w:rsidP="00AC2CB0" w14:paraId="70BDF8CC" w14:textId="6A097096">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c>
          <w:tcPr>
            <w:tcW w:w="1149" w:type="dxa"/>
            <w:shd w:val="clear" w:color="auto" w:fill="auto"/>
            <w:noWrap/>
            <w:vAlign w:val="bottom"/>
            <w:hideMark/>
          </w:tcPr>
          <w:p w:rsidR="003736DC" w:rsidRPr="000249FF" w:rsidP="00AC2CB0" w14:paraId="42FE96E8" w14:textId="020699F2">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c>
          <w:tcPr>
            <w:tcW w:w="1096" w:type="dxa"/>
            <w:shd w:val="clear" w:color="auto" w:fill="auto"/>
            <w:noWrap/>
            <w:vAlign w:val="bottom"/>
            <w:hideMark/>
          </w:tcPr>
          <w:p w:rsidR="003736DC" w:rsidRPr="000249FF" w:rsidP="00AC2CB0" w14:paraId="3BF0123B" w14:textId="5F2E18EE">
            <w:pPr>
              <w:spacing w:after="0"/>
              <w:jc w:val="center"/>
              <w:rPr>
                <w:rFonts w:eastAsia="Times New Roman"/>
                <w:color w:val="000000"/>
                <w:sz w:val="22"/>
                <w:szCs w:val="22"/>
              </w:rPr>
            </w:pPr>
            <w:r w:rsidRPr="00672B29">
              <w:rPr>
                <w:rFonts w:eastAsia="Times New Roman"/>
                <w:color w:val="000000"/>
                <w:sz w:val="22"/>
                <w:szCs w:val="22"/>
              </w:rPr>
              <w:t>$</w:t>
            </w:r>
            <w:r w:rsidRPr="00672B29" w:rsidR="002218C5">
              <w:rPr>
                <w:rFonts w:eastAsia="Times New Roman"/>
                <w:color w:val="000000"/>
                <w:sz w:val="22"/>
                <w:szCs w:val="22"/>
              </w:rPr>
              <w:t>178.42</w:t>
            </w:r>
          </w:p>
        </w:tc>
      </w:tr>
      <w:tr w14:paraId="394E090F" w14:textId="77777777" w:rsidTr="000659AD">
        <w:tblPrEx>
          <w:tblW w:w="5000" w:type="pct"/>
          <w:tblLook w:val="04A0"/>
        </w:tblPrEx>
        <w:trPr>
          <w:trHeight w:val="144"/>
        </w:trPr>
        <w:tc>
          <w:tcPr>
            <w:tcW w:w="2695" w:type="dxa"/>
            <w:shd w:val="clear" w:color="auto" w:fill="D9D9D9" w:themeFill="background1" w:themeFillShade="D9"/>
            <w:vAlign w:val="center"/>
            <w:hideMark/>
          </w:tcPr>
          <w:p w:rsidR="003736DC" w:rsidRPr="000249FF" w:rsidP="00E94D6A" w14:paraId="63EFEAA5" w14:textId="77777777">
            <w:pPr>
              <w:spacing w:after="0"/>
              <w:rPr>
                <w:rFonts w:eastAsia="Times New Roman"/>
                <w:b/>
                <w:color w:val="000000"/>
                <w:sz w:val="22"/>
                <w:szCs w:val="22"/>
              </w:rPr>
            </w:pPr>
            <w:r w:rsidRPr="000249FF">
              <w:rPr>
                <w:rFonts w:eastAsia="Times New Roman"/>
                <w:b/>
                <w:color w:val="000000"/>
                <w:sz w:val="22"/>
                <w:szCs w:val="22"/>
              </w:rPr>
              <w:t>Ongoing costs (millions)</w:t>
            </w:r>
          </w:p>
        </w:tc>
        <w:tc>
          <w:tcPr>
            <w:tcW w:w="990" w:type="dxa"/>
            <w:shd w:val="clear" w:color="auto" w:fill="D9D9D9" w:themeFill="background1" w:themeFillShade="D9"/>
            <w:noWrap/>
            <w:vAlign w:val="bottom"/>
            <w:hideMark/>
          </w:tcPr>
          <w:p w:rsidR="003736DC" w:rsidRPr="000249FF" w:rsidP="00AC2CB0" w14:paraId="0609A572" w14:textId="087DEB27">
            <w:pPr>
              <w:spacing w:after="0"/>
              <w:jc w:val="center"/>
              <w:rPr>
                <w:rFonts w:eastAsia="Times New Roman"/>
                <w:color w:val="000000"/>
                <w:sz w:val="22"/>
                <w:szCs w:val="22"/>
              </w:rPr>
            </w:pPr>
          </w:p>
        </w:tc>
        <w:tc>
          <w:tcPr>
            <w:tcW w:w="1080" w:type="dxa"/>
            <w:shd w:val="clear" w:color="auto" w:fill="D9D9D9" w:themeFill="background1" w:themeFillShade="D9"/>
            <w:noWrap/>
            <w:vAlign w:val="bottom"/>
            <w:hideMark/>
          </w:tcPr>
          <w:p w:rsidR="003736DC" w:rsidRPr="000249FF" w:rsidP="00AC2CB0" w14:paraId="3B1CB04D" w14:textId="61B2E7B8">
            <w:pPr>
              <w:spacing w:after="0"/>
              <w:jc w:val="center"/>
              <w:rPr>
                <w:rFonts w:eastAsia="Times New Roman"/>
                <w:color w:val="000000"/>
                <w:sz w:val="22"/>
                <w:szCs w:val="22"/>
              </w:rPr>
            </w:pPr>
          </w:p>
        </w:tc>
        <w:tc>
          <w:tcPr>
            <w:tcW w:w="1080" w:type="dxa"/>
            <w:shd w:val="clear" w:color="auto" w:fill="D9D9D9" w:themeFill="background1" w:themeFillShade="D9"/>
            <w:noWrap/>
            <w:vAlign w:val="bottom"/>
            <w:hideMark/>
          </w:tcPr>
          <w:p w:rsidR="003736DC" w:rsidRPr="000249FF" w:rsidP="00AC2CB0" w14:paraId="56A4420D" w14:textId="277072A9">
            <w:pPr>
              <w:spacing w:after="0"/>
              <w:jc w:val="center"/>
              <w:rPr>
                <w:rFonts w:eastAsia="Times New Roman"/>
                <w:color w:val="000000"/>
                <w:sz w:val="22"/>
                <w:szCs w:val="22"/>
              </w:rPr>
            </w:pPr>
          </w:p>
        </w:tc>
        <w:tc>
          <w:tcPr>
            <w:tcW w:w="1260" w:type="dxa"/>
            <w:shd w:val="clear" w:color="auto" w:fill="D9D9D9" w:themeFill="background1" w:themeFillShade="D9"/>
            <w:noWrap/>
            <w:vAlign w:val="bottom"/>
            <w:hideMark/>
          </w:tcPr>
          <w:p w:rsidR="003736DC" w:rsidRPr="000249FF" w:rsidP="00AC2CB0" w14:paraId="7686E2E2" w14:textId="1FEB77B1">
            <w:pPr>
              <w:spacing w:after="0"/>
              <w:jc w:val="center"/>
              <w:rPr>
                <w:rFonts w:eastAsia="Times New Roman"/>
                <w:color w:val="000000"/>
                <w:sz w:val="22"/>
                <w:szCs w:val="22"/>
              </w:rPr>
            </w:pPr>
          </w:p>
        </w:tc>
        <w:tc>
          <w:tcPr>
            <w:tcW w:w="1149" w:type="dxa"/>
            <w:shd w:val="clear" w:color="auto" w:fill="D9D9D9" w:themeFill="background1" w:themeFillShade="D9"/>
            <w:noWrap/>
            <w:vAlign w:val="bottom"/>
            <w:hideMark/>
          </w:tcPr>
          <w:p w:rsidR="003736DC" w:rsidRPr="000249FF" w:rsidP="00AC2CB0" w14:paraId="2FBAE31A" w14:textId="275B80EB">
            <w:pPr>
              <w:spacing w:after="0"/>
              <w:jc w:val="center"/>
              <w:rPr>
                <w:rFonts w:eastAsia="Times New Roman"/>
                <w:color w:val="000000"/>
                <w:sz w:val="22"/>
                <w:szCs w:val="22"/>
              </w:rPr>
            </w:pPr>
          </w:p>
        </w:tc>
        <w:tc>
          <w:tcPr>
            <w:tcW w:w="1096" w:type="dxa"/>
            <w:shd w:val="clear" w:color="auto" w:fill="D9D9D9" w:themeFill="background1" w:themeFillShade="D9"/>
            <w:noWrap/>
            <w:vAlign w:val="bottom"/>
            <w:hideMark/>
          </w:tcPr>
          <w:p w:rsidR="003736DC" w:rsidRPr="000249FF" w:rsidP="00AC2CB0" w14:paraId="2FA71E9C" w14:textId="7C6D7303">
            <w:pPr>
              <w:spacing w:after="0"/>
              <w:jc w:val="center"/>
              <w:rPr>
                <w:rFonts w:eastAsia="Times New Roman"/>
                <w:color w:val="000000"/>
                <w:sz w:val="22"/>
                <w:szCs w:val="22"/>
              </w:rPr>
            </w:pPr>
          </w:p>
        </w:tc>
      </w:tr>
      <w:tr w14:paraId="37740E60" w14:textId="77777777" w:rsidTr="000659AD">
        <w:tblPrEx>
          <w:tblW w:w="5000" w:type="pct"/>
          <w:tblLook w:val="04A0"/>
        </w:tblPrEx>
        <w:trPr>
          <w:trHeight w:val="144"/>
        </w:trPr>
        <w:tc>
          <w:tcPr>
            <w:tcW w:w="2695" w:type="dxa"/>
            <w:shd w:val="clear" w:color="auto" w:fill="auto"/>
            <w:vAlign w:val="center"/>
            <w:hideMark/>
          </w:tcPr>
          <w:p w:rsidR="003736DC" w:rsidRPr="000249FF" w:rsidP="00E94D6A" w14:paraId="01BE5BBF" w14:textId="77777777">
            <w:pPr>
              <w:spacing w:after="0"/>
              <w:rPr>
                <w:rFonts w:eastAsia="Times New Roman"/>
                <w:color w:val="000000"/>
                <w:sz w:val="22"/>
                <w:szCs w:val="22"/>
              </w:rPr>
            </w:pPr>
            <w:r w:rsidRPr="000249FF">
              <w:rPr>
                <w:rFonts w:eastAsia="Times New Roman"/>
                <w:color w:val="000000"/>
                <w:sz w:val="22"/>
                <w:szCs w:val="22"/>
              </w:rPr>
              <w:t>Ongoing cost (low)</w:t>
            </w:r>
          </w:p>
        </w:tc>
        <w:tc>
          <w:tcPr>
            <w:tcW w:w="990" w:type="dxa"/>
            <w:shd w:val="clear" w:color="auto" w:fill="auto"/>
            <w:noWrap/>
            <w:vAlign w:val="center"/>
            <w:hideMark/>
          </w:tcPr>
          <w:p w:rsidR="003736DC" w:rsidRPr="000249FF" w:rsidP="00BE0F33" w14:paraId="7ED252F3"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080" w:type="dxa"/>
            <w:shd w:val="clear" w:color="auto" w:fill="auto"/>
            <w:noWrap/>
            <w:vAlign w:val="center"/>
            <w:hideMark/>
          </w:tcPr>
          <w:p w:rsidR="003736DC" w:rsidRPr="000249FF" w:rsidP="00BE0F33" w14:paraId="65C526B1"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080" w:type="dxa"/>
            <w:shd w:val="clear" w:color="auto" w:fill="auto"/>
            <w:noWrap/>
            <w:vAlign w:val="center"/>
            <w:hideMark/>
          </w:tcPr>
          <w:p w:rsidR="003736DC" w:rsidRPr="000249FF" w:rsidP="00BE0F33" w14:paraId="576A5327"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260" w:type="dxa"/>
            <w:shd w:val="clear" w:color="auto" w:fill="auto"/>
            <w:noWrap/>
            <w:vAlign w:val="center"/>
            <w:hideMark/>
          </w:tcPr>
          <w:p w:rsidR="003736DC" w:rsidRPr="000249FF" w:rsidP="00BE0F33" w14:paraId="2504ECDD"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149" w:type="dxa"/>
            <w:shd w:val="clear" w:color="auto" w:fill="auto"/>
            <w:noWrap/>
            <w:vAlign w:val="center"/>
            <w:hideMark/>
          </w:tcPr>
          <w:p w:rsidR="003736DC" w:rsidRPr="000249FF" w:rsidP="00BE0F33" w14:paraId="48FFB120"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096" w:type="dxa"/>
            <w:shd w:val="clear" w:color="auto" w:fill="auto"/>
            <w:noWrap/>
            <w:vAlign w:val="center"/>
            <w:hideMark/>
          </w:tcPr>
          <w:p w:rsidR="003736DC" w:rsidRPr="000249FF" w:rsidP="00BE0F33" w14:paraId="143B0679" w14:textId="77777777">
            <w:pPr>
              <w:spacing w:after="0"/>
              <w:jc w:val="center"/>
              <w:rPr>
                <w:rFonts w:eastAsia="Times New Roman"/>
                <w:color w:val="000000"/>
                <w:sz w:val="22"/>
                <w:szCs w:val="22"/>
              </w:rPr>
            </w:pPr>
            <w:r w:rsidRPr="000249FF">
              <w:rPr>
                <w:rFonts w:eastAsia="Times New Roman"/>
                <w:color w:val="000000"/>
                <w:sz w:val="22"/>
                <w:szCs w:val="22"/>
              </w:rPr>
              <w:t>$0.00</w:t>
            </w:r>
          </w:p>
        </w:tc>
      </w:tr>
      <w:tr w14:paraId="07778708" w14:textId="77777777" w:rsidTr="000659AD">
        <w:tblPrEx>
          <w:tblW w:w="5000" w:type="pct"/>
          <w:tblLook w:val="04A0"/>
        </w:tblPrEx>
        <w:trPr>
          <w:trHeight w:val="144"/>
        </w:trPr>
        <w:tc>
          <w:tcPr>
            <w:tcW w:w="2695" w:type="dxa"/>
            <w:shd w:val="clear" w:color="auto" w:fill="auto"/>
            <w:vAlign w:val="center"/>
            <w:hideMark/>
          </w:tcPr>
          <w:p w:rsidR="003736DC" w:rsidRPr="000249FF" w:rsidP="00E94D6A" w14:paraId="7A58381C" w14:textId="652F317A">
            <w:pPr>
              <w:spacing w:after="0"/>
              <w:rPr>
                <w:rFonts w:eastAsia="Times New Roman"/>
                <w:color w:val="000000"/>
                <w:sz w:val="22"/>
                <w:szCs w:val="22"/>
              </w:rPr>
            </w:pPr>
            <w:r w:rsidRPr="000249FF">
              <w:rPr>
                <w:rFonts w:eastAsia="Times New Roman"/>
                <w:color w:val="000000"/>
                <w:sz w:val="22"/>
                <w:szCs w:val="22"/>
              </w:rPr>
              <w:t>Ongoing cost (</w:t>
            </w:r>
            <w:r w:rsidRPr="00672B29" w:rsidR="00BB4D08">
              <w:rPr>
                <w:rFonts w:eastAsia="Times New Roman"/>
                <w:color w:val="000000"/>
                <w:sz w:val="22"/>
                <w:szCs w:val="22"/>
              </w:rPr>
              <w:t>high</w:t>
            </w:r>
          </w:p>
        </w:tc>
        <w:tc>
          <w:tcPr>
            <w:tcW w:w="990" w:type="dxa"/>
            <w:shd w:val="clear" w:color="auto" w:fill="auto"/>
            <w:noWrap/>
            <w:vAlign w:val="center"/>
            <w:hideMark/>
          </w:tcPr>
          <w:p w:rsidR="003736DC" w:rsidRPr="000249FF" w:rsidP="00BE0F33" w14:paraId="256D9611" w14:textId="5E8A0B7B">
            <w:pPr>
              <w:spacing w:after="0"/>
              <w:jc w:val="center"/>
              <w:rPr>
                <w:rFonts w:eastAsia="Times New Roman"/>
                <w:color w:val="000000"/>
                <w:sz w:val="22"/>
                <w:szCs w:val="22"/>
              </w:rPr>
            </w:pPr>
            <w:r w:rsidRPr="000249FF">
              <w:rPr>
                <w:rFonts w:eastAsia="Times New Roman"/>
                <w:color w:val="000000"/>
                <w:sz w:val="22"/>
                <w:szCs w:val="22"/>
              </w:rPr>
              <w:t>$0.</w:t>
            </w:r>
            <w:r w:rsidRPr="00672B29">
              <w:rPr>
                <w:rFonts w:eastAsia="Times New Roman"/>
                <w:color w:val="000000"/>
                <w:sz w:val="22"/>
                <w:szCs w:val="22"/>
              </w:rPr>
              <w:t>4</w:t>
            </w:r>
            <w:r w:rsidRPr="00672B29" w:rsidR="0005024E">
              <w:rPr>
                <w:rFonts w:eastAsia="Times New Roman"/>
                <w:color w:val="000000"/>
                <w:sz w:val="22"/>
                <w:szCs w:val="22"/>
              </w:rPr>
              <w:t>8</w:t>
            </w:r>
          </w:p>
        </w:tc>
        <w:tc>
          <w:tcPr>
            <w:tcW w:w="1080" w:type="dxa"/>
            <w:shd w:val="clear" w:color="auto" w:fill="auto"/>
            <w:noWrap/>
            <w:vAlign w:val="center"/>
            <w:hideMark/>
          </w:tcPr>
          <w:p w:rsidR="003736DC" w:rsidRPr="000249FF" w:rsidP="00BE0F33" w14:paraId="7822C272"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080" w:type="dxa"/>
            <w:shd w:val="clear" w:color="auto" w:fill="auto"/>
            <w:noWrap/>
            <w:vAlign w:val="center"/>
            <w:hideMark/>
          </w:tcPr>
          <w:p w:rsidR="003736DC" w:rsidRPr="000249FF" w:rsidP="00BE0F33" w14:paraId="688A7910" w14:textId="77777777">
            <w:pPr>
              <w:spacing w:after="0"/>
              <w:jc w:val="center"/>
              <w:rPr>
                <w:rFonts w:eastAsia="Times New Roman"/>
                <w:color w:val="000000"/>
                <w:sz w:val="22"/>
                <w:szCs w:val="22"/>
              </w:rPr>
            </w:pPr>
            <w:r w:rsidRPr="000249FF">
              <w:rPr>
                <w:rFonts w:eastAsia="Times New Roman"/>
                <w:color w:val="000000"/>
                <w:sz w:val="22"/>
                <w:szCs w:val="22"/>
              </w:rPr>
              <w:t>$0.01</w:t>
            </w:r>
          </w:p>
        </w:tc>
        <w:tc>
          <w:tcPr>
            <w:tcW w:w="1260" w:type="dxa"/>
            <w:shd w:val="clear" w:color="auto" w:fill="auto"/>
            <w:noWrap/>
            <w:vAlign w:val="center"/>
            <w:hideMark/>
          </w:tcPr>
          <w:p w:rsidR="003736DC" w:rsidRPr="000249FF" w:rsidP="00BE0F33" w14:paraId="23533926"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149" w:type="dxa"/>
            <w:shd w:val="clear" w:color="auto" w:fill="auto"/>
            <w:noWrap/>
            <w:vAlign w:val="center"/>
            <w:hideMark/>
          </w:tcPr>
          <w:p w:rsidR="003736DC" w:rsidRPr="000249FF" w:rsidP="00BE0F33" w14:paraId="4AC43494" w14:textId="77777777">
            <w:pPr>
              <w:spacing w:after="0"/>
              <w:jc w:val="center"/>
              <w:rPr>
                <w:rFonts w:eastAsia="Times New Roman"/>
                <w:color w:val="000000"/>
                <w:sz w:val="22"/>
                <w:szCs w:val="22"/>
              </w:rPr>
            </w:pPr>
            <w:r w:rsidRPr="000249FF">
              <w:rPr>
                <w:rFonts w:eastAsia="Times New Roman"/>
                <w:color w:val="000000"/>
                <w:sz w:val="22"/>
                <w:szCs w:val="22"/>
              </w:rPr>
              <w:t>$0.00</w:t>
            </w:r>
          </w:p>
        </w:tc>
        <w:tc>
          <w:tcPr>
            <w:tcW w:w="1096" w:type="dxa"/>
            <w:shd w:val="clear" w:color="auto" w:fill="auto"/>
            <w:noWrap/>
            <w:vAlign w:val="center"/>
            <w:hideMark/>
          </w:tcPr>
          <w:p w:rsidR="003736DC" w:rsidRPr="000249FF" w:rsidP="00BE0F33" w14:paraId="6422006F" w14:textId="70E758AE">
            <w:pPr>
              <w:spacing w:after="0"/>
              <w:jc w:val="center"/>
              <w:rPr>
                <w:rFonts w:eastAsia="Times New Roman"/>
                <w:color w:val="000000"/>
                <w:sz w:val="22"/>
                <w:szCs w:val="22"/>
              </w:rPr>
            </w:pPr>
            <w:r w:rsidRPr="000249FF">
              <w:rPr>
                <w:rFonts w:eastAsia="Times New Roman"/>
                <w:color w:val="000000"/>
                <w:sz w:val="22"/>
                <w:szCs w:val="22"/>
              </w:rPr>
              <w:t>$0.</w:t>
            </w:r>
            <w:r w:rsidRPr="00672B29" w:rsidR="0005024E">
              <w:rPr>
                <w:rFonts w:eastAsia="Times New Roman"/>
                <w:color w:val="000000"/>
                <w:sz w:val="22"/>
                <w:szCs w:val="22"/>
              </w:rPr>
              <w:t>50</w:t>
            </w:r>
          </w:p>
        </w:tc>
      </w:tr>
    </w:tbl>
    <w:p w:rsidR="003736DC" w:rsidP="003736DC" w14:paraId="0F83F62E" w14:textId="05DDA8C9">
      <w:pPr>
        <w:pStyle w:val="BodyTextFirstIndent"/>
      </w:pPr>
    </w:p>
    <w:p w:rsidR="006D44EA" w:rsidP="003736DC" w14:paraId="23A0CAD6" w14:textId="77777777">
      <w:pPr>
        <w:pStyle w:val="BodyTextFirstIndent"/>
      </w:pPr>
    </w:p>
    <w:p w:rsidR="003736DC" w:rsidP="00482C04" w14:paraId="548805FF" w14:textId="75D310D4">
      <w:pPr>
        <w:pStyle w:val="Heading4"/>
      </w:pPr>
      <w:bookmarkStart w:id="117" w:name="_Toc148515740"/>
      <w:r>
        <w:t xml:space="preserve">Portable </w:t>
      </w:r>
      <w:r w:rsidRPr="00B5633F">
        <w:t>Cryogenic Containers Working Gauge</w:t>
      </w:r>
      <w:r>
        <w:t xml:space="preserve"> Requirement</w:t>
      </w:r>
      <w:bookmarkEnd w:id="117"/>
      <w:r>
        <w:t xml:space="preserve"> </w:t>
      </w:r>
    </w:p>
    <w:p w:rsidR="003736DC" w:rsidP="00236046" w14:paraId="015AE5D3" w14:textId="4DD06A79">
      <w:pPr>
        <w:pStyle w:val="BodyTextFirstIndent"/>
      </w:pPr>
      <w:r>
        <w:tab/>
        <w:t xml:space="preserve">This </w:t>
      </w:r>
      <w:r w:rsidR="00615F3A">
        <w:t>final</w:t>
      </w:r>
      <w:r>
        <w:t xml:space="preserve"> rule </w:t>
      </w:r>
      <w:r w:rsidR="001940B0">
        <w:t>will</w:t>
      </w:r>
      <w:r>
        <w:t xml:space="preserve"> add the requirement that all portable cryogenic containers</w:t>
      </w:r>
      <w:r w:rsidRPr="00715BC3">
        <w:t xml:space="preserve"> for use by individual patients (including portable liquid oxygen units) must have a working gauge </w:t>
      </w:r>
      <w:r w:rsidR="00E95A19">
        <w:t>sufficient</w:t>
      </w:r>
      <w:r w:rsidRPr="00715BC3" w:rsidR="00B075E5">
        <w:t xml:space="preserve"> </w:t>
      </w:r>
      <w:r w:rsidR="008D3598">
        <w:t xml:space="preserve">to </w:t>
      </w:r>
      <w:r w:rsidRPr="00106732" w:rsidR="00106732">
        <w:t>assist the user in determining</w:t>
      </w:r>
      <w:r w:rsidRPr="00715BC3">
        <w:t xml:space="preserve"> whether the container has an adequate supply of medical gas for continued use.</w:t>
      </w:r>
      <w:r>
        <w:rPr>
          <w:rStyle w:val="FootnoteReference"/>
        </w:rPr>
        <w:footnoteReference w:id="18"/>
      </w:r>
      <w:r w:rsidR="00553CCF">
        <w:t xml:space="preserve"> We use the 2020 ERG report estimate </w:t>
      </w:r>
      <w:r w:rsidR="00A87E89">
        <w:t xml:space="preserve">of </w:t>
      </w:r>
      <w:r w:rsidR="00553CCF">
        <w:t xml:space="preserve">490,000 portable cryogenic containers used for home reservoirs. </w:t>
      </w:r>
      <w:r>
        <w:t>We believe that there is already some compliance with this requirement. SMEs estimate that 50 percent of portable cryogenic containers already have working gauge</w:t>
      </w:r>
      <w:r w:rsidR="00385047">
        <w:t>s</w:t>
      </w:r>
      <w:r>
        <w:t xml:space="preserve"> and that 12 percent of portable cryogenic containers are rotated out each year. They further assume that</w:t>
      </w:r>
      <w:r w:rsidR="00292271">
        <w:t xml:space="preserve"> </w:t>
      </w:r>
      <w:r>
        <w:t xml:space="preserve">the oldest portable cryogenic containers are being rotated out and that new containers are now being manufactured with working gauges. </w:t>
      </w:r>
      <w:r w:rsidRPr="007C6BD7" w:rsidR="000B0C65">
        <w:t xml:space="preserve">Except for the provisions </w:t>
      </w:r>
      <w:r w:rsidRPr="007C6BD7" w:rsidR="00E6781D">
        <w:t>that amend</w:t>
      </w:r>
      <w:r w:rsidRPr="007C6BD7" w:rsidR="000B0C65">
        <w:t xml:space="preserve"> 21 CFR </w:t>
      </w:r>
      <w:r w:rsidRPr="007C6BD7" w:rsidR="00E6781D">
        <w:t>p</w:t>
      </w:r>
      <w:r w:rsidRPr="007C6BD7" w:rsidR="000B0C65">
        <w:t>art 4,</w:t>
      </w:r>
      <w:r w:rsidR="000B0C65">
        <w:t xml:space="preserve"> t</w:t>
      </w:r>
      <w:r>
        <w:t>his</w:t>
      </w:r>
      <w:r w:rsidR="0066229A">
        <w:t xml:space="preserve"> </w:t>
      </w:r>
      <w:r>
        <w:t xml:space="preserve">rule </w:t>
      </w:r>
      <w:r w:rsidR="001940B0">
        <w:t>will</w:t>
      </w:r>
      <w:r w:rsidR="0066229A">
        <w:t xml:space="preserve"> </w:t>
      </w:r>
      <w:r>
        <w:t>ha</w:t>
      </w:r>
      <w:r w:rsidR="0066229A">
        <w:t>ve</w:t>
      </w:r>
      <w:r>
        <w:t xml:space="preserve"> a </w:t>
      </w:r>
      <w:r w:rsidR="00BB1126">
        <w:t>1.5-</w:t>
      </w:r>
      <w:r>
        <w:t xml:space="preserve">year effective date so this requirement </w:t>
      </w:r>
      <w:r w:rsidR="001940B0">
        <w:t>will</w:t>
      </w:r>
      <w:r>
        <w:t xml:space="preserve"> only affect the </w:t>
      </w:r>
      <w:r w:rsidR="00D335F9">
        <w:t xml:space="preserve">current </w:t>
      </w:r>
      <w:r>
        <w:t xml:space="preserve">containers that do not have a working gauge after </w:t>
      </w:r>
      <w:r w:rsidR="00DB6812">
        <w:t>1.5</w:t>
      </w:r>
      <w:r w:rsidR="00482C04">
        <w:t xml:space="preserve"> </w:t>
      </w:r>
      <w:r>
        <w:t>years.</w:t>
      </w:r>
    </w:p>
    <w:p w:rsidR="00596412" w:rsidP="00236046" w14:paraId="690C3B00" w14:textId="21E35DB8">
      <w:pPr>
        <w:pStyle w:val="BodyTextFirstIndent"/>
        <w:ind w:firstLine="720"/>
      </w:pPr>
      <w:r>
        <w:t xml:space="preserve">SMEs estimate the price of a working gauge is </w:t>
      </w:r>
      <w:r w:rsidR="00292271">
        <w:t>a</w:t>
      </w:r>
      <w:r w:rsidR="00482C04">
        <w:t>pproximately</w:t>
      </w:r>
      <w:r w:rsidR="00292271">
        <w:t xml:space="preserve"> </w:t>
      </w:r>
      <w:r>
        <w:t>$20. We use the estimate of the working gauge as a lower bound estimate</w:t>
      </w:r>
      <w:r w:rsidR="00B075E5">
        <w:t>. We</w:t>
      </w:r>
      <w:r>
        <w:t xml:space="preserve"> assum</w:t>
      </w:r>
      <w:r w:rsidR="00B075E5">
        <w:t>e</w:t>
      </w:r>
      <w:r>
        <w:t xml:space="preserve"> that there may be some additional </w:t>
      </w:r>
      <w:r>
        <w:t xml:space="preserve">assembly costs for new containers that </w:t>
      </w:r>
      <w:r w:rsidRPr="00AA0928">
        <w:t>have working gauges</w:t>
      </w:r>
      <w:r w:rsidR="00B075E5">
        <w:t xml:space="preserve"> up to an additional $20. We therefore us</w:t>
      </w:r>
      <w:r w:rsidR="005C11FD">
        <w:t>e</w:t>
      </w:r>
      <w:r w:rsidRPr="00AA0928">
        <w:t xml:space="preserve"> a price range of $20 to $40. </w:t>
      </w:r>
    </w:p>
    <w:p w:rsidR="00E7340E" w:rsidP="00236046" w14:paraId="2C9AAACC" w14:textId="4D5CCDAF">
      <w:pPr>
        <w:pStyle w:val="BodyTextFirstIndent"/>
        <w:ind w:firstLine="720"/>
      </w:pPr>
      <w:r w:rsidRPr="00236EA1">
        <w:fldChar w:fldCharType="begin"/>
      </w:r>
      <w:r w:rsidRPr="00236EA1">
        <w:instrText xml:space="preserve"> REF _Ref132015884 \h </w:instrText>
      </w:r>
      <w:r w:rsidRPr="004848C7">
        <w:instrText xml:space="preserve"> \* MERGEFORMAT </w:instrText>
      </w:r>
      <w:r w:rsidRPr="00236EA1">
        <w:fldChar w:fldCharType="separate"/>
      </w:r>
      <w:r w:rsidRPr="004848C7">
        <w:t xml:space="preserve">Table </w:t>
      </w:r>
      <w:r w:rsidRPr="004848C7">
        <w:rPr>
          <w:noProof/>
        </w:rPr>
        <w:t>20</w:t>
      </w:r>
      <w:r w:rsidRPr="00236EA1">
        <w:fldChar w:fldCharType="end"/>
      </w:r>
      <w:r w:rsidR="00596412">
        <w:t xml:space="preserve"> </w:t>
      </w:r>
      <w:r w:rsidRPr="00AA0928" w:rsidR="00C82105">
        <w:t>shows the one-</w:t>
      </w:r>
      <w:r w:rsidRPr="00C82105" w:rsidR="00C82105">
        <w:t xml:space="preserve">time cost of adding working gauges to portable cryogenic containers. </w:t>
      </w:r>
      <w:r w:rsidRPr="00C82105" w:rsidR="004F722D">
        <w:t>We estimate</w:t>
      </w:r>
      <w:r w:rsidR="004F722D">
        <w:t xml:space="preserve"> the</w:t>
      </w:r>
      <w:r w:rsidR="003736DC">
        <w:t xml:space="preserve"> total one-time cost </w:t>
      </w:r>
      <w:r w:rsidR="004F722D">
        <w:t xml:space="preserve">to </w:t>
      </w:r>
      <w:r w:rsidR="003736DC">
        <w:t>range from $</w:t>
      </w:r>
      <w:r w:rsidR="00EB4FD4">
        <w:t>1.72</w:t>
      </w:r>
      <w:r w:rsidR="003736DC">
        <w:t xml:space="preserve"> million to $</w:t>
      </w:r>
      <w:r w:rsidR="00EB4FD4">
        <w:t>9.70</w:t>
      </w:r>
      <w:r w:rsidR="003736DC">
        <w:t xml:space="preserve"> million with a primary estimate of $</w:t>
      </w:r>
      <w:r w:rsidR="00EB4FD4">
        <w:t>4.70</w:t>
      </w:r>
      <w:r w:rsidR="003736DC">
        <w:t xml:space="preserve"> million.</w:t>
      </w:r>
    </w:p>
    <w:p w:rsidR="00E764C4" w:rsidP="004848C7" w14:paraId="7DDB2A42" w14:textId="62552049">
      <w:pPr>
        <w:rPr>
          <w:b/>
        </w:rPr>
      </w:pPr>
      <w:bookmarkStart w:id="118" w:name="_Ref36650337"/>
    </w:p>
    <w:p w:rsidR="006D44EA" w:rsidRPr="00292271" w:rsidP="00292271" w14:paraId="7C9FF542" w14:textId="7C4B9999">
      <w:pPr>
        <w:pStyle w:val="Caption"/>
        <w:keepNext/>
        <w:rPr>
          <w:b/>
        </w:rPr>
      </w:pPr>
      <w:bookmarkStart w:id="119" w:name="_Ref132015884"/>
      <w:bookmarkStart w:id="120" w:name="_Toc147238764"/>
      <w:r w:rsidRPr="00292271">
        <w:rPr>
          <w:b/>
        </w:rPr>
        <w:t xml:space="preserve">Table </w:t>
      </w:r>
      <w:r w:rsidRPr="00292271">
        <w:rPr>
          <w:b/>
        </w:rPr>
        <w:fldChar w:fldCharType="begin"/>
      </w:r>
      <w:r w:rsidRPr="00292271">
        <w:rPr>
          <w:b/>
        </w:rPr>
        <w:instrText xml:space="preserve"> SEQ Table \* ARABIC </w:instrText>
      </w:r>
      <w:r w:rsidRPr="00292271">
        <w:rPr>
          <w:b/>
        </w:rPr>
        <w:fldChar w:fldCharType="separate"/>
      </w:r>
      <w:r w:rsidR="00D61E3B">
        <w:rPr>
          <w:b/>
          <w:noProof/>
        </w:rPr>
        <w:t>20</w:t>
      </w:r>
      <w:r w:rsidRPr="00292271">
        <w:rPr>
          <w:b/>
        </w:rPr>
        <w:fldChar w:fldCharType="end"/>
      </w:r>
      <w:bookmarkEnd w:id="118"/>
      <w:bookmarkEnd w:id="119"/>
      <w:r w:rsidRPr="00292271">
        <w:rPr>
          <w:b/>
        </w:rPr>
        <w:t>. Costs of Adding Working Gauges</w:t>
      </w:r>
      <w:bookmarkEnd w:id="120"/>
    </w:p>
    <w:tbl>
      <w:tblPr>
        <w:tblW w:w="9355" w:type="dxa"/>
        <w:tblLook w:val="04A0"/>
      </w:tblPr>
      <w:tblGrid>
        <w:gridCol w:w="5035"/>
        <w:gridCol w:w="1530"/>
        <w:gridCol w:w="1440"/>
        <w:gridCol w:w="1350"/>
      </w:tblGrid>
      <w:tr w14:paraId="43F7A318" w14:textId="77777777" w:rsidTr="00714FC0">
        <w:tblPrEx>
          <w:tblW w:w="9355" w:type="dxa"/>
          <w:tblLook w:val="04A0"/>
        </w:tblPrEx>
        <w:trPr>
          <w:trHeight w:val="216"/>
        </w:trPr>
        <w:tc>
          <w:tcPr>
            <w:tcW w:w="5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736DC" w:rsidRPr="000249FF" w:rsidP="00E94D6A" w14:paraId="2BF32A3F" w14:textId="77777777">
            <w:pPr>
              <w:spacing w:after="0"/>
              <w:rPr>
                <w:rFonts w:eastAsia="Times New Roman"/>
                <w:color w:val="000000"/>
                <w:sz w:val="22"/>
                <w:szCs w:val="22"/>
              </w:rPr>
            </w:pPr>
            <w:r w:rsidRPr="000249FF">
              <w:rPr>
                <w:rFonts w:eastAsia="Times New Roman"/>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6DC" w:rsidRPr="000249FF" w:rsidP="00C346DD" w14:paraId="2AA880DA" w14:textId="243F4217">
            <w:pPr>
              <w:spacing w:after="0"/>
              <w:jc w:val="center"/>
              <w:rPr>
                <w:rFonts w:eastAsia="Times New Roman"/>
                <w:b/>
                <w:bCs/>
                <w:color w:val="000000"/>
                <w:sz w:val="22"/>
                <w:szCs w:val="22"/>
              </w:rPr>
            </w:pPr>
            <w:r w:rsidRPr="000249FF">
              <w:rPr>
                <w:rFonts w:eastAsia="Times New Roman"/>
                <w:b/>
                <w:bCs/>
                <w:color w:val="000000"/>
                <w:sz w:val="22"/>
                <w:szCs w:val="22"/>
              </w:rPr>
              <w:t>Low</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6DC" w:rsidRPr="000249FF" w:rsidP="00C346DD" w14:paraId="1D63F1BE" w14:textId="5035D06A">
            <w:pPr>
              <w:spacing w:after="0"/>
              <w:jc w:val="center"/>
              <w:rPr>
                <w:rFonts w:eastAsia="Times New Roman"/>
                <w:b/>
                <w:bCs/>
                <w:color w:val="000000"/>
                <w:sz w:val="22"/>
                <w:szCs w:val="22"/>
              </w:rPr>
            </w:pPr>
            <w:r w:rsidRPr="000249FF">
              <w:rPr>
                <w:rFonts w:eastAsia="Times New Roman"/>
                <w:b/>
                <w:bCs/>
                <w:color w:val="000000"/>
                <w:sz w:val="22"/>
                <w:szCs w:val="22"/>
              </w:rPr>
              <w:t>Primary</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6DC" w:rsidRPr="000249FF" w:rsidP="00C346DD" w14:paraId="1E3DCD3F" w14:textId="77777777">
            <w:pPr>
              <w:spacing w:after="0"/>
              <w:jc w:val="center"/>
              <w:rPr>
                <w:rFonts w:eastAsia="Times New Roman"/>
                <w:b/>
                <w:bCs/>
                <w:color w:val="000000"/>
                <w:sz w:val="22"/>
                <w:szCs w:val="22"/>
              </w:rPr>
            </w:pPr>
            <w:r w:rsidRPr="000249FF">
              <w:rPr>
                <w:rFonts w:eastAsia="Times New Roman"/>
                <w:b/>
                <w:bCs/>
                <w:color w:val="000000"/>
                <w:sz w:val="22"/>
                <w:szCs w:val="22"/>
              </w:rPr>
              <w:t>High</w:t>
            </w:r>
          </w:p>
        </w:tc>
      </w:tr>
      <w:tr w14:paraId="1794168D"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0E38B091" w14:textId="642771E1">
            <w:pPr>
              <w:spacing w:after="0"/>
              <w:rPr>
                <w:rFonts w:eastAsia="Times New Roman"/>
                <w:color w:val="000000"/>
                <w:sz w:val="22"/>
                <w:szCs w:val="22"/>
              </w:rPr>
            </w:pPr>
            <w:r w:rsidRPr="000249FF">
              <w:rPr>
                <w:rFonts w:eastAsia="Times New Roman"/>
                <w:color w:val="000000" w:themeColor="text1"/>
                <w:sz w:val="22"/>
                <w:szCs w:val="22"/>
              </w:rPr>
              <w:t>Number of cryogenic containers</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2FDA6891" w14:textId="77777777">
            <w:pPr>
              <w:spacing w:after="0"/>
              <w:jc w:val="center"/>
              <w:rPr>
                <w:rFonts w:eastAsia="Times New Roman"/>
                <w:color w:val="000000"/>
                <w:sz w:val="22"/>
                <w:szCs w:val="22"/>
              </w:rPr>
            </w:pPr>
            <w:r w:rsidRPr="000249FF">
              <w:rPr>
                <w:rFonts w:eastAsia="Times New Roman"/>
                <w:color w:val="000000"/>
                <w:sz w:val="22"/>
                <w:szCs w:val="22"/>
              </w:rPr>
              <w:t>490,000</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68EA5DDD" w14:textId="77777777">
            <w:pPr>
              <w:spacing w:after="0"/>
              <w:jc w:val="center"/>
              <w:rPr>
                <w:rFonts w:eastAsia="Times New Roman"/>
                <w:color w:val="000000"/>
                <w:sz w:val="22"/>
                <w:szCs w:val="22"/>
              </w:rPr>
            </w:pPr>
            <w:r w:rsidRPr="000249FF">
              <w:rPr>
                <w:rFonts w:eastAsia="Times New Roman"/>
                <w:color w:val="000000"/>
                <w:sz w:val="22"/>
                <w:szCs w:val="22"/>
              </w:rPr>
              <w:t>490,000</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021FC34D" w14:textId="77777777">
            <w:pPr>
              <w:spacing w:after="0"/>
              <w:jc w:val="center"/>
              <w:rPr>
                <w:rFonts w:eastAsia="Times New Roman"/>
                <w:color w:val="000000"/>
                <w:sz w:val="22"/>
                <w:szCs w:val="22"/>
              </w:rPr>
            </w:pPr>
            <w:r w:rsidRPr="000249FF">
              <w:rPr>
                <w:rFonts w:eastAsia="Times New Roman"/>
                <w:color w:val="000000"/>
                <w:sz w:val="22"/>
                <w:szCs w:val="22"/>
              </w:rPr>
              <w:t>490,000</w:t>
            </w:r>
          </w:p>
        </w:tc>
      </w:tr>
      <w:tr w14:paraId="6954D719"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2731CDD5" w14:textId="77777777">
            <w:pPr>
              <w:spacing w:after="0"/>
              <w:rPr>
                <w:rFonts w:eastAsia="Times New Roman"/>
                <w:color w:val="000000"/>
                <w:sz w:val="22"/>
                <w:szCs w:val="22"/>
              </w:rPr>
            </w:pPr>
            <w:r w:rsidRPr="000249FF">
              <w:rPr>
                <w:rFonts w:eastAsia="Times New Roman"/>
                <w:color w:val="000000"/>
                <w:sz w:val="22"/>
                <w:szCs w:val="22"/>
              </w:rPr>
              <w:t>Current compliance</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3CB22E1C" w14:textId="77777777">
            <w:pPr>
              <w:spacing w:after="0"/>
              <w:jc w:val="center"/>
              <w:rPr>
                <w:rFonts w:eastAsia="Times New Roman"/>
                <w:color w:val="000000"/>
                <w:sz w:val="22"/>
                <w:szCs w:val="22"/>
              </w:rPr>
            </w:pPr>
            <w:r w:rsidRPr="000249FF">
              <w:rPr>
                <w:rFonts w:eastAsia="Times New Roman"/>
                <w:color w:val="000000"/>
                <w:sz w:val="22"/>
                <w:szCs w:val="22"/>
              </w:rPr>
              <w:t>60%</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1A9FB7D3" w14:textId="77777777">
            <w:pPr>
              <w:spacing w:after="0"/>
              <w:jc w:val="center"/>
              <w:rPr>
                <w:rFonts w:eastAsia="Times New Roman"/>
                <w:color w:val="000000"/>
                <w:sz w:val="22"/>
                <w:szCs w:val="22"/>
              </w:rPr>
            </w:pPr>
            <w:r w:rsidRPr="000249FF">
              <w:rPr>
                <w:rFonts w:eastAsia="Times New Roman"/>
                <w:color w:val="000000"/>
                <w:sz w:val="22"/>
                <w:szCs w:val="22"/>
              </w:rPr>
              <w:t>50%</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7C5BD059" w14:textId="77777777">
            <w:pPr>
              <w:spacing w:after="0"/>
              <w:jc w:val="center"/>
              <w:rPr>
                <w:rFonts w:eastAsia="Times New Roman"/>
                <w:color w:val="000000"/>
                <w:sz w:val="22"/>
                <w:szCs w:val="22"/>
              </w:rPr>
            </w:pPr>
            <w:r w:rsidRPr="000249FF">
              <w:rPr>
                <w:rFonts w:eastAsia="Times New Roman"/>
                <w:color w:val="000000"/>
                <w:sz w:val="22"/>
                <w:szCs w:val="22"/>
              </w:rPr>
              <w:t>40%</w:t>
            </w:r>
          </w:p>
        </w:tc>
      </w:tr>
      <w:tr w14:paraId="78B6FEA0"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76CCC228" w14:textId="77777777">
            <w:pPr>
              <w:spacing w:after="0"/>
              <w:rPr>
                <w:rFonts w:eastAsia="Times New Roman"/>
                <w:color w:val="000000"/>
                <w:sz w:val="22"/>
                <w:szCs w:val="22"/>
              </w:rPr>
            </w:pPr>
            <w:r w:rsidRPr="000249FF">
              <w:rPr>
                <w:rFonts w:eastAsia="Times New Roman"/>
                <w:color w:val="000000"/>
                <w:sz w:val="22"/>
                <w:szCs w:val="22"/>
              </w:rPr>
              <w:t>Percent newly compliant annually</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28415DD6" w14:textId="77777777">
            <w:pPr>
              <w:spacing w:after="0"/>
              <w:jc w:val="center"/>
              <w:rPr>
                <w:rFonts w:eastAsia="Times New Roman"/>
                <w:color w:val="000000"/>
                <w:sz w:val="22"/>
                <w:szCs w:val="22"/>
              </w:rPr>
            </w:pPr>
            <w:r w:rsidRPr="000249FF">
              <w:rPr>
                <w:rFonts w:eastAsia="Times New Roman"/>
                <w:color w:val="000000"/>
                <w:sz w:val="22"/>
                <w:szCs w:val="22"/>
              </w:rPr>
              <w:t>15%</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6EB9A465" w14:textId="77777777">
            <w:pPr>
              <w:spacing w:after="0"/>
              <w:jc w:val="center"/>
              <w:rPr>
                <w:rFonts w:eastAsia="Times New Roman"/>
                <w:color w:val="000000"/>
                <w:sz w:val="22"/>
                <w:szCs w:val="22"/>
              </w:rPr>
            </w:pPr>
            <w:r w:rsidRPr="000249FF">
              <w:rPr>
                <w:rFonts w:eastAsia="Times New Roman"/>
                <w:color w:val="000000"/>
                <w:sz w:val="22"/>
                <w:szCs w:val="22"/>
              </w:rPr>
              <w:t>12%</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62E4A5BC" w14:textId="77777777">
            <w:pPr>
              <w:spacing w:after="0"/>
              <w:jc w:val="center"/>
              <w:rPr>
                <w:rFonts w:eastAsia="Times New Roman"/>
                <w:color w:val="000000"/>
                <w:sz w:val="22"/>
                <w:szCs w:val="22"/>
              </w:rPr>
            </w:pPr>
            <w:r w:rsidRPr="000249FF">
              <w:rPr>
                <w:rFonts w:eastAsia="Times New Roman"/>
                <w:color w:val="000000"/>
                <w:sz w:val="22"/>
                <w:szCs w:val="22"/>
              </w:rPr>
              <w:t>7%</w:t>
            </w:r>
          </w:p>
        </w:tc>
      </w:tr>
      <w:tr w14:paraId="27913775"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1F533E75" w14:textId="77777777">
            <w:pPr>
              <w:spacing w:after="0"/>
              <w:rPr>
                <w:rFonts w:eastAsia="Times New Roman"/>
                <w:color w:val="000000"/>
                <w:sz w:val="22"/>
                <w:szCs w:val="22"/>
              </w:rPr>
            </w:pPr>
            <w:r w:rsidRPr="000249FF">
              <w:rPr>
                <w:rFonts w:eastAsia="Times New Roman"/>
                <w:color w:val="000000"/>
                <w:sz w:val="22"/>
                <w:szCs w:val="22"/>
              </w:rPr>
              <w:t>Number of years to effectiveness date</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578FCB92" w14:textId="58C013B5">
            <w:pPr>
              <w:spacing w:after="0"/>
              <w:jc w:val="center"/>
              <w:rPr>
                <w:rFonts w:eastAsia="Times New Roman"/>
                <w:color w:val="000000"/>
                <w:sz w:val="22"/>
                <w:szCs w:val="22"/>
              </w:rPr>
            </w:pPr>
            <w:r w:rsidRPr="000249FF">
              <w:rPr>
                <w:rFonts w:eastAsia="Times New Roman"/>
                <w:color w:val="000000"/>
                <w:sz w:val="22"/>
                <w:szCs w:val="22"/>
              </w:rPr>
              <w:t>1.5</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42817B4D" w14:textId="5BC0FDBE">
            <w:pPr>
              <w:spacing w:after="0"/>
              <w:jc w:val="center"/>
              <w:rPr>
                <w:rFonts w:eastAsia="Times New Roman"/>
                <w:color w:val="000000"/>
                <w:sz w:val="22"/>
                <w:szCs w:val="22"/>
              </w:rPr>
            </w:pPr>
            <w:r w:rsidRPr="000249FF">
              <w:rPr>
                <w:rFonts w:eastAsia="Times New Roman"/>
                <w:color w:val="000000"/>
                <w:sz w:val="22"/>
                <w:szCs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7C641BF3" w14:textId="15D33D97">
            <w:pPr>
              <w:spacing w:after="0"/>
              <w:jc w:val="center"/>
              <w:rPr>
                <w:rFonts w:eastAsia="Times New Roman"/>
                <w:color w:val="000000"/>
                <w:sz w:val="22"/>
                <w:szCs w:val="22"/>
              </w:rPr>
            </w:pPr>
            <w:r w:rsidRPr="000249FF">
              <w:rPr>
                <w:rFonts w:eastAsia="Times New Roman"/>
                <w:color w:val="000000"/>
                <w:sz w:val="22"/>
                <w:szCs w:val="22"/>
              </w:rPr>
              <w:t>1.5</w:t>
            </w:r>
          </w:p>
        </w:tc>
      </w:tr>
      <w:tr w14:paraId="4ED57167"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090958DA" w14:textId="77777777">
            <w:pPr>
              <w:spacing w:after="0"/>
              <w:rPr>
                <w:rFonts w:eastAsia="Times New Roman"/>
                <w:color w:val="000000"/>
                <w:sz w:val="22"/>
                <w:szCs w:val="22"/>
              </w:rPr>
            </w:pPr>
            <w:r w:rsidRPr="000249FF">
              <w:rPr>
                <w:rFonts w:eastAsia="Times New Roman"/>
                <w:color w:val="000000"/>
                <w:sz w:val="22"/>
                <w:szCs w:val="22"/>
              </w:rPr>
              <w:t>Percent that will voluntarily comply by effective date</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46A25266" w14:textId="63EE7BFB">
            <w:pPr>
              <w:spacing w:after="0"/>
              <w:jc w:val="center"/>
              <w:rPr>
                <w:rFonts w:eastAsia="Times New Roman"/>
                <w:color w:val="000000"/>
                <w:sz w:val="22"/>
                <w:szCs w:val="22"/>
              </w:rPr>
            </w:pPr>
            <w:r w:rsidRPr="000249FF">
              <w:rPr>
                <w:rFonts w:eastAsia="Times New Roman"/>
                <w:color w:val="000000"/>
                <w:sz w:val="22"/>
                <w:szCs w:val="22"/>
              </w:rPr>
              <w:t>83</w:t>
            </w:r>
            <w:r w:rsidRPr="000249FF">
              <w:rPr>
                <w:rFonts w:eastAsia="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5C3FFD87" w14:textId="4F1739E1">
            <w:pPr>
              <w:spacing w:after="0"/>
              <w:jc w:val="center"/>
              <w:rPr>
                <w:rFonts w:eastAsia="Times New Roman"/>
                <w:color w:val="000000"/>
                <w:sz w:val="22"/>
                <w:szCs w:val="22"/>
              </w:rPr>
            </w:pPr>
            <w:r w:rsidRPr="000249FF">
              <w:rPr>
                <w:rFonts w:eastAsia="Times New Roman"/>
                <w:color w:val="000000"/>
                <w:sz w:val="22"/>
                <w:szCs w:val="22"/>
              </w:rPr>
              <w:t>68</w:t>
            </w:r>
            <w:r w:rsidRPr="000249FF">
              <w:rPr>
                <w:rFonts w:eastAsia="Times New Roman"/>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1DEE0228" w14:textId="49144394">
            <w:pPr>
              <w:spacing w:after="0"/>
              <w:jc w:val="center"/>
              <w:rPr>
                <w:rFonts w:eastAsia="Times New Roman"/>
                <w:color w:val="000000"/>
                <w:sz w:val="22"/>
                <w:szCs w:val="22"/>
              </w:rPr>
            </w:pPr>
            <w:r w:rsidRPr="000249FF">
              <w:rPr>
                <w:rFonts w:eastAsia="Times New Roman"/>
                <w:color w:val="000000"/>
                <w:sz w:val="22"/>
                <w:szCs w:val="22"/>
              </w:rPr>
              <w:t>51</w:t>
            </w:r>
            <w:r w:rsidRPr="000249FF">
              <w:rPr>
                <w:rFonts w:eastAsia="Times New Roman"/>
                <w:color w:val="000000"/>
                <w:sz w:val="22"/>
                <w:szCs w:val="22"/>
              </w:rPr>
              <w:t>%</w:t>
            </w:r>
          </w:p>
        </w:tc>
      </w:tr>
      <w:tr w14:paraId="4AAA85E2"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6D6C5116" w14:textId="77777777">
            <w:pPr>
              <w:spacing w:after="0"/>
              <w:rPr>
                <w:rFonts w:eastAsia="Times New Roman"/>
                <w:color w:val="000000"/>
                <w:sz w:val="22"/>
                <w:szCs w:val="22"/>
              </w:rPr>
            </w:pPr>
            <w:r w:rsidRPr="000249FF">
              <w:rPr>
                <w:rFonts w:eastAsia="Times New Roman"/>
                <w:color w:val="000000"/>
                <w:sz w:val="22"/>
                <w:szCs w:val="22"/>
              </w:rPr>
              <w:t xml:space="preserve">Percent noncompliant by effective date </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6F6F9C92" w14:textId="2971729D">
            <w:pPr>
              <w:spacing w:after="0"/>
              <w:jc w:val="center"/>
              <w:rPr>
                <w:rFonts w:eastAsia="Times New Roman"/>
                <w:color w:val="000000"/>
                <w:sz w:val="22"/>
                <w:szCs w:val="22"/>
              </w:rPr>
            </w:pPr>
            <w:r w:rsidRPr="000249FF">
              <w:rPr>
                <w:rFonts w:eastAsia="Times New Roman"/>
                <w:color w:val="000000"/>
                <w:sz w:val="22"/>
                <w:szCs w:val="22"/>
              </w:rPr>
              <w:t>18</w:t>
            </w:r>
            <w:r w:rsidRPr="000249FF">
              <w:rPr>
                <w:rFonts w:eastAsia="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27D67651" w14:textId="0046AF74">
            <w:pPr>
              <w:spacing w:after="0"/>
              <w:jc w:val="center"/>
              <w:rPr>
                <w:rFonts w:eastAsia="Times New Roman"/>
                <w:color w:val="000000"/>
                <w:sz w:val="22"/>
                <w:szCs w:val="22"/>
              </w:rPr>
            </w:pPr>
            <w:r w:rsidRPr="000249FF">
              <w:rPr>
                <w:rFonts w:eastAsia="Times New Roman"/>
                <w:color w:val="000000"/>
                <w:sz w:val="22"/>
                <w:szCs w:val="22"/>
              </w:rPr>
              <w:t>32</w:t>
            </w:r>
            <w:r w:rsidRPr="000249FF">
              <w:rPr>
                <w:rFonts w:eastAsia="Times New Roman"/>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6985BCD7" w14:textId="32C5B462">
            <w:pPr>
              <w:spacing w:after="0"/>
              <w:jc w:val="center"/>
              <w:rPr>
                <w:rFonts w:eastAsia="Times New Roman"/>
                <w:color w:val="000000"/>
                <w:sz w:val="22"/>
                <w:szCs w:val="22"/>
              </w:rPr>
            </w:pPr>
            <w:r w:rsidRPr="000249FF">
              <w:rPr>
                <w:rFonts w:eastAsia="Times New Roman"/>
                <w:color w:val="000000"/>
                <w:sz w:val="22"/>
                <w:szCs w:val="22"/>
              </w:rPr>
              <w:t>4</w:t>
            </w:r>
            <w:r w:rsidRPr="000249FF">
              <w:rPr>
                <w:rFonts w:eastAsia="Times New Roman"/>
                <w:color w:val="000000"/>
                <w:sz w:val="22"/>
                <w:szCs w:val="22"/>
              </w:rPr>
              <w:t>9%</w:t>
            </w:r>
          </w:p>
        </w:tc>
      </w:tr>
      <w:tr w14:paraId="2377F32E"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0ADEF9A9" w14:textId="77777777">
            <w:pPr>
              <w:spacing w:after="0"/>
              <w:rPr>
                <w:rFonts w:eastAsia="Times New Roman"/>
                <w:color w:val="000000"/>
                <w:sz w:val="22"/>
                <w:szCs w:val="22"/>
              </w:rPr>
            </w:pPr>
            <w:r w:rsidRPr="000249FF">
              <w:rPr>
                <w:rFonts w:eastAsia="Times New Roman"/>
                <w:color w:val="000000"/>
                <w:sz w:val="22"/>
                <w:szCs w:val="22"/>
              </w:rPr>
              <w:t>Estimated number of containers requiring gauges</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271C719B" w14:textId="65A5D2C4">
            <w:pPr>
              <w:spacing w:after="0"/>
              <w:jc w:val="center"/>
              <w:rPr>
                <w:rFonts w:eastAsia="Times New Roman"/>
                <w:color w:val="000000"/>
                <w:sz w:val="22"/>
                <w:szCs w:val="22"/>
              </w:rPr>
            </w:pPr>
            <w:r w:rsidRPr="000249FF">
              <w:rPr>
                <w:rFonts w:eastAsia="Times New Roman"/>
                <w:color w:val="000000"/>
                <w:sz w:val="22"/>
                <w:szCs w:val="22"/>
              </w:rPr>
              <w:t>85,750</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093F1D68" w14:textId="29F40DB1">
            <w:pPr>
              <w:spacing w:after="0"/>
              <w:jc w:val="center"/>
              <w:rPr>
                <w:rFonts w:eastAsia="Times New Roman"/>
                <w:color w:val="000000"/>
                <w:sz w:val="22"/>
                <w:szCs w:val="22"/>
              </w:rPr>
            </w:pPr>
            <w:r w:rsidRPr="000249FF">
              <w:rPr>
                <w:rFonts w:eastAsia="Times New Roman"/>
                <w:color w:val="000000"/>
                <w:sz w:val="22"/>
                <w:szCs w:val="22"/>
              </w:rPr>
              <w:t>156,800</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5557C6F1" w14:textId="12BE09A2">
            <w:pPr>
              <w:spacing w:after="0"/>
              <w:jc w:val="center"/>
              <w:rPr>
                <w:rFonts w:eastAsia="Times New Roman"/>
                <w:color w:val="000000"/>
                <w:sz w:val="22"/>
                <w:szCs w:val="22"/>
              </w:rPr>
            </w:pPr>
            <w:r w:rsidRPr="000249FF">
              <w:rPr>
                <w:rFonts w:eastAsia="Times New Roman"/>
                <w:color w:val="000000"/>
                <w:sz w:val="22"/>
                <w:szCs w:val="22"/>
              </w:rPr>
              <w:t>242,550</w:t>
            </w:r>
          </w:p>
        </w:tc>
      </w:tr>
      <w:tr w14:paraId="1748D95F"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4BB8E734" w14:textId="77777777">
            <w:pPr>
              <w:spacing w:after="0"/>
              <w:rPr>
                <w:rFonts w:eastAsia="Times New Roman"/>
                <w:color w:val="000000"/>
                <w:sz w:val="22"/>
                <w:szCs w:val="22"/>
              </w:rPr>
            </w:pPr>
            <w:r w:rsidRPr="000249FF">
              <w:rPr>
                <w:rFonts w:eastAsia="Times New Roman"/>
                <w:color w:val="000000"/>
                <w:sz w:val="22"/>
                <w:szCs w:val="22"/>
              </w:rPr>
              <w:t>Cost of gauge (per unit)</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0F8A9846" w14:textId="77777777">
            <w:pPr>
              <w:spacing w:after="0"/>
              <w:jc w:val="center"/>
              <w:rPr>
                <w:rFonts w:eastAsia="Times New Roman"/>
                <w:color w:val="000000"/>
                <w:sz w:val="22"/>
                <w:szCs w:val="22"/>
              </w:rPr>
            </w:pPr>
            <w:r w:rsidRPr="000249FF">
              <w:rPr>
                <w:rFonts w:eastAsia="Times New Roman"/>
                <w:color w:val="000000"/>
                <w:sz w:val="22"/>
                <w:szCs w:val="22"/>
              </w:rPr>
              <w:t>$20</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53007BDD" w14:textId="77777777">
            <w:pPr>
              <w:spacing w:after="0"/>
              <w:jc w:val="center"/>
              <w:rPr>
                <w:rFonts w:eastAsia="Times New Roman"/>
                <w:color w:val="000000"/>
                <w:sz w:val="22"/>
                <w:szCs w:val="22"/>
              </w:rPr>
            </w:pPr>
            <w:r w:rsidRPr="000249FF">
              <w:rPr>
                <w:rFonts w:eastAsia="Times New Roman"/>
                <w:color w:val="000000"/>
                <w:sz w:val="22"/>
                <w:szCs w:val="22"/>
              </w:rPr>
              <w:t>$30</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549C9D3C" w14:textId="77777777">
            <w:pPr>
              <w:spacing w:after="0"/>
              <w:jc w:val="center"/>
              <w:rPr>
                <w:rFonts w:eastAsia="Times New Roman"/>
                <w:color w:val="000000"/>
                <w:sz w:val="22"/>
                <w:szCs w:val="22"/>
              </w:rPr>
            </w:pPr>
            <w:r w:rsidRPr="000249FF">
              <w:rPr>
                <w:rFonts w:eastAsia="Times New Roman"/>
                <w:color w:val="000000"/>
                <w:sz w:val="22"/>
                <w:szCs w:val="22"/>
              </w:rPr>
              <w:t>$40</w:t>
            </w:r>
          </w:p>
        </w:tc>
      </w:tr>
      <w:tr w14:paraId="13D925DB"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736DC" w:rsidRPr="000249FF" w:rsidP="00E94D6A" w14:paraId="60C7CB6E" w14:textId="77777777">
            <w:pPr>
              <w:spacing w:after="0"/>
              <w:rPr>
                <w:rFonts w:eastAsia="Times New Roman"/>
                <w:color w:val="000000"/>
                <w:sz w:val="22"/>
                <w:szCs w:val="22"/>
              </w:rPr>
            </w:pPr>
            <w:r w:rsidRPr="000249FF">
              <w:rPr>
                <w:rFonts w:eastAsia="Times New Roman"/>
                <w:b/>
                <w:color w:val="000000"/>
                <w:sz w:val="22"/>
                <w:szCs w:val="22"/>
              </w:rPr>
              <w:t>One-time cost (millions)</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rsidR="003736DC" w:rsidRPr="000249FF" w:rsidP="00AC2CB0" w14:paraId="6BD42475" w14:textId="29D741A0">
            <w:pPr>
              <w:spacing w:after="0"/>
              <w:jc w:val="center"/>
              <w:rPr>
                <w:rFonts w:eastAsia="Times New Roman"/>
                <w:color w:val="000000"/>
                <w:sz w:val="22"/>
                <w:szCs w:val="22"/>
              </w:rPr>
            </w:pP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3736DC" w:rsidRPr="000249FF" w:rsidP="00AC2CB0" w14:paraId="4487931E" w14:textId="41FD65BA">
            <w:pPr>
              <w:spacing w:after="0"/>
              <w:jc w:val="center"/>
              <w:rPr>
                <w:rFonts w:eastAsia="Times New Roman"/>
                <w:color w:val="000000"/>
                <w:sz w:val="22"/>
                <w:szCs w:val="22"/>
              </w:rPr>
            </w:pP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hideMark/>
          </w:tcPr>
          <w:p w:rsidR="003736DC" w:rsidRPr="000249FF" w:rsidP="00AC2CB0" w14:paraId="2023AE0F" w14:textId="313458CD">
            <w:pPr>
              <w:spacing w:after="0"/>
              <w:jc w:val="center"/>
              <w:rPr>
                <w:rFonts w:eastAsia="Times New Roman"/>
                <w:color w:val="000000"/>
                <w:sz w:val="22"/>
                <w:szCs w:val="22"/>
              </w:rPr>
            </w:pPr>
          </w:p>
        </w:tc>
      </w:tr>
      <w:tr w14:paraId="1D2A2D41" w14:textId="77777777" w:rsidTr="00714FC0">
        <w:tblPrEx>
          <w:tblW w:w="9355" w:type="dxa"/>
          <w:tblLook w:val="04A0"/>
        </w:tblPrEx>
        <w:trPr>
          <w:trHeight w:val="216"/>
        </w:trPr>
        <w:tc>
          <w:tcPr>
            <w:tcW w:w="5035" w:type="dxa"/>
            <w:tcBorders>
              <w:top w:val="nil"/>
              <w:left w:val="single" w:sz="4" w:space="0" w:color="auto"/>
              <w:bottom w:val="single" w:sz="4" w:space="0" w:color="auto"/>
              <w:right w:val="single" w:sz="4" w:space="0" w:color="auto"/>
            </w:tcBorders>
            <w:shd w:val="clear" w:color="auto" w:fill="auto"/>
            <w:noWrap/>
            <w:vAlign w:val="bottom"/>
            <w:hideMark/>
          </w:tcPr>
          <w:p w:rsidR="003736DC" w:rsidRPr="000249FF" w:rsidP="00E94D6A" w14:paraId="0C8E0313" w14:textId="1A3AA042">
            <w:pPr>
              <w:spacing w:after="0"/>
              <w:rPr>
                <w:rFonts w:eastAsia="Times New Roman"/>
                <w:b/>
                <w:color w:val="000000"/>
                <w:sz w:val="22"/>
                <w:szCs w:val="22"/>
              </w:rPr>
            </w:pPr>
            <w:r w:rsidRPr="000249FF">
              <w:rPr>
                <w:rFonts w:eastAsia="Times New Roman"/>
                <w:color w:val="000000"/>
                <w:sz w:val="22"/>
                <w:szCs w:val="22"/>
              </w:rPr>
              <w:t>One-time cost of adding gauges</w:t>
            </w:r>
          </w:p>
        </w:tc>
        <w:tc>
          <w:tcPr>
            <w:tcW w:w="153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3F18B270" w14:textId="1F844686">
            <w:pPr>
              <w:spacing w:after="0"/>
              <w:jc w:val="center"/>
              <w:rPr>
                <w:rFonts w:eastAsia="Times New Roman"/>
                <w:color w:val="000000"/>
                <w:sz w:val="22"/>
                <w:szCs w:val="22"/>
              </w:rPr>
            </w:pPr>
            <w:r w:rsidRPr="000249FF">
              <w:rPr>
                <w:rFonts w:eastAsia="Times New Roman"/>
                <w:color w:val="000000"/>
                <w:sz w:val="22"/>
                <w:szCs w:val="22"/>
              </w:rPr>
              <w:t>$</w:t>
            </w:r>
            <w:r w:rsidRPr="000249FF" w:rsidR="00EB4FD4">
              <w:rPr>
                <w:rFonts w:eastAsia="Times New Roman"/>
                <w:color w:val="000000"/>
                <w:sz w:val="22"/>
                <w:szCs w:val="22"/>
              </w:rPr>
              <w:t>1.72</w:t>
            </w:r>
          </w:p>
        </w:tc>
        <w:tc>
          <w:tcPr>
            <w:tcW w:w="144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318257EB" w14:textId="30923EC6">
            <w:pPr>
              <w:spacing w:after="0"/>
              <w:jc w:val="center"/>
              <w:rPr>
                <w:rFonts w:eastAsia="Times New Roman"/>
                <w:color w:val="000000"/>
                <w:sz w:val="22"/>
                <w:szCs w:val="22"/>
              </w:rPr>
            </w:pPr>
            <w:r w:rsidRPr="000249FF">
              <w:rPr>
                <w:rFonts w:eastAsia="Times New Roman"/>
                <w:color w:val="000000"/>
                <w:sz w:val="22"/>
                <w:szCs w:val="22"/>
              </w:rPr>
              <w:t>$</w:t>
            </w:r>
            <w:r w:rsidRPr="000249FF" w:rsidR="00EB4FD4">
              <w:rPr>
                <w:rFonts w:eastAsia="Times New Roman"/>
                <w:color w:val="000000"/>
                <w:sz w:val="22"/>
                <w:szCs w:val="22"/>
              </w:rPr>
              <w:t>4.70</w:t>
            </w:r>
          </w:p>
        </w:tc>
        <w:tc>
          <w:tcPr>
            <w:tcW w:w="1350" w:type="dxa"/>
            <w:tcBorders>
              <w:top w:val="nil"/>
              <w:left w:val="nil"/>
              <w:bottom w:val="single" w:sz="4" w:space="0" w:color="auto"/>
              <w:right w:val="single" w:sz="4" w:space="0" w:color="auto"/>
            </w:tcBorders>
            <w:shd w:val="clear" w:color="auto" w:fill="auto"/>
            <w:noWrap/>
            <w:vAlign w:val="bottom"/>
            <w:hideMark/>
          </w:tcPr>
          <w:p w:rsidR="003736DC" w:rsidRPr="000249FF" w:rsidP="00AC2CB0" w14:paraId="7073950E" w14:textId="757EFF54">
            <w:pPr>
              <w:spacing w:after="0"/>
              <w:jc w:val="center"/>
              <w:rPr>
                <w:rFonts w:eastAsia="Times New Roman"/>
                <w:color w:val="000000"/>
                <w:sz w:val="22"/>
                <w:szCs w:val="22"/>
              </w:rPr>
            </w:pPr>
            <w:r w:rsidRPr="000249FF">
              <w:rPr>
                <w:rFonts w:eastAsia="Times New Roman"/>
                <w:color w:val="000000"/>
                <w:sz w:val="22"/>
                <w:szCs w:val="22"/>
              </w:rPr>
              <w:t>$</w:t>
            </w:r>
            <w:r w:rsidRPr="000249FF" w:rsidR="00EB4FD4">
              <w:rPr>
                <w:rFonts w:eastAsia="Times New Roman"/>
                <w:color w:val="000000"/>
                <w:sz w:val="22"/>
                <w:szCs w:val="22"/>
              </w:rPr>
              <w:t>9.70</w:t>
            </w:r>
          </w:p>
        </w:tc>
      </w:tr>
    </w:tbl>
    <w:p w:rsidR="00806A70" w:rsidRPr="000E7A54" w:rsidP="003736DC" w14:paraId="67E1CB57" w14:textId="77777777">
      <w:pPr>
        <w:pStyle w:val="BodyTextFirstIndent"/>
        <w:ind w:firstLine="0"/>
      </w:pPr>
    </w:p>
    <w:p w:rsidR="00BA496F" w:rsidP="000E6DD7" w14:paraId="1E4C6CCE" w14:textId="37D1CA42">
      <w:pPr>
        <w:pStyle w:val="BodyTextFirstIndent"/>
        <w:ind w:firstLine="720"/>
      </w:pPr>
    </w:p>
    <w:p w:rsidR="00FE5C77" w:rsidP="00FE5C77" w14:paraId="1A5FDC61" w14:textId="57A8DC84">
      <w:pPr>
        <w:pStyle w:val="Heading3"/>
      </w:pPr>
      <w:bookmarkStart w:id="121" w:name="_Toc148515741"/>
      <w:r>
        <w:t>Postmarketing Safety Reporting</w:t>
      </w:r>
      <w:r>
        <w:t xml:space="preserve"> Costs</w:t>
      </w:r>
      <w:bookmarkEnd w:id="121"/>
    </w:p>
    <w:p w:rsidR="0092449D" w:rsidRPr="0092449D" w:rsidP="00AC2CB0" w14:paraId="04209FC7" w14:textId="77777777"/>
    <w:p w:rsidR="0092449D" w:rsidP="00236046" w14:paraId="6ADA5B94" w14:textId="1C26675D">
      <w:pPr>
        <w:ind w:firstLine="720"/>
        <w:rPr>
          <w:rFonts w:eastAsia="Times New Roman"/>
        </w:rPr>
      </w:pPr>
      <w:r>
        <w:t>Under current requirements, a</w:t>
      </w:r>
      <w:r w:rsidR="00B9205F">
        <w:t>dverse event report</w:t>
      </w:r>
      <w:r w:rsidR="0025771D">
        <w:t>s (AERs) must be reported for all adverse drug events for animals</w:t>
      </w:r>
      <w:r w:rsidR="00B9205F">
        <w:t xml:space="preserve">. </w:t>
      </w:r>
      <w:r w:rsidR="0025771D">
        <w:t>However, the requirement makes no specific mention of AER</w:t>
      </w:r>
      <w:r w:rsidR="006E5765">
        <w:t>s</w:t>
      </w:r>
      <w:r w:rsidR="0025771D">
        <w:t xml:space="preserve"> for medical gases. </w:t>
      </w:r>
      <w:r w:rsidR="00B9205F">
        <w:t>The FDA is currently receiving no AERs for ani</w:t>
      </w:r>
      <w:r w:rsidR="0025771D">
        <w:t xml:space="preserve">mals from </w:t>
      </w:r>
      <w:r w:rsidR="007A1772">
        <w:rPr>
          <w:rFonts w:eastAsia="Times New Roman"/>
        </w:rPr>
        <w:t>applicants and nonapplicants</w:t>
      </w:r>
      <w:r w:rsidR="0025771D">
        <w:rPr>
          <w:rFonts w:eastAsia="Times New Roman"/>
        </w:rPr>
        <w:t xml:space="preserve"> of medical gases</w:t>
      </w:r>
      <w:r w:rsidR="0025771D">
        <w:t xml:space="preserve">. This </w:t>
      </w:r>
      <w:r w:rsidR="00615F3A">
        <w:t>final</w:t>
      </w:r>
      <w:r w:rsidR="0025771D">
        <w:t xml:space="preserve"> rule clarifies that AER</w:t>
      </w:r>
      <w:r w:rsidR="006E5765">
        <w:t>s</w:t>
      </w:r>
      <w:r w:rsidR="0025771D">
        <w:t xml:space="preserve"> for animals are required from </w:t>
      </w:r>
      <w:r w:rsidR="007A1772">
        <w:rPr>
          <w:rFonts w:eastAsia="Times New Roman"/>
        </w:rPr>
        <w:t>applicants and nonapplicants</w:t>
      </w:r>
      <w:r w:rsidR="0025771D">
        <w:rPr>
          <w:rFonts w:eastAsia="Times New Roman"/>
        </w:rPr>
        <w:t xml:space="preserve"> of medical gases.</w:t>
      </w:r>
    </w:p>
    <w:p w:rsidR="0025771D" w:rsidP="00236046" w14:paraId="3EC05BF2" w14:textId="75DE2A87">
      <w:pPr>
        <w:ind w:firstLine="720"/>
      </w:pPr>
      <w:r>
        <w:rPr>
          <w:rFonts w:eastAsia="Times New Roman"/>
        </w:rPr>
        <w:t xml:space="preserve">SMEs from </w:t>
      </w:r>
      <w:r w:rsidR="00C00117">
        <w:rPr>
          <w:rFonts w:eastAsia="Times New Roman"/>
        </w:rPr>
        <w:t>the Center for Veterinary Medicine (</w:t>
      </w:r>
      <w:r>
        <w:rPr>
          <w:rFonts w:eastAsia="Times New Roman"/>
        </w:rPr>
        <w:t>CVM</w:t>
      </w:r>
      <w:r w:rsidR="00C00117">
        <w:rPr>
          <w:rFonts w:eastAsia="Times New Roman"/>
        </w:rPr>
        <w:t>)</w:t>
      </w:r>
      <w:r>
        <w:rPr>
          <w:rFonts w:eastAsia="Times New Roman"/>
        </w:rPr>
        <w:t xml:space="preserve"> estimate that we </w:t>
      </w:r>
      <w:r w:rsidR="001940B0">
        <w:rPr>
          <w:rFonts w:eastAsia="Times New Roman"/>
        </w:rPr>
        <w:t>will</w:t>
      </w:r>
      <w:r>
        <w:rPr>
          <w:rFonts w:eastAsia="Times New Roman"/>
        </w:rPr>
        <w:t xml:space="preserve"> receive 5 to 10 AERs annually for </w:t>
      </w:r>
      <w:r>
        <w:t>animals from</w:t>
      </w:r>
      <w:r w:rsidR="007A1772">
        <w:t xml:space="preserve"> applicants and nonapplicants</w:t>
      </w:r>
      <w:r>
        <w:t xml:space="preserve"> </w:t>
      </w:r>
      <w:r>
        <w:rPr>
          <w:rFonts w:eastAsia="Times New Roman"/>
        </w:rPr>
        <w:t>of medical gases</w:t>
      </w:r>
      <w:r w:rsidR="000C28D0">
        <w:rPr>
          <w:rFonts w:eastAsia="Times New Roman"/>
        </w:rPr>
        <w:t xml:space="preserve"> as a result of this clarification</w:t>
      </w:r>
      <w:r>
        <w:rPr>
          <w:rFonts w:eastAsia="Times New Roman"/>
        </w:rPr>
        <w:t>.</w:t>
      </w:r>
      <w:r w:rsidR="00CB4869">
        <w:rPr>
          <w:rFonts w:eastAsia="Times New Roman"/>
        </w:rPr>
        <w:t xml:space="preserve"> We use these as our lower and upper bound </w:t>
      </w:r>
      <w:r w:rsidR="000C28D0">
        <w:rPr>
          <w:rFonts w:eastAsia="Times New Roman"/>
        </w:rPr>
        <w:t xml:space="preserve">estimates </w:t>
      </w:r>
      <w:r w:rsidR="00CB4869">
        <w:rPr>
          <w:rFonts w:eastAsia="Times New Roman"/>
        </w:rPr>
        <w:t>and we take the average, 7.5, as our primary estimate.</w:t>
      </w:r>
      <w:r>
        <w:rPr>
          <w:rFonts w:eastAsia="Times New Roman"/>
        </w:rPr>
        <w:t xml:space="preserve"> </w:t>
      </w:r>
      <w:r w:rsidR="00F26B97">
        <w:rPr>
          <w:rFonts w:eastAsia="Times New Roman"/>
        </w:rPr>
        <w:t>A</w:t>
      </w:r>
      <w:r w:rsidR="008417C0">
        <w:rPr>
          <w:rFonts w:eastAsia="Times New Roman"/>
        </w:rPr>
        <w:t xml:space="preserve"> </w:t>
      </w:r>
      <w:r w:rsidR="0010228C">
        <w:rPr>
          <w:rFonts w:eastAsia="Times New Roman"/>
        </w:rPr>
        <w:t xml:space="preserve">2023 memorandum </w:t>
      </w:r>
      <w:r w:rsidR="00F26B97">
        <w:rPr>
          <w:rFonts w:eastAsia="Times New Roman"/>
        </w:rPr>
        <w:t xml:space="preserve">to file </w:t>
      </w:r>
      <w:r w:rsidR="006205E1">
        <w:rPr>
          <w:rFonts w:eastAsia="Times New Roman"/>
        </w:rPr>
        <w:t xml:space="preserve">(Ref. 6) </w:t>
      </w:r>
      <w:r w:rsidR="0010228C">
        <w:rPr>
          <w:rFonts w:eastAsia="Times New Roman"/>
        </w:rPr>
        <w:t xml:space="preserve">summarizes </w:t>
      </w:r>
      <w:r w:rsidR="00E023B1">
        <w:rPr>
          <w:rFonts w:eastAsia="Times New Roman"/>
        </w:rPr>
        <w:t xml:space="preserve">relevant information from </w:t>
      </w:r>
      <w:r w:rsidR="001A4DA6">
        <w:rPr>
          <w:rFonts w:eastAsia="Times New Roman"/>
        </w:rPr>
        <w:t>a</w:t>
      </w:r>
      <w:r w:rsidR="0010228C">
        <w:rPr>
          <w:rFonts w:eastAsia="Times New Roman"/>
        </w:rPr>
        <w:t xml:space="preserve"> </w:t>
      </w:r>
      <w:r w:rsidR="008417C0">
        <w:rPr>
          <w:rFonts w:eastAsia="Times New Roman"/>
        </w:rPr>
        <w:t>2019 ERG report</w:t>
      </w:r>
      <w:r w:rsidR="0010228C">
        <w:rPr>
          <w:rFonts w:eastAsia="Times New Roman"/>
        </w:rPr>
        <w:t xml:space="preserve"> </w:t>
      </w:r>
      <w:r w:rsidR="008417C0">
        <w:rPr>
          <w:rFonts w:eastAsia="Times New Roman"/>
        </w:rPr>
        <w:t>on postmarketing safety reporting</w:t>
      </w:r>
      <w:r w:rsidR="0010228C">
        <w:rPr>
          <w:rFonts w:eastAsia="Times New Roman"/>
        </w:rPr>
        <w:t>.</w:t>
      </w:r>
      <w:r w:rsidR="00C20229">
        <w:rPr>
          <w:rFonts w:eastAsia="Times New Roman"/>
        </w:rPr>
        <w:t xml:space="preserve"> The</w:t>
      </w:r>
      <w:r w:rsidR="0045644D">
        <w:rPr>
          <w:rFonts w:eastAsia="Times New Roman"/>
        </w:rPr>
        <w:t xml:space="preserve"> report</w:t>
      </w:r>
      <w:r w:rsidR="008417C0">
        <w:rPr>
          <w:rFonts w:eastAsia="Times New Roman"/>
        </w:rPr>
        <w:t xml:space="preserve"> estimates </w:t>
      </w:r>
      <w:r w:rsidR="00C20229">
        <w:rPr>
          <w:rFonts w:eastAsia="Times New Roman"/>
        </w:rPr>
        <w:t xml:space="preserve">that </w:t>
      </w:r>
      <w:r w:rsidR="008417C0">
        <w:rPr>
          <w:rFonts w:eastAsia="Times New Roman"/>
        </w:rPr>
        <w:t>i</w:t>
      </w:r>
      <w:r w:rsidR="00CB4869">
        <w:rPr>
          <w:rFonts w:eastAsia="Times New Roman"/>
        </w:rPr>
        <w:t xml:space="preserve">t </w:t>
      </w:r>
      <w:r w:rsidR="008417C0">
        <w:rPr>
          <w:rFonts w:eastAsia="Times New Roman"/>
        </w:rPr>
        <w:t>will take</w:t>
      </w:r>
      <w:r w:rsidR="008417C0">
        <w:t xml:space="preserve"> </w:t>
      </w:r>
      <w:r w:rsidR="00872459">
        <w:t xml:space="preserve">between 2 and </w:t>
      </w:r>
      <w:r w:rsidR="008417C0">
        <w:t xml:space="preserve">4 hours of professional time and </w:t>
      </w:r>
      <w:r w:rsidR="00724640">
        <w:t>1</w:t>
      </w:r>
      <w:r w:rsidR="008417C0">
        <w:t xml:space="preserve"> hour of a </w:t>
      </w:r>
      <w:r w:rsidR="00CB4869">
        <w:t>practitioner’s</w:t>
      </w:r>
      <w:r w:rsidR="008417C0">
        <w:t xml:space="preserve"> time per report</w:t>
      </w:r>
      <w:r w:rsidR="00CB4869">
        <w:t xml:space="preserve">. </w:t>
      </w:r>
      <w:r w:rsidR="001071FA">
        <w:t xml:space="preserve">As we have noted in the preamble to the final rule, we do not believe that </w:t>
      </w:r>
      <w:r w:rsidR="00160804">
        <w:t>applicants or nonapplicants</w:t>
      </w:r>
      <w:r w:rsidR="002E2737">
        <w:t xml:space="preserve"> will need to</w:t>
      </w:r>
      <w:r w:rsidR="00160804">
        <w:t xml:space="preserve"> utilize staff with medical expertise in preparing AERs for </w:t>
      </w:r>
      <w:r w:rsidR="00B042CA">
        <w:t>DMGs</w:t>
      </w:r>
      <w:r w:rsidR="00160804">
        <w:t xml:space="preserve">. </w:t>
      </w:r>
      <w:r w:rsidRPr="00160804" w:rsidR="00160804">
        <w:t xml:space="preserve">Therefore, the 1 hour of practitioner’s time is not applicable to </w:t>
      </w:r>
      <w:r w:rsidR="00B042CA">
        <w:t>DMG</w:t>
      </w:r>
      <w:r w:rsidRPr="00160804" w:rsidR="00160804">
        <w:t xml:space="preserve"> safety reporting.</w:t>
      </w:r>
      <w:r w:rsidR="00160804">
        <w:t xml:space="preserve"> </w:t>
      </w:r>
      <w:r w:rsidR="00A81201">
        <w:t xml:space="preserve"> </w:t>
      </w:r>
    </w:p>
    <w:p w:rsidR="00BE7926" w:rsidP="000659AD" w14:paraId="54E1216D" w14:textId="0CBF3201">
      <w:pPr>
        <w:ind w:firstLine="720"/>
        <w:rPr>
          <w:b/>
          <w:bCs/>
        </w:rPr>
      </w:pPr>
      <w:r>
        <w:t xml:space="preserve">To estimate the burden for professional time we use the </w:t>
      </w:r>
      <w:r w:rsidR="003153D7">
        <w:t>2022</w:t>
      </w:r>
      <w:r>
        <w:t xml:space="preserve"> wage rate for </w:t>
      </w:r>
      <w:r w:rsidRPr="00AC650D" w:rsidR="00AC650D">
        <w:t>Business Operations Specialists</w:t>
      </w:r>
      <w:r w:rsidR="00AC650D">
        <w:t xml:space="preserve"> </w:t>
      </w:r>
      <w:r>
        <w:t>and double it</w:t>
      </w:r>
      <w:r w:rsidRPr="00311C21">
        <w:t xml:space="preserve"> for a </w:t>
      </w:r>
      <w:r>
        <w:t>fully-loaded</w:t>
      </w:r>
      <w:r w:rsidRPr="00311C21">
        <w:t xml:space="preserve"> wage rate of $</w:t>
      </w:r>
      <w:r w:rsidR="00AC650D">
        <w:t>91.10</w:t>
      </w:r>
      <w:r w:rsidRPr="00C82105">
        <w:t>.</w:t>
      </w:r>
      <w:r>
        <w:t xml:space="preserve"> Under these assumptions the cost</w:t>
      </w:r>
      <w:r w:rsidR="00724640">
        <w:t xml:space="preserve"> to prepare an</w:t>
      </w:r>
      <w:r>
        <w:t xml:space="preserve"> AER for animals from </w:t>
      </w:r>
      <w:r w:rsidR="000B004F">
        <w:t>applicants and nonapplicants</w:t>
      </w:r>
      <w:r>
        <w:rPr>
          <w:rFonts w:eastAsia="Times New Roman"/>
        </w:rPr>
        <w:t xml:space="preserve"> of medical gases </w:t>
      </w:r>
      <w:r w:rsidR="001940B0">
        <w:rPr>
          <w:rFonts w:eastAsia="Times New Roman"/>
        </w:rPr>
        <w:t>will</w:t>
      </w:r>
      <w:r>
        <w:rPr>
          <w:rFonts w:eastAsia="Times New Roman"/>
        </w:rPr>
        <w:t xml:space="preserve"> </w:t>
      </w:r>
      <w:r w:rsidR="00AC650D">
        <w:rPr>
          <w:rFonts w:eastAsia="Times New Roman"/>
        </w:rPr>
        <w:t>range from</w:t>
      </w:r>
      <w:r w:rsidR="00724640">
        <w:rPr>
          <w:rFonts w:eastAsia="Times New Roman"/>
        </w:rPr>
        <w:t xml:space="preserve"> $</w:t>
      </w:r>
      <w:r w:rsidR="00AC650D">
        <w:rPr>
          <w:rFonts w:eastAsia="Times New Roman"/>
        </w:rPr>
        <w:t>182.20 to $364.40 with a primary estimate of $273.30</w:t>
      </w:r>
      <w:r w:rsidR="00724640">
        <w:rPr>
          <w:rFonts w:eastAsia="Times New Roman"/>
        </w:rPr>
        <w:t xml:space="preserve">. </w:t>
      </w:r>
      <w:r w:rsidR="00724640">
        <w:t xml:space="preserve">The total </w:t>
      </w:r>
      <w:r w:rsidR="00724640">
        <w:t>ongoing costs range from $</w:t>
      </w:r>
      <w:r w:rsidR="00AC650D">
        <w:t>911</w:t>
      </w:r>
      <w:r w:rsidR="00724640">
        <w:t xml:space="preserve"> to $</w:t>
      </w:r>
      <w:r w:rsidR="00AC650D">
        <w:t>3,644</w:t>
      </w:r>
      <w:r w:rsidR="00724640">
        <w:t xml:space="preserve"> with a primary estimate of $</w:t>
      </w:r>
      <w:r w:rsidR="00AC650D">
        <w:t>2,050</w:t>
      </w:r>
      <w:r w:rsidR="00724640">
        <w:t>.</w:t>
      </w:r>
      <w:r w:rsidR="002C1752">
        <w:t xml:space="preserve"> These estimates are reported in </w:t>
      </w:r>
      <w:r w:rsidRPr="00FC2612" w:rsidR="00FC2612">
        <w:fldChar w:fldCharType="begin"/>
      </w:r>
      <w:r w:rsidRPr="00FC2612" w:rsidR="00FC2612">
        <w:instrText xml:space="preserve"> REF _Ref132015919 \h </w:instrText>
      </w:r>
      <w:r w:rsidRPr="004848C7" w:rsidR="00FC2612">
        <w:instrText xml:space="preserve"> \* MERGEFORMAT </w:instrText>
      </w:r>
      <w:r w:rsidRPr="00FC2612" w:rsidR="00FC2612">
        <w:fldChar w:fldCharType="separate"/>
      </w:r>
      <w:r w:rsidRPr="004848C7" w:rsidR="00FC2612">
        <w:t xml:space="preserve">Table </w:t>
      </w:r>
      <w:r w:rsidRPr="004848C7" w:rsidR="00FC2612">
        <w:rPr>
          <w:noProof/>
        </w:rPr>
        <w:t>21</w:t>
      </w:r>
      <w:r w:rsidRPr="00FC2612" w:rsidR="00FC2612">
        <w:fldChar w:fldCharType="end"/>
      </w:r>
      <w:r w:rsidR="002C1752">
        <w:t>.</w:t>
      </w:r>
      <w:bookmarkStart w:id="122" w:name="_Ref132015919"/>
    </w:p>
    <w:p w:rsidR="00857DCC" w:rsidRPr="003B7206" w:rsidP="003B7206" w14:paraId="56C1E8F0" w14:textId="1A865F21">
      <w:pPr>
        <w:pStyle w:val="Caption"/>
        <w:rPr>
          <w:rFonts w:eastAsia="Times New Roman"/>
          <w:b/>
          <w:bCs/>
          <w:color w:val="000000"/>
          <w:sz w:val="22"/>
          <w:szCs w:val="22"/>
        </w:rPr>
      </w:pPr>
      <w:bookmarkStart w:id="123" w:name="_Toc147238765"/>
      <w:r w:rsidRPr="003B7206">
        <w:rPr>
          <w:b/>
          <w:bCs/>
        </w:rPr>
        <w:t xml:space="preserve">Table </w:t>
      </w:r>
      <w:r w:rsidRPr="003B7206">
        <w:rPr>
          <w:b/>
          <w:bCs/>
        </w:rPr>
        <w:fldChar w:fldCharType="begin"/>
      </w:r>
      <w:r w:rsidRPr="003B7206">
        <w:rPr>
          <w:b/>
          <w:bCs/>
        </w:rPr>
        <w:instrText xml:space="preserve"> SEQ Table \* ARABIC </w:instrText>
      </w:r>
      <w:r w:rsidRPr="003B7206">
        <w:rPr>
          <w:b/>
          <w:bCs/>
        </w:rPr>
        <w:fldChar w:fldCharType="separate"/>
      </w:r>
      <w:r w:rsidR="0011482F">
        <w:rPr>
          <w:b/>
          <w:bCs/>
          <w:noProof/>
        </w:rPr>
        <w:t>21</w:t>
      </w:r>
      <w:r w:rsidRPr="003B7206">
        <w:rPr>
          <w:b/>
          <w:bCs/>
        </w:rPr>
        <w:fldChar w:fldCharType="end"/>
      </w:r>
      <w:bookmarkEnd w:id="122"/>
      <w:r w:rsidRPr="003B7206">
        <w:rPr>
          <w:b/>
          <w:bCs/>
        </w:rPr>
        <w:t xml:space="preserve">. </w:t>
      </w:r>
      <w:r w:rsidRPr="002C1752">
        <w:rPr>
          <w:b/>
          <w:bCs/>
        </w:rPr>
        <w:t>Adverse Event Reports for Animals</w:t>
      </w:r>
      <w:bookmarkEnd w:id="123"/>
      <w:r w:rsidRPr="002C1752">
        <w:rPr>
          <w:b/>
          <w:bCs/>
        </w:rPr>
        <w:t xml:space="preserve"> </w:t>
      </w:r>
    </w:p>
    <w:tbl>
      <w:tblPr>
        <w:tblW w:w="5000" w:type="pct"/>
        <w:tblLayout w:type="fixed"/>
        <w:tblLook w:val="04A0"/>
      </w:tblPr>
      <w:tblGrid>
        <w:gridCol w:w="4246"/>
        <w:gridCol w:w="1701"/>
        <w:gridCol w:w="1701"/>
        <w:gridCol w:w="1702"/>
      </w:tblGrid>
      <w:tr w14:paraId="75B49EE1" w14:textId="77777777" w:rsidTr="00792F32">
        <w:tblPrEx>
          <w:tblW w:w="5000" w:type="pct"/>
          <w:tblLayout w:type="fixed"/>
          <w:tblLook w:val="04A0"/>
        </w:tblPrEx>
        <w:trPr>
          <w:trHeight w:val="216"/>
        </w:trPr>
        <w:tc>
          <w:tcPr>
            <w:tcW w:w="4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54B22" w:rsidRPr="00AC2CB0" w:rsidP="00D54B22" w14:paraId="58B7423C" w14:textId="77777777">
            <w:pPr>
              <w:spacing w:after="0"/>
              <w:rPr>
                <w:rFonts w:eastAsia="Times New Roman"/>
                <w:b/>
                <w:bCs/>
                <w:color w:val="000000"/>
                <w:sz w:val="22"/>
                <w:szCs w:val="22"/>
              </w:rPr>
            </w:pPr>
            <w:r w:rsidRPr="00AC2CB0">
              <w:rPr>
                <w:rFonts w:eastAsia="Times New Roman"/>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54B22" w:rsidRPr="00AC2CB0" w:rsidP="00AC2CB0" w14:paraId="0974E485" w14:textId="77777777">
            <w:pPr>
              <w:spacing w:after="0"/>
              <w:jc w:val="center"/>
              <w:rPr>
                <w:rFonts w:eastAsia="Times New Roman"/>
                <w:b/>
                <w:bCs/>
                <w:color w:val="000000"/>
                <w:sz w:val="22"/>
                <w:szCs w:val="22"/>
              </w:rPr>
            </w:pPr>
            <w:r w:rsidRPr="00AC2CB0">
              <w:rPr>
                <w:rFonts w:eastAsia="Times New Roman"/>
                <w:b/>
                <w:bCs/>
                <w:color w:val="000000"/>
                <w:sz w:val="22"/>
                <w:szCs w:val="22"/>
              </w:rPr>
              <w:t>Low</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54B22" w:rsidRPr="00AC2CB0" w:rsidP="00AC2CB0" w14:paraId="646F8B4B" w14:textId="77777777">
            <w:pPr>
              <w:spacing w:after="0"/>
              <w:jc w:val="center"/>
              <w:rPr>
                <w:rFonts w:eastAsia="Times New Roman"/>
                <w:b/>
                <w:bCs/>
                <w:color w:val="000000"/>
                <w:sz w:val="22"/>
                <w:szCs w:val="22"/>
              </w:rPr>
            </w:pPr>
            <w:r w:rsidRPr="00AC2CB0">
              <w:rPr>
                <w:rFonts w:eastAsia="Times New Roman"/>
                <w:b/>
                <w:bCs/>
                <w:color w:val="000000"/>
                <w:sz w:val="22"/>
                <w:szCs w:val="22"/>
              </w:rPr>
              <w:t>Primary</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54B22" w:rsidRPr="00AC2CB0" w:rsidP="00AC2CB0" w14:paraId="263FB94E" w14:textId="77777777">
            <w:pPr>
              <w:spacing w:after="0"/>
              <w:jc w:val="center"/>
              <w:rPr>
                <w:rFonts w:eastAsia="Times New Roman"/>
                <w:b/>
                <w:bCs/>
                <w:color w:val="000000"/>
                <w:sz w:val="22"/>
                <w:szCs w:val="22"/>
              </w:rPr>
            </w:pPr>
            <w:r w:rsidRPr="00AC2CB0">
              <w:rPr>
                <w:rFonts w:eastAsia="Times New Roman"/>
                <w:b/>
                <w:bCs/>
                <w:color w:val="000000"/>
                <w:sz w:val="22"/>
                <w:szCs w:val="22"/>
              </w:rPr>
              <w:t>High</w:t>
            </w:r>
          </w:p>
        </w:tc>
      </w:tr>
      <w:tr w14:paraId="0ECDA945" w14:textId="77777777" w:rsidTr="00792F32">
        <w:tblPrEx>
          <w:tblW w:w="5000" w:type="pct"/>
          <w:tblLayout w:type="fixed"/>
          <w:tblLook w:val="04A0"/>
        </w:tblPrEx>
        <w:trPr>
          <w:trHeight w:val="216"/>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D54B22" w:rsidRPr="00AC2CB0" w:rsidP="00D54B22" w14:paraId="2D400AC3" w14:textId="77777777">
            <w:pPr>
              <w:spacing w:after="0"/>
              <w:rPr>
                <w:rFonts w:eastAsia="Times New Roman"/>
                <w:color w:val="000000"/>
                <w:sz w:val="22"/>
                <w:szCs w:val="22"/>
              </w:rPr>
            </w:pPr>
            <w:r w:rsidRPr="00AC2CB0">
              <w:rPr>
                <w:rFonts w:eastAsia="Times New Roman"/>
                <w:color w:val="000000"/>
                <w:sz w:val="22"/>
                <w:szCs w:val="22"/>
              </w:rPr>
              <w:t>Number of added adverse event reports</w:t>
            </w:r>
          </w:p>
        </w:tc>
        <w:tc>
          <w:tcPr>
            <w:tcW w:w="1701"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0CE99969" w14:textId="77777777">
            <w:pPr>
              <w:spacing w:after="0"/>
              <w:jc w:val="center"/>
              <w:rPr>
                <w:rFonts w:eastAsia="Times New Roman"/>
                <w:color w:val="000000"/>
                <w:sz w:val="22"/>
                <w:szCs w:val="22"/>
              </w:rPr>
            </w:pPr>
            <w:r w:rsidRPr="00AC2CB0">
              <w:rPr>
                <w:rFonts w:eastAsia="Times New Roman"/>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78AEF7F4" w14:textId="77777777">
            <w:pPr>
              <w:spacing w:after="0"/>
              <w:jc w:val="center"/>
              <w:rPr>
                <w:rFonts w:eastAsia="Times New Roman"/>
                <w:color w:val="000000"/>
                <w:sz w:val="22"/>
                <w:szCs w:val="22"/>
              </w:rPr>
            </w:pPr>
            <w:r w:rsidRPr="00AC2CB0">
              <w:rPr>
                <w:rFonts w:eastAsia="Times New Roman"/>
                <w:color w:val="000000"/>
                <w:sz w:val="22"/>
                <w:szCs w:val="22"/>
              </w:rPr>
              <w:t>7.5</w:t>
            </w:r>
          </w:p>
        </w:tc>
        <w:tc>
          <w:tcPr>
            <w:tcW w:w="1702"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6B6B4F4A" w14:textId="77777777">
            <w:pPr>
              <w:spacing w:after="0"/>
              <w:jc w:val="center"/>
              <w:rPr>
                <w:rFonts w:eastAsia="Times New Roman"/>
                <w:color w:val="000000"/>
                <w:sz w:val="22"/>
                <w:szCs w:val="22"/>
              </w:rPr>
            </w:pPr>
            <w:r w:rsidRPr="00AC2CB0">
              <w:rPr>
                <w:rFonts w:eastAsia="Times New Roman"/>
                <w:color w:val="000000"/>
                <w:sz w:val="22"/>
                <w:szCs w:val="22"/>
              </w:rPr>
              <w:t>10</w:t>
            </w:r>
          </w:p>
        </w:tc>
      </w:tr>
      <w:tr w14:paraId="4E590A04" w14:textId="77777777" w:rsidTr="00792F32">
        <w:tblPrEx>
          <w:tblW w:w="5000" w:type="pct"/>
          <w:tblLayout w:type="fixed"/>
          <w:tblLook w:val="04A0"/>
        </w:tblPrEx>
        <w:trPr>
          <w:trHeight w:val="216"/>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D54B22" w:rsidRPr="00AC2CB0" w:rsidP="00D54B22" w14:paraId="02E37863" w14:textId="31DBC3A3">
            <w:pPr>
              <w:spacing w:after="0"/>
              <w:rPr>
                <w:rFonts w:eastAsia="Times New Roman"/>
                <w:color w:val="000000"/>
                <w:sz w:val="22"/>
                <w:szCs w:val="22"/>
              </w:rPr>
            </w:pPr>
            <w:r w:rsidRPr="00AC2CB0">
              <w:rPr>
                <w:rFonts w:eastAsia="Times New Roman"/>
                <w:color w:val="000000"/>
                <w:sz w:val="22"/>
                <w:szCs w:val="22"/>
              </w:rPr>
              <w:t>Time per adverse event report</w:t>
            </w:r>
          </w:p>
        </w:tc>
        <w:tc>
          <w:tcPr>
            <w:tcW w:w="1701"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6B8E29E8" w14:textId="77777777">
            <w:pPr>
              <w:spacing w:after="0"/>
              <w:jc w:val="center"/>
              <w:rPr>
                <w:rFonts w:eastAsia="Times New Roman"/>
                <w:color w:val="000000"/>
                <w:sz w:val="22"/>
                <w:szCs w:val="22"/>
              </w:rPr>
            </w:pPr>
            <w:r w:rsidRPr="00AC2CB0">
              <w:rPr>
                <w:rFonts w:eastAsia="Times New Roman"/>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47EA8F1C" w14:textId="77777777">
            <w:pPr>
              <w:spacing w:after="0"/>
              <w:jc w:val="center"/>
              <w:rPr>
                <w:rFonts w:eastAsia="Times New Roman"/>
                <w:color w:val="000000"/>
                <w:sz w:val="22"/>
                <w:szCs w:val="22"/>
              </w:rPr>
            </w:pPr>
            <w:r w:rsidRPr="00AC2CB0">
              <w:rPr>
                <w:rFonts w:eastAsia="Times New Roman"/>
                <w:color w:val="000000"/>
                <w:sz w:val="22"/>
                <w:szCs w:val="22"/>
              </w:rPr>
              <w:t>4</w:t>
            </w:r>
          </w:p>
        </w:tc>
        <w:tc>
          <w:tcPr>
            <w:tcW w:w="1702" w:type="dxa"/>
            <w:tcBorders>
              <w:top w:val="nil"/>
              <w:left w:val="nil"/>
              <w:bottom w:val="single" w:sz="4" w:space="0" w:color="auto"/>
              <w:right w:val="single" w:sz="4" w:space="0" w:color="auto"/>
            </w:tcBorders>
            <w:shd w:val="clear" w:color="auto" w:fill="auto"/>
            <w:noWrap/>
            <w:vAlign w:val="bottom"/>
            <w:hideMark/>
          </w:tcPr>
          <w:p w:rsidR="00D54B22" w:rsidRPr="00AC2CB0" w:rsidP="00AC2CB0" w14:paraId="0C81103F" w14:textId="77777777">
            <w:pPr>
              <w:spacing w:after="0"/>
              <w:jc w:val="center"/>
              <w:rPr>
                <w:rFonts w:eastAsia="Times New Roman"/>
                <w:color w:val="000000"/>
                <w:sz w:val="22"/>
                <w:szCs w:val="22"/>
              </w:rPr>
            </w:pPr>
            <w:r w:rsidRPr="00AC2CB0">
              <w:rPr>
                <w:rFonts w:eastAsia="Times New Roman"/>
                <w:color w:val="000000"/>
                <w:sz w:val="22"/>
                <w:szCs w:val="22"/>
              </w:rPr>
              <w:t>4</w:t>
            </w:r>
          </w:p>
        </w:tc>
      </w:tr>
      <w:tr w14:paraId="424346D5" w14:textId="77777777" w:rsidTr="00792F32">
        <w:tblPrEx>
          <w:tblW w:w="5000" w:type="pct"/>
          <w:tblLayout w:type="fixed"/>
          <w:tblLook w:val="04A0"/>
        </w:tblPrEx>
        <w:trPr>
          <w:trHeight w:val="216"/>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AC650D" w:rsidRPr="00AC2CB0" w:rsidP="00AC650D" w14:paraId="1BCC61F8" w14:textId="56ED1510">
            <w:pPr>
              <w:spacing w:after="0"/>
              <w:rPr>
                <w:rFonts w:eastAsia="Times New Roman"/>
                <w:color w:val="000000"/>
                <w:sz w:val="22"/>
                <w:szCs w:val="22"/>
              </w:rPr>
            </w:pPr>
            <w:r w:rsidRPr="00AC2CB0">
              <w:rPr>
                <w:rFonts w:eastAsia="Times New Roman"/>
                <w:color w:val="000000"/>
                <w:sz w:val="22"/>
                <w:szCs w:val="22"/>
              </w:rPr>
              <w:t xml:space="preserve">Wage rate </w:t>
            </w:r>
            <w:r w:rsidR="0037751E">
              <w:rPr>
                <w:rFonts w:eastAsia="Times New Roman"/>
                <w:color w:val="000000"/>
                <w:sz w:val="22"/>
                <w:szCs w:val="22"/>
              </w:rPr>
              <w:t>(professional)</w:t>
            </w:r>
          </w:p>
        </w:tc>
        <w:tc>
          <w:tcPr>
            <w:tcW w:w="1701" w:type="dxa"/>
            <w:tcBorders>
              <w:top w:val="nil"/>
              <w:left w:val="nil"/>
              <w:bottom w:val="single" w:sz="4" w:space="0" w:color="auto"/>
              <w:right w:val="single" w:sz="4" w:space="0" w:color="auto"/>
            </w:tcBorders>
            <w:shd w:val="clear" w:color="auto" w:fill="auto"/>
            <w:noWrap/>
            <w:vAlign w:val="bottom"/>
            <w:hideMark/>
          </w:tcPr>
          <w:p w:rsidR="00AC650D" w:rsidRPr="00AC650D" w:rsidP="00AC650D" w14:paraId="0AD722D1" w14:textId="26A1D8FD">
            <w:pPr>
              <w:spacing w:after="0"/>
              <w:jc w:val="center"/>
              <w:rPr>
                <w:rFonts w:eastAsia="Times New Roman"/>
                <w:color w:val="000000"/>
                <w:sz w:val="22"/>
                <w:szCs w:val="22"/>
              </w:rPr>
            </w:pPr>
            <w:r w:rsidRPr="000659AD">
              <w:rPr>
                <w:color w:val="000000"/>
                <w:sz w:val="22"/>
                <w:szCs w:val="22"/>
              </w:rPr>
              <w:t>$91.10</w:t>
            </w:r>
          </w:p>
        </w:tc>
        <w:tc>
          <w:tcPr>
            <w:tcW w:w="1701" w:type="dxa"/>
            <w:tcBorders>
              <w:top w:val="nil"/>
              <w:left w:val="nil"/>
              <w:bottom w:val="single" w:sz="4" w:space="0" w:color="auto"/>
              <w:right w:val="single" w:sz="4" w:space="0" w:color="auto"/>
            </w:tcBorders>
            <w:shd w:val="clear" w:color="auto" w:fill="auto"/>
            <w:noWrap/>
            <w:vAlign w:val="bottom"/>
            <w:hideMark/>
          </w:tcPr>
          <w:p w:rsidR="00AC650D" w:rsidRPr="00AC650D" w:rsidP="00AC650D" w14:paraId="7A5F567B" w14:textId="7C5C85D8">
            <w:pPr>
              <w:spacing w:after="0"/>
              <w:jc w:val="center"/>
              <w:rPr>
                <w:rFonts w:eastAsia="Times New Roman"/>
                <w:color w:val="000000"/>
                <w:sz w:val="22"/>
                <w:szCs w:val="22"/>
              </w:rPr>
            </w:pPr>
            <w:r w:rsidRPr="000659AD">
              <w:rPr>
                <w:color w:val="000000"/>
                <w:sz w:val="22"/>
                <w:szCs w:val="22"/>
              </w:rPr>
              <w:t>$91.10</w:t>
            </w:r>
          </w:p>
        </w:tc>
        <w:tc>
          <w:tcPr>
            <w:tcW w:w="1702" w:type="dxa"/>
            <w:tcBorders>
              <w:top w:val="nil"/>
              <w:left w:val="nil"/>
              <w:bottom w:val="single" w:sz="4" w:space="0" w:color="auto"/>
              <w:right w:val="single" w:sz="4" w:space="0" w:color="auto"/>
            </w:tcBorders>
            <w:shd w:val="clear" w:color="auto" w:fill="auto"/>
            <w:noWrap/>
            <w:vAlign w:val="bottom"/>
            <w:hideMark/>
          </w:tcPr>
          <w:p w:rsidR="00AC650D" w:rsidRPr="00AC650D" w:rsidP="00AC650D" w14:paraId="3685B37B" w14:textId="64F2453A">
            <w:pPr>
              <w:spacing w:after="0"/>
              <w:jc w:val="center"/>
              <w:rPr>
                <w:rFonts w:eastAsia="Times New Roman"/>
                <w:color w:val="000000"/>
                <w:sz w:val="22"/>
                <w:szCs w:val="22"/>
              </w:rPr>
            </w:pPr>
            <w:r w:rsidRPr="000659AD">
              <w:rPr>
                <w:color w:val="000000"/>
                <w:sz w:val="22"/>
                <w:szCs w:val="22"/>
              </w:rPr>
              <w:t>$91.10</w:t>
            </w:r>
          </w:p>
        </w:tc>
      </w:tr>
      <w:tr w14:paraId="62FBBDA6" w14:textId="77777777" w:rsidTr="00792F32">
        <w:tblPrEx>
          <w:tblW w:w="5000" w:type="pct"/>
          <w:tblLayout w:type="fixed"/>
          <w:tblLook w:val="04A0"/>
        </w:tblPrEx>
        <w:trPr>
          <w:trHeight w:val="216"/>
        </w:trPr>
        <w:tc>
          <w:tcPr>
            <w:tcW w:w="4246"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01F61" w:rsidRPr="00AC2CB0" w:rsidP="00D54B22" w14:paraId="5720AD47" w14:textId="682281FE">
            <w:pPr>
              <w:spacing w:after="0"/>
              <w:rPr>
                <w:rFonts w:eastAsia="Times New Roman"/>
                <w:b/>
                <w:color w:val="000000"/>
                <w:sz w:val="22"/>
                <w:szCs w:val="22"/>
              </w:rPr>
            </w:pPr>
            <w:r w:rsidRPr="00AC2CB0">
              <w:rPr>
                <w:rFonts w:eastAsia="Times New Roman"/>
                <w:b/>
                <w:color w:val="000000"/>
                <w:sz w:val="22"/>
                <w:szCs w:val="22"/>
              </w:rPr>
              <w:t>Ongoing cost</w:t>
            </w:r>
            <w:r w:rsidR="008A582B">
              <w:rPr>
                <w:rFonts w:eastAsia="Times New Roman"/>
                <w:b/>
                <w:color w:val="000000"/>
                <w:sz w:val="22"/>
                <w:szCs w:val="22"/>
              </w:rPr>
              <w:t>s</w:t>
            </w:r>
            <w:r w:rsidRPr="00AC2CB0">
              <w:rPr>
                <w:rFonts w:eastAsia="Times New Roman"/>
                <w:b/>
                <w:color w:val="000000"/>
                <w:sz w:val="22"/>
                <w:szCs w:val="22"/>
              </w:rPr>
              <w:t xml:space="preserve"> </w:t>
            </w:r>
          </w:p>
        </w:tc>
        <w:tc>
          <w:tcPr>
            <w:tcW w:w="1701" w:type="dxa"/>
            <w:tcBorders>
              <w:top w:val="nil"/>
              <w:left w:val="nil"/>
              <w:bottom w:val="single" w:sz="4" w:space="0" w:color="auto"/>
              <w:right w:val="single" w:sz="4" w:space="0" w:color="auto"/>
            </w:tcBorders>
            <w:shd w:val="clear" w:color="auto" w:fill="BFBFBF" w:themeFill="background1" w:themeFillShade="BF"/>
            <w:noWrap/>
            <w:vAlign w:val="bottom"/>
          </w:tcPr>
          <w:p w:rsidR="00301F61" w:rsidRPr="00AC2CB0" w:rsidP="00AC2CB0" w14:paraId="1BA46E9D" w14:textId="77777777">
            <w:pPr>
              <w:spacing w:after="0"/>
              <w:jc w:val="center"/>
              <w:rPr>
                <w:rFonts w:eastAsia="Times New Roman"/>
                <w:b/>
                <w:color w:val="000000"/>
                <w:sz w:val="22"/>
                <w:szCs w:val="22"/>
              </w:rPr>
            </w:pPr>
          </w:p>
        </w:tc>
        <w:tc>
          <w:tcPr>
            <w:tcW w:w="1701" w:type="dxa"/>
            <w:tcBorders>
              <w:top w:val="nil"/>
              <w:left w:val="nil"/>
              <w:bottom w:val="single" w:sz="4" w:space="0" w:color="auto"/>
              <w:right w:val="single" w:sz="4" w:space="0" w:color="auto"/>
            </w:tcBorders>
            <w:shd w:val="clear" w:color="auto" w:fill="BFBFBF" w:themeFill="background1" w:themeFillShade="BF"/>
            <w:noWrap/>
            <w:vAlign w:val="bottom"/>
          </w:tcPr>
          <w:p w:rsidR="00301F61" w:rsidRPr="00AC2CB0" w:rsidP="00AC2CB0" w14:paraId="0E342D24" w14:textId="77777777">
            <w:pPr>
              <w:spacing w:after="0"/>
              <w:jc w:val="center"/>
              <w:rPr>
                <w:rFonts w:eastAsia="Times New Roman"/>
                <w:b/>
                <w:color w:val="000000"/>
                <w:sz w:val="22"/>
                <w:szCs w:val="22"/>
              </w:rPr>
            </w:pPr>
          </w:p>
        </w:tc>
        <w:tc>
          <w:tcPr>
            <w:tcW w:w="1702" w:type="dxa"/>
            <w:tcBorders>
              <w:top w:val="nil"/>
              <w:left w:val="nil"/>
              <w:bottom w:val="single" w:sz="4" w:space="0" w:color="auto"/>
              <w:right w:val="single" w:sz="4" w:space="0" w:color="auto"/>
            </w:tcBorders>
            <w:shd w:val="clear" w:color="auto" w:fill="BFBFBF" w:themeFill="background1" w:themeFillShade="BF"/>
            <w:noWrap/>
            <w:vAlign w:val="bottom"/>
          </w:tcPr>
          <w:p w:rsidR="00301F61" w:rsidRPr="00AC2CB0" w:rsidP="00AC2CB0" w14:paraId="02B48916" w14:textId="77777777">
            <w:pPr>
              <w:spacing w:after="0"/>
              <w:jc w:val="center"/>
              <w:rPr>
                <w:rFonts w:eastAsia="Times New Roman"/>
                <w:b/>
                <w:color w:val="000000"/>
                <w:sz w:val="22"/>
                <w:szCs w:val="22"/>
              </w:rPr>
            </w:pPr>
          </w:p>
        </w:tc>
      </w:tr>
      <w:tr w14:paraId="2D06C616" w14:textId="77777777" w:rsidTr="000659AD">
        <w:tblPrEx>
          <w:tblW w:w="5000" w:type="pct"/>
          <w:tblLayout w:type="fixed"/>
          <w:tblLook w:val="04A0"/>
        </w:tblPrEx>
        <w:trPr>
          <w:trHeight w:val="216"/>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AC650D" w:rsidRPr="00AC2CB0" w:rsidP="00AC650D" w14:paraId="28399A6B" w14:textId="19957177">
            <w:pPr>
              <w:spacing w:after="0"/>
              <w:rPr>
                <w:rFonts w:eastAsia="Times New Roman"/>
                <w:color w:val="000000"/>
                <w:sz w:val="22"/>
                <w:szCs w:val="22"/>
              </w:rPr>
            </w:pPr>
            <w:r>
              <w:rPr>
                <w:rFonts w:eastAsia="Times New Roman"/>
                <w:color w:val="000000"/>
                <w:sz w:val="22"/>
                <w:szCs w:val="22"/>
              </w:rPr>
              <w:t>Cost AERs for animals</w:t>
            </w:r>
          </w:p>
        </w:tc>
        <w:tc>
          <w:tcPr>
            <w:tcW w:w="1701" w:type="dxa"/>
            <w:tcBorders>
              <w:top w:val="nil"/>
              <w:left w:val="nil"/>
              <w:bottom w:val="single" w:sz="4" w:space="0" w:color="auto"/>
              <w:right w:val="single" w:sz="4" w:space="0" w:color="auto"/>
            </w:tcBorders>
            <w:shd w:val="clear" w:color="auto" w:fill="auto"/>
            <w:noWrap/>
            <w:hideMark/>
          </w:tcPr>
          <w:p w:rsidR="00AC650D" w:rsidRPr="00AC650D" w:rsidP="00AC650D" w14:paraId="44E5B251" w14:textId="3D56A786">
            <w:pPr>
              <w:spacing w:after="0"/>
              <w:jc w:val="center"/>
              <w:rPr>
                <w:rFonts w:eastAsia="Times New Roman"/>
                <w:color w:val="000000"/>
                <w:sz w:val="22"/>
                <w:szCs w:val="22"/>
              </w:rPr>
            </w:pPr>
            <w:r w:rsidRPr="000659AD">
              <w:rPr>
                <w:sz w:val="22"/>
                <w:szCs w:val="22"/>
              </w:rPr>
              <w:t>$911.00</w:t>
            </w:r>
          </w:p>
        </w:tc>
        <w:tc>
          <w:tcPr>
            <w:tcW w:w="1701" w:type="dxa"/>
            <w:tcBorders>
              <w:top w:val="nil"/>
              <w:left w:val="nil"/>
              <w:bottom w:val="single" w:sz="4" w:space="0" w:color="auto"/>
              <w:right w:val="single" w:sz="4" w:space="0" w:color="auto"/>
            </w:tcBorders>
            <w:shd w:val="clear" w:color="auto" w:fill="auto"/>
            <w:noWrap/>
            <w:hideMark/>
          </w:tcPr>
          <w:p w:rsidR="00AC650D" w:rsidRPr="00AC650D" w:rsidP="00AC650D" w14:paraId="3AF6B726" w14:textId="40659745">
            <w:pPr>
              <w:spacing w:after="0"/>
              <w:jc w:val="center"/>
              <w:rPr>
                <w:rFonts w:eastAsia="Times New Roman"/>
                <w:color w:val="000000"/>
                <w:sz w:val="22"/>
                <w:szCs w:val="22"/>
              </w:rPr>
            </w:pPr>
            <w:r w:rsidRPr="000659AD">
              <w:rPr>
                <w:sz w:val="22"/>
                <w:szCs w:val="22"/>
              </w:rPr>
              <w:t>$2,049.75</w:t>
            </w:r>
          </w:p>
        </w:tc>
        <w:tc>
          <w:tcPr>
            <w:tcW w:w="1702" w:type="dxa"/>
            <w:tcBorders>
              <w:top w:val="nil"/>
              <w:left w:val="nil"/>
              <w:bottom w:val="single" w:sz="4" w:space="0" w:color="auto"/>
              <w:right w:val="single" w:sz="4" w:space="0" w:color="auto"/>
            </w:tcBorders>
            <w:shd w:val="clear" w:color="auto" w:fill="auto"/>
            <w:noWrap/>
            <w:hideMark/>
          </w:tcPr>
          <w:p w:rsidR="00AC650D" w:rsidRPr="00AC650D" w:rsidP="00AC650D" w14:paraId="25DD11F6" w14:textId="146918DF">
            <w:pPr>
              <w:spacing w:after="0"/>
              <w:jc w:val="center"/>
              <w:rPr>
                <w:rFonts w:eastAsia="Times New Roman"/>
                <w:color w:val="000000"/>
                <w:sz w:val="22"/>
                <w:szCs w:val="22"/>
              </w:rPr>
            </w:pPr>
            <w:r w:rsidRPr="000659AD">
              <w:rPr>
                <w:sz w:val="22"/>
                <w:szCs w:val="22"/>
              </w:rPr>
              <w:t>$3,644.00</w:t>
            </w:r>
          </w:p>
        </w:tc>
      </w:tr>
    </w:tbl>
    <w:p w:rsidR="00D54B22" w:rsidP="00A3474B" w14:paraId="577A4CAE" w14:textId="5CE0C07D">
      <w:pPr>
        <w:pStyle w:val="BodyTextFirstIndent"/>
        <w:ind w:firstLine="0"/>
      </w:pPr>
    </w:p>
    <w:p w:rsidR="005713BD" w:rsidP="00A3474B" w14:paraId="35455C25" w14:textId="40ECBE06">
      <w:pPr>
        <w:pStyle w:val="BodyTextFirstIndent"/>
        <w:ind w:firstLine="0"/>
      </w:pPr>
    </w:p>
    <w:p w:rsidR="00A3474B" w:rsidP="00482C04" w14:paraId="16E3F7B7" w14:textId="0F7FFB3D">
      <w:pPr>
        <w:pStyle w:val="Heading3"/>
      </w:pPr>
      <w:bookmarkStart w:id="124" w:name="_Toc148515742"/>
      <w:r>
        <w:t>Certification</w:t>
      </w:r>
      <w:r w:rsidR="00C738E4">
        <w:t xml:space="preserve"> Costs</w:t>
      </w:r>
      <w:bookmarkEnd w:id="124"/>
    </w:p>
    <w:p w:rsidR="00857DCC" w:rsidRPr="00857DCC" w:rsidP="00A242BA" w14:paraId="1855117A" w14:textId="77777777"/>
    <w:p w:rsidR="00C738E4" w:rsidP="00AC2CB0" w14:paraId="7116E1C5" w14:textId="22FF2401">
      <w:pPr>
        <w:pStyle w:val="Heading4"/>
        <w:numPr>
          <w:ilvl w:val="0"/>
          <w:numId w:val="64"/>
        </w:numPr>
      </w:pPr>
      <w:bookmarkStart w:id="125" w:name="_Toc148515743"/>
      <w:r w:rsidRPr="00A242BA">
        <w:t>Submission for a Certification Request</w:t>
      </w:r>
      <w:bookmarkEnd w:id="125"/>
    </w:p>
    <w:p w:rsidR="00A479E3" w:rsidP="00236046" w14:paraId="100B0F3B" w14:textId="345CFD4F">
      <w:r>
        <w:rPr>
          <w:i/>
        </w:rPr>
        <w:tab/>
      </w:r>
      <w:r>
        <w:t xml:space="preserve">This </w:t>
      </w:r>
      <w:r w:rsidR="00615F3A">
        <w:t>final</w:t>
      </w:r>
      <w:r>
        <w:t xml:space="preserve"> rule </w:t>
      </w:r>
      <w:r>
        <w:rPr>
          <w:rFonts w:eastAsia="Times New Roman"/>
        </w:rPr>
        <w:t xml:space="preserve">outlines the requirements for submission of a certification request. </w:t>
      </w:r>
      <w:r w:rsidR="00FB10AA">
        <w:rPr>
          <w:rFonts w:eastAsia="Times New Roman"/>
        </w:rPr>
        <w:t>Recommendations for how to request a c</w:t>
      </w:r>
      <w:r>
        <w:rPr>
          <w:rFonts w:eastAsia="Times New Roman"/>
        </w:rPr>
        <w:t xml:space="preserve">ertification are currently included in </w:t>
      </w:r>
      <w:r>
        <w:t xml:space="preserve">the </w:t>
      </w:r>
      <w:r w:rsidR="00FC0AD0">
        <w:t xml:space="preserve">draft guidance for industry </w:t>
      </w:r>
      <w:r w:rsidRPr="3AE1EA29">
        <w:rPr>
          <w:i/>
          <w:iCs/>
        </w:rPr>
        <w:t>Certification Process for Designated Medical Gases</w:t>
      </w:r>
      <w:r w:rsidRPr="3AE1EA29" w:rsidR="4CF91CC3">
        <w:rPr>
          <w:i/>
          <w:iCs/>
        </w:rPr>
        <w:t>.</w:t>
      </w:r>
      <w:r>
        <w:rPr>
          <w:rStyle w:val="FootnoteReference"/>
        </w:rPr>
        <w:footnoteReference w:id="19"/>
      </w:r>
      <w:r>
        <w:t xml:space="preserve"> We have received </w:t>
      </w:r>
      <w:r w:rsidR="00F2325D">
        <w:t>9</w:t>
      </w:r>
      <w:r w:rsidR="00BD1488">
        <w:t>8</w:t>
      </w:r>
      <w:r>
        <w:t xml:space="preserve"> certification requests </w:t>
      </w:r>
      <w:r w:rsidR="00FE7BAE">
        <w:t>through the end of 2023</w:t>
      </w:r>
      <w:r>
        <w:t xml:space="preserve"> from </w:t>
      </w:r>
      <w:r w:rsidR="0075463E">
        <w:t>5</w:t>
      </w:r>
      <w:r w:rsidR="00757647">
        <w:t>7</w:t>
      </w:r>
      <w:r>
        <w:t xml:space="preserve"> distinct entities.</w:t>
      </w:r>
      <w:r>
        <w:rPr>
          <w:rStyle w:val="FootnoteReference"/>
        </w:rPr>
        <w:footnoteReference w:id="20"/>
      </w:r>
      <w:r>
        <w:t xml:space="preserve"> </w:t>
      </w:r>
      <w:r w:rsidR="00CA1CE4">
        <w:t>Based on the average receipts from 2018-2020</w:t>
      </w:r>
      <w:r w:rsidR="0092472C">
        <w:t>,</w:t>
      </w:r>
      <w:r w:rsidR="00CA1CE4">
        <w:t xml:space="preserve"> </w:t>
      </w:r>
      <w:r w:rsidR="00BF1A99">
        <w:t>SMEs</w:t>
      </w:r>
      <w:r>
        <w:t xml:space="preserve"> </w:t>
      </w:r>
      <w:r w:rsidR="00BF1A99">
        <w:t>estimate</w:t>
      </w:r>
      <w:r>
        <w:t xml:space="preserve"> that </w:t>
      </w:r>
      <w:r w:rsidR="00BF1A99">
        <w:t>5 additional</w:t>
      </w:r>
      <w:r>
        <w:t xml:space="preserve"> firms </w:t>
      </w:r>
      <w:r w:rsidR="001940B0">
        <w:t>will</w:t>
      </w:r>
      <w:r w:rsidR="00BF1A99">
        <w:t xml:space="preserve"> submit certification requests as a result of this rulemaking.</w:t>
      </w:r>
    </w:p>
    <w:p w:rsidR="00857DCC" w:rsidP="00236046" w14:paraId="281C2FF5" w14:textId="4FAD40C2">
      <w:pPr>
        <w:ind w:firstLine="720"/>
        <w:rPr>
          <w:rFonts w:eastAsia="Times New Roman"/>
        </w:rPr>
      </w:pPr>
      <w:r>
        <w:rPr>
          <w:rFonts w:eastAsia="Times New Roman"/>
        </w:rPr>
        <w:t>A certification request is</w:t>
      </w:r>
      <w:r w:rsidRPr="001C1370">
        <w:rPr>
          <w:rFonts w:eastAsia="Times New Roman"/>
        </w:rPr>
        <w:t xml:space="preserve"> a submission requesting to introduce or deliver </w:t>
      </w:r>
      <w:r w:rsidR="003F0776">
        <w:rPr>
          <w:rFonts w:eastAsia="Times New Roman"/>
        </w:rPr>
        <w:t xml:space="preserve">for introduction </w:t>
      </w:r>
      <w:r w:rsidRPr="001C1370">
        <w:rPr>
          <w:rFonts w:eastAsia="Times New Roman"/>
        </w:rPr>
        <w:t xml:space="preserve">into interstate commerce a </w:t>
      </w:r>
      <w:r w:rsidR="002039A7">
        <w:rPr>
          <w:rFonts w:eastAsia="Times New Roman"/>
        </w:rPr>
        <w:t>DMG</w:t>
      </w:r>
      <w:r w:rsidRPr="001C1370">
        <w:rPr>
          <w:rFonts w:eastAsia="Times New Roman"/>
        </w:rPr>
        <w:t>.</w:t>
      </w:r>
      <w:r>
        <w:rPr>
          <w:rFonts w:eastAsia="Times New Roman"/>
        </w:rPr>
        <w:t xml:space="preserve"> </w:t>
      </w:r>
      <w:r w:rsidRPr="001C1370">
        <w:rPr>
          <w:rFonts w:eastAsia="Times New Roman"/>
        </w:rPr>
        <w:t xml:space="preserve">Once a certification request is granted, a </w:t>
      </w:r>
      <w:r w:rsidR="002039A7">
        <w:rPr>
          <w:rFonts w:eastAsia="Times New Roman"/>
        </w:rPr>
        <w:t>DMG</w:t>
      </w:r>
      <w:r w:rsidRPr="001C1370">
        <w:rPr>
          <w:rFonts w:eastAsia="Times New Roman"/>
        </w:rPr>
        <w:t xml:space="preserve"> </w:t>
      </w:r>
      <w:r>
        <w:rPr>
          <w:rFonts w:eastAsia="Times New Roman"/>
        </w:rPr>
        <w:t>is deemed to have in effect</w:t>
      </w:r>
      <w:r w:rsidRPr="001C1370">
        <w:rPr>
          <w:rFonts w:eastAsia="Times New Roman"/>
        </w:rPr>
        <w:t xml:space="preserve"> an approved application</w:t>
      </w:r>
      <w:r>
        <w:rPr>
          <w:rFonts w:eastAsia="Times New Roman"/>
        </w:rPr>
        <w:t>.</w:t>
      </w:r>
      <w:r w:rsidR="00F85FC8">
        <w:rPr>
          <w:rFonts w:eastAsia="Times New Roman"/>
        </w:rPr>
        <w:t xml:space="preserve"> Manufacturers of DMG</w:t>
      </w:r>
      <w:r w:rsidR="00FC0AD0">
        <w:rPr>
          <w:rFonts w:eastAsia="Times New Roman"/>
        </w:rPr>
        <w:t>s</w:t>
      </w:r>
      <w:r w:rsidR="00F85FC8">
        <w:rPr>
          <w:rFonts w:eastAsia="Times New Roman"/>
        </w:rPr>
        <w:t xml:space="preserve"> </w:t>
      </w:r>
      <w:r w:rsidR="001940B0">
        <w:rPr>
          <w:rFonts w:eastAsia="Times New Roman"/>
        </w:rPr>
        <w:t>will</w:t>
      </w:r>
      <w:r w:rsidR="00F85FC8">
        <w:rPr>
          <w:rFonts w:eastAsia="Times New Roman"/>
        </w:rPr>
        <w:t xml:space="preserve"> be required to submit a certification request for each DMG that they produce. </w:t>
      </w:r>
      <w:bookmarkStart w:id="126" w:name="_Hlk33000930"/>
      <w:r w:rsidR="00F85FC8">
        <w:rPr>
          <w:rFonts w:eastAsia="Times New Roman"/>
        </w:rPr>
        <w:t xml:space="preserve">The number of </w:t>
      </w:r>
      <w:r w:rsidR="00DC6656">
        <w:rPr>
          <w:rFonts w:eastAsia="Times New Roman"/>
        </w:rPr>
        <w:t xml:space="preserve">requests for </w:t>
      </w:r>
      <w:r w:rsidR="00F85FC8">
        <w:rPr>
          <w:rFonts w:eastAsia="Times New Roman"/>
        </w:rPr>
        <w:t xml:space="preserve">certification each firm must submit </w:t>
      </w:r>
      <w:r w:rsidR="001940B0">
        <w:rPr>
          <w:rFonts w:eastAsia="Times New Roman"/>
        </w:rPr>
        <w:t>will</w:t>
      </w:r>
      <w:r w:rsidR="00F85FC8">
        <w:rPr>
          <w:rFonts w:eastAsia="Times New Roman"/>
        </w:rPr>
        <w:t xml:space="preserve"> range from </w:t>
      </w:r>
      <w:r w:rsidR="00C06496">
        <w:rPr>
          <w:rFonts w:eastAsia="Times New Roman"/>
        </w:rPr>
        <w:t>1</w:t>
      </w:r>
      <w:r w:rsidR="00F85FC8">
        <w:rPr>
          <w:rFonts w:eastAsia="Times New Roman"/>
        </w:rPr>
        <w:t xml:space="preserve"> to </w:t>
      </w:r>
      <w:r w:rsidR="00C06496">
        <w:rPr>
          <w:rFonts w:eastAsia="Times New Roman"/>
        </w:rPr>
        <w:t>7</w:t>
      </w:r>
      <w:r w:rsidR="002039A7">
        <w:rPr>
          <w:rFonts w:eastAsia="Times New Roman"/>
        </w:rPr>
        <w:t>,</w:t>
      </w:r>
      <w:r w:rsidR="00F85FC8">
        <w:rPr>
          <w:rFonts w:eastAsia="Times New Roman"/>
        </w:rPr>
        <w:t xml:space="preserve"> </w:t>
      </w:r>
      <w:r w:rsidR="00BF1A99">
        <w:rPr>
          <w:rFonts w:eastAsia="Times New Roman"/>
        </w:rPr>
        <w:t xml:space="preserve">which represents the </w:t>
      </w:r>
      <w:r w:rsidR="005F5B64">
        <w:rPr>
          <w:rFonts w:eastAsia="Times New Roman"/>
        </w:rPr>
        <w:t xml:space="preserve">current </w:t>
      </w:r>
      <w:r w:rsidR="00BF1A99">
        <w:rPr>
          <w:rFonts w:eastAsia="Times New Roman"/>
        </w:rPr>
        <w:t xml:space="preserve">range of </w:t>
      </w:r>
      <w:r w:rsidR="00B042CA">
        <w:rPr>
          <w:rFonts w:eastAsia="Times New Roman"/>
        </w:rPr>
        <w:t>DMGs</w:t>
      </w:r>
      <w:r w:rsidR="00BF1A99">
        <w:rPr>
          <w:rFonts w:eastAsia="Times New Roman"/>
        </w:rPr>
        <w:t xml:space="preserve"> that could be introduced into </w:t>
      </w:r>
      <w:r w:rsidR="003F0776">
        <w:rPr>
          <w:rFonts w:eastAsia="Times New Roman"/>
        </w:rPr>
        <w:t xml:space="preserve">interstate </w:t>
      </w:r>
      <w:r w:rsidR="00BF1A99">
        <w:rPr>
          <w:rFonts w:eastAsia="Times New Roman"/>
        </w:rPr>
        <w:t>commerce</w:t>
      </w:r>
      <w:r w:rsidR="003F0776">
        <w:rPr>
          <w:rFonts w:eastAsia="Times New Roman"/>
        </w:rPr>
        <w:t xml:space="preserve"> via certification request</w:t>
      </w:r>
      <w:r w:rsidR="00F85FC8">
        <w:rPr>
          <w:rFonts w:eastAsia="Times New Roman"/>
        </w:rPr>
        <w:t xml:space="preserve">. </w:t>
      </w:r>
      <w:r w:rsidR="00163298">
        <w:rPr>
          <w:rFonts w:eastAsia="Times New Roman"/>
        </w:rPr>
        <w:t xml:space="preserve">SMEs estimate </w:t>
      </w:r>
      <w:r w:rsidR="00F5352A">
        <w:rPr>
          <w:rFonts w:eastAsia="Times New Roman"/>
        </w:rPr>
        <w:t>that</w:t>
      </w:r>
      <w:r w:rsidR="00163298">
        <w:rPr>
          <w:rFonts w:eastAsia="Times New Roman"/>
        </w:rPr>
        <w:t xml:space="preserve"> a firm required to submit a certification request </w:t>
      </w:r>
      <w:r w:rsidR="001940B0">
        <w:rPr>
          <w:rFonts w:eastAsia="Times New Roman"/>
        </w:rPr>
        <w:t>will</w:t>
      </w:r>
      <w:r w:rsidR="00163298">
        <w:rPr>
          <w:rFonts w:eastAsia="Times New Roman"/>
        </w:rPr>
        <w:t xml:space="preserve"> submit 5 certification request</w:t>
      </w:r>
      <w:r w:rsidR="000C66F3">
        <w:rPr>
          <w:rFonts w:eastAsia="Times New Roman"/>
        </w:rPr>
        <w:t>s</w:t>
      </w:r>
      <w:r w:rsidR="00F5352A">
        <w:rPr>
          <w:rFonts w:eastAsia="Times New Roman"/>
        </w:rPr>
        <w:t xml:space="preserve"> on average</w:t>
      </w:r>
      <w:r w:rsidR="00163298">
        <w:rPr>
          <w:rFonts w:eastAsia="Times New Roman"/>
        </w:rPr>
        <w:t>.</w:t>
      </w:r>
    </w:p>
    <w:p w:rsidR="00596412" w:rsidP="00236046" w14:paraId="71CB97CF" w14:textId="46D29B22">
      <w:pPr>
        <w:pStyle w:val="BodyTextFirstIndent"/>
      </w:pPr>
      <w:r>
        <w:rPr>
          <w:rFonts w:eastAsia="Times New Roman"/>
        </w:rPr>
        <w:tab/>
      </w:r>
      <w:r>
        <w:t xml:space="preserve">We believe that submitting a certification request </w:t>
      </w:r>
      <w:r w:rsidR="006C59E8">
        <w:t>will</w:t>
      </w:r>
      <w:r>
        <w:t xml:space="preserve"> take a manager approximately </w:t>
      </w:r>
      <w:r w:rsidR="00AC38D6">
        <w:t>3</w:t>
      </w:r>
      <w:r>
        <w:t xml:space="preserve"> hours to perform. </w:t>
      </w:r>
      <w:bookmarkStart w:id="127" w:name="_Hlk32934357"/>
      <w:r>
        <w:t xml:space="preserve">We use the </w:t>
      </w:r>
      <w:r w:rsidR="003153D7">
        <w:t>2022</w:t>
      </w:r>
      <w:r w:rsidR="00242455">
        <w:t xml:space="preserve"> wage</w:t>
      </w:r>
      <w:r>
        <w:t xml:space="preserve"> rate for General and Operations Managers and double it</w:t>
      </w:r>
      <w:r w:rsidRPr="00311C21">
        <w:t xml:space="preserve"> for a </w:t>
      </w:r>
      <w:r w:rsidR="00986206">
        <w:t>fully-loaded</w:t>
      </w:r>
      <w:r w:rsidRPr="00311C21">
        <w:t xml:space="preserve"> wage rate of $</w:t>
      </w:r>
      <w:r w:rsidR="002218C5">
        <w:t>178.42</w:t>
      </w:r>
      <w:r w:rsidRPr="00DB183D">
        <w:t xml:space="preserve">. </w:t>
      </w:r>
    </w:p>
    <w:p w:rsidR="00E7340E" w:rsidP="00236046" w14:paraId="4AC2C9F2" w14:textId="4F9174F4">
      <w:pPr>
        <w:pStyle w:val="BodyTextFirstIndent"/>
      </w:pPr>
      <w:r w:rsidRPr="00FC2612">
        <w:fldChar w:fldCharType="begin"/>
      </w:r>
      <w:r w:rsidRPr="00FC2612">
        <w:instrText xml:space="preserve"> REF _Ref132015932 \h </w:instrText>
      </w:r>
      <w:r w:rsidRPr="004848C7">
        <w:instrText xml:space="preserve"> \* MERGEFORMAT </w:instrText>
      </w:r>
      <w:r w:rsidRPr="00FC2612">
        <w:fldChar w:fldCharType="separate"/>
      </w:r>
      <w:r w:rsidRPr="004848C7">
        <w:t xml:space="preserve">Table </w:t>
      </w:r>
      <w:r w:rsidRPr="004848C7">
        <w:rPr>
          <w:noProof/>
        </w:rPr>
        <w:t>22</w:t>
      </w:r>
      <w:r w:rsidRPr="00FC2612">
        <w:fldChar w:fldCharType="end"/>
      </w:r>
      <w:r w:rsidRPr="00AA0928" w:rsidR="00DB183D">
        <w:t xml:space="preserve"> </w:t>
      </w:r>
      <w:r w:rsidRPr="00DB183D" w:rsidR="00DB183D">
        <w:t>shows the one-time cost of submitting a certification request for firms who have not already submitted</w:t>
      </w:r>
      <w:r w:rsidR="00DB183D">
        <w:t xml:space="preserve"> that request to us. </w:t>
      </w:r>
      <w:r w:rsidR="00F85FC8">
        <w:t>The estimated one-time costs of submitting a certification request range from $</w:t>
      </w:r>
      <w:r w:rsidR="00A32078">
        <w:t>2,</w:t>
      </w:r>
      <w:r w:rsidR="00ED1F47">
        <w:t>676</w:t>
      </w:r>
      <w:r w:rsidR="00F85FC8">
        <w:t xml:space="preserve"> to $</w:t>
      </w:r>
      <w:r w:rsidR="00A32078">
        <w:t>1</w:t>
      </w:r>
      <w:r w:rsidR="00ED1F47">
        <w:t>8,734</w:t>
      </w:r>
      <w:r w:rsidR="00F85FC8">
        <w:t xml:space="preserve"> with a primary estimate of $</w:t>
      </w:r>
      <w:r w:rsidR="00D95BA2">
        <w:t>1</w:t>
      </w:r>
      <w:r w:rsidR="00ED1F47">
        <w:t>3,38</w:t>
      </w:r>
      <w:r w:rsidR="00962124">
        <w:t>2</w:t>
      </w:r>
      <w:r w:rsidR="00F85FC8">
        <w:t>.</w:t>
      </w:r>
      <w:bookmarkEnd w:id="126"/>
      <w:bookmarkEnd w:id="127"/>
    </w:p>
    <w:p w:rsidR="00F5352A" w:rsidP="004848C7" w14:paraId="53B36875" w14:textId="4AFF9263">
      <w:pPr>
        <w:rPr>
          <w:b/>
        </w:rPr>
      </w:pPr>
      <w:bookmarkStart w:id="128" w:name="_Ref36650911"/>
    </w:p>
    <w:p w:rsidR="00806A70" w:rsidRPr="00A242BA" w:rsidP="00A242BA" w14:paraId="2C86061E" w14:textId="4087C43D">
      <w:pPr>
        <w:pStyle w:val="Caption"/>
        <w:keepNext/>
        <w:rPr>
          <w:b/>
        </w:rPr>
      </w:pPr>
      <w:bookmarkStart w:id="129" w:name="_Ref132015932"/>
      <w:bookmarkStart w:id="130" w:name="_Toc147238766"/>
      <w:r w:rsidRPr="00A242BA">
        <w:rPr>
          <w:b/>
        </w:rPr>
        <w:t xml:space="preserve">Table </w:t>
      </w:r>
      <w:bookmarkEnd w:id="128"/>
      <w:r w:rsidRPr="00A242BA" w:rsidR="00CF75F1">
        <w:rPr>
          <w:b/>
        </w:rPr>
        <w:fldChar w:fldCharType="begin"/>
      </w:r>
      <w:r w:rsidRPr="00A242BA" w:rsidR="00CF75F1">
        <w:rPr>
          <w:b/>
        </w:rPr>
        <w:instrText xml:space="preserve"> SEQ Table \* ARABIC </w:instrText>
      </w:r>
      <w:r w:rsidRPr="00A242BA" w:rsidR="00CF75F1">
        <w:rPr>
          <w:b/>
        </w:rPr>
        <w:fldChar w:fldCharType="separate"/>
      </w:r>
      <w:r w:rsidR="0011482F">
        <w:rPr>
          <w:b/>
          <w:noProof/>
        </w:rPr>
        <w:t>22</w:t>
      </w:r>
      <w:r w:rsidRPr="00A242BA" w:rsidR="00CF75F1">
        <w:rPr>
          <w:b/>
        </w:rPr>
        <w:fldChar w:fldCharType="end"/>
      </w:r>
      <w:bookmarkEnd w:id="129"/>
      <w:r w:rsidRPr="00A242BA">
        <w:rPr>
          <w:b/>
        </w:rPr>
        <w:t xml:space="preserve">. </w:t>
      </w:r>
      <w:r w:rsidRPr="00A242BA">
        <w:rPr>
          <w:rFonts w:eastAsia="Times New Roman"/>
          <w:b/>
        </w:rPr>
        <w:t>Costs of Submitting Certification Requests</w:t>
      </w:r>
      <w:bookmarkEnd w:id="130"/>
    </w:p>
    <w:tbl>
      <w:tblPr>
        <w:tblW w:w="9715" w:type="dxa"/>
        <w:tblLook w:val="04A0"/>
      </w:tblPr>
      <w:tblGrid>
        <w:gridCol w:w="3685"/>
        <w:gridCol w:w="1976"/>
        <w:gridCol w:w="2196"/>
        <w:gridCol w:w="1858"/>
      </w:tblGrid>
      <w:tr w14:paraId="203188E1" w14:textId="77777777" w:rsidTr="000659AD">
        <w:tblPrEx>
          <w:tblW w:w="9715" w:type="dxa"/>
          <w:tblLook w:val="04A0"/>
        </w:tblPrEx>
        <w:trPr>
          <w:trHeight w:val="144"/>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57DCC" w:rsidRPr="00A242BA" w:rsidP="00857DCC" w14:paraId="466930F9" w14:textId="77777777">
            <w:pPr>
              <w:spacing w:after="0"/>
              <w:rPr>
                <w:rFonts w:eastAsia="Times New Roman"/>
                <w:b/>
                <w:color w:val="000000"/>
                <w:sz w:val="22"/>
                <w:szCs w:val="22"/>
              </w:rPr>
            </w:pPr>
            <w:r w:rsidRPr="00A242BA">
              <w:rPr>
                <w:rFonts w:eastAsia="Times New Roman"/>
                <w:b/>
                <w:color w:val="000000"/>
                <w:sz w:val="22"/>
                <w:szCs w:val="22"/>
              </w:rPr>
              <w:t> </w:t>
            </w:r>
          </w:p>
        </w:tc>
        <w:tc>
          <w:tcPr>
            <w:tcW w:w="19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57DCC" w:rsidRPr="00A242BA" w:rsidP="00AC2CB0" w14:paraId="4C888923" w14:textId="77777777">
            <w:pPr>
              <w:spacing w:after="0"/>
              <w:jc w:val="center"/>
              <w:rPr>
                <w:rFonts w:eastAsia="Times New Roman"/>
                <w:b/>
                <w:color w:val="000000"/>
                <w:sz w:val="22"/>
                <w:szCs w:val="22"/>
              </w:rPr>
            </w:pPr>
            <w:r w:rsidRPr="00A242BA">
              <w:rPr>
                <w:rFonts w:eastAsia="Times New Roman"/>
                <w:b/>
                <w:color w:val="000000"/>
                <w:sz w:val="22"/>
                <w:szCs w:val="22"/>
              </w:rPr>
              <w:t>Low</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57DCC" w:rsidRPr="00A242BA" w:rsidP="00AC2CB0" w14:paraId="2D01E4E6" w14:textId="7B054D0E">
            <w:pPr>
              <w:spacing w:after="0"/>
              <w:jc w:val="center"/>
              <w:rPr>
                <w:rFonts w:eastAsia="Times New Roman"/>
                <w:b/>
                <w:color w:val="000000"/>
                <w:sz w:val="22"/>
                <w:szCs w:val="22"/>
              </w:rPr>
            </w:pPr>
            <w:r w:rsidRPr="00A242BA">
              <w:rPr>
                <w:rFonts w:eastAsia="Times New Roman"/>
                <w:b/>
                <w:color w:val="000000"/>
                <w:sz w:val="22"/>
                <w:szCs w:val="22"/>
              </w:rPr>
              <w:t>Primary</w:t>
            </w:r>
          </w:p>
        </w:tc>
        <w:tc>
          <w:tcPr>
            <w:tcW w:w="185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57DCC" w:rsidRPr="00A242BA" w:rsidP="00AC2CB0" w14:paraId="3CB71596" w14:textId="77777777">
            <w:pPr>
              <w:spacing w:after="0"/>
              <w:jc w:val="center"/>
              <w:rPr>
                <w:rFonts w:eastAsia="Times New Roman"/>
                <w:b/>
                <w:color w:val="000000"/>
                <w:sz w:val="22"/>
                <w:szCs w:val="22"/>
              </w:rPr>
            </w:pPr>
            <w:r w:rsidRPr="00A242BA">
              <w:rPr>
                <w:rFonts w:eastAsia="Times New Roman"/>
                <w:b/>
                <w:color w:val="000000"/>
                <w:sz w:val="22"/>
                <w:szCs w:val="22"/>
              </w:rPr>
              <w:t>High</w:t>
            </w:r>
          </w:p>
        </w:tc>
      </w:tr>
      <w:tr w14:paraId="2FDEDBCB"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000000" w:fill="FFFFFF"/>
            <w:vAlign w:val="center"/>
            <w:hideMark/>
          </w:tcPr>
          <w:p w:rsidR="00857DCC" w:rsidRPr="00A242BA" w:rsidP="00A242BA" w14:paraId="338E333F" w14:textId="7A096CC5">
            <w:pPr>
              <w:spacing w:after="0"/>
              <w:rPr>
                <w:rFonts w:eastAsia="Times New Roman"/>
                <w:color w:val="000000"/>
                <w:sz w:val="22"/>
                <w:szCs w:val="22"/>
              </w:rPr>
            </w:pPr>
            <w:r w:rsidRPr="00A242BA">
              <w:rPr>
                <w:rFonts w:eastAsia="Times New Roman"/>
                <w:color w:val="000000"/>
                <w:sz w:val="22"/>
                <w:szCs w:val="22"/>
              </w:rPr>
              <w:t xml:space="preserve">Affected </w:t>
            </w:r>
            <w:r w:rsidRPr="00A242BA" w:rsidR="00F85FC8">
              <w:rPr>
                <w:rFonts w:eastAsia="Times New Roman"/>
                <w:color w:val="000000"/>
                <w:sz w:val="22"/>
                <w:szCs w:val="22"/>
              </w:rPr>
              <w:t>entities</w:t>
            </w:r>
          </w:p>
        </w:tc>
        <w:tc>
          <w:tcPr>
            <w:tcW w:w="1976"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7150C3C9" w14:textId="3176484F">
            <w:pPr>
              <w:spacing w:after="0"/>
              <w:jc w:val="center"/>
              <w:rPr>
                <w:rFonts w:eastAsia="Times New Roman"/>
                <w:color w:val="000000"/>
                <w:sz w:val="22"/>
                <w:szCs w:val="22"/>
              </w:rPr>
            </w:pPr>
            <w:r>
              <w:rPr>
                <w:rFonts w:eastAsia="Times New Roman"/>
                <w:color w:val="000000"/>
                <w:sz w:val="22"/>
                <w:szCs w:val="22"/>
              </w:rPr>
              <w:t>5</w:t>
            </w:r>
          </w:p>
        </w:tc>
        <w:tc>
          <w:tcPr>
            <w:tcW w:w="2196"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4273F64C" w14:textId="21C0CF66">
            <w:pPr>
              <w:spacing w:after="0"/>
              <w:jc w:val="center"/>
              <w:rPr>
                <w:rFonts w:eastAsia="Times New Roman"/>
                <w:color w:val="000000"/>
                <w:sz w:val="22"/>
                <w:szCs w:val="22"/>
              </w:rPr>
            </w:pPr>
            <w:r>
              <w:rPr>
                <w:rFonts w:eastAsia="Times New Roman"/>
                <w:color w:val="000000"/>
                <w:sz w:val="22"/>
                <w:szCs w:val="22"/>
              </w:rPr>
              <w:t>5</w:t>
            </w:r>
          </w:p>
        </w:tc>
        <w:tc>
          <w:tcPr>
            <w:tcW w:w="1858"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75BC9A3F" w14:textId="7CE14794">
            <w:pPr>
              <w:spacing w:after="0"/>
              <w:jc w:val="center"/>
              <w:rPr>
                <w:rFonts w:eastAsia="Times New Roman"/>
                <w:color w:val="000000"/>
                <w:sz w:val="22"/>
                <w:szCs w:val="22"/>
              </w:rPr>
            </w:pPr>
            <w:r>
              <w:rPr>
                <w:rFonts w:eastAsia="Times New Roman"/>
                <w:color w:val="000000"/>
                <w:sz w:val="22"/>
                <w:szCs w:val="22"/>
              </w:rPr>
              <w:t>5</w:t>
            </w:r>
          </w:p>
        </w:tc>
      </w:tr>
      <w:tr w14:paraId="73426E82"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857DCC" w:rsidRPr="00A242BA" w:rsidP="00857DCC" w14:paraId="5B14E311" w14:textId="5D0BCC56">
            <w:pPr>
              <w:spacing w:after="0"/>
              <w:rPr>
                <w:rFonts w:eastAsia="Times New Roman"/>
                <w:color w:val="000000"/>
                <w:sz w:val="22"/>
                <w:szCs w:val="22"/>
              </w:rPr>
            </w:pPr>
            <w:r w:rsidRPr="00A242BA">
              <w:rPr>
                <w:rFonts w:eastAsia="Times New Roman"/>
                <w:color w:val="000000"/>
                <w:sz w:val="22"/>
                <w:szCs w:val="22"/>
              </w:rPr>
              <w:t xml:space="preserve">Certification </w:t>
            </w:r>
            <w:r w:rsidR="007847A1">
              <w:rPr>
                <w:rFonts w:eastAsia="Times New Roman"/>
                <w:color w:val="000000"/>
                <w:sz w:val="22"/>
                <w:szCs w:val="22"/>
              </w:rPr>
              <w:t>r</w:t>
            </w:r>
            <w:r w:rsidRPr="00A242BA">
              <w:rPr>
                <w:rFonts w:eastAsia="Times New Roman"/>
                <w:color w:val="000000"/>
                <w:sz w:val="22"/>
                <w:szCs w:val="22"/>
              </w:rPr>
              <w:t>equests</w:t>
            </w:r>
            <w:r w:rsidR="00F85FC8">
              <w:rPr>
                <w:rFonts w:eastAsia="Times New Roman"/>
                <w:color w:val="000000"/>
                <w:sz w:val="22"/>
                <w:szCs w:val="22"/>
              </w:rPr>
              <w:t xml:space="preserve"> (per firm)</w:t>
            </w:r>
          </w:p>
        </w:tc>
        <w:tc>
          <w:tcPr>
            <w:tcW w:w="1976" w:type="dxa"/>
            <w:tcBorders>
              <w:top w:val="nil"/>
              <w:left w:val="nil"/>
              <w:bottom w:val="single" w:sz="4" w:space="0" w:color="auto"/>
              <w:right w:val="single" w:sz="4" w:space="0" w:color="auto"/>
            </w:tcBorders>
            <w:shd w:val="clear" w:color="auto" w:fill="auto"/>
            <w:vAlign w:val="center"/>
            <w:hideMark/>
          </w:tcPr>
          <w:p w:rsidR="00857DCC" w:rsidRPr="00A242BA" w:rsidP="00AC2CB0" w14:paraId="4B57D958" w14:textId="77777777">
            <w:pPr>
              <w:spacing w:after="0"/>
              <w:jc w:val="center"/>
              <w:rPr>
                <w:rFonts w:eastAsia="Times New Roman"/>
                <w:color w:val="000000"/>
                <w:sz w:val="22"/>
                <w:szCs w:val="22"/>
              </w:rPr>
            </w:pPr>
            <w:r w:rsidRPr="00A242BA">
              <w:rPr>
                <w:rFonts w:eastAsia="Times New Roman"/>
                <w:color w:val="000000"/>
                <w:sz w:val="22"/>
                <w:szCs w:val="22"/>
              </w:rPr>
              <w:t>1</w:t>
            </w:r>
          </w:p>
        </w:tc>
        <w:tc>
          <w:tcPr>
            <w:tcW w:w="2196" w:type="dxa"/>
            <w:tcBorders>
              <w:top w:val="nil"/>
              <w:left w:val="nil"/>
              <w:bottom w:val="single" w:sz="4" w:space="0" w:color="auto"/>
              <w:right w:val="single" w:sz="4" w:space="0" w:color="auto"/>
            </w:tcBorders>
            <w:shd w:val="clear" w:color="auto" w:fill="auto"/>
            <w:vAlign w:val="center"/>
            <w:hideMark/>
          </w:tcPr>
          <w:p w:rsidR="00857DCC" w:rsidRPr="00A242BA" w:rsidP="00AC2CB0" w14:paraId="0439DA77" w14:textId="7F5B6AC8">
            <w:pPr>
              <w:spacing w:after="0"/>
              <w:jc w:val="center"/>
              <w:rPr>
                <w:rFonts w:eastAsia="Times New Roman"/>
                <w:color w:val="000000"/>
                <w:sz w:val="22"/>
                <w:szCs w:val="22"/>
              </w:rPr>
            </w:pPr>
            <w:r>
              <w:rPr>
                <w:rFonts w:eastAsia="Times New Roman"/>
                <w:color w:val="000000"/>
                <w:sz w:val="22"/>
                <w:szCs w:val="22"/>
              </w:rPr>
              <w:t>5</w:t>
            </w:r>
          </w:p>
        </w:tc>
        <w:tc>
          <w:tcPr>
            <w:tcW w:w="1858" w:type="dxa"/>
            <w:tcBorders>
              <w:top w:val="nil"/>
              <w:left w:val="nil"/>
              <w:bottom w:val="single" w:sz="4" w:space="0" w:color="auto"/>
              <w:right w:val="single" w:sz="4" w:space="0" w:color="auto"/>
            </w:tcBorders>
            <w:shd w:val="clear" w:color="auto" w:fill="auto"/>
            <w:vAlign w:val="center"/>
            <w:hideMark/>
          </w:tcPr>
          <w:p w:rsidR="00857DCC" w:rsidRPr="00A242BA" w:rsidP="00AC2CB0" w14:paraId="3A7EC45F" w14:textId="77777777">
            <w:pPr>
              <w:spacing w:after="0"/>
              <w:jc w:val="center"/>
              <w:rPr>
                <w:rFonts w:eastAsia="Times New Roman"/>
                <w:color w:val="000000"/>
                <w:sz w:val="22"/>
                <w:szCs w:val="22"/>
              </w:rPr>
            </w:pPr>
            <w:r w:rsidRPr="00A242BA">
              <w:rPr>
                <w:rFonts w:eastAsia="Times New Roman"/>
                <w:color w:val="000000"/>
                <w:sz w:val="22"/>
                <w:szCs w:val="22"/>
              </w:rPr>
              <w:t>7</w:t>
            </w:r>
          </w:p>
        </w:tc>
      </w:tr>
      <w:tr w14:paraId="221FBA13"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auto"/>
            <w:noWrap/>
            <w:vAlign w:val="bottom"/>
          </w:tcPr>
          <w:p w:rsidR="00826612" w:rsidRPr="00A242BA" w:rsidP="00857DCC" w14:paraId="4DF5FD49" w14:textId="6247D68A">
            <w:pPr>
              <w:spacing w:after="0"/>
              <w:rPr>
                <w:rFonts w:eastAsia="Times New Roman"/>
                <w:color w:val="000000"/>
                <w:sz w:val="22"/>
                <w:szCs w:val="22"/>
              </w:rPr>
            </w:pPr>
            <w:r>
              <w:rPr>
                <w:rFonts w:eastAsia="Times New Roman"/>
                <w:color w:val="000000"/>
                <w:sz w:val="22"/>
                <w:szCs w:val="22"/>
              </w:rPr>
              <w:t xml:space="preserve">Certification requests </w:t>
            </w:r>
            <w:r w:rsidR="00CC101C">
              <w:rPr>
                <w:rFonts w:eastAsia="Times New Roman"/>
                <w:color w:val="000000"/>
                <w:sz w:val="22"/>
                <w:szCs w:val="22"/>
              </w:rPr>
              <w:t>submitt</w:t>
            </w:r>
            <w:r>
              <w:rPr>
                <w:rFonts w:eastAsia="Times New Roman"/>
                <w:color w:val="000000"/>
                <w:sz w:val="22"/>
                <w:szCs w:val="22"/>
              </w:rPr>
              <w:t>ed</w:t>
            </w:r>
          </w:p>
        </w:tc>
        <w:tc>
          <w:tcPr>
            <w:tcW w:w="1976" w:type="dxa"/>
            <w:tcBorders>
              <w:top w:val="nil"/>
              <w:left w:val="nil"/>
              <w:bottom w:val="single" w:sz="4" w:space="0" w:color="auto"/>
              <w:right w:val="single" w:sz="4" w:space="0" w:color="auto"/>
            </w:tcBorders>
            <w:shd w:val="clear" w:color="auto" w:fill="auto"/>
            <w:vAlign w:val="center"/>
          </w:tcPr>
          <w:p w:rsidR="00826612" w:rsidRPr="00A242BA" w:rsidP="00AC2CB0" w14:paraId="7102A6C5" w14:textId="077D0DA3">
            <w:pPr>
              <w:spacing w:after="0"/>
              <w:jc w:val="center"/>
              <w:rPr>
                <w:rFonts w:eastAsia="Times New Roman"/>
                <w:color w:val="000000"/>
                <w:sz w:val="22"/>
                <w:szCs w:val="22"/>
              </w:rPr>
            </w:pPr>
            <w:r>
              <w:rPr>
                <w:rFonts w:eastAsia="Times New Roman"/>
                <w:color w:val="000000"/>
                <w:sz w:val="22"/>
                <w:szCs w:val="22"/>
              </w:rPr>
              <w:t>5</w:t>
            </w:r>
          </w:p>
        </w:tc>
        <w:tc>
          <w:tcPr>
            <w:tcW w:w="2196" w:type="dxa"/>
            <w:tcBorders>
              <w:top w:val="nil"/>
              <w:left w:val="nil"/>
              <w:bottom w:val="single" w:sz="4" w:space="0" w:color="auto"/>
              <w:right w:val="single" w:sz="4" w:space="0" w:color="auto"/>
            </w:tcBorders>
            <w:shd w:val="clear" w:color="auto" w:fill="auto"/>
            <w:vAlign w:val="center"/>
          </w:tcPr>
          <w:p w:rsidR="00826612" w:rsidRPr="00A242BA" w:rsidP="00AC2CB0" w14:paraId="0DC4B7D3" w14:textId="6380DA37">
            <w:pPr>
              <w:spacing w:after="0"/>
              <w:jc w:val="center"/>
              <w:rPr>
                <w:rFonts w:eastAsia="Times New Roman"/>
                <w:color w:val="000000"/>
                <w:sz w:val="22"/>
                <w:szCs w:val="22"/>
              </w:rPr>
            </w:pPr>
            <w:r>
              <w:rPr>
                <w:rFonts w:eastAsia="Times New Roman"/>
                <w:color w:val="000000"/>
                <w:sz w:val="22"/>
                <w:szCs w:val="22"/>
              </w:rPr>
              <w:t>25</w:t>
            </w:r>
          </w:p>
        </w:tc>
        <w:tc>
          <w:tcPr>
            <w:tcW w:w="1858" w:type="dxa"/>
            <w:tcBorders>
              <w:top w:val="nil"/>
              <w:left w:val="nil"/>
              <w:bottom w:val="single" w:sz="4" w:space="0" w:color="auto"/>
              <w:right w:val="single" w:sz="4" w:space="0" w:color="auto"/>
            </w:tcBorders>
            <w:shd w:val="clear" w:color="auto" w:fill="auto"/>
            <w:vAlign w:val="center"/>
          </w:tcPr>
          <w:p w:rsidR="00826612" w:rsidRPr="00A242BA" w:rsidP="00AC2CB0" w14:paraId="4ECCCEA0" w14:textId="61404C11">
            <w:pPr>
              <w:spacing w:after="0"/>
              <w:jc w:val="center"/>
              <w:rPr>
                <w:rFonts w:eastAsia="Times New Roman"/>
                <w:color w:val="000000"/>
                <w:sz w:val="22"/>
                <w:szCs w:val="22"/>
              </w:rPr>
            </w:pPr>
            <w:r>
              <w:rPr>
                <w:rFonts w:eastAsia="Times New Roman"/>
                <w:color w:val="000000"/>
                <w:sz w:val="22"/>
                <w:szCs w:val="22"/>
              </w:rPr>
              <w:t>35</w:t>
            </w:r>
          </w:p>
        </w:tc>
      </w:tr>
      <w:tr w14:paraId="1B6427D9"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857DCC" w:rsidRPr="00A242BA" w:rsidP="00857DCC" w14:paraId="3AB321E2" w14:textId="77777777">
            <w:pPr>
              <w:spacing w:after="0"/>
              <w:rPr>
                <w:rFonts w:eastAsia="Times New Roman"/>
                <w:color w:val="000000"/>
                <w:sz w:val="22"/>
                <w:szCs w:val="22"/>
              </w:rPr>
            </w:pPr>
            <w:r w:rsidRPr="00A242BA">
              <w:rPr>
                <w:rFonts w:eastAsia="Times New Roman"/>
                <w:color w:val="000000"/>
                <w:sz w:val="22"/>
                <w:szCs w:val="22"/>
              </w:rPr>
              <w:t>Wage rate (manager)</w:t>
            </w:r>
          </w:p>
        </w:tc>
        <w:tc>
          <w:tcPr>
            <w:tcW w:w="1976"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0527B34C" w14:textId="69C5275A">
            <w:pPr>
              <w:spacing w:after="0"/>
              <w:jc w:val="center"/>
              <w:rPr>
                <w:rFonts w:eastAsia="Times New Roman"/>
                <w:color w:val="000000"/>
                <w:sz w:val="22"/>
                <w:szCs w:val="22"/>
              </w:rPr>
            </w:pPr>
            <w:r w:rsidRPr="00A242BA">
              <w:rPr>
                <w:rFonts w:eastAsia="Times New Roman"/>
                <w:color w:val="000000"/>
                <w:sz w:val="22"/>
                <w:szCs w:val="22"/>
              </w:rPr>
              <w:t>$</w:t>
            </w:r>
            <w:r w:rsidR="002218C5">
              <w:rPr>
                <w:rFonts w:eastAsia="Times New Roman"/>
                <w:color w:val="000000"/>
                <w:sz w:val="22"/>
                <w:szCs w:val="22"/>
              </w:rPr>
              <w:t>178.42</w:t>
            </w:r>
          </w:p>
        </w:tc>
        <w:tc>
          <w:tcPr>
            <w:tcW w:w="2196"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5F161611" w14:textId="14F8124A">
            <w:pPr>
              <w:spacing w:after="0"/>
              <w:jc w:val="center"/>
              <w:rPr>
                <w:rFonts w:eastAsia="Times New Roman"/>
                <w:color w:val="000000"/>
                <w:sz w:val="22"/>
                <w:szCs w:val="22"/>
              </w:rPr>
            </w:pPr>
            <w:r w:rsidRPr="00A242BA">
              <w:rPr>
                <w:rFonts w:eastAsia="Times New Roman"/>
                <w:color w:val="000000"/>
                <w:sz w:val="22"/>
                <w:szCs w:val="22"/>
              </w:rPr>
              <w:t>$</w:t>
            </w:r>
            <w:r w:rsidR="002218C5">
              <w:rPr>
                <w:rFonts w:eastAsia="Times New Roman"/>
                <w:color w:val="000000"/>
                <w:sz w:val="22"/>
                <w:szCs w:val="22"/>
              </w:rPr>
              <w:t>178.42</w:t>
            </w:r>
          </w:p>
        </w:tc>
        <w:tc>
          <w:tcPr>
            <w:tcW w:w="1858" w:type="dxa"/>
            <w:tcBorders>
              <w:top w:val="nil"/>
              <w:left w:val="nil"/>
              <w:bottom w:val="single" w:sz="4" w:space="0" w:color="auto"/>
              <w:right w:val="single" w:sz="4" w:space="0" w:color="auto"/>
            </w:tcBorders>
            <w:shd w:val="clear" w:color="auto" w:fill="auto"/>
            <w:noWrap/>
            <w:vAlign w:val="bottom"/>
            <w:hideMark/>
          </w:tcPr>
          <w:p w:rsidR="00857DCC" w:rsidRPr="00A242BA" w:rsidP="00AC2CB0" w14:paraId="6D597180" w14:textId="06F5E623">
            <w:pPr>
              <w:spacing w:after="0"/>
              <w:jc w:val="center"/>
              <w:rPr>
                <w:rFonts w:eastAsia="Times New Roman"/>
                <w:color w:val="000000"/>
                <w:sz w:val="22"/>
                <w:szCs w:val="22"/>
              </w:rPr>
            </w:pPr>
            <w:r w:rsidRPr="00A242BA">
              <w:rPr>
                <w:rFonts w:eastAsia="Times New Roman"/>
                <w:color w:val="000000"/>
                <w:sz w:val="22"/>
                <w:szCs w:val="22"/>
              </w:rPr>
              <w:t>$</w:t>
            </w:r>
            <w:r w:rsidR="002218C5">
              <w:rPr>
                <w:rFonts w:eastAsia="Times New Roman"/>
                <w:color w:val="000000"/>
                <w:sz w:val="22"/>
                <w:szCs w:val="22"/>
              </w:rPr>
              <w:t>178.42</w:t>
            </w:r>
          </w:p>
        </w:tc>
      </w:tr>
      <w:tr w14:paraId="14FE87EE"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857DCC" w:rsidRPr="00A242BA" w:rsidP="00857DCC" w14:paraId="6C597C7B" w14:textId="77777777">
            <w:pPr>
              <w:spacing w:after="0"/>
              <w:rPr>
                <w:rFonts w:eastAsia="Times New Roman"/>
                <w:color w:val="000000"/>
                <w:sz w:val="22"/>
                <w:szCs w:val="22"/>
              </w:rPr>
            </w:pPr>
            <w:r w:rsidRPr="00A242BA">
              <w:rPr>
                <w:rFonts w:eastAsia="Times New Roman"/>
                <w:color w:val="000000"/>
                <w:sz w:val="22"/>
                <w:szCs w:val="22"/>
              </w:rPr>
              <w:t>Time per certification (hours)</w:t>
            </w:r>
          </w:p>
        </w:tc>
        <w:tc>
          <w:tcPr>
            <w:tcW w:w="1976" w:type="dxa"/>
            <w:tcBorders>
              <w:top w:val="nil"/>
              <w:left w:val="nil"/>
              <w:bottom w:val="single" w:sz="4" w:space="0" w:color="auto"/>
              <w:right w:val="single" w:sz="4" w:space="0" w:color="auto"/>
            </w:tcBorders>
            <w:shd w:val="clear" w:color="auto" w:fill="auto"/>
            <w:vAlign w:val="center"/>
            <w:hideMark/>
          </w:tcPr>
          <w:p w:rsidR="00857DCC" w:rsidRPr="00A242BA" w:rsidP="00AC2CB0" w14:paraId="400973EB" w14:textId="7DA02E15">
            <w:pPr>
              <w:spacing w:after="0"/>
              <w:jc w:val="center"/>
              <w:rPr>
                <w:rFonts w:eastAsia="Times New Roman"/>
                <w:color w:val="000000"/>
                <w:sz w:val="22"/>
                <w:szCs w:val="22"/>
              </w:rPr>
            </w:pPr>
            <w:r>
              <w:rPr>
                <w:rFonts w:eastAsia="Times New Roman"/>
                <w:color w:val="000000"/>
                <w:sz w:val="22"/>
                <w:szCs w:val="22"/>
              </w:rPr>
              <w:t>3</w:t>
            </w:r>
          </w:p>
        </w:tc>
        <w:tc>
          <w:tcPr>
            <w:tcW w:w="2196" w:type="dxa"/>
            <w:tcBorders>
              <w:top w:val="nil"/>
              <w:left w:val="nil"/>
              <w:bottom w:val="single" w:sz="4" w:space="0" w:color="auto"/>
              <w:right w:val="single" w:sz="4" w:space="0" w:color="auto"/>
            </w:tcBorders>
            <w:shd w:val="clear" w:color="auto" w:fill="auto"/>
            <w:vAlign w:val="center"/>
            <w:hideMark/>
          </w:tcPr>
          <w:p w:rsidR="00857DCC" w:rsidRPr="00A242BA" w:rsidP="00AC2CB0" w14:paraId="45B0D450" w14:textId="0514C582">
            <w:pPr>
              <w:spacing w:after="0"/>
              <w:jc w:val="center"/>
              <w:rPr>
                <w:rFonts w:eastAsia="Times New Roman"/>
                <w:color w:val="000000"/>
                <w:sz w:val="22"/>
                <w:szCs w:val="22"/>
              </w:rPr>
            </w:pPr>
            <w:r>
              <w:rPr>
                <w:rFonts w:eastAsia="Times New Roman"/>
                <w:color w:val="000000"/>
                <w:sz w:val="22"/>
                <w:szCs w:val="22"/>
              </w:rPr>
              <w:t>3</w:t>
            </w:r>
          </w:p>
        </w:tc>
        <w:tc>
          <w:tcPr>
            <w:tcW w:w="1858" w:type="dxa"/>
            <w:tcBorders>
              <w:top w:val="nil"/>
              <w:left w:val="nil"/>
              <w:bottom w:val="single" w:sz="4" w:space="0" w:color="auto"/>
              <w:right w:val="single" w:sz="4" w:space="0" w:color="auto"/>
            </w:tcBorders>
            <w:shd w:val="clear" w:color="auto" w:fill="auto"/>
            <w:vAlign w:val="center"/>
            <w:hideMark/>
          </w:tcPr>
          <w:p w:rsidR="00857DCC" w:rsidRPr="00A242BA" w:rsidP="00AC2CB0" w14:paraId="2BCDE804" w14:textId="08E9B2AB">
            <w:pPr>
              <w:spacing w:after="0"/>
              <w:jc w:val="center"/>
              <w:rPr>
                <w:rFonts w:eastAsia="Times New Roman"/>
                <w:color w:val="000000"/>
                <w:sz w:val="22"/>
                <w:szCs w:val="22"/>
              </w:rPr>
            </w:pPr>
            <w:r>
              <w:rPr>
                <w:rFonts w:eastAsia="Times New Roman"/>
                <w:color w:val="000000"/>
                <w:sz w:val="22"/>
                <w:szCs w:val="22"/>
              </w:rPr>
              <w:t>3</w:t>
            </w:r>
          </w:p>
        </w:tc>
      </w:tr>
      <w:tr w14:paraId="1490A02A"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1F47" w:rsidRPr="00A242BA" w:rsidP="00ED1F47" w14:paraId="6C8D5A1C" w14:textId="08780492">
            <w:pPr>
              <w:spacing w:after="0"/>
              <w:rPr>
                <w:rFonts w:eastAsia="Times New Roman"/>
                <w:b/>
                <w:color w:val="000000"/>
                <w:sz w:val="22"/>
                <w:szCs w:val="22"/>
              </w:rPr>
            </w:pPr>
            <w:r w:rsidRPr="00A242BA">
              <w:rPr>
                <w:rFonts w:eastAsia="Times New Roman"/>
                <w:b/>
                <w:color w:val="000000"/>
                <w:sz w:val="22"/>
                <w:szCs w:val="22"/>
              </w:rPr>
              <w:t>One-time costs</w:t>
            </w:r>
          </w:p>
        </w:tc>
        <w:tc>
          <w:tcPr>
            <w:tcW w:w="1976" w:type="dxa"/>
            <w:tcBorders>
              <w:top w:val="nil"/>
              <w:left w:val="nil"/>
              <w:bottom w:val="single" w:sz="4" w:space="0" w:color="auto"/>
              <w:right w:val="single" w:sz="4" w:space="0" w:color="auto"/>
            </w:tcBorders>
            <w:shd w:val="clear" w:color="auto" w:fill="D9D9D9" w:themeFill="background1" w:themeFillShade="D9"/>
            <w:noWrap/>
            <w:vAlign w:val="bottom"/>
            <w:hideMark/>
          </w:tcPr>
          <w:p w:rsidR="00ED1F47" w:rsidRPr="00ED1F47" w:rsidP="00ED1F47" w14:paraId="05C6CD9A" w14:textId="4809C64A">
            <w:pPr>
              <w:spacing w:after="0"/>
              <w:jc w:val="center"/>
              <w:rPr>
                <w:rFonts w:eastAsia="Times New Roman"/>
                <w:color w:val="000000"/>
                <w:sz w:val="22"/>
                <w:szCs w:val="22"/>
              </w:rPr>
            </w:pPr>
          </w:p>
        </w:tc>
        <w:tc>
          <w:tcPr>
            <w:tcW w:w="2196" w:type="dxa"/>
            <w:tcBorders>
              <w:top w:val="nil"/>
              <w:left w:val="nil"/>
              <w:bottom w:val="single" w:sz="4" w:space="0" w:color="auto"/>
              <w:right w:val="single" w:sz="4" w:space="0" w:color="auto"/>
            </w:tcBorders>
            <w:shd w:val="clear" w:color="auto" w:fill="D9D9D9" w:themeFill="background1" w:themeFillShade="D9"/>
            <w:noWrap/>
            <w:vAlign w:val="bottom"/>
            <w:hideMark/>
          </w:tcPr>
          <w:p w:rsidR="00ED1F47" w:rsidRPr="00ED1F47" w:rsidP="00ED1F47" w14:paraId="36CA2FF0" w14:textId="7467BAF5">
            <w:pPr>
              <w:spacing w:after="0"/>
              <w:jc w:val="center"/>
              <w:rPr>
                <w:rFonts w:eastAsia="Times New Roman"/>
                <w:color w:val="000000"/>
                <w:sz w:val="22"/>
                <w:szCs w:val="22"/>
              </w:rPr>
            </w:pPr>
          </w:p>
        </w:tc>
        <w:tc>
          <w:tcPr>
            <w:tcW w:w="1858" w:type="dxa"/>
            <w:tcBorders>
              <w:top w:val="nil"/>
              <w:left w:val="nil"/>
              <w:bottom w:val="single" w:sz="4" w:space="0" w:color="auto"/>
              <w:right w:val="single" w:sz="4" w:space="0" w:color="auto"/>
            </w:tcBorders>
            <w:shd w:val="clear" w:color="auto" w:fill="D9D9D9" w:themeFill="background1" w:themeFillShade="D9"/>
            <w:noWrap/>
            <w:vAlign w:val="bottom"/>
            <w:hideMark/>
          </w:tcPr>
          <w:p w:rsidR="00ED1F47" w:rsidRPr="00ED1F47" w:rsidP="00ED1F47" w14:paraId="059DDD5D" w14:textId="456AF942">
            <w:pPr>
              <w:spacing w:after="0"/>
              <w:jc w:val="center"/>
              <w:rPr>
                <w:rFonts w:eastAsia="Times New Roman"/>
                <w:color w:val="000000"/>
                <w:sz w:val="22"/>
                <w:szCs w:val="22"/>
              </w:rPr>
            </w:pPr>
          </w:p>
        </w:tc>
      </w:tr>
      <w:tr w14:paraId="5D1A5464" w14:textId="77777777" w:rsidTr="000659AD">
        <w:tblPrEx>
          <w:tblW w:w="9715" w:type="dxa"/>
          <w:tblLook w:val="04A0"/>
        </w:tblPrEx>
        <w:trPr>
          <w:trHeight w:val="14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ED1F47" w:rsidRPr="00A242BA" w:rsidP="00ED1F47" w14:paraId="3DE3F11A" w14:textId="77777777">
            <w:pPr>
              <w:spacing w:after="0"/>
              <w:rPr>
                <w:rFonts w:eastAsia="Times New Roman"/>
                <w:color w:val="000000"/>
                <w:sz w:val="22"/>
                <w:szCs w:val="22"/>
              </w:rPr>
            </w:pPr>
            <w:r w:rsidRPr="00A242BA">
              <w:rPr>
                <w:rFonts w:eastAsia="Times New Roman"/>
                <w:color w:val="000000"/>
                <w:sz w:val="22"/>
                <w:szCs w:val="22"/>
              </w:rPr>
              <w:t>Cost certification request</w:t>
            </w:r>
          </w:p>
        </w:tc>
        <w:tc>
          <w:tcPr>
            <w:tcW w:w="1976" w:type="dxa"/>
            <w:tcBorders>
              <w:top w:val="nil"/>
              <w:left w:val="nil"/>
              <w:bottom w:val="single" w:sz="4" w:space="0" w:color="auto"/>
              <w:right w:val="single" w:sz="4" w:space="0" w:color="auto"/>
            </w:tcBorders>
            <w:shd w:val="clear" w:color="auto" w:fill="auto"/>
            <w:noWrap/>
            <w:vAlign w:val="bottom"/>
            <w:hideMark/>
          </w:tcPr>
          <w:p w:rsidR="00ED1F47" w:rsidRPr="00ED1F47" w:rsidP="00ED1F47" w14:paraId="6CA545B0" w14:textId="228A8A02">
            <w:pPr>
              <w:spacing w:after="0"/>
              <w:jc w:val="center"/>
              <w:rPr>
                <w:rFonts w:eastAsia="Times New Roman"/>
                <w:color w:val="000000"/>
                <w:sz w:val="22"/>
                <w:szCs w:val="22"/>
              </w:rPr>
            </w:pPr>
            <w:r w:rsidRPr="000659AD">
              <w:rPr>
                <w:color w:val="000000"/>
                <w:sz w:val="22"/>
                <w:szCs w:val="22"/>
              </w:rPr>
              <w:t>$2,676.30</w:t>
            </w:r>
          </w:p>
        </w:tc>
        <w:tc>
          <w:tcPr>
            <w:tcW w:w="2196" w:type="dxa"/>
            <w:tcBorders>
              <w:top w:val="nil"/>
              <w:left w:val="nil"/>
              <w:bottom w:val="single" w:sz="4" w:space="0" w:color="auto"/>
              <w:right w:val="single" w:sz="4" w:space="0" w:color="auto"/>
            </w:tcBorders>
            <w:shd w:val="clear" w:color="auto" w:fill="auto"/>
            <w:noWrap/>
            <w:vAlign w:val="bottom"/>
            <w:hideMark/>
          </w:tcPr>
          <w:p w:rsidR="00ED1F47" w:rsidRPr="00ED1F47" w:rsidP="00ED1F47" w14:paraId="1B6F6993" w14:textId="37DD3888">
            <w:pPr>
              <w:spacing w:after="0"/>
              <w:jc w:val="center"/>
              <w:rPr>
                <w:rFonts w:eastAsia="Times New Roman"/>
                <w:color w:val="000000"/>
                <w:sz w:val="22"/>
                <w:szCs w:val="22"/>
              </w:rPr>
            </w:pPr>
            <w:r w:rsidRPr="000659AD">
              <w:rPr>
                <w:color w:val="000000"/>
                <w:sz w:val="22"/>
                <w:szCs w:val="22"/>
              </w:rPr>
              <w:t>$13,381.50</w:t>
            </w:r>
          </w:p>
        </w:tc>
        <w:tc>
          <w:tcPr>
            <w:tcW w:w="1858" w:type="dxa"/>
            <w:tcBorders>
              <w:top w:val="nil"/>
              <w:left w:val="nil"/>
              <w:bottom w:val="single" w:sz="4" w:space="0" w:color="auto"/>
              <w:right w:val="single" w:sz="4" w:space="0" w:color="auto"/>
            </w:tcBorders>
            <w:shd w:val="clear" w:color="auto" w:fill="auto"/>
            <w:noWrap/>
            <w:vAlign w:val="bottom"/>
            <w:hideMark/>
          </w:tcPr>
          <w:p w:rsidR="00ED1F47" w:rsidRPr="00ED1F47" w:rsidP="00ED1F47" w14:paraId="1C31F0F7" w14:textId="3CCE9006">
            <w:pPr>
              <w:spacing w:after="0"/>
              <w:jc w:val="center"/>
              <w:rPr>
                <w:rFonts w:eastAsia="Times New Roman"/>
                <w:color w:val="000000"/>
                <w:sz w:val="22"/>
                <w:szCs w:val="22"/>
              </w:rPr>
            </w:pPr>
            <w:r w:rsidRPr="000659AD">
              <w:rPr>
                <w:color w:val="000000"/>
                <w:sz w:val="22"/>
                <w:szCs w:val="22"/>
              </w:rPr>
              <w:t>$18,734.10</w:t>
            </w:r>
          </w:p>
        </w:tc>
      </w:tr>
    </w:tbl>
    <w:p w:rsidR="00857DCC" w:rsidP="00C738E4" w14:paraId="53DA50C2" w14:textId="14303D52"/>
    <w:p w:rsidR="00806A70" w:rsidP="00C738E4" w14:paraId="19AD40CB" w14:textId="77777777"/>
    <w:p w:rsidR="00201049" w14:paraId="673E3385" w14:textId="4BD54AE7">
      <w:pPr>
        <w:pStyle w:val="Heading4"/>
      </w:pPr>
      <w:bookmarkStart w:id="131" w:name="_Toc49426776"/>
      <w:bookmarkStart w:id="132" w:name="_Toc49426777"/>
      <w:bookmarkStart w:id="133" w:name="_Toc49426778"/>
      <w:bookmarkStart w:id="134" w:name="_Toc49426779"/>
      <w:bookmarkStart w:id="135" w:name="_Toc49426780"/>
      <w:bookmarkStart w:id="136" w:name="_Toc49426781"/>
      <w:bookmarkStart w:id="137" w:name="_Toc49426821"/>
      <w:bookmarkStart w:id="138" w:name="_Toc49426822"/>
      <w:bookmarkStart w:id="139" w:name="_Toc148515744"/>
      <w:bookmarkEnd w:id="131"/>
      <w:bookmarkEnd w:id="132"/>
      <w:bookmarkEnd w:id="133"/>
      <w:bookmarkEnd w:id="134"/>
      <w:bookmarkEnd w:id="135"/>
      <w:bookmarkEnd w:id="136"/>
      <w:bookmarkEnd w:id="137"/>
      <w:bookmarkEnd w:id="138"/>
      <w:r w:rsidRPr="00CA5CC1">
        <w:t>FDA Must Create Certification Request Form</w:t>
      </w:r>
      <w:bookmarkEnd w:id="139"/>
    </w:p>
    <w:p w:rsidR="00201049" w:rsidP="00201049" w14:paraId="65AA2E6C" w14:textId="00C3D4ED">
      <w:r>
        <w:tab/>
      </w:r>
      <w:bookmarkStart w:id="140" w:name="_Hlk65829774"/>
      <w:r w:rsidR="00AF0899">
        <w:t xml:space="preserve">This </w:t>
      </w:r>
      <w:r w:rsidR="00615F3A">
        <w:t>final</w:t>
      </w:r>
      <w:r w:rsidR="00AF0899">
        <w:t xml:space="preserve"> rule </w:t>
      </w:r>
      <w:r w:rsidR="001940B0">
        <w:t>will</w:t>
      </w:r>
      <w:r w:rsidR="00AF0899">
        <w:t xml:space="preserve"> </w:t>
      </w:r>
      <w:r w:rsidR="00AF0899">
        <w:rPr>
          <w:rFonts w:eastAsia="Times New Roman"/>
        </w:rPr>
        <w:t xml:space="preserve">require </w:t>
      </w:r>
      <w:r w:rsidR="00D841B5">
        <w:rPr>
          <w:rFonts w:eastAsia="Times New Roman"/>
        </w:rPr>
        <w:t>us</w:t>
      </w:r>
      <w:r w:rsidR="00AF0899">
        <w:rPr>
          <w:rFonts w:eastAsia="Times New Roman"/>
        </w:rPr>
        <w:t xml:space="preserve"> </w:t>
      </w:r>
      <w:r w:rsidR="00AF0899">
        <w:t xml:space="preserve">to </w:t>
      </w:r>
      <w:r>
        <w:t xml:space="preserve">create the </w:t>
      </w:r>
      <w:r w:rsidR="00CC33A3">
        <w:t xml:space="preserve">form for </w:t>
      </w:r>
      <w:r>
        <w:t xml:space="preserve">certification </w:t>
      </w:r>
      <w:r w:rsidR="00CC33A3">
        <w:t>requests</w:t>
      </w:r>
      <w:r w:rsidR="00AF0899">
        <w:t xml:space="preserve">. </w:t>
      </w:r>
      <w:r w:rsidR="00A5403C">
        <w:t>SMEs</w:t>
      </w:r>
      <w:r w:rsidR="00D64EFA">
        <w:t xml:space="preserve"> estimate between </w:t>
      </w:r>
      <w:r w:rsidR="00F55ECF">
        <w:t>4</w:t>
      </w:r>
      <w:r w:rsidR="00D64EFA">
        <w:t xml:space="preserve"> and 1</w:t>
      </w:r>
      <w:r w:rsidR="00F55ECF">
        <w:t>4</w:t>
      </w:r>
      <w:r w:rsidR="00D64EFA">
        <w:t xml:space="preserve"> </w:t>
      </w:r>
      <w:r w:rsidR="00BF5B41">
        <w:t>FDA employees</w:t>
      </w:r>
      <w:r w:rsidR="00CB7714">
        <w:t xml:space="preserve"> </w:t>
      </w:r>
      <w:r w:rsidR="006C59E8">
        <w:t>will</w:t>
      </w:r>
      <w:r w:rsidR="00CB7714">
        <w:t xml:space="preserve"> work on preparing the certification request form</w:t>
      </w:r>
      <w:r w:rsidR="00D64EFA">
        <w:t xml:space="preserve">. </w:t>
      </w:r>
      <w:r w:rsidR="00CB7714">
        <w:t>They</w:t>
      </w:r>
      <w:r w:rsidR="00405CEC">
        <w:t xml:space="preserve"> estimate </w:t>
      </w:r>
      <w:r w:rsidR="00CB7714">
        <w:t>4</w:t>
      </w:r>
      <w:r w:rsidR="00405CEC">
        <w:t xml:space="preserve"> to </w:t>
      </w:r>
      <w:r w:rsidR="00CB7714">
        <w:t>12</w:t>
      </w:r>
      <w:r w:rsidR="00405CEC">
        <w:t xml:space="preserve"> hours per person to create and approve the form. </w:t>
      </w:r>
      <w:bookmarkEnd w:id="140"/>
    </w:p>
    <w:p w:rsidR="00201049" w14:paraId="176EFA08" w14:textId="32AAF426">
      <w:pPr>
        <w:ind w:firstLine="720"/>
      </w:pPr>
      <w:bookmarkStart w:id="141" w:name="_Hlk33109335"/>
      <w:r>
        <w:t>We</w:t>
      </w:r>
      <w:r w:rsidRPr="00F877E2">
        <w:t xml:space="preserve"> use </w:t>
      </w:r>
      <w:r w:rsidR="003153D7">
        <w:t>2022</w:t>
      </w:r>
      <w:r>
        <w:t xml:space="preserve"> </w:t>
      </w:r>
      <w:r w:rsidR="00BF5B41">
        <w:t>FDA-wide</w:t>
      </w:r>
      <w:r>
        <w:t xml:space="preserve"> FTE </w:t>
      </w:r>
      <w:r w:rsidR="003B7FE9">
        <w:t xml:space="preserve">value </w:t>
      </w:r>
      <w:r>
        <w:t>to estimate the fully</w:t>
      </w:r>
      <w:r w:rsidR="00540C58">
        <w:t>-</w:t>
      </w:r>
      <w:r>
        <w:t>loaded wage rate of $</w:t>
      </w:r>
      <w:r w:rsidR="00350C97">
        <w:t>142.52</w:t>
      </w:r>
      <w:r w:rsidRPr="00F877E2">
        <w:t xml:space="preserve">. </w:t>
      </w:r>
      <w:bookmarkEnd w:id="141"/>
      <w:r w:rsidRPr="00FC2612" w:rsidR="00AA0928">
        <w:fldChar w:fldCharType="begin"/>
      </w:r>
      <w:r w:rsidRPr="00FC2612" w:rsidR="00AA0928">
        <w:instrText xml:space="preserve"> REF _Ref36651541 \h  \* MERGEFORMAT </w:instrText>
      </w:r>
      <w:r w:rsidR="00D44212">
        <w:fldChar w:fldCharType="separate"/>
      </w:r>
      <w:r w:rsidRPr="00FC2612" w:rsidR="00AA0928">
        <w:fldChar w:fldCharType="end"/>
      </w:r>
      <w:r w:rsidRPr="00FC2612" w:rsidR="00FC2612">
        <w:fldChar w:fldCharType="begin"/>
      </w:r>
      <w:r w:rsidRPr="00FC2612" w:rsidR="00FC2612">
        <w:instrText xml:space="preserve"> REF _Ref132015971 \h </w:instrText>
      </w:r>
      <w:r w:rsidRPr="004848C7" w:rsidR="00FC2612">
        <w:instrText xml:space="preserve"> \* MERGEFORMAT </w:instrText>
      </w:r>
      <w:r w:rsidRPr="00FC2612" w:rsidR="00FC2612">
        <w:fldChar w:fldCharType="separate"/>
      </w:r>
      <w:r w:rsidRPr="004848C7" w:rsidR="00FC2612">
        <w:t xml:space="preserve">Table </w:t>
      </w:r>
      <w:r w:rsidRPr="004848C7" w:rsidR="00FC2612">
        <w:rPr>
          <w:noProof/>
        </w:rPr>
        <w:t>23</w:t>
      </w:r>
      <w:r w:rsidRPr="00FC2612" w:rsidR="00FC2612">
        <w:fldChar w:fldCharType="end"/>
      </w:r>
      <w:r w:rsidRPr="00596412" w:rsidR="00AA0928">
        <w:t xml:space="preserve"> shows</w:t>
      </w:r>
      <w:r w:rsidR="00AA0928">
        <w:t xml:space="preserve"> the one-time costs of FDA designing a certification request form. </w:t>
      </w:r>
      <w:r w:rsidR="00405CEC">
        <w:t>T</w:t>
      </w:r>
      <w:r>
        <w:t xml:space="preserve">he total one-time cost of </w:t>
      </w:r>
      <w:r w:rsidR="00C901A9">
        <w:t xml:space="preserve">the </w:t>
      </w:r>
      <w:r>
        <w:t xml:space="preserve">FDA forms committee creating this form </w:t>
      </w:r>
      <w:r w:rsidR="001940B0">
        <w:t>will</w:t>
      </w:r>
      <w:r>
        <w:t xml:space="preserve"> range from $</w:t>
      </w:r>
      <w:r w:rsidR="0035730C">
        <w:t>2</w:t>
      </w:r>
      <w:r w:rsidR="00F47961">
        <w:t>,</w:t>
      </w:r>
      <w:r w:rsidR="00ED1F47">
        <w:t>2</w:t>
      </w:r>
      <w:r w:rsidR="00350C97">
        <w:t>80</w:t>
      </w:r>
      <w:r>
        <w:t xml:space="preserve"> to $</w:t>
      </w:r>
      <w:r w:rsidR="0035730C">
        <w:t>2</w:t>
      </w:r>
      <w:r w:rsidR="00923D0C">
        <w:t>3</w:t>
      </w:r>
      <w:r w:rsidR="00F47961">
        <w:t>,</w:t>
      </w:r>
      <w:r w:rsidR="00350C97">
        <w:t>944</w:t>
      </w:r>
      <w:r>
        <w:t xml:space="preserve"> with a primary estimate of $</w:t>
      </w:r>
      <w:r w:rsidR="00923D0C">
        <w:t>10</w:t>
      </w:r>
      <w:r>
        <w:t>,</w:t>
      </w:r>
      <w:r w:rsidR="00350C97">
        <w:t>262</w:t>
      </w:r>
      <w:r w:rsidR="00960FAB">
        <w:t>.</w:t>
      </w:r>
    </w:p>
    <w:p w:rsidR="00806A70" w:rsidP="00806A70" w14:paraId="15242EC7" w14:textId="282339F9"/>
    <w:p w:rsidR="00806A70" w:rsidRPr="004E4BB8" w:rsidP="004E4BB8" w14:paraId="6A73C957" w14:textId="16B7CDCE">
      <w:pPr>
        <w:pStyle w:val="Caption"/>
        <w:keepNext/>
        <w:rPr>
          <w:b/>
        </w:rPr>
      </w:pPr>
      <w:bookmarkStart w:id="142" w:name="_Ref36651541"/>
      <w:bookmarkStart w:id="143" w:name="_Ref132015971"/>
      <w:bookmarkStart w:id="144" w:name="_Toc147238767"/>
      <w:r w:rsidRPr="004E4BB8">
        <w:rPr>
          <w:b/>
        </w:rPr>
        <w:t xml:space="preserve">Table </w:t>
      </w:r>
      <w:bookmarkEnd w:id="142"/>
      <w:r w:rsidRPr="004E4BB8" w:rsidR="006964F6">
        <w:rPr>
          <w:b/>
        </w:rPr>
        <w:fldChar w:fldCharType="begin"/>
      </w:r>
      <w:r w:rsidRPr="004E4BB8" w:rsidR="006964F6">
        <w:rPr>
          <w:b/>
        </w:rPr>
        <w:instrText xml:space="preserve"> SEQ Table \* ARABIC </w:instrText>
      </w:r>
      <w:r w:rsidRPr="004E4BB8" w:rsidR="006964F6">
        <w:rPr>
          <w:b/>
        </w:rPr>
        <w:fldChar w:fldCharType="separate"/>
      </w:r>
      <w:r w:rsidR="0011482F">
        <w:rPr>
          <w:b/>
          <w:noProof/>
        </w:rPr>
        <w:t>23</w:t>
      </w:r>
      <w:r w:rsidRPr="004E4BB8" w:rsidR="006964F6">
        <w:rPr>
          <w:b/>
        </w:rPr>
        <w:fldChar w:fldCharType="end"/>
      </w:r>
      <w:bookmarkEnd w:id="143"/>
      <w:r w:rsidRPr="004E4BB8">
        <w:rPr>
          <w:b/>
        </w:rPr>
        <w:t>. Cost of Creating Certification Request Form</w:t>
      </w:r>
      <w:bookmarkEnd w:id="144"/>
    </w:p>
    <w:tbl>
      <w:tblPr>
        <w:tblW w:w="5000" w:type="pct"/>
        <w:tblLook w:val="04A0"/>
      </w:tblPr>
      <w:tblGrid>
        <w:gridCol w:w="3991"/>
        <w:gridCol w:w="1694"/>
        <w:gridCol w:w="1786"/>
        <w:gridCol w:w="1879"/>
      </w:tblGrid>
      <w:tr w14:paraId="634D3209" w14:textId="77777777" w:rsidTr="00350C97">
        <w:tblPrEx>
          <w:tblW w:w="5000" w:type="pct"/>
          <w:tblLook w:val="04A0"/>
        </w:tblPrEx>
        <w:trPr>
          <w:trHeight w:val="216"/>
        </w:trPr>
        <w:tc>
          <w:tcPr>
            <w:tcW w:w="3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A47A7" w:rsidRPr="00F70002" w:rsidP="009A47A7" w14:paraId="238FF36F" w14:textId="77777777">
            <w:pPr>
              <w:spacing w:after="0"/>
              <w:rPr>
                <w:rFonts w:eastAsia="Times New Roman"/>
                <w:color w:val="000000"/>
                <w:sz w:val="22"/>
                <w:szCs w:val="22"/>
              </w:rPr>
            </w:pPr>
            <w:r w:rsidRPr="00F70002">
              <w:rPr>
                <w:rFonts w:eastAsia="Times New Roman"/>
                <w:color w:val="000000"/>
                <w:sz w:val="22"/>
                <w:szCs w:val="22"/>
              </w:rPr>
              <w:t> </w:t>
            </w:r>
          </w:p>
        </w:tc>
        <w:tc>
          <w:tcPr>
            <w:tcW w:w="169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A47A7" w:rsidRPr="00F70002" w:rsidP="00AC2CB0" w14:paraId="647AADF5" w14:textId="77777777">
            <w:pPr>
              <w:spacing w:after="0"/>
              <w:jc w:val="center"/>
              <w:rPr>
                <w:rFonts w:eastAsia="Times New Roman"/>
                <w:b/>
                <w:color w:val="000000"/>
                <w:sz w:val="22"/>
                <w:szCs w:val="22"/>
              </w:rPr>
            </w:pPr>
            <w:r w:rsidRPr="00F70002">
              <w:rPr>
                <w:rFonts w:eastAsia="Times New Roman"/>
                <w:b/>
                <w:color w:val="000000"/>
                <w:sz w:val="22"/>
                <w:szCs w:val="22"/>
              </w:rPr>
              <w:t>Low</w:t>
            </w:r>
          </w:p>
        </w:tc>
        <w:tc>
          <w:tcPr>
            <w:tcW w:w="178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A47A7" w:rsidRPr="00F70002" w:rsidP="00AC2CB0" w14:paraId="51707887" w14:textId="77777777">
            <w:pPr>
              <w:spacing w:after="0"/>
              <w:jc w:val="center"/>
              <w:rPr>
                <w:rFonts w:eastAsia="Times New Roman"/>
                <w:b/>
                <w:color w:val="000000"/>
                <w:sz w:val="22"/>
                <w:szCs w:val="22"/>
              </w:rPr>
            </w:pPr>
            <w:r w:rsidRPr="00F70002">
              <w:rPr>
                <w:rFonts w:eastAsia="Times New Roman"/>
                <w:b/>
                <w:color w:val="000000"/>
                <w:sz w:val="22"/>
                <w:szCs w:val="22"/>
              </w:rPr>
              <w:t>Primary</w:t>
            </w:r>
          </w:p>
        </w:tc>
        <w:tc>
          <w:tcPr>
            <w:tcW w:w="187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A47A7" w:rsidRPr="00F70002" w:rsidP="00AC2CB0" w14:paraId="62CCBBCA" w14:textId="77777777">
            <w:pPr>
              <w:spacing w:after="0"/>
              <w:jc w:val="center"/>
              <w:rPr>
                <w:rFonts w:eastAsia="Times New Roman"/>
                <w:b/>
                <w:color w:val="000000"/>
                <w:sz w:val="22"/>
                <w:szCs w:val="22"/>
              </w:rPr>
            </w:pPr>
            <w:r w:rsidRPr="00F70002">
              <w:rPr>
                <w:rFonts w:eastAsia="Times New Roman"/>
                <w:b/>
                <w:color w:val="000000"/>
                <w:sz w:val="22"/>
                <w:szCs w:val="22"/>
              </w:rPr>
              <w:t>High</w:t>
            </w:r>
          </w:p>
        </w:tc>
      </w:tr>
      <w:tr w14:paraId="34D2E90E" w14:textId="77777777" w:rsidTr="00350C97">
        <w:tblPrEx>
          <w:tblW w:w="5000" w:type="pct"/>
          <w:tblLook w:val="04A0"/>
        </w:tblPrEx>
        <w:trPr>
          <w:trHeight w:val="216"/>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9A47A7" w:rsidRPr="00F70002" w:rsidP="009A47A7" w14:paraId="23857490" w14:textId="77777777">
            <w:pPr>
              <w:spacing w:after="0"/>
              <w:rPr>
                <w:rFonts w:eastAsia="Times New Roman"/>
                <w:color w:val="000000"/>
                <w:sz w:val="22"/>
                <w:szCs w:val="22"/>
              </w:rPr>
            </w:pPr>
            <w:r w:rsidRPr="00F70002">
              <w:rPr>
                <w:rFonts w:eastAsia="Times New Roman"/>
                <w:color w:val="000000"/>
                <w:sz w:val="22"/>
                <w:szCs w:val="22"/>
              </w:rPr>
              <w:t>Number of non-managers on forms committee</w:t>
            </w:r>
          </w:p>
        </w:tc>
        <w:tc>
          <w:tcPr>
            <w:tcW w:w="1694"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51D5845D" w14:textId="0B322BA6">
            <w:pPr>
              <w:spacing w:after="0"/>
              <w:jc w:val="center"/>
              <w:rPr>
                <w:rFonts w:eastAsia="Times New Roman"/>
                <w:color w:val="000000"/>
                <w:sz w:val="22"/>
                <w:szCs w:val="22"/>
              </w:rPr>
            </w:pPr>
            <w:r>
              <w:rPr>
                <w:rFonts w:eastAsia="Times New Roman"/>
                <w:color w:val="000000"/>
                <w:sz w:val="22"/>
                <w:szCs w:val="22"/>
              </w:rPr>
              <w:t>4</w:t>
            </w:r>
          </w:p>
        </w:tc>
        <w:tc>
          <w:tcPr>
            <w:tcW w:w="1786"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0743CBA4" w14:textId="1EC127C5">
            <w:pPr>
              <w:spacing w:after="0"/>
              <w:jc w:val="center"/>
              <w:rPr>
                <w:rFonts w:eastAsia="Times New Roman"/>
                <w:color w:val="000000"/>
                <w:sz w:val="22"/>
                <w:szCs w:val="22"/>
              </w:rPr>
            </w:pPr>
            <w:r>
              <w:rPr>
                <w:rFonts w:eastAsia="Times New Roman"/>
                <w:color w:val="000000"/>
                <w:sz w:val="22"/>
                <w:szCs w:val="22"/>
              </w:rPr>
              <w:t>9</w:t>
            </w:r>
          </w:p>
        </w:tc>
        <w:tc>
          <w:tcPr>
            <w:tcW w:w="1879"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4EE7FC9D" w14:textId="731F7E54">
            <w:pPr>
              <w:spacing w:after="0"/>
              <w:jc w:val="center"/>
              <w:rPr>
                <w:rFonts w:eastAsia="Times New Roman"/>
                <w:color w:val="000000"/>
                <w:sz w:val="22"/>
                <w:szCs w:val="22"/>
              </w:rPr>
            </w:pPr>
            <w:r w:rsidRPr="00F70002">
              <w:rPr>
                <w:rFonts w:eastAsia="Times New Roman"/>
                <w:color w:val="000000"/>
                <w:sz w:val="22"/>
                <w:szCs w:val="22"/>
              </w:rPr>
              <w:t>1</w:t>
            </w:r>
            <w:r w:rsidR="00F55ECF">
              <w:rPr>
                <w:rFonts w:eastAsia="Times New Roman"/>
                <w:color w:val="000000"/>
                <w:sz w:val="22"/>
                <w:szCs w:val="22"/>
              </w:rPr>
              <w:t>4</w:t>
            </w:r>
          </w:p>
        </w:tc>
      </w:tr>
      <w:tr w14:paraId="1E766C27" w14:textId="77777777" w:rsidTr="00350C97">
        <w:tblPrEx>
          <w:tblW w:w="5000" w:type="pct"/>
          <w:tblLook w:val="04A0"/>
        </w:tblPrEx>
        <w:trPr>
          <w:trHeight w:val="216"/>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9A47A7" w:rsidRPr="00F70002" w:rsidP="009A47A7" w14:paraId="1A4385A5" w14:textId="1A3E624D">
            <w:pPr>
              <w:spacing w:after="0"/>
              <w:rPr>
                <w:rFonts w:eastAsia="Times New Roman"/>
                <w:color w:val="000000"/>
                <w:sz w:val="22"/>
                <w:szCs w:val="22"/>
              </w:rPr>
            </w:pPr>
            <w:r>
              <w:rPr>
                <w:rFonts w:eastAsia="Times New Roman"/>
                <w:color w:val="000000"/>
                <w:sz w:val="22"/>
                <w:szCs w:val="22"/>
              </w:rPr>
              <w:t>FDA-wide FTE</w:t>
            </w:r>
          </w:p>
        </w:tc>
        <w:tc>
          <w:tcPr>
            <w:tcW w:w="1694"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2B6AD054" w14:textId="5A7A796E">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c>
          <w:tcPr>
            <w:tcW w:w="1786"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3BC6E1A2" w14:textId="39C3D77B">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c>
          <w:tcPr>
            <w:tcW w:w="1879"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57CAE9C1" w14:textId="24D7033B">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r>
      <w:tr w14:paraId="33C45766" w14:textId="77777777" w:rsidTr="00350C97">
        <w:tblPrEx>
          <w:tblW w:w="5000" w:type="pct"/>
          <w:tblLook w:val="04A0"/>
        </w:tblPrEx>
        <w:trPr>
          <w:trHeight w:val="216"/>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9A47A7" w:rsidRPr="00F70002" w:rsidP="009A47A7" w14:paraId="401FE23E" w14:textId="77777777">
            <w:pPr>
              <w:spacing w:after="0"/>
              <w:rPr>
                <w:rFonts w:eastAsia="Times New Roman"/>
                <w:color w:val="000000"/>
                <w:sz w:val="22"/>
                <w:szCs w:val="22"/>
              </w:rPr>
            </w:pPr>
            <w:r w:rsidRPr="00F70002">
              <w:rPr>
                <w:rFonts w:eastAsia="Times New Roman"/>
                <w:color w:val="000000"/>
                <w:sz w:val="22"/>
                <w:szCs w:val="22"/>
              </w:rPr>
              <w:t xml:space="preserve">Hours per individual </w:t>
            </w:r>
          </w:p>
        </w:tc>
        <w:tc>
          <w:tcPr>
            <w:tcW w:w="1694"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223748B4" w14:textId="374FC02C">
            <w:pPr>
              <w:spacing w:after="0"/>
              <w:jc w:val="center"/>
              <w:rPr>
                <w:rFonts w:eastAsia="Times New Roman"/>
                <w:color w:val="000000"/>
                <w:sz w:val="22"/>
                <w:szCs w:val="22"/>
              </w:rPr>
            </w:pPr>
            <w:r>
              <w:rPr>
                <w:rFonts w:eastAsia="Times New Roman"/>
                <w:color w:val="000000"/>
                <w:sz w:val="22"/>
                <w:szCs w:val="22"/>
              </w:rPr>
              <w:t>4</w:t>
            </w:r>
          </w:p>
        </w:tc>
        <w:tc>
          <w:tcPr>
            <w:tcW w:w="1786"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3DECF59C" w14:textId="098C246A">
            <w:pPr>
              <w:spacing w:after="0"/>
              <w:jc w:val="center"/>
              <w:rPr>
                <w:rFonts w:eastAsia="Times New Roman"/>
                <w:color w:val="000000"/>
                <w:sz w:val="22"/>
                <w:szCs w:val="22"/>
              </w:rPr>
            </w:pPr>
            <w:r>
              <w:rPr>
                <w:rFonts w:eastAsia="Times New Roman"/>
                <w:color w:val="000000"/>
                <w:sz w:val="22"/>
                <w:szCs w:val="22"/>
              </w:rPr>
              <w:t>8</w:t>
            </w:r>
          </w:p>
        </w:tc>
        <w:tc>
          <w:tcPr>
            <w:tcW w:w="1879" w:type="dxa"/>
            <w:tcBorders>
              <w:top w:val="nil"/>
              <w:left w:val="nil"/>
              <w:bottom w:val="single" w:sz="4" w:space="0" w:color="auto"/>
              <w:right w:val="single" w:sz="4" w:space="0" w:color="auto"/>
            </w:tcBorders>
            <w:shd w:val="clear" w:color="auto" w:fill="auto"/>
            <w:noWrap/>
            <w:vAlign w:val="bottom"/>
            <w:hideMark/>
          </w:tcPr>
          <w:p w:rsidR="009A47A7" w:rsidRPr="00F70002" w:rsidP="00AC2CB0" w14:paraId="469741CE" w14:textId="605DB479">
            <w:pPr>
              <w:spacing w:after="0"/>
              <w:jc w:val="center"/>
              <w:rPr>
                <w:rFonts w:eastAsia="Times New Roman"/>
                <w:color w:val="000000"/>
                <w:sz w:val="22"/>
                <w:szCs w:val="22"/>
              </w:rPr>
            </w:pPr>
            <w:r>
              <w:rPr>
                <w:rFonts w:eastAsia="Times New Roman"/>
                <w:color w:val="000000"/>
                <w:sz w:val="22"/>
                <w:szCs w:val="22"/>
              </w:rPr>
              <w:t>12</w:t>
            </w:r>
          </w:p>
        </w:tc>
      </w:tr>
      <w:tr w14:paraId="260AA809" w14:textId="77777777" w:rsidTr="00350C97">
        <w:tblPrEx>
          <w:tblW w:w="5000" w:type="pct"/>
          <w:tblLook w:val="04A0"/>
        </w:tblPrEx>
        <w:trPr>
          <w:trHeight w:val="216"/>
        </w:trPr>
        <w:tc>
          <w:tcPr>
            <w:tcW w:w="399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9A47A7" w:rsidRPr="00F70002" w:rsidP="009A47A7" w14:paraId="4CB4C4B8" w14:textId="69C2563C">
            <w:pPr>
              <w:spacing w:after="0"/>
              <w:rPr>
                <w:rFonts w:eastAsia="Times New Roman"/>
                <w:b/>
                <w:color w:val="000000"/>
                <w:sz w:val="22"/>
                <w:szCs w:val="22"/>
              </w:rPr>
            </w:pPr>
            <w:r w:rsidRPr="00F70002">
              <w:rPr>
                <w:rFonts w:eastAsia="Times New Roman"/>
                <w:b/>
                <w:color w:val="000000"/>
                <w:sz w:val="22"/>
                <w:szCs w:val="22"/>
              </w:rPr>
              <w:t>One-time cost</w:t>
            </w:r>
          </w:p>
        </w:tc>
        <w:tc>
          <w:tcPr>
            <w:tcW w:w="1694" w:type="dxa"/>
            <w:tcBorders>
              <w:top w:val="nil"/>
              <w:left w:val="nil"/>
              <w:bottom w:val="single" w:sz="4" w:space="0" w:color="auto"/>
              <w:right w:val="single" w:sz="4" w:space="0" w:color="auto"/>
            </w:tcBorders>
            <w:shd w:val="clear" w:color="auto" w:fill="D9D9D9" w:themeFill="background1" w:themeFillShade="D9"/>
            <w:noWrap/>
            <w:vAlign w:val="bottom"/>
          </w:tcPr>
          <w:p w:rsidR="009A47A7" w:rsidRPr="00F70002" w:rsidP="00AC2CB0" w14:paraId="4DEBA10F" w14:textId="77777777">
            <w:pPr>
              <w:spacing w:after="0"/>
              <w:jc w:val="center"/>
              <w:rPr>
                <w:rFonts w:eastAsia="Times New Roman"/>
                <w:color w:val="000000"/>
                <w:sz w:val="22"/>
                <w:szCs w:val="22"/>
              </w:rPr>
            </w:pPr>
          </w:p>
        </w:tc>
        <w:tc>
          <w:tcPr>
            <w:tcW w:w="1786" w:type="dxa"/>
            <w:tcBorders>
              <w:top w:val="nil"/>
              <w:left w:val="nil"/>
              <w:bottom w:val="single" w:sz="4" w:space="0" w:color="auto"/>
              <w:right w:val="single" w:sz="4" w:space="0" w:color="auto"/>
            </w:tcBorders>
            <w:shd w:val="clear" w:color="auto" w:fill="D9D9D9" w:themeFill="background1" w:themeFillShade="D9"/>
            <w:noWrap/>
            <w:vAlign w:val="bottom"/>
          </w:tcPr>
          <w:p w:rsidR="009A47A7" w:rsidRPr="00F70002" w:rsidP="00AC2CB0" w14:paraId="638E8A99" w14:textId="77777777">
            <w:pPr>
              <w:spacing w:after="0"/>
              <w:jc w:val="center"/>
              <w:rPr>
                <w:rFonts w:eastAsia="Times New Roman"/>
                <w:color w:val="000000"/>
                <w:sz w:val="22"/>
                <w:szCs w:val="22"/>
              </w:rPr>
            </w:pPr>
          </w:p>
        </w:tc>
        <w:tc>
          <w:tcPr>
            <w:tcW w:w="1879" w:type="dxa"/>
            <w:tcBorders>
              <w:top w:val="nil"/>
              <w:left w:val="nil"/>
              <w:bottom w:val="single" w:sz="4" w:space="0" w:color="auto"/>
              <w:right w:val="single" w:sz="4" w:space="0" w:color="auto"/>
            </w:tcBorders>
            <w:shd w:val="clear" w:color="auto" w:fill="D9D9D9" w:themeFill="background1" w:themeFillShade="D9"/>
            <w:noWrap/>
            <w:vAlign w:val="bottom"/>
          </w:tcPr>
          <w:p w:rsidR="009A47A7" w:rsidRPr="00F70002" w:rsidP="00AC2CB0" w14:paraId="6E67FABA" w14:textId="77777777">
            <w:pPr>
              <w:spacing w:after="0"/>
              <w:jc w:val="center"/>
              <w:rPr>
                <w:rFonts w:eastAsia="Times New Roman"/>
                <w:color w:val="000000"/>
                <w:sz w:val="22"/>
                <w:szCs w:val="22"/>
              </w:rPr>
            </w:pPr>
          </w:p>
        </w:tc>
      </w:tr>
      <w:tr w14:paraId="22D05504" w14:textId="77777777" w:rsidTr="00350C97">
        <w:tblPrEx>
          <w:tblW w:w="5000" w:type="pct"/>
          <w:tblLook w:val="04A0"/>
        </w:tblPrEx>
        <w:trPr>
          <w:trHeight w:val="216"/>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350C97" w:rsidRPr="00F70002" w:rsidP="00350C97" w14:paraId="0E59BC8C" w14:textId="77777777">
            <w:pPr>
              <w:spacing w:after="0"/>
              <w:rPr>
                <w:rFonts w:eastAsia="Times New Roman"/>
                <w:color w:val="000000"/>
                <w:sz w:val="22"/>
                <w:szCs w:val="22"/>
              </w:rPr>
            </w:pPr>
            <w:r w:rsidRPr="00F70002">
              <w:rPr>
                <w:rFonts w:eastAsia="Times New Roman"/>
                <w:color w:val="000000"/>
                <w:sz w:val="22"/>
                <w:szCs w:val="22"/>
              </w:rPr>
              <w:t>One-time cost of approving form</w:t>
            </w:r>
          </w:p>
        </w:tc>
        <w:tc>
          <w:tcPr>
            <w:tcW w:w="1694"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23A30E31" w14:textId="67A3C1AD">
            <w:pPr>
              <w:spacing w:after="0"/>
              <w:jc w:val="center"/>
              <w:rPr>
                <w:rFonts w:eastAsia="Times New Roman"/>
                <w:color w:val="000000"/>
                <w:sz w:val="22"/>
                <w:szCs w:val="22"/>
              </w:rPr>
            </w:pPr>
            <w:r w:rsidRPr="000659AD">
              <w:rPr>
                <w:color w:val="000000"/>
                <w:sz w:val="22"/>
                <w:szCs w:val="22"/>
              </w:rPr>
              <w:t>$2,280.38</w:t>
            </w:r>
          </w:p>
        </w:tc>
        <w:tc>
          <w:tcPr>
            <w:tcW w:w="1786"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416444A5" w14:textId="104A027C">
            <w:pPr>
              <w:spacing w:after="0"/>
              <w:jc w:val="center"/>
              <w:rPr>
                <w:rFonts w:eastAsia="Times New Roman"/>
                <w:color w:val="000000"/>
                <w:sz w:val="22"/>
                <w:szCs w:val="22"/>
              </w:rPr>
            </w:pPr>
            <w:r w:rsidRPr="000659AD">
              <w:rPr>
                <w:color w:val="000000"/>
                <w:sz w:val="22"/>
                <w:szCs w:val="22"/>
              </w:rPr>
              <w:t>$10,261.73</w:t>
            </w:r>
          </w:p>
        </w:tc>
        <w:tc>
          <w:tcPr>
            <w:tcW w:w="1879"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3EAA356C" w14:textId="024E1376">
            <w:pPr>
              <w:spacing w:after="0"/>
              <w:jc w:val="center"/>
              <w:rPr>
                <w:rFonts w:eastAsia="Times New Roman"/>
                <w:color w:val="000000"/>
                <w:sz w:val="22"/>
                <w:szCs w:val="22"/>
              </w:rPr>
            </w:pPr>
            <w:r w:rsidRPr="000659AD">
              <w:rPr>
                <w:color w:val="000000"/>
                <w:sz w:val="22"/>
                <w:szCs w:val="22"/>
              </w:rPr>
              <w:t>$23,944.04</w:t>
            </w:r>
          </w:p>
        </w:tc>
      </w:tr>
    </w:tbl>
    <w:p w:rsidR="00201049" w:rsidP="00201049" w14:paraId="21D6C256" w14:textId="76FFFE2C"/>
    <w:p w:rsidR="00806A70" w:rsidP="00201049" w14:paraId="55C6C995" w14:textId="77777777"/>
    <w:p w:rsidR="002B27AD" w:rsidP="004E4BB8" w14:paraId="600DE35B" w14:textId="3F91710A">
      <w:pPr>
        <w:pStyle w:val="Heading4"/>
      </w:pPr>
      <w:bookmarkStart w:id="145" w:name="_Toc148515745"/>
      <w:r>
        <w:t>Annual Report for Granted Certifications</w:t>
      </w:r>
      <w:bookmarkEnd w:id="145"/>
    </w:p>
    <w:p w:rsidR="00C06496" w:rsidRPr="00C06496" w:rsidP="00C06496" w14:paraId="6AD36ED3" w14:textId="05E8D036">
      <w:r>
        <w:tab/>
      </w:r>
      <w:r w:rsidR="00972E03">
        <w:t xml:space="preserve">This </w:t>
      </w:r>
      <w:r w:rsidR="00615F3A">
        <w:t>final</w:t>
      </w:r>
      <w:r w:rsidR="00972E03">
        <w:t xml:space="preserve"> rule </w:t>
      </w:r>
      <w:r w:rsidR="001940B0">
        <w:t>will</w:t>
      </w:r>
      <w:r w:rsidR="00972E03">
        <w:t xml:space="preserve"> require manufacturers </w:t>
      </w:r>
      <w:r w:rsidRPr="00972E03" w:rsidR="00972E03">
        <w:t xml:space="preserve">to submit an annual report each year within 60 </w:t>
      </w:r>
      <w:r w:rsidR="003A7F28">
        <w:t>calendar</w:t>
      </w:r>
      <w:r w:rsidRPr="00972E03" w:rsidR="00972E03">
        <w:t xml:space="preserve"> days of the </w:t>
      </w:r>
      <w:r w:rsidR="00294011">
        <w:t>new calendar year</w:t>
      </w:r>
      <w:r w:rsidRPr="00972E03" w:rsidR="00972E03">
        <w:t xml:space="preserve">. </w:t>
      </w:r>
      <w:r w:rsidR="00903448">
        <w:t xml:space="preserve">We have received </w:t>
      </w:r>
      <w:r w:rsidR="00976D18">
        <w:t>9</w:t>
      </w:r>
      <w:r w:rsidR="008D37A1">
        <w:t>8</w:t>
      </w:r>
      <w:r w:rsidR="00903448">
        <w:t xml:space="preserve"> certification requests </w:t>
      </w:r>
      <w:r w:rsidR="00974D02">
        <w:t>through</w:t>
      </w:r>
      <w:r w:rsidR="00581893">
        <w:t xml:space="preserve"> the end of 2023</w:t>
      </w:r>
      <w:r w:rsidR="00E9047F">
        <w:t xml:space="preserve"> </w:t>
      </w:r>
      <w:r w:rsidR="00903448">
        <w:t>and anticipate 25 additional certification requests as a result of this rulemaking</w:t>
      </w:r>
      <w:r w:rsidRPr="00C06496">
        <w:t xml:space="preserve">. </w:t>
      </w:r>
      <w:r w:rsidR="00444EF9">
        <w:t>This regulation</w:t>
      </w:r>
      <w:r w:rsidR="00D841B5">
        <w:t xml:space="preserve"> </w:t>
      </w:r>
      <w:r w:rsidR="006D7D9A">
        <w:t>for the annual report</w:t>
      </w:r>
      <w:r w:rsidR="00F67A8D">
        <w:t xml:space="preserve"> </w:t>
      </w:r>
      <w:r w:rsidR="00444EF9">
        <w:t>requires</w:t>
      </w:r>
      <w:r w:rsidR="006D7D9A">
        <w:t xml:space="preserve"> less information</w:t>
      </w:r>
      <w:r w:rsidR="00444EF9">
        <w:t xml:space="preserve"> than</w:t>
      </w:r>
      <w:r w:rsidR="006D7D9A">
        <w:t xml:space="preserve"> </w:t>
      </w:r>
      <w:r w:rsidR="00680AA8">
        <w:t xml:space="preserve">under the </w:t>
      </w:r>
      <w:r w:rsidR="00444EF9">
        <w:t>current regulation</w:t>
      </w:r>
      <w:r w:rsidR="00903448">
        <w:t xml:space="preserve">. </w:t>
      </w:r>
      <w:r w:rsidR="006D7D9A">
        <w:t xml:space="preserve">However, </w:t>
      </w:r>
      <w:r w:rsidR="005D7CD2">
        <w:t>because FDA has exercised enforcement discretion with respect to the submission of annual reports under §</w:t>
      </w:r>
      <w:r w:rsidR="00C901A9">
        <w:t xml:space="preserve"> </w:t>
      </w:r>
      <w:r w:rsidR="00097A9A">
        <w:t xml:space="preserve">314.81(b)(2), as explained in </w:t>
      </w:r>
      <w:r w:rsidR="004B2CEC">
        <w:t xml:space="preserve">FDA’s Compliance Program Guidance </w:t>
      </w:r>
      <w:r w:rsidR="004B2CEC">
        <w:t>Manual 7356.002E</w:t>
      </w:r>
      <w:r w:rsidR="005055FF">
        <w:t>,</w:t>
      </w:r>
      <w:r w:rsidR="00380716">
        <w:t xml:space="preserve"> compliance with this requirement represents</w:t>
      </w:r>
      <w:r w:rsidR="0055527F">
        <w:t xml:space="preserve"> </w:t>
      </w:r>
      <w:r w:rsidR="00680AA8">
        <w:t xml:space="preserve">an </w:t>
      </w:r>
      <w:r w:rsidR="00444EF9">
        <w:t xml:space="preserve">added </w:t>
      </w:r>
      <w:r w:rsidR="00380716">
        <w:t xml:space="preserve">cost </w:t>
      </w:r>
      <w:r w:rsidR="00680AA8">
        <w:t>to</w:t>
      </w:r>
      <w:r w:rsidR="00444EF9">
        <w:t xml:space="preserve"> </w:t>
      </w:r>
      <w:r w:rsidR="00241760">
        <w:t>firms submitting annual reports for grant</w:t>
      </w:r>
      <w:r w:rsidR="00CC4B8B">
        <w:t>ed</w:t>
      </w:r>
      <w:r w:rsidR="00241760">
        <w:t xml:space="preserve"> certifications.</w:t>
      </w:r>
      <w:r>
        <w:rPr>
          <w:rStyle w:val="FootnoteReference"/>
        </w:rPr>
        <w:footnoteReference w:id="21"/>
      </w:r>
    </w:p>
    <w:p w:rsidR="00C06496" w:rsidRPr="00C06496" w:rsidP="00C06496" w14:paraId="4C4F87AB" w14:textId="3FA83EB4">
      <w:r w:rsidRPr="00C06496">
        <w:tab/>
        <w:t>We believe that submitting a</w:t>
      </w:r>
      <w:r>
        <w:t>n</w:t>
      </w:r>
      <w:r w:rsidRPr="00C06496">
        <w:t xml:space="preserve"> </w:t>
      </w:r>
      <w:r>
        <w:t>annual report on granted certifications</w:t>
      </w:r>
      <w:r w:rsidRPr="00C06496">
        <w:t xml:space="preserve"> </w:t>
      </w:r>
      <w:r w:rsidR="006C59E8">
        <w:t>will</w:t>
      </w:r>
      <w:r w:rsidRPr="00C06496">
        <w:t xml:space="preserve"> take a manager approximately </w:t>
      </w:r>
      <w:r>
        <w:t>1 to 3</w:t>
      </w:r>
      <w:r w:rsidRPr="00C06496">
        <w:t xml:space="preserve"> hours to perform. </w:t>
      </w:r>
      <w:bookmarkStart w:id="146" w:name="_Hlk33004260"/>
      <w:r w:rsidRPr="00C06496">
        <w:t xml:space="preserve">We use the </w:t>
      </w:r>
      <w:r w:rsidR="003153D7">
        <w:t>2022</w:t>
      </w:r>
      <w:r w:rsidR="00242455">
        <w:t xml:space="preserve"> wage</w:t>
      </w:r>
      <w:r w:rsidRPr="00C06496">
        <w:t xml:space="preserve"> rate for General and Operations Managers and double it for a </w:t>
      </w:r>
      <w:r w:rsidR="00986206">
        <w:t>fully-loaded</w:t>
      </w:r>
      <w:r w:rsidRPr="00C06496">
        <w:t xml:space="preserve"> wage rate of $</w:t>
      </w:r>
      <w:r w:rsidR="002218C5">
        <w:t>178.42</w:t>
      </w:r>
      <w:r w:rsidRPr="00AA0928">
        <w:t xml:space="preserve">. </w:t>
      </w:r>
      <w:r w:rsidRPr="00FC2612" w:rsidR="00FC2612">
        <w:fldChar w:fldCharType="begin"/>
      </w:r>
      <w:r w:rsidRPr="00FC2612" w:rsidR="00FC2612">
        <w:instrText xml:space="preserve"> REF _Ref132015989 \h </w:instrText>
      </w:r>
      <w:r w:rsidRPr="004848C7" w:rsidR="00FC2612">
        <w:instrText xml:space="preserve"> \* MERGEFORMAT </w:instrText>
      </w:r>
      <w:r w:rsidRPr="00FC2612" w:rsidR="00FC2612">
        <w:fldChar w:fldCharType="separate"/>
      </w:r>
      <w:r w:rsidRPr="004848C7" w:rsidR="00FC2612">
        <w:t xml:space="preserve">Table </w:t>
      </w:r>
      <w:r w:rsidRPr="004848C7" w:rsidR="00FC2612">
        <w:rPr>
          <w:noProof/>
        </w:rPr>
        <w:t>24</w:t>
      </w:r>
      <w:r w:rsidRPr="00FC2612" w:rsidR="00FC2612">
        <w:fldChar w:fldCharType="end"/>
      </w:r>
      <w:r w:rsidR="00596412">
        <w:t xml:space="preserve"> </w:t>
      </w:r>
      <w:r w:rsidRPr="00AA0928" w:rsidR="00AA0928">
        <w:t>shows t</w:t>
      </w:r>
      <w:r w:rsidR="00AA0928">
        <w:t>he ongoing cost of submitting annual report</w:t>
      </w:r>
      <w:r w:rsidR="00680AA8">
        <w:t>s</w:t>
      </w:r>
      <w:r w:rsidR="00AA0928">
        <w:t xml:space="preserve">. </w:t>
      </w:r>
      <w:r w:rsidRPr="00C06496">
        <w:t>The estimated on</w:t>
      </w:r>
      <w:r>
        <w:t>going</w:t>
      </w:r>
      <w:r w:rsidRPr="00C06496">
        <w:t xml:space="preserve"> costs of submitting </w:t>
      </w:r>
      <w:r>
        <w:t>annual report</w:t>
      </w:r>
      <w:r w:rsidR="00680AA8">
        <w:t>s</w:t>
      </w:r>
      <w:r w:rsidRPr="00C06496">
        <w:t xml:space="preserve"> range from $0.0</w:t>
      </w:r>
      <w:r w:rsidR="009F13FD">
        <w:t>2</w:t>
      </w:r>
      <w:r w:rsidRPr="00C06496">
        <w:t xml:space="preserve"> million to $</w:t>
      </w:r>
      <w:r w:rsidR="009F13FD">
        <w:t>0.0</w:t>
      </w:r>
      <w:r w:rsidR="00D70478">
        <w:t>7</w:t>
      </w:r>
      <w:r w:rsidRPr="00C06496">
        <w:t xml:space="preserve"> million with a primary estimate of $0.</w:t>
      </w:r>
      <w:r w:rsidR="009F13FD">
        <w:t>0</w:t>
      </w:r>
      <w:r w:rsidR="00ED1F47">
        <w:t>4</w:t>
      </w:r>
      <w:r w:rsidRPr="00C06496">
        <w:t xml:space="preserve"> million.</w:t>
      </w:r>
      <w:bookmarkEnd w:id="146"/>
    </w:p>
    <w:p w:rsidR="00972E03" w:rsidP="00EA1EDE" w14:paraId="511756B3" w14:textId="0CAD4D20"/>
    <w:p w:rsidR="00806A70" w:rsidRPr="004E4BB8" w:rsidP="004E4BB8" w14:paraId="6F7488A8" w14:textId="697A8DB2">
      <w:pPr>
        <w:pStyle w:val="Caption"/>
        <w:keepNext/>
        <w:rPr>
          <w:b/>
        </w:rPr>
      </w:pPr>
      <w:bookmarkStart w:id="147" w:name="_Ref36651616"/>
      <w:bookmarkStart w:id="148" w:name="_Ref132015989"/>
      <w:bookmarkStart w:id="149" w:name="_Toc147238768"/>
      <w:r w:rsidRPr="004E4BB8">
        <w:rPr>
          <w:b/>
        </w:rPr>
        <w:t xml:space="preserve">Table </w:t>
      </w:r>
      <w:bookmarkEnd w:id="147"/>
      <w:r w:rsidRPr="004E4BB8" w:rsidR="006964F6">
        <w:rPr>
          <w:b/>
        </w:rPr>
        <w:fldChar w:fldCharType="begin"/>
      </w:r>
      <w:r w:rsidRPr="004E4BB8" w:rsidR="006964F6">
        <w:rPr>
          <w:b/>
        </w:rPr>
        <w:instrText xml:space="preserve"> SEQ Table \* ARABIC </w:instrText>
      </w:r>
      <w:r w:rsidRPr="004E4BB8" w:rsidR="006964F6">
        <w:rPr>
          <w:b/>
        </w:rPr>
        <w:fldChar w:fldCharType="separate"/>
      </w:r>
      <w:r w:rsidR="0011482F">
        <w:rPr>
          <w:b/>
          <w:noProof/>
        </w:rPr>
        <w:t>24</w:t>
      </w:r>
      <w:r w:rsidRPr="004E4BB8" w:rsidR="006964F6">
        <w:rPr>
          <w:b/>
        </w:rPr>
        <w:fldChar w:fldCharType="end"/>
      </w:r>
      <w:bookmarkEnd w:id="148"/>
      <w:r w:rsidRPr="004E4BB8">
        <w:rPr>
          <w:b/>
        </w:rPr>
        <w:t>. Cost of Submitting Annual Reports</w:t>
      </w:r>
      <w:bookmarkEnd w:id="149"/>
      <w:r w:rsidRPr="004E4BB8">
        <w:rPr>
          <w:b/>
        </w:rPr>
        <w:t xml:space="preserve"> </w:t>
      </w:r>
    </w:p>
    <w:tbl>
      <w:tblPr>
        <w:tblW w:w="9365" w:type="dxa"/>
        <w:tblInd w:w="-10" w:type="dxa"/>
        <w:tblLook w:val="04A0"/>
      </w:tblPr>
      <w:tblGrid>
        <w:gridCol w:w="4200"/>
        <w:gridCol w:w="1745"/>
        <w:gridCol w:w="1595"/>
        <w:gridCol w:w="1825"/>
      </w:tblGrid>
      <w:tr w14:paraId="643B0C08" w14:textId="77777777" w:rsidTr="00714FC0">
        <w:tblPrEx>
          <w:tblW w:w="9365" w:type="dxa"/>
          <w:tblInd w:w="-10" w:type="dxa"/>
          <w:tblLook w:val="04A0"/>
        </w:tblPrEx>
        <w:trPr>
          <w:trHeight w:val="216"/>
        </w:trPr>
        <w:tc>
          <w:tcPr>
            <w:tcW w:w="4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2E03" w:rsidRPr="004E4BB8" w:rsidP="00972E03" w14:paraId="4A7138A3" w14:textId="77777777">
            <w:pPr>
              <w:spacing w:after="0"/>
              <w:rPr>
                <w:rFonts w:eastAsia="Times New Roman"/>
                <w:b/>
                <w:color w:val="000000"/>
                <w:sz w:val="22"/>
                <w:szCs w:val="22"/>
              </w:rPr>
            </w:pPr>
            <w:r w:rsidRPr="004E4BB8">
              <w:rPr>
                <w:rFonts w:eastAsia="Times New Roman"/>
                <w:b/>
                <w:color w:val="000000"/>
                <w:sz w:val="22"/>
                <w:szCs w:val="22"/>
              </w:rPr>
              <w:t> </w:t>
            </w:r>
          </w:p>
        </w:tc>
        <w:tc>
          <w:tcPr>
            <w:tcW w:w="174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72E03" w:rsidRPr="004E4BB8" w:rsidP="00AC2CB0" w14:paraId="7496A6EB" w14:textId="77777777">
            <w:pPr>
              <w:spacing w:after="0"/>
              <w:jc w:val="center"/>
              <w:rPr>
                <w:rFonts w:eastAsia="Times New Roman"/>
                <w:b/>
                <w:color w:val="000000"/>
                <w:sz w:val="22"/>
                <w:szCs w:val="22"/>
              </w:rPr>
            </w:pPr>
            <w:r w:rsidRPr="004E4BB8">
              <w:rPr>
                <w:rFonts w:eastAsia="Times New Roman"/>
                <w:b/>
                <w:color w:val="000000"/>
                <w:sz w:val="22"/>
                <w:szCs w:val="22"/>
              </w:rPr>
              <w:t>Low</w:t>
            </w:r>
          </w:p>
        </w:tc>
        <w:tc>
          <w:tcPr>
            <w:tcW w:w="15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72E03" w:rsidRPr="004E4BB8" w:rsidP="00AC2CB0" w14:paraId="528E802E" w14:textId="2D0533E4">
            <w:pPr>
              <w:spacing w:after="0"/>
              <w:jc w:val="center"/>
              <w:rPr>
                <w:rFonts w:eastAsia="Times New Roman"/>
                <w:b/>
                <w:color w:val="000000"/>
                <w:sz w:val="22"/>
                <w:szCs w:val="22"/>
              </w:rPr>
            </w:pPr>
            <w:r w:rsidRPr="004E4BB8">
              <w:rPr>
                <w:rFonts w:eastAsia="Times New Roman"/>
                <w:b/>
                <w:color w:val="000000"/>
                <w:sz w:val="22"/>
                <w:szCs w:val="22"/>
              </w:rPr>
              <w:t>Primary</w:t>
            </w:r>
          </w:p>
        </w:tc>
        <w:tc>
          <w:tcPr>
            <w:tcW w:w="18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72E03" w:rsidRPr="004E4BB8" w:rsidP="00AC2CB0" w14:paraId="3FD83376" w14:textId="77777777">
            <w:pPr>
              <w:spacing w:after="0"/>
              <w:jc w:val="center"/>
              <w:rPr>
                <w:rFonts w:eastAsia="Times New Roman"/>
                <w:b/>
                <w:color w:val="000000"/>
                <w:sz w:val="22"/>
                <w:szCs w:val="22"/>
              </w:rPr>
            </w:pPr>
            <w:r w:rsidRPr="004E4BB8">
              <w:rPr>
                <w:rFonts w:eastAsia="Times New Roman"/>
                <w:b/>
                <w:color w:val="000000"/>
                <w:sz w:val="22"/>
                <w:szCs w:val="22"/>
              </w:rPr>
              <w:t>High</w:t>
            </w:r>
          </w:p>
        </w:tc>
      </w:tr>
      <w:tr w14:paraId="4E059D28" w14:textId="77777777" w:rsidTr="00714FC0">
        <w:tblPrEx>
          <w:tblW w:w="9365" w:type="dxa"/>
          <w:tblInd w:w="-10" w:type="dxa"/>
          <w:tblLook w:val="04A0"/>
        </w:tblPrEx>
        <w:trPr>
          <w:trHeight w:val="216"/>
        </w:trPr>
        <w:tc>
          <w:tcPr>
            <w:tcW w:w="4200" w:type="dxa"/>
            <w:tcBorders>
              <w:top w:val="nil"/>
              <w:left w:val="single" w:sz="4" w:space="0" w:color="auto"/>
              <w:bottom w:val="single" w:sz="4" w:space="0" w:color="auto"/>
              <w:right w:val="single" w:sz="4" w:space="0" w:color="auto"/>
            </w:tcBorders>
            <w:shd w:val="clear" w:color="000000" w:fill="FFFFFF"/>
            <w:vAlign w:val="center"/>
            <w:hideMark/>
          </w:tcPr>
          <w:p w:rsidR="00972E03" w:rsidRPr="004E4BB8" w:rsidP="00972E03" w14:paraId="48498AC3" w14:textId="1EFB0B84">
            <w:pPr>
              <w:spacing w:after="0"/>
              <w:rPr>
                <w:rFonts w:eastAsia="Times New Roman"/>
                <w:color w:val="000000"/>
                <w:sz w:val="22"/>
                <w:szCs w:val="22"/>
              </w:rPr>
            </w:pPr>
            <w:r>
              <w:rPr>
                <w:rFonts w:eastAsia="Times New Roman"/>
                <w:color w:val="000000"/>
                <w:sz w:val="22"/>
                <w:szCs w:val="22"/>
              </w:rPr>
              <w:t>Annual Reports</w:t>
            </w:r>
          </w:p>
        </w:tc>
        <w:tc>
          <w:tcPr>
            <w:tcW w:w="1745" w:type="dxa"/>
            <w:tcBorders>
              <w:top w:val="nil"/>
              <w:left w:val="nil"/>
              <w:bottom w:val="single" w:sz="4" w:space="0" w:color="auto"/>
              <w:right w:val="single" w:sz="4" w:space="0" w:color="auto"/>
            </w:tcBorders>
            <w:shd w:val="clear" w:color="auto" w:fill="auto"/>
            <w:noWrap/>
            <w:vAlign w:val="bottom"/>
            <w:hideMark/>
          </w:tcPr>
          <w:p w:rsidR="00972E03" w:rsidRPr="004E4BB8" w:rsidP="00AC2CB0" w14:paraId="485D3E58" w14:textId="347A5509">
            <w:pPr>
              <w:spacing w:after="0"/>
              <w:jc w:val="center"/>
              <w:rPr>
                <w:rFonts w:eastAsia="Times New Roman"/>
                <w:color w:val="000000"/>
                <w:sz w:val="22"/>
                <w:szCs w:val="22"/>
              </w:rPr>
            </w:pPr>
            <w:r>
              <w:rPr>
                <w:rFonts w:eastAsia="Times New Roman"/>
                <w:color w:val="000000"/>
                <w:sz w:val="22"/>
                <w:szCs w:val="22"/>
              </w:rPr>
              <w:t>1</w:t>
            </w:r>
            <w:r w:rsidR="00DE769F">
              <w:rPr>
                <w:rFonts w:eastAsia="Times New Roman"/>
                <w:color w:val="000000"/>
                <w:sz w:val="22"/>
                <w:szCs w:val="22"/>
              </w:rPr>
              <w:t>23</w:t>
            </w:r>
          </w:p>
        </w:tc>
        <w:tc>
          <w:tcPr>
            <w:tcW w:w="1595" w:type="dxa"/>
            <w:tcBorders>
              <w:top w:val="nil"/>
              <w:left w:val="nil"/>
              <w:bottom w:val="single" w:sz="4" w:space="0" w:color="auto"/>
              <w:right w:val="single" w:sz="4" w:space="0" w:color="auto"/>
            </w:tcBorders>
            <w:shd w:val="clear" w:color="auto" w:fill="auto"/>
            <w:noWrap/>
            <w:vAlign w:val="bottom"/>
            <w:hideMark/>
          </w:tcPr>
          <w:p w:rsidR="00972E03" w:rsidRPr="004E4BB8" w:rsidP="00AC2CB0" w14:paraId="3C2D9833" w14:textId="541D0559">
            <w:pPr>
              <w:spacing w:after="0"/>
              <w:jc w:val="center"/>
              <w:rPr>
                <w:rFonts w:eastAsia="Times New Roman"/>
                <w:color w:val="000000"/>
                <w:sz w:val="22"/>
                <w:szCs w:val="22"/>
              </w:rPr>
            </w:pPr>
            <w:r>
              <w:rPr>
                <w:rFonts w:eastAsia="Times New Roman"/>
                <w:color w:val="000000"/>
                <w:sz w:val="22"/>
                <w:szCs w:val="22"/>
              </w:rPr>
              <w:t>1</w:t>
            </w:r>
            <w:r w:rsidR="00DE769F">
              <w:rPr>
                <w:rFonts w:eastAsia="Times New Roman"/>
                <w:color w:val="000000"/>
                <w:sz w:val="22"/>
                <w:szCs w:val="22"/>
              </w:rPr>
              <w:t>23</w:t>
            </w:r>
          </w:p>
        </w:tc>
        <w:tc>
          <w:tcPr>
            <w:tcW w:w="1825" w:type="dxa"/>
            <w:tcBorders>
              <w:top w:val="nil"/>
              <w:left w:val="nil"/>
              <w:bottom w:val="single" w:sz="4" w:space="0" w:color="auto"/>
              <w:right w:val="single" w:sz="4" w:space="0" w:color="auto"/>
            </w:tcBorders>
            <w:shd w:val="clear" w:color="auto" w:fill="auto"/>
            <w:noWrap/>
            <w:vAlign w:val="bottom"/>
            <w:hideMark/>
          </w:tcPr>
          <w:p w:rsidR="00972E03" w:rsidRPr="004E4BB8" w:rsidP="00AC2CB0" w14:paraId="3C34BB63" w14:textId="78630151">
            <w:pPr>
              <w:spacing w:after="0"/>
              <w:jc w:val="center"/>
              <w:rPr>
                <w:rFonts w:eastAsia="Times New Roman"/>
                <w:color w:val="000000"/>
                <w:sz w:val="22"/>
                <w:szCs w:val="22"/>
              </w:rPr>
            </w:pPr>
            <w:r>
              <w:rPr>
                <w:rFonts w:eastAsia="Times New Roman"/>
                <w:color w:val="000000"/>
                <w:sz w:val="22"/>
                <w:szCs w:val="22"/>
              </w:rPr>
              <w:t>1</w:t>
            </w:r>
            <w:r w:rsidR="00DE769F">
              <w:rPr>
                <w:rFonts w:eastAsia="Times New Roman"/>
                <w:color w:val="000000"/>
                <w:sz w:val="22"/>
                <w:szCs w:val="22"/>
              </w:rPr>
              <w:t>23</w:t>
            </w:r>
          </w:p>
        </w:tc>
      </w:tr>
      <w:tr w14:paraId="3E6981C6" w14:textId="77777777" w:rsidTr="00714FC0">
        <w:tblPrEx>
          <w:tblW w:w="9365" w:type="dxa"/>
          <w:tblInd w:w="-10" w:type="dxa"/>
          <w:tblLook w:val="04A0"/>
        </w:tblPrEx>
        <w:trPr>
          <w:trHeight w:val="216"/>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rsidR="00AB207D" w:rsidRPr="004E4BB8" w:rsidP="00972E03" w14:paraId="486AD95A" w14:textId="15B87400">
            <w:pPr>
              <w:spacing w:after="0"/>
              <w:rPr>
                <w:rFonts w:eastAsia="Times New Roman"/>
                <w:color w:val="000000"/>
                <w:sz w:val="22"/>
                <w:szCs w:val="22"/>
              </w:rPr>
            </w:pPr>
            <w:r w:rsidRPr="004E4BB8">
              <w:rPr>
                <w:rFonts w:eastAsia="Times New Roman"/>
                <w:color w:val="000000"/>
                <w:sz w:val="22"/>
                <w:szCs w:val="22"/>
              </w:rPr>
              <w:t>Wage rate (manager)</w:t>
            </w:r>
          </w:p>
        </w:tc>
        <w:tc>
          <w:tcPr>
            <w:tcW w:w="1745" w:type="dxa"/>
            <w:tcBorders>
              <w:top w:val="nil"/>
              <w:left w:val="nil"/>
              <w:bottom w:val="single" w:sz="4" w:space="0" w:color="auto"/>
              <w:right w:val="single" w:sz="4" w:space="0" w:color="auto"/>
            </w:tcBorders>
            <w:shd w:val="clear" w:color="auto" w:fill="auto"/>
            <w:vAlign w:val="bottom"/>
            <w:hideMark/>
          </w:tcPr>
          <w:p w:rsidR="00AB207D" w:rsidRPr="004E4BB8" w:rsidP="00AC2CB0" w14:paraId="46213905" w14:textId="3ED12D1B">
            <w:pPr>
              <w:spacing w:after="0"/>
              <w:jc w:val="center"/>
              <w:rPr>
                <w:rFonts w:eastAsia="Times New Roman"/>
                <w:color w:val="000000"/>
                <w:sz w:val="22"/>
                <w:szCs w:val="22"/>
              </w:rPr>
            </w:pPr>
            <w:r w:rsidRPr="004E4BB8">
              <w:rPr>
                <w:rFonts w:eastAsia="Times New Roman"/>
                <w:color w:val="000000"/>
                <w:sz w:val="22"/>
                <w:szCs w:val="22"/>
              </w:rPr>
              <w:t>$</w:t>
            </w:r>
            <w:r w:rsidR="002218C5">
              <w:rPr>
                <w:rFonts w:eastAsia="Times New Roman"/>
                <w:color w:val="000000"/>
                <w:sz w:val="22"/>
                <w:szCs w:val="22"/>
              </w:rPr>
              <w:t>178.42</w:t>
            </w:r>
          </w:p>
        </w:tc>
        <w:tc>
          <w:tcPr>
            <w:tcW w:w="1595" w:type="dxa"/>
            <w:tcBorders>
              <w:top w:val="nil"/>
              <w:left w:val="nil"/>
              <w:bottom w:val="single" w:sz="4" w:space="0" w:color="auto"/>
              <w:right w:val="single" w:sz="4" w:space="0" w:color="auto"/>
            </w:tcBorders>
            <w:shd w:val="clear" w:color="auto" w:fill="auto"/>
            <w:vAlign w:val="bottom"/>
            <w:hideMark/>
          </w:tcPr>
          <w:p w:rsidR="00AB207D" w:rsidRPr="004E4BB8" w:rsidP="00AC2CB0" w14:paraId="0395612B" w14:textId="46C78BF3">
            <w:pPr>
              <w:spacing w:after="0"/>
              <w:jc w:val="center"/>
              <w:rPr>
                <w:rFonts w:eastAsia="Times New Roman"/>
                <w:color w:val="000000"/>
                <w:sz w:val="22"/>
                <w:szCs w:val="22"/>
              </w:rPr>
            </w:pPr>
            <w:r w:rsidRPr="004E4BB8">
              <w:rPr>
                <w:rFonts w:eastAsia="Times New Roman"/>
                <w:color w:val="000000"/>
                <w:sz w:val="22"/>
                <w:szCs w:val="22"/>
              </w:rPr>
              <w:t>$</w:t>
            </w:r>
            <w:r w:rsidR="002218C5">
              <w:rPr>
                <w:rFonts w:eastAsia="Times New Roman"/>
                <w:color w:val="000000"/>
                <w:sz w:val="22"/>
                <w:szCs w:val="22"/>
              </w:rPr>
              <w:t>178.42</w:t>
            </w:r>
          </w:p>
        </w:tc>
        <w:tc>
          <w:tcPr>
            <w:tcW w:w="1825" w:type="dxa"/>
            <w:tcBorders>
              <w:top w:val="nil"/>
              <w:left w:val="nil"/>
              <w:bottom w:val="single" w:sz="4" w:space="0" w:color="auto"/>
              <w:right w:val="single" w:sz="4" w:space="0" w:color="auto"/>
            </w:tcBorders>
            <w:shd w:val="clear" w:color="auto" w:fill="auto"/>
            <w:vAlign w:val="bottom"/>
            <w:hideMark/>
          </w:tcPr>
          <w:p w:rsidR="00AB207D" w:rsidRPr="004E4BB8" w:rsidP="00AC2CB0" w14:paraId="14BD54C3" w14:textId="655A2791">
            <w:pPr>
              <w:spacing w:after="0"/>
              <w:jc w:val="center"/>
              <w:rPr>
                <w:rFonts w:eastAsia="Times New Roman"/>
                <w:color w:val="000000"/>
                <w:sz w:val="22"/>
                <w:szCs w:val="22"/>
              </w:rPr>
            </w:pPr>
            <w:r w:rsidRPr="004E4BB8">
              <w:rPr>
                <w:rFonts w:eastAsia="Times New Roman"/>
                <w:color w:val="000000"/>
                <w:sz w:val="22"/>
                <w:szCs w:val="22"/>
              </w:rPr>
              <w:t>$</w:t>
            </w:r>
            <w:r w:rsidR="002218C5">
              <w:rPr>
                <w:rFonts w:eastAsia="Times New Roman"/>
                <w:color w:val="000000"/>
                <w:sz w:val="22"/>
                <w:szCs w:val="22"/>
              </w:rPr>
              <w:t>178.42</w:t>
            </w:r>
          </w:p>
        </w:tc>
      </w:tr>
      <w:tr w14:paraId="3D2504D9" w14:textId="77777777" w:rsidTr="00714FC0">
        <w:tblPrEx>
          <w:tblW w:w="9365" w:type="dxa"/>
          <w:tblInd w:w="-10" w:type="dxa"/>
          <w:tblLook w:val="04A0"/>
        </w:tblPrEx>
        <w:trPr>
          <w:trHeight w:val="216"/>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rsidR="00AB207D" w:rsidRPr="004E4BB8" w:rsidP="00972E03" w14:paraId="70A466F6" w14:textId="4BCA380B">
            <w:pPr>
              <w:spacing w:after="0"/>
              <w:rPr>
                <w:rFonts w:eastAsia="Times New Roman"/>
                <w:color w:val="000000"/>
                <w:sz w:val="22"/>
                <w:szCs w:val="22"/>
              </w:rPr>
            </w:pPr>
            <w:r w:rsidRPr="004E4BB8">
              <w:rPr>
                <w:rFonts w:eastAsia="Times New Roman"/>
                <w:color w:val="000000"/>
                <w:sz w:val="22"/>
                <w:szCs w:val="22"/>
              </w:rPr>
              <w:t>Time per certification (hours)</w:t>
            </w:r>
          </w:p>
        </w:tc>
        <w:tc>
          <w:tcPr>
            <w:tcW w:w="1745" w:type="dxa"/>
            <w:tcBorders>
              <w:top w:val="nil"/>
              <w:left w:val="nil"/>
              <w:bottom w:val="single" w:sz="4" w:space="0" w:color="auto"/>
              <w:right w:val="single" w:sz="4" w:space="0" w:color="auto"/>
            </w:tcBorders>
            <w:shd w:val="clear" w:color="auto" w:fill="auto"/>
            <w:noWrap/>
            <w:vAlign w:val="center"/>
            <w:hideMark/>
          </w:tcPr>
          <w:p w:rsidR="00AB207D" w:rsidRPr="004E4BB8" w:rsidP="00AC2CB0" w14:paraId="6E0EE9FE" w14:textId="27D4D4EA">
            <w:pPr>
              <w:spacing w:after="0"/>
              <w:jc w:val="center"/>
              <w:rPr>
                <w:rFonts w:eastAsia="Times New Roman"/>
                <w:color w:val="000000"/>
                <w:sz w:val="22"/>
                <w:szCs w:val="22"/>
              </w:rPr>
            </w:pPr>
            <w:r w:rsidRPr="004E4BB8">
              <w:rPr>
                <w:rFonts w:eastAsia="Times New Roman"/>
                <w:color w:val="000000"/>
                <w:sz w:val="22"/>
                <w:szCs w:val="22"/>
              </w:rPr>
              <w:t>1</w:t>
            </w:r>
          </w:p>
        </w:tc>
        <w:tc>
          <w:tcPr>
            <w:tcW w:w="1595" w:type="dxa"/>
            <w:tcBorders>
              <w:top w:val="nil"/>
              <w:left w:val="nil"/>
              <w:bottom w:val="single" w:sz="4" w:space="0" w:color="auto"/>
              <w:right w:val="single" w:sz="4" w:space="0" w:color="auto"/>
            </w:tcBorders>
            <w:shd w:val="clear" w:color="auto" w:fill="auto"/>
            <w:noWrap/>
            <w:vAlign w:val="center"/>
            <w:hideMark/>
          </w:tcPr>
          <w:p w:rsidR="00AB207D" w:rsidRPr="004E4BB8" w:rsidP="00AC2CB0" w14:paraId="4D33B493" w14:textId="2AF8E376">
            <w:pPr>
              <w:spacing w:after="0"/>
              <w:jc w:val="center"/>
              <w:rPr>
                <w:rFonts w:eastAsia="Times New Roman"/>
                <w:color w:val="000000"/>
                <w:sz w:val="22"/>
                <w:szCs w:val="22"/>
              </w:rPr>
            </w:pPr>
            <w:r w:rsidRPr="004E4BB8">
              <w:rPr>
                <w:rFonts w:eastAsia="Times New Roman"/>
                <w:color w:val="000000"/>
                <w:sz w:val="22"/>
                <w:szCs w:val="22"/>
              </w:rPr>
              <w:t>2</w:t>
            </w:r>
          </w:p>
        </w:tc>
        <w:tc>
          <w:tcPr>
            <w:tcW w:w="1825" w:type="dxa"/>
            <w:tcBorders>
              <w:top w:val="nil"/>
              <w:left w:val="nil"/>
              <w:bottom w:val="single" w:sz="4" w:space="0" w:color="auto"/>
              <w:right w:val="single" w:sz="4" w:space="0" w:color="auto"/>
            </w:tcBorders>
            <w:shd w:val="clear" w:color="auto" w:fill="auto"/>
            <w:noWrap/>
            <w:vAlign w:val="center"/>
            <w:hideMark/>
          </w:tcPr>
          <w:p w:rsidR="00AB207D" w:rsidRPr="004E4BB8" w:rsidP="00AC2CB0" w14:paraId="53A35C9E" w14:textId="293AE02A">
            <w:pPr>
              <w:spacing w:after="0"/>
              <w:jc w:val="center"/>
              <w:rPr>
                <w:rFonts w:eastAsia="Times New Roman"/>
                <w:color w:val="000000"/>
                <w:sz w:val="22"/>
                <w:szCs w:val="22"/>
              </w:rPr>
            </w:pPr>
            <w:r w:rsidRPr="004E4BB8">
              <w:rPr>
                <w:rFonts w:eastAsia="Times New Roman"/>
                <w:color w:val="000000"/>
                <w:sz w:val="22"/>
                <w:szCs w:val="22"/>
              </w:rPr>
              <w:t>3</w:t>
            </w:r>
          </w:p>
        </w:tc>
      </w:tr>
      <w:tr w14:paraId="61875B7D" w14:textId="77777777" w:rsidTr="00714FC0">
        <w:tblPrEx>
          <w:tblW w:w="9365" w:type="dxa"/>
          <w:tblInd w:w="-10" w:type="dxa"/>
          <w:tblLook w:val="04A0"/>
        </w:tblPrEx>
        <w:trPr>
          <w:trHeight w:val="216"/>
        </w:trPr>
        <w:tc>
          <w:tcPr>
            <w:tcW w:w="4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AB207D" w:rsidRPr="004E4BB8" w:rsidP="00972E03" w14:paraId="5037BE71" w14:textId="52B66ADF">
            <w:pPr>
              <w:spacing w:after="0"/>
              <w:rPr>
                <w:rFonts w:eastAsia="Times New Roman"/>
                <w:color w:val="000000"/>
                <w:sz w:val="22"/>
                <w:szCs w:val="22"/>
              </w:rPr>
            </w:pPr>
            <w:r w:rsidRPr="004E4BB8">
              <w:rPr>
                <w:rFonts w:eastAsia="Times New Roman"/>
                <w:b/>
                <w:color w:val="000000"/>
                <w:sz w:val="22"/>
                <w:szCs w:val="22"/>
              </w:rPr>
              <w:t>Ongoing costs (millions)</w:t>
            </w:r>
          </w:p>
        </w:tc>
        <w:tc>
          <w:tcPr>
            <w:tcW w:w="1745" w:type="dxa"/>
            <w:tcBorders>
              <w:top w:val="nil"/>
              <w:left w:val="nil"/>
              <w:bottom w:val="single" w:sz="4" w:space="0" w:color="auto"/>
              <w:right w:val="single" w:sz="4" w:space="0" w:color="auto"/>
            </w:tcBorders>
            <w:shd w:val="clear" w:color="auto" w:fill="D9D9D9" w:themeFill="background1" w:themeFillShade="D9"/>
            <w:vAlign w:val="bottom"/>
            <w:hideMark/>
          </w:tcPr>
          <w:p w:rsidR="00AB207D" w:rsidRPr="004E4BB8" w:rsidP="00AC2CB0" w14:paraId="0591C514" w14:textId="3B2ECF05">
            <w:pPr>
              <w:spacing w:after="0"/>
              <w:jc w:val="center"/>
              <w:rPr>
                <w:rFonts w:eastAsia="Times New Roman"/>
                <w:color w:val="000000"/>
                <w:sz w:val="22"/>
                <w:szCs w:val="22"/>
              </w:rPr>
            </w:pPr>
          </w:p>
        </w:tc>
        <w:tc>
          <w:tcPr>
            <w:tcW w:w="1595" w:type="dxa"/>
            <w:tcBorders>
              <w:top w:val="nil"/>
              <w:left w:val="nil"/>
              <w:bottom w:val="single" w:sz="4" w:space="0" w:color="auto"/>
              <w:right w:val="single" w:sz="4" w:space="0" w:color="auto"/>
            </w:tcBorders>
            <w:shd w:val="clear" w:color="auto" w:fill="D9D9D9" w:themeFill="background1" w:themeFillShade="D9"/>
            <w:vAlign w:val="bottom"/>
            <w:hideMark/>
          </w:tcPr>
          <w:p w:rsidR="00AB207D" w:rsidRPr="004E4BB8" w:rsidP="00AC2CB0" w14:paraId="44424371" w14:textId="0DC8BCC6">
            <w:pPr>
              <w:spacing w:after="0"/>
              <w:jc w:val="center"/>
              <w:rPr>
                <w:rFonts w:eastAsia="Times New Roman"/>
                <w:color w:val="000000"/>
                <w:sz w:val="22"/>
                <w:szCs w:val="22"/>
              </w:rPr>
            </w:pPr>
          </w:p>
        </w:tc>
        <w:tc>
          <w:tcPr>
            <w:tcW w:w="1825" w:type="dxa"/>
            <w:tcBorders>
              <w:top w:val="nil"/>
              <w:left w:val="nil"/>
              <w:bottom w:val="single" w:sz="4" w:space="0" w:color="auto"/>
              <w:right w:val="single" w:sz="4" w:space="0" w:color="auto"/>
            </w:tcBorders>
            <w:shd w:val="clear" w:color="auto" w:fill="D9D9D9" w:themeFill="background1" w:themeFillShade="D9"/>
            <w:vAlign w:val="bottom"/>
            <w:hideMark/>
          </w:tcPr>
          <w:p w:rsidR="00AB207D" w:rsidRPr="004E4BB8" w:rsidP="00AC2CB0" w14:paraId="3D222237" w14:textId="68FEB61E">
            <w:pPr>
              <w:spacing w:after="0"/>
              <w:jc w:val="center"/>
              <w:rPr>
                <w:rFonts w:eastAsia="Times New Roman"/>
                <w:color w:val="000000"/>
                <w:sz w:val="22"/>
                <w:szCs w:val="22"/>
              </w:rPr>
            </w:pPr>
          </w:p>
        </w:tc>
      </w:tr>
      <w:tr w14:paraId="0708AA4E" w14:textId="77777777" w:rsidTr="00714FC0">
        <w:tblPrEx>
          <w:tblW w:w="9365" w:type="dxa"/>
          <w:tblInd w:w="-10" w:type="dxa"/>
          <w:tblLook w:val="04A0"/>
        </w:tblPrEx>
        <w:trPr>
          <w:trHeight w:val="216"/>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rsidR="00AB207D" w:rsidRPr="004E4BB8" w:rsidP="00972E03" w14:paraId="20CDBD81" w14:textId="0E9D93F6">
            <w:pPr>
              <w:spacing w:after="0"/>
              <w:rPr>
                <w:rFonts w:eastAsia="Times New Roman"/>
                <w:b/>
                <w:color w:val="000000"/>
                <w:sz w:val="22"/>
                <w:szCs w:val="22"/>
              </w:rPr>
            </w:pPr>
            <w:r w:rsidRPr="004E4BB8">
              <w:rPr>
                <w:rFonts w:eastAsia="Times New Roman"/>
                <w:color w:val="000000"/>
                <w:sz w:val="22"/>
                <w:szCs w:val="22"/>
              </w:rPr>
              <w:t>Cost certification request</w:t>
            </w:r>
          </w:p>
        </w:tc>
        <w:tc>
          <w:tcPr>
            <w:tcW w:w="1745" w:type="dxa"/>
            <w:tcBorders>
              <w:top w:val="nil"/>
              <w:left w:val="nil"/>
              <w:bottom w:val="single" w:sz="4" w:space="0" w:color="auto"/>
              <w:right w:val="single" w:sz="4" w:space="0" w:color="auto"/>
            </w:tcBorders>
            <w:shd w:val="clear" w:color="auto" w:fill="auto"/>
            <w:noWrap/>
            <w:vAlign w:val="bottom"/>
            <w:hideMark/>
          </w:tcPr>
          <w:p w:rsidR="00AB207D" w:rsidRPr="004E4BB8" w:rsidP="00AC2CB0" w14:paraId="0FEBB158" w14:textId="11EEF4C8">
            <w:pPr>
              <w:spacing w:after="0"/>
              <w:jc w:val="center"/>
              <w:rPr>
                <w:rFonts w:eastAsia="Times New Roman"/>
                <w:color w:val="000000"/>
                <w:sz w:val="22"/>
                <w:szCs w:val="22"/>
              </w:rPr>
            </w:pPr>
            <w:r w:rsidRPr="004E4BB8">
              <w:rPr>
                <w:rFonts w:eastAsia="Times New Roman"/>
                <w:color w:val="000000"/>
                <w:sz w:val="22"/>
                <w:szCs w:val="22"/>
              </w:rPr>
              <w:t>$</w:t>
            </w:r>
            <w:r>
              <w:rPr>
                <w:rFonts w:eastAsia="Times New Roman"/>
                <w:color w:val="000000"/>
                <w:sz w:val="22"/>
                <w:szCs w:val="22"/>
              </w:rPr>
              <w:t>0.0</w:t>
            </w:r>
            <w:r w:rsidR="009F13FD">
              <w:rPr>
                <w:rFonts w:eastAsia="Times New Roman"/>
                <w:color w:val="000000"/>
                <w:sz w:val="22"/>
                <w:szCs w:val="22"/>
              </w:rPr>
              <w:t>2</w:t>
            </w:r>
          </w:p>
        </w:tc>
        <w:tc>
          <w:tcPr>
            <w:tcW w:w="1595" w:type="dxa"/>
            <w:tcBorders>
              <w:top w:val="nil"/>
              <w:left w:val="nil"/>
              <w:bottom w:val="single" w:sz="4" w:space="0" w:color="auto"/>
              <w:right w:val="single" w:sz="4" w:space="0" w:color="auto"/>
            </w:tcBorders>
            <w:shd w:val="clear" w:color="auto" w:fill="auto"/>
            <w:noWrap/>
            <w:vAlign w:val="bottom"/>
            <w:hideMark/>
          </w:tcPr>
          <w:p w:rsidR="00AB207D" w:rsidRPr="004E4BB8" w:rsidP="00AC2CB0" w14:paraId="5FFF2847" w14:textId="4EACE594">
            <w:pPr>
              <w:spacing w:after="0"/>
              <w:jc w:val="center"/>
              <w:rPr>
                <w:rFonts w:eastAsia="Times New Roman"/>
                <w:color w:val="000000"/>
                <w:sz w:val="22"/>
                <w:szCs w:val="22"/>
              </w:rPr>
            </w:pPr>
            <w:r w:rsidRPr="004E4BB8">
              <w:rPr>
                <w:rFonts w:eastAsia="Times New Roman"/>
                <w:color w:val="000000"/>
                <w:sz w:val="22"/>
                <w:szCs w:val="22"/>
              </w:rPr>
              <w:t>$</w:t>
            </w:r>
            <w:r>
              <w:rPr>
                <w:rFonts w:eastAsia="Times New Roman"/>
                <w:color w:val="000000"/>
                <w:sz w:val="22"/>
                <w:szCs w:val="22"/>
              </w:rPr>
              <w:t>0.</w:t>
            </w:r>
            <w:r w:rsidR="009F13FD">
              <w:rPr>
                <w:rFonts w:eastAsia="Times New Roman"/>
                <w:color w:val="000000"/>
                <w:sz w:val="22"/>
                <w:szCs w:val="22"/>
              </w:rPr>
              <w:t>0</w:t>
            </w:r>
            <w:r w:rsidR="00ED1F47">
              <w:rPr>
                <w:rFonts w:eastAsia="Times New Roman"/>
                <w:color w:val="000000"/>
                <w:sz w:val="22"/>
                <w:szCs w:val="22"/>
              </w:rPr>
              <w:t>4</w:t>
            </w:r>
          </w:p>
        </w:tc>
        <w:tc>
          <w:tcPr>
            <w:tcW w:w="1825" w:type="dxa"/>
            <w:tcBorders>
              <w:top w:val="nil"/>
              <w:left w:val="nil"/>
              <w:bottom w:val="single" w:sz="4" w:space="0" w:color="auto"/>
              <w:right w:val="single" w:sz="4" w:space="0" w:color="auto"/>
            </w:tcBorders>
            <w:shd w:val="clear" w:color="auto" w:fill="auto"/>
            <w:noWrap/>
            <w:vAlign w:val="bottom"/>
            <w:hideMark/>
          </w:tcPr>
          <w:p w:rsidR="00AB207D" w:rsidRPr="004E4BB8" w:rsidP="00AC2CB0" w14:paraId="5AB9052E" w14:textId="09368667">
            <w:pPr>
              <w:spacing w:after="0"/>
              <w:jc w:val="center"/>
              <w:rPr>
                <w:rFonts w:eastAsia="Times New Roman"/>
                <w:color w:val="000000"/>
                <w:sz w:val="22"/>
                <w:szCs w:val="22"/>
              </w:rPr>
            </w:pPr>
            <w:r w:rsidRPr="004E4BB8">
              <w:rPr>
                <w:rFonts w:eastAsia="Times New Roman"/>
                <w:color w:val="000000"/>
                <w:sz w:val="22"/>
                <w:szCs w:val="22"/>
              </w:rPr>
              <w:t>$</w:t>
            </w:r>
            <w:r w:rsidR="009F13FD">
              <w:rPr>
                <w:rFonts w:eastAsia="Times New Roman"/>
                <w:color w:val="000000"/>
                <w:sz w:val="22"/>
                <w:szCs w:val="22"/>
              </w:rPr>
              <w:t>0.0</w:t>
            </w:r>
            <w:r w:rsidR="00D70478">
              <w:rPr>
                <w:rFonts w:eastAsia="Times New Roman"/>
                <w:color w:val="000000"/>
                <w:sz w:val="22"/>
                <w:szCs w:val="22"/>
              </w:rPr>
              <w:t>7</w:t>
            </w:r>
          </w:p>
        </w:tc>
      </w:tr>
    </w:tbl>
    <w:p w:rsidR="00445D5D" w:rsidP="00EA1EDE" w14:paraId="2C0545F1" w14:textId="4F66ECB9"/>
    <w:p w:rsidR="005713BD" w:rsidP="00EA1EDE" w14:paraId="3A944994" w14:textId="77777777"/>
    <w:p w:rsidR="00336C05" w:rsidP="00AC2CB0" w14:paraId="0A436369" w14:textId="3C9611E6">
      <w:pPr>
        <w:pStyle w:val="Heading4"/>
        <w:numPr>
          <w:ilvl w:val="0"/>
          <w:numId w:val="45"/>
        </w:numPr>
      </w:pPr>
      <w:bookmarkStart w:id="150" w:name="_Toc148515746"/>
      <w:r w:rsidRPr="00CA5CC1">
        <w:t xml:space="preserve">FDA Must Create </w:t>
      </w:r>
      <w:r>
        <w:t xml:space="preserve">Annual Report </w:t>
      </w:r>
      <w:r w:rsidR="00F64000">
        <w:t xml:space="preserve">Form </w:t>
      </w:r>
      <w:r>
        <w:t>for Grant</w:t>
      </w:r>
      <w:r w:rsidR="00F64000">
        <w:t>ed</w:t>
      </w:r>
      <w:r>
        <w:t xml:space="preserve"> Certification</w:t>
      </w:r>
      <w:r w:rsidR="00F64000">
        <w:t>s</w:t>
      </w:r>
      <w:bookmarkEnd w:id="150"/>
    </w:p>
    <w:p w:rsidR="00336C05" w:rsidP="00336C05" w14:paraId="56496A11" w14:textId="0F76A3C9">
      <w:r>
        <w:tab/>
      </w:r>
      <w:r w:rsidR="00454325">
        <w:t xml:space="preserve">This </w:t>
      </w:r>
      <w:r w:rsidR="00615F3A">
        <w:t>final</w:t>
      </w:r>
      <w:r w:rsidR="00454325">
        <w:t xml:space="preserve"> rule </w:t>
      </w:r>
      <w:r w:rsidR="001940B0">
        <w:t>will</w:t>
      </w:r>
      <w:r w:rsidR="00454325">
        <w:t xml:space="preserve"> </w:t>
      </w:r>
      <w:r w:rsidR="00454325">
        <w:rPr>
          <w:rFonts w:eastAsia="Times New Roman"/>
        </w:rPr>
        <w:t xml:space="preserve">require us </w:t>
      </w:r>
      <w:r w:rsidR="00454325">
        <w:t xml:space="preserve">to create the form for </w:t>
      </w:r>
      <w:r w:rsidR="00F64000">
        <w:t>annual reports</w:t>
      </w:r>
      <w:r w:rsidR="00454325">
        <w:t xml:space="preserve">. </w:t>
      </w:r>
      <w:r w:rsidR="00A5403C">
        <w:t>SMEs</w:t>
      </w:r>
      <w:r w:rsidR="00454325">
        <w:t xml:space="preserve"> estimate between 4 and 14 FDA employees </w:t>
      </w:r>
      <w:r w:rsidR="006C59E8">
        <w:t>will</w:t>
      </w:r>
      <w:r w:rsidR="00454325">
        <w:t xml:space="preserve"> work on preparing the </w:t>
      </w:r>
      <w:r w:rsidR="00F468BB">
        <w:t>annual report</w:t>
      </w:r>
      <w:r w:rsidR="00454325">
        <w:t xml:space="preserve"> form. They estimate 4 to 12 hours per person to create and approve the form. </w:t>
      </w:r>
    </w:p>
    <w:p w:rsidR="00336C05" w:rsidP="00336C05" w14:paraId="5976ED7C" w14:textId="71E7D5B7">
      <w:pPr>
        <w:ind w:firstLine="720"/>
      </w:pPr>
      <w:r>
        <w:t>We</w:t>
      </w:r>
      <w:r w:rsidRPr="00F877E2">
        <w:t xml:space="preserve"> use </w:t>
      </w:r>
      <w:r w:rsidR="003153D7">
        <w:t>2022</w:t>
      </w:r>
      <w:r>
        <w:t xml:space="preserve"> FDA-wide FTE value to estimate the fully-loaded wage rate of $</w:t>
      </w:r>
      <w:r w:rsidR="00350C97">
        <w:t>142.52</w:t>
      </w:r>
      <w:r w:rsidRPr="00F877E2">
        <w:t xml:space="preserve">. </w:t>
      </w:r>
      <w:r w:rsidRPr="00830D72" w:rsidR="00830D72">
        <w:fldChar w:fldCharType="begin"/>
      </w:r>
      <w:r w:rsidRPr="00830D72" w:rsidR="00830D72">
        <w:instrText xml:space="preserve"> REF _Ref132016009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25</w:t>
      </w:r>
      <w:r w:rsidRPr="00830D72" w:rsidR="00830D72">
        <w:fldChar w:fldCharType="end"/>
      </w:r>
      <w:r w:rsidR="00596412">
        <w:t xml:space="preserve"> </w:t>
      </w:r>
      <w:r w:rsidRPr="00AA0928">
        <w:t>shows</w:t>
      </w:r>
      <w:r>
        <w:t xml:space="preserve"> the one-time costs of FDA designing a</w:t>
      </w:r>
      <w:r w:rsidR="00F468BB">
        <w:t>n annual report</w:t>
      </w:r>
      <w:r>
        <w:t xml:space="preserve"> form. The total one-time cost of </w:t>
      </w:r>
      <w:r w:rsidR="00C901A9">
        <w:t xml:space="preserve">the </w:t>
      </w:r>
      <w:r>
        <w:t xml:space="preserve">FDA forms committee creating this form </w:t>
      </w:r>
      <w:r w:rsidR="001940B0">
        <w:t>will</w:t>
      </w:r>
      <w:r>
        <w:t xml:space="preserve"> range from $2,</w:t>
      </w:r>
      <w:r w:rsidR="00ED1F47">
        <w:t>2</w:t>
      </w:r>
      <w:r w:rsidR="00EB512E">
        <w:t>8</w:t>
      </w:r>
      <w:r w:rsidR="00ED1F47">
        <w:t>0</w:t>
      </w:r>
      <w:r>
        <w:t xml:space="preserve"> to $2</w:t>
      </w:r>
      <w:r w:rsidR="00923D0C">
        <w:t>3</w:t>
      </w:r>
      <w:r>
        <w:t>,</w:t>
      </w:r>
      <w:r w:rsidR="00EB512E">
        <w:t>944</w:t>
      </w:r>
      <w:r>
        <w:t xml:space="preserve"> with a primary estimate of $</w:t>
      </w:r>
      <w:r w:rsidR="00923D0C">
        <w:t>10</w:t>
      </w:r>
      <w:r>
        <w:t>,</w:t>
      </w:r>
      <w:r w:rsidR="00EB512E">
        <w:t>262</w:t>
      </w:r>
      <w:r>
        <w:t>.</w:t>
      </w:r>
    </w:p>
    <w:p w:rsidR="00336C05" w:rsidP="00336C05" w14:paraId="428189AF" w14:textId="77777777"/>
    <w:p w:rsidR="00336C05" w:rsidRPr="004E4BB8" w:rsidP="00336C05" w14:paraId="7E8BDE08" w14:textId="51C70855">
      <w:pPr>
        <w:pStyle w:val="Caption"/>
        <w:keepNext/>
        <w:rPr>
          <w:b/>
        </w:rPr>
      </w:pPr>
      <w:bookmarkStart w:id="151" w:name="_Ref132016009"/>
      <w:bookmarkStart w:id="152" w:name="_Toc147238769"/>
      <w:r w:rsidRPr="004E4BB8">
        <w:rPr>
          <w:b/>
        </w:rPr>
        <w:t xml:space="preserve">Table </w:t>
      </w:r>
      <w:r w:rsidRPr="004E4BB8" w:rsidR="00315191">
        <w:rPr>
          <w:b/>
        </w:rPr>
        <w:fldChar w:fldCharType="begin"/>
      </w:r>
      <w:r w:rsidRPr="004E4BB8" w:rsidR="00315191">
        <w:rPr>
          <w:b/>
        </w:rPr>
        <w:instrText xml:space="preserve"> SEQ Table \* ARABIC </w:instrText>
      </w:r>
      <w:r w:rsidRPr="004E4BB8" w:rsidR="00315191">
        <w:rPr>
          <w:b/>
        </w:rPr>
        <w:fldChar w:fldCharType="separate"/>
      </w:r>
      <w:r w:rsidR="0011482F">
        <w:rPr>
          <w:b/>
          <w:noProof/>
        </w:rPr>
        <w:t>25</w:t>
      </w:r>
      <w:r w:rsidRPr="004E4BB8" w:rsidR="00315191">
        <w:rPr>
          <w:b/>
        </w:rPr>
        <w:fldChar w:fldCharType="end"/>
      </w:r>
      <w:bookmarkEnd w:id="151"/>
      <w:r w:rsidRPr="004E4BB8">
        <w:rPr>
          <w:b/>
        </w:rPr>
        <w:t xml:space="preserve">. Cost of Creating </w:t>
      </w:r>
      <w:r w:rsidR="005445E9">
        <w:rPr>
          <w:b/>
        </w:rPr>
        <w:t>Annual Report for Granting Certification</w:t>
      </w:r>
      <w:r w:rsidRPr="004E4BB8">
        <w:rPr>
          <w:b/>
        </w:rPr>
        <w:t xml:space="preserve"> Form</w:t>
      </w:r>
      <w:bookmarkEnd w:id="152"/>
    </w:p>
    <w:tbl>
      <w:tblPr>
        <w:tblW w:w="9350" w:type="dxa"/>
        <w:tblLook w:val="04A0"/>
      </w:tblPr>
      <w:tblGrid>
        <w:gridCol w:w="3797"/>
        <w:gridCol w:w="1755"/>
        <w:gridCol w:w="1851"/>
        <w:gridCol w:w="1947"/>
      </w:tblGrid>
      <w:tr w14:paraId="730F1152" w14:textId="77777777" w:rsidTr="00350C97">
        <w:tblPrEx>
          <w:tblW w:w="9350" w:type="dxa"/>
          <w:tblLook w:val="04A0"/>
        </w:tblPrEx>
        <w:trPr>
          <w:trHeight w:val="216"/>
        </w:trPr>
        <w:tc>
          <w:tcPr>
            <w:tcW w:w="3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36C05" w:rsidRPr="00F70002" w:rsidP="00336C05" w14:paraId="56D1C27B" w14:textId="77777777">
            <w:pPr>
              <w:spacing w:after="0"/>
              <w:rPr>
                <w:rFonts w:eastAsia="Times New Roman"/>
                <w:color w:val="000000"/>
                <w:sz w:val="22"/>
                <w:szCs w:val="22"/>
              </w:rPr>
            </w:pPr>
            <w:r w:rsidRPr="00F70002">
              <w:rPr>
                <w:rFonts w:eastAsia="Times New Roman"/>
                <w:color w:val="000000"/>
                <w:sz w:val="22"/>
                <w:szCs w:val="22"/>
              </w:rPr>
              <w:t> </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36C05" w:rsidRPr="00F70002" w:rsidP="00AC2CB0" w14:paraId="481EBFFA" w14:textId="77777777">
            <w:pPr>
              <w:spacing w:after="0"/>
              <w:jc w:val="center"/>
              <w:rPr>
                <w:rFonts w:eastAsia="Times New Roman"/>
                <w:b/>
                <w:color w:val="000000"/>
                <w:sz w:val="22"/>
                <w:szCs w:val="22"/>
              </w:rPr>
            </w:pPr>
            <w:r w:rsidRPr="00F70002">
              <w:rPr>
                <w:rFonts w:eastAsia="Times New Roman"/>
                <w:b/>
                <w:color w:val="000000"/>
                <w:sz w:val="22"/>
                <w:szCs w:val="22"/>
              </w:rPr>
              <w:t>Low</w:t>
            </w:r>
          </w:p>
        </w:tc>
        <w:tc>
          <w:tcPr>
            <w:tcW w:w="1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36C05" w:rsidRPr="00F70002" w:rsidP="00AC2CB0" w14:paraId="5EB7A4BF" w14:textId="77777777">
            <w:pPr>
              <w:spacing w:after="0"/>
              <w:jc w:val="center"/>
              <w:rPr>
                <w:rFonts w:eastAsia="Times New Roman"/>
                <w:b/>
                <w:color w:val="000000"/>
                <w:sz w:val="22"/>
                <w:szCs w:val="22"/>
              </w:rPr>
            </w:pPr>
            <w:r w:rsidRPr="00F70002">
              <w:rPr>
                <w:rFonts w:eastAsia="Times New Roman"/>
                <w:b/>
                <w:color w:val="000000"/>
                <w:sz w:val="22"/>
                <w:szCs w:val="22"/>
              </w:rPr>
              <w:t>Primary</w:t>
            </w:r>
          </w:p>
        </w:tc>
        <w:tc>
          <w:tcPr>
            <w:tcW w:w="194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36C05" w:rsidRPr="00F70002" w:rsidP="00AC2CB0" w14:paraId="463825CD" w14:textId="77777777">
            <w:pPr>
              <w:spacing w:after="0"/>
              <w:jc w:val="center"/>
              <w:rPr>
                <w:rFonts w:eastAsia="Times New Roman"/>
                <w:b/>
                <w:color w:val="000000"/>
                <w:sz w:val="22"/>
                <w:szCs w:val="22"/>
              </w:rPr>
            </w:pPr>
            <w:r w:rsidRPr="00F70002">
              <w:rPr>
                <w:rFonts w:eastAsia="Times New Roman"/>
                <w:b/>
                <w:color w:val="000000"/>
                <w:sz w:val="22"/>
                <w:szCs w:val="22"/>
              </w:rPr>
              <w:t>High</w:t>
            </w:r>
          </w:p>
        </w:tc>
      </w:tr>
      <w:tr w14:paraId="5F0FF5C6" w14:textId="77777777" w:rsidTr="00350C97">
        <w:tblPrEx>
          <w:tblW w:w="9350" w:type="dxa"/>
          <w:tblLook w:val="04A0"/>
        </w:tblPrEx>
        <w:trPr>
          <w:trHeight w:val="216"/>
        </w:trPr>
        <w:tc>
          <w:tcPr>
            <w:tcW w:w="3797" w:type="dxa"/>
            <w:tcBorders>
              <w:top w:val="nil"/>
              <w:left w:val="single" w:sz="4" w:space="0" w:color="auto"/>
              <w:bottom w:val="single" w:sz="4" w:space="0" w:color="auto"/>
              <w:right w:val="single" w:sz="4" w:space="0" w:color="auto"/>
            </w:tcBorders>
            <w:shd w:val="clear" w:color="auto" w:fill="auto"/>
            <w:noWrap/>
            <w:vAlign w:val="bottom"/>
            <w:hideMark/>
          </w:tcPr>
          <w:p w:rsidR="00336C05" w:rsidRPr="00F70002" w:rsidP="00336C05" w14:paraId="24186D8D" w14:textId="77777777">
            <w:pPr>
              <w:spacing w:after="0"/>
              <w:rPr>
                <w:rFonts w:eastAsia="Times New Roman"/>
                <w:color w:val="000000"/>
                <w:sz w:val="22"/>
                <w:szCs w:val="22"/>
              </w:rPr>
            </w:pPr>
            <w:r w:rsidRPr="00F70002">
              <w:rPr>
                <w:rFonts w:eastAsia="Times New Roman"/>
                <w:color w:val="000000"/>
                <w:sz w:val="22"/>
                <w:szCs w:val="22"/>
              </w:rPr>
              <w:t>Number of non-managers on forms committee</w:t>
            </w:r>
          </w:p>
        </w:tc>
        <w:tc>
          <w:tcPr>
            <w:tcW w:w="1755"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582F9050" w14:textId="77777777">
            <w:pPr>
              <w:spacing w:after="0"/>
              <w:jc w:val="center"/>
              <w:rPr>
                <w:rFonts w:eastAsia="Times New Roman"/>
                <w:color w:val="000000"/>
                <w:sz w:val="22"/>
                <w:szCs w:val="22"/>
              </w:rPr>
            </w:pPr>
            <w:r>
              <w:rPr>
                <w:rFonts w:eastAsia="Times New Roman"/>
                <w:color w:val="000000"/>
                <w:sz w:val="22"/>
                <w:szCs w:val="22"/>
              </w:rPr>
              <w:t>4</w:t>
            </w:r>
          </w:p>
        </w:tc>
        <w:tc>
          <w:tcPr>
            <w:tcW w:w="1851"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33C041F4" w14:textId="77777777">
            <w:pPr>
              <w:spacing w:after="0"/>
              <w:jc w:val="center"/>
              <w:rPr>
                <w:rFonts w:eastAsia="Times New Roman"/>
                <w:color w:val="000000"/>
                <w:sz w:val="22"/>
                <w:szCs w:val="22"/>
              </w:rPr>
            </w:pPr>
            <w:r>
              <w:rPr>
                <w:rFonts w:eastAsia="Times New Roman"/>
                <w:color w:val="000000"/>
                <w:sz w:val="22"/>
                <w:szCs w:val="22"/>
              </w:rPr>
              <w:t>9</w:t>
            </w:r>
          </w:p>
        </w:tc>
        <w:tc>
          <w:tcPr>
            <w:tcW w:w="1947"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71AEEEE7" w14:textId="77777777">
            <w:pPr>
              <w:spacing w:after="0"/>
              <w:jc w:val="center"/>
              <w:rPr>
                <w:rFonts w:eastAsia="Times New Roman"/>
                <w:color w:val="000000"/>
                <w:sz w:val="22"/>
                <w:szCs w:val="22"/>
              </w:rPr>
            </w:pPr>
            <w:r w:rsidRPr="00F70002">
              <w:rPr>
                <w:rFonts w:eastAsia="Times New Roman"/>
                <w:color w:val="000000"/>
                <w:sz w:val="22"/>
                <w:szCs w:val="22"/>
              </w:rPr>
              <w:t>1</w:t>
            </w:r>
            <w:r>
              <w:rPr>
                <w:rFonts w:eastAsia="Times New Roman"/>
                <w:color w:val="000000"/>
                <w:sz w:val="22"/>
                <w:szCs w:val="22"/>
              </w:rPr>
              <w:t>4</w:t>
            </w:r>
          </w:p>
        </w:tc>
      </w:tr>
      <w:tr w14:paraId="41036E29" w14:textId="77777777" w:rsidTr="00350C97">
        <w:tblPrEx>
          <w:tblW w:w="9350" w:type="dxa"/>
          <w:tblLook w:val="04A0"/>
        </w:tblPrEx>
        <w:trPr>
          <w:trHeight w:val="216"/>
        </w:trPr>
        <w:tc>
          <w:tcPr>
            <w:tcW w:w="3797" w:type="dxa"/>
            <w:tcBorders>
              <w:top w:val="nil"/>
              <w:left w:val="single" w:sz="4" w:space="0" w:color="auto"/>
              <w:bottom w:val="single" w:sz="4" w:space="0" w:color="auto"/>
              <w:right w:val="single" w:sz="4" w:space="0" w:color="auto"/>
            </w:tcBorders>
            <w:shd w:val="clear" w:color="auto" w:fill="auto"/>
            <w:noWrap/>
            <w:vAlign w:val="bottom"/>
            <w:hideMark/>
          </w:tcPr>
          <w:p w:rsidR="00336C05" w:rsidRPr="00F70002" w:rsidP="00336C05" w14:paraId="02548F77" w14:textId="77777777">
            <w:pPr>
              <w:spacing w:after="0"/>
              <w:rPr>
                <w:rFonts w:eastAsia="Times New Roman"/>
                <w:color w:val="000000"/>
                <w:sz w:val="22"/>
                <w:szCs w:val="22"/>
              </w:rPr>
            </w:pPr>
            <w:r>
              <w:rPr>
                <w:rFonts w:eastAsia="Times New Roman"/>
                <w:color w:val="000000"/>
                <w:sz w:val="22"/>
                <w:szCs w:val="22"/>
              </w:rPr>
              <w:t>FDA-wide FTE</w:t>
            </w:r>
          </w:p>
        </w:tc>
        <w:tc>
          <w:tcPr>
            <w:tcW w:w="1755"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0110763E" w14:textId="2FC3BBDE">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c>
          <w:tcPr>
            <w:tcW w:w="1851"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6F94C9DE" w14:textId="5831F788">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c>
          <w:tcPr>
            <w:tcW w:w="1947"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3A1133F7" w14:textId="3E94C34A">
            <w:pPr>
              <w:spacing w:after="0"/>
              <w:jc w:val="center"/>
              <w:rPr>
                <w:rFonts w:eastAsia="Times New Roman"/>
                <w:color w:val="000000"/>
                <w:sz w:val="22"/>
                <w:szCs w:val="22"/>
              </w:rPr>
            </w:pPr>
            <w:r w:rsidRPr="00F70002">
              <w:rPr>
                <w:rFonts w:eastAsia="Times New Roman"/>
                <w:color w:val="000000"/>
                <w:sz w:val="22"/>
                <w:szCs w:val="22"/>
              </w:rPr>
              <w:t>$</w:t>
            </w:r>
            <w:r w:rsidR="00350C97">
              <w:rPr>
                <w:rFonts w:eastAsia="Times New Roman"/>
                <w:color w:val="000000"/>
                <w:sz w:val="22"/>
                <w:szCs w:val="22"/>
              </w:rPr>
              <w:t>142.52</w:t>
            </w:r>
          </w:p>
        </w:tc>
      </w:tr>
      <w:tr w14:paraId="2BB8BC32" w14:textId="77777777" w:rsidTr="00350C97">
        <w:tblPrEx>
          <w:tblW w:w="9350" w:type="dxa"/>
          <w:tblLook w:val="04A0"/>
        </w:tblPrEx>
        <w:trPr>
          <w:trHeight w:val="216"/>
        </w:trPr>
        <w:tc>
          <w:tcPr>
            <w:tcW w:w="3797" w:type="dxa"/>
            <w:tcBorders>
              <w:top w:val="nil"/>
              <w:left w:val="single" w:sz="4" w:space="0" w:color="auto"/>
              <w:bottom w:val="single" w:sz="4" w:space="0" w:color="auto"/>
              <w:right w:val="single" w:sz="4" w:space="0" w:color="auto"/>
            </w:tcBorders>
            <w:shd w:val="clear" w:color="auto" w:fill="auto"/>
            <w:noWrap/>
            <w:vAlign w:val="bottom"/>
            <w:hideMark/>
          </w:tcPr>
          <w:p w:rsidR="00336C05" w:rsidRPr="00F70002" w:rsidP="00336C05" w14:paraId="3BA5F628" w14:textId="77777777">
            <w:pPr>
              <w:spacing w:after="0"/>
              <w:rPr>
                <w:rFonts w:eastAsia="Times New Roman"/>
                <w:color w:val="000000"/>
                <w:sz w:val="22"/>
                <w:szCs w:val="22"/>
              </w:rPr>
            </w:pPr>
            <w:r w:rsidRPr="00F70002">
              <w:rPr>
                <w:rFonts w:eastAsia="Times New Roman"/>
                <w:color w:val="000000"/>
                <w:sz w:val="22"/>
                <w:szCs w:val="22"/>
              </w:rPr>
              <w:t xml:space="preserve">Hours per individual </w:t>
            </w:r>
          </w:p>
        </w:tc>
        <w:tc>
          <w:tcPr>
            <w:tcW w:w="1755"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68E13F82" w14:textId="77777777">
            <w:pPr>
              <w:spacing w:after="0"/>
              <w:jc w:val="center"/>
              <w:rPr>
                <w:rFonts w:eastAsia="Times New Roman"/>
                <w:color w:val="000000"/>
                <w:sz w:val="22"/>
                <w:szCs w:val="22"/>
              </w:rPr>
            </w:pPr>
            <w:r>
              <w:rPr>
                <w:rFonts w:eastAsia="Times New Roman"/>
                <w:color w:val="000000"/>
                <w:sz w:val="22"/>
                <w:szCs w:val="22"/>
              </w:rPr>
              <w:t>4</w:t>
            </w:r>
          </w:p>
        </w:tc>
        <w:tc>
          <w:tcPr>
            <w:tcW w:w="1851"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244E5C68" w14:textId="77777777">
            <w:pPr>
              <w:spacing w:after="0"/>
              <w:jc w:val="center"/>
              <w:rPr>
                <w:rFonts w:eastAsia="Times New Roman"/>
                <w:color w:val="000000"/>
                <w:sz w:val="22"/>
                <w:szCs w:val="22"/>
              </w:rPr>
            </w:pPr>
            <w:r>
              <w:rPr>
                <w:rFonts w:eastAsia="Times New Roman"/>
                <w:color w:val="000000"/>
                <w:sz w:val="22"/>
                <w:szCs w:val="22"/>
              </w:rPr>
              <w:t>8</w:t>
            </w:r>
          </w:p>
        </w:tc>
        <w:tc>
          <w:tcPr>
            <w:tcW w:w="1947" w:type="dxa"/>
            <w:tcBorders>
              <w:top w:val="nil"/>
              <w:left w:val="nil"/>
              <w:bottom w:val="single" w:sz="4" w:space="0" w:color="auto"/>
              <w:right w:val="single" w:sz="4" w:space="0" w:color="auto"/>
            </w:tcBorders>
            <w:shd w:val="clear" w:color="auto" w:fill="auto"/>
            <w:noWrap/>
            <w:vAlign w:val="bottom"/>
            <w:hideMark/>
          </w:tcPr>
          <w:p w:rsidR="00336C05" w:rsidRPr="00F70002" w:rsidP="00AC2CB0" w14:paraId="6D3BD71F" w14:textId="77777777">
            <w:pPr>
              <w:spacing w:after="0"/>
              <w:jc w:val="center"/>
              <w:rPr>
                <w:rFonts w:eastAsia="Times New Roman"/>
                <w:color w:val="000000"/>
                <w:sz w:val="22"/>
                <w:szCs w:val="22"/>
              </w:rPr>
            </w:pPr>
            <w:r>
              <w:rPr>
                <w:rFonts w:eastAsia="Times New Roman"/>
                <w:color w:val="000000"/>
                <w:sz w:val="22"/>
                <w:szCs w:val="22"/>
              </w:rPr>
              <w:t>12</w:t>
            </w:r>
          </w:p>
        </w:tc>
      </w:tr>
      <w:tr w14:paraId="7B1F301C" w14:textId="77777777" w:rsidTr="00350C97">
        <w:tblPrEx>
          <w:tblW w:w="9350" w:type="dxa"/>
          <w:tblLook w:val="04A0"/>
        </w:tblPrEx>
        <w:trPr>
          <w:trHeight w:val="216"/>
        </w:trPr>
        <w:tc>
          <w:tcPr>
            <w:tcW w:w="379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336C05" w:rsidRPr="00F70002" w:rsidP="00336C05" w14:paraId="69188E6C" w14:textId="77777777">
            <w:pPr>
              <w:spacing w:after="0"/>
              <w:rPr>
                <w:rFonts w:eastAsia="Times New Roman"/>
                <w:b/>
                <w:color w:val="000000"/>
                <w:sz w:val="22"/>
                <w:szCs w:val="22"/>
              </w:rPr>
            </w:pPr>
            <w:r w:rsidRPr="00F70002">
              <w:rPr>
                <w:rFonts w:eastAsia="Times New Roman"/>
                <w:b/>
                <w:color w:val="000000"/>
                <w:sz w:val="22"/>
                <w:szCs w:val="22"/>
              </w:rPr>
              <w:t>One-time cost</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336C05" w:rsidRPr="00F70002" w:rsidP="00AC2CB0" w14:paraId="6E1CB147" w14:textId="77777777">
            <w:pPr>
              <w:spacing w:after="0"/>
              <w:jc w:val="center"/>
              <w:rPr>
                <w:rFonts w:eastAsia="Times New Roman"/>
                <w:color w:val="000000"/>
                <w:sz w:val="22"/>
                <w:szCs w:val="22"/>
              </w:rPr>
            </w:pPr>
          </w:p>
        </w:tc>
        <w:tc>
          <w:tcPr>
            <w:tcW w:w="1851" w:type="dxa"/>
            <w:tcBorders>
              <w:top w:val="nil"/>
              <w:left w:val="nil"/>
              <w:bottom w:val="single" w:sz="4" w:space="0" w:color="auto"/>
              <w:right w:val="single" w:sz="4" w:space="0" w:color="auto"/>
            </w:tcBorders>
            <w:shd w:val="clear" w:color="auto" w:fill="D9D9D9" w:themeFill="background1" w:themeFillShade="D9"/>
            <w:noWrap/>
            <w:vAlign w:val="bottom"/>
          </w:tcPr>
          <w:p w:rsidR="00336C05" w:rsidRPr="00F70002" w:rsidP="00AC2CB0" w14:paraId="5DC9EE26" w14:textId="77777777">
            <w:pPr>
              <w:spacing w:after="0"/>
              <w:jc w:val="center"/>
              <w:rPr>
                <w:rFonts w:eastAsia="Times New Roman"/>
                <w:color w:val="000000"/>
                <w:sz w:val="22"/>
                <w:szCs w:val="22"/>
              </w:rPr>
            </w:pPr>
          </w:p>
        </w:tc>
        <w:tc>
          <w:tcPr>
            <w:tcW w:w="1947" w:type="dxa"/>
            <w:tcBorders>
              <w:top w:val="nil"/>
              <w:left w:val="nil"/>
              <w:bottom w:val="single" w:sz="4" w:space="0" w:color="auto"/>
              <w:right w:val="single" w:sz="4" w:space="0" w:color="auto"/>
            </w:tcBorders>
            <w:shd w:val="clear" w:color="auto" w:fill="D9D9D9" w:themeFill="background1" w:themeFillShade="D9"/>
            <w:noWrap/>
            <w:vAlign w:val="bottom"/>
          </w:tcPr>
          <w:p w:rsidR="00336C05" w:rsidRPr="00F70002" w:rsidP="00AC2CB0" w14:paraId="26C1FD4D" w14:textId="77777777">
            <w:pPr>
              <w:spacing w:after="0"/>
              <w:jc w:val="center"/>
              <w:rPr>
                <w:rFonts w:eastAsia="Times New Roman"/>
                <w:color w:val="000000"/>
                <w:sz w:val="22"/>
                <w:szCs w:val="22"/>
              </w:rPr>
            </w:pPr>
          </w:p>
        </w:tc>
      </w:tr>
      <w:tr w14:paraId="7BB37DF4" w14:textId="77777777" w:rsidTr="00350C97">
        <w:tblPrEx>
          <w:tblW w:w="9350" w:type="dxa"/>
          <w:tblLook w:val="04A0"/>
        </w:tblPrEx>
        <w:trPr>
          <w:trHeight w:val="216"/>
        </w:trPr>
        <w:tc>
          <w:tcPr>
            <w:tcW w:w="3797" w:type="dxa"/>
            <w:tcBorders>
              <w:top w:val="nil"/>
              <w:left w:val="single" w:sz="4" w:space="0" w:color="auto"/>
              <w:bottom w:val="single" w:sz="4" w:space="0" w:color="auto"/>
              <w:right w:val="single" w:sz="4" w:space="0" w:color="auto"/>
            </w:tcBorders>
            <w:shd w:val="clear" w:color="auto" w:fill="auto"/>
            <w:noWrap/>
            <w:vAlign w:val="bottom"/>
            <w:hideMark/>
          </w:tcPr>
          <w:p w:rsidR="00350C97" w:rsidRPr="00F70002" w:rsidP="00350C97" w14:paraId="7685AAC3" w14:textId="77777777">
            <w:pPr>
              <w:spacing w:after="0"/>
              <w:rPr>
                <w:rFonts w:eastAsia="Times New Roman"/>
                <w:color w:val="000000"/>
                <w:sz w:val="22"/>
                <w:szCs w:val="22"/>
              </w:rPr>
            </w:pPr>
            <w:r w:rsidRPr="00F70002">
              <w:rPr>
                <w:rFonts w:eastAsia="Times New Roman"/>
                <w:color w:val="000000"/>
                <w:sz w:val="22"/>
                <w:szCs w:val="22"/>
              </w:rPr>
              <w:t>One-time cost of approving form</w:t>
            </w:r>
          </w:p>
        </w:tc>
        <w:tc>
          <w:tcPr>
            <w:tcW w:w="1755"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00F50024" w14:textId="6C14C060">
            <w:pPr>
              <w:spacing w:after="0"/>
              <w:jc w:val="center"/>
              <w:rPr>
                <w:rFonts w:eastAsia="Times New Roman"/>
                <w:color w:val="000000"/>
                <w:sz w:val="22"/>
                <w:szCs w:val="22"/>
              </w:rPr>
            </w:pPr>
            <w:r w:rsidRPr="000659AD">
              <w:rPr>
                <w:color w:val="000000"/>
                <w:sz w:val="22"/>
                <w:szCs w:val="22"/>
              </w:rPr>
              <w:t>$2,280.38</w:t>
            </w:r>
          </w:p>
        </w:tc>
        <w:tc>
          <w:tcPr>
            <w:tcW w:w="1851"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52131DF3" w14:textId="7325228D">
            <w:pPr>
              <w:spacing w:after="0"/>
              <w:jc w:val="center"/>
              <w:rPr>
                <w:rFonts w:eastAsia="Times New Roman"/>
                <w:color w:val="000000"/>
                <w:sz w:val="22"/>
                <w:szCs w:val="22"/>
              </w:rPr>
            </w:pPr>
            <w:r w:rsidRPr="000659AD">
              <w:rPr>
                <w:color w:val="000000"/>
                <w:sz w:val="22"/>
                <w:szCs w:val="22"/>
              </w:rPr>
              <w:t>$10,261.73</w:t>
            </w:r>
          </w:p>
        </w:tc>
        <w:tc>
          <w:tcPr>
            <w:tcW w:w="1947" w:type="dxa"/>
            <w:tcBorders>
              <w:top w:val="nil"/>
              <w:left w:val="nil"/>
              <w:bottom w:val="single" w:sz="4" w:space="0" w:color="auto"/>
              <w:right w:val="single" w:sz="4" w:space="0" w:color="auto"/>
            </w:tcBorders>
            <w:shd w:val="clear" w:color="auto" w:fill="auto"/>
            <w:noWrap/>
            <w:vAlign w:val="bottom"/>
            <w:hideMark/>
          </w:tcPr>
          <w:p w:rsidR="00350C97" w:rsidRPr="00350C97" w:rsidP="00350C97" w14:paraId="4270C7F3" w14:textId="72AB68D7">
            <w:pPr>
              <w:spacing w:after="0"/>
              <w:jc w:val="center"/>
              <w:rPr>
                <w:rFonts w:eastAsia="Times New Roman"/>
                <w:color w:val="000000"/>
                <w:sz w:val="22"/>
                <w:szCs w:val="22"/>
              </w:rPr>
            </w:pPr>
            <w:r w:rsidRPr="000659AD">
              <w:rPr>
                <w:color w:val="000000"/>
                <w:sz w:val="22"/>
                <w:szCs w:val="22"/>
              </w:rPr>
              <w:t>$23,944.04</w:t>
            </w:r>
          </w:p>
        </w:tc>
      </w:tr>
    </w:tbl>
    <w:p w:rsidR="0024341A" w:rsidP="00D92EF4" w14:paraId="3FFDC26A" w14:textId="77777777">
      <w:bookmarkStart w:id="153" w:name="_Toc36567015"/>
      <w:bookmarkStart w:id="154" w:name="_Toc36633588"/>
      <w:bookmarkStart w:id="155" w:name="_Toc36633589"/>
      <w:bookmarkEnd w:id="153"/>
      <w:bookmarkEnd w:id="154"/>
      <w:bookmarkEnd w:id="155"/>
    </w:p>
    <w:p w:rsidR="0070095A" w:rsidP="00D92EF4" w14:paraId="3C86EB65" w14:textId="1F01498D"/>
    <w:p w:rsidR="00A277AF" w:rsidP="00F70002" w14:paraId="5809D829" w14:textId="36B24B61">
      <w:pPr>
        <w:pStyle w:val="Heading3"/>
      </w:pPr>
      <w:bookmarkStart w:id="156" w:name="_Toc77674585"/>
      <w:bookmarkStart w:id="157" w:name="_Toc77687417"/>
      <w:bookmarkStart w:id="158" w:name="_Toc77687482"/>
      <w:bookmarkStart w:id="159" w:name="_Toc77687547"/>
      <w:bookmarkStart w:id="160" w:name="_Toc77687612"/>
      <w:bookmarkStart w:id="161" w:name="_Toc77687745"/>
      <w:bookmarkStart w:id="162" w:name="_Toc148515747"/>
      <w:bookmarkEnd w:id="156"/>
      <w:bookmarkEnd w:id="157"/>
      <w:bookmarkEnd w:id="158"/>
      <w:bookmarkEnd w:id="159"/>
      <w:bookmarkEnd w:id="160"/>
      <w:bookmarkEnd w:id="161"/>
      <w:r>
        <w:t>Potential Costs</w:t>
      </w:r>
      <w:bookmarkEnd w:id="162"/>
    </w:p>
    <w:p w:rsidR="00A277AF" w:rsidP="00222197" w14:paraId="05A1AC4C" w14:textId="77777777"/>
    <w:p w:rsidR="00A277AF" w:rsidRPr="00AC3953" w:rsidP="00A277AF" w14:paraId="22F4BE9F" w14:textId="6CBD714F">
      <w:pPr>
        <w:pStyle w:val="Heading4"/>
        <w:numPr>
          <w:ilvl w:val="0"/>
          <w:numId w:val="54"/>
        </w:numPr>
      </w:pPr>
      <w:bookmarkStart w:id="163" w:name="_Toc148515748"/>
      <w:r>
        <w:t>F</w:t>
      </w:r>
      <w:r w:rsidRPr="00911398">
        <w:t>ull Compliance Consultants</w:t>
      </w:r>
      <w:bookmarkEnd w:id="163"/>
    </w:p>
    <w:p w:rsidR="00A277AF" w:rsidP="00A277AF" w14:paraId="4C51FB1A" w14:textId="61892A87">
      <w:pPr>
        <w:pStyle w:val="BodyTextFirstIndent"/>
        <w:ind w:firstLine="720"/>
      </w:pPr>
      <w:r>
        <w:t>Under the current regulations</w:t>
      </w:r>
      <w:r w:rsidR="008D20BC">
        <w:t>,</w:t>
      </w:r>
      <w:r w:rsidR="00F9558E">
        <w:t xml:space="preserve"> </w:t>
      </w:r>
      <w:r>
        <w:t>consultants must have significant education, training, and experience.</w:t>
      </w:r>
      <w:r w:rsidRPr="00475CCB">
        <w:t xml:space="preserve"> </w:t>
      </w:r>
      <w:r w:rsidR="00615F3A">
        <w:t xml:space="preserve">However, </w:t>
      </w:r>
      <w:r>
        <w:t>ERG</w:t>
      </w:r>
      <w:r w:rsidRPr="00FE39B0">
        <w:t xml:space="preserve"> estimate</w:t>
      </w:r>
      <w:r>
        <w:t>s</w:t>
      </w:r>
      <w:r w:rsidRPr="00FE39B0">
        <w:t xml:space="preserve"> </w:t>
      </w:r>
      <w:r w:rsidR="00615F3A">
        <w:t xml:space="preserve">only </w:t>
      </w:r>
      <w:r w:rsidRPr="00FE39B0">
        <w:t>50 percent baseline compliance with this requirement at small firms</w:t>
      </w:r>
      <w:r w:rsidR="00B122ED">
        <w:t>.</w:t>
      </w:r>
      <w:r w:rsidRPr="00FE39B0">
        <w:t xml:space="preserve"> </w:t>
      </w:r>
      <w:r w:rsidR="00B122ED">
        <w:t>F</w:t>
      </w:r>
      <w:r>
        <w:t xml:space="preserve">irms </w:t>
      </w:r>
      <w:r w:rsidRPr="00FE39B0">
        <w:t xml:space="preserve">typically </w:t>
      </w:r>
      <w:r>
        <w:t xml:space="preserve">meet it </w:t>
      </w:r>
      <w:r w:rsidRPr="00FE39B0">
        <w:t>by keeping resume</w:t>
      </w:r>
      <w:r>
        <w:t>s</w:t>
      </w:r>
      <w:r w:rsidRPr="00FE39B0">
        <w:t xml:space="preserve"> on file for any consultants used. Given that use of consultants </w:t>
      </w:r>
      <w:r w:rsidR="006C59E8">
        <w:t>will</w:t>
      </w:r>
      <w:r w:rsidRPr="00FE39B0">
        <w:t xml:space="preserve"> vary and the labor hours associated with this requirement on behalf of the firm </w:t>
      </w:r>
      <w:r w:rsidR="006C59E8">
        <w:t>will</w:t>
      </w:r>
      <w:r w:rsidRPr="00FE39B0">
        <w:t xml:space="preserve"> be negligible, ERG did not estimate a unit cost for this requirement. </w:t>
      </w:r>
    </w:p>
    <w:p w:rsidR="00A277AF" w:rsidP="00222197" w14:paraId="7D64E6BC" w14:textId="587A71F9"/>
    <w:p w:rsidR="00652F41" w:rsidP="004910D2" w14:paraId="190CA958" w14:textId="44C27070">
      <w:pPr>
        <w:pStyle w:val="Heading4"/>
      </w:pPr>
      <w:bookmarkStart w:id="164" w:name="_Toc148515749"/>
      <w:r>
        <w:t xml:space="preserve">Qualitative Cost of Relabeling </w:t>
      </w:r>
      <w:r w:rsidR="003506A3">
        <w:t>Medical Air Containers</w:t>
      </w:r>
      <w:bookmarkEnd w:id="164"/>
    </w:p>
    <w:p w:rsidR="000D369F" w:rsidRPr="00E54781" w14:paraId="4E9ACCC4" w14:textId="67451EB6">
      <w:pPr>
        <w:ind w:firstLine="720"/>
      </w:pPr>
      <w:r w:rsidRPr="00035B1A">
        <w:rPr>
          <w:rFonts w:eastAsia="Times New Roman"/>
        </w:rPr>
        <w:t xml:space="preserve">The Compressed </w:t>
      </w:r>
      <w:r w:rsidRPr="00E54781">
        <w:rPr>
          <w:rFonts w:eastAsia="Times New Roman"/>
        </w:rPr>
        <w:t>Gas Association (CGA)</w:t>
      </w:r>
      <w:r w:rsidRPr="00035B1A" w:rsidR="0065256A">
        <w:rPr>
          <w:rFonts w:eastAsia="Times New Roman"/>
        </w:rPr>
        <w:t xml:space="preserve"> recommends that their member</w:t>
      </w:r>
      <w:r w:rsidRPr="00035B1A" w:rsidR="003D0F1B">
        <w:rPr>
          <w:rFonts w:eastAsia="Times New Roman"/>
        </w:rPr>
        <w:t xml:space="preserve">s include a statement </w:t>
      </w:r>
      <w:r w:rsidRPr="00E54781" w:rsidR="002C322D">
        <w:rPr>
          <w:rFonts w:eastAsia="Times New Roman"/>
        </w:rPr>
        <w:t xml:space="preserve">on their medical air labeling </w:t>
      </w:r>
      <w:r w:rsidRPr="00E54781" w:rsidR="002C322D">
        <w:rPr>
          <w:rFonts w:eastAsia="Times New Roman"/>
        </w:rPr>
        <w:t>saying</w:t>
      </w:r>
      <w:r w:rsidRPr="00E54781" w:rsidR="002C322D">
        <w:rPr>
          <w:rFonts w:eastAsia="Times New Roman"/>
        </w:rPr>
        <w:t xml:space="preserve"> “</w:t>
      </w:r>
      <w:r w:rsidRPr="00E54781" w:rsidR="002C322D">
        <w:t>providing medical air may be used for breathing support without a prescription when used by properly trained personnel, and for all other medical applications a prescription is required</w:t>
      </w:r>
      <w:r w:rsidR="005F4B51">
        <w:t>”</w:t>
      </w:r>
      <w:r w:rsidRPr="00E54781" w:rsidR="002C322D">
        <w:t xml:space="preserve"> (Ref. </w:t>
      </w:r>
      <w:r w:rsidR="00BB2E72">
        <w:t>7</w:t>
      </w:r>
      <w:r w:rsidRPr="00E54781" w:rsidR="002C322D">
        <w:t>).</w:t>
      </w:r>
      <w:r w:rsidRPr="00E54781" w:rsidR="004D72DA">
        <w:t xml:space="preserve"> </w:t>
      </w:r>
      <w:r w:rsidRPr="00E54781" w:rsidR="004D72DA">
        <w:rPr>
          <w:rFonts w:eastAsia="Times New Roman"/>
        </w:rPr>
        <w:t xml:space="preserve">The Agency remains unaware of any uses for medical air that would be appropriate for nonprescription use, and no new information supporting such uses has been provided since the Agency last addressed this issue in a petition response to CGA (Ref. </w:t>
      </w:r>
      <w:r w:rsidR="00BB2E72">
        <w:rPr>
          <w:rFonts w:eastAsia="Times New Roman"/>
        </w:rPr>
        <w:t>8</w:t>
      </w:r>
      <w:r w:rsidRPr="00E54781" w:rsidR="004D72DA">
        <w:rPr>
          <w:rFonts w:eastAsia="Times New Roman"/>
        </w:rPr>
        <w:t xml:space="preserve">). </w:t>
      </w:r>
      <w:r w:rsidRPr="00E54781">
        <w:t xml:space="preserve">This </w:t>
      </w:r>
      <w:r w:rsidR="00615F3A">
        <w:t>final</w:t>
      </w:r>
      <w:r w:rsidRPr="00E54781">
        <w:t xml:space="preserve"> rule </w:t>
      </w:r>
      <w:r w:rsidR="001940B0">
        <w:t>will</w:t>
      </w:r>
      <w:r w:rsidRPr="00E54781">
        <w:t xml:space="preserve"> require that medical air be prescribed and only administered by, or under the supervision of, a licensed practitio</w:t>
      </w:r>
      <w:r w:rsidRPr="00E54781" w:rsidR="00153AC2">
        <w:t xml:space="preserve">ner. As a result, </w:t>
      </w:r>
      <w:r w:rsidRPr="00E54781" w:rsidR="003E7227">
        <w:t xml:space="preserve">industry </w:t>
      </w:r>
      <w:r w:rsidR="001940B0">
        <w:t>will</w:t>
      </w:r>
      <w:r w:rsidRPr="00E54781" w:rsidR="003E7227">
        <w:t xml:space="preserve"> need to replace</w:t>
      </w:r>
      <w:r w:rsidRPr="00E54781">
        <w:t xml:space="preserve"> </w:t>
      </w:r>
      <w:r w:rsidRPr="00E54781" w:rsidR="000B228A">
        <w:t xml:space="preserve">labels containing the above statement </w:t>
      </w:r>
      <w:r w:rsidR="00F9733E">
        <w:t xml:space="preserve">recommended </w:t>
      </w:r>
      <w:r w:rsidRPr="00E54781" w:rsidR="000B228A">
        <w:t>by CGA.</w:t>
      </w:r>
    </w:p>
    <w:p w:rsidR="00246E92" w14:paraId="2D4A9788" w14:textId="1A409C0B">
      <w:pPr>
        <w:ind w:firstLine="720"/>
      </w:pPr>
      <w:r w:rsidRPr="00E54781">
        <w:t xml:space="preserve">The CGA 2018 Report does note “information contained in this document was obtained from sources believed to be reliable and is based on technical information and experience currently available from members of the Compressed Gas Association, Inc. and others.” As a result, we do not know what percentage of entities are following the CGA 2018 Report standards nor did the ERG 2020 Report (Ref. </w:t>
      </w:r>
      <w:r w:rsidR="00BB2E72">
        <w:t>2</w:t>
      </w:r>
      <w:r w:rsidRPr="00E54781">
        <w:t xml:space="preserve">) provide a count of medical gas containers. Without this information we cannot accurately estimate this potential burden on industry. </w:t>
      </w:r>
    </w:p>
    <w:p w:rsidR="0070095A" w:rsidP="004910D2" w14:paraId="4D2F7DE0" w14:textId="77777777">
      <w:pPr>
        <w:ind w:firstLine="720"/>
      </w:pPr>
    </w:p>
    <w:p w:rsidR="00136929" w:rsidP="004F1C9F" w14:paraId="50595A19" w14:textId="1EAB5A74">
      <w:pPr>
        <w:pStyle w:val="Heading3"/>
      </w:pPr>
      <w:bookmarkStart w:id="165" w:name="_Toc148515750"/>
      <w:r>
        <w:t>Summary of Quantitative Costs</w:t>
      </w:r>
      <w:bookmarkEnd w:id="165"/>
    </w:p>
    <w:p w:rsidR="00863DCB" w:rsidP="00236046" w14:paraId="2B924F01" w14:textId="6B68C7BA"/>
    <w:p w:rsidR="004F5499" w:rsidRPr="000B2422" w:rsidP="00236046" w14:paraId="09B1961A" w14:textId="2AEB82B7">
      <w:pPr>
        <w:ind w:firstLine="720"/>
      </w:pPr>
      <w:r>
        <w:t xml:space="preserve">The </w:t>
      </w:r>
      <w:r w:rsidR="00AD28DE">
        <w:t xml:space="preserve">quantifiable </w:t>
      </w:r>
      <w:r>
        <w:t xml:space="preserve">costs of this </w:t>
      </w:r>
      <w:r w:rsidR="00627A01">
        <w:t>final</w:t>
      </w:r>
      <w:r>
        <w:t xml:space="preserve"> rule </w:t>
      </w:r>
      <w:r w:rsidR="001B2D2F">
        <w:t>include</w:t>
      </w:r>
      <w:r>
        <w:t xml:space="preserve"> the new “no smoking” </w:t>
      </w:r>
      <w:r w:rsidR="00B65505">
        <w:t>statement</w:t>
      </w:r>
      <w:r w:rsidR="00395C1E">
        <w:t>, the “no vaping” statement,</w:t>
      </w:r>
      <w:r w:rsidR="00B65505">
        <w:t xml:space="preserve"> and graphic warning symbol</w:t>
      </w:r>
      <w:r>
        <w:t xml:space="preserve"> requirement, clarification leading to firms becoming compliant with existing requirements, an increase in the number of </w:t>
      </w:r>
      <w:r w:rsidR="00F0316E">
        <w:t>adverse event</w:t>
      </w:r>
      <w:r>
        <w:t xml:space="preserve"> reports, and added CGMP requirement</w:t>
      </w:r>
      <w:r w:rsidR="004F1C9F">
        <w:t>s</w:t>
      </w:r>
      <w:r>
        <w:t xml:space="preserve"> including a requirement for portable cryogenic container</w:t>
      </w:r>
      <w:r w:rsidR="004E31B3">
        <w:t>s</w:t>
      </w:r>
      <w:r>
        <w:t xml:space="preserve"> to have a working gauge.</w:t>
      </w:r>
      <w:r>
        <w:t xml:space="preserve"> </w:t>
      </w:r>
      <w:r w:rsidRPr="007C6BD7" w:rsidR="00B50903">
        <w:t xml:space="preserve">Except for the provisions </w:t>
      </w:r>
      <w:r w:rsidRPr="007C6BD7" w:rsidR="00E6781D">
        <w:t>that amend</w:t>
      </w:r>
      <w:r w:rsidRPr="007C6BD7" w:rsidR="00B50903">
        <w:t xml:space="preserve"> 21 CFR </w:t>
      </w:r>
      <w:r w:rsidRPr="007C6BD7" w:rsidR="00E6781D">
        <w:t>p</w:t>
      </w:r>
      <w:r w:rsidRPr="007C6BD7" w:rsidR="00B50903">
        <w:t>art 4,</w:t>
      </w:r>
      <w:r w:rsidR="00B50903">
        <w:t xml:space="preserve"> t</w:t>
      </w:r>
      <w:r>
        <w:t xml:space="preserve">his rule </w:t>
      </w:r>
      <w:r w:rsidR="001940B0">
        <w:t>will</w:t>
      </w:r>
      <w:r w:rsidR="0066229A">
        <w:t xml:space="preserve"> </w:t>
      </w:r>
      <w:r>
        <w:t>ha</w:t>
      </w:r>
      <w:r w:rsidR="0066229A">
        <w:t>ve</w:t>
      </w:r>
      <w:r>
        <w:t xml:space="preserve"> a</w:t>
      </w:r>
      <w:r w:rsidR="00C901A9">
        <w:t>n</w:t>
      </w:r>
      <w:r>
        <w:t xml:space="preserve"> </w:t>
      </w:r>
      <w:r w:rsidR="00DB4BD1">
        <w:t xml:space="preserve">effective </w:t>
      </w:r>
      <w:r>
        <w:t xml:space="preserve">date </w:t>
      </w:r>
      <w:r w:rsidR="00207B27">
        <w:t>one and a half</w:t>
      </w:r>
      <w:r>
        <w:t xml:space="preserve"> years after publication</w:t>
      </w:r>
      <w:r w:rsidR="009A4D41">
        <w:t>;</w:t>
      </w:r>
      <w:r>
        <w:t xml:space="preserve"> consequently, each cost has been discounted by </w:t>
      </w:r>
      <w:r w:rsidR="00207B27">
        <w:t>one and a half</w:t>
      </w:r>
      <w:r>
        <w:t xml:space="preserve"> years at the corresponding discount rate.</w:t>
      </w:r>
    </w:p>
    <w:p w:rsidR="00863DCB" w:rsidRPr="00863DCB" w:rsidP="004848C7" w14:paraId="6F107E0D" w14:textId="1EDF0445">
      <w:r w:rsidRPr="00863DCB">
        <w:tab/>
      </w:r>
      <w:r w:rsidRPr="00C53B6E">
        <w:t>In</w:t>
      </w:r>
      <w:r w:rsidR="00596412">
        <w:t xml:space="preserve"> </w:t>
      </w:r>
      <w:r w:rsidRPr="00830D72" w:rsidR="00830D72">
        <w:fldChar w:fldCharType="begin"/>
      </w:r>
      <w:r w:rsidRPr="00830D72" w:rsidR="00830D72">
        <w:instrText xml:space="preserve"> REF _Ref132016031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26</w:t>
      </w:r>
      <w:r w:rsidRPr="00830D72" w:rsidR="00830D72">
        <w:fldChar w:fldCharType="end"/>
      </w:r>
      <w:r w:rsidRPr="00C53B6E">
        <w:t>, we</w:t>
      </w:r>
      <w:r w:rsidRPr="00863DCB">
        <w:t xml:space="preserve"> </w:t>
      </w:r>
      <w:r w:rsidR="009A4D41">
        <w:t>present</w:t>
      </w:r>
      <w:r w:rsidRPr="00863DCB" w:rsidR="009A4D41">
        <w:t xml:space="preserve"> </w:t>
      </w:r>
      <w:r w:rsidRPr="00863DCB">
        <w:t xml:space="preserve">the total annualized quantified costs of the </w:t>
      </w:r>
      <w:r w:rsidR="00627A01">
        <w:t>final</w:t>
      </w:r>
      <w:r w:rsidRPr="00863DCB">
        <w:t xml:space="preserve"> rule, if finalized, over a</w:t>
      </w:r>
      <w:r w:rsidR="00817641">
        <w:t xml:space="preserve"> 10-year timeline</w:t>
      </w:r>
      <w:r w:rsidRPr="00863DCB">
        <w:t xml:space="preserve">. </w:t>
      </w:r>
      <w:r w:rsidRPr="008630CA" w:rsidR="00FF063F">
        <w:t xml:space="preserve">The annualized costs </w:t>
      </w:r>
      <w:r w:rsidR="001940B0">
        <w:t>will</w:t>
      </w:r>
      <w:r w:rsidRPr="008630CA" w:rsidR="00FF063F">
        <w:t xml:space="preserve"> range from $</w:t>
      </w:r>
      <w:r w:rsidR="008F0FDD">
        <w:t>1.</w:t>
      </w:r>
      <w:r w:rsidR="00D2164F">
        <w:t>52</w:t>
      </w:r>
      <w:r w:rsidRPr="008630CA" w:rsidR="00FF063F">
        <w:t xml:space="preserve"> million to $</w:t>
      </w:r>
      <w:r w:rsidR="00D2164F">
        <w:t>5.29</w:t>
      </w:r>
      <w:r w:rsidRPr="008630CA" w:rsidR="00FF063F">
        <w:t xml:space="preserve"> million with a primary estimate of</w:t>
      </w:r>
      <w:r w:rsidR="00402063">
        <w:t xml:space="preserve"> </w:t>
      </w:r>
      <w:r w:rsidR="00F312F3">
        <w:t>$3.</w:t>
      </w:r>
      <w:r w:rsidR="00D2164F">
        <w:t>23</w:t>
      </w:r>
      <w:r w:rsidRPr="008630CA" w:rsidR="00FF063F">
        <w:t xml:space="preserve"> million at a 7 percent discount rate. </w:t>
      </w:r>
    </w:p>
    <w:p w:rsidR="00863DCB" w:rsidP="004848C7" w14:paraId="66C0A97D" w14:textId="03C4C24B">
      <w:pPr>
        <w:rPr>
          <w:rFonts w:ascii="Calibri" w:hAnsi="Calibri"/>
          <w:sz w:val="22"/>
          <w:szCs w:val="22"/>
        </w:rPr>
      </w:pPr>
    </w:p>
    <w:p w:rsidR="00B8753C" w:rsidRPr="000E6DD7" w:rsidP="000659AD" w14:paraId="2E5E6807" w14:textId="3589E2EA">
      <w:pPr>
        <w:spacing w:after="0"/>
        <w:rPr>
          <w:b/>
        </w:rPr>
      </w:pPr>
      <w:bookmarkStart w:id="166" w:name="_Ref36735542"/>
      <w:bookmarkStart w:id="167" w:name="_Ref132016031"/>
      <w:bookmarkStart w:id="168" w:name="_Toc147238770"/>
      <w:r w:rsidRPr="000E6DD7">
        <w:rPr>
          <w:b/>
        </w:rPr>
        <w:t xml:space="preserve">Table </w:t>
      </w:r>
      <w:bookmarkEnd w:id="166"/>
      <w:r w:rsidRPr="000E6DD7" w:rsidR="000E76C8">
        <w:rPr>
          <w:b/>
        </w:rPr>
        <w:fldChar w:fldCharType="begin"/>
      </w:r>
      <w:r w:rsidRPr="000E6DD7" w:rsidR="000E76C8">
        <w:rPr>
          <w:b/>
        </w:rPr>
        <w:instrText xml:space="preserve"> SEQ Table \* ARABIC </w:instrText>
      </w:r>
      <w:r w:rsidRPr="000E6DD7" w:rsidR="000E76C8">
        <w:rPr>
          <w:b/>
        </w:rPr>
        <w:fldChar w:fldCharType="separate"/>
      </w:r>
      <w:r w:rsidR="0011482F">
        <w:rPr>
          <w:b/>
          <w:noProof/>
        </w:rPr>
        <w:t>26</w:t>
      </w:r>
      <w:r w:rsidRPr="000E6DD7" w:rsidR="000E76C8">
        <w:rPr>
          <w:b/>
        </w:rPr>
        <w:fldChar w:fldCharType="end"/>
      </w:r>
      <w:bookmarkEnd w:id="167"/>
      <w:r w:rsidRPr="000E6DD7">
        <w:rPr>
          <w:b/>
        </w:rPr>
        <w:t>. Summary of Quantitative Costs</w:t>
      </w:r>
      <w:r w:rsidR="00A81B71">
        <w:rPr>
          <w:b/>
        </w:rPr>
        <w:t xml:space="preserve"> (</w:t>
      </w:r>
      <w:r w:rsidRPr="008F3C32" w:rsidR="00A81B71">
        <w:rPr>
          <w:b/>
        </w:rPr>
        <w:t>in $ Millions</w:t>
      </w:r>
      <w:r w:rsidR="00A81B71">
        <w:rPr>
          <w:b/>
        </w:rPr>
        <w:t>)</w:t>
      </w:r>
      <w:bookmarkEnd w:id="168"/>
    </w:p>
    <w:tbl>
      <w:tblPr>
        <w:tblW w:w="5000" w:type="pct"/>
        <w:tblLook w:val="04A0"/>
      </w:tblPr>
      <w:tblGrid>
        <w:gridCol w:w="5215"/>
        <w:gridCol w:w="1080"/>
        <w:gridCol w:w="1530"/>
        <w:gridCol w:w="1525"/>
      </w:tblGrid>
      <w:tr w14:paraId="56FACC1F" w14:textId="77777777" w:rsidTr="000659AD">
        <w:tblPrEx>
          <w:tblW w:w="5000" w:type="pct"/>
          <w:tblLook w:val="04A0"/>
        </w:tblPrEx>
        <w:trPr>
          <w:trHeight w:val="144"/>
          <w:tblHeader/>
        </w:trPr>
        <w:tc>
          <w:tcPr>
            <w:tcW w:w="5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73AF5" w:rsidRPr="00A26447" w:rsidP="00863DCB" w14:paraId="0833087D" w14:textId="77777777">
            <w:pPr>
              <w:spacing w:after="0"/>
              <w:rPr>
                <w:rFonts w:eastAsia="Times New Roman"/>
                <w:color w:val="000000"/>
                <w:sz w:val="22"/>
                <w:szCs w:val="22"/>
              </w:rPr>
            </w:pPr>
            <w:r w:rsidRPr="00A26447">
              <w:rPr>
                <w:rFonts w:eastAsia="Times New Roman"/>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AF5" w:rsidRPr="00A26447" w:rsidP="00AC2CB0" w14:paraId="28D9625A" w14:textId="77777777">
            <w:pPr>
              <w:spacing w:after="0"/>
              <w:jc w:val="center"/>
              <w:rPr>
                <w:rFonts w:eastAsia="Times New Roman"/>
                <w:b/>
                <w:color w:val="000000"/>
                <w:sz w:val="22"/>
                <w:szCs w:val="22"/>
              </w:rPr>
            </w:pPr>
            <w:r w:rsidRPr="00A26447">
              <w:rPr>
                <w:rFonts w:eastAsia="Times New Roman"/>
                <w:b/>
                <w:color w:val="000000"/>
                <w:sz w:val="22"/>
                <w:szCs w:val="22"/>
              </w:rPr>
              <w:t>Primary (7%)</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AF5" w:rsidRPr="00A26447" w:rsidP="00AC2CB0" w14:paraId="369EE05A" w14:textId="2F7C2EC7">
            <w:pPr>
              <w:spacing w:after="0"/>
              <w:jc w:val="center"/>
              <w:rPr>
                <w:rFonts w:eastAsia="Times New Roman"/>
                <w:b/>
                <w:color w:val="000000"/>
                <w:sz w:val="22"/>
                <w:szCs w:val="22"/>
              </w:rPr>
            </w:pPr>
            <w:r w:rsidRPr="00A26447">
              <w:rPr>
                <w:rFonts w:eastAsia="Times New Roman"/>
                <w:b/>
                <w:color w:val="000000"/>
                <w:sz w:val="22"/>
                <w:szCs w:val="22"/>
              </w:rPr>
              <w:t>Lower Bound (7%)</w:t>
            </w:r>
          </w:p>
        </w:tc>
        <w:tc>
          <w:tcPr>
            <w:tcW w:w="15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73AF5" w:rsidRPr="00A26447" w:rsidP="00AC2CB0" w14:paraId="0811A561" w14:textId="77777777">
            <w:pPr>
              <w:spacing w:after="0"/>
              <w:jc w:val="center"/>
              <w:rPr>
                <w:rFonts w:eastAsia="Times New Roman"/>
                <w:b/>
                <w:color w:val="000000"/>
                <w:sz w:val="22"/>
                <w:szCs w:val="22"/>
              </w:rPr>
            </w:pPr>
            <w:r w:rsidRPr="00A26447">
              <w:rPr>
                <w:rFonts w:eastAsia="Times New Roman"/>
                <w:b/>
                <w:color w:val="000000"/>
                <w:sz w:val="22"/>
                <w:szCs w:val="22"/>
              </w:rPr>
              <w:t>Upper Bound (7%)</w:t>
            </w:r>
          </w:p>
        </w:tc>
      </w:tr>
      <w:tr w14:paraId="6F275D98" w14:textId="77777777" w:rsidTr="000659AD">
        <w:tblPrEx>
          <w:tblW w:w="5000" w:type="pct"/>
          <w:tblLook w:val="04A0"/>
        </w:tblPrEx>
        <w:trPr>
          <w:trHeight w:val="144"/>
        </w:trPr>
        <w:tc>
          <w:tcPr>
            <w:tcW w:w="5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55" w:rsidRPr="00A26447" w:rsidP="00102055" w14:paraId="6E759421" w14:textId="0C24C83A">
            <w:pPr>
              <w:spacing w:after="0"/>
              <w:rPr>
                <w:rFonts w:eastAsia="Times New Roman"/>
                <w:color w:val="000000"/>
                <w:sz w:val="22"/>
                <w:szCs w:val="22"/>
              </w:rPr>
            </w:pPr>
            <w:r w:rsidRPr="00A26447">
              <w:rPr>
                <w:color w:val="000000"/>
                <w:sz w:val="22"/>
                <w:szCs w:val="22"/>
              </w:rPr>
              <w:t>Reading and Understanding the Rule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02055" w:rsidRPr="00102055" w:rsidP="00102055" w14:paraId="2FC0B225" w14:textId="7C026BC9">
            <w:pPr>
              <w:spacing w:after="0"/>
              <w:jc w:val="center"/>
              <w:rPr>
                <w:rFonts w:eastAsia="Times New Roman"/>
                <w:color w:val="000000"/>
                <w:sz w:val="22"/>
                <w:szCs w:val="22"/>
              </w:rPr>
            </w:pPr>
            <w:r w:rsidRPr="000659AD">
              <w:rPr>
                <w:color w:val="000000"/>
                <w:sz w:val="22"/>
                <w:szCs w:val="22"/>
              </w:rPr>
              <w:t xml:space="preserve">$0.22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02055" w:rsidRPr="00102055" w:rsidP="00102055" w14:paraId="0E7F0E89" w14:textId="03EDF59C">
            <w:pPr>
              <w:spacing w:after="0"/>
              <w:jc w:val="center"/>
              <w:rPr>
                <w:rFonts w:eastAsia="Times New Roman"/>
                <w:color w:val="000000"/>
                <w:sz w:val="22"/>
                <w:szCs w:val="22"/>
              </w:rPr>
            </w:pPr>
            <w:r w:rsidRPr="000659AD">
              <w:rPr>
                <w:color w:val="000000"/>
                <w:sz w:val="22"/>
                <w:szCs w:val="22"/>
              </w:rPr>
              <w:t xml:space="preserve">$0.10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102055" w:rsidRPr="00102055" w:rsidP="00102055" w14:paraId="3B5D501F" w14:textId="5AF41140">
            <w:pPr>
              <w:spacing w:after="0"/>
              <w:jc w:val="center"/>
              <w:rPr>
                <w:rFonts w:eastAsia="Times New Roman"/>
                <w:color w:val="000000"/>
                <w:sz w:val="22"/>
                <w:szCs w:val="22"/>
              </w:rPr>
            </w:pPr>
            <w:r w:rsidRPr="000659AD">
              <w:rPr>
                <w:color w:val="000000"/>
                <w:sz w:val="22"/>
                <w:szCs w:val="22"/>
              </w:rPr>
              <w:t xml:space="preserve">$0.38 </w:t>
            </w:r>
          </w:p>
        </w:tc>
      </w:tr>
      <w:tr w14:paraId="5E6F4906" w14:textId="77777777" w:rsidTr="000659AD">
        <w:tblPrEx>
          <w:tblW w:w="5000" w:type="pct"/>
          <w:tblLook w:val="04A0"/>
        </w:tblPrEx>
        <w:trPr>
          <w:trHeight w:val="17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543E84BB" w14:textId="71EE0FDA">
            <w:pPr>
              <w:spacing w:after="0"/>
              <w:rPr>
                <w:rFonts w:eastAsia="Times New Roman"/>
                <w:color w:val="000000"/>
                <w:sz w:val="22"/>
                <w:szCs w:val="22"/>
              </w:rPr>
            </w:pPr>
            <w:r w:rsidRPr="00A26447">
              <w:rPr>
                <w:color w:val="000000"/>
                <w:sz w:val="22"/>
                <w:szCs w:val="22"/>
              </w:rPr>
              <w:t>New Label for Oxygen Containers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7D76E527" w14:textId="6046AB33">
            <w:pPr>
              <w:spacing w:after="0"/>
              <w:jc w:val="center"/>
              <w:rPr>
                <w:rFonts w:eastAsia="Times New Roman"/>
                <w:color w:val="000000"/>
                <w:sz w:val="22"/>
                <w:szCs w:val="22"/>
              </w:rPr>
            </w:pPr>
            <w:r w:rsidRPr="000659AD">
              <w:rPr>
                <w:color w:val="000000"/>
                <w:sz w:val="22"/>
                <w:szCs w:val="22"/>
              </w:rPr>
              <w:t xml:space="preserve">$1.26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55420699" w14:textId="1222B366">
            <w:pPr>
              <w:spacing w:after="0"/>
              <w:jc w:val="center"/>
              <w:rPr>
                <w:rFonts w:eastAsia="Times New Roman"/>
                <w:color w:val="000000"/>
                <w:sz w:val="22"/>
                <w:szCs w:val="22"/>
              </w:rPr>
            </w:pPr>
            <w:r w:rsidRPr="000659AD">
              <w:rPr>
                <w:color w:val="000000"/>
                <w:sz w:val="22"/>
                <w:szCs w:val="22"/>
              </w:rPr>
              <w:t xml:space="preserve">$1.18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6103F81E" w14:textId="58490ACC">
            <w:pPr>
              <w:spacing w:after="0"/>
              <w:jc w:val="center"/>
              <w:rPr>
                <w:rFonts w:eastAsia="Times New Roman"/>
                <w:color w:val="000000"/>
                <w:sz w:val="22"/>
                <w:szCs w:val="22"/>
              </w:rPr>
            </w:pPr>
            <w:r w:rsidRPr="000659AD">
              <w:rPr>
                <w:color w:val="000000"/>
                <w:sz w:val="22"/>
                <w:szCs w:val="22"/>
              </w:rPr>
              <w:t xml:space="preserve">$1.33 </w:t>
            </w:r>
          </w:p>
        </w:tc>
      </w:tr>
      <w:tr w14:paraId="2D5373F1"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6E514C82" w14:textId="0296EE9A">
            <w:pPr>
              <w:spacing w:after="0"/>
              <w:rPr>
                <w:rFonts w:eastAsia="Times New Roman"/>
                <w:color w:val="000000"/>
                <w:sz w:val="22"/>
                <w:szCs w:val="22"/>
              </w:rPr>
            </w:pPr>
            <w:r w:rsidRPr="00A26447">
              <w:rPr>
                <w:color w:val="000000"/>
                <w:sz w:val="22"/>
                <w:szCs w:val="22"/>
              </w:rPr>
              <w:t>Full Compliance Quality Units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3FF1158E" w14:textId="05301D8A">
            <w:pPr>
              <w:spacing w:after="0"/>
              <w:jc w:val="center"/>
              <w:rPr>
                <w:rFonts w:eastAsia="Times New Roman"/>
                <w:color w:val="000000"/>
                <w:sz w:val="22"/>
                <w:szCs w:val="22"/>
              </w:rPr>
            </w:pPr>
            <w:r w:rsidRPr="000659AD">
              <w:rPr>
                <w:color w:val="000000"/>
                <w:sz w:val="22"/>
                <w:szCs w:val="22"/>
              </w:rPr>
              <w:t xml:space="preserve">$0.41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1ED4CC05" w14:textId="21E9DA0D">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64A390B7" w14:textId="235EF0ED">
            <w:pPr>
              <w:spacing w:after="0"/>
              <w:jc w:val="center"/>
              <w:rPr>
                <w:rFonts w:eastAsia="Times New Roman"/>
                <w:color w:val="000000"/>
                <w:sz w:val="22"/>
                <w:szCs w:val="22"/>
              </w:rPr>
            </w:pPr>
            <w:r w:rsidRPr="000659AD">
              <w:rPr>
                <w:color w:val="000000"/>
                <w:sz w:val="22"/>
                <w:szCs w:val="22"/>
              </w:rPr>
              <w:t xml:space="preserve">$0.93 </w:t>
            </w:r>
          </w:p>
        </w:tc>
      </w:tr>
      <w:tr w14:paraId="5A400D75"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7593A8CF" w14:textId="5C37E481">
            <w:pPr>
              <w:spacing w:after="0"/>
              <w:rPr>
                <w:rFonts w:eastAsia="Times New Roman"/>
                <w:color w:val="000000"/>
                <w:sz w:val="22"/>
                <w:szCs w:val="22"/>
              </w:rPr>
            </w:pPr>
            <w:r w:rsidRPr="00A26447">
              <w:rPr>
                <w:color w:val="000000"/>
                <w:sz w:val="22"/>
                <w:szCs w:val="22"/>
              </w:rPr>
              <w:t>Full Compliance Personnel Qualifications and Responsibilities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3CBFF93F" w14:textId="0C4D8386">
            <w:pPr>
              <w:spacing w:after="0"/>
              <w:jc w:val="center"/>
              <w:rPr>
                <w:rFonts w:eastAsia="Times New Roman"/>
                <w:color w:val="000000"/>
                <w:sz w:val="22"/>
                <w:szCs w:val="22"/>
              </w:rPr>
            </w:pPr>
            <w:r w:rsidRPr="000659AD">
              <w:rPr>
                <w:color w:val="000000"/>
                <w:sz w:val="22"/>
                <w:szCs w:val="22"/>
              </w:rPr>
              <w:t xml:space="preserve">$0.50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2BC9BD08" w14:textId="14BB73D7">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756598E5" w14:textId="7657AF82">
            <w:pPr>
              <w:spacing w:after="0"/>
              <w:jc w:val="center"/>
              <w:rPr>
                <w:rFonts w:eastAsia="Times New Roman"/>
                <w:color w:val="000000"/>
                <w:sz w:val="22"/>
                <w:szCs w:val="22"/>
              </w:rPr>
            </w:pPr>
            <w:r w:rsidRPr="000659AD">
              <w:rPr>
                <w:color w:val="000000"/>
                <w:sz w:val="22"/>
                <w:szCs w:val="22"/>
              </w:rPr>
              <w:t xml:space="preserve">$1.00 </w:t>
            </w:r>
          </w:p>
        </w:tc>
      </w:tr>
      <w:tr w14:paraId="6CAF3579" w14:textId="77777777" w:rsidTr="000659AD">
        <w:tblPrEx>
          <w:tblW w:w="5000" w:type="pct"/>
          <w:tblLook w:val="04A0"/>
        </w:tblPrEx>
        <w:trPr>
          <w:trHeight w:val="432"/>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66512C0D" w14:textId="67BA81F8">
            <w:pPr>
              <w:spacing w:after="0"/>
              <w:rPr>
                <w:rFonts w:eastAsia="Times New Roman"/>
                <w:color w:val="000000"/>
                <w:sz w:val="22"/>
                <w:szCs w:val="22"/>
              </w:rPr>
            </w:pPr>
            <w:r w:rsidRPr="00A26447">
              <w:rPr>
                <w:color w:val="000000"/>
                <w:sz w:val="22"/>
                <w:szCs w:val="22"/>
              </w:rPr>
              <w:t>Written Procedures for Personnel Qualifications and Responsibilities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5313D3CD" w14:textId="1CF4F51B">
            <w:pPr>
              <w:spacing w:after="0"/>
              <w:jc w:val="center"/>
              <w:rPr>
                <w:rFonts w:eastAsia="Times New Roman"/>
                <w:color w:val="000000"/>
                <w:sz w:val="22"/>
                <w:szCs w:val="22"/>
              </w:rPr>
            </w:pPr>
            <w:r w:rsidRPr="000659AD">
              <w:rPr>
                <w:color w:val="000000"/>
                <w:sz w:val="22"/>
                <w:szCs w:val="22"/>
              </w:rPr>
              <w:t xml:space="preserve">$0.04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3AB13A96" w14:textId="7C6BCF6B">
            <w:pPr>
              <w:spacing w:after="0"/>
              <w:jc w:val="center"/>
              <w:rPr>
                <w:rFonts w:eastAsia="Times New Roman"/>
                <w:color w:val="000000"/>
                <w:sz w:val="22"/>
                <w:szCs w:val="22"/>
              </w:rPr>
            </w:pPr>
            <w:r w:rsidRPr="000659AD">
              <w:rPr>
                <w:color w:val="000000"/>
                <w:sz w:val="22"/>
                <w:szCs w:val="22"/>
              </w:rPr>
              <w:t xml:space="preserve">$0.03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3C216189" w14:textId="4F012811">
            <w:pPr>
              <w:spacing w:after="0"/>
              <w:jc w:val="center"/>
              <w:rPr>
                <w:rFonts w:eastAsia="Times New Roman"/>
                <w:color w:val="000000"/>
                <w:sz w:val="22"/>
                <w:szCs w:val="22"/>
              </w:rPr>
            </w:pPr>
            <w:r w:rsidRPr="000659AD">
              <w:rPr>
                <w:color w:val="000000"/>
                <w:sz w:val="22"/>
                <w:szCs w:val="22"/>
              </w:rPr>
              <w:t xml:space="preserve">$0.06 </w:t>
            </w:r>
          </w:p>
        </w:tc>
      </w:tr>
      <w:tr w14:paraId="74083D09"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18A363B0" w14:textId="5FE72017">
            <w:pPr>
              <w:spacing w:after="0"/>
              <w:rPr>
                <w:rFonts w:eastAsia="Times New Roman"/>
                <w:color w:val="000000"/>
                <w:sz w:val="22"/>
                <w:szCs w:val="22"/>
              </w:rPr>
            </w:pPr>
            <w:r w:rsidRPr="00A26447">
              <w:rPr>
                <w:color w:val="000000"/>
                <w:sz w:val="22"/>
                <w:szCs w:val="22"/>
              </w:rPr>
              <w:t xml:space="preserve">Rejected Containers </w:t>
            </w:r>
            <w:r w:rsidR="00C901A9">
              <w:rPr>
                <w:color w:val="000000"/>
                <w:sz w:val="22"/>
                <w:szCs w:val="22"/>
              </w:rPr>
              <w:t>M</w:t>
            </w:r>
            <w:r w:rsidRPr="00A26447">
              <w:rPr>
                <w:color w:val="000000"/>
                <w:sz w:val="22"/>
                <w:szCs w:val="22"/>
              </w:rPr>
              <w:t xml:space="preserve">ust </w:t>
            </w:r>
            <w:r w:rsidR="00C901A9">
              <w:rPr>
                <w:color w:val="000000"/>
                <w:sz w:val="22"/>
                <w:szCs w:val="22"/>
              </w:rPr>
              <w:t>B</w:t>
            </w:r>
            <w:r w:rsidRPr="00A26447">
              <w:rPr>
                <w:color w:val="000000"/>
                <w:sz w:val="22"/>
                <w:szCs w:val="22"/>
              </w:rPr>
              <w:t>e Documented and Assessed</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4F340CCF" w14:textId="7A6AF91A">
            <w:pPr>
              <w:spacing w:after="0"/>
              <w:jc w:val="center"/>
              <w:rPr>
                <w:rFonts w:eastAsia="Times New Roman"/>
                <w:color w:val="000000"/>
                <w:sz w:val="22"/>
                <w:szCs w:val="22"/>
              </w:rPr>
            </w:pPr>
            <w:r w:rsidRPr="000659AD">
              <w:rPr>
                <w:color w:val="000000"/>
                <w:sz w:val="22"/>
                <w:szCs w:val="22"/>
              </w:rPr>
              <w:t xml:space="preserve">$0.22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1ADC520B" w14:textId="74E34DFB">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1144389B" w14:textId="4F3399FB">
            <w:pPr>
              <w:spacing w:after="0"/>
              <w:jc w:val="center"/>
              <w:rPr>
                <w:rFonts w:eastAsia="Times New Roman"/>
                <w:color w:val="000000"/>
                <w:sz w:val="22"/>
                <w:szCs w:val="22"/>
              </w:rPr>
            </w:pPr>
            <w:r w:rsidRPr="000659AD">
              <w:rPr>
                <w:color w:val="000000"/>
                <w:sz w:val="22"/>
                <w:szCs w:val="22"/>
              </w:rPr>
              <w:t xml:space="preserve">$0.45 </w:t>
            </w:r>
          </w:p>
        </w:tc>
      </w:tr>
      <w:tr w14:paraId="33560A2A"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7B1A83AB" w14:textId="27319AA3">
            <w:pPr>
              <w:spacing w:after="0"/>
              <w:rPr>
                <w:rFonts w:eastAsia="Times New Roman"/>
                <w:color w:val="000000"/>
                <w:sz w:val="22"/>
                <w:szCs w:val="22"/>
              </w:rPr>
            </w:pPr>
            <w:r w:rsidRPr="00A26447">
              <w:rPr>
                <w:color w:val="000000"/>
                <w:sz w:val="22"/>
                <w:szCs w:val="22"/>
              </w:rPr>
              <w:t>Portable Cryogenic Containers Working Gauge Requirement</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433A2BA2" w14:textId="09A71F82">
            <w:pPr>
              <w:spacing w:after="0"/>
              <w:jc w:val="center"/>
              <w:rPr>
                <w:rFonts w:eastAsia="Times New Roman"/>
                <w:color w:val="000000"/>
                <w:sz w:val="22"/>
                <w:szCs w:val="22"/>
              </w:rPr>
            </w:pPr>
            <w:r w:rsidRPr="000659AD">
              <w:rPr>
                <w:color w:val="000000"/>
                <w:sz w:val="22"/>
                <w:szCs w:val="22"/>
              </w:rPr>
              <w:t xml:space="preserve">$0.53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29A8D113" w14:textId="6B707239">
            <w:pPr>
              <w:spacing w:after="0"/>
              <w:jc w:val="center"/>
              <w:rPr>
                <w:rFonts w:eastAsia="Times New Roman"/>
                <w:color w:val="000000"/>
                <w:sz w:val="22"/>
                <w:szCs w:val="22"/>
              </w:rPr>
            </w:pPr>
            <w:r w:rsidRPr="000659AD">
              <w:rPr>
                <w:color w:val="000000"/>
                <w:sz w:val="22"/>
                <w:szCs w:val="22"/>
              </w:rPr>
              <w:t xml:space="preserve">$0.19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4C699CF8" w14:textId="53DAF728">
            <w:pPr>
              <w:spacing w:after="0"/>
              <w:jc w:val="center"/>
              <w:rPr>
                <w:rFonts w:eastAsia="Times New Roman"/>
                <w:color w:val="000000"/>
                <w:sz w:val="22"/>
                <w:szCs w:val="22"/>
              </w:rPr>
            </w:pPr>
            <w:r w:rsidRPr="000659AD">
              <w:rPr>
                <w:color w:val="000000"/>
                <w:sz w:val="22"/>
                <w:szCs w:val="22"/>
              </w:rPr>
              <w:t xml:space="preserve">$1.09 </w:t>
            </w:r>
          </w:p>
        </w:tc>
      </w:tr>
      <w:tr w14:paraId="2CD1B487" w14:textId="77777777" w:rsidTr="000659AD">
        <w:tblPrEx>
          <w:tblW w:w="5000" w:type="pct"/>
          <w:tblLook w:val="04A0"/>
        </w:tblPrEx>
        <w:trPr>
          <w:trHeight w:val="197"/>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06D0B485" w14:textId="0B4DD0EC">
            <w:pPr>
              <w:spacing w:after="0"/>
              <w:rPr>
                <w:rFonts w:eastAsia="Times New Roman"/>
                <w:color w:val="000000"/>
                <w:sz w:val="22"/>
                <w:szCs w:val="22"/>
              </w:rPr>
            </w:pPr>
            <w:r w:rsidRPr="00A26447">
              <w:rPr>
                <w:color w:val="000000"/>
                <w:sz w:val="22"/>
                <w:szCs w:val="22"/>
              </w:rPr>
              <w:t>CVM Adverse Events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0FA9FBD4" w14:textId="12489C84">
            <w:pPr>
              <w:spacing w:after="0"/>
              <w:jc w:val="center"/>
              <w:rPr>
                <w:rFonts w:eastAsia="Times New Roman"/>
                <w:color w:val="000000"/>
                <w:sz w:val="22"/>
                <w:szCs w:val="22"/>
              </w:rPr>
            </w:pPr>
            <w:r w:rsidRPr="000659AD">
              <w:rPr>
                <w:color w:val="000000"/>
                <w:sz w:val="22"/>
                <w:szCs w:val="22"/>
              </w:rPr>
              <w:t xml:space="preserve">$0.00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072EBF9F" w14:textId="06A92569">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2779F4CE" w14:textId="220CDC20">
            <w:pPr>
              <w:spacing w:after="0"/>
              <w:jc w:val="center"/>
              <w:rPr>
                <w:rFonts w:eastAsia="Times New Roman"/>
                <w:color w:val="000000"/>
                <w:sz w:val="22"/>
                <w:szCs w:val="22"/>
              </w:rPr>
            </w:pPr>
            <w:r w:rsidRPr="000659AD">
              <w:rPr>
                <w:color w:val="000000"/>
                <w:sz w:val="22"/>
                <w:szCs w:val="22"/>
              </w:rPr>
              <w:t xml:space="preserve">$0.00 </w:t>
            </w:r>
          </w:p>
        </w:tc>
      </w:tr>
      <w:tr w14:paraId="0CF02961"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0407754A" w14:textId="33F66937">
            <w:pPr>
              <w:spacing w:after="0"/>
              <w:rPr>
                <w:rFonts w:eastAsia="Times New Roman"/>
                <w:color w:val="000000"/>
                <w:sz w:val="22"/>
                <w:szCs w:val="22"/>
              </w:rPr>
            </w:pPr>
            <w:r w:rsidRPr="00A26447">
              <w:rPr>
                <w:color w:val="000000"/>
                <w:sz w:val="22"/>
                <w:szCs w:val="22"/>
              </w:rPr>
              <w:t>Submission of Certification Request</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2D2B4DFC" w14:textId="62658D31">
            <w:pPr>
              <w:spacing w:after="0"/>
              <w:jc w:val="center"/>
              <w:rPr>
                <w:rFonts w:eastAsia="Times New Roman"/>
                <w:color w:val="000000"/>
                <w:sz w:val="22"/>
                <w:szCs w:val="22"/>
              </w:rPr>
            </w:pPr>
            <w:r w:rsidRPr="000659AD">
              <w:rPr>
                <w:color w:val="000000"/>
                <w:sz w:val="22"/>
                <w:szCs w:val="22"/>
              </w:rPr>
              <w:t xml:space="preserve">$0.00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715B7591" w14:textId="6CE67B45">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5CBA1E48" w14:textId="61140A8A">
            <w:pPr>
              <w:spacing w:after="0"/>
              <w:jc w:val="center"/>
              <w:rPr>
                <w:rFonts w:eastAsia="Times New Roman"/>
                <w:color w:val="000000"/>
                <w:sz w:val="22"/>
                <w:szCs w:val="22"/>
              </w:rPr>
            </w:pPr>
            <w:r w:rsidRPr="000659AD">
              <w:rPr>
                <w:color w:val="000000"/>
                <w:sz w:val="22"/>
                <w:szCs w:val="22"/>
              </w:rPr>
              <w:t xml:space="preserve">$0.00 </w:t>
            </w:r>
          </w:p>
        </w:tc>
      </w:tr>
      <w:tr w14:paraId="28149F76"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74703831" w14:textId="156825C5">
            <w:pPr>
              <w:spacing w:after="0"/>
              <w:rPr>
                <w:rFonts w:eastAsia="Times New Roman"/>
                <w:color w:val="000000"/>
                <w:sz w:val="22"/>
                <w:szCs w:val="22"/>
              </w:rPr>
            </w:pPr>
            <w:r w:rsidRPr="00A26447">
              <w:rPr>
                <w:color w:val="000000"/>
                <w:sz w:val="22"/>
                <w:szCs w:val="22"/>
              </w:rPr>
              <w:t>Annual Report for Granted Certifications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1028945C" w14:textId="58E52F5E">
            <w:pPr>
              <w:spacing w:after="0"/>
              <w:jc w:val="center"/>
              <w:rPr>
                <w:rFonts w:eastAsia="Times New Roman"/>
                <w:color w:val="000000"/>
                <w:sz w:val="22"/>
                <w:szCs w:val="22"/>
              </w:rPr>
            </w:pPr>
            <w:r w:rsidRPr="000659AD">
              <w:rPr>
                <w:color w:val="000000"/>
                <w:sz w:val="22"/>
                <w:szCs w:val="22"/>
              </w:rPr>
              <w:t xml:space="preserve">$0.04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7FD037E7" w14:textId="6B56FDD1">
            <w:pPr>
              <w:spacing w:after="0"/>
              <w:jc w:val="center"/>
              <w:rPr>
                <w:rFonts w:eastAsia="Times New Roman"/>
                <w:color w:val="000000"/>
                <w:sz w:val="22"/>
                <w:szCs w:val="22"/>
              </w:rPr>
            </w:pPr>
            <w:r w:rsidRPr="000659AD">
              <w:rPr>
                <w:color w:val="000000"/>
                <w:sz w:val="22"/>
                <w:szCs w:val="22"/>
              </w:rPr>
              <w:t xml:space="preserve">$0.02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71FD98BE" w14:textId="789C9816">
            <w:pPr>
              <w:spacing w:after="0"/>
              <w:jc w:val="center"/>
              <w:rPr>
                <w:rFonts w:eastAsia="Times New Roman"/>
                <w:color w:val="000000"/>
                <w:sz w:val="22"/>
                <w:szCs w:val="22"/>
              </w:rPr>
            </w:pPr>
            <w:r w:rsidRPr="000659AD">
              <w:rPr>
                <w:color w:val="000000"/>
                <w:sz w:val="22"/>
                <w:szCs w:val="22"/>
              </w:rPr>
              <w:t>$0.0</w:t>
            </w:r>
            <w:r w:rsidR="00456348">
              <w:rPr>
                <w:color w:val="000000"/>
                <w:sz w:val="22"/>
                <w:szCs w:val="22"/>
              </w:rPr>
              <w:t>7</w:t>
            </w:r>
            <w:r w:rsidRPr="000659AD">
              <w:rPr>
                <w:color w:val="000000"/>
                <w:sz w:val="22"/>
                <w:szCs w:val="22"/>
              </w:rPr>
              <w:t xml:space="preserve"> </w:t>
            </w:r>
          </w:p>
        </w:tc>
      </w:tr>
      <w:tr w14:paraId="2D9E68B4" w14:textId="77777777" w:rsidTr="000659AD">
        <w:tblPrEx>
          <w:tblW w:w="5000" w:type="pct"/>
          <w:tblLook w:val="04A0"/>
        </w:tblPrEx>
        <w:trPr>
          <w:trHeight w:val="215"/>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rsidR="00102055" w:rsidRPr="00A26447" w:rsidP="00102055" w14:paraId="3A362B1D" w14:textId="188C6E46">
            <w:pPr>
              <w:spacing w:after="0"/>
              <w:rPr>
                <w:rFonts w:eastAsia="Times New Roman"/>
                <w:color w:val="000000"/>
                <w:sz w:val="22"/>
                <w:szCs w:val="22"/>
              </w:rPr>
            </w:pPr>
            <w:r w:rsidRPr="00A26447">
              <w:rPr>
                <w:color w:val="000000"/>
                <w:sz w:val="22"/>
                <w:szCs w:val="22"/>
              </w:rPr>
              <w:t>Gov: FDA Created Forms</w:t>
            </w:r>
          </w:p>
        </w:tc>
        <w:tc>
          <w:tcPr>
            <w:tcW w:w="108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4B20C8AF" w14:textId="4D232423">
            <w:pPr>
              <w:spacing w:after="0"/>
              <w:jc w:val="center"/>
              <w:rPr>
                <w:rFonts w:eastAsia="Times New Roman"/>
                <w:color w:val="000000"/>
                <w:sz w:val="22"/>
                <w:szCs w:val="22"/>
              </w:rPr>
            </w:pPr>
            <w:r w:rsidRPr="000659AD">
              <w:rPr>
                <w:color w:val="000000"/>
                <w:sz w:val="22"/>
                <w:szCs w:val="22"/>
              </w:rPr>
              <w:t xml:space="preserve">$0.00 </w:t>
            </w:r>
          </w:p>
        </w:tc>
        <w:tc>
          <w:tcPr>
            <w:tcW w:w="1530"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43BFB08C" w14:textId="582E346C">
            <w:pPr>
              <w:spacing w:after="0"/>
              <w:jc w:val="center"/>
              <w:rPr>
                <w:rFonts w:eastAsia="Times New Roman"/>
                <w:color w:val="000000"/>
                <w:sz w:val="22"/>
                <w:szCs w:val="22"/>
              </w:rPr>
            </w:pPr>
            <w:r w:rsidRPr="000659AD">
              <w:rPr>
                <w:color w:val="000000"/>
                <w:sz w:val="22"/>
                <w:szCs w:val="22"/>
              </w:rPr>
              <w:t xml:space="preserve">$0.00 </w:t>
            </w:r>
          </w:p>
        </w:tc>
        <w:tc>
          <w:tcPr>
            <w:tcW w:w="1525" w:type="dxa"/>
            <w:tcBorders>
              <w:top w:val="nil"/>
              <w:left w:val="nil"/>
              <w:bottom w:val="single" w:sz="4" w:space="0" w:color="auto"/>
              <w:right w:val="single" w:sz="4" w:space="0" w:color="auto"/>
            </w:tcBorders>
            <w:shd w:val="clear" w:color="auto" w:fill="auto"/>
            <w:noWrap/>
            <w:vAlign w:val="bottom"/>
            <w:hideMark/>
          </w:tcPr>
          <w:p w:rsidR="00102055" w:rsidRPr="00102055" w:rsidP="00102055" w14:paraId="2BE4D5EF" w14:textId="7F9DFEAE">
            <w:pPr>
              <w:spacing w:after="0"/>
              <w:jc w:val="center"/>
              <w:rPr>
                <w:rFonts w:eastAsia="Times New Roman"/>
                <w:color w:val="000000"/>
                <w:sz w:val="22"/>
                <w:szCs w:val="22"/>
              </w:rPr>
            </w:pPr>
            <w:r w:rsidRPr="000659AD">
              <w:rPr>
                <w:color w:val="000000"/>
                <w:sz w:val="22"/>
                <w:szCs w:val="22"/>
              </w:rPr>
              <w:t xml:space="preserve">$0.01 </w:t>
            </w:r>
          </w:p>
        </w:tc>
      </w:tr>
      <w:tr w14:paraId="1549611A"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F0FDD" w:rsidRPr="00A26447" w:rsidP="008F0FDD" w14:paraId="31239F34" w14:textId="32E2584A">
            <w:pPr>
              <w:spacing w:after="0"/>
              <w:rPr>
                <w:rFonts w:eastAsia="Times New Roman"/>
                <w:color w:val="000000"/>
                <w:sz w:val="22"/>
                <w:szCs w:val="22"/>
              </w:rPr>
            </w:pPr>
            <w:r w:rsidRPr="00A26447">
              <w:rPr>
                <w:b/>
                <w:bCs/>
                <w:color w:val="000000"/>
                <w:sz w:val="22"/>
                <w:szCs w:val="22"/>
              </w:rPr>
              <w:t>Total Cost</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F0FDD" w:rsidRPr="00A26447" w:rsidP="008F0FDD" w14:paraId="3E9F5140" w14:textId="3061EAAC">
            <w:pPr>
              <w:spacing w:after="0"/>
              <w:jc w:val="center"/>
              <w:rPr>
                <w:rFonts w:eastAsia="Times New Roman"/>
                <w:color w:val="000000"/>
                <w:sz w:val="22"/>
                <w:szCs w:val="22"/>
              </w:rPr>
            </w:pPr>
          </w:p>
        </w:tc>
        <w:tc>
          <w:tcPr>
            <w:tcW w:w="1530" w:type="dxa"/>
            <w:tcBorders>
              <w:top w:val="nil"/>
              <w:left w:val="nil"/>
              <w:bottom w:val="single" w:sz="4" w:space="0" w:color="auto"/>
              <w:right w:val="single" w:sz="4" w:space="0" w:color="auto"/>
            </w:tcBorders>
            <w:shd w:val="clear" w:color="auto" w:fill="D9D9D9" w:themeFill="background1" w:themeFillShade="D9"/>
            <w:noWrap/>
            <w:vAlign w:val="center"/>
            <w:hideMark/>
          </w:tcPr>
          <w:p w:rsidR="008F0FDD" w:rsidRPr="00A26447" w:rsidP="008F0FDD" w14:paraId="00FCE968" w14:textId="37748F84">
            <w:pPr>
              <w:spacing w:after="0"/>
              <w:jc w:val="center"/>
              <w:rPr>
                <w:rFonts w:eastAsia="Times New Roman"/>
                <w:color w:val="000000"/>
                <w:sz w:val="22"/>
                <w:szCs w:val="22"/>
              </w:rPr>
            </w:pPr>
          </w:p>
        </w:tc>
        <w:tc>
          <w:tcPr>
            <w:tcW w:w="1525" w:type="dxa"/>
            <w:tcBorders>
              <w:top w:val="nil"/>
              <w:left w:val="nil"/>
              <w:bottom w:val="single" w:sz="4" w:space="0" w:color="auto"/>
              <w:right w:val="single" w:sz="4" w:space="0" w:color="auto"/>
            </w:tcBorders>
            <w:shd w:val="clear" w:color="auto" w:fill="D9D9D9" w:themeFill="background1" w:themeFillShade="D9"/>
            <w:noWrap/>
            <w:vAlign w:val="center"/>
            <w:hideMark/>
          </w:tcPr>
          <w:p w:rsidR="008F0FDD" w:rsidRPr="00A26447" w:rsidP="008F0FDD" w14:paraId="0192F681" w14:textId="0DB29C4A">
            <w:pPr>
              <w:spacing w:after="0"/>
              <w:jc w:val="center"/>
              <w:rPr>
                <w:rFonts w:eastAsia="Times New Roman"/>
                <w:color w:val="000000"/>
                <w:sz w:val="22"/>
                <w:szCs w:val="22"/>
              </w:rPr>
            </w:pPr>
          </w:p>
        </w:tc>
      </w:tr>
      <w:tr w14:paraId="5F3D8AB2" w14:textId="77777777" w:rsidTr="000659AD">
        <w:tblPrEx>
          <w:tblW w:w="5000" w:type="pct"/>
          <w:tblLook w:val="04A0"/>
        </w:tblPrEx>
        <w:trPr>
          <w:trHeight w:val="144"/>
        </w:trPr>
        <w:tc>
          <w:tcPr>
            <w:tcW w:w="521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02055" w:rsidRPr="00A26447" w:rsidP="00102055" w14:paraId="3B1EEF53" w14:textId="1822747D">
            <w:pPr>
              <w:spacing w:after="0"/>
              <w:rPr>
                <w:rFonts w:eastAsia="Times New Roman"/>
                <w:color w:val="000000"/>
                <w:sz w:val="22"/>
                <w:szCs w:val="22"/>
              </w:rPr>
            </w:pPr>
            <w:r w:rsidRPr="00A26447">
              <w:rPr>
                <w:color w:val="000000"/>
                <w:sz w:val="22"/>
                <w:szCs w:val="22"/>
              </w:rPr>
              <w:t>Total Cost</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102055" w:rsidRPr="00102055" w:rsidP="00102055" w14:paraId="2CD00491" w14:textId="1020D37F">
            <w:pPr>
              <w:spacing w:after="0"/>
              <w:jc w:val="center"/>
              <w:rPr>
                <w:rFonts w:eastAsia="Times New Roman"/>
                <w:color w:val="000000"/>
                <w:sz w:val="22"/>
                <w:szCs w:val="22"/>
              </w:rPr>
            </w:pPr>
            <w:r w:rsidRPr="000659AD">
              <w:rPr>
                <w:color w:val="000000"/>
                <w:sz w:val="22"/>
                <w:szCs w:val="22"/>
              </w:rPr>
              <w:t>$3.2</w:t>
            </w:r>
            <w:r w:rsidR="00AB6CF3">
              <w:rPr>
                <w:color w:val="000000"/>
                <w:sz w:val="22"/>
                <w:szCs w:val="22"/>
              </w:rPr>
              <w:t>4</w:t>
            </w:r>
            <w:r w:rsidRPr="000659AD">
              <w:rPr>
                <w:color w:val="000000"/>
                <w:sz w:val="22"/>
                <w:szCs w:val="22"/>
              </w:rPr>
              <w:t xml:space="preserve"> </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102055" w:rsidRPr="00102055" w:rsidP="00102055" w14:paraId="434BF81B" w14:textId="1BAAEC2D">
            <w:pPr>
              <w:spacing w:after="0"/>
              <w:jc w:val="center"/>
              <w:rPr>
                <w:rFonts w:eastAsia="Times New Roman"/>
                <w:color w:val="000000"/>
                <w:sz w:val="22"/>
                <w:szCs w:val="22"/>
              </w:rPr>
            </w:pPr>
            <w:r w:rsidRPr="000659AD">
              <w:rPr>
                <w:color w:val="000000"/>
                <w:sz w:val="22"/>
                <w:szCs w:val="22"/>
              </w:rPr>
              <w:t xml:space="preserve">$1.52 </w:t>
            </w:r>
          </w:p>
        </w:tc>
        <w:tc>
          <w:tcPr>
            <w:tcW w:w="1525" w:type="dxa"/>
            <w:tcBorders>
              <w:top w:val="nil"/>
              <w:left w:val="nil"/>
              <w:bottom w:val="single" w:sz="4" w:space="0" w:color="auto"/>
              <w:right w:val="single" w:sz="4" w:space="0" w:color="auto"/>
            </w:tcBorders>
            <w:shd w:val="clear" w:color="auto" w:fill="FFFFFF" w:themeFill="background1"/>
            <w:noWrap/>
            <w:vAlign w:val="bottom"/>
            <w:hideMark/>
          </w:tcPr>
          <w:p w:rsidR="00102055" w:rsidRPr="00102055" w:rsidP="00102055" w14:paraId="5479FDF2" w14:textId="58C1339B">
            <w:pPr>
              <w:spacing w:after="0"/>
              <w:jc w:val="center"/>
              <w:rPr>
                <w:rFonts w:eastAsia="Times New Roman"/>
                <w:color w:val="000000"/>
                <w:sz w:val="22"/>
                <w:szCs w:val="22"/>
              </w:rPr>
            </w:pPr>
            <w:r w:rsidRPr="000659AD">
              <w:rPr>
                <w:color w:val="000000"/>
                <w:sz w:val="22"/>
                <w:szCs w:val="22"/>
              </w:rPr>
              <w:t>$5.</w:t>
            </w:r>
            <w:r w:rsidR="00AB6CF3">
              <w:rPr>
                <w:color w:val="000000"/>
                <w:sz w:val="22"/>
                <w:szCs w:val="22"/>
              </w:rPr>
              <w:t>30</w:t>
            </w:r>
          </w:p>
        </w:tc>
      </w:tr>
    </w:tbl>
    <w:p w:rsidR="000A7A8D" w:rsidP="00F70002" w14:paraId="349325F0" w14:textId="77777777"/>
    <w:p w:rsidR="00332A39" w:rsidP="005532BC" w14:paraId="5ABB5EA1" w14:textId="77777777"/>
    <w:p w:rsidR="005532BC" w:rsidP="00F70002" w14:paraId="2EB87550" w14:textId="3F07D22A">
      <w:pPr>
        <w:pStyle w:val="Heading2"/>
        <w:rPr>
          <w:rStyle w:val="CommentReference"/>
          <w:sz w:val="24"/>
          <w:szCs w:val="24"/>
        </w:rPr>
      </w:pPr>
      <w:bookmarkStart w:id="169" w:name="_Toc148515751"/>
      <w:r>
        <w:t xml:space="preserve">Summary of Costs and </w:t>
      </w:r>
      <w:r w:rsidRPr="00AA6CA0" w:rsidR="00AA6CA0">
        <w:t>Benefit</w:t>
      </w:r>
      <w:r w:rsidRPr="00F70002" w:rsidR="00AA6CA0">
        <w:rPr>
          <w:rStyle w:val="CommentReference"/>
          <w:sz w:val="24"/>
          <w:szCs w:val="24"/>
        </w:rPr>
        <w:t>s</w:t>
      </w:r>
      <w:bookmarkEnd w:id="169"/>
    </w:p>
    <w:p w:rsidR="00D34EBD" w:rsidP="00D34EBD" w14:paraId="4E395F9C" w14:textId="77777777">
      <w:pPr>
        <w:ind w:firstLine="720"/>
      </w:pPr>
    </w:p>
    <w:p w:rsidR="00D34EBD" w14:paraId="7320A4A0" w14:textId="7729C810">
      <w:pPr>
        <w:ind w:firstLine="720"/>
      </w:pPr>
      <w:r>
        <w:t xml:space="preserve">The benefits </w:t>
      </w:r>
      <w:r w:rsidR="00252AE3">
        <w:t xml:space="preserve">of the final rule </w:t>
      </w:r>
      <w:r>
        <w:t xml:space="preserve">are primarily driven by removing or relaxing CGMP </w:t>
      </w:r>
      <w:r w:rsidR="570506C2">
        <w:t xml:space="preserve">requirements </w:t>
      </w:r>
      <w:r>
        <w:t xml:space="preserve">that do not apply to </w:t>
      </w:r>
      <w:r w:rsidR="00DB23DD">
        <w:t>medical gases</w:t>
      </w:r>
      <w:r w:rsidR="00075264">
        <w:t xml:space="preserve">, </w:t>
      </w:r>
      <w:r>
        <w:t xml:space="preserve">such as removing </w:t>
      </w:r>
      <w:r w:rsidR="00075264">
        <w:t xml:space="preserve">certain </w:t>
      </w:r>
      <w:r>
        <w:t>building</w:t>
      </w:r>
      <w:r w:rsidR="00075264">
        <w:t>s</w:t>
      </w:r>
      <w:r>
        <w:t xml:space="preserve"> and facilit</w:t>
      </w:r>
      <w:r w:rsidR="00075264">
        <w:t>ies</w:t>
      </w:r>
      <w:r>
        <w:t xml:space="preserve"> requirements</w:t>
      </w:r>
      <w:r w:rsidR="009363B1">
        <w:t>,</w:t>
      </w:r>
      <w:r>
        <w:t xml:space="preserve"> leading to a reduction in inspection time and net cost savings from more flexible sampling requirements. </w:t>
      </w:r>
      <w:r>
        <w:t>The costs are primarily driven by the new labeling requirement, clarification leading to firms becoming compliant with existing requirements, and added CGMP requirements</w:t>
      </w:r>
      <w:r w:rsidR="00C901A9">
        <w:t>,</w:t>
      </w:r>
      <w:r>
        <w:t xml:space="preserve"> including a requirement for portable cryogenic containers to have a working gauge. </w:t>
      </w:r>
    </w:p>
    <w:p w:rsidR="00D34EBD" w:rsidP="00640234" w14:paraId="05696C20" w14:textId="0782297C">
      <w:pPr>
        <w:rPr>
          <w:rStyle w:val="CommentReference"/>
          <w:sz w:val="24"/>
          <w:szCs w:val="24"/>
        </w:rPr>
      </w:pPr>
      <w:r w:rsidRPr="004A7AC4">
        <w:rPr>
          <w:rStyle w:val="CommentReference"/>
          <w:sz w:val="24"/>
          <w:szCs w:val="24"/>
        </w:rPr>
        <w:tab/>
      </w:r>
      <w:r w:rsidRPr="00830D72" w:rsidR="00830D72">
        <w:rPr>
          <w:rStyle w:val="CommentReference"/>
          <w:sz w:val="24"/>
          <w:szCs w:val="24"/>
        </w:rPr>
        <w:fldChar w:fldCharType="begin"/>
      </w:r>
      <w:r w:rsidRPr="00830D72" w:rsidR="00830D72">
        <w:rPr>
          <w:rStyle w:val="CommentReference"/>
          <w:sz w:val="24"/>
          <w:szCs w:val="24"/>
        </w:rPr>
        <w:instrText xml:space="preserve"> REF _Ref132016048 \h </w:instrText>
      </w:r>
      <w:r w:rsidRPr="004848C7" w:rsidR="00830D72">
        <w:rPr>
          <w:rStyle w:val="CommentReference"/>
          <w:sz w:val="24"/>
          <w:szCs w:val="24"/>
        </w:rPr>
        <w:instrText xml:space="preserve"> \* MERGEFORMAT </w:instrText>
      </w:r>
      <w:r w:rsidRPr="00830D72" w:rsidR="00830D72">
        <w:rPr>
          <w:rStyle w:val="CommentReference"/>
          <w:sz w:val="24"/>
          <w:szCs w:val="24"/>
        </w:rPr>
        <w:fldChar w:fldCharType="separate"/>
      </w:r>
      <w:r w:rsidRPr="004848C7" w:rsidR="00830D72">
        <w:t xml:space="preserve">Table </w:t>
      </w:r>
      <w:r w:rsidRPr="004848C7" w:rsidR="00830D72">
        <w:rPr>
          <w:noProof/>
        </w:rPr>
        <w:t>27</w:t>
      </w:r>
      <w:r w:rsidRPr="00830D72" w:rsidR="00830D72">
        <w:rPr>
          <w:rStyle w:val="CommentReference"/>
          <w:sz w:val="24"/>
          <w:szCs w:val="24"/>
        </w:rPr>
        <w:fldChar w:fldCharType="end"/>
      </w:r>
      <w:r w:rsidR="00596412">
        <w:rPr>
          <w:rStyle w:val="CommentReference"/>
          <w:sz w:val="24"/>
          <w:szCs w:val="24"/>
        </w:rPr>
        <w:t xml:space="preserve"> </w:t>
      </w:r>
      <w:r w:rsidRPr="008630CA">
        <w:t xml:space="preserve">summarizes the estimated benefits and costs of the </w:t>
      </w:r>
      <w:r w:rsidR="00627A01">
        <w:t>final</w:t>
      </w:r>
      <w:r w:rsidRPr="008630CA">
        <w:t xml:space="preserve"> rule. The annualized benefits of the rule </w:t>
      </w:r>
      <w:r w:rsidR="001940B0">
        <w:t>will</w:t>
      </w:r>
      <w:r w:rsidRPr="008630CA">
        <w:t xml:space="preserve"> range from $</w:t>
      </w:r>
      <w:r>
        <w:t>0.00</w:t>
      </w:r>
      <w:r w:rsidRPr="008630CA">
        <w:t xml:space="preserve"> million to $</w:t>
      </w:r>
      <w:r w:rsidR="004921A5">
        <w:t>7.02</w:t>
      </w:r>
      <w:r w:rsidRPr="008630CA">
        <w:t xml:space="preserve"> million with a primary estimate of $</w:t>
      </w:r>
      <w:r w:rsidR="00A91550">
        <w:t>3.</w:t>
      </w:r>
      <w:r w:rsidR="004921A5">
        <w:t>51</w:t>
      </w:r>
      <w:r w:rsidRPr="008630CA">
        <w:t xml:space="preserve"> million at</w:t>
      </w:r>
      <w:r w:rsidR="008A3BDE">
        <w:t xml:space="preserve"> </w:t>
      </w:r>
      <w:r>
        <w:t>a</w:t>
      </w:r>
      <w:r w:rsidRPr="008630CA">
        <w:t xml:space="preserve"> 7 percent</w:t>
      </w:r>
      <w:r>
        <w:t xml:space="preserve"> </w:t>
      </w:r>
      <w:r w:rsidR="008A3BDE">
        <w:t xml:space="preserve">discount rate over </w:t>
      </w:r>
      <w:r w:rsidRPr="008630CA">
        <w:t xml:space="preserve">10 years. The annualized costs </w:t>
      </w:r>
      <w:r w:rsidR="001940B0">
        <w:t>will</w:t>
      </w:r>
      <w:r w:rsidRPr="008630CA">
        <w:t xml:space="preserve"> range from $</w:t>
      </w:r>
      <w:r w:rsidR="008F0FDD">
        <w:t>1.</w:t>
      </w:r>
      <w:r w:rsidR="00102055">
        <w:t>52</w:t>
      </w:r>
      <w:r w:rsidRPr="008630CA">
        <w:t xml:space="preserve"> million to $</w:t>
      </w:r>
      <w:r w:rsidR="00102055">
        <w:t>5.</w:t>
      </w:r>
      <w:r w:rsidR="00EF1C8B">
        <w:t>30</w:t>
      </w:r>
      <w:r w:rsidRPr="008630CA">
        <w:t xml:space="preserve"> million with a primary estimate of $</w:t>
      </w:r>
      <w:r w:rsidR="003D1201">
        <w:t>3.</w:t>
      </w:r>
      <w:r w:rsidR="00102055">
        <w:t>2</w:t>
      </w:r>
      <w:r w:rsidR="00EF682A">
        <w:t>4</w:t>
      </w:r>
      <w:r w:rsidRPr="008630CA">
        <w:t xml:space="preserve"> million at a 7 percent discount rate. </w:t>
      </w:r>
    </w:p>
    <w:p w:rsidR="00D34EBD" w:rsidP="00640234" w14:paraId="7856B61A" w14:textId="77777777">
      <w:pPr>
        <w:rPr>
          <w:rStyle w:val="CommentReference"/>
          <w:sz w:val="24"/>
          <w:szCs w:val="24"/>
        </w:rPr>
      </w:pPr>
    </w:p>
    <w:p w:rsidR="00AA6CA0" w:rsidRPr="0043305E" w:rsidP="0043305E" w14:paraId="132D2629" w14:textId="43E954E5">
      <w:pPr>
        <w:pStyle w:val="Caption"/>
        <w:keepNext/>
        <w:rPr>
          <w:rStyle w:val="CommentReference"/>
          <w:b/>
          <w:bCs/>
          <w:sz w:val="24"/>
          <w:szCs w:val="24"/>
        </w:rPr>
      </w:pPr>
      <w:bookmarkStart w:id="170" w:name="_Ref132016048"/>
      <w:bookmarkStart w:id="171" w:name="_Toc147238771"/>
      <w:r w:rsidRPr="003B7206">
        <w:rPr>
          <w:b/>
          <w:bCs/>
        </w:rPr>
        <w:t xml:space="preserve">Table </w:t>
      </w:r>
      <w:r w:rsidRPr="003B7206">
        <w:rPr>
          <w:b/>
          <w:bCs/>
        </w:rPr>
        <w:fldChar w:fldCharType="begin"/>
      </w:r>
      <w:r w:rsidRPr="003B7206">
        <w:rPr>
          <w:b/>
          <w:bCs/>
        </w:rPr>
        <w:instrText xml:space="preserve"> SEQ Table \* ARABIC </w:instrText>
      </w:r>
      <w:r w:rsidRPr="003B7206">
        <w:rPr>
          <w:b/>
          <w:bCs/>
        </w:rPr>
        <w:fldChar w:fldCharType="separate"/>
      </w:r>
      <w:r w:rsidR="0011482F">
        <w:rPr>
          <w:b/>
          <w:bCs/>
          <w:noProof/>
        </w:rPr>
        <w:t>27</w:t>
      </w:r>
      <w:r w:rsidRPr="003B7206">
        <w:rPr>
          <w:b/>
          <w:bCs/>
        </w:rPr>
        <w:fldChar w:fldCharType="end"/>
      </w:r>
      <w:bookmarkEnd w:id="170"/>
      <w:r w:rsidRPr="003B7206">
        <w:rPr>
          <w:b/>
          <w:bCs/>
        </w:rPr>
        <w:t xml:space="preserve">. </w:t>
      </w:r>
      <w:r w:rsidRPr="0043305E" w:rsidR="00640234">
        <w:rPr>
          <w:rStyle w:val="CommentReference"/>
          <w:b/>
          <w:bCs/>
          <w:sz w:val="24"/>
          <w:szCs w:val="24"/>
        </w:rPr>
        <w:t>Summary of Costs and Benefits</w:t>
      </w:r>
      <w:r w:rsidRPr="0043305E" w:rsidR="007C6210">
        <w:rPr>
          <w:rStyle w:val="CommentReference"/>
          <w:b/>
          <w:bCs/>
          <w:sz w:val="24"/>
          <w:szCs w:val="24"/>
        </w:rPr>
        <w:t xml:space="preserve"> (</w:t>
      </w:r>
      <w:r w:rsidRPr="0043305E" w:rsidR="007C6210">
        <w:rPr>
          <w:b/>
          <w:bCs/>
        </w:rPr>
        <w:t xml:space="preserve">in $ </w:t>
      </w:r>
      <w:r w:rsidRPr="0043305E" w:rsidR="00596412">
        <w:rPr>
          <w:b/>
          <w:bCs/>
        </w:rPr>
        <w:t>M</w:t>
      </w:r>
      <w:r w:rsidRPr="0043305E" w:rsidR="007C6210">
        <w:rPr>
          <w:b/>
          <w:bCs/>
        </w:rPr>
        <w:t>illions)</w:t>
      </w:r>
      <w:bookmarkEnd w:id="171"/>
    </w:p>
    <w:tbl>
      <w:tblPr>
        <w:tblW w:w="9355" w:type="dxa"/>
        <w:tblLook w:val="04A0"/>
      </w:tblPr>
      <w:tblGrid>
        <w:gridCol w:w="3235"/>
        <w:gridCol w:w="1890"/>
        <w:gridCol w:w="2070"/>
        <w:gridCol w:w="2160"/>
      </w:tblGrid>
      <w:tr w14:paraId="71EF72DF" w14:textId="77777777" w:rsidTr="00714FC0">
        <w:tblPrEx>
          <w:tblW w:w="9355" w:type="dxa"/>
          <w:tblLook w:val="04A0"/>
        </w:tblPrEx>
        <w:trPr>
          <w:trHeight w:val="144"/>
          <w:tblHeader/>
        </w:trPr>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30393" w:rsidRPr="000E6DD7" w:rsidP="007B5C00" w14:paraId="6029F5AF" w14:textId="77777777">
            <w:pPr>
              <w:spacing w:after="0"/>
              <w:rPr>
                <w:rFonts w:eastAsia="Times New Roman"/>
                <w:color w:val="000000"/>
                <w:sz w:val="22"/>
                <w:szCs w:val="22"/>
              </w:rPr>
            </w:pPr>
            <w:r w:rsidRPr="000E6DD7">
              <w:rPr>
                <w:rFonts w:eastAsia="Times New Roman"/>
                <w:color w:val="000000"/>
                <w:sz w:val="22"/>
                <w:szCs w:val="22"/>
              </w:rPr>
              <w:t> </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0393" w:rsidRPr="000E6DD7" w:rsidP="00AC2CB0" w14:paraId="44C31A55" w14:textId="77777777">
            <w:pPr>
              <w:spacing w:after="0"/>
              <w:jc w:val="center"/>
              <w:rPr>
                <w:rFonts w:eastAsia="Times New Roman"/>
                <w:b/>
                <w:color w:val="000000"/>
                <w:sz w:val="22"/>
                <w:szCs w:val="22"/>
              </w:rPr>
            </w:pPr>
            <w:r w:rsidRPr="000E6DD7">
              <w:rPr>
                <w:rFonts w:eastAsia="Times New Roman"/>
                <w:b/>
                <w:color w:val="000000"/>
                <w:sz w:val="22"/>
                <w:szCs w:val="22"/>
              </w:rPr>
              <w:t>Primary (7%)</w:t>
            </w: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0393" w:rsidRPr="000E6DD7" w:rsidP="00AC2CB0" w14:paraId="0BD60DF7" w14:textId="77777777">
            <w:pPr>
              <w:spacing w:after="0"/>
              <w:jc w:val="center"/>
              <w:rPr>
                <w:rFonts w:eastAsia="Times New Roman"/>
                <w:b/>
                <w:color w:val="000000"/>
                <w:sz w:val="22"/>
                <w:szCs w:val="22"/>
              </w:rPr>
            </w:pPr>
            <w:r w:rsidRPr="000E6DD7">
              <w:rPr>
                <w:rFonts w:eastAsia="Times New Roman"/>
                <w:b/>
                <w:color w:val="000000"/>
                <w:sz w:val="22"/>
                <w:szCs w:val="22"/>
              </w:rPr>
              <w:t>Lower Bound (7%)</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30393" w:rsidRPr="000E6DD7" w:rsidP="00AC2CB0" w14:paraId="2DE28377" w14:textId="77777777">
            <w:pPr>
              <w:spacing w:after="0"/>
              <w:jc w:val="center"/>
              <w:rPr>
                <w:rFonts w:eastAsia="Times New Roman"/>
                <w:b/>
                <w:color w:val="000000"/>
                <w:sz w:val="22"/>
                <w:szCs w:val="22"/>
              </w:rPr>
            </w:pPr>
            <w:r w:rsidRPr="000E6DD7">
              <w:rPr>
                <w:rFonts w:eastAsia="Times New Roman"/>
                <w:b/>
                <w:color w:val="000000"/>
                <w:sz w:val="22"/>
                <w:szCs w:val="22"/>
              </w:rPr>
              <w:t>Upper Bound (7%)</w:t>
            </w:r>
          </w:p>
        </w:tc>
      </w:tr>
      <w:tr w14:paraId="1B9BF9BC" w14:textId="77777777" w:rsidTr="00714FC0">
        <w:tblPrEx>
          <w:tblW w:w="9355" w:type="dxa"/>
          <w:tblLook w:val="04A0"/>
        </w:tblPrEx>
        <w:trPr>
          <w:trHeight w:val="144"/>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230393" w:rsidRPr="000E6DD7" w:rsidP="00FF063F" w14:paraId="0A16CCE7" w14:textId="759D9805">
            <w:pPr>
              <w:spacing w:after="0"/>
              <w:rPr>
                <w:rFonts w:eastAsia="Times New Roman"/>
                <w:color w:val="000000"/>
                <w:sz w:val="22"/>
                <w:szCs w:val="22"/>
              </w:rPr>
            </w:pPr>
            <w:r w:rsidRPr="000E6DD7">
              <w:rPr>
                <w:rFonts w:eastAsia="Times New Roman"/>
                <w:color w:val="000000"/>
                <w:sz w:val="22"/>
                <w:szCs w:val="22"/>
              </w:rPr>
              <w:t>Total Cost Savings</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rsidR="00230393" w:rsidRPr="000E6DD7" w:rsidP="00AC2CB0" w14:paraId="27BF5F02" w14:textId="3775A9EF">
            <w:pPr>
              <w:spacing w:after="0"/>
              <w:jc w:val="center"/>
              <w:rPr>
                <w:rFonts w:eastAsia="Times New Roman"/>
                <w:color w:val="000000"/>
                <w:sz w:val="22"/>
                <w:szCs w:val="22"/>
              </w:rPr>
            </w:pPr>
            <w:r w:rsidRPr="000E6DD7">
              <w:rPr>
                <w:sz w:val="22"/>
                <w:szCs w:val="22"/>
              </w:rPr>
              <w:t>$</w:t>
            </w:r>
            <w:r w:rsidR="00A91550">
              <w:rPr>
                <w:sz w:val="22"/>
                <w:szCs w:val="22"/>
              </w:rPr>
              <w:t>3.</w:t>
            </w:r>
            <w:r w:rsidR="004921A5">
              <w:rPr>
                <w:sz w:val="22"/>
                <w:szCs w:val="22"/>
              </w:rPr>
              <w:t>51</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30393" w:rsidRPr="000E6DD7" w:rsidP="00AC2CB0" w14:paraId="73ACA631" w14:textId="1446123E">
            <w:pPr>
              <w:spacing w:after="0"/>
              <w:jc w:val="center"/>
              <w:rPr>
                <w:rFonts w:eastAsia="Times New Roman"/>
                <w:color w:val="000000"/>
                <w:sz w:val="22"/>
                <w:szCs w:val="22"/>
              </w:rPr>
            </w:pPr>
            <w:r w:rsidRPr="000E6DD7">
              <w:rPr>
                <w:color w:val="000000"/>
                <w:sz w:val="22"/>
                <w:szCs w:val="22"/>
              </w:rPr>
              <w:t>$0</w:t>
            </w:r>
            <w:r>
              <w:rPr>
                <w:color w:val="000000"/>
                <w:sz w:val="22"/>
                <w:szCs w:val="22"/>
              </w:rPr>
              <w:t>.00</w:t>
            </w:r>
          </w:p>
        </w:tc>
        <w:tc>
          <w:tcPr>
            <w:tcW w:w="2160" w:type="dxa"/>
            <w:tcBorders>
              <w:top w:val="single" w:sz="4" w:space="0" w:color="auto"/>
              <w:left w:val="nil"/>
              <w:bottom w:val="single" w:sz="4" w:space="0" w:color="auto"/>
              <w:right w:val="single" w:sz="4" w:space="0" w:color="auto"/>
            </w:tcBorders>
            <w:shd w:val="clear" w:color="auto" w:fill="auto"/>
            <w:noWrap/>
            <w:hideMark/>
          </w:tcPr>
          <w:p w:rsidR="00230393" w:rsidRPr="000E6DD7" w:rsidP="00AC2CB0" w14:paraId="4170972B" w14:textId="54F79D00">
            <w:pPr>
              <w:spacing w:after="0"/>
              <w:jc w:val="center"/>
              <w:rPr>
                <w:rFonts w:eastAsia="Times New Roman"/>
                <w:color w:val="000000"/>
                <w:sz w:val="22"/>
                <w:szCs w:val="22"/>
              </w:rPr>
            </w:pPr>
            <w:r w:rsidRPr="000E6DD7">
              <w:rPr>
                <w:sz w:val="22"/>
                <w:szCs w:val="22"/>
              </w:rPr>
              <w:t>$</w:t>
            </w:r>
            <w:r w:rsidR="004921A5">
              <w:rPr>
                <w:sz w:val="22"/>
                <w:szCs w:val="22"/>
              </w:rPr>
              <w:t>7.02</w:t>
            </w:r>
          </w:p>
        </w:tc>
      </w:tr>
      <w:tr w14:paraId="1E78676F" w14:textId="77777777" w:rsidTr="00714FC0">
        <w:tblPrEx>
          <w:tblW w:w="9355" w:type="dxa"/>
          <w:tblLook w:val="04A0"/>
        </w:tblPrEx>
        <w:trPr>
          <w:trHeight w:val="144"/>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55" w:rsidRPr="000E6DD7" w:rsidP="00102055" w14:paraId="49C857B2" w14:textId="3164774F">
            <w:pPr>
              <w:spacing w:after="0"/>
              <w:rPr>
                <w:rFonts w:eastAsia="Times New Roman"/>
                <w:color w:val="000000"/>
                <w:sz w:val="22"/>
                <w:szCs w:val="22"/>
              </w:rPr>
            </w:pPr>
            <w:r w:rsidRPr="000E6DD7">
              <w:rPr>
                <w:rFonts w:eastAsia="Times New Roman"/>
                <w:color w:val="000000"/>
                <w:sz w:val="22"/>
                <w:szCs w:val="22"/>
              </w:rPr>
              <w:t>Total Cost</w:t>
            </w:r>
            <w:r>
              <w:rPr>
                <w:rFonts w:eastAsia="Times New Roman"/>
                <w:color w:val="000000"/>
                <w:sz w:val="22"/>
                <w:szCs w:val="22"/>
              </w:rPr>
              <w:t>s</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102055" w:rsidRPr="00102055" w:rsidP="00102055" w14:paraId="25D91C8F" w14:textId="4F7C3AF7">
            <w:pPr>
              <w:spacing w:after="0"/>
              <w:jc w:val="center"/>
              <w:rPr>
                <w:rFonts w:eastAsia="Times New Roman"/>
                <w:color w:val="000000"/>
                <w:sz w:val="22"/>
                <w:szCs w:val="22"/>
              </w:rPr>
            </w:pPr>
            <w:r w:rsidRPr="000659AD">
              <w:rPr>
                <w:color w:val="000000"/>
                <w:sz w:val="22"/>
                <w:szCs w:val="22"/>
              </w:rPr>
              <w:t>$3.2</w:t>
            </w:r>
            <w:r w:rsidR="00865CC0">
              <w:rPr>
                <w:color w:val="000000"/>
                <w:sz w:val="22"/>
                <w:szCs w:val="22"/>
              </w:rPr>
              <w:t>4</w:t>
            </w:r>
            <w:r w:rsidRPr="000659AD">
              <w:rPr>
                <w:color w:val="000000"/>
                <w:sz w:val="22"/>
                <w:szCs w:val="22"/>
              </w:rPr>
              <w:t xml:space="preserve">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102055" w:rsidRPr="00102055" w:rsidP="00102055" w14:paraId="15296C13" w14:textId="7F52C46C">
            <w:pPr>
              <w:spacing w:after="0"/>
              <w:jc w:val="center"/>
              <w:rPr>
                <w:rFonts w:eastAsia="Times New Roman"/>
                <w:color w:val="000000"/>
                <w:sz w:val="22"/>
                <w:szCs w:val="22"/>
              </w:rPr>
            </w:pPr>
            <w:r w:rsidRPr="000659AD">
              <w:rPr>
                <w:color w:val="000000"/>
                <w:sz w:val="22"/>
                <w:szCs w:val="22"/>
              </w:rPr>
              <w:t xml:space="preserve">$1.52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102055" w:rsidRPr="00102055" w:rsidP="00102055" w14:paraId="7123CB5F" w14:textId="2C0EC091">
            <w:pPr>
              <w:spacing w:after="0"/>
              <w:jc w:val="center"/>
              <w:rPr>
                <w:rFonts w:eastAsia="Times New Roman"/>
                <w:color w:val="000000"/>
                <w:sz w:val="22"/>
                <w:szCs w:val="22"/>
              </w:rPr>
            </w:pPr>
            <w:r w:rsidRPr="000659AD">
              <w:rPr>
                <w:color w:val="000000"/>
                <w:sz w:val="22"/>
                <w:szCs w:val="22"/>
              </w:rPr>
              <w:t>$5.</w:t>
            </w:r>
            <w:r w:rsidR="00865CC0">
              <w:rPr>
                <w:color w:val="000000"/>
                <w:sz w:val="22"/>
                <w:szCs w:val="22"/>
              </w:rPr>
              <w:t>30</w:t>
            </w:r>
            <w:r w:rsidRPr="000659AD">
              <w:rPr>
                <w:color w:val="000000"/>
                <w:sz w:val="22"/>
                <w:szCs w:val="22"/>
              </w:rPr>
              <w:t xml:space="preserve"> </w:t>
            </w:r>
          </w:p>
        </w:tc>
      </w:tr>
      <w:tr w14:paraId="6E34E1E5" w14:textId="77777777" w:rsidTr="00714FC0">
        <w:tblPrEx>
          <w:tblW w:w="9355" w:type="dxa"/>
          <w:tblLook w:val="04A0"/>
        </w:tblPrEx>
        <w:trPr>
          <w:trHeight w:val="144"/>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230393" w:rsidRPr="000E6DD7" w:rsidP="007B5C00" w14:paraId="0C24C779" w14:textId="2C18E841">
            <w:pPr>
              <w:spacing w:after="0"/>
              <w:rPr>
                <w:rFonts w:eastAsia="Times New Roman"/>
                <w:color w:val="000000"/>
                <w:sz w:val="22"/>
                <w:szCs w:val="22"/>
              </w:rPr>
            </w:pPr>
            <w:r>
              <w:rPr>
                <w:rFonts w:eastAsia="Times New Roman"/>
                <w:color w:val="000000"/>
                <w:sz w:val="22"/>
                <w:szCs w:val="22"/>
              </w:rPr>
              <w:t>Total Net Costs</w:t>
            </w:r>
            <w:r w:rsidRPr="00AF5734">
              <w:rPr>
                <w:rFonts w:eastAsia="Times New Roman"/>
                <w:color w:val="000000"/>
                <w:sz w:val="22"/>
                <w:szCs w:val="22"/>
                <w:vertAlign w:val="superscript"/>
              </w:rPr>
              <w:t>α</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230393" w:rsidRPr="000E6DD7" w:rsidP="00AC2CB0" w14:paraId="7A051EA2" w14:textId="3B52567A">
            <w:pPr>
              <w:spacing w:after="0"/>
              <w:jc w:val="center"/>
              <w:rPr>
                <w:rFonts w:eastAsia="Times New Roman"/>
                <w:color w:val="000000"/>
                <w:sz w:val="22"/>
                <w:szCs w:val="22"/>
              </w:rPr>
            </w:pPr>
            <w:r>
              <w:rPr>
                <w:color w:val="000000"/>
                <w:sz w:val="22"/>
                <w:szCs w:val="22"/>
              </w:rPr>
              <w:t>($0.</w:t>
            </w:r>
            <w:r w:rsidR="00102055">
              <w:rPr>
                <w:color w:val="000000"/>
                <w:sz w:val="22"/>
                <w:szCs w:val="22"/>
              </w:rPr>
              <w:t>2</w:t>
            </w:r>
            <w:r w:rsidR="00EF1C8B">
              <w:rPr>
                <w:color w:val="000000"/>
                <w:sz w:val="22"/>
                <w:szCs w:val="22"/>
              </w:rPr>
              <w:t>7</w:t>
            </w:r>
            <w:r>
              <w:rPr>
                <w:color w:val="000000"/>
                <w:sz w:val="22"/>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230393" w:rsidRPr="000E6DD7" w:rsidP="00AC2CB0" w14:paraId="3175171A" w14:textId="3C211E78">
            <w:pPr>
              <w:spacing w:after="0"/>
              <w:jc w:val="center"/>
              <w:rPr>
                <w:rFonts w:eastAsia="Times New Roman"/>
                <w:color w:val="000000"/>
                <w:sz w:val="22"/>
                <w:szCs w:val="22"/>
              </w:rPr>
            </w:pPr>
            <w:r w:rsidRPr="000E6DD7">
              <w:rPr>
                <w:color w:val="000000"/>
                <w:sz w:val="22"/>
                <w:szCs w:val="22"/>
              </w:rPr>
              <w:t>$</w:t>
            </w:r>
            <w:r w:rsidR="008F0FDD">
              <w:rPr>
                <w:color w:val="000000"/>
                <w:sz w:val="22"/>
                <w:szCs w:val="22"/>
              </w:rPr>
              <w:t>1.</w:t>
            </w:r>
            <w:r w:rsidR="00102055">
              <w:rPr>
                <w:color w:val="000000"/>
                <w:sz w:val="22"/>
                <w:szCs w:val="22"/>
              </w:rPr>
              <w:t>52</w:t>
            </w:r>
          </w:p>
        </w:tc>
        <w:tc>
          <w:tcPr>
            <w:tcW w:w="2160" w:type="dxa"/>
            <w:tcBorders>
              <w:top w:val="nil"/>
              <w:left w:val="nil"/>
              <w:bottom w:val="single" w:sz="4" w:space="0" w:color="auto"/>
              <w:right w:val="single" w:sz="4" w:space="0" w:color="auto"/>
            </w:tcBorders>
            <w:shd w:val="clear" w:color="auto" w:fill="auto"/>
            <w:noWrap/>
            <w:vAlign w:val="bottom"/>
            <w:hideMark/>
          </w:tcPr>
          <w:p w:rsidR="00230393" w:rsidRPr="000E6DD7" w:rsidP="00AC2CB0" w14:paraId="740409CC" w14:textId="21A74D87">
            <w:pPr>
              <w:spacing w:after="0"/>
              <w:jc w:val="center"/>
              <w:rPr>
                <w:rFonts w:eastAsia="Times New Roman"/>
                <w:color w:val="000000"/>
                <w:sz w:val="22"/>
                <w:szCs w:val="22"/>
              </w:rPr>
            </w:pPr>
            <w:r>
              <w:rPr>
                <w:color w:val="000000"/>
                <w:sz w:val="22"/>
                <w:szCs w:val="22"/>
              </w:rPr>
              <w:t>(</w:t>
            </w:r>
            <w:r w:rsidRPr="000E6DD7">
              <w:rPr>
                <w:color w:val="000000"/>
                <w:sz w:val="22"/>
                <w:szCs w:val="22"/>
              </w:rPr>
              <w:t>$</w:t>
            </w:r>
            <w:r w:rsidR="00A91550">
              <w:rPr>
                <w:color w:val="000000"/>
                <w:sz w:val="22"/>
                <w:szCs w:val="22"/>
              </w:rPr>
              <w:t>1.</w:t>
            </w:r>
            <w:r w:rsidR="00610C47">
              <w:rPr>
                <w:color w:val="000000"/>
                <w:sz w:val="22"/>
                <w:szCs w:val="22"/>
              </w:rPr>
              <w:t>7</w:t>
            </w:r>
            <w:r w:rsidR="00EF1C8B">
              <w:rPr>
                <w:color w:val="000000"/>
                <w:sz w:val="22"/>
                <w:szCs w:val="22"/>
              </w:rPr>
              <w:t>2</w:t>
            </w:r>
            <w:r>
              <w:rPr>
                <w:color w:val="000000"/>
                <w:sz w:val="22"/>
                <w:szCs w:val="22"/>
              </w:rPr>
              <w:t>)</w:t>
            </w:r>
          </w:p>
        </w:tc>
      </w:tr>
    </w:tbl>
    <w:p w:rsidR="00640234" w:rsidRPr="00925306" w:rsidP="00640234" w14:paraId="7CB7BA58" w14:textId="77777777">
      <w:pPr>
        <w:rPr>
          <w:sz w:val="20"/>
        </w:rPr>
      </w:pPr>
      <w:r w:rsidRPr="003B7206">
        <w:rPr>
          <w:sz w:val="20"/>
          <w:vertAlign w:val="superscript"/>
        </w:rPr>
        <w:t>α</w:t>
      </w:r>
      <w:r w:rsidRPr="00925306">
        <w:rPr>
          <w:sz w:val="20"/>
        </w:rPr>
        <w:t xml:space="preserve"> Numbers in () represent net cost savings.</w:t>
      </w:r>
    </w:p>
    <w:p w:rsidR="00AA6CA0" w:rsidP="005532BC" w14:paraId="056E2B82" w14:textId="61BC23A8">
      <w:pPr>
        <w:rPr>
          <w:rStyle w:val="CommentReference"/>
          <w:sz w:val="24"/>
          <w:szCs w:val="24"/>
        </w:rPr>
      </w:pPr>
    </w:p>
    <w:p w:rsidR="000659AD" w:rsidP="005532BC" w14:paraId="09B0CD4F" w14:textId="352CB2BA">
      <w:pPr>
        <w:rPr>
          <w:rStyle w:val="CommentReference"/>
          <w:sz w:val="24"/>
          <w:szCs w:val="24"/>
        </w:rPr>
      </w:pPr>
    </w:p>
    <w:p w:rsidR="000659AD" w:rsidP="005532BC" w14:paraId="0ED158C6" w14:textId="77777777">
      <w:pPr>
        <w:rPr>
          <w:rStyle w:val="CommentReference"/>
          <w:sz w:val="24"/>
          <w:szCs w:val="24"/>
        </w:rPr>
      </w:pPr>
    </w:p>
    <w:p w:rsidR="00AA6CA0" w:rsidP="00F70002" w14:paraId="30BC1FCF" w14:textId="7E3041C2">
      <w:pPr>
        <w:pStyle w:val="Heading2"/>
        <w:rPr>
          <w:rStyle w:val="CommentReference"/>
          <w:sz w:val="24"/>
          <w:szCs w:val="24"/>
        </w:rPr>
      </w:pPr>
      <w:bookmarkStart w:id="172" w:name="_Toc148515752"/>
      <w:r>
        <w:rPr>
          <w:rStyle w:val="CommentReference"/>
          <w:sz w:val="24"/>
          <w:szCs w:val="24"/>
        </w:rPr>
        <w:t>Uncertainty Analysis</w:t>
      </w:r>
      <w:bookmarkEnd w:id="172"/>
      <w:r>
        <w:rPr>
          <w:rStyle w:val="CommentReference"/>
          <w:sz w:val="24"/>
          <w:szCs w:val="24"/>
        </w:rPr>
        <w:t xml:space="preserve"> </w:t>
      </w:r>
    </w:p>
    <w:p w:rsidR="00AA6CA0" w:rsidP="00236046" w14:paraId="728201A8" w14:textId="0086794E">
      <w:pPr>
        <w:rPr>
          <w:rStyle w:val="CommentReference"/>
          <w:sz w:val="24"/>
          <w:szCs w:val="24"/>
        </w:rPr>
      </w:pPr>
    </w:p>
    <w:p w:rsidR="00AA6CA0" w:rsidP="00236046" w14:paraId="3928764D" w14:textId="101421CA">
      <w:pPr>
        <w:ind w:firstLine="720"/>
      </w:pPr>
      <w:r>
        <w:t xml:space="preserve">Due to uncertainty with many of our inputs, we </w:t>
      </w:r>
      <w:r w:rsidRPr="00E4751C">
        <w:t>provide plausible lower and upper bounds around a simulated mean</w:t>
      </w:r>
      <w:r>
        <w:t xml:space="preserve">. </w:t>
      </w:r>
      <w:r w:rsidRPr="00483AC7">
        <w:t>We obtained 5 percent estimates, means</w:t>
      </w:r>
      <w:r>
        <w:t>,</w:t>
      </w:r>
      <w:r w:rsidRPr="00483AC7">
        <w:t xml:space="preserve"> and 95 percent estimates of the</w:t>
      </w:r>
      <w:r>
        <w:t xml:space="preserve"> costs and</w:t>
      </w:r>
      <w:r w:rsidRPr="00483AC7">
        <w:t xml:space="preserve"> </w:t>
      </w:r>
      <w:r>
        <w:t>cost savings</w:t>
      </w:r>
      <w:r w:rsidRPr="00483AC7">
        <w:t xml:space="preserve"> using </w:t>
      </w:r>
      <w:r>
        <w:t xml:space="preserve">the </w:t>
      </w:r>
      <w:r w:rsidRPr="00483AC7">
        <w:t>Monte Carlo simulation</w:t>
      </w:r>
      <w:r>
        <w:rPr>
          <w:rStyle w:val="FootnoteReference"/>
        </w:rPr>
        <w:footnoteReference w:id="22"/>
      </w:r>
      <w:r w:rsidRPr="00483AC7">
        <w:t xml:space="preserve"> method</w:t>
      </w:r>
      <w:r>
        <w:t xml:space="preserve"> with @Risk.</w:t>
      </w:r>
      <w:r>
        <w:rPr>
          <w:rStyle w:val="FootnoteReference"/>
        </w:rPr>
        <w:footnoteReference w:id="23"/>
      </w:r>
      <w:r w:rsidRPr="00483AC7">
        <w:t xml:space="preserve"> </w:t>
      </w:r>
      <w:r>
        <w:t xml:space="preserve">The </w:t>
      </w:r>
      <w:r w:rsidRPr="00483AC7">
        <w:t>Monte Carlo simulation provide</w:t>
      </w:r>
      <w:r>
        <w:t>s</w:t>
      </w:r>
      <w:r w:rsidRPr="00483AC7">
        <w:t xml:space="preserve"> 5 percent estimates and 95 percent estimates that </w:t>
      </w:r>
      <w:r w:rsidR="0085183E">
        <w:t>all</w:t>
      </w:r>
      <w:r w:rsidR="00301A48">
        <w:t>ow</w:t>
      </w:r>
      <w:r w:rsidR="0085183E">
        <w:t xml:space="preserve"> us to </w:t>
      </w:r>
      <w:r w:rsidRPr="00483AC7">
        <w:t>quantify the degree of uncertainty in the outputs (</w:t>
      </w:r>
      <w:r>
        <w:t xml:space="preserve">e.g., </w:t>
      </w:r>
      <w:r w:rsidRPr="00483AC7">
        <w:t>costs</w:t>
      </w:r>
      <w:r>
        <w:t xml:space="preserve"> and cost savings</w:t>
      </w:r>
      <w:r w:rsidRPr="00483AC7">
        <w:t>).</w:t>
      </w:r>
      <w:r>
        <w:rPr>
          <w:rStyle w:val="FootnoteReference"/>
        </w:rPr>
        <w:footnoteReference w:id="24"/>
      </w:r>
      <w:r w:rsidRPr="00483AC7">
        <w:t xml:space="preserve"> </w:t>
      </w:r>
    </w:p>
    <w:p w:rsidR="00AA6CA0" w:rsidP="00236046" w14:paraId="604F48B4" w14:textId="3C33FD6C">
      <w:pPr>
        <w:ind w:firstLine="720"/>
      </w:pPr>
      <w:r w:rsidRPr="00830D72">
        <w:fldChar w:fldCharType="begin"/>
      </w:r>
      <w:r w:rsidRPr="00830D72">
        <w:instrText xml:space="preserve"> REF _Ref132016091 \h </w:instrText>
      </w:r>
      <w:r w:rsidRPr="004848C7">
        <w:instrText xml:space="preserve"> \* MERGEFORMAT </w:instrText>
      </w:r>
      <w:r w:rsidRPr="00830D72">
        <w:fldChar w:fldCharType="separate"/>
      </w:r>
      <w:r w:rsidRPr="004848C7">
        <w:t xml:space="preserve">Table </w:t>
      </w:r>
      <w:r w:rsidRPr="004848C7">
        <w:rPr>
          <w:noProof/>
        </w:rPr>
        <w:t>28</w:t>
      </w:r>
      <w:r w:rsidRPr="00830D72">
        <w:fldChar w:fldCharType="end"/>
      </w:r>
      <w:r w:rsidRPr="003B7206" w:rsidR="0043305E">
        <w:t xml:space="preserve"> </w:t>
      </w:r>
      <w:r w:rsidRPr="0043305E">
        <w:t>shows</w:t>
      </w:r>
      <w:r w:rsidRPr="00913279">
        <w:t xml:space="preserve"> the annualized costs over a 10-year time horizon at a 7 percent discount rate using the mean, </w:t>
      </w:r>
      <w:r>
        <w:t>5</w:t>
      </w:r>
      <w:r w:rsidRPr="000E6DD7">
        <w:rPr>
          <w:vertAlign w:val="superscript"/>
        </w:rPr>
        <w:t>th</w:t>
      </w:r>
      <w:r>
        <w:t xml:space="preserve"> percentile, and 95</w:t>
      </w:r>
      <w:r w:rsidRPr="000E6DD7">
        <w:rPr>
          <w:vertAlign w:val="superscript"/>
        </w:rPr>
        <w:t>th</w:t>
      </w:r>
      <w:r>
        <w:t xml:space="preserve"> percentile outputs from the Monte Carlo simulation. The upper and lower bound for total costs of this 90 percent confidence interval fall between $</w:t>
      </w:r>
      <w:r w:rsidR="00F81056">
        <w:t>2.09</w:t>
      </w:r>
      <w:r>
        <w:t xml:space="preserve"> million and $</w:t>
      </w:r>
      <w:r w:rsidR="00E271F4">
        <w:t>4.</w:t>
      </w:r>
      <w:r w:rsidR="00F81056">
        <w:t>6</w:t>
      </w:r>
      <w:r w:rsidR="00956B14">
        <w:t>7</w:t>
      </w:r>
      <w:r>
        <w:t xml:space="preserve"> million.</w:t>
      </w:r>
    </w:p>
    <w:p w:rsidR="00E96CEC" w:rsidP="004848C7" w14:paraId="18F2F946" w14:textId="294B1D20">
      <w:pPr>
        <w:rPr>
          <w:b/>
        </w:rPr>
      </w:pPr>
      <w:bookmarkStart w:id="173" w:name="_Ref43119017"/>
    </w:p>
    <w:p w:rsidR="00AA6CA0" w:rsidRPr="000E6DD7" w:rsidP="00AA6CA0" w14:paraId="4323D721" w14:textId="41A92FF6">
      <w:pPr>
        <w:pStyle w:val="Caption"/>
        <w:keepNext/>
        <w:rPr>
          <w:b/>
        </w:rPr>
      </w:pPr>
      <w:bookmarkStart w:id="174" w:name="_Ref132016091"/>
      <w:bookmarkStart w:id="175" w:name="_Toc147238772"/>
      <w:r w:rsidRPr="000E6DD7">
        <w:rPr>
          <w:b/>
        </w:rPr>
        <w:t xml:space="preserve">Table </w:t>
      </w:r>
      <w:bookmarkEnd w:id="173"/>
      <w:r w:rsidRPr="000E6DD7" w:rsidR="008F6950">
        <w:rPr>
          <w:b/>
        </w:rPr>
        <w:fldChar w:fldCharType="begin"/>
      </w:r>
      <w:r w:rsidRPr="000E6DD7" w:rsidR="008F6950">
        <w:rPr>
          <w:b/>
        </w:rPr>
        <w:instrText xml:space="preserve"> SEQ Table \* ARABIC </w:instrText>
      </w:r>
      <w:r w:rsidRPr="000E6DD7" w:rsidR="008F6950">
        <w:rPr>
          <w:b/>
        </w:rPr>
        <w:fldChar w:fldCharType="separate"/>
      </w:r>
      <w:r w:rsidR="0011482F">
        <w:rPr>
          <w:b/>
          <w:noProof/>
        </w:rPr>
        <w:t>28</w:t>
      </w:r>
      <w:r w:rsidRPr="000E6DD7" w:rsidR="008F6950">
        <w:rPr>
          <w:b/>
        </w:rPr>
        <w:fldChar w:fldCharType="end"/>
      </w:r>
      <w:bookmarkEnd w:id="174"/>
      <w:r w:rsidRPr="000E6DD7">
        <w:rPr>
          <w:b/>
        </w:rPr>
        <w:t>. Monte Carlo Simulation Costs</w:t>
      </w:r>
      <w:r w:rsidR="007C6210">
        <w:rPr>
          <w:b/>
        </w:rPr>
        <w:t xml:space="preserve"> (</w:t>
      </w:r>
      <w:r w:rsidRPr="008F3C32" w:rsidR="007C6210">
        <w:rPr>
          <w:b/>
        </w:rPr>
        <w:t>in $ Millions</w:t>
      </w:r>
      <w:r w:rsidR="007C6210">
        <w:rPr>
          <w:b/>
        </w:rPr>
        <w:t>)</w:t>
      </w:r>
      <w:bookmarkEnd w:id="175"/>
    </w:p>
    <w:tbl>
      <w:tblPr>
        <w:tblStyle w:val="TableGrid"/>
        <w:tblW w:w="5000" w:type="pct"/>
        <w:tblLayout w:type="fixed"/>
        <w:tblLook w:val="04A0"/>
      </w:tblPr>
      <w:tblGrid>
        <w:gridCol w:w="6155"/>
        <w:gridCol w:w="1122"/>
        <w:gridCol w:w="951"/>
        <w:gridCol w:w="1122"/>
      </w:tblGrid>
      <w:tr w14:paraId="6761E864" w14:textId="77777777" w:rsidTr="00217852">
        <w:tblPrEx>
          <w:tblW w:w="5000" w:type="pct"/>
          <w:tblLayout w:type="fixed"/>
          <w:tblLook w:val="04A0"/>
        </w:tblPrEx>
        <w:trPr>
          <w:trHeight w:val="432"/>
        </w:trPr>
        <w:tc>
          <w:tcPr>
            <w:tcW w:w="6155" w:type="dxa"/>
            <w:tcBorders>
              <w:bottom w:val="single" w:sz="4" w:space="0" w:color="auto"/>
            </w:tcBorders>
            <w:shd w:val="clear" w:color="auto" w:fill="D9D9D9" w:themeFill="background1" w:themeFillShade="D9"/>
            <w:noWrap/>
            <w:hideMark/>
          </w:tcPr>
          <w:p w:rsidR="00AA6CA0" w:rsidRPr="004848C7" w:rsidP="00776236" w14:paraId="5100D751" w14:textId="77777777">
            <w:pPr>
              <w:rPr>
                <w:sz w:val="21"/>
                <w:szCs w:val="21"/>
              </w:rPr>
            </w:pPr>
            <w:r w:rsidRPr="004848C7">
              <w:rPr>
                <w:sz w:val="21"/>
                <w:szCs w:val="21"/>
              </w:rPr>
              <w:t> </w:t>
            </w:r>
          </w:p>
        </w:tc>
        <w:tc>
          <w:tcPr>
            <w:tcW w:w="1122" w:type="dxa"/>
            <w:tcBorders>
              <w:bottom w:val="single" w:sz="4" w:space="0" w:color="auto"/>
            </w:tcBorders>
            <w:shd w:val="clear" w:color="auto" w:fill="D9D9D9" w:themeFill="background1" w:themeFillShade="D9"/>
            <w:noWrap/>
            <w:vAlign w:val="center"/>
            <w:hideMark/>
          </w:tcPr>
          <w:p w:rsidR="00AA6CA0" w:rsidRPr="004848C7" w:rsidP="008650D4" w14:paraId="28511F76" w14:textId="77777777">
            <w:pPr>
              <w:jc w:val="center"/>
              <w:rPr>
                <w:b/>
                <w:bCs/>
                <w:sz w:val="21"/>
                <w:szCs w:val="21"/>
              </w:rPr>
            </w:pPr>
            <w:r w:rsidRPr="004848C7">
              <w:rPr>
                <w:b/>
                <w:bCs/>
                <w:sz w:val="21"/>
                <w:szCs w:val="21"/>
              </w:rPr>
              <w:t>5</w:t>
            </w:r>
            <w:r w:rsidRPr="004848C7">
              <w:rPr>
                <w:b/>
                <w:bCs/>
                <w:sz w:val="21"/>
                <w:szCs w:val="21"/>
                <w:vertAlign w:val="superscript"/>
              </w:rPr>
              <w:t>th</w:t>
            </w:r>
            <w:r w:rsidRPr="004848C7">
              <w:rPr>
                <w:b/>
                <w:bCs/>
                <w:sz w:val="21"/>
                <w:szCs w:val="21"/>
              </w:rPr>
              <w:t xml:space="preserve"> Percentile</w:t>
            </w:r>
          </w:p>
        </w:tc>
        <w:tc>
          <w:tcPr>
            <w:tcW w:w="951" w:type="dxa"/>
            <w:tcBorders>
              <w:bottom w:val="single" w:sz="4" w:space="0" w:color="auto"/>
            </w:tcBorders>
            <w:shd w:val="clear" w:color="auto" w:fill="D9D9D9" w:themeFill="background1" w:themeFillShade="D9"/>
            <w:vAlign w:val="center"/>
          </w:tcPr>
          <w:p w:rsidR="00AA6CA0" w:rsidRPr="004848C7" w:rsidP="008650D4" w14:paraId="4B30ADF6" w14:textId="1C253F8A">
            <w:pPr>
              <w:jc w:val="center"/>
              <w:rPr>
                <w:b/>
                <w:bCs/>
                <w:sz w:val="21"/>
                <w:szCs w:val="21"/>
              </w:rPr>
            </w:pPr>
            <w:r w:rsidRPr="004848C7">
              <w:rPr>
                <w:b/>
                <w:bCs/>
                <w:sz w:val="21"/>
                <w:szCs w:val="21"/>
              </w:rPr>
              <w:t>Mean</w:t>
            </w:r>
          </w:p>
        </w:tc>
        <w:tc>
          <w:tcPr>
            <w:tcW w:w="1122" w:type="dxa"/>
            <w:tcBorders>
              <w:bottom w:val="single" w:sz="4" w:space="0" w:color="auto"/>
            </w:tcBorders>
            <w:shd w:val="clear" w:color="auto" w:fill="D9D9D9" w:themeFill="background1" w:themeFillShade="D9"/>
            <w:noWrap/>
            <w:vAlign w:val="center"/>
            <w:hideMark/>
          </w:tcPr>
          <w:p w:rsidR="00AA6CA0" w:rsidRPr="004848C7" w:rsidP="008650D4" w14:paraId="258E83C5" w14:textId="77777777">
            <w:pPr>
              <w:jc w:val="center"/>
              <w:rPr>
                <w:b/>
                <w:bCs/>
                <w:sz w:val="21"/>
                <w:szCs w:val="21"/>
              </w:rPr>
            </w:pPr>
            <w:r w:rsidRPr="004848C7">
              <w:rPr>
                <w:b/>
                <w:bCs/>
                <w:sz w:val="21"/>
                <w:szCs w:val="21"/>
              </w:rPr>
              <w:t>95</w:t>
            </w:r>
            <w:r w:rsidRPr="004848C7">
              <w:rPr>
                <w:b/>
                <w:bCs/>
                <w:sz w:val="21"/>
                <w:szCs w:val="21"/>
                <w:vertAlign w:val="superscript"/>
              </w:rPr>
              <w:t>th</w:t>
            </w:r>
            <w:r w:rsidRPr="004848C7">
              <w:rPr>
                <w:b/>
                <w:bCs/>
                <w:sz w:val="21"/>
                <w:szCs w:val="21"/>
              </w:rPr>
              <w:t xml:space="preserve"> Percentile</w:t>
            </w:r>
          </w:p>
        </w:tc>
      </w:tr>
      <w:tr w14:paraId="03FE93C9"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321D3DA3" w14:textId="6414242A">
            <w:pPr>
              <w:rPr>
                <w:sz w:val="21"/>
                <w:szCs w:val="21"/>
              </w:rPr>
            </w:pPr>
            <w:r w:rsidRPr="004848C7">
              <w:rPr>
                <w:color w:val="000000"/>
                <w:sz w:val="21"/>
                <w:szCs w:val="21"/>
              </w:rPr>
              <w:t>Reading and Understanding the Rule</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2302" w:rsidRPr="000659AD" w:rsidP="007B2302" w14:paraId="26D272FA" w14:textId="5BA7E748">
            <w:pPr>
              <w:jc w:val="center"/>
              <w:rPr>
                <w:sz w:val="22"/>
                <w:szCs w:val="22"/>
              </w:rPr>
            </w:pPr>
            <w:r w:rsidRPr="000659AD">
              <w:rPr>
                <w:color w:val="000000"/>
                <w:sz w:val="22"/>
                <w:szCs w:val="22"/>
              </w:rPr>
              <w:t>$0.14</w:t>
            </w:r>
          </w:p>
        </w:tc>
        <w:tc>
          <w:tcPr>
            <w:tcW w:w="951" w:type="dxa"/>
            <w:tcBorders>
              <w:top w:val="single" w:sz="4" w:space="0" w:color="auto"/>
              <w:left w:val="nil"/>
              <w:bottom w:val="single" w:sz="4" w:space="0" w:color="auto"/>
              <w:right w:val="single" w:sz="4" w:space="0" w:color="auto"/>
            </w:tcBorders>
            <w:shd w:val="clear" w:color="auto" w:fill="auto"/>
            <w:vAlign w:val="bottom"/>
          </w:tcPr>
          <w:p w:rsidR="007B2302" w:rsidRPr="000659AD" w:rsidP="007B2302" w14:paraId="7291B5B6" w14:textId="53609297">
            <w:pPr>
              <w:jc w:val="center"/>
              <w:rPr>
                <w:sz w:val="22"/>
                <w:szCs w:val="22"/>
              </w:rPr>
            </w:pPr>
            <w:r w:rsidRPr="000659AD">
              <w:rPr>
                <w:color w:val="000000"/>
                <w:sz w:val="22"/>
                <w:szCs w:val="22"/>
              </w:rPr>
              <w:t>$0.23</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7B2302" w:rsidRPr="000659AD" w:rsidP="007B2302" w14:paraId="5AF4FF9A" w14:textId="3AE4981A">
            <w:pPr>
              <w:jc w:val="center"/>
              <w:rPr>
                <w:sz w:val="22"/>
                <w:szCs w:val="22"/>
              </w:rPr>
            </w:pPr>
            <w:r w:rsidRPr="000659AD">
              <w:rPr>
                <w:color w:val="000000"/>
                <w:sz w:val="22"/>
                <w:szCs w:val="22"/>
              </w:rPr>
              <w:t>$0.33</w:t>
            </w:r>
          </w:p>
        </w:tc>
      </w:tr>
      <w:tr w14:paraId="43F40F58"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58783B84" w14:textId="373E4DC5">
            <w:pPr>
              <w:rPr>
                <w:sz w:val="21"/>
                <w:szCs w:val="21"/>
              </w:rPr>
            </w:pPr>
            <w:r w:rsidRPr="004848C7">
              <w:rPr>
                <w:color w:val="000000"/>
                <w:sz w:val="21"/>
                <w:szCs w:val="21"/>
              </w:rPr>
              <w:t>New Label for Oxygen Containers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17902B52" w14:textId="6EABF0D7">
            <w:pPr>
              <w:jc w:val="center"/>
              <w:rPr>
                <w:sz w:val="22"/>
                <w:szCs w:val="22"/>
              </w:rPr>
            </w:pPr>
            <w:r w:rsidRPr="000659AD">
              <w:rPr>
                <w:color w:val="000000"/>
                <w:sz w:val="22"/>
                <w:szCs w:val="22"/>
              </w:rPr>
              <w:t>$1.21</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10DA9FA4" w14:textId="55434850">
            <w:pPr>
              <w:jc w:val="center"/>
              <w:rPr>
                <w:sz w:val="22"/>
                <w:szCs w:val="22"/>
              </w:rPr>
            </w:pPr>
            <w:r w:rsidRPr="000659AD">
              <w:rPr>
                <w:color w:val="000000"/>
                <w:sz w:val="22"/>
                <w:szCs w:val="22"/>
              </w:rPr>
              <w:t>$1.26</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2E2B088F" w14:textId="113A0799">
            <w:pPr>
              <w:jc w:val="center"/>
              <w:rPr>
                <w:sz w:val="22"/>
                <w:szCs w:val="22"/>
              </w:rPr>
            </w:pPr>
            <w:r w:rsidRPr="000659AD">
              <w:rPr>
                <w:color w:val="000000"/>
                <w:sz w:val="22"/>
                <w:szCs w:val="22"/>
              </w:rPr>
              <w:t>$1.31</w:t>
            </w:r>
          </w:p>
        </w:tc>
      </w:tr>
      <w:tr w14:paraId="69D96085"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04FD820F" w14:textId="13688B74">
            <w:pPr>
              <w:rPr>
                <w:sz w:val="21"/>
                <w:szCs w:val="21"/>
              </w:rPr>
            </w:pPr>
            <w:r w:rsidRPr="004848C7">
              <w:rPr>
                <w:color w:val="000000"/>
                <w:sz w:val="21"/>
                <w:szCs w:val="21"/>
              </w:rPr>
              <w:t>Full Compliance Quality Units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0C7319D2" w14:textId="7A422696">
            <w:pPr>
              <w:jc w:val="center"/>
              <w:rPr>
                <w:sz w:val="22"/>
                <w:szCs w:val="22"/>
              </w:rPr>
            </w:pPr>
            <w:r w:rsidRPr="000659AD">
              <w:rPr>
                <w:color w:val="000000"/>
                <w:sz w:val="22"/>
                <w:szCs w:val="22"/>
              </w:rPr>
              <w:t>$0.14</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36B252C0" w14:textId="56CF3690">
            <w:pPr>
              <w:jc w:val="center"/>
              <w:rPr>
                <w:sz w:val="22"/>
                <w:szCs w:val="22"/>
              </w:rPr>
            </w:pPr>
            <w:r w:rsidRPr="000659AD">
              <w:rPr>
                <w:color w:val="000000"/>
                <w:sz w:val="22"/>
                <w:szCs w:val="22"/>
              </w:rPr>
              <w:t>$0.44</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721D51D6" w14:textId="666D05B5">
            <w:pPr>
              <w:jc w:val="center"/>
              <w:rPr>
                <w:sz w:val="22"/>
                <w:szCs w:val="22"/>
              </w:rPr>
            </w:pPr>
            <w:r w:rsidRPr="000659AD">
              <w:rPr>
                <w:color w:val="000000"/>
                <w:sz w:val="22"/>
                <w:szCs w:val="22"/>
              </w:rPr>
              <w:t>$0.77</w:t>
            </w:r>
          </w:p>
        </w:tc>
      </w:tr>
      <w:tr w14:paraId="03DEEE8D"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5358D02B" w14:textId="2B2EC900">
            <w:pPr>
              <w:rPr>
                <w:sz w:val="21"/>
                <w:szCs w:val="21"/>
              </w:rPr>
            </w:pPr>
            <w:r w:rsidRPr="004848C7">
              <w:rPr>
                <w:color w:val="000000"/>
                <w:sz w:val="21"/>
                <w:szCs w:val="21"/>
              </w:rPr>
              <w:t>Full Compliance Personnel Qualifications and Responsibilities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1136D325" w14:textId="7F80D0F5">
            <w:pPr>
              <w:jc w:val="center"/>
              <w:rPr>
                <w:sz w:val="22"/>
                <w:szCs w:val="22"/>
              </w:rPr>
            </w:pPr>
            <w:r w:rsidRPr="000659AD">
              <w:rPr>
                <w:color w:val="000000"/>
                <w:sz w:val="22"/>
                <w:szCs w:val="22"/>
              </w:rPr>
              <w:t>$0.16</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7F4EFDE4" w14:textId="0BDD4FE7">
            <w:pPr>
              <w:jc w:val="center"/>
              <w:rPr>
                <w:sz w:val="22"/>
                <w:szCs w:val="22"/>
              </w:rPr>
            </w:pPr>
            <w:r w:rsidRPr="000659AD">
              <w:rPr>
                <w:color w:val="000000"/>
                <w:sz w:val="22"/>
                <w:szCs w:val="22"/>
              </w:rPr>
              <w:t>$0.50</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146F10A9" w14:textId="444EFF00">
            <w:pPr>
              <w:jc w:val="center"/>
              <w:rPr>
                <w:sz w:val="22"/>
                <w:szCs w:val="22"/>
              </w:rPr>
            </w:pPr>
            <w:r w:rsidRPr="000659AD">
              <w:rPr>
                <w:color w:val="000000"/>
                <w:sz w:val="22"/>
                <w:szCs w:val="22"/>
              </w:rPr>
              <w:t>$0.84</w:t>
            </w:r>
          </w:p>
        </w:tc>
      </w:tr>
      <w:tr w14:paraId="21413BE4"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1A7251D2" w14:textId="63D82DE8">
            <w:pPr>
              <w:rPr>
                <w:sz w:val="21"/>
                <w:szCs w:val="21"/>
              </w:rPr>
            </w:pPr>
            <w:r w:rsidRPr="004848C7">
              <w:rPr>
                <w:color w:val="000000"/>
                <w:sz w:val="21"/>
                <w:szCs w:val="21"/>
              </w:rPr>
              <w:t>Written Procedures for Personnel Qualifications and Responsibilities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2EB99A6A" w14:textId="259971AD">
            <w:pPr>
              <w:jc w:val="center"/>
              <w:rPr>
                <w:sz w:val="22"/>
                <w:szCs w:val="22"/>
              </w:rPr>
            </w:pPr>
            <w:r w:rsidRPr="000659AD">
              <w:rPr>
                <w:color w:val="000000"/>
                <w:sz w:val="22"/>
                <w:szCs w:val="22"/>
              </w:rPr>
              <w:t>$0.03</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2165A608" w14:textId="0AAAC90D">
            <w:pPr>
              <w:jc w:val="center"/>
              <w:rPr>
                <w:sz w:val="22"/>
                <w:szCs w:val="22"/>
              </w:rPr>
            </w:pPr>
            <w:r w:rsidRPr="000659AD">
              <w:rPr>
                <w:color w:val="000000"/>
                <w:sz w:val="22"/>
                <w:szCs w:val="22"/>
              </w:rPr>
              <w:t>$0.04</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539F4C5C" w14:textId="54EFAAF9">
            <w:pPr>
              <w:jc w:val="center"/>
              <w:rPr>
                <w:sz w:val="22"/>
                <w:szCs w:val="22"/>
              </w:rPr>
            </w:pPr>
            <w:r w:rsidRPr="000659AD">
              <w:rPr>
                <w:color w:val="000000"/>
                <w:sz w:val="22"/>
                <w:szCs w:val="22"/>
              </w:rPr>
              <w:t>$0.05</w:t>
            </w:r>
          </w:p>
        </w:tc>
      </w:tr>
      <w:tr w14:paraId="59C8F73E"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5EA364D4" w14:textId="5C029389">
            <w:pPr>
              <w:rPr>
                <w:sz w:val="21"/>
                <w:szCs w:val="21"/>
              </w:rPr>
            </w:pPr>
            <w:r w:rsidRPr="004848C7">
              <w:rPr>
                <w:color w:val="000000"/>
                <w:sz w:val="21"/>
                <w:szCs w:val="21"/>
              </w:rPr>
              <w:t xml:space="preserve">Rejected Containers </w:t>
            </w:r>
            <w:r w:rsidR="00BE7D56">
              <w:rPr>
                <w:color w:val="000000"/>
                <w:sz w:val="21"/>
                <w:szCs w:val="21"/>
              </w:rPr>
              <w:t>M</w:t>
            </w:r>
            <w:r w:rsidRPr="004848C7">
              <w:rPr>
                <w:color w:val="000000"/>
                <w:sz w:val="21"/>
                <w:szCs w:val="21"/>
              </w:rPr>
              <w:t xml:space="preserve">ust </w:t>
            </w:r>
            <w:r w:rsidR="00BE7D56">
              <w:rPr>
                <w:color w:val="000000"/>
                <w:sz w:val="21"/>
                <w:szCs w:val="21"/>
              </w:rPr>
              <w:t>B</w:t>
            </w:r>
            <w:r w:rsidRPr="004848C7">
              <w:rPr>
                <w:color w:val="000000"/>
                <w:sz w:val="21"/>
                <w:szCs w:val="21"/>
              </w:rPr>
              <w:t>e Documented and Assessed</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3D601266" w14:textId="097EF597">
            <w:pPr>
              <w:jc w:val="center"/>
              <w:rPr>
                <w:sz w:val="22"/>
                <w:szCs w:val="22"/>
              </w:rPr>
            </w:pPr>
            <w:r w:rsidRPr="000659AD">
              <w:rPr>
                <w:color w:val="000000"/>
                <w:sz w:val="22"/>
                <w:szCs w:val="22"/>
              </w:rPr>
              <w:t>$0.07</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29AEB6C9" w14:textId="66A0613E">
            <w:pPr>
              <w:jc w:val="center"/>
              <w:rPr>
                <w:sz w:val="22"/>
                <w:szCs w:val="22"/>
              </w:rPr>
            </w:pPr>
            <w:r w:rsidRPr="000659AD">
              <w:rPr>
                <w:color w:val="000000"/>
                <w:sz w:val="22"/>
                <w:szCs w:val="22"/>
              </w:rPr>
              <w:t>$0.22</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2EA70DCB" w14:textId="31BF7AFD">
            <w:pPr>
              <w:jc w:val="center"/>
              <w:rPr>
                <w:sz w:val="22"/>
                <w:szCs w:val="22"/>
              </w:rPr>
            </w:pPr>
            <w:r w:rsidRPr="000659AD">
              <w:rPr>
                <w:color w:val="000000"/>
                <w:sz w:val="22"/>
                <w:szCs w:val="22"/>
              </w:rPr>
              <w:t>$0.38</w:t>
            </w:r>
          </w:p>
        </w:tc>
      </w:tr>
      <w:tr w14:paraId="0034310B"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0DC1DED7" w14:textId="6886FCA7">
            <w:pPr>
              <w:rPr>
                <w:sz w:val="21"/>
                <w:szCs w:val="21"/>
              </w:rPr>
            </w:pPr>
            <w:r w:rsidRPr="004848C7">
              <w:rPr>
                <w:color w:val="000000"/>
                <w:sz w:val="21"/>
                <w:szCs w:val="21"/>
              </w:rPr>
              <w:t>Portable Cryogenic Containers Working Gauge Requirement</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618EA55C" w14:textId="19DE123B">
            <w:pPr>
              <w:jc w:val="center"/>
              <w:rPr>
                <w:sz w:val="22"/>
                <w:szCs w:val="22"/>
              </w:rPr>
            </w:pPr>
            <w:r w:rsidRPr="000659AD">
              <w:rPr>
                <w:color w:val="000000"/>
                <w:sz w:val="22"/>
                <w:szCs w:val="22"/>
              </w:rPr>
              <w:t>$0.32</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386AB0A9" w14:textId="776E1E7F">
            <w:pPr>
              <w:jc w:val="center"/>
              <w:rPr>
                <w:sz w:val="22"/>
                <w:szCs w:val="22"/>
              </w:rPr>
            </w:pPr>
            <w:r w:rsidRPr="000659AD">
              <w:rPr>
                <w:color w:val="000000"/>
                <w:sz w:val="22"/>
                <w:szCs w:val="22"/>
              </w:rPr>
              <w:t>$0.59</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70080EFF" w14:textId="5694EFC3">
            <w:pPr>
              <w:jc w:val="center"/>
              <w:rPr>
                <w:sz w:val="22"/>
                <w:szCs w:val="22"/>
              </w:rPr>
            </w:pPr>
            <w:r w:rsidRPr="000659AD">
              <w:rPr>
                <w:color w:val="000000"/>
                <w:sz w:val="22"/>
                <w:szCs w:val="22"/>
              </w:rPr>
              <w:t>$0.93</w:t>
            </w:r>
          </w:p>
        </w:tc>
      </w:tr>
      <w:tr w14:paraId="0FF370C5"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6D4A35C1" w14:textId="69861369">
            <w:pPr>
              <w:rPr>
                <w:sz w:val="21"/>
                <w:szCs w:val="21"/>
              </w:rPr>
            </w:pPr>
            <w:r w:rsidRPr="004848C7">
              <w:rPr>
                <w:color w:val="000000"/>
                <w:sz w:val="21"/>
                <w:szCs w:val="21"/>
              </w:rPr>
              <w:t>CVM Adverse Events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52FD273F" w14:textId="2ABEEEF9">
            <w:pPr>
              <w:jc w:val="center"/>
              <w:rPr>
                <w:sz w:val="22"/>
                <w:szCs w:val="22"/>
              </w:rPr>
            </w:pPr>
            <w:r w:rsidRPr="000659AD">
              <w:rPr>
                <w:color w:val="000000"/>
                <w:sz w:val="22"/>
                <w:szCs w:val="22"/>
              </w:rPr>
              <w:t>$0.00</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54D786F5" w14:textId="79E285D8">
            <w:pPr>
              <w:jc w:val="center"/>
              <w:rPr>
                <w:sz w:val="22"/>
                <w:szCs w:val="22"/>
              </w:rPr>
            </w:pPr>
            <w:r w:rsidRPr="000659AD">
              <w:rPr>
                <w:color w:val="000000"/>
                <w:sz w:val="22"/>
                <w:szCs w:val="22"/>
              </w:rPr>
              <w:t>$0.00</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6B61547F" w14:textId="0235A2F0">
            <w:pPr>
              <w:jc w:val="center"/>
              <w:rPr>
                <w:sz w:val="22"/>
                <w:szCs w:val="22"/>
              </w:rPr>
            </w:pPr>
            <w:r w:rsidRPr="000659AD">
              <w:rPr>
                <w:color w:val="000000"/>
                <w:sz w:val="22"/>
                <w:szCs w:val="22"/>
              </w:rPr>
              <w:t>$0.00</w:t>
            </w:r>
          </w:p>
        </w:tc>
      </w:tr>
      <w:tr w14:paraId="6AA76F58"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0939E6F3" w14:textId="39E73DFB">
            <w:pPr>
              <w:rPr>
                <w:sz w:val="21"/>
                <w:szCs w:val="21"/>
              </w:rPr>
            </w:pPr>
            <w:r w:rsidRPr="004848C7">
              <w:rPr>
                <w:color w:val="000000"/>
                <w:sz w:val="21"/>
                <w:szCs w:val="21"/>
              </w:rPr>
              <w:t>Submission of Certification Request</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0D5DA04B" w14:textId="5EB88137">
            <w:pPr>
              <w:jc w:val="center"/>
              <w:rPr>
                <w:sz w:val="22"/>
                <w:szCs w:val="22"/>
              </w:rPr>
            </w:pPr>
            <w:r w:rsidRPr="000659AD">
              <w:rPr>
                <w:color w:val="000000"/>
                <w:sz w:val="22"/>
                <w:szCs w:val="22"/>
              </w:rPr>
              <w:t>$0.00</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5BDB1092" w14:textId="67420561">
            <w:pPr>
              <w:jc w:val="center"/>
              <w:rPr>
                <w:sz w:val="22"/>
                <w:szCs w:val="22"/>
              </w:rPr>
            </w:pPr>
            <w:r w:rsidRPr="000659AD">
              <w:rPr>
                <w:color w:val="000000"/>
                <w:sz w:val="22"/>
                <w:szCs w:val="22"/>
              </w:rPr>
              <w:t>$0.00</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7E179B22" w14:textId="6AD54861">
            <w:pPr>
              <w:jc w:val="center"/>
              <w:rPr>
                <w:sz w:val="22"/>
                <w:szCs w:val="22"/>
              </w:rPr>
            </w:pPr>
            <w:r w:rsidRPr="000659AD">
              <w:rPr>
                <w:color w:val="000000"/>
                <w:sz w:val="22"/>
                <w:szCs w:val="22"/>
              </w:rPr>
              <w:t>$0.00</w:t>
            </w:r>
          </w:p>
        </w:tc>
      </w:tr>
      <w:tr w14:paraId="6B132F7D" w14:textId="77777777" w:rsidTr="000659AD">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346776E2" w14:textId="39088643">
            <w:pPr>
              <w:rPr>
                <w:sz w:val="21"/>
                <w:szCs w:val="21"/>
              </w:rPr>
            </w:pPr>
            <w:r w:rsidRPr="004848C7">
              <w:rPr>
                <w:color w:val="000000"/>
                <w:sz w:val="21"/>
                <w:szCs w:val="21"/>
              </w:rPr>
              <w:t>Annual Report for Granted Certifications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004895DF" w14:textId="1346B1E5">
            <w:pPr>
              <w:jc w:val="center"/>
              <w:rPr>
                <w:sz w:val="22"/>
                <w:szCs w:val="22"/>
              </w:rPr>
            </w:pPr>
            <w:r w:rsidRPr="000659AD">
              <w:rPr>
                <w:color w:val="000000"/>
                <w:sz w:val="22"/>
                <w:szCs w:val="22"/>
              </w:rPr>
              <w:t>$0.03</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7BAA3059" w14:textId="1A234D06">
            <w:pPr>
              <w:jc w:val="center"/>
              <w:rPr>
                <w:sz w:val="22"/>
                <w:szCs w:val="22"/>
              </w:rPr>
            </w:pPr>
            <w:r w:rsidRPr="000659AD">
              <w:rPr>
                <w:color w:val="000000"/>
                <w:sz w:val="22"/>
                <w:szCs w:val="22"/>
              </w:rPr>
              <w:t>$0.04</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4B0DCA35" w14:textId="574EA6CF">
            <w:pPr>
              <w:jc w:val="center"/>
              <w:rPr>
                <w:sz w:val="22"/>
                <w:szCs w:val="22"/>
              </w:rPr>
            </w:pPr>
            <w:r w:rsidRPr="000659AD">
              <w:rPr>
                <w:color w:val="000000"/>
                <w:sz w:val="22"/>
                <w:szCs w:val="22"/>
              </w:rPr>
              <w:t>$0.05</w:t>
            </w:r>
          </w:p>
        </w:tc>
      </w:tr>
      <w:tr w14:paraId="64F11160" w14:textId="77777777" w:rsidTr="000659AD">
        <w:tblPrEx>
          <w:tblW w:w="5000" w:type="pct"/>
          <w:tblLayout w:type="fixed"/>
          <w:tblLook w:val="04A0"/>
        </w:tblPrEx>
        <w:trPr>
          <w:trHeight w:val="260"/>
        </w:trPr>
        <w:tc>
          <w:tcPr>
            <w:tcW w:w="6155" w:type="dxa"/>
            <w:tcBorders>
              <w:top w:val="single" w:sz="4" w:space="0" w:color="auto"/>
              <w:bottom w:val="single" w:sz="4" w:space="0" w:color="auto"/>
              <w:right w:val="single" w:sz="4" w:space="0" w:color="auto"/>
            </w:tcBorders>
            <w:noWrap/>
            <w:vAlign w:val="bottom"/>
            <w:hideMark/>
          </w:tcPr>
          <w:p w:rsidR="007B2302" w:rsidRPr="004848C7" w:rsidP="007B2302" w14:paraId="5A11BF40" w14:textId="0F2FA380">
            <w:pPr>
              <w:rPr>
                <w:sz w:val="21"/>
                <w:szCs w:val="21"/>
              </w:rPr>
            </w:pPr>
            <w:r w:rsidRPr="004848C7">
              <w:rPr>
                <w:color w:val="000000"/>
                <w:sz w:val="21"/>
                <w:szCs w:val="21"/>
              </w:rPr>
              <w:t>Gov: FDA Created Forms</w:t>
            </w:r>
          </w:p>
        </w:tc>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7B2302" w:rsidRPr="000659AD" w:rsidP="007B2302" w14:paraId="75E2E95E" w14:textId="7F6245E9">
            <w:pPr>
              <w:jc w:val="center"/>
              <w:rPr>
                <w:sz w:val="22"/>
                <w:szCs w:val="22"/>
              </w:rPr>
            </w:pPr>
            <w:r w:rsidRPr="000659AD">
              <w:rPr>
                <w:color w:val="000000"/>
                <w:sz w:val="22"/>
                <w:szCs w:val="22"/>
              </w:rPr>
              <w:t>$0.00</w:t>
            </w:r>
          </w:p>
        </w:tc>
        <w:tc>
          <w:tcPr>
            <w:tcW w:w="951" w:type="dxa"/>
            <w:tcBorders>
              <w:top w:val="nil"/>
              <w:left w:val="nil"/>
              <w:bottom w:val="single" w:sz="4" w:space="0" w:color="auto"/>
              <w:right w:val="single" w:sz="4" w:space="0" w:color="auto"/>
            </w:tcBorders>
            <w:shd w:val="clear" w:color="auto" w:fill="auto"/>
            <w:vAlign w:val="bottom"/>
          </w:tcPr>
          <w:p w:rsidR="007B2302" w:rsidRPr="000659AD" w:rsidP="007B2302" w14:paraId="1D1FA34D" w14:textId="7820FF5E">
            <w:pPr>
              <w:jc w:val="center"/>
              <w:rPr>
                <w:sz w:val="22"/>
                <w:szCs w:val="22"/>
              </w:rPr>
            </w:pPr>
            <w:r w:rsidRPr="000659AD">
              <w:rPr>
                <w:color w:val="000000"/>
                <w:sz w:val="22"/>
                <w:szCs w:val="22"/>
              </w:rPr>
              <w:t>$0.00</w:t>
            </w:r>
          </w:p>
        </w:tc>
        <w:tc>
          <w:tcPr>
            <w:tcW w:w="1122" w:type="dxa"/>
            <w:tcBorders>
              <w:top w:val="nil"/>
              <w:left w:val="nil"/>
              <w:bottom w:val="single" w:sz="4" w:space="0" w:color="auto"/>
              <w:right w:val="single" w:sz="4" w:space="0" w:color="auto"/>
            </w:tcBorders>
            <w:shd w:val="clear" w:color="auto" w:fill="auto"/>
            <w:noWrap/>
            <w:vAlign w:val="bottom"/>
            <w:hideMark/>
          </w:tcPr>
          <w:p w:rsidR="007B2302" w:rsidRPr="000659AD" w:rsidP="007B2302" w14:paraId="61C88707" w14:textId="24F19F94">
            <w:pPr>
              <w:jc w:val="center"/>
              <w:rPr>
                <w:sz w:val="22"/>
                <w:szCs w:val="22"/>
              </w:rPr>
            </w:pPr>
            <w:r w:rsidRPr="000659AD">
              <w:rPr>
                <w:color w:val="000000"/>
                <w:sz w:val="22"/>
                <w:szCs w:val="22"/>
              </w:rPr>
              <w:t>$0.00</w:t>
            </w:r>
          </w:p>
        </w:tc>
      </w:tr>
      <w:tr w14:paraId="76DFDDA6" w14:textId="77777777" w:rsidTr="00217852">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A91550" w:rsidRPr="004848C7" w:rsidP="00A91550" w14:paraId="0F34770E" w14:textId="5CDEFE10">
            <w:pPr>
              <w:rPr>
                <w:sz w:val="21"/>
                <w:szCs w:val="21"/>
              </w:rPr>
            </w:pPr>
            <w:r w:rsidRPr="004848C7">
              <w:rPr>
                <w:b/>
                <w:bCs/>
                <w:color w:val="000000"/>
                <w:sz w:val="21"/>
                <w:szCs w:val="21"/>
              </w:rPr>
              <w:t>Total Cost</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91550" w:rsidRPr="004848C7" w:rsidP="00A91550" w14:paraId="6AC80C21" w14:textId="71C58F64">
            <w:pPr>
              <w:jc w:val="center"/>
              <w:rPr>
                <w:sz w:val="21"/>
                <w:szCs w:val="21"/>
              </w:rPr>
            </w:pP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1550" w:rsidRPr="004848C7" w:rsidP="00A91550" w14:paraId="17864919" w14:textId="431AD887">
            <w:pPr>
              <w:jc w:val="center"/>
              <w:rPr>
                <w:sz w:val="21"/>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91550" w:rsidRPr="004848C7" w:rsidP="00A91550" w14:paraId="15AF0858" w14:textId="77F18DC7">
            <w:pPr>
              <w:jc w:val="center"/>
              <w:rPr>
                <w:sz w:val="21"/>
                <w:szCs w:val="21"/>
              </w:rPr>
            </w:pPr>
          </w:p>
        </w:tc>
      </w:tr>
      <w:tr w14:paraId="39CCD803" w14:textId="77777777" w:rsidTr="00217852">
        <w:tblPrEx>
          <w:tblW w:w="5000" w:type="pct"/>
          <w:tblLayout w:type="fixed"/>
          <w:tblLook w:val="04A0"/>
        </w:tblPrEx>
        <w:trPr>
          <w:trHeight w:val="216"/>
        </w:trPr>
        <w:tc>
          <w:tcPr>
            <w:tcW w:w="6155" w:type="dxa"/>
            <w:tcBorders>
              <w:top w:val="single" w:sz="4" w:space="0" w:color="auto"/>
              <w:bottom w:val="single" w:sz="4" w:space="0" w:color="auto"/>
              <w:right w:val="single" w:sz="4" w:space="0" w:color="auto"/>
            </w:tcBorders>
            <w:shd w:val="clear" w:color="auto" w:fill="FFFFFF" w:themeFill="background1"/>
            <w:noWrap/>
            <w:vAlign w:val="bottom"/>
            <w:hideMark/>
          </w:tcPr>
          <w:p w:rsidR="007B2302" w:rsidRPr="004848C7" w:rsidP="007B2302" w14:paraId="054726AA" w14:textId="08D90A3A">
            <w:pPr>
              <w:rPr>
                <w:sz w:val="21"/>
                <w:szCs w:val="21"/>
              </w:rPr>
            </w:pPr>
            <w:r w:rsidRPr="004848C7">
              <w:rPr>
                <w:color w:val="000000"/>
                <w:sz w:val="21"/>
                <w:szCs w:val="21"/>
              </w:rPr>
              <w:t>Total Cost</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B2302" w:rsidRPr="000659AD" w:rsidP="007B2302" w14:paraId="15A2F6E4" w14:textId="6483AFEE">
            <w:pPr>
              <w:jc w:val="center"/>
              <w:rPr>
                <w:sz w:val="22"/>
                <w:szCs w:val="22"/>
              </w:rPr>
            </w:pPr>
            <w:r w:rsidRPr="000659AD">
              <w:rPr>
                <w:color w:val="000000"/>
                <w:sz w:val="22"/>
                <w:szCs w:val="22"/>
              </w:rPr>
              <w:t>$2.09</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B2302" w:rsidRPr="000659AD" w:rsidP="007B2302" w14:paraId="27E645F9" w14:textId="17C89953">
            <w:pPr>
              <w:jc w:val="center"/>
              <w:rPr>
                <w:sz w:val="22"/>
                <w:szCs w:val="22"/>
              </w:rPr>
            </w:pPr>
            <w:r w:rsidRPr="000659AD">
              <w:rPr>
                <w:color w:val="000000"/>
                <w:sz w:val="22"/>
                <w:szCs w:val="22"/>
              </w:rPr>
              <w:t>$3.3</w:t>
            </w:r>
            <w:r w:rsidR="00362083">
              <w:rPr>
                <w:color w:val="000000"/>
                <w:sz w:val="22"/>
                <w:szCs w:val="22"/>
              </w:rPr>
              <w:t>2</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B2302" w:rsidRPr="000659AD" w:rsidP="007B2302" w14:paraId="48171D53" w14:textId="31ABE971">
            <w:pPr>
              <w:jc w:val="center"/>
              <w:rPr>
                <w:sz w:val="22"/>
                <w:szCs w:val="22"/>
              </w:rPr>
            </w:pPr>
            <w:r w:rsidRPr="000659AD">
              <w:rPr>
                <w:color w:val="000000"/>
                <w:sz w:val="22"/>
                <w:szCs w:val="22"/>
              </w:rPr>
              <w:t>$4.6</w:t>
            </w:r>
            <w:r w:rsidR="00F34DA2">
              <w:rPr>
                <w:color w:val="000000"/>
                <w:sz w:val="22"/>
                <w:szCs w:val="22"/>
              </w:rPr>
              <w:t>7</w:t>
            </w:r>
          </w:p>
        </w:tc>
      </w:tr>
    </w:tbl>
    <w:p w:rsidR="00AA6CA0" w:rsidP="00AA6CA0" w14:paraId="7AF3B3B5" w14:textId="77777777"/>
    <w:p w:rsidR="00922C90" w:rsidP="00AA6CA0" w14:paraId="28BF410C" w14:textId="77777777"/>
    <w:p w:rsidR="00C51A44" w:rsidP="00AA6CA0" w14:paraId="60661B5E" w14:textId="2EFE6A45">
      <w:r>
        <w:tab/>
      </w:r>
      <w:r w:rsidRPr="00830D72" w:rsidR="00830D72">
        <w:fldChar w:fldCharType="begin"/>
      </w:r>
      <w:r w:rsidRPr="00830D72" w:rsidR="00830D72">
        <w:instrText xml:space="preserve"> REF _Ref132016108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29</w:t>
      </w:r>
      <w:r w:rsidRPr="00830D72" w:rsidR="00830D72">
        <w:fldChar w:fldCharType="end"/>
      </w:r>
      <w:r w:rsidR="0043305E">
        <w:t xml:space="preserve"> </w:t>
      </w:r>
      <w:r w:rsidRPr="00F341F5">
        <w:t>shows the annualized cost</w:t>
      </w:r>
      <w:r>
        <w:t xml:space="preserve"> savings</w:t>
      </w:r>
      <w:r w:rsidRPr="00F341F5">
        <w:t xml:space="preserve"> over a 10-year time horizon at a 7</w:t>
      </w:r>
      <w:r>
        <w:t xml:space="preserve"> percent</w:t>
      </w:r>
      <w:r w:rsidRPr="00F341F5">
        <w:t xml:space="preserve"> discount rate using the mean, 5</w:t>
      </w:r>
      <w:r w:rsidRPr="00F341F5">
        <w:rPr>
          <w:vertAlign w:val="superscript"/>
        </w:rPr>
        <w:t>th</w:t>
      </w:r>
      <w:r w:rsidRPr="00F341F5">
        <w:t xml:space="preserve"> pe</w:t>
      </w:r>
      <w:r>
        <w:t>rcentile, and 95</w:t>
      </w:r>
      <w:r w:rsidRPr="000C6ADB">
        <w:rPr>
          <w:vertAlign w:val="superscript"/>
        </w:rPr>
        <w:t>th</w:t>
      </w:r>
      <w:r>
        <w:t xml:space="preserve"> percentile inputs from the Monte Carlo simulation. The upper and lower bound for cost savings of this 90 percent confidence interval fall between $1.</w:t>
      </w:r>
      <w:r w:rsidR="00217852">
        <w:t>1</w:t>
      </w:r>
      <w:r w:rsidR="00134B1E">
        <w:t>1</w:t>
      </w:r>
      <w:r w:rsidR="00C8557F">
        <w:t xml:space="preserve"> </w:t>
      </w:r>
      <w:r>
        <w:t>million and $</w:t>
      </w:r>
      <w:r w:rsidR="00E271F4">
        <w:t>5.</w:t>
      </w:r>
      <w:r w:rsidR="00134B1E">
        <w:t>91</w:t>
      </w:r>
      <w:r w:rsidR="00E271F4">
        <w:t xml:space="preserve"> </w:t>
      </w:r>
      <w:r>
        <w:t>million.</w:t>
      </w:r>
    </w:p>
    <w:p w:rsidR="00AA6CA0" w:rsidRPr="000E6DD7" w:rsidP="00AA6CA0" w14:paraId="72422AB3" w14:textId="498A798E"/>
    <w:p w:rsidR="00AA6CA0" w:rsidRPr="000E6DD7" w:rsidP="00AA6CA0" w14:paraId="6F6D1048" w14:textId="66EBF4DE">
      <w:pPr>
        <w:pStyle w:val="Caption"/>
        <w:rPr>
          <w:b/>
        </w:rPr>
      </w:pPr>
      <w:bookmarkStart w:id="176" w:name="_Ref43299270"/>
      <w:bookmarkStart w:id="177" w:name="_Ref132016108"/>
      <w:bookmarkStart w:id="178" w:name="_Toc147238773"/>
      <w:r w:rsidRPr="000E6DD7">
        <w:rPr>
          <w:b/>
        </w:rPr>
        <w:t xml:space="preserve">Table </w:t>
      </w:r>
      <w:bookmarkEnd w:id="176"/>
      <w:r w:rsidRPr="000E6DD7" w:rsidR="00E56051">
        <w:rPr>
          <w:b/>
        </w:rPr>
        <w:fldChar w:fldCharType="begin"/>
      </w:r>
      <w:r w:rsidRPr="000E6DD7" w:rsidR="00E56051">
        <w:rPr>
          <w:b/>
        </w:rPr>
        <w:instrText xml:space="preserve"> SEQ Table \* ARABIC </w:instrText>
      </w:r>
      <w:r w:rsidRPr="000E6DD7" w:rsidR="00E56051">
        <w:rPr>
          <w:b/>
        </w:rPr>
        <w:fldChar w:fldCharType="separate"/>
      </w:r>
      <w:r w:rsidR="0011482F">
        <w:rPr>
          <w:b/>
          <w:noProof/>
        </w:rPr>
        <w:t>29</w:t>
      </w:r>
      <w:r w:rsidRPr="000E6DD7" w:rsidR="00E56051">
        <w:rPr>
          <w:b/>
        </w:rPr>
        <w:fldChar w:fldCharType="end"/>
      </w:r>
      <w:bookmarkEnd w:id="177"/>
      <w:r w:rsidRPr="000E6DD7">
        <w:rPr>
          <w:b/>
        </w:rPr>
        <w:t xml:space="preserve">. </w:t>
      </w:r>
      <w:r w:rsidRPr="00E82FF9">
        <w:rPr>
          <w:b/>
        </w:rPr>
        <w:t>Monte Carlo Simulation Cost Saving</w:t>
      </w:r>
      <w:r w:rsidR="00166CCF">
        <w:rPr>
          <w:b/>
        </w:rPr>
        <w:t xml:space="preserve"> (</w:t>
      </w:r>
      <w:r w:rsidRPr="008F3C32" w:rsidR="00166CCF">
        <w:rPr>
          <w:b/>
        </w:rPr>
        <w:t>in $ Millions</w:t>
      </w:r>
      <w:r w:rsidR="00166CCF">
        <w:rPr>
          <w:b/>
        </w:rPr>
        <w:t>)</w:t>
      </w:r>
      <w:bookmarkEnd w:id="178"/>
    </w:p>
    <w:tbl>
      <w:tblPr>
        <w:tblStyle w:val="TableGrid"/>
        <w:tblW w:w="5000" w:type="pct"/>
        <w:tblLayout w:type="fixed"/>
        <w:tblLook w:val="04A0"/>
      </w:tblPr>
      <w:tblGrid>
        <w:gridCol w:w="5215"/>
        <w:gridCol w:w="1378"/>
        <w:gridCol w:w="1378"/>
        <w:gridCol w:w="1379"/>
      </w:tblGrid>
      <w:tr w14:paraId="6999D85F" w14:textId="77777777" w:rsidTr="004848C7">
        <w:tblPrEx>
          <w:tblW w:w="5000" w:type="pct"/>
          <w:tblLayout w:type="fixed"/>
          <w:tblLook w:val="04A0"/>
        </w:tblPrEx>
        <w:trPr>
          <w:trHeight w:val="216"/>
        </w:trPr>
        <w:tc>
          <w:tcPr>
            <w:tcW w:w="5215" w:type="dxa"/>
            <w:shd w:val="clear" w:color="auto" w:fill="D9D9D9" w:themeFill="background1" w:themeFillShade="D9"/>
            <w:noWrap/>
            <w:hideMark/>
          </w:tcPr>
          <w:p w:rsidR="00AA6CA0" w:rsidRPr="000E6DD7" w:rsidP="00776236" w14:paraId="461692B7" w14:textId="77777777">
            <w:pPr>
              <w:rPr>
                <w:sz w:val="22"/>
                <w:szCs w:val="22"/>
              </w:rPr>
            </w:pPr>
            <w:r w:rsidRPr="001C75C0">
              <w:rPr>
                <w:sz w:val="22"/>
                <w:szCs w:val="22"/>
              </w:rPr>
              <w:t> </w:t>
            </w:r>
          </w:p>
        </w:tc>
        <w:tc>
          <w:tcPr>
            <w:tcW w:w="1378" w:type="dxa"/>
            <w:shd w:val="clear" w:color="auto" w:fill="D9D9D9" w:themeFill="background1" w:themeFillShade="D9"/>
            <w:noWrap/>
            <w:hideMark/>
          </w:tcPr>
          <w:p w:rsidR="00AA6CA0" w:rsidRPr="000E6DD7" w:rsidP="00AC2CB0" w14:paraId="6B075A5C" w14:textId="77777777">
            <w:pPr>
              <w:jc w:val="center"/>
              <w:rPr>
                <w:sz w:val="22"/>
                <w:szCs w:val="22"/>
              </w:rPr>
            </w:pPr>
            <w:r w:rsidRPr="001C75C0">
              <w:rPr>
                <w:b/>
                <w:bCs/>
                <w:sz w:val="22"/>
                <w:szCs w:val="22"/>
              </w:rPr>
              <w:t>5</w:t>
            </w:r>
            <w:r w:rsidRPr="001C75C0">
              <w:rPr>
                <w:b/>
                <w:bCs/>
                <w:sz w:val="22"/>
                <w:szCs w:val="22"/>
                <w:vertAlign w:val="superscript"/>
              </w:rPr>
              <w:t>th</w:t>
            </w:r>
            <w:r w:rsidRPr="001C75C0">
              <w:rPr>
                <w:b/>
                <w:bCs/>
                <w:sz w:val="22"/>
                <w:szCs w:val="22"/>
              </w:rPr>
              <w:t xml:space="preserve"> Percentile</w:t>
            </w:r>
          </w:p>
        </w:tc>
        <w:tc>
          <w:tcPr>
            <w:tcW w:w="1378" w:type="dxa"/>
            <w:shd w:val="clear" w:color="auto" w:fill="D9D9D9" w:themeFill="background1" w:themeFillShade="D9"/>
            <w:vAlign w:val="center"/>
          </w:tcPr>
          <w:p w:rsidR="00AA6CA0" w:rsidRPr="001C75C0" w:rsidP="00A26447" w14:paraId="14225A22" w14:textId="77777777">
            <w:pPr>
              <w:jc w:val="center"/>
              <w:rPr>
                <w:b/>
                <w:bCs/>
                <w:sz w:val="22"/>
                <w:szCs w:val="22"/>
              </w:rPr>
            </w:pPr>
            <w:r w:rsidRPr="001C75C0">
              <w:rPr>
                <w:b/>
                <w:bCs/>
                <w:sz w:val="22"/>
                <w:szCs w:val="22"/>
              </w:rPr>
              <w:t>Mean</w:t>
            </w:r>
          </w:p>
        </w:tc>
        <w:tc>
          <w:tcPr>
            <w:tcW w:w="1379" w:type="dxa"/>
            <w:shd w:val="clear" w:color="auto" w:fill="D9D9D9" w:themeFill="background1" w:themeFillShade="D9"/>
            <w:noWrap/>
            <w:hideMark/>
          </w:tcPr>
          <w:p w:rsidR="00AA6CA0" w:rsidRPr="000E6DD7" w:rsidP="00AC2CB0" w14:paraId="04E8949C" w14:textId="3D162F19">
            <w:pPr>
              <w:jc w:val="center"/>
              <w:rPr>
                <w:sz w:val="22"/>
                <w:szCs w:val="22"/>
              </w:rPr>
            </w:pPr>
            <w:r w:rsidRPr="001C75C0">
              <w:rPr>
                <w:b/>
                <w:bCs/>
                <w:sz w:val="22"/>
                <w:szCs w:val="22"/>
              </w:rPr>
              <w:t>95</w:t>
            </w:r>
            <w:r w:rsidRPr="001C75C0">
              <w:rPr>
                <w:b/>
                <w:bCs/>
                <w:sz w:val="22"/>
                <w:szCs w:val="22"/>
                <w:vertAlign w:val="superscript"/>
              </w:rPr>
              <w:t>th</w:t>
            </w:r>
            <w:r w:rsidRPr="001C75C0">
              <w:rPr>
                <w:b/>
                <w:bCs/>
                <w:sz w:val="22"/>
                <w:szCs w:val="22"/>
              </w:rPr>
              <w:t xml:space="preserve"> Percentile</w:t>
            </w:r>
          </w:p>
        </w:tc>
      </w:tr>
      <w:tr w14:paraId="048BC0E8" w14:textId="77777777" w:rsidTr="004848C7">
        <w:tblPrEx>
          <w:tblW w:w="5000" w:type="pct"/>
          <w:tblLayout w:type="fixed"/>
          <w:tblLook w:val="04A0"/>
        </w:tblPrEx>
        <w:trPr>
          <w:trHeight w:val="216"/>
        </w:trPr>
        <w:tc>
          <w:tcPr>
            <w:tcW w:w="5215" w:type="dxa"/>
            <w:noWrap/>
            <w:hideMark/>
          </w:tcPr>
          <w:p w:rsidR="007E73B3" w:rsidRPr="000E6DD7" w:rsidP="007E73B3" w14:paraId="4E0E9B17" w14:textId="77777777">
            <w:pPr>
              <w:rPr>
                <w:sz w:val="22"/>
                <w:szCs w:val="22"/>
              </w:rPr>
            </w:pPr>
            <w:r w:rsidRPr="000E6DD7">
              <w:rPr>
                <w:sz w:val="22"/>
                <w:szCs w:val="22"/>
              </w:rPr>
              <w:t>Streamlining Inspection Process</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3B3" w:rsidRPr="007E73B3" w:rsidP="007E73B3" w14:paraId="21608E62" w14:textId="713F9262">
            <w:pPr>
              <w:jc w:val="center"/>
              <w:rPr>
                <w:sz w:val="22"/>
                <w:szCs w:val="22"/>
              </w:rPr>
            </w:pPr>
            <w:r w:rsidRPr="000659AD">
              <w:rPr>
                <w:color w:val="000000"/>
                <w:sz w:val="22"/>
                <w:szCs w:val="22"/>
              </w:rPr>
              <w:t>$0.48</w:t>
            </w:r>
          </w:p>
        </w:tc>
        <w:tc>
          <w:tcPr>
            <w:tcW w:w="1378" w:type="dxa"/>
            <w:tcBorders>
              <w:top w:val="single" w:sz="4" w:space="0" w:color="auto"/>
              <w:left w:val="nil"/>
              <w:bottom w:val="single" w:sz="4" w:space="0" w:color="auto"/>
              <w:right w:val="single" w:sz="4" w:space="0" w:color="auto"/>
            </w:tcBorders>
            <w:shd w:val="clear" w:color="auto" w:fill="auto"/>
            <w:vAlign w:val="bottom"/>
          </w:tcPr>
          <w:p w:rsidR="007E73B3" w:rsidRPr="007E73B3" w:rsidP="007E73B3" w14:paraId="104314F4" w14:textId="2EDFB815">
            <w:pPr>
              <w:jc w:val="center"/>
              <w:rPr>
                <w:sz w:val="22"/>
                <w:szCs w:val="22"/>
              </w:rPr>
            </w:pPr>
            <w:r w:rsidRPr="000659AD">
              <w:rPr>
                <w:color w:val="000000"/>
                <w:sz w:val="22"/>
                <w:szCs w:val="22"/>
              </w:rPr>
              <w:t>$1.50</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rsidR="007E73B3" w:rsidRPr="007E73B3" w:rsidP="007E73B3" w14:paraId="788795D3" w14:textId="57A5C87B">
            <w:pPr>
              <w:jc w:val="center"/>
              <w:rPr>
                <w:sz w:val="22"/>
                <w:szCs w:val="22"/>
              </w:rPr>
            </w:pPr>
            <w:r w:rsidRPr="000659AD">
              <w:rPr>
                <w:color w:val="000000"/>
                <w:sz w:val="22"/>
                <w:szCs w:val="22"/>
              </w:rPr>
              <w:t>$2.53</w:t>
            </w:r>
          </w:p>
        </w:tc>
      </w:tr>
      <w:tr w14:paraId="336D22F6" w14:textId="77777777" w:rsidTr="004848C7">
        <w:tblPrEx>
          <w:tblW w:w="5000" w:type="pct"/>
          <w:tblLayout w:type="fixed"/>
          <w:tblLook w:val="04A0"/>
        </w:tblPrEx>
        <w:trPr>
          <w:trHeight w:val="216"/>
        </w:trPr>
        <w:tc>
          <w:tcPr>
            <w:tcW w:w="5215" w:type="dxa"/>
            <w:noWrap/>
            <w:hideMark/>
          </w:tcPr>
          <w:p w:rsidR="007E73B3" w:rsidRPr="000E6DD7" w:rsidP="007E73B3" w14:paraId="00744480" w14:textId="357AB424">
            <w:pPr>
              <w:rPr>
                <w:sz w:val="22"/>
                <w:szCs w:val="22"/>
              </w:rPr>
            </w:pPr>
            <w:r w:rsidRPr="000E6DD7">
              <w:rPr>
                <w:sz w:val="22"/>
                <w:szCs w:val="22"/>
              </w:rPr>
              <w:t xml:space="preserve">Removing </w:t>
            </w:r>
            <w:r>
              <w:rPr>
                <w:sz w:val="22"/>
                <w:szCs w:val="22"/>
              </w:rPr>
              <w:t>First in, first out</w:t>
            </w:r>
            <w:r w:rsidRPr="000E6DD7">
              <w:rPr>
                <w:sz w:val="22"/>
                <w:szCs w:val="22"/>
              </w:rPr>
              <w:t xml:space="preserve"> Requirements</w:t>
            </w:r>
          </w:p>
        </w:tc>
        <w:tc>
          <w:tcPr>
            <w:tcW w:w="1378" w:type="dxa"/>
            <w:tcBorders>
              <w:top w:val="nil"/>
              <w:left w:val="single" w:sz="4" w:space="0" w:color="auto"/>
              <w:bottom w:val="single" w:sz="4" w:space="0" w:color="auto"/>
              <w:right w:val="single" w:sz="4" w:space="0" w:color="auto"/>
            </w:tcBorders>
            <w:shd w:val="clear" w:color="auto" w:fill="auto"/>
            <w:noWrap/>
            <w:vAlign w:val="bottom"/>
            <w:hideMark/>
          </w:tcPr>
          <w:p w:rsidR="007E73B3" w:rsidRPr="007E73B3" w:rsidP="007E73B3" w14:paraId="0774892B" w14:textId="0E090222">
            <w:pPr>
              <w:jc w:val="center"/>
              <w:rPr>
                <w:sz w:val="22"/>
                <w:szCs w:val="22"/>
              </w:rPr>
            </w:pPr>
            <w:r w:rsidRPr="000659AD">
              <w:rPr>
                <w:color w:val="000000"/>
                <w:sz w:val="22"/>
                <w:szCs w:val="22"/>
              </w:rPr>
              <w:t>$0.12</w:t>
            </w:r>
          </w:p>
        </w:tc>
        <w:tc>
          <w:tcPr>
            <w:tcW w:w="1378" w:type="dxa"/>
            <w:tcBorders>
              <w:top w:val="nil"/>
              <w:left w:val="nil"/>
              <w:bottom w:val="single" w:sz="4" w:space="0" w:color="auto"/>
              <w:right w:val="single" w:sz="4" w:space="0" w:color="auto"/>
            </w:tcBorders>
            <w:shd w:val="clear" w:color="auto" w:fill="auto"/>
            <w:vAlign w:val="bottom"/>
          </w:tcPr>
          <w:p w:rsidR="007E73B3" w:rsidRPr="007E73B3" w:rsidP="007E73B3" w14:paraId="1CBEDF9C" w14:textId="0AA397F7">
            <w:pPr>
              <w:jc w:val="center"/>
              <w:rPr>
                <w:sz w:val="22"/>
                <w:szCs w:val="22"/>
              </w:rPr>
            </w:pPr>
            <w:r w:rsidRPr="000659AD">
              <w:rPr>
                <w:color w:val="000000"/>
                <w:sz w:val="22"/>
                <w:szCs w:val="22"/>
              </w:rPr>
              <w:t>$0.37</w:t>
            </w:r>
          </w:p>
        </w:tc>
        <w:tc>
          <w:tcPr>
            <w:tcW w:w="1379" w:type="dxa"/>
            <w:tcBorders>
              <w:top w:val="nil"/>
              <w:left w:val="nil"/>
              <w:bottom w:val="single" w:sz="4" w:space="0" w:color="auto"/>
              <w:right w:val="single" w:sz="4" w:space="0" w:color="auto"/>
            </w:tcBorders>
            <w:shd w:val="clear" w:color="auto" w:fill="auto"/>
            <w:noWrap/>
            <w:vAlign w:val="bottom"/>
            <w:hideMark/>
          </w:tcPr>
          <w:p w:rsidR="007E73B3" w:rsidRPr="007E73B3" w:rsidP="007E73B3" w14:paraId="6195305C" w14:textId="41098864">
            <w:pPr>
              <w:jc w:val="center"/>
              <w:rPr>
                <w:sz w:val="22"/>
                <w:szCs w:val="22"/>
              </w:rPr>
            </w:pPr>
            <w:r w:rsidRPr="000659AD">
              <w:rPr>
                <w:color w:val="000000"/>
                <w:sz w:val="22"/>
                <w:szCs w:val="22"/>
              </w:rPr>
              <w:t>$0.62</w:t>
            </w:r>
          </w:p>
        </w:tc>
      </w:tr>
      <w:tr w14:paraId="5F4C9481" w14:textId="77777777" w:rsidTr="004848C7">
        <w:tblPrEx>
          <w:tblW w:w="5000" w:type="pct"/>
          <w:tblLayout w:type="fixed"/>
          <w:tblLook w:val="04A0"/>
        </w:tblPrEx>
        <w:trPr>
          <w:trHeight w:val="216"/>
        </w:trPr>
        <w:tc>
          <w:tcPr>
            <w:tcW w:w="5215" w:type="dxa"/>
            <w:noWrap/>
            <w:hideMark/>
          </w:tcPr>
          <w:p w:rsidR="007E73B3" w:rsidRPr="000E6DD7" w:rsidP="007E73B3" w14:paraId="7CE2F7F4" w14:textId="0505ABDB">
            <w:pPr>
              <w:rPr>
                <w:sz w:val="22"/>
                <w:szCs w:val="22"/>
              </w:rPr>
            </w:pPr>
            <w:r w:rsidRPr="000E6DD7">
              <w:rPr>
                <w:sz w:val="22"/>
                <w:szCs w:val="22"/>
              </w:rPr>
              <w:t>Allowing Reuse of Labels</w:t>
            </w:r>
          </w:p>
        </w:tc>
        <w:tc>
          <w:tcPr>
            <w:tcW w:w="1378" w:type="dxa"/>
            <w:tcBorders>
              <w:top w:val="nil"/>
              <w:left w:val="single" w:sz="4" w:space="0" w:color="auto"/>
              <w:bottom w:val="single" w:sz="4" w:space="0" w:color="auto"/>
              <w:right w:val="single" w:sz="4" w:space="0" w:color="auto"/>
            </w:tcBorders>
            <w:shd w:val="clear" w:color="auto" w:fill="auto"/>
            <w:noWrap/>
            <w:vAlign w:val="bottom"/>
            <w:hideMark/>
          </w:tcPr>
          <w:p w:rsidR="007E73B3" w:rsidRPr="007E73B3" w:rsidP="007E73B3" w14:paraId="2A4F3B83" w14:textId="25C23DDF">
            <w:pPr>
              <w:jc w:val="center"/>
              <w:rPr>
                <w:sz w:val="22"/>
                <w:szCs w:val="22"/>
              </w:rPr>
            </w:pPr>
            <w:r w:rsidRPr="000659AD">
              <w:rPr>
                <w:color w:val="000000"/>
                <w:sz w:val="22"/>
                <w:szCs w:val="22"/>
              </w:rPr>
              <w:t>$0.01</w:t>
            </w:r>
          </w:p>
        </w:tc>
        <w:tc>
          <w:tcPr>
            <w:tcW w:w="1378" w:type="dxa"/>
            <w:tcBorders>
              <w:top w:val="nil"/>
              <w:left w:val="nil"/>
              <w:bottom w:val="single" w:sz="4" w:space="0" w:color="auto"/>
              <w:right w:val="single" w:sz="4" w:space="0" w:color="auto"/>
            </w:tcBorders>
            <w:shd w:val="clear" w:color="auto" w:fill="auto"/>
            <w:vAlign w:val="bottom"/>
          </w:tcPr>
          <w:p w:rsidR="007E73B3" w:rsidRPr="007E73B3" w:rsidP="007E73B3" w14:paraId="3CAACB69" w14:textId="27CC49D0">
            <w:pPr>
              <w:jc w:val="center"/>
              <w:rPr>
                <w:sz w:val="22"/>
                <w:szCs w:val="22"/>
              </w:rPr>
            </w:pPr>
            <w:r w:rsidRPr="000659AD">
              <w:rPr>
                <w:color w:val="000000"/>
                <w:sz w:val="22"/>
                <w:szCs w:val="22"/>
              </w:rPr>
              <w:t>$0.04</w:t>
            </w:r>
          </w:p>
        </w:tc>
        <w:tc>
          <w:tcPr>
            <w:tcW w:w="1379" w:type="dxa"/>
            <w:tcBorders>
              <w:top w:val="nil"/>
              <w:left w:val="nil"/>
              <w:bottom w:val="single" w:sz="4" w:space="0" w:color="auto"/>
              <w:right w:val="single" w:sz="4" w:space="0" w:color="auto"/>
            </w:tcBorders>
            <w:shd w:val="clear" w:color="auto" w:fill="auto"/>
            <w:noWrap/>
            <w:vAlign w:val="bottom"/>
            <w:hideMark/>
          </w:tcPr>
          <w:p w:rsidR="007E73B3" w:rsidRPr="007E73B3" w:rsidP="007E73B3" w14:paraId="7F4A452C" w14:textId="63387412">
            <w:pPr>
              <w:jc w:val="center"/>
              <w:rPr>
                <w:sz w:val="22"/>
                <w:szCs w:val="22"/>
              </w:rPr>
            </w:pPr>
            <w:r w:rsidRPr="000659AD">
              <w:rPr>
                <w:color w:val="000000"/>
                <w:sz w:val="22"/>
                <w:szCs w:val="22"/>
              </w:rPr>
              <w:t>$0.06</w:t>
            </w:r>
          </w:p>
        </w:tc>
      </w:tr>
      <w:tr w14:paraId="0A948BA3" w14:textId="77777777" w:rsidTr="004848C7">
        <w:tblPrEx>
          <w:tblW w:w="5000" w:type="pct"/>
          <w:tblLayout w:type="fixed"/>
          <w:tblLook w:val="04A0"/>
        </w:tblPrEx>
        <w:trPr>
          <w:trHeight w:val="216"/>
        </w:trPr>
        <w:tc>
          <w:tcPr>
            <w:tcW w:w="5215" w:type="dxa"/>
            <w:noWrap/>
            <w:hideMark/>
          </w:tcPr>
          <w:p w:rsidR="007E73B3" w:rsidRPr="000E6DD7" w:rsidP="007E73B3" w14:paraId="17EA0BE2" w14:textId="050F2BBA">
            <w:pPr>
              <w:rPr>
                <w:sz w:val="22"/>
                <w:szCs w:val="22"/>
              </w:rPr>
            </w:pPr>
            <w:r w:rsidRPr="000E6DD7">
              <w:rPr>
                <w:sz w:val="22"/>
                <w:szCs w:val="22"/>
              </w:rPr>
              <w:t>Flexibility in Curbside Filling Written Permission</w:t>
            </w:r>
          </w:p>
        </w:tc>
        <w:tc>
          <w:tcPr>
            <w:tcW w:w="1378" w:type="dxa"/>
            <w:tcBorders>
              <w:top w:val="nil"/>
              <w:left w:val="single" w:sz="4" w:space="0" w:color="auto"/>
              <w:bottom w:val="single" w:sz="4" w:space="0" w:color="auto"/>
              <w:right w:val="single" w:sz="4" w:space="0" w:color="auto"/>
            </w:tcBorders>
            <w:shd w:val="clear" w:color="auto" w:fill="auto"/>
            <w:noWrap/>
            <w:vAlign w:val="bottom"/>
            <w:hideMark/>
          </w:tcPr>
          <w:p w:rsidR="007E73B3" w:rsidRPr="007E73B3" w:rsidP="007E73B3" w14:paraId="08D6899D" w14:textId="07C9C9A2">
            <w:pPr>
              <w:jc w:val="center"/>
              <w:rPr>
                <w:sz w:val="22"/>
                <w:szCs w:val="22"/>
              </w:rPr>
            </w:pPr>
            <w:r w:rsidRPr="000659AD">
              <w:rPr>
                <w:color w:val="000000"/>
                <w:sz w:val="22"/>
                <w:szCs w:val="22"/>
              </w:rPr>
              <w:t>$0.06</w:t>
            </w:r>
          </w:p>
        </w:tc>
        <w:tc>
          <w:tcPr>
            <w:tcW w:w="1378" w:type="dxa"/>
            <w:tcBorders>
              <w:top w:val="nil"/>
              <w:left w:val="nil"/>
              <w:bottom w:val="single" w:sz="4" w:space="0" w:color="auto"/>
              <w:right w:val="single" w:sz="4" w:space="0" w:color="auto"/>
            </w:tcBorders>
            <w:shd w:val="clear" w:color="auto" w:fill="auto"/>
            <w:vAlign w:val="bottom"/>
          </w:tcPr>
          <w:p w:rsidR="007E73B3" w:rsidRPr="007E73B3" w:rsidP="007E73B3" w14:paraId="2969FB77" w14:textId="6348FF53">
            <w:pPr>
              <w:jc w:val="center"/>
              <w:rPr>
                <w:sz w:val="22"/>
                <w:szCs w:val="22"/>
              </w:rPr>
            </w:pPr>
            <w:r w:rsidRPr="000659AD">
              <w:rPr>
                <w:color w:val="000000"/>
                <w:sz w:val="22"/>
                <w:szCs w:val="22"/>
              </w:rPr>
              <w:t>$0.18</w:t>
            </w:r>
          </w:p>
        </w:tc>
        <w:tc>
          <w:tcPr>
            <w:tcW w:w="1379" w:type="dxa"/>
            <w:tcBorders>
              <w:top w:val="nil"/>
              <w:left w:val="nil"/>
              <w:bottom w:val="single" w:sz="4" w:space="0" w:color="auto"/>
              <w:right w:val="single" w:sz="4" w:space="0" w:color="auto"/>
            </w:tcBorders>
            <w:shd w:val="clear" w:color="auto" w:fill="auto"/>
            <w:noWrap/>
            <w:vAlign w:val="bottom"/>
            <w:hideMark/>
          </w:tcPr>
          <w:p w:rsidR="007E73B3" w:rsidRPr="007E73B3" w:rsidP="007E73B3" w14:paraId="61E0DD3E" w14:textId="02780B31">
            <w:pPr>
              <w:jc w:val="center"/>
              <w:rPr>
                <w:sz w:val="22"/>
                <w:szCs w:val="22"/>
              </w:rPr>
            </w:pPr>
            <w:r w:rsidRPr="000659AD">
              <w:rPr>
                <w:color w:val="000000"/>
                <w:sz w:val="22"/>
                <w:szCs w:val="22"/>
              </w:rPr>
              <w:t>$0.30</w:t>
            </w:r>
          </w:p>
        </w:tc>
      </w:tr>
      <w:tr w14:paraId="4AF38032" w14:textId="77777777" w:rsidTr="004848C7">
        <w:tblPrEx>
          <w:tblW w:w="5000" w:type="pct"/>
          <w:tblLayout w:type="fixed"/>
          <w:tblLook w:val="04A0"/>
        </w:tblPrEx>
        <w:trPr>
          <w:trHeight w:val="216"/>
        </w:trPr>
        <w:tc>
          <w:tcPr>
            <w:tcW w:w="5215" w:type="dxa"/>
            <w:noWrap/>
            <w:hideMark/>
          </w:tcPr>
          <w:p w:rsidR="007E73B3" w:rsidRPr="000E6DD7" w:rsidP="007E73B3" w14:paraId="7FBDA635" w14:textId="3CB372FA">
            <w:pPr>
              <w:rPr>
                <w:sz w:val="22"/>
                <w:szCs w:val="22"/>
              </w:rPr>
            </w:pPr>
            <w:r w:rsidRPr="000E6DD7">
              <w:rPr>
                <w:sz w:val="22"/>
                <w:szCs w:val="22"/>
              </w:rPr>
              <w:t>Gov: Streamlining Inspection Process</w:t>
            </w:r>
          </w:p>
        </w:tc>
        <w:tc>
          <w:tcPr>
            <w:tcW w:w="1378" w:type="dxa"/>
            <w:tcBorders>
              <w:top w:val="nil"/>
              <w:left w:val="single" w:sz="4" w:space="0" w:color="auto"/>
              <w:bottom w:val="single" w:sz="4" w:space="0" w:color="auto"/>
              <w:right w:val="single" w:sz="4" w:space="0" w:color="auto"/>
            </w:tcBorders>
            <w:shd w:val="clear" w:color="auto" w:fill="auto"/>
            <w:noWrap/>
            <w:vAlign w:val="bottom"/>
            <w:hideMark/>
          </w:tcPr>
          <w:p w:rsidR="007E73B3" w:rsidRPr="007E73B3" w:rsidP="007E73B3" w14:paraId="299E2FB9" w14:textId="525209D3">
            <w:pPr>
              <w:jc w:val="center"/>
              <w:rPr>
                <w:sz w:val="22"/>
                <w:szCs w:val="22"/>
              </w:rPr>
            </w:pPr>
            <w:r w:rsidRPr="000659AD">
              <w:rPr>
                <w:color w:val="000000"/>
                <w:sz w:val="22"/>
                <w:szCs w:val="22"/>
              </w:rPr>
              <w:t>$0.4</w:t>
            </w:r>
            <w:r w:rsidR="00513ADB">
              <w:rPr>
                <w:color w:val="000000"/>
                <w:sz w:val="22"/>
                <w:szCs w:val="22"/>
              </w:rPr>
              <w:t>5</w:t>
            </w:r>
          </w:p>
        </w:tc>
        <w:tc>
          <w:tcPr>
            <w:tcW w:w="1378" w:type="dxa"/>
            <w:tcBorders>
              <w:top w:val="nil"/>
              <w:left w:val="nil"/>
              <w:bottom w:val="single" w:sz="4" w:space="0" w:color="auto"/>
              <w:right w:val="single" w:sz="4" w:space="0" w:color="auto"/>
            </w:tcBorders>
            <w:shd w:val="clear" w:color="auto" w:fill="auto"/>
            <w:vAlign w:val="bottom"/>
          </w:tcPr>
          <w:p w:rsidR="007E73B3" w:rsidRPr="007E73B3" w:rsidP="007E73B3" w14:paraId="34999869" w14:textId="304FD83F">
            <w:pPr>
              <w:jc w:val="center"/>
              <w:rPr>
                <w:sz w:val="22"/>
                <w:szCs w:val="22"/>
              </w:rPr>
            </w:pPr>
            <w:r w:rsidRPr="000659AD">
              <w:rPr>
                <w:color w:val="000000"/>
                <w:sz w:val="22"/>
                <w:szCs w:val="22"/>
              </w:rPr>
              <w:t>$1.4</w:t>
            </w:r>
            <w:r w:rsidR="00513ADB">
              <w:rPr>
                <w:color w:val="000000"/>
                <w:sz w:val="22"/>
                <w:szCs w:val="22"/>
              </w:rPr>
              <w:t>2</w:t>
            </w:r>
          </w:p>
        </w:tc>
        <w:tc>
          <w:tcPr>
            <w:tcW w:w="1379" w:type="dxa"/>
            <w:tcBorders>
              <w:top w:val="nil"/>
              <w:left w:val="nil"/>
              <w:bottom w:val="single" w:sz="4" w:space="0" w:color="auto"/>
              <w:right w:val="single" w:sz="4" w:space="0" w:color="auto"/>
            </w:tcBorders>
            <w:shd w:val="clear" w:color="auto" w:fill="auto"/>
            <w:noWrap/>
            <w:vAlign w:val="bottom"/>
            <w:hideMark/>
          </w:tcPr>
          <w:p w:rsidR="007E73B3" w:rsidRPr="007E73B3" w:rsidP="007E73B3" w14:paraId="0378C393" w14:textId="0227A548">
            <w:pPr>
              <w:jc w:val="center"/>
              <w:rPr>
                <w:sz w:val="22"/>
                <w:szCs w:val="22"/>
              </w:rPr>
            </w:pPr>
            <w:r w:rsidRPr="000659AD">
              <w:rPr>
                <w:color w:val="000000"/>
                <w:sz w:val="22"/>
                <w:szCs w:val="22"/>
              </w:rPr>
              <w:t>$2.3</w:t>
            </w:r>
            <w:r w:rsidR="00513ADB">
              <w:rPr>
                <w:color w:val="000000"/>
                <w:sz w:val="22"/>
                <w:szCs w:val="22"/>
              </w:rPr>
              <w:t>9</w:t>
            </w:r>
          </w:p>
        </w:tc>
      </w:tr>
      <w:tr w14:paraId="17E9FA47" w14:textId="77777777" w:rsidTr="004848C7">
        <w:tblPrEx>
          <w:tblW w:w="5000" w:type="pct"/>
          <w:tblLayout w:type="fixed"/>
          <w:tblLook w:val="04A0"/>
        </w:tblPrEx>
        <w:trPr>
          <w:trHeight w:val="216"/>
        </w:trPr>
        <w:tc>
          <w:tcPr>
            <w:tcW w:w="5215" w:type="dxa"/>
            <w:shd w:val="clear" w:color="auto" w:fill="D9D9D9" w:themeFill="background1" w:themeFillShade="D9"/>
            <w:noWrap/>
            <w:hideMark/>
          </w:tcPr>
          <w:p w:rsidR="00E271F4" w:rsidRPr="000E6DD7" w:rsidP="00B91B35" w14:paraId="7A89D4EE" w14:textId="34C52A8B">
            <w:pPr>
              <w:rPr>
                <w:sz w:val="22"/>
                <w:szCs w:val="22"/>
              </w:rPr>
            </w:pPr>
            <w:r w:rsidRPr="003B7206">
              <w:rPr>
                <w:b/>
                <w:bCs/>
                <w:sz w:val="22"/>
                <w:szCs w:val="22"/>
              </w:rPr>
              <w:t>Total Cost Savings</w:t>
            </w:r>
          </w:p>
        </w:tc>
        <w:tc>
          <w:tcPr>
            <w:tcW w:w="137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1F4" w:rsidRPr="00B91B35" w:rsidP="00AC2CB0" w14:paraId="14BA9557" w14:textId="0AFDE2C7">
            <w:pPr>
              <w:jc w:val="center"/>
              <w:rPr>
                <w:sz w:val="22"/>
                <w:szCs w:val="22"/>
              </w:rPr>
            </w:pPr>
          </w:p>
        </w:tc>
        <w:tc>
          <w:tcPr>
            <w:tcW w:w="1378" w:type="dxa"/>
            <w:tcBorders>
              <w:top w:val="nil"/>
              <w:left w:val="nil"/>
              <w:bottom w:val="single" w:sz="4" w:space="0" w:color="auto"/>
              <w:right w:val="single" w:sz="4" w:space="0" w:color="auto"/>
            </w:tcBorders>
            <w:shd w:val="clear" w:color="auto" w:fill="D9D9D9" w:themeFill="background1" w:themeFillShade="D9"/>
            <w:vAlign w:val="bottom"/>
          </w:tcPr>
          <w:p w:rsidR="00E271F4" w:rsidRPr="00B91B35" w:rsidP="00AC2CB0" w14:paraId="54FFED37" w14:textId="48F19C52">
            <w:pPr>
              <w:jc w:val="center"/>
              <w:rPr>
                <w:sz w:val="22"/>
                <w:szCs w:val="22"/>
              </w:rPr>
            </w:pPr>
          </w:p>
        </w:tc>
        <w:tc>
          <w:tcPr>
            <w:tcW w:w="1379" w:type="dxa"/>
            <w:tcBorders>
              <w:top w:val="nil"/>
              <w:left w:val="nil"/>
              <w:bottom w:val="single" w:sz="4" w:space="0" w:color="auto"/>
              <w:right w:val="single" w:sz="4" w:space="0" w:color="auto"/>
            </w:tcBorders>
            <w:shd w:val="clear" w:color="auto" w:fill="D9D9D9" w:themeFill="background1" w:themeFillShade="D9"/>
            <w:noWrap/>
            <w:vAlign w:val="bottom"/>
            <w:hideMark/>
          </w:tcPr>
          <w:p w:rsidR="00E271F4" w:rsidRPr="00B91B35" w:rsidP="00AC2CB0" w14:paraId="793C432C" w14:textId="3AD36894">
            <w:pPr>
              <w:jc w:val="center"/>
              <w:rPr>
                <w:sz w:val="22"/>
                <w:szCs w:val="22"/>
              </w:rPr>
            </w:pPr>
          </w:p>
        </w:tc>
      </w:tr>
      <w:tr w14:paraId="07BC4C83" w14:textId="77777777" w:rsidTr="004848C7">
        <w:tblPrEx>
          <w:tblW w:w="5000" w:type="pct"/>
          <w:tblLayout w:type="fixed"/>
          <w:tblLook w:val="04A0"/>
        </w:tblPrEx>
        <w:trPr>
          <w:trHeight w:val="216"/>
        </w:trPr>
        <w:tc>
          <w:tcPr>
            <w:tcW w:w="5215" w:type="dxa"/>
            <w:noWrap/>
          </w:tcPr>
          <w:p w:rsidR="00217852" w:rsidRPr="003B7206" w:rsidP="00217852" w14:paraId="36BF7080" w14:textId="5B5FD932">
            <w:pPr>
              <w:rPr>
                <w:b/>
                <w:bCs/>
                <w:sz w:val="22"/>
                <w:szCs w:val="22"/>
              </w:rPr>
            </w:pPr>
            <w:r w:rsidRPr="00700D65">
              <w:rPr>
                <w:sz w:val="22"/>
                <w:szCs w:val="22"/>
              </w:rPr>
              <w:t>Total Cost Savings</w:t>
            </w:r>
          </w:p>
        </w:tc>
        <w:tc>
          <w:tcPr>
            <w:tcW w:w="1378" w:type="dxa"/>
            <w:tcBorders>
              <w:top w:val="nil"/>
              <w:left w:val="single" w:sz="4" w:space="0" w:color="auto"/>
              <w:bottom w:val="single" w:sz="4" w:space="0" w:color="auto"/>
              <w:right w:val="single" w:sz="4" w:space="0" w:color="auto"/>
            </w:tcBorders>
            <w:shd w:val="clear" w:color="000000" w:fill="FFFFFF"/>
            <w:noWrap/>
            <w:vAlign w:val="bottom"/>
          </w:tcPr>
          <w:p w:rsidR="00217852" w:rsidRPr="00217852" w:rsidP="00217852" w14:paraId="694BBDF5" w14:textId="45FC7E11">
            <w:pPr>
              <w:jc w:val="center"/>
              <w:rPr>
                <w:b/>
                <w:bCs/>
                <w:color w:val="000000"/>
                <w:sz w:val="22"/>
                <w:szCs w:val="22"/>
              </w:rPr>
            </w:pPr>
            <w:r w:rsidRPr="000659AD">
              <w:rPr>
                <w:color w:val="000000"/>
                <w:sz w:val="22"/>
                <w:szCs w:val="22"/>
              </w:rPr>
              <w:t>$1.1</w:t>
            </w:r>
            <w:r w:rsidR="00513ADB">
              <w:rPr>
                <w:color w:val="000000"/>
                <w:sz w:val="22"/>
                <w:szCs w:val="22"/>
              </w:rPr>
              <w:t>1</w:t>
            </w:r>
          </w:p>
        </w:tc>
        <w:tc>
          <w:tcPr>
            <w:tcW w:w="1378" w:type="dxa"/>
            <w:tcBorders>
              <w:top w:val="nil"/>
              <w:left w:val="nil"/>
              <w:bottom w:val="single" w:sz="4" w:space="0" w:color="auto"/>
              <w:right w:val="single" w:sz="4" w:space="0" w:color="auto"/>
            </w:tcBorders>
            <w:shd w:val="clear" w:color="000000" w:fill="FFFFFF"/>
            <w:vAlign w:val="bottom"/>
          </w:tcPr>
          <w:p w:rsidR="00217852" w:rsidRPr="00217852" w:rsidP="00217852" w14:paraId="19C34995" w14:textId="027D33E4">
            <w:pPr>
              <w:jc w:val="center"/>
              <w:rPr>
                <w:b/>
                <w:bCs/>
                <w:color w:val="000000"/>
                <w:sz w:val="22"/>
                <w:szCs w:val="22"/>
              </w:rPr>
            </w:pPr>
            <w:r w:rsidRPr="000659AD">
              <w:rPr>
                <w:color w:val="000000"/>
                <w:sz w:val="22"/>
                <w:szCs w:val="22"/>
              </w:rPr>
              <w:t>$3.</w:t>
            </w:r>
            <w:r w:rsidR="00513ADB">
              <w:rPr>
                <w:color w:val="000000"/>
                <w:sz w:val="22"/>
                <w:szCs w:val="22"/>
              </w:rPr>
              <w:t>51</w:t>
            </w:r>
          </w:p>
        </w:tc>
        <w:tc>
          <w:tcPr>
            <w:tcW w:w="1379" w:type="dxa"/>
            <w:tcBorders>
              <w:top w:val="nil"/>
              <w:left w:val="nil"/>
              <w:bottom w:val="single" w:sz="4" w:space="0" w:color="auto"/>
              <w:right w:val="single" w:sz="4" w:space="0" w:color="auto"/>
            </w:tcBorders>
            <w:shd w:val="clear" w:color="000000" w:fill="FFFFFF"/>
            <w:noWrap/>
            <w:vAlign w:val="bottom"/>
          </w:tcPr>
          <w:p w:rsidR="00217852" w:rsidRPr="00217852" w:rsidP="00217852" w14:paraId="73EA89FB" w14:textId="183C508D">
            <w:pPr>
              <w:jc w:val="center"/>
              <w:rPr>
                <w:b/>
                <w:bCs/>
                <w:color w:val="000000"/>
                <w:sz w:val="22"/>
                <w:szCs w:val="22"/>
              </w:rPr>
            </w:pPr>
            <w:r w:rsidRPr="000659AD">
              <w:rPr>
                <w:color w:val="000000"/>
                <w:sz w:val="22"/>
                <w:szCs w:val="22"/>
              </w:rPr>
              <w:t>$5.</w:t>
            </w:r>
            <w:r w:rsidR="00513ADB">
              <w:rPr>
                <w:color w:val="000000"/>
                <w:sz w:val="22"/>
                <w:szCs w:val="22"/>
              </w:rPr>
              <w:t>91</w:t>
            </w:r>
          </w:p>
        </w:tc>
      </w:tr>
    </w:tbl>
    <w:p w:rsidR="00AA6CA0" w:rsidP="005532BC" w14:paraId="41E84EC6" w14:textId="77777777">
      <w:pPr>
        <w:rPr>
          <w:rStyle w:val="CommentReference"/>
          <w:sz w:val="24"/>
          <w:szCs w:val="24"/>
        </w:rPr>
      </w:pPr>
    </w:p>
    <w:p w:rsidR="00AA6CA0" w:rsidRPr="00F70002" w:rsidP="005532BC" w14:paraId="797EC7F3" w14:textId="77777777">
      <w:pPr>
        <w:rPr>
          <w:sz w:val="22"/>
          <w:szCs w:val="22"/>
        </w:rPr>
      </w:pPr>
    </w:p>
    <w:p w:rsidR="00F47D86" w:rsidP="00F47D86" w14:paraId="522811B2" w14:textId="34976DBE">
      <w:pPr>
        <w:pStyle w:val="Heading2"/>
      </w:pPr>
      <w:bookmarkStart w:id="179" w:name="_Toc148515753"/>
      <w:r>
        <w:t>Distributional Effects</w:t>
      </w:r>
      <w:bookmarkEnd w:id="179"/>
    </w:p>
    <w:p w:rsidR="00A21CB7" w:rsidP="00F47D86" w14:paraId="68518DDA" w14:textId="77777777">
      <w:r>
        <w:tab/>
      </w:r>
    </w:p>
    <w:p w:rsidR="00A21CB7" w:rsidP="004E4BB8" w14:paraId="3DE00AE0" w14:textId="32141CD4">
      <w:pPr>
        <w:ind w:firstLine="720"/>
      </w:pPr>
      <w:r>
        <w:t xml:space="preserve">We do not expect significant distributional effects </w:t>
      </w:r>
      <w:r w:rsidR="00527988">
        <w:t xml:space="preserve">across income groups, ethnic groups, geographical regions, gender, or age groups. We do not anticipate any major transfer payments as a result of this </w:t>
      </w:r>
      <w:r w:rsidR="00627A01">
        <w:t>final</w:t>
      </w:r>
      <w:r w:rsidR="00527988">
        <w:t xml:space="preserve"> rule. This rule </w:t>
      </w:r>
      <w:r w:rsidR="001940B0">
        <w:t>will</w:t>
      </w:r>
      <w:r w:rsidR="0066229A">
        <w:t xml:space="preserve"> </w:t>
      </w:r>
      <w:r w:rsidR="00E839CA">
        <w:t xml:space="preserve">affect </w:t>
      </w:r>
      <w:r w:rsidR="00E52A61">
        <w:t xml:space="preserve">facilities </w:t>
      </w:r>
      <w:r w:rsidR="00527988">
        <w:t xml:space="preserve">within </w:t>
      </w:r>
      <w:r w:rsidR="0046627D">
        <w:t xml:space="preserve">each </w:t>
      </w:r>
      <w:r w:rsidR="00527988">
        <w:t xml:space="preserve">entity type (manufacturer, downstream </w:t>
      </w:r>
      <w:r w:rsidR="00AF34F3">
        <w:t xml:space="preserve">person or </w:t>
      </w:r>
      <w:r w:rsidR="00527988">
        <w:t>entity</w:t>
      </w:r>
      <w:r w:rsidR="00AF34F3">
        <w:t xml:space="preserve"> (not engaged in homecare), and downstream person or entity (engaged in homecare)</w:t>
      </w:r>
      <w:r w:rsidR="00527988">
        <w:t>) proportionally</w:t>
      </w:r>
      <w:r w:rsidR="0046627D">
        <w:t>.</w:t>
      </w:r>
      <w:r w:rsidR="00527988">
        <w:t xml:space="preserve"> </w:t>
      </w:r>
    </w:p>
    <w:p w:rsidR="00F47D86" w:rsidP="00F47D86" w14:paraId="37A9C23F" w14:textId="77777777"/>
    <w:p w:rsidR="00F47D86" w:rsidP="00F47D86" w14:paraId="068DC52E" w14:textId="5EDE53F2">
      <w:pPr>
        <w:pStyle w:val="Heading2"/>
      </w:pPr>
      <w:bookmarkStart w:id="180" w:name="_Toc148515754"/>
      <w:r>
        <w:t>International Effects</w:t>
      </w:r>
      <w:bookmarkEnd w:id="180"/>
    </w:p>
    <w:p w:rsidR="007104E8" w:rsidP="007104E8" w14:paraId="4F850D87" w14:textId="77777777"/>
    <w:p w:rsidR="00C3655F" w:rsidP="004E4BB8" w14:paraId="1457539D" w14:textId="49D92C67">
      <w:pPr>
        <w:ind w:firstLine="720"/>
      </w:pPr>
      <w:r>
        <w:t xml:space="preserve">The requirements </w:t>
      </w:r>
      <w:r w:rsidR="007104E8">
        <w:t xml:space="preserve">of the </w:t>
      </w:r>
      <w:r w:rsidR="00627A01">
        <w:t>final</w:t>
      </w:r>
      <w:r w:rsidR="007104E8">
        <w:t xml:space="preserve"> rule are the same for domestic and foreign facilities. Further, we believe that </w:t>
      </w:r>
      <w:r w:rsidR="00E839CA">
        <w:t xml:space="preserve">very </w:t>
      </w:r>
      <w:r w:rsidR="001E5336">
        <w:t>few</w:t>
      </w:r>
      <w:r w:rsidR="007104E8">
        <w:t xml:space="preserve"> downstream entities or manufacture</w:t>
      </w:r>
      <w:r w:rsidR="000E78D0">
        <w:t>r</w:t>
      </w:r>
      <w:r w:rsidR="007104E8">
        <w:t>s are foreign facilities</w:t>
      </w:r>
      <w:r w:rsidR="00FF7538">
        <w:t xml:space="preserve">. ERG (Ref. </w:t>
      </w:r>
      <w:r w:rsidR="00BB2E72">
        <w:t>2</w:t>
      </w:r>
      <w:r w:rsidR="00FF7538">
        <w:t>) identified two foreign owned firms and eleven U.S.</w:t>
      </w:r>
      <w:r>
        <w:t xml:space="preserve"> facilities</w:t>
      </w:r>
      <w:r w:rsidR="00FF7538">
        <w:t xml:space="preserve"> owned by foreign parent firms (ERG Table 2-9).</w:t>
      </w:r>
      <w:r w:rsidR="007104E8">
        <w:t xml:space="preserve"> </w:t>
      </w:r>
      <w:r w:rsidR="00FF7538">
        <w:t>W</w:t>
      </w:r>
      <w:r w:rsidR="007104E8">
        <w:t>e do not believe this</w:t>
      </w:r>
      <w:r w:rsidR="0066229A">
        <w:t xml:space="preserve"> </w:t>
      </w:r>
      <w:r w:rsidR="007104E8">
        <w:t xml:space="preserve">rule </w:t>
      </w:r>
      <w:r w:rsidR="001940B0">
        <w:t>will</w:t>
      </w:r>
      <w:r w:rsidR="007104E8">
        <w:t xml:space="preserve"> impose </w:t>
      </w:r>
      <w:r w:rsidR="001E5336">
        <w:t>significant</w:t>
      </w:r>
      <w:r w:rsidR="007104E8">
        <w:t xml:space="preserve"> costs on foreign facilities.</w:t>
      </w:r>
      <w:r w:rsidR="007E1832">
        <w:t xml:space="preserve"> </w:t>
      </w:r>
    </w:p>
    <w:p w:rsidR="007708FF" w14:paraId="126C937E" w14:textId="77777777">
      <w:pPr>
        <w:ind w:firstLine="720"/>
      </w:pPr>
    </w:p>
    <w:p w:rsidR="004D17FC" w:rsidRPr="004D17FC" w:rsidP="000F4998" w14:paraId="7F3AEA10" w14:textId="071C2E6E">
      <w:pPr>
        <w:pStyle w:val="Heading2"/>
      </w:pPr>
      <w:bookmarkStart w:id="181" w:name="_Toc148515755"/>
      <w:r>
        <w:t>Sensitivity Analysis</w:t>
      </w:r>
      <w:bookmarkEnd w:id="181"/>
    </w:p>
    <w:p w:rsidR="00E54609" w:rsidP="00E54609" w14:paraId="399F0E42" w14:textId="77777777"/>
    <w:p w:rsidR="00E54609" w:rsidP="00E54609" w14:paraId="172FB7AB" w14:textId="0E1A35CE">
      <w:pPr>
        <w:ind w:firstLine="720"/>
      </w:pPr>
      <w:r w:rsidRPr="00AC2CB0">
        <w:t>Our anal</w:t>
      </w:r>
      <w:r>
        <w:t>ysis assumes that it is industry practice for downstream entities to verify and record upon receipt of a DMG that the shipment contains a signed certificate of analysis (COA) from the supplier.</w:t>
      </w:r>
      <w:r>
        <w:rPr>
          <w:rStyle w:val="FootnoteReference"/>
        </w:rPr>
        <w:footnoteReference w:id="25"/>
      </w:r>
      <w:r>
        <w:t xml:space="preserve"> </w:t>
      </w:r>
      <w:r w:rsidR="00AE3323">
        <w:t xml:space="preserve">Here we </w:t>
      </w:r>
      <w:r w:rsidR="00FC10DD">
        <w:t>quantitatively</w:t>
      </w:r>
      <w:r w:rsidR="00AE3323">
        <w:t xml:space="preserve"> explore the cost </w:t>
      </w:r>
      <w:r w:rsidR="00FC10DD">
        <w:t xml:space="preserve">if 10 percent, 50 percent, or 100 percent of downstream entities </w:t>
      </w:r>
      <w:r w:rsidR="00336C3A">
        <w:t>are not</w:t>
      </w:r>
      <w:r w:rsidR="00FC10DD">
        <w:t xml:space="preserve"> </w:t>
      </w:r>
      <w:r w:rsidR="007F1F3C">
        <w:t xml:space="preserve">currently </w:t>
      </w:r>
      <w:r w:rsidR="00FC10DD">
        <w:t>verify</w:t>
      </w:r>
      <w:r w:rsidR="00336C3A">
        <w:t>ing</w:t>
      </w:r>
      <w:r w:rsidR="00FC10DD">
        <w:t xml:space="preserve"> and record</w:t>
      </w:r>
      <w:r w:rsidR="00336C3A">
        <w:t>ing</w:t>
      </w:r>
      <w:r w:rsidR="00FC10DD">
        <w:t xml:space="preserve"> that the shipment contains a signed COA.</w:t>
      </w:r>
    </w:p>
    <w:p w:rsidR="00FC10DD" w:rsidP="00E54609" w14:paraId="5870F8C3" w14:textId="698D5899">
      <w:pPr>
        <w:ind w:firstLine="720"/>
      </w:pPr>
      <w:r>
        <w:t xml:space="preserve">SMEs estimate it will take approximately 15 minutes per shipment to verify and record the shipment contains a COA. Further SMEs </w:t>
      </w:r>
      <w:r w:rsidR="00336C3A">
        <w:t>estimated a representative scenario where an average</w:t>
      </w:r>
      <w:r>
        <w:t xml:space="preserve"> downstream entity receives 417 shipments (daily </w:t>
      </w:r>
      <w:r w:rsidR="00336C3A">
        <w:t>nitrogen</w:t>
      </w:r>
      <w:r>
        <w:t xml:space="preserve"> shipments and weekly </w:t>
      </w:r>
      <w:r w:rsidR="00336C3A">
        <w:t>oxygen</w:t>
      </w:r>
      <w:r>
        <w:t xml:space="preserve"> shipments) per year.</w:t>
      </w:r>
      <w:r w:rsidR="00336C3A">
        <w:t xml:space="preserve"> The ERG report estimates there are 1,380 downstream entities that we believe </w:t>
      </w:r>
      <w:r w:rsidR="001940B0">
        <w:t>will</w:t>
      </w:r>
      <w:r w:rsidR="00336C3A">
        <w:t xml:space="preserve"> need to verify and record shipments of DMGs contain a signed COA. We use the </w:t>
      </w:r>
      <w:r w:rsidR="003153D7">
        <w:t>2022</w:t>
      </w:r>
      <w:r w:rsidR="00336C3A">
        <w:t xml:space="preserve"> wage rate for Helpers and double it</w:t>
      </w:r>
      <w:r w:rsidRPr="00311C21" w:rsidR="00336C3A">
        <w:t xml:space="preserve"> for a </w:t>
      </w:r>
      <w:r w:rsidR="00336C3A">
        <w:t>fully-loaded</w:t>
      </w:r>
      <w:r w:rsidRPr="00311C21" w:rsidR="00336C3A">
        <w:t xml:space="preserve"> wage rate of $</w:t>
      </w:r>
      <w:r w:rsidR="0036110B">
        <w:t>37.02</w:t>
      </w:r>
      <w:r w:rsidRPr="00311C21" w:rsidR="00336C3A">
        <w:t>.</w:t>
      </w:r>
    </w:p>
    <w:p w:rsidR="00E54609" w:rsidP="00A76F94" w14:paraId="22FBCF34" w14:textId="0E6B6093">
      <w:pPr>
        <w:ind w:firstLine="720"/>
      </w:pPr>
      <w:r>
        <w:t>The annual cost of verifying and recording shipments contain a signed COA per downstream entity is $</w:t>
      </w:r>
      <w:r w:rsidR="00D350EB">
        <w:t>3,</w:t>
      </w:r>
      <w:r w:rsidR="00811BF5">
        <w:t>859.34</w:t>
      </w:r>
      <w:r>
        <w:t xml:space="preserve"> (417 shipments x .25 hours per shipment x $</w:t>
      </w:r>
      <w:r w:rsidR="0036110B">
        <w:t>37.02</w:t>
      </w:r>
      <w:r>
        <w:t xml:space="preserve"> </w:t>
      </w:r>
      <w:r w:rsidR="007B12D8">
        <w:t>H</w:t>
      </w:r>
      <w:r>
        <w:t xml:space="preserve">elper wage rate). Assuming 10 percent, 50 percent, and 100 percent of downstream entities are not currently verifying that a shipment contains a signed COA, the additional annual cost of this requirement </w:t>
      </w:r>
      <w:r w:rsidR="006C59E8">
        <w:t>will</w:t>
      </w:r>
      <w:r>
        <w:t xml:space="preserve"> be $0.</w:t>
      </w:r>
      <w:r w:rsidR="002D5FEE">
        <w:t>53</w:t>
      </w:r>
      <w:r>
        <w:t xml:space="preserve"> million, $2.</w:t>
      </w:r>
      <w:r w:rsidR="002D5FEE">
        <w:t>66</w:t>
      </w:r>
      <w:r>
        <w:t xml:space="preserve"> million, or $</w:t>
      </w:r>
      <w:r w:rsidR="00811BF5">
        <w:t>5.33</w:t>
      </w:r>
      <w:r>
        <w:t xml:space="preserve"> million</w:t>
      </w:r>
      <w:r w:rsidR="00BE7D56">
        <w:t>,</w:t>
      </w:r>
      <w:r>
        <w:t xml:space="preserve"> respectively. </w:t>
      </w:r>
    </w:p>
    <w:p w:rsidR="00E54609" w:rsidRPr="00AC2CB0" w:rsidP="00AC2CB0" w14:paraId="4C9B36E4" w14:textId="77777777">
      <w:pPr>
        <w:ind w:firstLine="720"/>
      </w:pPr>
    </w:p>
    <w:p w:rsidR="00975123" w:rsidP="00F70002" w14:paraId="0A903BD6" w14:textId="7C2BF434">
      <w:pPr>
        <w:pStyle w:val="Heading2"/>
      </w:pPr>
      <w:bookmarkStart w:id="182" w:name="_Toc148515756"/>
      <w:r w:rsidRPr="00F70002">
        <w:t>Analysis of Regulatory Alternatives to the Rule</w:t>
      </w:r>
      <w:bookmarkStart w:id="183" w:name="_Toc43984347"/>
      <w:bookmarkStart w:id="184" w:name="_Toc43984348"/>
      <w:bookmarkEnd w:id="182"/>
      <w:bookmarkEnd w:id="183"/>
      <w:bookmarkEnd w:id="184"/>
    </w:p>
    <w:p w:rsidR="00DA1792" w14:paraId="11EF57B1" w14:textId="4AED97E5">
      <w:pPr>
        <w:rPr>
          <w:sz w:val="22"/>
          <w:szCs w:val="22"/>
        </w:rPr>
      </w:pPr>
      <w:r>
        <w:rPr>
          <w:sz w:val="22"/>
          <w:szCs w:val="22"/>
        </w:rPr>
        <w:tab/>
      </w:r>
    </w:p>
    <w:p w:rsidR="00E20F93" w:rsidP="00E20F93" w14:paraId="17E91B03" w14:textId="2AE6E2AB">
      <w:pPr>
        <w:pStyle w:val="Heading3"/>
        <w:numPr>
          <w:ilvl w:val="0"/>
          <w:numId w:val="57"/>
        </w:numPr>
      </w:pPr>
      <w:bookmarkStart w:id="185" w:name="_Toc148515757"/>
      <w:r>
        <w:t xml:space="preserve">Delayed </w:t>
      </w:r>
      <w:r w:rsidR="00EF0113">
        <w:t xml:space="preserve">Effective </w:t>
      </w:r>
      <w:r>
        <w:t>Date for Working Gauge</w:t>
      </w:r>
      <w:bookmarkEnd w:id="185"/>
    </w:p>
    <w:p w:rsidR="008C74D5" w:rsidP="00BA3983" w14:paraId="5DEF99A9" w14:textId="77777777">
      <w:pPr>
        <w:ind w:firstLine="720"/>
      </w:pPr>
    </w:p>
    <w:p w:rsidR="00A76A7D" w:rsidP="00BA3983" w14:paraId="0155A80F" w14:textId="2401F712">
      <w:pPr>
        <w:ind w:firstLine="720"/>
      </w:pPr>
      <w:r w:rsidRPr="007C6BD7">
        <w:t xml:space="preserve">Except for the provisions </w:t>
      </w:r>
      <w:r w:rsidRPr="007C6BD7" w:rsidR="00E6781D">
        <w:t>that amend</w:t>
      </w:r>
      <w:r w:rsidRPr="007C6BD7">
        <w:t xml:space="preserve"> 21 CFR </w:t>
      </w:r>
      <w:r w:rsidRPr="007C6BD7" w:rsidR="00E6781D">
        <w:t>p</w:t>
      </w:r>
      <w:r w:rsidRPr="007C6BD7">
        <w:t>art 4,</w:t>
      </w:r>
      <w:r>
        <w:t xml:space="preserve"> t</w:t>
      </w:r>
      <w:r w:rsidR="00BA3983">
        <w:t xml:space="preserve">his </w:t>
      </w:r>
      <w:r w:rsidR="00627A01">
        <w:t>final</w:t>
      </w:r>
      <w:r w:rsidR="00BA3983">
        <w:t xml:space="preserve"> rule </w:t>
      </w:r>
      <w:r w:rsidR="001940B0">
        <w:t>will</w:t>
      </w:r>
      <w:r w:rsidR="00BA3983">
        <w:t xml:space="preserve"> have a </w:t>
      </w:r>
      <w:r w:rsidR="009C3E86">
        <w:t>one</w:t>
      </w:r>
      <w:r w:rsidR="0076530F">
        <w:t>-</w:t>
      </w:r>
      <w:r w:rsidR="009C3E86">
        <w:t>and</w:t>
      </w:r>
      <w:r w:rsidR="0076530F">
        <w:t>-</w:t>
      </w:r>
      <w:r w:rsidR="009C3E86">
        <w:t>a</w:t>
      </w:r>
      <w:r w:rsidR="0076530F">
        <w:t>-</w:t>
      </w:r>
      <w:r w:rsidR="009C3E86">
        <w:t>hal</w:t>
      </w:r>
      <w:r w:rsidR="00462093">
        <w:t>f</w:t>
      </w:r>
      <w:r w:rsidR="0076530F">
        <w:t>-</w:t>
      </w:r>
      <w:r w:rsidR="00BA3983">
        <w:t xml:space="preserve">year </w:t>
      </w:r>
      <w:r w:rsidR="00EF0113">
        <w:t xml:space="preserve">effective </w:t>
      </w:r>
      <w:r w:rsidR="00BA3983">
        <w:t xml:space="preserve">date. We believe that with the </w:t>
      </w:r>
      <w:r w:rsidR="00F6242F">
        <w:t>one-and-a-half</w:t>
      </w:r>
      <w:r w:rsidR="00793465">
        <w:t>-</w:t>
      </w:r>
      <w:r w:rsidR="00BA3983">
        <w:t xml:space="preserve">year </w:t>
      </w:r>
      <w:r w:rsidR="00EF0113">
        <w:t xml:space="preserve">effective </w:t>
      </w:r>
      <w:r w:rsidR="00BA3983">
        <w:t>date</w:t>
      </w:r>
      <w:r w:rsidR="00BE7D56">
        <w:t>,</w:t>
      </w:r>
      <w:r w:rsidR="00BA3983">
        <w:t xml:space="preserve"> between </w:t>
      </w:r>
      <w:r w:rsidR="00730EF5">
        <w:t>1</w:t>
      </w:r>
      <w:r w:rsidR="00052CC6">
        <w:t>8</w:t>
      </w:r>
      <w:r w:rsidR="00BA3983">
        <w:t xml:space="preserve"> percent and </w:t>
      </w:r>
      <w:r w:rsidR="00052CC6">
        <w:t>50</w:t>
      </w:r>
      <w:r w:rsidR="00BA3983">
        <w:t xml:space="preserve"> percent of working gauges </w:t>
      </w:r>
      <w:r w:rsidR="001940B0">
        <w:t>will</w:t>
      </w:r>
      <w:r w:rsidR="00BA3983">
        <w:t xml:space="preserve"> have to be replaced. If we extended the </w:t>
      </w:r>
      <w:r w:rsidR="00EF0113">
        <w:t xml:space="preserve">effective </w:t>
      </w:r>
      <w:r w:rsidR="00BA3983">
        <w:t xml:space="preserve">date for working gauges to a </w:t>
      </w:r>
      <w:r w:rsidR="005E5FFB">
        <w:t>three</w:t>
      </w:r>
      <w:r w:rsidR="00BA3983">
        <w:t xml:space="preserve">-year </w:t>
      </w:r>
      <w:r w:rsidR="00EF0113">
        <w:t xml:space="preserve">effective </w:t>
      </w:r>
      <w:r w:rsidR="00BA3983">
        <w:t xml:space="preserve">date, we estimate a range of </w:t>
      </w:r>
      <w:r w:rsidR="005E5FFB">
        <w:t>0</w:t>
      </w:r>
      <w:r w:rsidR="00BA3983">
        <w:t xml:space="preserve"> percent to </w:t>
      </w:r>
      <w:r w:rsidR="005E5FFB">
        <w:t>39</w:t>
      </w:r>
      <w:r w:rsidR="00BA3983">
        <w:t xml:space="preserve"> percent </w:t>
      </w:r>
      <w:r>
        <w:t xml:space="preserve">of working gauges </w:t>
      </w:r>
      <w:r w:rsidR="001940B0">
        <w:t>will</w:t>
      </w:r>
      <w:r>
        <w:t xml:space="preserve"> need to be replaced.</w:t>
      </w:r>
      <w:r>
        <w:rPr>
          <w:rStyle w:val="FootnoteReference"/>
        </w:rPr>
        <w:footnoteReference w:id="26"/>
      </w:r>
      <w:r>
        <w:t xml:space="preserve"> </w:t>
      </w:r>
    </w:p>
    <w:p w:rsidR="00E20F93" w:rsidP="00BA3983" w14:paraId="2F3BA670" w14:textId="21CB123D">
      <w:pPr>
        <w:ind w:firstLine="720"/>
      </w:pPr>
      <w:r>
        <w:t>Under this alternative</w:t>
      </w:r>
      <w:r w:rsidR="006C1188">
        <w:t>,</w:t>
      </w:r>
      <w:r>
        <w:t xml:space="preserve"> the primary </w:t>
      </w:r>
      <w:r w:rsidR="006C1188">
        <w:t xml:space="preserve">one-time </w:t>
      </w:r>
      <w:r>
        <w:t xml:space="preserve">cost of replacing portable cryogenic containers without working gauges would fall </w:t>
      </w:r>
      <w:r w:rsidR="006C1188">
        <w:t>from $</w:t>
      </w:r>
      <w:r w:rsidR="005E5FFB">
        <w:t>4.70</w:t>
      </w:r>
      <w:r w:rsidR="006C1188">
        <w:t xml:space="preserve"> million </w:t>
      </w:r>
      <w:r>
        <w:t>to $</w:t>
      </w:r>
      <w:r w:rsidR="005E5FFB">
        <w:t>2.06</w:t>
      </w:r>
      <w:r w:rsidR="006C1188">
        <w:t xml:space="preserve"> million</w:t>
      </w:r>
      <w:r w:rsidR="009506B2">
        <w:t>, t</w:t>
      </w:r>
      <w:r w:rsidR="00254470">
        <w:t>he low cost would fall from $1.72 million to $0</w:t>
      </w:r>
      <w:r>
        <w:t xml:space="preserve"> </w:t>
      </w:r>
      <w:r w:rsidR="006C1188">
        <w:t xml:space="preserve">because all working gauges would already have been replaced, while the high one-time </w:t>
      </w:r>
      <w:r w:rsidRPr="006C1188" w:rsidR="006C1188">
        <w:t>cost of replacing portable cryogenic containers without working gauges would fall from $</w:t>
      </w:r>
      <w:r w:rsidR="005E5FFB">
        <w:t>9.70</w:t>
      </w:r>
      <w:r w:rsidRPr="006C1188" w:rsidR="006C1188">
        <w:t xml:space="preserve"> million to $</w:t>
      </w:r>
      <w:r w:rsidR="005E5FFB">
        <w:t>7.64</w:t>
      </w:r>
      <w:r w:rsidRPr="006C1188" w:rsidR="006C1188">
        <w:t xml:space="preserve"> million</w:t>
      </w:r>
      <w:r w:rsidR="006C1188">
        <w:t xml:space="preserve">. Further, the one-time high cost would occur </w:t>
      </w:r>
      <w:r w:rsidR="00654505">
        <w:t>one and a half</w:t>
      </w:r>
      <w:r w:rsidR="006C1188">
        <w:t xml:space="preserve"> years later.</w:t>
      </w:r>
      <w:r w:rsidR="00F67A8D">
        <w:t xml:space="preserve"> </w:t>
      </w:r>
    </w:p>
    <w:p w:rsidR="00065407" w:rsidRPr="00065407" w:rsidP="00F70002" w14:paraId="5486573C" w14:textId="77EE6CDF">
      <w:pPr>
        <w:ind w:firstLine="720"/>
      </w:pPr>
      <w:r>
        <w:t>Under this alternative, the costs would range from $</w:t>
      </w:r>
      <w:r w:rsidR="00654505">
        <w:t>1.</w:t>
      </w:r>
      <w:r w:rsidR="00031ACD">
        <w:t>33</w:t>
      </w:r>
      <w:r>
        <w:t xml:space="preserve"> million to $</w:t>
      </w:r>
      <w:r w:rsidR="00031ACD">
        <w:t>5.0</w:t>
      </w:r>
      <w:r w:rsidR="006F6054">
        <w:t>7</w:t>
      </w:r>
      <w:r>
        <w:t xml:space="preserve"> </w:t>
      </w:r>
      <w:r w:rsidR="00BE7D56">
        <w:t xml:space="preserve">million </w:t>
      </w:r>
      <w:r>
        <w:t>with a primary estimate of $</w:t>
      </w:r>
      <w:r w:rsidR="00654505">
        <w:t>2.</w:t>
      </w:r>
      <w:r w:rsidR="00ED4033">
        <w:t>9</w:t>
      </w:r>
      <w:r w:rsidR="006F6054">
        <w:t>4</w:t>
      </w:r>
      <w:r w:rsidR="00BE7D56">
        <w:t xml:space="preserve"> million</w:t>
      </w:r>
      <w:r>
        <w:t xml:space="preserve"> over a ten-year horizon annualized at a 7 percent discount rate. </w:t>
      </w:r>
      <w:r>
        <w:t xml:space="preserve">The costs with the current </w:t>
      </w:r>
      <w:r w:rsidR="005E5FFB">
        <w:t>one-and-a-half</w:t>
      </w:r>
      <w:r>
        <w:t xml:space="preserve">-year </w:t>
      </w:r>
      <w:r w:rsidR="00DB4BD1">
        <w:t xml:space="preserve">effective </w:t>
      </w:r>
      <w:r>
        <w:t>date for working gauges range from $</w:t>
      </w:r>
      <w:r w:rsidR="00654505">
        <w:t>1.</w:t>
      </w:r>
      <w:r w:rsidR="00F20E89">
        <w:t>52</w:t>
      </w:r>
      <w:r>
        <w:t xml:space="preserve"> million to $</w:t>
      </w:r>
      <w:r w:rsidR="00F20E89">
        <w:t>5.</w:t>
      </w:r>
      <w:r w:rsidR="00522D18">
        <w:t>30</w:t>
      </w:r>
      <w:r>
        <w:t xml:space="preserve"> </w:t>
      </w:r>
      <w:r w:rsidR="0018366A">
        <w:t xml:space="preserve">million </w:t>
      </w:r>
      <w:r>
        <w:t>with a primary estimate of $</w:t>
      </w:r>
      <w:r w:rsidR="00254470">
        <w:t>3.</w:t>
      </w:r>
      <w:r w:rsidR="009D3A14">
        <w:t>2</w:t>
      </w:r>
      <w:r w:rsidR="00522D18">
        <w:t>4</w:t>
      </w:r>
      <w:r>
        <w:t xml:space="preserve"> million</w:t>
      </w:r>
      <w:r w:rsidR="0018366A">
        <w:t xml:space="preserve"> at a 7 percent discount rate</w:t>
      </w:r>
      <w:r>
        <w:t>. The reduction in costs would be $0.</w:t>
      </w:r>
      <w:r w:rsidR="00F0152F">
        <w:t>19</w:t>
      </w:r>
      <w:r>
        <w:t xml:space="preserve"> million for the </w:t>
      </w:r>
      <w:r w:rsidR="00F0152F">
        <w:t>lower bound</w:t>
      </w:r>
      <w:r>
        <w:t xml:space="preserve"> estimate</w:t>
      </w:r>
      <w:r w:rsidR="00F0152F">
        <w:t>,</w:t>
      </w:r>
      <w:r>
        <w:t xml:space="preserve"> $0.</w:t>
      </w:r>
      <w:r w:rsidR="00BA539A">
        <w:t>3</w:t>
      </w:r>
      <w:r w:rsidR="00B51AEE">
        <w:t>0</w:t>
      </w:r>
      <w:r>
        <w:t xml:space="preserve"> million for the </w:t>
      </w:r>
      <w:r w:rsidR="00F0152F">
        <w:t>primary estimate, and $0.</w:t>
      </w:r>
      <w:r w:rsidR="00A6482A">
        <w:t>23</w:t>
      </w:r>
      <w:r w:rsidR="00F0152F">
        <w:t xml:space="preserve"> million for the upper bound estimate</w:t>
      </w:r>
      <w:r>
        <w:t xml:space="preserve">. </w:t>
      </w:r>
    </w:p>
    <w:p w:rsidR="000E6DD7" w14:paraId="462D0CC2" w14:textId="44A16E04">
      <w:pPr>
        <w:rPr>
          <w:sz w:val="22"/>
          <w:szCs w:val="22"/>
        </w:rPr>
      </w:pPr>
    </w:p>
    <w:p w:rsidR="000F25F7" w:rsidP="00925306" w14:paraId="00066673" w14:textId="3FA565DE">
      <w:pPr>
        <w:pStyle w:val="Heading3"/>
      </w:pPr>
      <w:bookmarkStart w:id="186" w:name="_Toc148515758"/>
      <w:r>
        <w:t xml:space="preserve">One Year </w:t>
      </w:r>
      <w:r w:rsidR="005336EA">
        <w:t>Earlier</w:t>
      </w:r>
      <w:r>
        <w:t xml:space="preserve"> </w:t>
      </w:r>
      <w:r>
        <w:t xml:space="preserve">and One Year Later </w:t>
      </w:r>
      <w:r w:rsidR="00EF0113">
        <w:t xml:space="preserve">Effective </w:t>
      </w:r>
      <w:r>
        <w:t>Date</w:t>
      </w:r>
      <w:r>
        <w:t>s</w:t>
      </w:r>
      <w:bookmarkEnd w:id="186"/>
    </w:p>
    <w:p w:rsidR="008C74D5" w:rsidP="00D57B6B" w14:paraId="7A1047AC" w14:textId="77777777">
      <w:pPr>
        <w:ind w:firstLine="720"/>
      </w:pPr>
    </w:p>
    <w:p w:rsidR="000F25F7" w:rsidRPr="00925306" w:rsidP="00D57B6B" w14:paraId="6F1DF24A" w14:textId="53EE9F53">
      <w:pPr>
        <w:ind w:firstLine="720"/>
      </w:pPr>
      <w:r w:rsidRPr="00925306">
        <w:t xml:space="preserve">We </w:t>
      </w:r>
      <w:r w:rsidRPr="00925306" w:rsidR="00D57B6B">
        <w:t>ex</w:t>
      </w:r>
      <w:r w:rsidR="005713B8">
        <w:t>amine</w:t>
      </w:r>
      <w:r w:rsidRPr="00925306" w:rsidR="00D57B6B">
        <w:t xml:space="preserve"> the effect on costs and costs savings </w:t>
      </w:r>
      <w:r w:rsidR="000274B1">
        <w:t xml:space="preserve">of </w:t>
      </w:r>
      <w:r w:rsidR="00CE19EA">
        <w:t xml:space="preserve">a one year shorter and a one year longer </w:t>
      </w:r>
      <w:r w:rsidR="00EF0113">
        <w:t>effective dates</w:t>
      </w:r>
      <w:r w:rsidR="00E31537">
        <w:t xml:space="preserve"> </w:t>
      </w:r>
      <w:r w:rsidRPr="00E31537" w:rsidR="00E31537">
        <w:t>(</w:t>
      </w:r>
      <w:r w:rsidR="00CE19EA">
        <w:t>half</w:t>
      </w:r>
      <w:r w:rsidRPr="00E31537" w:rsidR="00E31537">
        <w:t>-year and two</w:t>
      </w:r>
      <w:r w:rsidR="00CE19EA">
        <w:t>-and-a-half</w:t>
      </w:r>
      <w:r w:rsidRPr="00E31537" w:rsidR="00E31537">
        <w:t>-year)</w:t>
      </w:r>
      <w:r w:rsidRPr="00925306" w:rsidR="00D57B6B">
        <w:t xml:space="preserve">. An earlier </w:t>
      </w:r>
      <w:r w:rsidR="00EF0113">
        <w:t>effective</w:t>
      </w:r>
      <w:r w:rsidRPr="00925306" w:rsidR="00EF0113">
        <w:t xml:space="preserve"> </w:t>
      </w:r>
      <w:r w:rsidRPr="00925306" w:rsidR="00D57B6B">
        <w:t xml:space="preserve">date </w:t>
      </w:r>
      <w:r w:rsidR="0092033E">
        <w:t>would</w:t>
      </w:r>
      <w:r w:rsidRPr="00925306" w:rsidR="00D57B6B">
        <w:t xml:space="preserve"> </w:t>
      </w:r>
      <w:r w:rsidRPr="00925306" w:rsidR="00B469B4">
        <w:t>affect</w:t>
      </w:r>
      <w:r w:rsidRPr="00925306" w:rsidR="00D57B6B">
        <w:t xml:space="preserve"> costs and costs savings in two ways</w:t>
      </w:r>
      <w:r w:rsidR="001E2572">
        <w:t>.</w:t>
      </w:r>
      <w:r w:rsidRPr="00925306" w:rsidR="00D57B6B">
        <w:t xml:space="preserve"> First, it </w:t>
      </w:r>
      <w:r w:rsidR="0092033E">
        <w:t>would</w:t>
      </w:r>
      <w:r w:rsidRPr="00925306" w:rsidR="00D57B6B">
        <w:t xml:space="preserve"> shift most costs and cost savings earlier</w:t>
      </w:r>
      <w:r w:rsidR="00C00820">
        <w:t>,</w:t>
      </w:r>
      <w:r w:rsidRPr="00925306" w:rsidR="00D57B6B">
        <w:t xml:space="preserve"> causing them to be discounted by fewer years. Second, it </w:t>
      </w:r>
      <w:r w:rsidR="0092033E">
        <w:t>would</w:t>
      </w:r>
      <w:r w:rsidRPr="00925306" w:rsidR="00D57B6B">
        <w:t xml:space="preserve"> give firms less time to adjust</w:t>
      </w:r>
      <w:r w:rsidR="00C00820">
        <w:t>,</w:t>
      </w:r>
      <w:r w:rsidRPr="00925306" w:rsidR="00D57B6B">
        <w:t xml:space="preserve"> which may increase the costs of compliance for some components of th</w:t>
      </w:r>
      <w:r w:rsidR="00E01C39">
        <w:t>is</w:t>
      </w:r>
      <w:r w:rsidRPr="00925306" w:rsidR="00D57B6B">
        <w:t xml:space="preserve"> regulation. </w:t>
      </w:r>
      <w:r w:rsidR="00CE19EA">
        <w:t xml:space="preserve">A later </w:t>
      </w:r>
      <w:r w:rsidR="00DB4BD1">
        <w:t>effective date</w:t>
      </w:r>
      <w:r w:rsidR="00CE19EA">
        <w:t xml:space="preserve"> would have the opposite effects. </w:t>
      </w:r>
      <w:r w:rsidR="006D0442">
        <w:t>Under our assumptions, t</w:t>
      </w:r>
      <w:r w:rsidR="005F5660">
        <w:t xml:space="preserve">he shorter </w:t>
      </w:r>
      <w:r w:rsidR="0089564A">
        <w:t>effective date</w:t>
      </w:r>
      <w:r w:rsidR="008560AD">
        <w:t xml:space="preserve"> </w:t>
      </w:r>
      <w:r w:rsidR="005F5660">
        <w:t xml:space="preserve">only directly </w:t>
      </w:r>
      <w:r w:rsidR="00C00820">
        <w:t>a</w:t>
      </w:r>
      <w:r w:rsidR="005F5660">
        <w:t>ffects the cost of firms adding working gauges to portable cryogenic containers</w:t>
      </w:r>
      <w:r w:rsidR="00CE19EA">
        <w:t xml:space="preserve"> and the discount factor</w:t>
      </w:r>
      <w:r w:rsidR="005F5660">
        <w:t xml:space="preserve">; </w:t>
      </w:r>
      <w:r w:rsidRPr="00925306" w:rsidR="00D57B6B">
        <w:t xml:space="preserve">however, it is </w:t>
      </w:r>
      <w:r w:rsidR="000274B1">
        <w:t>possible that</w:t>
      </w:r>
      <w:r w:rsidRPr="00925306" w:rsidR="00D57B6B">
        <w:t xml:space="preserve"> short</w:t>
      </w:r>
      <w:r w:rsidR="000274B1">
        <w:t>er</w:t>
      </w:r>
      <w:r w:rsidRPr="00925306" w:rsidR="00D57B6B">
        <w:t xml:space="preserve"> </w:t>
      </w:r>
      <w:r w:rsidR="0089564A">
        <w:t>effective dates</w:t>
      </w:r>
      <w:r w:rsidR="00AB4425">
        <w:t xml:space="preserve"> would</w:t>
      </w:r>
      <w:r w:rsidR="000274B1">
        <w:t xml:space="preserve"> increase</w:t>
      </w:r>
      <w:r w:rsidRPr="00925306" w:rsidR="00D57B6B">
        <w:t xml:space="preserve"> other costs or</w:t>
      </w:r>
      <w:r w:rsidR="000274B1">
        <w:t xml:space="preserve"> lead to </w:t>
      </w:r>
      <w:r w:rsidRPr="00925306" w:rsidR="00D57B6B">
        <w:t>noncompliance</w:t>
      </w:r>
      <w:r w:rsidR="000274B1">
        <w:t>.</w:t>
      </w:r>
    </w:p>
    <w:p w:rsidR="00141D24" w:rsidRPr="00E3317C" w:rsidP="00141D24" w14:paraId="6A3D22FD" w14:textId="154EC662">
      <w:pPr>
        <w:ind w:firstLine="720"/>
      </w:pPr>
      <w:r w:rsidRPr="00925306">
        <w:t xml:space="preserve">The </w:t>
      </w:r>
      <w:r>
        <w:t xml:space="preserve">primary estimate for </w:t>
      </w:r>
      <w:r w:rsidR="008560AD">
        <w:t xml:space="preserve">annualized </w:t>
      </w:r>
      <w:r w:rsidRPr="00925306">
        <w:t>cost savin</w:t>
      </w:r>
      <w:r w:rsidR="0018366A">
        <w:t>gs</w:t>
      </w:r>
      <w:r w:rsidR="008560AD">
        <w:t xml:space="preserve"> over a ten-year time horizon</w:t>
      </w:r>
      <w:r w:rsidR="0018366A">
        <w:t xml:space="preserve"> </w:t>
      </w:r>
      <w:r w:rsidR="00FB6B74">
        <w:t xml:space="preserve">fall as the </w:t>
      </w:r>
      <w:r w:rsidR="00DB4BD1">
        <w:t>effective date</w:t>
      </w:r>
      <w:r w:rsidR="00FB6B74">
        <w:t xml:space="preserve"> is increased</w:t>
      </w:r>
      <w:r>
        <w:t xml:space="preserve">. </w:t>
      </w:r>
      <w:r w:rsidR="00DD6DD5">
        <w:t>The primary annualized cost savings estimate falls from $</w:t>
      </w:r>
      <w:r w:rsidR="00BD2B72">
        <w:t>3.</w:t>
      </w:r>
      <w:r w:rsidR="00CE4D74">
        <w:t>7</w:t>
      </w:r>
      <w:r w:rsidR="00151C79">
        <w:t>6</w:t>
      </w:r>
      <w:r w:rsidR="00DD6DD5">
        <w:t xml:space="preserve"> million for a half</w:t>
      </w:r>
      <w:r w:rsidR="00C00820">
        <w:t>-</w:t>
      </w:r>
      <w:r w:rsidR="00DD6DD5">
        <w:t xml:space="preserve">year </w:t>
      </w:r>
      <w:r w:rsidR="00DB4BD1">
        <w:t>effective date</w:t>
      </w:r>
      <w:r w:rsidR="00DD6DD5">
        <w:t xml:space="preserve"> to $</w:t>
      </w:r>
      <w:r w:rsidR="00BD2B72">
        <w:t>3.</w:t>
      </w:r>
      <w:r w:rsidR="00151C79">
        <w:t>51</w:t>
      </w:r>
      <w:r w:rsidR="00DD6DD5">
        <w:t xml:space="preserve"> million for a year-and-a-half </w:t>
      </w:r>
      <w:r w:rsidR="00DB4BD1">
        <w:t>effective date</w:t>
      </w:r>
      <w:r w:rsidR="00DD6DD5">
        <w:t>, and then falls further to $</w:t>
      </w:r>
      <w:r w:rsidR="007314E5">
        <w:t>3.</w:t>
      </w:r>
      <w:r w:rsidR="009332DD">
        <w:t>2</w:t>
      </w:r>
      <w:r w:rsidR="00151C79">
        <w:t>8</w:t>
      </w:r>
      <w:r w:rsidR="00DD6DD5">
        <w:t xml:space="preserve"> million for a two</w:t>
      </w:r>
      <w:r w:rsidR="00D76C59">
        <w:t>-</w:t>
      </w:r>
      <w:r w:rsidR="00DD6DD5">
        <w:t>and</w:t>
      </w:r>
      <w:r w:rsidR="00D76C59">
        <w:t>-</w:t>
      </w:r>
      <w:r w:rsidR="00DD6DD5">
        <w:t>a</w:t>
      </w:r>
      <w:r w:rsidR="00D76C59">
        <w:t>-</w:t>
      </w:r>
      <w:r w:rsidR="00DD6DD5">
        <w:t>half</w:t>
      </w:r>
      <w:r w:rsidR="00E660BB">
        <w:t>-</w:t>
      </w:r>
      <w:r w:rsidR="00DD6DD5">
        <w:t xml:space="preserve">year compliance. </w:t>
      </w:r>
      <w:r w:rsidR="000604C5">
        <w:rPr>
          <w:rFonts w:eastAsia="Times New Roman"/>
        </w:rPr>
        <w:t xml:space="preserve">These values can be found </w:t>
      </w:r>
      <w:r w:rsidRPr="004C5F4A" w:rsidR="000604C5">
        <w:rPr>
          <w:rFonts w:eastAsia="Times New Roman"/>
        </w:rPr>
        <w:t>in</w:t>
      </w:r>
      <w:r w:rsidR="000604C5">
        <w:rPr>
          <w:rFonts w:eastAsia="Times New Roman"/>
        </w:rPr>
        <w:t xml:space="preserve"> </w:t>
      </w:r>
      <w:r w:rsidRPr="00830D72" w:rsidR="00830D72">
        <w:rPr>
          <w:rFonts w:eastAsia="Times New Roman"/>
        </w:rPr>
        <w:fldChar w:fldCharType="begin"/>
      </w:r>
      <w:r w:rsidRPr="00830D72" w:rsidR="00830D72">
        <w:rPr>
          <w:rFonts w:eastAsia="Times New Roman"/>
        </w:rPr>
        <w:instrText xml:space="preserve"> REF _Ref132016132 \h </w:instrText>
      </w:r>
      <w:r w:rsidRPr="004848C7" w:rsidR="00830D72">
        <w:rPr>
          <w:rFonts w:eastAsia="Times New Roman"/>
        </w:rPr>
        <w:instrText xml:space="preserve"> \* MERGEFORMAT </w:instrText>
      </w:r>
      <w:r w:rsidRPr="00830D72" w:rsidR="00830D72">
        <w:rPr>
          <w:rFonts w:eastAsia="Times New Roman"/>
        </w:rPr>
        <w:fldChar w:fldCharType="separate"/>
      </w:r>
      <w:r w:rsidRPr="004848C7" w:rsidR="00830D72">
        <w:t xml:space="preserve">Table </w:t>
      </w:r>
      <w:r w:rsidRPr="004848C7" w:rsidR="00830D72">
        <w:rPr>
          <w:noProof/>
        </w:rPr>
        <w:t>30</w:t>
      </w:r>
      <w:r w:rsidRPr="00830D72" w:rsidR="00830D72">
        <w:rPr>
          <w:rFonts w:eastAsia="Times New Roman"/>
        </w:rPr>
        <w:fldChar w:fldCharType="end"/>
      </w:r>
      <w:r w:rsidRPr="004C5F4A" w:rsidR="000604C5">
        <w:rPr>
          <w:rFonts w:eastAsia="Times New Roman"/>
        </w:rPr>
        <w:t>.</w:t>
      </w:r>
    </w:p>
    <w:p w:rsidR="004E2D65" w:rsidRPr="00925306" w:rsidP="00D57B6B" w14:paraId="15F5FAF8" w14:textId="7142FC77">
      <w:pPr>
        <w:ind w:firstLine="720"/>
      </w:pPr>
    </w:p>
    <w:p w:rsidR="00E32310" w:rsidRPr="00925306" w:rsidP="00925306" w14:paraId="2BE56FB7" w14:textId="377AA3BF">
      <w:pPr>
        <w:pStyle w:val="Caption"/>
        <w:rPr>
          <w:b/>
          <w:sz w:val="22"/>
          <w:szCs w:val="22"/>
        </w:rPr>
      </w:pPr>
      <w:bookmarkStart w:id="187" w:name="_Ref132016132"/>
      <w:bookmarkStart w:id="188" w:name="_Toc147238774"/>
      <w:r w:rsidRPr="00925306">
        <w:rPr>
          <w:b/>
        </w:rPr>
        <w:t xml:space="preserve">Table </w:t>
      </w:r>
      <w:r w:rsidRPr="00925306" w:rsidR="00351445">
        <w:rPr>
          <w:b/>
        </w:rPr>
        <w:fldChar w:fldCharType="begin"/>
      </w:r>
      <w:r w:rsidRPr="00925306" w:rsidR="00351445">
        <w:rPr>
          <w:b/>
        </w:rPr>
        <w:instrText xml:space="preserve"> SEQ Table \* ARABIC </w:instrText>
      </w:r>
      <w:r w:rsidRPr="00925306" w:rsidR="00351445">
        <w:rPr>
          <w:b/>
        </w:rPr>
        <w:fldChar w:fldCharType="separate"/>
      </w:r>
      <w:r w:rsidR="0011482F">
        <w:rPr>
          <w:b/>
          <w:noProof/>
        </w:rPr>
        <w:t>30</w:t>
      </w:r>
      <w:r w:rsidRPr="00925306" w:rsidR="00351445">
        <w:rPr>
          <w:b/>
        </w:rPr>
        <w:fldChar w:fldCharType="end"/>
      </w:r>
      <w:bookmarkEnd w:id="187"/>
      <w:r w:rsidRPr="00925306">
        <w:rPr>
          <w:b/>
        </w:rPr>
        <w:t xml:space="preserve">. Cost Savings Under Alternative </w:t>
      </w:r>
      <w:r w:rsidR="00DB4BD1">
        <w:rPr>
          <w:b/>
        </w:rPr>
        <w:t xml:space="preserve">Effective </w:t>
      </w:r>
      <w:r w:rsidR="00A57863">
        <w:rPr>
          <w:b/>
        </w:rPr>
        <w:t>D</w:t>
      </w:r>
      <w:r w:rsidR="00DB4BD1">
        <w:rPr>
          <w:b/>
        </w:rPr>
        <w:t>ate</w:t>
      </w:r>
      <w:r w:rsidRPr="00925306">
        <w:rPr>
          <w:b/>
        </w:rPr>
        <w:t xml:space="preserve">s (in $ </w:t>
      </w:r>
      <w:r w:rsidR="00596412">
        <w:rPr>
          <w:b/>
        </w:rPr>
        <w:t>M</w:t>
      </w:r>
      <w:r w:rsidRPr="00925306">
        <w:rPr>
          <w:b/>
        </w:rPr>
        <w:t>illions)</w:t>
      </w:r>
      <w:bookmarkEnd w:id="188"/>
    </w:p>
    <w:tbl>
      <w:tblPr>
        <w:tblW w:w="9355" w:type="dxa"/>
        <w:tblLook w:val="04A0"/>
      </w:tblPr>
      <w:tblGrid>
        <w:gridCol w:w="4045"/>
        <w:gridCol w:w="1980"/>
        <w:gridCol w:w="1710"/>
        <w:gridCol w:w="1620"/>
      </w:tblGrid>
      <w:tr w14:paraId="062D5307" w14:textId="77777777" w:rsidTr="00714FC0">
        <w:tblPrEx>
          <w:tblW w:w="9355" w:type="dxa"/>
          <w:tblLook w:val="04A0"/>
        </w:tblPrEx>
        <w:trPr>
          <w:trHeight w:val="432"/>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E19EA" w:rsidRPr="00925306" w:rsidP="00E32310" w14:paraId="3E779B93" w14:textId="77777777">
            <w:pPr>
              <w:spacing w:after="0"/>
              <w:rPr>
                <w:rFonts w:eastAsia="Times New Roman"/>
                <w:b/>
                <w:color w:val="000000"/>
                <w:sz w:val="22"/>
                <w:szCs w:val="22"/>
              </w:rPr>
            </w:pPr>
            <w:r w:rsidRPr="00925306">
              <w:rPr>
                <w:rFonts w:eastAsia="Times New Roman"/>
                <w:b/>
                <w:color w:val="000000"/>
                <w:sz w:val="22"/>
                <w:szCs w:val="22"/>
              </w:rPr>
              <w:t> </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E19EA" w:rsidRPr="00925306" w:rsidP="00AC2CB0" w14:paraId="0D982AC6" w14:textId="77777777">
            <w:pPr>
              <w:spacing w:after="0"/>
              <w:jc w:val="center"/>
              <w:rPr>
                <w:rFonts w:eastAsia="Times New Roman"/>
                <w:b/>
                <w:color w:val="000000"/>
                <w:sz w:val="22"/>
                <w:szCs w:val="22"/>
              </w:rPr>
            </w:pPr>
            <w:r w:rsidRPr="00925306">
              <w:rPr>
                <w:rFonts w:eastAsia="Times New Roman"/>
                <w:b/>
                <w:color w:val="000000"/>
                <w:sz w:val="22"/>
                <w:szCs w:val="22"/>
              </w:rPr>
              <w:t>Primary Estimate (7%)</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E19EA" w:rsidRPr="00925306" w:rsidP="00AC2CB0" w14:paraId="21ADB5A3" w14:textId="77777777">
            <w:pPr>
              <w:spacing w:after="0"/>
              <w:jc w:val="center"/>
              <w:rPr>
                <w:rFonts w:eastAsia="Times New Roman"/>
                <w:b/>
                <w:color w:val="000000"/>
                <w:sz w:val="22"/>
                <w:szCs w:val="22"/>
              </w:rPr>
            </w:pPr>
            <w:r w:rsidRPr="00925306">
              <w:rPr>
                <w:rFonts w:eastAsia="Times New Roman"/>
                <w:b/>
                <w:color w:val="000000"/>
                <w:sz w:val="22"/>
                <w:szCs w:val="22"/>
              </w:rPr>
              <w:t>Low Estimate (7%)</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E19EA" w:rsidRPr="00925306" w:rsidP="00AC2CB0" w14:paraId="201E018A" w14:textId="77777777">
            <w:pPr>
              <w:spacing w:after="0"/>
              <w:jc w:val="center"/>
              <w:rPr>
                <w:rFonts w:eastAsia="Times New Roman"/>
                <w:b/>
                <w:color w:val="000000"/>
                <w:sz w:val="22"/>
                <w:szCs w:val="22"/>
              </w:rPr>
            </w:pPr>
            <w:r w:rsidRPr="00925306">
              <w:rPr>
                <w:rFonts w:eastAsia="Times New Roman"/>
                <w:b/>
                <w:color w:val="000000"/>
                <w:sz w:val="22"/>
                <w:szCs w:val="22"/>
              </w:rPr>
              <w:t>High Estimate (7%)</w:t>
            </w:r>
          </w:p>
        </w:tc>
      </w:tr>
      <w:tr w14:paraId="3ADEC05C" w14:textId="77777777" w:rsidTr="00714FC0">
        <w:tblPrEx>
          <w:tblW w:w="9355" w:type="dxa"/>
          <w:tblLook w:val="04A0"/>
        </w:tblPrEx>
        <w:trPr>
          <w:trHeight w:val="216"/>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CE19EA" w:rsidRPr="002763E0" w:rsidP="00E32310" w14:paraId="13D6F51C" w14:textId="0A1D67A2">
            <w:pPr>
              <w:spacing w:after="0"/>
              <w:rPr>
                <w:rFonts w:eastAsia="Times New Roman"/>
                <w:color w:val="000000"/>
                <w:sz w:val="22"/>
                <w:szCs w:val="22"/>
              </w:rPr>
            </w:pPr>
            <w:r>
              <w:rPr>
                <w:rFonts w:eastAsia="Times New Roman"/>
                <w:color w:val="000000"/>
                <w:sz w:val="22"/>
                <w:szCs w:val="22"/>
              </w:rPr>
              <w:t xml:space="preserve">Half-year </w:t>
            </w:r>
            <w:r w:rsidR="00685B9D">
              <w:rPr>
                <w:rFonts w:eastAsia="Times New Roman"/>
                <w:color w:val="000000"/>
                <w:sz w:val="22"/>
                <w:szCs w:val="22"/>
              </w:rPr>
              <w:t>Effective Date</w:t>
            </w:r>
          </w:p>
        </w:tc>
        <w:tc>
          <w:tcPr>
            <w:tcW w:w="198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3885E42D" w14:textId="7C5A4E6A">
            <w:pPr>
              <w:spacing w:after="0"/>
              <w:jc w:val="center"/>
              <w:rPr>
                <w:rFonts w:eastAsia="Times New Roman"/>
                <w:color w:val="000000"/>
                <w:sz w:val="22"/>
                <w:szCs w:val="22"/>
              </w:rPr>
            </w:pPr>
            <w:r w:rsidRPr="00E32310">
              <w:rPr>
                <w:rFonts w:eastAsia="Times New Roman"/>
                <w:color w:val="000000"/>
                <w:sz w:val="22"/>
                <w:szCs w:val="22"/>
              </w:rPr>
              <w:t>$</w:t>
            </w:r>
            <w:r w:rsidR="00BD2B72">
              <w:rPr>
                <w:rFonts w:eastAsia="Times New Roman"/>
                <w:color w:val="000000"/>
                <w:sz w:val="22"/>
                <w:szCs w:val="22"/>
              </w:rPr>
              <w:t>3.</w:t>
            </w:r>
            <w:r w:rsidR="00CE4D74">
              <w:rPr>
                <w:rFonts w:eastAsia="Times New Roman"/>
                <w:color w:val="000000"/>
                <w:sz w:val="22"/>
                <w:szCs w:val="22"/>
              </w:rPr>
              <w:t>7</w:t>
            </w:r>
            <w:r w:rsidR="00151C79">
              <w:rPr>
                <w:rFonts w:eastAsia="Times New Roman"/>
                <w:color w:val="000000"/>
                <w:sz w:val="22"/>
                <w:szCs w:val="22"/>
              </w:rPr>
              <w:t>6</w:t>
            </w:r>
          </w:p>
        </w:tc>
        <w:tc>
          <w:tcPr>
            <w:tcW w:w="171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038F6440" w14:textId="77777777">
            <w:pPr>
              <w:spacing w:after="0"/>
              <w:jc w:val="center"/>
              <w:rPr>
                <w:rFonts w:eastAsia="Times New Roman"/>
                <w:color w:val="000000"/>
                <w:sz w:val="22"/>
                <w:szCs w:val="22"/>
              </w:rPr>
            </w:pPr>
            <w:r w:rsidRPr="00E32310">
              <w:rPr>
                <w:rFonts w:eastAsia="Times New Roman"/>
                <w:color w:val="000000"/>
                <w:sz w:val="22"/>
                <w:szCs w:val="22"/>
              </w:rPr>
              <w:t>$0.00</w:t>
            </w:r>
          </w:p>
        </w:tc>
        <w:tc>
          <w:tcPr>
            <w:tcW w:w="162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2F058CD2" w14:textId="30A1003B">
            <w:pPr>
              <w:spacing w:after="0"/>
              <w:jc w:val="center"/>
              <w:rPr>
                <w:rFonts w:eastAsia="Times New Roman"/>
                <w:color w:val="000000"/>
                <w:sz w:val="22"/>
                <w:szCs w:val="22"/>
              </w:rPr>
            </w:pPr>
            <w:r w:rsidRPr="00E32310">
              <w:rPr>
                <w:rFonts w:eastAsia="Times New Roman"/>
                <w:color w:val="000000"/>
                <w:sz w:val="22"/>
                <w:szCs w:val="22"/>
              </w:rPr>
              <w:t>$</w:t>
            </w:r>
            <w:r w:rsidR="00E253EE">
              <w:rPr>
                <w:rFonts w:eastAsia="Times New Roman"/>
                <w:color w:val="000000"/>
                <w:sz w:val="22"/>
                <w:szCs w:val="22"/>
              </w:rPr>
              <w:t>7.</w:t>
            </w:r>
            <w:r w:rsidR="00E532ED">
              <w:rPr>
                <w:rFonts w:eastAsia="Times New Roman"/>
                <w:color w:val="000000"/>
                <w:sz w:val="22"/>
                <w:szCs w:val="22"/>
              </w:rPr>
              <w:t>51</w:t>
            </w:r>
          </w:p>
        </w:tc>
      </w:tr>
      <w:tr w14:paraId="2CFB60F2" w14:textId="77777777" w:rsidTr="00714FC0">
        <w:tblPrEx>
          <w:tblW w:w="9355" w:type="dxa"/>
          <w:tblLook w:val="04A0"/>
        </w:tblPrEx>
        <w:trPr>
          <w:trHeight w:val="216"/>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CE19EA" w:rsidRPr="002763E0" w:rsidP="00E32310" w14:paraId="0E8652DB" w14:textId="25C39612">
            <w:pPr>
              <w:spacing w:after="0"/>
              <w:rPr>
                <w:rFonts w:eastAsia="Times New Roman"/>
                <w:color w:val="000000"/>
                <w:sz w:val="22"/>
                <w:szCs w:val="22"/>
              </w:rPr>
            </w:pPr>
            <w:r>
              <w:rPr>
                <w:rFonts w:eastAsia="Times New Roman"/>
                <w:color w:val="000000"/>
                <w:sz w:val="22"/>
                <w:szCs w:val="22"/>
              </w:rPr>
              <w:t>Year-and-a-half</w:t>
            </w:r>
            <w:r w:rsidR="00685B9D">
              <w:rPr>
                <w:rFonts w:eastAsia="Times New Roman"/>
                <w:color w:val="000000"/>
                <w:sz w:val="22"/>
                <w:szCs w:val="22"/>
              </w:rPr>
              <w:t xml:space="preserve"> Effective Date</w:t>
            </w:r>
            <w:r>
              <w:rPr>
                <w:rFonts w:eastAsia="Times New Roman"/>
                <w:color w:val="000000"/>
                <w:sz w:val="22"/>
                <w:szCs w:val="22"/>
              </w:rPr>
              <w:t xml:space="preserve"> (</w:t>
            </w:r>
            <w:r w:rsidR="002F441D">
              <w:rPr>
                <w:rFonts w:eastAsia="Times New Roman"/>
                <w:color w:val="000000"/>
                <w:sz w:val="22"/>
                <w:szCs w:val="22"/>
              </w:rPr>
              <w:t>baseline</w:t>
            </w:r>
            <w:r>
              <w:rPr>
                <w:rFonts w:eastAsia="Times New Roman"/>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52254F55" w14:textId="354020C2">
            <w:pPr>
              <w:spacing w:after="0"/>
              <w:jc w:val="center"/>
              <w:rPr>
                <w:rFonts w:eastAsia="Times New Roman"/>
                <w:color w:val="000000"/>
                <w:sz w:val="22"/>
                <w:szCs w:val="22"/>
              </w:rPr>
            </w:pPr>
            <w:r w:rsidRPr="00E32310">
              <w:rPr>
                <w:rFonts w:eastAsia="Times New Roman"/>
                <w:color w:val="000000"/>
                <w:sz w:val="22"/>
                <w:szCs w:val="22"/>
              </w:rPr>
              <w:t>$</w:t>
            </w:r>
            <w:r w:rsidR="00654505">
              <w:rPr>
                <w:rFonts w:eastAsia="Times New Roman"/>
                <w:color w:val="000000"/>
                <w:sz w:val="22"/>
                <w:szCs w:val="22"/>
              </w:rPr>
              <w:t>3.</w:t>
            </w:r>
            <w:r w:rsidR="004921A5">
              <w:rPr>
                <w:rFonts w:eastAsia="Times New Roman"/>
                <w:color w:val="000000"/>
                <w:sz w:val="22"/>
                <w:szCs w:val="22"/>
              </w:rPr>
              <w:t>51</w:t>
            </w:r>
          </w:p>
        </w:tc>
        <w:tc>
          <w:tcPr>
            <w:tcW w:w="171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7C615D6C" w14:textId="77777777">
            <w:pPr>
              <w:spacing w:after="0"/>
              <w:jc w:val="center"/>
              <w:rPr>
                <w:rFonts w:eastAsia="Times New Roman"/>
                <w:color w:val="000000"/>
                <w:sz w:val="22"/>
                <w:szCs w:val="22"/>
              </w:rPr>
            </w:pPr>
            <w:r w:rsidRPr="00E32310">
              <w:rPr>
                <w:rFonts w:eastAsia="Times New Roman"/>
                <w:color w:val="000000"/>
                <w:sz w:val="22"/>
                <w:szCs w:val="22"/>
              </w:rPr>
              <w:t>$0.00</w:t>
            </w:r>
          </w:p>
        </w:tc>
        <w:tc>
          <w:tcPr>
            <w:tcW w:w="162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3E49E781" w14:textId="258BE990">
            <w:pPr>
              <w:spacing w:after="0"/>
              <w:jc w:val="center"/>
              <w:rPr>
                <w:rFonts w:eastAsia="Times New Roman"/>
                <w:color w:val="000000"/>
                <w:sz w:val="22"/>
                <w:szCs w:val="22"/>
              </w:rPr>
            </w:pPr>
            <w:r w:rsidRPr="00E32310">
              <w:rPr>
                <w:rFonts w:eastAsia="Times New Roman"/>
                <w:color w:val="000000"/>
                <w:sz w:val="22"/>
                <w:szCs w:val="22"/>
              </w:rPr>
              <w:t>$</w:t>
            </w:r>
            <w:r w:rsidR="004921A5">
              <w:rPr>
                <w:rFonts w:eastAsia="Times New Roman"/>
                <w:color w:val="000000"/>
                <w:sz w:val="22"/>
                <w:szCs w:val="22"/>
              </w:rPr>
              <w:t>7.02</w:t>
            </w:r>
          </w:p>
        </w:tc>
      </w:tr>
      <w:tr w14:paraId="51A895DA" w14:textId="77777777" w:rsidTr="00714FC0">
        <w:tblPrEx>
          <w:tblW w:w="9355" w:type="dxa"/>
          <w:tblLook w:val="04A0"/>
        </w:tblPrEx>
        <w:trPr>
          <w:trHeight w:val="216"/>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CE19EA" w:rsidRPr="002763E0" w:rsidP="00E32310" w14:paraId="42C2FB35" w14:textId="64CFAD61">
            <w:pPr>
              <w:spacing w:after="0"/>
              <w:rPr>
                <w:rFonts w:eastAsia="Times New Roman"/>
                <w:color w:val="000000"/>
                <w:sz w:val="22"/>
                <w:szCs w:val="22"/>
              </w:rPr>
            </w:pPr>
            <w:r>
              <w:rPr>
                <w:rFonts w:eastAsia="Times New Roman"/>
                <w:color w:val="000000"/>
                <w:sz w:val="22"/>
                <w:szCs w:val="22"/>
              </w:rPr>
              <w:t>Two-and-a-half-year</w:t>
            </w:r>
            <w:r w:rsidRPr="002763E0">
              <w:rPr>
                <w:rFonts w:eastAsia="Times New Roman"/>
                <w:color w:val="000000"/>
                <w:sz w:val="22"/>
                <w:szCs w:val="22"/>
              </w:rPr>
              <w:t xml:space="preserve"> </w:t>
            </w:r>
            <w:r w:rsidR="00685B9D">
              <w:rPr>
                <w:rFonts w:eastAsia="Times New Roman"/>
                <w:color w:val="000000"/>
                <w:sz w:val="22"/>
                <w:szCs w:val="22"/>
              </w:rPr>
              <w:t>Effective Date</w:t>
            </w:r>
          </w:p>
        </w:tc>
        <w:tc>
          <w:tcPr>
            <w:tcW w:w="198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4D2BEB2F" w14:textId="038C122E">
            <w:pPr>
              <w:spacing w:after="0"/>
              <w:jc w:val="center"/>
              <w:rPr>
                <w:rFonts w:eastAsia="Times New Roman"/>
                <w:color w:val="000000"/>
                <w:sz w:val="22"/>
                <w:szCs w:val="22"/>
              </w:rPr>
            </w:pPr>
            <w:r w:rsidRPr="00E32310">
              <w:rPr>
                <w:rFonts w:eastAsia="Times New Roman"/>
                <w:color w:val="000000"/>
                <w:sz w:val="22"/>
                <w:szCs w:val="22"/>
              </w:rPr>
              <w:t>$</w:t>
            </w:r>
            <w:r w:rsidR="008147C5">
              <w:rPr>
                <w:rFonts w:eastAsia="Times New Roman"/>
                <w:color w:val="000000"/>
                <w:sz w:val="22"/>
                <w:szCs w:val="22"/>
              </w:rPr>
              <w:t>3.</w:t>
            </w:r>
            <w:r w:rsidR="00DD5BCF">
              <w:rPr>
                <w:rFonts w:eastAsia="Times New Roman"/>
                <w:color w:val="000000"/>
                <w:sz w:val="22"/>
                <w:szCs w:val="22"/>
              </w:rPr>
              <w:t>2</w:t>
            </w:r>
            <w:r w:rsidR="00151C79">
              <w:rPr>
                <w:rFonts w:eastAsia="Times New Roman"/>
                <w:color w:val="000000"/>
                <w:sz w:val="22"/>
                <w:szCs w:val="22"/>
              </w:rPr>
              <w:t>8</w:t>
            </w:r>
          </w:p>
        </w:tc>
        <w:tc>
          <w:tcPr>
            <w:tcW w:w="171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28EA3621" w14:textId="77777777">
            <w:pPr>
              <w:spacing w:after="0"/>
              <w:jc w:val="center"/>
              <w:rPr>
                <w:rFonts w:eastAsia="Times New Roman"/>
                <w:color w:val="000000"/>
                <w:sz w:val="22"/>
                <w:szCs w:val="22"/>
              </w:rPr>
            </w:pPr>
            <w:r w:rsidRPr="00E32310">
              <w:rPr>
                <w:rFonts w:eastAsia="Times New Roman"/>
                <w:color w:val="000000"/>
                <w:sz w:val="22"/>
                <w:szCs w:val="22"/>
              </w:rPr>
              <w:t>$0.00</w:t>
            </w:r>
          </w:p>
        </w:tc>
        <w:tc>
          <w:tcPr>
            <w:tcW w:w="1620" w:type="dxa"/>
            <w:tcBorders>
              <w:top w:val="nil"/>
              <w:left w:val="nil"/>
              <w:bottom w:val="single" w:sz="4" w:space="0" w:color="auto"/>
              <w:right w:val="single" w:sz="4" w:space="0" w:color="auto"/>
            </w:tcBorders>
            <w:shd w:val="clear" w:color="auto" w:fill="auto"/>
            <w:noWrap/>
            <w:vAlign w:val="bottom"/>
            <w:hideMark/>
          </w:tcPr>
          <w:p w:rsidR="00CE19EA" w:rsidRPr="00E32310" w:rsidP="00AC2CB0" w14:paraId="3C2B517A" w14:textId="2FA23286">
            <w:pPr>
              <w:spacing w:after="0"/>
              <w:jc w:val="center"/>
              <w:rPr>
                <w:rFonts w:eastAsia="Times New Roman"/>
                <w:color w:val="000000"/>
                <w:sz w:val="22"/>
                <w:szCs w:val="22"/>
              </w:rPr>
            </w:pPr>
            <w:r w:rsidRPr="00E32310">
              <w:rPr>
                <w:rFonts w:eastAsia="Times New Roman"/>
                <w:color w:val="000000"/>
                <w:sz w:val="22"/>
                <w:szCs w:val="22"/>
              </w:rPr>
              <w:t>$</w:t>
            </w:r>
            <w:r w:rsidR="007314E5">
              <w:rPr>
                <w:rFonts w:eastAsia="Times New Roman"/>
                <w:color w:val="000000"/>
                <w:sz w:val="22"/>
                <w:szCs w:val="22"/>
              </w:rPr>
              <w:t>6.</w:t>
            </w:r>
            <w:r w:rsidR="009332DD">
              <w:rPr>
                <w:rFonts w:eastAsia="Times New Roman"/>
                <w:color w:val="000000"/>
                <w:sz w:val="22"/>
                <w:szCs w:val="22"/>
              </w:rPr>
              <w:t>5</w:t>
            </w:r>
            <w:r w:rsidR="00672C82">
              <w:rPr>
                <w:rFonts w:eastAsia="Times New Roman"/>
                <w:color w:val="000000"/>
                <w:sz w:val="22"/>
                <w:szCs w:val="22"/>
              </w:rPr>
              <w:t>6</w:t>
            </w:r>
          </w:p>
        </w:tc>
      </w:tr>
    </w:tbl>
    <w:p w:rsidR="00E32310" w:rsidP="00E32310" w14:paraId="22D6B4D1" w14:textId="4241BFCA">
      <w:pPr>
        <w:rPr>
          <w:sz w:val="22"/>
          <w:szCs w:val="22"/>
        </w:rPr>
      </w:pPr>
    </w:p>
    <w:p w:rsidR="00922C90" w:rsidP="00E32310" w14:paraId="62F4EB5B" w14:textId="77777777">
      <w:pPr>
        <w:rPr>
          <w:sz w:val="22"/>
          <w:szCs w:val="22"/>
        </w:rPr>
      </w:pPr>
    </w:p>
    <w:p w:rsidR="00DD6DD5" w:rsidRPr="00E3317C" w:rsidP="00DD6DD5" w14:paraId="39454F5B" w14:textId="30B448DA">
      <w:pPr>
        <w:ind w:firstLine="720"/>
      </w:pPr>
      <w:r w:rsidRPr="00925306">
        <w:t xml:space="preserve">The </w:t>
      </w:r>
      <w:r>
        <w:t xml:space="preserve">primary estimate for annualized </w:t>
      </w:r>
      <w:r w:rsidRPr="00925306">
        <w:t>cost</w:t>
      </w:r>
      <w:r>
        <w:t xml:space="preserve">s over a ten-year time horizon fall as the </w:t>
      </w:r>
      <w:r w:rsidR="00DB4BD1">
        <w:t>effective date</w:t>
      </w:r>
      <w:r>
        <w:t xml:space="preserve"> is </w:t>
      </w:r>
      <w:r w:rsidR="00C00820">
        <w:t>extended</w:t>
      </w:r>
      <w:r>
        <w:t>. The primary annualized costs estimate falls from $</w:t>
      </w:r>
      <w:r w:rsidR="00BD2B72">
        <w:t>3.</w:t>
      </w:r>
      <w:r w:rsidR="007314E5">
        <w:t>4</w:t>
      </w:r>
      <w:r w:rsidR="00333603">
        <w:t>5</w:t>
      </w:r>
      <w:r>
        <w:t xml:space="preserve"> million for a half</w:t>
      </w:r>
      <w:r w:rsidR="00D76C59">
        <w:t>-</w:t>
      </w:r>
      <w:r>
        <w:t xml:space="preserve">year </w:t>
      </w:r>
      <w:r w:rsidR="00DB4BD1">
        <w:t>effective date</w:t>
      </w:r>
      <w:r>
        <w:t xml:space="preserve"> to $</w:t>
      </w:r>
      <w:r w:rsidR="007314E5">
        <w:t>3.</w:t>
      </w:r>
      <w:r w:rsidR="001E5721">
        <w:t>2</w:t>
      </w:r>
      <w:r w:rsidR="0076766A">
        <w:t>4</w:t>
      </w:r>
      <w:r>
        <w:t xml:space="preserve"> million for a year</w:t>
      </w:r>
      <w:r w:rsidR="00D76C59">
        <w:t>-</w:t>
      </w:r>
      <w:r>
        <w:t>and</w:t>
      </w:r>
      <w:r w:rsidR="00D76C59">
        <w:t>-</w:t>
      </w:r>
      <w:r>
        <w:t xml:space="preserve">a half </w:t>
      </w:r>
      <w:r w:rsidR="00DB4BD1">
        <w:t>effective date</w:t>
      </w:r>
      <w:r>
        <w:t>, and then falls further to $</w:t>
      </w:r>
      <w:r w:rsidR="00C52DAB">
        <w:t>3.04</w:t>
      </w:r>
      <w:r>
        <w:t xml:space="preserve"> million for a two-and-a-half-year </w:t>
      </w:r>
      <w:r w:rsidR="001A36A0">
        <w:t>effective</w:t>
      </w:r>
      <w:r w:rsidR="006365C6">
        <w:t xml:space="preserve"> date</w:t>
      </w:r>
      <w:r>
        <w:t xml:space="preserve">. </w:t>
      </w:r>
      <w:r w:rsidR="000604C5">
        <w:rPr>
          <w:rFonts w:eastAsia="Times New Roman"/>
        </w:rPr>
        <w:t xml:space="preserve">These values can be found </w:t>
      </w:r>
      <w:r w:rsidRPr="004C5F4A" w:rsidR="000604C5">
        <w:rPr>
          <w:rFonts w:eastAsia="Times New Roman"/>
        </w:rPr>
        <w:t>in</w:t>
      </w:r>
      <w:r w:rsidR="000604C5">
        <w:rPr>
          <w:rFonts w:eastAsia="Times New Roman"/>
        </w:rPr>
        <w:t xml:space="preserve"> </w:t>
      </w:r>
      <w:r w:rsidRPr="00830D72" w:rsidR="00830D72">
        <w:rPr>
          <w:rFonts w:eastAsia="Times New Roman"/>
        </w:rPr>
        <w:fldChar w:fldCharType="begin"/>
      </w:r>
      <w:r w:rsidRPr="00830D72" w:rsidR="00830D72">
        <w:rPr>
          <w:rFonts w:eastAsia="Times New Roman"/>
        </w:rPr>
        <w:instrText xml:space="preserve"> REF _Ref132016147 \h </w:instrText>
      </w:r>
      <w:r w:rsidRPr="004848C7" w:rsidR="00830D72">
        <w:rPr>
          <w:rFonts w:eastAsia="Times New Roman"/>
        </w:rPr>
        <w:instrText xml:space="preserve"> \* MERGEFORMAT </w:instrText>
      </w:r>
      <w:r w:rsidRPr="00830D72" w:rsidR="00830D72">
        <w:rPr>
          <w:rFonts w:eastAsia="Times New Roman"/>
        </w:rPr>
        <w:fldChar w:fldCharType="separate"/>
      </w:r>
      <w:r w:rsidRPr="004848C7" w:rsidR="00830D72">
        <w:t xml:space="preserve">Table </w:t>
      </w:r>
      <w:r w:rsidRPr="004848C7" w:rsidR="00830D72">
        <w:rPr>
          <w:noProof/>
        </w:rPr>
        <w:t>31</w:t>
      </w:r>
      <w:r w:rsidRPr="00830D72" w:rsidR="00830D72">
        <w:rPr>
          <w:rFonts w:eastAsia="Times New Roman"/>
        </w:rPr>
        <w:fldChar w:fldCharType="end"/>
      </w:r>
      <w:r w:rsidRPr="004C5F4A" w:rsidR="000604C5">
        <w:rPr>
          <w:rFonts w:eastAsia="Times New Roman"/>
        </w:rPr>
        <w:t>.</w:t>
      </w:r>
    </w:p>
    <w:p w:rsidR="00EC0F55" w:rsidRPr="00E3317C" w:rsidP="00EC0F55" w14:paraId="40E1DCFB" w14:textId="700B7868">
      <w:pPr>
        <w:ind w:firstLine="720"/>
      </w:pPr>
      <w:r>
        <w:t xml:space="preserve">The impact of an earlier </w:t>
      </w:r>
      <w:r w:rsidR="00DB4BD1">
        <w:t>effective date</w:t>
      </w:r>
      <w:r>
        <w:t xml:space="preserve"> is an increase to both costs and cost savings and the net effect is small. Based on our assumptions an earlier </w:t>
      </w:r>
      <w:r w:rsidR="00C00820">
        <w:t>effective date</w:t>
      </w:r>
      <w:r>
        <w:t xml:space="preserve"> does not result in the primary estimate of costs exceeding cost savings</w:t>
      </w:r>
      <w:r w:rsidR="00C00820">
        <w:t>;</w:t>
      </w:r>
      <w:r>
        <w:t xml:space="preserve"> however</w:t>
      </w:r>
      <w:r w:rsidR="00C00820">
        <w:t>,</w:t>
      </w:r>
      <w:r>
        <w:t xml:space="preserve"> it may be the case that too short </w:t>
      </w:r>
      <w:r w:rsidR="00C65ED6">
        <w:t>an effective date</w:t>
      </w:r>
      <w:r>
        <w:t xml:space="preserve"> adversely affects firms’ ability to be compli</w:t>
      </w:r>
      <w:r w:rsidR="00C81A09">
        <w:t>a</w:t>
      </w:r>
      <w:r>
        <w:t xml:space="preserve">nt with the new requirements and may lead to additional costs, which we have not accounted for, or lead to noncompliance if firms require a learning and implementation period. </w:t>
      </w:r>
    </w:p>
    <w:p w:rsidR="00830E65" w:rsidP="00830E65" w14:paraId="14AB75E2" w14:textId="55267460"/>
    <w:p w:rsidR="00830E65" w:rsidRPr="00830E65" w:rsidP="00830E65" w14:paraId="3F4B6476" w14:textId="77777777"/>
    <w:p w:rsidR="00E32310" w:rsidRPr="00925306" w:rsidP="00925306" w14:paraId="3AC5F3CE" w14:textId="3A6E02EF">
      <w:pPr>
        <w:pStyle w:val="Caption"/>
        <w:rPr>
          <w:b/>
          <w:sz w:val="22"/>
          <w:szCs w:val="22"/>
        </w:rPr>
      </w:pPr>
      <w:bookmarkStart w:id="189" w:name="_Ref132016147"/>
      <w:bookmarkStart w:id="190" w:name="_Toc147238775"/>
      <w:r w:rsidRPr="00925306">
        <w:rPr>
          <w:b/>
        </w:rPr>
        <w:t xml:space="preserve">Table </w:t>
      </w:r>
      <w:r w:rsidRPr="00925306" w:rsidR="00351445">
        <w:rPr>
          <w:b/>
        </w:rPr>
        <w:fldChar w:fldCharType="begin"/>
      </w:r>
      <w:r w:rsidRPr="00925306" w:rsidR="00351445">
        <w:rPr>
          <w:b/>
        </w:rPr>
        <w:instrText xml:space="preserve"> SEQ Table \* ARABIC </w:instrText>
      </w:r>
      <w:r w:rsidRPr="00925306" w:rsidR="00351445">
        <w:rPr>
          <w:b/>
        </w:rPr>
        <w:fldChar w:fldCharType="separate"/>
      </w:r>
      <w:r w:rsidR="0011482F">
        <w:rPr>
          <w:b/>
          <w:noProof/>
        </w:rPr>
        <w:t>31</w:t>
      </w:r>
      <w:r w:rsidRPr="00925306" w:rsidR="00351445">
        <w:rPr>
          <w:b/>
        </w:rPr>
        <w:fldChar w:fldCharType="end"/>
      </w:r>
      <w:bookmarkEnd w:id="189"/>
      <w:r w:rsidRPr="00925306">
        <w:rPr>
          <w:b/>
        </w:rPr>
        <w:t xml:space="preserve">. </w:t>
      </w:r>
      <w:r w:rsidRPr="002763E0">
        <w:rPr>
          <w:b/>
        </w:rPr>
        <w:t xml:space="preserve">Costs Under Alternative </w:t>
      </w:r>
      <w:r w:rsidR="00DB4BD1">
        <w:rPr>
          <w:b/>
        </w:rPr>
        <w:t xml:space="preserve">Effective </w:t>
      </w:r>
      <w:r w:rsidR="00C65ED6">
        <w:rPr>
          <w:b/>
        </w:rPr>
        <w:t>D</w:t>
      </w:r>
      <w:r w:rsidR="00DB4BD1">
        <w:rPr>
          <w:b/>
        </w:rPr>
        <w:t>ate</w:t>
      </w:r>
      <w:r w:rsidRPr="00141D24">
        <w:rPr>
          <w:b/>
        </w:rPr>
        <w:t xml:space="preserve">s (in $ </w:t>
      </w:r>
      <w:r w:rsidR="00596412">
        <w:rPr>
          <w:b/>
        </w:rPr>
        <w:t>M</w:t>
      </w:r>
      <w:r w:rsidRPr="00141D24">
        <w:rPr>
          <w:b/>
        </w:rPr>
        <w:t>illions)</w:t>
      </w:r>
      <w:bookmarkEnd w:id="190"/>
    </w:p>
    <w:tbl>
      <w:tblPr>
        <w:tblW w:w="5000" w:type="pct"/>
        <w:tblLook w:val="04A0"/>
      </w:tblPr>
      <w:tblGrid>
        <w:gridCol w:w="4173"/>
        <w:gridCol w:w="1998"/>
        <w:gridCol w:w="1544"/>
        <w:gridCol w:w="1635"/>
      </w:tblGrid>
      <w:tr w14:paraId="249D4A81" w14:textId="77777777" w:rsidTr="004848C7">
        <w:tblPrEx>
          <w:tblW w:w="5000" w:type="pct"/>
          <w:tblLook w:val="04A0"/>
        </w:tblPrEx>
        <w:trPr>
          <w:trHeight w:val="432"/>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55EA9" w:rsidRPr="00925306" w:rsidP="00E32310" w14:paraId="4C989C4E" w14:textId="77777777">
            <w:pPr>
              <w:spacing w:after="0"/>
              <w:rPr>
                <w:rFonts w:eastAsia="Times New Roman"/>
                <w:b/>
                <w:color w:val="000000"/>
                <w:sz w:val="22"/>
                <w:szCs w:val="22"/>
              </w:rPr>
            </w:pPr>
            <w:r w:rsidRPr="00925306">
              <w:rPr>
                <w:rFonts w:eastAsia="Times New Roman"/>
                <w:b/>
                <w:color w:val="000000"/>
                <w:sz w:val="22"/>
                <w:szCs w:val="22"/>
              </w:rPr>
              <w:t> </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55EA9" w:rsidRPr="00925306" w:rsidP="00AC2CB0" w14:paraId="15B13FEB" w14:textId="77777777">
            <w:pPr>
              <w:spacing w:after="0"/>
              <w:jc w:val="center"/>
              <w:rPr>
                <w:rFonts w:eastAsia="Times New Roman"/>
                <w:b/>
                <w:color w:val="000000"/>
                <w:sz w:val="22"/>
                <w:szCs w:val="22"/>
              </w:rPr>
            </w:pPr>
            <w:r w:rsidRPr="00925306">
              <w:rPr>
                <w:rFonts w:eastAsia="Times New Roman"/>
                <w:b/>
                <w:color w:val="000000"/>
                <w:sz w:val="22"/>
                <w:szCs w:val="22"/>
              </w:rPr>
              <w:t>Primary Estimate (7%)</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55EA9" w:rsidRPr="00925306" w:rsidP="00AC2CB0" w14:paraId="4BEDDD35" w14:textId="77777777">
            <w:pPr>
              <w:spacing w:after="0"/>
              <w:jc w:val="center"/>
              <w:rPr>
                <w:rFonts w:eastAsia="Times New Roman"/>
                <w:b/>
                <w:color w:val="000000"/>
                <w:sz w:val="22"/>
                <w:szCs w:val="22"/>
              </w:rPr>
            </w:pPr>
            <w:r w:rsidRPr="00925306">
              <w:rPr>
                <w:rFonts w:eastAsia="Times New Roman"/>
                <w:b/>
                <w:color w:val="000000"/>
                <w:sz w:val="22"/>
                <w:szCs w:val="22"/>
              </w:rPr>
              <w:t>Low Estimate (7%)</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55EA9" w:rsidRPr="00925306" w:rsidP="00AC2CB0" w14:paraId="7F4C14FD" w14:textId="77777777">
            <w:pPr>
              <w:spacing w:after="0"/>
              <w:jc w:val="center"/>
              <w:rPr>
                <w:rFonts w:eastAsia="Times New Roman"/>
                <w:b/>
                <w:color w:val="000000"/>
                <w:sz w:val="22"/>
                <w:szCs w:val="22"/>
              </w:rPr>
            </w:pPr>
            <w:r w:rsidRPr="00925306">
              <w:rPr>
                <w:rFonts w:eastAsia="Times New Roman"/>
                <w:b/>
                <w:color w:val="000000"/>
                <w:sz w:val="22"/>
                <w:szCs w:val="22"/>
              </w:rPr>
              <w:t>High Estimate (7%)</w:t>
            </w:r>
          </w:p>
        </w:tc>
      </w:tr>
      <w:tr w14:paraId="7DABE028" w14:textId="77777777" w:rsidTr="004848C7">
        <w:tblPrEx>
          <w:tblW w:w="5000" w:type="pct"/>
          <w:tblLook w:val="04A0"/>
        </w:tblPrEx>
        <w:trPr>
          <w:trHeight w:val="216"/>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55EA9" w:rsidRPr="00925306" w:rsidP="00F55EA9" w14:paraId="413FF282" w14:textId="48CDAAA7">
            <w:pPr>
              <w:spacing w:after="0"/>
              <w:rPr>
                <w:rFonts w:eastAsia="Times New Roman"/>
                <w:color w:val="000000"/>
                <w:sz w:val="22"/>
                <w:szCs w:val="22"/>
              </w:rPr>
            </w:pPr>
            <w:r>
              <w:rPr>
                <w:rFonts w:eastAsia="Times New Roman"/>
                <w:color w:val="000000"/>
                <w:sz w:val="22"/>
                <w:szCs w:val="22"/>
              </w:rPr>
              <w:t xml:space="preserve">Half-year </w:t>
            </w:r>
            <w:r w:rsidR="001A36A0">
              <w:rPr>
                <w:rFonts w:eastAsia="Times New Roman"/>
                <w:color w:val="000000"/>
                <w:sz w:val="22"/>
                <w:szCs w:val="22"/>
              </w:rPr>
              <w:t>Effective Date</w:t>
            </w:r>
          </w:p>
        </w:tc>
        <w:tc>
          <w:tcPr>
            <w:tcW w:w="1980" w:type="dxa"/>
            <w:tcBorders>
              <w:top w:val="nil"/>
              <w:left w:val="nil"/>
              <w:bottom w:val="single" w:sz="4" w:space="0" w:color="auto"/>
              <w:right w:val="single" w:sz="4" w:space="0" w:color="auto"/>
            </w:tcBorders>
            <w:shd w:val="clear" w:color="auto" w:fill="auto"/>
            <w:noWrap/>
            <w:vAlign w:val="bottom"/>
            <w:hideMark/>
          </w:tcPr>
          <w:p w:rsidR="00F55EA9" w:rsidRPr="002763E0" w:rsidP="00AC2CB0" w14:paraId="4D472F2E" w14:textId="098C3EF1">
            <w:pPr>
              <w:spacing w:after="0"/>
              <w:jc w:val="center"/>
              <w:rPr>
                <w:rFonts w:eastAsia="Times New Roman"/>
                <w:color w:val="000000"/>
                <w:sz w:val="22"/>
                <w:szCs w:val="22"/>
              </w:rPr>
            </w:pPr>
            <w:r w:rsidRPr="002763E0">
              <w:rPr>
                <w:rFonts w:eastAsia="Times New Roman"/>
                <w:color w:val="000000"/>
                <w:sz w:val="22"/>
                <w:szCs w:val="22"/>
              </w:rPr>
              <w:t>$</w:t>
            </w:r>
            <w:r w:rsidR="00BD2B72">
              <w:rPr>
                <w:rFonts w:eastAsia="Times New Roman"/>
                <w:color w:val="000000"/>
                <w:sz w:val="22"/>
                <w:szCs w:val="22"/>
              </w:rPr>
              <w:t>3.</w:t>
            </w:r>
            <w:r w:rsidR="008147C5">
              <w:rPr>
                <w:rFonts w:eastAsia="Times New Roman"/>
                <w:color w:val="000000"/>
                <w:sz w:val="22"/>
                <w:szCs w:val="22"/>
              </w:rPr>
              <w:t>4</w:t>
            </w:r>
            <w:r w:rsidR="00333603">
              <w:rPr>
                <w:rFonts w:eastAsia="Times New Roman"/>
                <w:color w:val="000000"/>
                <w:sz w:val="22"/>
                <w:szCs w:val="22"/>
              </w:rPr>
              <w:t>5</w:t>
            </w:r>
          </w:p>
        </w:tc>
        <w:tc>
          <w:tcPr>
            <w:tcW w:w="153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3EE9DC44" w14:textId="645750CE">
            <w:pPr>
              <w:spacing w:after="0"/>
              <w:jc w:val="center"/>
              <w:rPr>
                <w:rFonts w:eastAsia="Times New Roman"/>
                <w:color w:val="000000"/>
                <w:sz w:val="22"/>
                <w:szCs w:val="22"/>
              </w:rPr>
            </w:pPr>
            <w:r w:rsidRPr="00E32310">
              <w:rPr>
                <w:rFonts w:eastAsia="Times New Roman"/>
                <w:color w:val="000000"/>
                <w:sz w:val="22"/>
                <w:szCs w:val="22"/>
              </w:rPr>
              <w:t>$</w:t>
            </w:r>
            <w:r w:rsidR="00BD2B72">
              <w:rPr>
                <w:rFonts w:eastAsia="Times New Roman"/>
                <w:color w:val="000000"/>
                <w:sz w:val="22"/>
                <w:szCs w:val="22"/>
              </w:rPr>
              <w:t>1.6</w:t>
            </w:r>
            <w:r w:rsidR="002D16F6">
              <w:rPr>
                <w:rFonts w:eastAsia="Times New Roman"/>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2CB3ED67" w14:textId="6A0CB771">
            <w:pPr>
              <w:spacing w:after="0"/>
              <w:jc w:val="center"/>
              <w:rPr>
                <w:rFonts w:eastAsia="Times New Roman"/>
                <w:color w:val="000000"/>
                <w:sz w:val="22"/>
                <w:szCs w:val="22"/>
              </w:rPr>
            </w:pPr>
            <w:r w:rsidRPr="00E32310">
              <w:rPr>
                <w:rFonts w:eastAsia="Times New Roman"/>
                <w:color w:val="000000"/>
                <w:sz w:val="22"/>
                <w:szCs w:val="22"/>
              </w:rPr>
              <w:t>$</w:t>
            </w:r>
            <w:r w:rsidR="00BD2B72">
              <w:rPr>
                <w:rFonts w:eastAsia="Times New Roman"/>
                <w:color w:val="000000"/>
                <w:sz w:val="22"/>
                <w:szCs w:val="22"/>
              </w:rPr>
              <w:t>5.</w:t>
            </w:r>
            <w:r w:rsidR="008D3926">
              <w:rPr>
                <w:rFonts w:eastAsia="Times New Roman"/>
                <w:color w:val="000000"/>
                <w:sz w:val="22"/>
                <w:szCs w:val="22"/>
              </w:rPr>
              <w:t>6</w:t>
            </w:r>
            <w:r w:rsidR="00333603">
              <w:rPr>
                <w:rFonts w:eastAsia="Times New Roman"/>
                <w:color w:val="000000"/>
                <w:sz w:val="22"/>
                <w:szCs w:val="22"/>
              </w:rPr>
              <w:t>4</w:t>
            </w:r>
          </w:p>
        </w:tc>
      </w:tr>
      <w:tr w14:paraId="098BCE5F" w14:textId="77777777" w:rsidTr="004848C7">
        <w:tblPrEx>
          <w:tblW w:w="5000" w:type="pct"/>
          <w:tblLook w:val="04A0"/>
        </w:tblPrEx>
        <w:trPr>
          <w:trHeight w:val="216"/>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55EA9" w:rsidRPr="00925306" w:rsidP="00F55EA9" w14:paraId="45C3652D" w14:textId="64FCCA88">
            <w:pPr>
              <w:spacing w:after="0"/>
              <w:rPr>
                <w:rFonts w:eastAsia="Times New Roman"/>
                <w:color w:val="000000"/>
                <w:sz w:val="22"/>
                <w:szCs w:val="22"/>
              </w:rPr>
            </w:pPr>
            <w:r>
              <w:rPr>
                <w:rFonts w:eastAsia="Times New Roman"/>
                <w:color w:val="000000"/>
                <w:sz w:val="22"/>
                <w:szCs w:val="22"/>
              </w:rPr>
              <w:t>Year-and-a-half</w:t>
            </w:r>
            <w:r w:rsidRPr="002763E0">
              <w:rPr>
                <w:rFonts w:eastAsia="Times New Roman"/>
                <w:color w:val="000000"/>
                <w:sz w:val="22"/>
                <w:szCs w:val="22"/>
              </w:rPr>
              <w:t xml:space="preserve"> </w:t>
            </w:r>
            <w:r w:rsidR="001A36A0">
              <w:rPr>
                <w:rFonts w:eastAsia="Times New Roman"/>
                <w:color w:val="000000"/>
                <w:sz w:val="22"/>
                <w:szCs w:val="22"/>
              </w:rPr>
              <w:t>Effective Date</w:t>
            </w:r>
            <w:r>
              <w:rPr>
                <w:rFonts w:eastAsia="Times New Roman"/>
                <w:color w:val="000000"/>
                <w:sz w:val="22"/>
                <w:szCs w:val="22"/>
              </w:rPr>
              <w:t xml:space="preserve"> (</w:t>
            </w:r>
            <w:r w:rsidR="002F441D">
              <w:rPr>
                <w:rFonts w:eastAsia="Times New Roman"/>
                <w:color w:val="000000"/>
                <w:sz w:val="22"/>
                <w:szCs w:val="22"/>
              </w:rPr>
              <w:t>baseline</w:t>
            </w:r>
            <w:r>
              <w:rPr>
                <w:rFonts w:eastAsia="Times New Roman"/>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F55EA9" w:rsidRPr="002763E0" w:rsidP="00AC2CB0" w14:paraId="740D58EB" w14:textId="3DFBF267">
            <w:pPr>
              <w:spacing w:after="0"/>
              <w:jc w:val="center"/>
              <w:rPr>
                <w:rFonts w:eastAsia="Times New Roman"/>
                <w:color w:val="000000"/>
                <w:sz w:val="22"/>
                <w:szCs w:val="22"/>
              </w:rPr>
            </w:pPr>
            <w:r w:rsidRPr="002763E0">
              <w:rPr>
                <w:rFonts w:eastAsia="Times New Roman"/>
                <w:color w:val="000000"/>
                <w:sz w:val="22"/>
                <w:szCs w:val="22"/>
              </w:rPr>
              <w:t>$</w:t>
            </w:r>
            <w:r w:rsidR="008147C5">
              <w:rPr>
                <w:rFonts w:eastAsia="Times New Roman"/>
                <w:color w:val="000000"/>
                <w:sz w:val="22"/>
                <w:szCs w:val="22"/>
              </w:rPr>
              <w:t>3.</w:t>
            </w:r>
            <w:r w:rsidR="00A91310">
              <w:rPr>
                <w:rFonts w:eastAsia="Times New Roman"/>
                <w:color w:val="000000"/>
                <w:sz w:val="22"/>
                <w:szCs w:val="22"/>
              </w:rPr>
              <w:t>2</w:t>
            </w:r>
            <w:r w:rsidR="0051236D">
              <w:rPr>
                <w:rFonts w:eastAsia="Times New Roman"/>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3F192CF4" w14:textId="5560695D">
            <w:pPr>
              <w:spacing w:after="0"/>
              <w:jc w:val="center"/>
              <w:rPr>
                <w:rFonts w:eastAsia="Times New Roman"/>
                <w:color w:val="000000"/>
                <w:sz w:val="22"/>
                <w:szCs w:val="22"/>
              </w:rPr>
            </w:pPr>
            <w:r w:rsidRPr="00E32310">
              <w:rPr>
                <w:rFonts w:eastAsia="Times New Roman"/>
                <w:color w:val="000000"/>
                <w:sz w:val="22"/>
                <w:szCs w:val="22"/>
              </w:rPr>
              <w:t>$</w:t>
            </w:r>
            <w:r w:rsidR="00BD2B72">
              <w:rPr>
                <w:rFonts w:eastAsia="Times New Roman"/>
                <w:color w:val="000000"/>
                <w:sz w:val="22"/>
                <w:szCs w:val="22"/>
              </w:rPr>
              <w:t>1.</w:t>
            </w:r>
            <w:r w:rsidR="00A91310">
              <w:rPr>
                <w:rFonts w:eastAsia="Times New Roman"/>
                <w:color w:val="000000"/>
                <w:sz w:val="22"/>
                <w:szCs w:val="22"/>
              </w:rPr>
              <w:t>52</w:t>
            </w:r>
          </w:p>
        </w:tc>
        <w:tc>
          <w:tcPr>
            <w:tcW w:w="162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43DE509A" w14:textId="159654AA">
            <w:pPr>
              <w:spacing w:after="0"/>
              <w:jc w:val="center"/>
              <w:rPr>
                <w:rFonts w:eastAsia="Times New Roman"/>
                <w:color w:val="000000"/>
                <w:sz w:val="22"/>
                <w:szCs w:val="22"/>
              </w:rPr>
            </w:pPr>
            <w:r w:rsidRPr="00E32310">
              <w:rPr>
                <w:rFonts w:eastAsia="Times New Roman"/>
                <w:color w:val="000000"/>
                <w:sz w:val="22"/>
                <w:szCs w:val="22"/>
              </w:rPr>
              <w:t>$</w:t>
            </w:r>
            <w:r w:rsidR="00A91310">
              <w:rPr>
                <w:rFonts w:eastAsia="Times New Roman"/>
                <w:color w:val="000000"/>
                <w:sz w:val="22"/>
                <w:szCs w:val="22"/>
              </w:rPr>
              <w:t>5.</w:t>
            </w:r>
            <w:r w:rsidR="0051236D">
              <w:rPr>
                <w:rFonts w:eastAsia="Times New Roman"/>
                <w:color w:val="000000"/>
                <w:sz w:val="22"/>
                <w:szCs w:val="22"/>
              </w:rPr>
              <w:t>30</w:t>
            </w:r>
          </w:p>
        </w:tc>
      </w:tr>
      <w:tr w14:paraId="17DF7642" w14:textId="77777777" w:rsidTr="004848C7">
        <w:tblPrEx>
          <w:tblW w:w="5000" w:type="pct"/>
          <w:tblLook w:val="04A0"/>
        </w:tblPrEx>
        <w:trPr>
          <w:trHeight w:val="216"/>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55EA9" w:rsidRPr="00925306" w:rsidP="00F55EA9" w14:paraId="5378D832" w14:textId="504CFDDF">
            <w:pPr>
              <w:spacing w:after="0"/>
              <w:rPr>
                <w:rFonts w:eastAsia="Times New Roman"/>
                <w:color w:val="000000"/>
                <w:sz w:val="22"/>
                <w:szCs w:val="22"/>
              </w:rPr>
            </w:pPr>
            <w:r>
              <w:rPr>
                <w:rFonts w:eastAsia="Times New Roman"/>
                <w:color w:val="000000"/>
                <w:sz w:val="22"/>
                <w:szCs w:val="22"/>
              </w:rPr>
              <w:t>Two-and-a-half-year</w:t>
            </w:r>
            <w:r w:rsidRPr="002763E0">
              <w:rPr>
                <w:rFonts w:eastAsia="Times New Roman"/>
                <w:color w:val="000000"/>
                <w:sz w:val="22"/>
                <w:szCs w:val="22"/>
              </w:rPr>
              <w:t xml:space="preserve"> </w:t>
            </w:r>
            <w:r w:rsidR="001A36A0">
              <w:rPr>
                <w:rFonts w:eastAsia="Times New Roman"/>
                <w:color w:val="000000"/>
                <w:sz w:val="22"/>
                <w:szCs w:val="22"/>
              </w:rPr>
              <w:t>Effective Date</w:t>
            </w:r>
          </w:p>
        </w:tc>
        <w:tc>
          <w:tcPr>
            <w:tcW w:w="1980" w:type="dxa"/>
            <w:tcBorders>
              <w:top w:val="nil"/>
              <w:left w:val="nil"/>
              <w:bottom w:val="single" w:sz="4" w:space="0" w:color="auto"/>
              <w:right w:val="single" w:sz="4" w:space="0" w:color="auto"/>
            </w:tcBorders>
            <w:shd w:val="clear" w:color="auto" w:fill="auto"/>
            <w:noWrap/>
            <w:vAlign w:val="bottom"/>
            <w:hideMark/>
          </w:tcPr>
          <w:p w:rsidR="00F55EA9" w:rsidRPr="002763E0" w:rsidP="00AC2CB0" w14:paraId="5E0ACD28" w14:textId="372A3EFA">
            <w:pPr>
              <w:spacing w:after="0"/>
              <w:jc w:val="center"/>
              <w:rPr>
                <w:rFonts w:eastAsia="Times New Roman"/>
                <w:color w:val="000000"/>
                <w:sz w:val="22"/>
                <w:szCs w:val="22"/>
              </w:rPr>
            </w:pPr>
            <w:r w:rsidRPr="002763E0">
              <w:rPr>
                <w:rFonts w:eastAsia="Times New Roman"/>
                <w:color w:val="000000"/>
                <w:sz w:val="22"/>
                <w:szCs w:val="22"/>
              </w:rPr>
              <w:t>$</w:t>
            </w:r>
            <w:r w:rsidR="009332DD">
              <w:rPr>
                <w:rFonts w:eastAsia="Times New Roman"/>
                <w:color w:val="000000"/>
                <w:sz w:val="22"/>
                <w:szCs w:val="22"/>
              </w:rPr>
              <w:t>3.04</w:t>
            </w:r>
          </w:p>
        </w:tc>
        <w:tc>
          <w:tcPr>
            <w:tcW w:w="153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5F6D4CF3" w14:textId="3389223C">
            <w:pPr>
              <w:spacing w:after="0"/>
              <w:jc w:val="center"/>
              <w:rPr>
                <w:rFonts w:eastAsia="Times New Roman"/>
                <w:color w:val="000000"/>
                <w:sz w:val="22"/>
                <w:szCs w:val="22"/>
              </w:rPr>
            </w:pPr>
            <w:r w:rsidRPr="00E32310">
              <w:rPr>
                <w:rFonts w:eastAsia="Times New Roman"/>
                <w:color w:val="000000"/>
                <w:sz w:val="22"/>
                <w:szCs w:val="22"/>
              </w:rPr>
              <w:t>$</w:t>
            </w:r>
            <w:r w:rsidR="00FB6B74">
              <w:rPr>
                <w:rFonts w:eastAsia="Times New Roman"/>
                <w:color w:val="000000"/>
                <w:sz w:val="22"/>
                <w:szCs w:val="22"/>
              </w:rPr>
              <w:t>1.</w:t>
            </w:r>
            <w:r w:rsidR="009332DD">
              <w:rPr>
                <w:rFonts w:eastAsia="Times New Roman"/>
                <w:color w:val="000000"/>
                <w:sz w:val="22"/>
                <w:szCs w:val="22"/>
              </w:rPr>
              <w:t>43</w:t>
            </w:r>
          </w:p>
        </w:tc>
        <w:tc>
          <w:tcPr>
            <w:tcW w:w="1620" w:type="dxa"/>
            <w:tcBorders>
              <w:top w:val="nil"/>
              <w:left w:val="nil"/>
              <w:bottom w:val="single" w:sz="4" w:space="0" w:color="auto"/>
              <w:right w:val="single" w:sz="4" w:space="0" w:color="auto"/>
            </w:tcBorders>
            <w:shd w:val="clear" w:color="auto" w:fill="auto"/>
            <w:noWrap/>
            <w:vAlign w:val="bottom"/>
            <w:hideMark/>
          </w:tcPr>
          <w:p w:rsidR="00F55EA9" w:rsidRPr="00E32310" w:rsidP="00AC2CB0" w14:paraId="7F2DE2CF" w14:textId="2EF32CEB">
            <w:pPr>
              <w:spacing w:after="0"/>
              <w:jc w:val="center"/>
              <w:rPr>
                <w:rFonts w:eastAsia="Times New Roman"/>
                <w:color w:val="000000"/>
                <w:sz w:val="22"/>
                <w:szCs w:val="22"/>
              </w:rPr>
            </w:pPr>
            <w:r w:rsidRPr="00E32310">
              <w:rPr>
                <w:rFonts w:eastAsia="Times New Roman"/>
                <w:color w:val="000000"/>
                <w:sz w:val="22"/>
                <w:szCs w:val="22"/>
              </w:rPr>
              <w:t>$</w:t>
            </w:r>
            <w:r w:rsidR="00BD2B72">
              <w:rPr>
                <w:rFonts w:eastAsia="Times New Roman"/>
                <w:color w:val="000000"/>
                <w:sz w:val="22"/>
                <w:szCs w:val="22"/>
              </w:rPr>
              <w:t>4.</w:t>
            </w:r>
            <w:r w:rsidR="009332DD">
              <w:rPr>
                <w:rFonts w:eastAsia="Times New Roman"/>
                <w:color w:val="000000"/>
                <w:sz w:val="22"/>
                <w:szCs w:val="22"/>
              </w:rPr>
              <w:t>97</w:t>
            </w:r>
          </w:p>
        </w:tc>
      </w:tr>
    </w:tbl>
    <w:p w:rsidR="00D57B6B" w:rsidP="00D57B6B" w14:paraId="7CCCA456" w14:textId="77777777">
      <w:pPr>
        <w:ind w:firstLine="720"/>
        <w:rPr>
          <w:sz w:val="22"/>
          <w:szCs w:val="22"/>
        </w:rPr>
      </w:pPr>
    </w:p>
    <w:p w:rsidR="00D57B6B" w:rsidRPr="000E6DD7" w:rsidP="00925306" w14:paraId="2A666298" w14:textId="77777777">
      <w:pPr>
        <w:ind w:firstLine="720"/>
        <w:rPr>
          <w:sz w:val="22"/>
          <w:szCs w:val="22"/>
        </w:rPr>
      </w:pPr>
    </w:p>
    <w:p w:rsidR="00F47D86" w:rsidP="00F47D86" w14:paraId="2807D031" w14:textId="7CB18D75">
      <w:pPr>
        <w:pStyle w:val="Heading1"/>
      </w:pPr>
      <w:bookmarkStart w:id="191" w:name="_Toc148515759"/>
      <w:r>
        <w:t>Initial Small Entity Analysis</w:t>
      </w:r>
      <w:bookmarkEnd w:id="191"/>
    </w:p>
    <w:p w:rsidR="001F7A42" w:rsidP="00F47D86" w14:paraId="713335E0" w14:textId="77777777">
      <w:pPr>
        <w:ind w:firstLine="720"/>
      </w:pPr>
    </w:p>
    <w:p w:rsidR="00797C71" w:rsidP="004848C7" w14:paraId="3A7CF9C1" w14:textId="203C3B86">
      <w:pPr>
        <w:ind w:firstLine="720"/>
        <w:rPr>
          <w:bCs/>
        </w:rPr>
      </w:pPr>
      <w:r w:rsidRPr="000D2B47">
        <w:t xml:space="preserve">The Regulatory Flexibility Act requires Agencies to analyze regulatory options that would minimize any significant impact of a rule on small entities. Because </w:t>
      </w:r>
      <w:r w:rsidRPr="0092168B">
        <w:t>this</w:t>
      </w:r>
      <w:r w:rsidR="00627A01">
        <w:t xml:space="preserve"> final</w:t>
      </w:r>
      <w:r w:rsidR="0066229A">
        <w:t xml:space="preserve"> </w:t>
      </w:r>
      <w:r w:rsidRPr="0092168B">
        <w:t xml:space="preserve">rule better </w:t>
      </w:r>
      <w:r w:rsidRPr="0092168B" w:rsidR="00685DBB">
        <w:t xml:space="preserve">tailors </w:t>
      </w:r>
      <w:r w:rsidR="00C33EEA">
        <w:t>CGMP</w:t>
      </w:r>
      <w:r w:rsidR="000B4DF7">
        <w:t xml:space="preserve"> </w:t>
      </w:r>
      <w:r w:rsidR="00AD1079">
        <w:t>r</w:t>
      </w:r>
      <w:r w:rsidR="000B4DF7">
        <w:t>equirement</w:t>
      </w:r>
      <w:r w:rsidR="00C33EEA">
        <w:t>s</w:t>
      </w:r>
      <w:r w:rsidRPr="0092168B">
        <w:t xml:space="preserve"> for </w:t>
      </w:r>
      <w:r w:rsidR="00AA25B6">
        <w:t>medical gases</w:t>
      </w:r>
      <w:r w:rsidRPr="0092168B">
        <w:t xml:space="preserve"> and </w:t>
      </w:r>
      <w:r w:rsidR="0095693E">
        <w:t xml:space="preserve">only </w:t>
      </w:r>
      <w:r w:rsidRPr="0092168B">
        <w:t>creates</w:t>
      </w:r>
      <w:r w:rsidR="0095693E">
        <w:t xml:space="preserve"> small</w:t>
      </w:r>
      <w:r w:rsidRPr="0092168B">
        <w:t xml:space="preserve"> </w:t>
      </w:r>
      <w:r w:rsidR="001063CF">
        <w:t>single</w:t>
      </w:r>
      <w:r w:rsidR="00E54A84">
        <w:t>-</w:t>
      </w:r>
      <w:r w:rsidR="001063CF">
        <w:t>year</w:t>
      </w:r>
      <w:r w:rsidRPr="0092168B">
        <w:t xml:space="preserve"> cost</w:t>
      </w:r>
      <w:r w:rsidR="00AB4A15">
        <w:t>s</w:t>
      </w:r>
      <w:r w:rsidRPr="000D2B47">
        <w:t xml:space="preserve">, we certify that the </w:t>
      </w:r>
      <w:r w:rsidR="00264BAF">
        <w:t xml:space="preserve">final </w:t>
      </w:r>
      <w:r w:rsidRPr="000D2B47">
        <w:t>rule will not have a significant economic impact on a substantial number of small entities. This analysis, as well as other sections in this document, serves as the Initial Regulatory Flexibility Analysis, as required under the Regulatory Flexibility Act</w:t>
      </w:r>
      <w:r w:rsidRPr="000D2B47">
        <w:rPr>
          <w:bCs/>
        </w:rPr>
        <w:t xml:space="preserve">. </w:t>
      </w:r>
    </w:p>
    <w:p w:rsidR="00797C71" w:rsidRPr="00672400" w:rsidP="004848C7" w14:paraId="2229247B" w14:textId="31143C37">
      <w:pPr>
        <w:ind w:firstLine="720"/>
        <w:rPr>
          <w:bCs/>
        </w:rPr>
      </w:pPr>
      <w:r w:rsidRPr="00672400">
        <w:rPr>
          <w:bCs/>
        </w:rPr>
        <w:t xml:space="preserve">To assess the </w:t>
      </w:r>
      <w:r w:rsidR="00627A01">
        <w:rPr>
          <w:bCs/>
        </w:rPr>
        <w:t>final</w:t>
      </w:r>
      <w:r w:rsidR="0066229A">
        <w:rPr>
          <w:bCs/>
        </w:rPr>
        <w:t xml:space="preserve"> </w:t>
      </w:r>
      <w:r w:rsidRPr="00672400">
        <w:rPr>
          <w:bCs/>
        </w:rPr>
        <w:t>rule’s economic impact on small entities, we compare each establishment’s revenues with its rule-related costs [= (establishment’s expected rule-induced costs) / (establishment’s annual revenues)]. Analyzing the effects of the rule on small businesses requires revenue and cost data, and a measure to assess whether the establishment is “small</w:t>
      </w:r>
      <w:r w:rsidR="00A36A39">
        <w:rPr>
          <w:bCs/>
        </w:rPr>
        <w:t>.</w:t>
      </w:r>
      <w:r w:rsidRPr="00672400">
        <w:rPr>
          <w:bCs/>
        </w:rPr>
        <w:t xml:space="preserve">” We explain the data we use and our conclusion in this section. </w:t>
      </w:r>
    </w:p>
    <w:p w:rsidR="005C019A" w:rsidP="004848C7" w14:paraId="7AD7C45D" w14:textId="60F4C4A3">
      <w:pPr>
        <w:ind w:firstLine="720"/>
      </w:pPr>
      <w:r w:rsidRPr="00E4751C">
        <w:t xml:space="preserve">FDA has examined the economic implications of the </w:t>
      </w:r>
      <w:r w:rsidR="00627A01">
        <w:t>final</w:t>
      </w:r>
      <w:r w:rsidRPr="00E4751C">
        <w:t xml:space="preserve"> rule as required by the Regulatory Flexibility Act. </w:t>
      </w:r>
      <w:r w:rsidRPr="00E4751C">
        <w:rPr>
          <w:color w:val="000000"/>
        </w:rPr>
        <w:t xml:space="preserve">FDA does not believe that the rule </w:t>
      </w:r>
      <w:r w:rsidR="00C31A0C">
        <w:rPr>
          <w:color w:val="000000"/>
        </w:rPr>
        <w:t>will</w:t>
      </w:r>
      <w:r w:rsidRPr="00E4751C">
        <w:rPr>
          <w:color w:val="000000"/>
        </w:rPr>
        <w:t xml:space="preserve"> directly impact a significant percentage of small business entities. The analysis that follows shows that the estimated cost per small </w:t>
      </w:r>
      <w:r w:rsidR="00717A9C">
        <w:rPr>
          <w:color w:val="000000"/>
        </w:rPr>
        <w:t xml:space="preserve">entity for most small firms </w:t>
      </w:r>
      <w:r w:rsidRPr="00E4751C">
        <w:rPr>
          <w:color w:val="000000"/>
        </w:rPr>
        <w:t xml:space="preserve">represents a small percentage of the average annual sales for each </w:t>
      </w:r>
      <w:r w:rsidRPr="003C5B53">
        <w:rPr>
          <w:color w:val="000000"/>
        </w:rPr>
        <w:t xml:space="preserve">firm. </w:t>
      </w:r>
      <w:r w:rsidRPr="003C5B53">
        <w:t xml:space="preserve">We estimate </w:t>
      </w:r>
      <w:r>
        <w:t xml:space="preserve">that </w:t>
      </w:r>
      <w:r w:rsidR="005C083F">
        <w:t>the highest single</w:t>
      </w:r>
      <w:r w:rsidR="00E54A84">
        <w:t>-</w:t>
      </w:r>
      <w:r w:rsidR="005C083F">
        <w:t xml:space="preserve">year cost for </w:t>
      </w:r>
      <w:r w:rsidR="00A551C8">
        <w:t xml:space="preserve">a firm could be as high as </w:t>
      </w:r>
      <w:r w:rsidR="00DF5EE6">
        <w:t>0.</w:t>
      </w:r>
      <w:r w:rsidR="00E044A6">
        <w:t>860</w:t>
      </w:r>
      <w:r w:rsidR="00DF5EE6">
        <w:t xml:space="preserve"> percent while the average costs to receipts ratio </w:t>
      </w:r>
      <w:r w:rsidR="0033703A">
        <w:t>is</w:t>
      </w:r>
      <w:r w:rsidR="00DF5EE6">
        <w:t xml:space="preserve"> 0.00</w:t>
      </w:r>
      <w:r w:rsidR="00A35C6A">
        <w:t>7</w:t>
      </w:r>
      <w:r w:rsidR="0033703A">
        <w:t xml:space="preserve"> percent.</w:t>
      </w:r>
    </w:p>
    <w:p w:rsidR="00797C71" w:rsidRPr="005C0398" w:rsidP="004848C7" w14:paraId="24B3D906" w14:textId="10CD344D">
      <w:pPr>
        <w:ind w:firstLine="720"/>
        <w:rPr>
          <w:bCs/>
        </w:rPr>
      </w:pPr>
      <w:r w:rsidRPr="005C0398">
        <w:rPr>
          <w:bCs/>
        </w:rPr>
        <w:t xml:space="preserve">The Regulatory Flexibility Act requires agencies to analyze regulatory options that </w:t>
      </w:r>
      <w:r w:rsidRPr="005C0398">
        <w:rPr>
          <w:bCs/>
        </w:rPr>
        <w:t>would</w:t>
      </w:r>
      <w:r w:rsidRPr="005C0398">
        <w:rPr>
          <w:bCs/>
        </w:rPr>
        <w:t xml:space="preserve"> lessen the economic effect of the rule on small entities if a rule will have a significant economic impact on a substantial number of small entities. Our analysis does not suggest that the </w:t>
      </w:r>
      <w:r w:rsidR="00627A01">
        <w:rPr>
          <w:bCs/>
        </w:rPr>
        <w:t>final</w:t>
      </w:r>
      <w:r w:rsidRPr="005C0398">
        <w:rPr>
          <w:bCs/>
        </w:rPr>
        <w:t xml:space="preserve"> rule </w:t>
      </w:r>
      <w:r w:rsidR="00C31A0C">
        <w:rPr>
          <w:bCs/>
        </w:rPr>
        <w:t>will</w:t>
      </w:r>
      <w:r w:rsidRPr="005C0398">
        <w:rPr>
          <w:bCs/>
        </w:rPr>
        <w:t xml:space="preserve"> have a significant impact on a substantial number of small entities. Therefore, we do not provide additional options to the regulation. </w:t>
      </w:r>
    </w:p>
    <w:p w:rsidR="001F7A42" w:rsidP="004848C7" w14:paraId="5377EFA6" w14:textId="77777777">
      <w:pPr>
        <w:ind w:firstLine="720"/>
        <w:rPr>
          <w:bCs/>
        </w:rPr>
      </w:pPr>
    </w:p>
    <w:p w:rsidR="00F47D86" w:rsidP="00F47D86" w14:paraId="4E299F29" w14:textId="3D70EF46">
      <w:pPr>
        <w:pStyle w:val="Heading2"/>
        <w:numPr>
          <w:ilvl w:val="0"/>
          <w:numId w:val="15"/>
        </w:numPr>
        <w:ind w:left="360"/>
      </w:pPr>
      <w:bookmarkStart w:id="192" w:name="_Toc36633598"/>
      <w:bookmarkStart w:id="193" w:name="_Toc148515760"/>
      <w:bookmarkEnd w:id="192"/>
      <w:r>
        <w:t>Description and Number of Affected Small Entities</w:t>
      </w:r>
      <w:bookmarkEnd w:id="193"/>
    </w:p>
    <w:p w:rsidR="001D3AD5" w:rsidP="00922C90" w14:paraId="55E082B2" w14:textId="77777777"/>
    <w:p w:rsidR="00056E23" w:rsidP="00922C90" w14:paraId="416502D8" w14:textId="1B9286C5">
      <w:pPr>
        <w:ind w:firstLine="720"/>
      </w:pPr>
      <w:r>
        <w:t>We use data from the 20</w:t>
      </w:r>
      <w:r w:rsidR="007D54A6">
        <w:t>20</w:t>
      </w:r>
      <w:r>
        <w:t xml:space="preserve"> ERG report (</w:t>
      </w:r>
      <w:r w:rsidR="005A1789">
        <w:t>R</w:t>
      </w:r>
      <w:r>
        <w:t xml:space="preserve">ef. </w:t>
      </w:r>
      <w:r w:rsidR="00BB2E72">
        <w:t>2</w:t>
      </w:r>
      <w:r>
        <w:t xml:space="preserve">) to identify the number of small firms. ERG used </w:t>
      </w:r>
      <w:r w:rsidR="005C019A">
        <w:t xml:space="preserve">the </w:t>
      </w:r>
      <w:r>
        <w:t xml:space="preserve">Dun &amp; Bradstreet (D&amp;B) database to identify </w:t>
      </w:r>
      <w:r w:rsidR="001737EF">
        <w:t xml:space="preserve">the </w:t>
      </w:r>
      <w:r>
        <w:t>total count</w:t>
      </w:r>
      <w:r w:rsidR="001737EF">
        <w:t xml:space="preserve"> of small firms</w:t>
      </w:r>
      <w:r>
        <w:t xml:space="preserve">. </w:t>
      </w:r>
      <w:r>
        <w:t>ERG identified 700 total small entities</w:t>
      </w:r>
      <w:r w:rsidR="00400498">
        <w:t xml:space="preserve"> (41.3</w:t>
      </w:r>
      <w:r w:rsidR="00C466C5">
        <w:t xml:space="preserve"> percent</w:t>
      </w:r>
      <w:r w:rsidR="00400498">
        <w:t xml:space="preserve"> of all entities)</w:t>
      </w:r>
      <w:r>
        <w:t>. Of those small entities</w:t>
      </w:r>
      <w:r w:rsidR="00400498">
        <w:t>:</w:t>
      </w:r>
      <w:r>
        <w:t xml:space="preserve"> 5 were original </w:t>
      </w:r>
      <w:r w:rsidR="00400498">
        <w:t>manufacture</w:t>
      </w:r>
      <w:r w:rsidR="00F94193">
        <w:t>r</w:t>
      </w:r>
      <w:r w:rsidR="00400498">
        <w:t>s (1.6</w:t>
      </w:r>
      <w:r w:rsidR="00C466C5">
        <w:t xml:space="preserve"> percent</w:t>
      </w:r>
      <w:r w:rsidR="00400498">
        <w:t xml:space="preserve"> of all original manufacturers), 504 were downstream persons and entities not engaged in homecare (46.8</w:t>
      </w:r>
      <w:r w:rsidR="00C466C5">
        <w:t xml:space="preserve"> percent</w:t>
      </w:r>
      <w:r w:rsidR="00400498">
        <w:t xml:space="preserve"> of all downstream entities not engaged in homecare), and 191 </w:t>
      </w:r>
      <w:r w:rsidR="00F94193">
        <w:t xml:space="preserve">were </w:t>
      </w:r>
      <w:r w:rsidR="00400498">
        <w:t>downstream persons and entities engaged in homecare (63.2</w:t>
      </w:r>
      <w:r w:rsidR="00C466C5">
        <w:t xml:space="preserve"> percent</w:t>
      </w:r>
      <w:r w:rsidR="00400498">
        <w:t xml:space="preserve"> of all downstream entities engaged in homecare).</w:t>
      </w:r>
      <w:r w:rsidR="000A5146">
        <w:t xml:space="preserve"> We determine that both downstream persons and entity categories have a substantial number of small entities.</w:t>
      </w:r>
    </w:p>
    <w:p w:rsidR="009D09C4" w:rsidP="004848C7" w14:paraId="5F572B25" w14:textId="7D45CF02">
      <w:pPr>
        <w:kinsoku w:val="0"/>
        <w:overflowPunct w:val="0"/>
        <w:autoSpaceDE w:val="0"/>
        <w:autoSpaceDN w:val="0"/>
        <w:adjustRightInd w:val="0"/>
        <w:ind w:right="828" w:firstLine="720"/>
        <w:rPr>
          <w:rFonts w:eastAsiaTheme="minorEastAsia"/>
        </w:rPr>
      </w:pPr>
      <w:r>
        <w:t>We use the</w:t>
      </w:r>
      <w:r w:rsidR="00122240">
        <w:t xml:space="preserve"> four subcategories</w:t>
      </w:r>
      <w:r w:rsidR="007760C0">
        <w:t xml:space="preserve"> that comprise the industry group</w:t>
      </w:r>
      <w:r w:rsidR="00976282">
        <w:t xml:space="preserve">, </w:t>
      </w:r>
      <w:r w:rsidRPr="007432B9">
        <w:t>Pharmaceutical and Medicine Manufacturing</w:t>
      </w:r>
      <w:r w:rsidR="00976282">
        <w:t>,</w:t>
      </w:r>
      <w:r w:rsidRPr="6007E727">
        <w:rPr>
          <w:rFonts w:eastAsiaTheme="minorEastAsia"/>
        </w:rPr>
        <w:t xml:space="preserve"> </w:t>
      </w:r>
      <w:r w:rsidRPr="007432B9">
        <w:t>NAICS code 325400</w:t>
      </w:r>
      <w:r w:rsidRPr="007432B9" w:rsidR="0DCFF29D">
        <w:t>,</w:t>
      </w:r>
      <w:r w:rsidR="00976282">
        <w:t xml:space="preserve"> to identify the </w:t>
      </w:r>
      <w:r w:rsidRPr="6007E727" w:rsidR="00976282">
        <w:rPr>
          <w:rFonts w:eastAsiaTheme="minorEastAsia"/>
        </w:rPr>
        <w:t xml:space="preserve">Small Business Administration’s (SBA) </w:t>
      </w:r>
      <w:r w:rsidR="00976282">
        <w:t>threshold.</w:t>
      </w:r>
      <w:r w:rsidRPr="007432B9">
        <w:t xml:space="preserve"> </w:t>
      </w:r>
      <w:r w:rsidRPr="00830D72" w:rsidR="00830D72">
        <w:fldChar w:fldCharType="begin"/>
      </w:r>
      <w:r w:rsidRPr="00830D72" w:rsidR="00830D72">
        <w:instrText xml:space="preserve"> REF _Ref132016167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32</w:t>
      </w:r>
      <w:r w:rsidRPr="00830D72" w:rsidR="00830D72">
        <w:fldChar w:fldCharType="end"/>
      </w:r>
      <w:r w:rsidR="000604C5">
        <w:t xml:space="preserve"> </w:t>
      </w:r>
      <w:r w:rsidRPr="6007E727" w:rsidR="00976282">
        <w:rPr>
          <w:rFonts w:eastAsiaTheme="minorEastAsia"/>
        </w:rPr>
        <w:t>displays</w:t>
      </w:r>
      <w:r w:rsidRPr="6007E727">
        <w:rPr>
          <w:rFonts w:eastAsiaTheme="minorEastAsia"/>
        </w:rPr>
        <w:t xml:space="preserve"> the SBA 20</w:t>
      </w:r>
      <w:r w:rsidR="00FC1DD8">
        <w:rPr>
          <w:rFonts w:eastAsiaTheme="minorEastAsia"/>
        </w:rPr>
        <w:t>23</w:t>
      </w:r>
      <w:r w:rsidRPr="6007E727">
        <w:rPr>
          <w:rFonts w:eastAsiaTheme="minorEastAsia"/>
        </w:rPr>
        <w:t xml:space="preserve"> size standards for the industries affected by the </w:t>
      </w:r>
      <w:r w:rsidR="00627A01">
        <w:rPr>
          <w:rFonts w:eastAsiaTheme="minorEastAsia"/>
        </w:rPr>
        <w:t>final</w:t>
      </w:r>
      <w:r w:rsidRPr="6007E727">
        <w:rPr>
          <w:rFonts w:eastAsiaTheme="minorEastAsia"/>
        </w:rPr>
        <w:t xml:space="preserve"> rule.</w:t>
      </w:r>
      <w:r>
        <w:rPr>
          <w:rStyle w:val="FootnoteReference"/>
          <w:rFonts w:eastAsiaTheme="minorEastAsia"/>
        </w:rPr>
        <w:footnoteReference w:id="27"/>
      </w:r>
    </w:p>
    <w:p w:rsidR="00804941" w:rsidP="004848C7" w14:paraId="3F3987D4" w14:textId="10D34599">
      <w:pPr>
        <w:kinsoku w:val="0"/>
        <w:overflowPunct w:val="0"/>
        <w:autoSpaceDE w:val="0"/>
        <w:autoSpaceDN w:val="0"/>
        <w:adjustRightInd w:val="0"/>
        <w:ind w:left="120" w:right="828" w:firstLine="720"/>
        <w:rPr>
          <w:rFonts w:eastAsiaTheme="minorHAnsi"/>
        </w:rPr>
      </w:pPr>
    </w:p>
    <w:p w:rsidR="009D09C4" w:rsidRPr="000E6DD7" w:rsidP="000E6DD7" w14:paraId="2E1F112B" w14:textId="0086DA44">
      <w:pPr>
        <w:pStyle w:val="Caption"/>
        <w:keepNext/>
        <w:rPr>
          <w:b/>
        </w:rPr>
      </w:pPr>
      <w:bookmarkStart w:id="194" w:name="_bookmark2"/>
      <w:bookmarkStart w:id="195" w:name="_Ref37665344"/>
      <w:bookmarkStart w:id="196" w:name="_Ref132016167"/>
      <w:bookmarkStart w:id="197" w:name="_Toc147238776"/>
      <w:bookmarkEnd w:id="194"/>
      <w:r w:rsidRPr="000E6DD7">
        <w:rPr>
          <w:b/>
        </w:rPr>
        <w:t xml:space="preserve">Table </w:t>
      </w:r>
      <w:bookmarkEnd w:id="195"/>
      <w:r w:rsidRPr="000E6DD7" w:rsidR="00D87E2F">
        <w:rPr>
          <w:b/>
        </w:rPr>
        <w:fldChar w:fldCharType="begin"/>
      </w:r>
      <w:r w:rsidRPr="000E6DD7" w:rsidR="00D87E2F">
        <w:rPr>
          <w:b/>
        </w:rPr>
        <w:instrText xml:space="preserve"> SEQ Table \* ARABIC </w:instrText>
      </w:r>
      <w:r w:rsidRPr="000E6DD7" w:rsidR="00D87E2F">
        <w:rPr>
          <w:b/>
        </w:rPr>
        <w:fldChar w:fldCharType="separate"/>
      </w:r>
      <w:r w:rsidR="0011482F">
        <w:rPr>
          <w:b/>
          <w:noProof/>
        </w:rPr>
        <w:t>32</w:t>
      </w:r>
      <w:r w:rsidRPr="000E6DD7" w:rsidR="00D87E2F">
        <w:rPr>
          <w:b/>
        </w:rPr>
        <w:fldChar w:fldCharType="end"/>
      </w:r>
      <w:bookmarkEnd w:id="196"/>
      <w:r w:rsidRPr="000E6DD7">
        <w:rPr>
          <w:b/>
        </w:rPr>
        <w:t>.</w:t>
      </w:r>
      <w:r w:rsidRPr="000E6DD7">
        <w:rPr>
          <w:rFonts w:eastAsiaTheme="minorHAnsi"/>
          <w:b/>
        </w:rPr>
        <w:t xml:space="preserve"> Small Business Administration Size Standards for Industries Affected by the </w:t>
      </w:r>
      <w:r w:rsidR="00627A01">
        <w:rPr>
          <w:rFonts w:eastAsiaTheme="minorHAnsi"/>
          <w:b/>
        </w:rPr>
        <w:t>Final</w:t>
      </w:r>
      <w:r w:rsidRPr="000E6DD7">
        <w:rPr>
          <w:rFonts w:eastAsiaTheme="minorHAnsi"/>
          <w:b/>
        </w:rPr>
        <w:t xml:space="preserve"> Rule</w:t>
      </w:r>
      <w:bookmarkEnd w:id="197"/>
    </w:p>
    <w:tbl>
      <w:tblPr>
        <w:tblW w:w="5000" w:type="pct"/>
        <w:tblInd w:w="-5" w:type="dxa"/>
        <w:tblLayout w:type="fixed"/>
        <w:tblCellMar>
          <w:left w:w="0" w:type="dxa"/>
          <w:right w:w="0" w:type="dxa"/>
        </w:tblCellMar>
        <w:tblLook w:val="0000"/>
      </w:tblPr>
      <w:tblGrid>
        <w:gridCol w:w="1634"/>
        <w:gridCol w:w="5537"/>
        <w:gridCol w:w="2179"/>
      </w:tblGrid>
      <w:tr w14:paraId="237358D2" w14:textId="77777777" w:rsidTr="004848C7">
        <w:tblPrEx>
          <w:tblW w:w="5000" w:type="pct"/>
          <w:tblInd w:w="-5" w:type="dxa"/>
          <w:tblLayout w:type="fixed"/>
          <w:tblCellMar>
            <w:left w:w="0" w:type="dxa"/>
            <w:right w:w="0" w:type="dxa"/>
          </w:tblCellMar>
          <w:tblLook w:val="0000"/>
        </w:tblPrEx>
        <w:trPr>
          <w:trHeight w:val="432"/>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9D09C4" w:rsidRPr="00714FC0" w:rsidP="00714FC0" w14:paraId="78E27995" w14:textId="77777777">
            <w:pPr>
              <w:kinsoku w:val="0"/>
              <w:overflowPunct w:val="0"/>
              <w:autoSpaceDE w:val="0"/>
              <w:autoSpaceDN w:val="0"/>
              <w:adjustRightInd w:val="0"/>
              <w:spacing w:after="0" w:line="233" w:lineRule="exact"/>
              <w:rPr>
                <w:rFonts w:eastAsiaTheme="minorHAnsi"/>
                <w:b/>
                <w:sz w:val="22"/>
                <w:szCs w:val="22"/>
              </w:rPr>
            </w:pPr>
            <w:r w:rsidRPr="00714FC0">
              <w:rPr>
                <w:rFonts w:eastAsiaTheme="minorHAnsi"/>
                <w:b/>
                <w:sz w:val="22"/>
                <w:szCs w:val="22"/>
              </w:rPr>
              <w:t>NAICS Code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9D09C4" w:rsidRPr="00714FC0" w:rsidP="0070160A" w14:paraId="235F369A" w14:textId="77777777">
            <w:pPr>
              <w:kinsoku w:val="0"/>
              <w:overflowPunct w:val="0"/>
              <w:autoSpaceDE w:val="0"/>
              <w:autoSpaceDN w:val="0"/>
              <w:adjustRightInd w:val="0"/>
              <w:spacing w:after="0" w:line="233" w:lineRule="exact"/>
              <w:ind w:left="108"/>
              <w:jc w:val="center"/>
              <w:rPr>
                <w:rFonts w:eastAsiaTheme="minorHAnsi"/>
                <w:b/>
                <w:sz w:val="22"/>
                <w:szCs w:val="22"/>
              </w:rPr>
            </w:pPr>
            <w:r w:rsidRPr="00714FC0">
              <w:rPr>
                <w:rFonts w:eastAsiaTheme="minorHAnsi"/>
                <w:b/>
                <w:sz w:val="22"/>
                <w:szCs w:val="22"/>
              </w:rPr>
              <w:t>Industry 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09C4" w:rsidRPr="00714FC0" w:rsidP="00AC2CB0" w14:paraId="16BE73F6" w14:textId="77777777">
            <w:pPr>
              <w:kinsoku w:val="0"/>
              <w:overflowPunct w:val="0"/>
              <w:autoSpaceDE w:val="0"/>
              <w:autoSpaceDN w:val="0"/>
              <w:adjustRightInd w:val="0"/>
              <w:spacing w:after="0" w:line="233" w:lineRule="exact"/>
              <w:ind w:left="107"/>
              <w:jc w:val="center"/>
              <w:rPr>
                <w:rFonts w:eastAsiaTheme="minorHAnsi"/>
                <w:b/>
                <w:sz w:val="22"/>
                <w:szCs w:val="22"/>
              </w:rPr>
            </w:pPr>
            <w:r w:rsidRPr="00714FC0">
              <w:rPr>
                <w:rFonts w:eastAsiaTheme="minorHAnsi"/>
                <w:b/>
                <w:sz w:val="22"/>
                <w:szCs w:val="22"/>
              </w:rPr>
              <w:t>Small Business Threshold</w:t>
            </w:r>
          </w:p>
        </w:tc>
      </w:tr>
      <w:tr w14:paraId="7701DDD6" w14:textId="77777777" w:rsidTr="004848C7">
        <w:tblPrEx>
          <w:tblW w:w="5000" w:type="pct"/>
          <w:tblInd w:w="-5" w:type="dxa"/>
          <w:tblLayout w:type="fixed"/>
          <w:tblCellMar>
            <w:left w:w="0" w:type="dxa"/>
            <w:right w:w="0" w:type="dxa"/>
          </w:tblCellMar>
          <w:tblLook w:val="0000"/>
        </w:tblPrEx>
        <w:trPr>
          <w:trHeight w:val="216"/>
        </w:trPr>
        <w:tc>
          <w:tcPr>
            <w:tcW w:w="1620" w:type="dxa"/>
            <w:tcBorders>
              <w:top w:val="single" w:sz="4" w:space="0" w:color="000000"/>
              <w:left w:val="single" w:sz="4" w:space="0" w:color="000000"/>
              <w:bottom w:val="single" w:sz="4" w:space="0" w:color="000000"/>
              <w:right w:val="single" w:sz="4" w:space="0" w:color="000000"/>
            </w:tcBorders>
          </w:tcPr>
          <w:p w:rsidR="00122240" w:rsidRPr="00714FC0" w:rsidP="00F70002" w14:paraId="1B232976" w14:textId="759971D3">
            <w:pPr>
              <w:kinsoku w:val="0"/>
              <w:overflowPunct w:val="0"/>
              <w:autoSpaceDE w:val="0"/>
              <w:autoSpaceDN w:val="0"/>
              <w:adjustRightInd w:val="0"/>
              <w:spacing w:after="0" w:line="233" w:lineRule="exact"/>
              <w:rPr>
                <w:rFonts w:eastAsiaTheme="minorHAnsi"/>
                <w:sz w:val="22"/>
                <w:szCs w:val="22"/>
              </w:rPr>
            </w:pPr>
            <w:r w:rsidRPr="00714FC0">
              <w:rPr>
                <w:sz w:val="22"/>
                <w:szCs w:val="22"/>
              </w:rPr>
              <w:t xml:space="preserve">325411 </w:t>
            </w:r>
          </w:p>
        </w:tc>
        <w:tc>
          <w:tcPr>
            <w:tcW w:w="5490" w:type="dxa"/>
            <w:tcBorders>
              <w:top w:val="single" w:sz="4" w:space="0" w:color="000000"/>
              <w:left w:val="single" w:sz="4" w:space="0" w:color="000000"/>
              <w:bottom w:val="single" w:sz="4" w:space="0" w:color="000000"/>
              <w:right w:val="single" w:sz="4" w:space="0" w:color="000000"/>
            </w:tcBorders>
          </w:tcPr>
          <w:p w:rsidR="00122240" w:rsidRPr="00714FC0" w:rsidP="00C346DD" w14:paraId="2EFA5E0C" w14:textId="236774FB">
            <w:pPr>
              <w:kinsoku w:val="0"/>
              <w:overflowPunct w:val="0"/>
              <w:autoSpaceDE w:val="0"/>
              <w:autoSpaceDN w:val="0"/>
              <w:adjustRightInd w:val="0"/>
              <w:spacing w:after="0" w:line="233" w:lineRule="exact"/>
              <w:ind w:left="108"/>
              <w:rPr>
                <w:rFonts w:eastAsiaTheme="minorHAnsi"/>
                <w:sz w:val="22"/>
                <w:szCs w:val="22"/>
              </w:rPr>
            </w:pPr>
            <w:r w:rsidRPr="00714FC0">
              <w:rPr>
                <w:sz w:val="22"/>
                <w:szCs w:val="22"/>
              </w:rPr>
              <w:t>Medicinal and Botanical Manufacturing</w:t>
            </w:r>
          </w:p>
        </w:tc>
        <w:tc>
          <w:tcPr>
            <w:tcW w:w="2160" w:type="dxa"/>
            <w:tcBorders>
              <w:top w:val="single" w:sz="4" w:space="0" w:color="000000"/>
              <w:left w:val="single" w:sz="4" w:space="0" w:color="000000"/>
              <w:bottom w:val="single" w:sz="4" w:space="0" w:color="000000"/>
              <w:right w:val="single" w:sz="4" w:space="0" w:color="000000"/>
            </w:tcBorders>
          </w:tcPr>
          <w:p w:rsidR="00122240" w:rsidRPr="00714FC0" w:rsidP="00AC2CB0" w14:paraId="55F6C574" w14:textId="52FF9361">
            <w:pPr>
              <w:kinsoku w:val="0"/>
              <w:overflowPunct w:val="0"/>
              <w:autoSpaceDE w:val="0"/>
              <w:autoSpaceDN w:val="0"/>
              <w:adjustRightInd w:val="0"/>
              <w:spacing w:after="0" w:line="233" w:lineRule="exact"/>
              <w:ind w:left="107"/>
              <w:jc w:val="center"/>
              <w:rPr>
                <w:rFonts w:eastAsiaTheme="minorHAnsi"/>
                <w:sz w:val="22"/>
                <w:szCs w:val="22"/>
              </w:rPr>
            </w:pPr>
            <w:r w:rsidRPr="00714FC0">
              <w:rPr>
                <w:sz w:val="22"/>
                <w:szCs w:val="22"/>
              </w:rPr>
              <w:t>1,000</w:t>
            </w:r>
          </w:p>
        </w:tc>
      </w:tr>
      <w:tr w14:paraId="424363E2" w14:textId="77777777" w:rsidTr="004848C7">
        <w:tblPrEx>
          <w:tblW w:w="5000" w:type="pct"/>
          <w:tblInd w:w="-5" w:type="dxa"/>
          <w:tblLayout w:type="fixed"/>
          <w:tblCellMar>
            <w:left w:w="0" w:type="dxa"/>
            <w:right w:w="0" w:type="dxa"/>
          </w:tblCellMar>
          <w:tblLook w:val="0000"/>
        </w:tblPrEx>
        <w:trPr>
          <w:trHeight w:val="216"/>
        </w:trPr>
        <w:tc>
          <w:tcPr>
            <w:tcW w:w="1620" w:type="dxa"/>
            <w:tcBorders>
              <w:top w:val="single" w:sz="4" w:space="0" w:color="000000"/>
              <w:left w:val="single" w:sz="4" w:space="0" w:color="000000"/>
              <w:bottom w:val="single" w:sz="4" w:space="0" w:color="000000"/>
              <w:right w:val="single" w:sz="4" w:space="0" w:color="000000"/>
            </w:tcBorders>
          </w:tcPr>
          <w:p w:rsidR="00122240" w:rsidRPr="00714FC0" w:rsidP="00F70002" w14:paraId="086CD48E" w14:textId="6BF102BF">
            <w:pPr>
              <w:kinsoku w:val="0"/>
              <w:overflowPunct w:val="0"/>
              <w:autoSpaceDE w:val="0"/>
              <w:autoSpaceDN w:val="0"/>
              <w:adjustRightInd w:val="0"/>
              <w:spacing w:after="0" w:line="233" w:lineRule="exact"/>
              <w:rPr>
                <w:sz w:val="22"/>
                <w:szCs w:val="22"/>
              </w:rPr>
            </w:pPr>
            <w:r w:rsidRPr="00714FC0">
              <w:rPr>
                <w:sz w:val="22"/>
                <w:szCs w:val="22"/>
              </w:rPr>
              <w:t xml:space="preserve">325412 </w:t>
            </w:r>
          </w:p>
        </w:tc>
        <w:tc>
          <w:tcPr>
            <w:tcW w:w="5490" w:type="dxa"/>
            <w:tcBorders>
              <w:top w:val="single" w:sz="4" w:space="0" w:color="000000"/>
              <w:left w:val="single" w:sz="4" w:space="0" w:color="000000"/>
              <w:bottom w:val="single" w:sz="4" w:space="0" w:color="000000"/>
              <w:right w:val="single" w:sz="4" w:space="0" w:color="000000"/>
            </w:tcBorders>
          </w:tcPr>
          <w:p w:rsidR="00122240" w:rsidRPr="00714FC0" w:rsidP="00C346DD" w14:paraId="52230D26" w14:textId="31C5D40B">
            <w:pPr>
              <w:kinsoku w:val="0"/>
              <w:overflowPunct w:val="0"/>
              <w:autoSpaceDE w:val="0"/>
              <w:autoSpaceDN w:val="0"/>
              <w:adjustRightInd w:val="0"/>
              <w:spacing w:after="0" w:line="233" w:lineRule="exact"/>
              <w:ind w:left="108"/>
              <w:rPr>
                <w:sz w:val="22"/>
                <w:szCs w:val="22"/>
              </w:rPr>
            </w:pPr>
            <w:r w:rsidRPr="00714FC0">
              <w:rPr>
                <w:sz w:val="22"/>
                <w:szCs w:val="22"/>
              </w:rPr>
              <w:t>Pharmaceutical Preparation Manufacturing</w:t>
            </w:r>
          </w:p>
        </w:tc>
        <w:tc>
          <w:tcPr>
            <w:tcW w:w="2160" w:type="dxa"/>
            <w:tcBorders>
              <w:top w:val="single" w:sz="4" w:space="0" w:color="000000"/>
              <w:left w:val="single" w:sz="4" w:space="0" w:color="000000"/>
              <w:bottom w:val="single" w:sz="4" w:space="0" w:color="000000"/>
              <w:right w:val="single" w:sz="4" w:space="0" w:color="000000"/>
            </w:tcBorders>
          </w:tcPr>
          <w:p w:rsidR="00122240" w:rsidRPr="00714FC0" w:rsidP="00AC2CB0" w14:paraId="25BC422C" w14:textId="7A236986">
            <w:pPr>
              <w:kinsoku w:val="0"/>
              <w:overflowPunct w:val="0"/>
              <w:autoSpaceDE w:val="0"/>
              <w:autoSpaceDN w:val="0"/>
              <w:adjustRightInd w:val="0"/>
              <w:spacing w:after="0" w:line="233" w:lineRule="exact"/>
              <w:ind w:left="107"/>
              <w:jc w:val="center"/>
              <w:rPr>
                <w:sz w:val="22"/>
                <w:szCs w:val="22"/>
              </w:rPr>
            </w:pPr>
            <w:r w:rsidRPr="00714FC0">
              <w:rPr>
                <w:sz w:val="22"/>
                <w:szCs w:val="22"/>
              </w:rPr>
              <w:t>1,</w:t>
            </w:r>
            <w:r w:rsidR="00113FB2">
              <w:rPr>
                <w:sz w:val="22"/>
                <w:szCs w:val="22"/>
              </w:rPr>
              <w:t>300</w:t>
            </w:r>
          </w:p>
        </w:tc>
      </w:tr>
      <w:tr w14:paraId="335D9850" w14:textId="77777777" w:rsidTr="004848C7">
        <w:tblPrEx>
          <w:tblW w:w="5000" w:type="pct"/>
          <w:tblInd w:w="-5" w:type="dxa"/>
          <w:tblLayout w:type="fixed"/>
          <w:tblCellMar>
            <w:left w:w="0" w:type="dxa"/>
            <w:right w:w="0" w:type="dxa"/>
          </w:tblCellMar>
          <w:tblLook w:val="0000"/>
        </w:tblPrEx>
        <w:trPr>
          <w:trHeight w:val="216"/>
        </w:trPr>
        <w:tc>
          <w:tcPr>
            <w:tcW w:w="1620" w:type="dxa"/>
            <w:tcBorders>
              <w:top w:val="single" w:sz="4" w:space="0" w:color="000000"/>
              <w:left w:val="single" w:sz="4" w:space="0" w:color="000000"/>
              <w:bottom w:val="single" w:sz="4" w:space="0" w:color="000000"/>
              <w:right w:val="single" w:sz="4" w:space="0" w:color="000000"/>
            </w:tcBorders>
          </w:tcPr>
          <w:p w:rsidR="00122240" w:rsidRPr="00714FC0" w:rsidP="00F70002" w14:paraId="1E0B6F7B" w14:textId="1DA85D9B">
            <w:pPr>
              <w:kinsoku w:val="0"/>
              <w:overflowPunct w:val="0"/>
              <w:autoSpaceDE w:val="0"/>
              <w:autoSpaceDN w:val="0"/>
              <w:adjustRightInd w:val="0"/>
              <w:spacing w:after="0" w:line="233" w:lineRule="exact"/>
              <w:rPr>
                <w:sz w:val="22"/>
                <w:szCs w:val="22"/>
              </w:rPr>
            </w:pPr>
            <w:r w:rsidRPr="00714FC0">
              <w:rPr>
                <w:sz w:val="22"/>
                <w:szCs w:val="22"/>
              </w:rPr>
              <w:t xml:space="preserve">325413 </w:t>
            </w:r>
          </w:p>
        </w:tc>
        <w:tc>
          <w:tcPr>
            <w:tcW w:w="5490" w:type="dxa"/>
            <w:tcBorders>
              <w:top w:val="single" w:sz="4" w:space="0" w:color="000000"/>
              <w:left w:val="single" w:sz="4" w:space="0" w:color="000000"/>
              <w:bottom w:val="single" w:sz="4" w:space="0" w:color="000000"/>
              <w:right w:val="single" w:sz="4" w:space="0" w:color="000000"/>
            </w:tcBorders>
          </w:tcPr>
          <w:p w:rsidR="00122240" w:rsidRPr="00714FC0" w:rsidP="00C346DD" w14:paraId="37C088DE" w14:textId="63D1FE09">
            <w:pPr>
              <w:kinsoku w:val="0"/>
              <w:overflowPunct w:val="0"/>
              <w:autoSpaceDE w:val="0"/>
              <w:autoSpaceDN w:val="0"/>
              <w:adjustRightInd w:val="0"/>
              <w:spacing w:after="0" w:line="233" w:lineRule="exact"/>
              <w:ind w:left="108"/>
              <w:rPr>
                <w:sz w:val="22"/>
                <w:szCs w:val="22"/>
              </w:rPr>
            </w:pPr>
            <w:r w:rsidRPr="00714FC0">
              <w:rPr>
                <w:sz w:val="22"/>
                <w:szCs w:val="22"/>
              </w:rPr>
              <w:t>In-Vitro Diagnostic Substance Manufacturing</w:t>
            </w:r>
          </w:p>
        </w:tc>
        <w:tc>
          <w:tcPr>
            <w:tcW w:w="2160" w:type="dxa"/>
            <w:tcBorders>
              <w:top w:val="single" w:sz="4" w:space="0" w:color="000000"/>
              <w:left w:val="single" w:sz="4" w:space="0" w:color="000000"/>
              <w:bottom w:val="single" w:sz="4" w:space="0" w:color="000000"/>
              <w:right w:val="single" w:sz="4" w:space="0" w:color="000000"/>
            </w:tcBorders>
          </w:tcPr>
          <w:p w:rsidR="00122240" w:rsidRPr="00714FC0" w:rsidP="00AC2CB0" w14:paraId="704F758D" w14:textId="0A0B78F6">
            <w:pPr>
              <w:kinsoku w:val="0"/>
              <w:overflowPunct w:val="0"/>
              <w:autoSpaceDE w:val="0"/>
              <w:autoSpaceDN w:val="0"/>
              <w:adjustRightInd w:val="0"/>
              <w:spacing w:after="0" w:line="233" w:lineRule="exact"/>
              <w:ind w:left="107"/>
              <w:jc w:val="center"/>
              <w:rPr>
                <w:sz w:val="22"/>
                <w:szCs w:val="22"/>
              </w:rPr>
            </w:pPr>
            <w:r w:rsidRPr="00714FC0">
              <w:rPr>
                <w:sz w:val="22"/>
                <w:szCs w:val="22"/>
              </w:rPr>
              <w:t>1,250</w:t>
            </w:r>
          </w:p>
        </w:tc>
      </w:tr>
      <w:tr w14:paraId="0F4642EF" w14:textId="77777777" w:rsidTr="004848C7">
        <w:tblPrEx>
          <w:tblW w:w="5000" w:type="pct"/>
          <w:tblInd w:w="-5" w:type="dxa"/>
          <w:tblLayout w:type="fixed"/>
          <w:tblCellMar>
            <w:left w:w="0" w:type="dxa"/>
            <w:right w:w="0" w:type="dxa"/>
          </w:tblCellMar>
          <w:tblLook w:val="0000"/>
        </w:tblPrEx>
        <w:trPr>
          <w:trHeight w:val="216"/>
        </w:trPr>
        <w:tc>
          <w:tcPr>
            <w:tcW w:w="1620" w:type="dxa"/>
            <w:tcBorders>
              <w:top w:val="single" w:sz="4" w:space="0" w:color="000000"/>
              <w:left w:val="single" w:sz="4" w:space="0" w:color="000000"/>
              <w:bottom w:val="single" w:sz="4" w:space="0" w:color="000000"/>
              <w:right w:val="single" w:sz="4" w:space="0" w:color="000000"/>
            </w:tcBorders>
          </w:tcPr>
          <w:p w:rsidR="00122240" w:rsidRPr="00714FC0" w:rsidP="00F70002" w14:paraId="796E31F2" w14:textId="0B24A806">
            <w:pPr>
              <w:kinsoku w:val="0"/>
              <w:overflowPunct w:val="0"/>
              <w:autoSpaceDE w:val="0"/>
              <w:autoSpaceDN w:val="0"/>
              <w:adjustRightInd w:val="0"/>
              <w:spacing w:after="0" w:line="233" w:lineRule="exact"/>
              <w:rPr>
                <w:sz w:val="22"/>
                <w:szCs w:val="22"/>
              </w:rPr>
            </w:pPr>
            <w:r w:rsidRPr="00714FC0">
              <w:rPr>
                <w:sz w:val="22"/>
                <w:szCs w:val="22"/>
              </w:rPr>
              <w:t xml:space="preserve">325414 </w:t>
            </w:r>
          </w:p>
        </w:tc>
        <w:tc>
          <w:tcPr>
            <w:tcW w:w="5490" w:type="dxa"/>
            <w:tcBorders>
              <w:top w:val="single" w:sz="4" w:space="0" w:color="000000"/>
              <w:left w:val="single" w:sz="4" w:space="0" w:color="000000"/>
              <w:bottom w:val="single" w:sz="4" w:space="0" w:color="000000"/>
              <w:right w:val="single" w:sz="4" w:space="0" w:color="000000"/>
            </w:tcBorders>
          </w:tcPr>
          <w:p w:rsidR="00122240" w:rsidRPr="00714FC0" w:rsidP="00C346DD" w14:paraId="137EF76B" w14:textId="752C3919">
            <w:pPr>
              <w:kinsoku w:val="0"/>
              <w:overflowPunct w:val="0"/>
              <w:autoSpaceDE w:val="0"/>
              <w:autoSpaceDN w:val="0"/>
              <w:adjustRightInd w:val="0"/>
              <w:spacing w:after="0" w:line="233" w:lineRule="exact"/>
              <w:ind w:left="108"/>
              <w:rPr>
                <w:sz w:val="22"/>
                <w:szCs w:val="22"/>
              </w:rPr>
            </w:pPr>
            <w:r w:rsidRPr="00714FC0">
              <w:rPr>
                <w:sz w:val="22"/>
                <w:szCs w:val="22"/>
              </w:rPr>
              <w:t>Biological Product (except Diagnostic) Manufacturing</w:t>
            </w:r>
          </w:p>
        </w:tc>
        <w:tc>
          <w:tcPr>
            <w:tcW w:w="2160" w:type="dxa"/>
            <w:tcBorders>
              <w:top w:val="single" w:sz="4" w:space="0" w:color="000000"/>
              <w:left w:val="single" w:sz="4" w:space="0" w:color="000000"/>
              <w:bottom w:val="single" w:sz="4" w:space="0" w:color="000000"/>
              <w:right w:val="single" w:sz="4" w:space="0" w:color="000000"/>
            </w:tcBorders>
          </w:tcPr>
          <w:p w:rsidR="00122240" w:rsidRPr="00714FC0" w:rsidP="00AC2CB0" w14:paraId="08E689EF" w14:textId="50B1A998">
            <w:pPr>
              <w:kinsoku w:val="0"/>
              <w:overflowPunct w:val="0"/>
              <w:autoSpaceDE w:val="0"/>
              <w:autoSpaceDN w:val="0"/>
              <w:adjustRightInd w:val="0"/>
              <w:spacing w:after="0" w:line="233" w:lineRule="exact"/>
              <w:ind w:left="107"/>
              <w:jc w:val="center"/>
              <w:rPr>
                <w:sz w:val="22"/>
                <w:szCs w:val="22"/>
              </w:rPr>
            </w:pPr>
            <w:r w:rsidRPr="00714FC0">
              <w:rPr>
                <w:sz w:val="22"/>
                <w:szCs w:val="22"/>
              </w:rPr>
              <w:t>1,250</w:t>
            </w:r>
          </w:p>
        </w:tc>
      </w:tr>
    </w:tbl>
    <w:p w:rsidR="009D09C4" w:rsidRPr="000A5146" w:rsidP="004848C7" w14:paraId="5BE79BF7" w14:textId="0D159714">
      <w:pPr>
        <w:kinsoku w:val="0"/>
        <w:overflowPunct w:val="0"/>
        <w:autoSpaceDE w:val="0"/>
        <w:autoSpaceDN w:val="0"/>
        <w:adjustRightInd w:val="0"/>
        <w:ind w:left="120" w:right="401"/>
      </w:pPr>
    </w:p>
    <w:p w:rsidR="00F47D86" w:rsidP="00922C90" w14:paraId="3C5922CB" w14:textId="77777777">
      <w:pPr>
        <w:ind w:left="720"/>
      </w:pPr>
    </w:p>
    <w:p w:rsidR="00F47D86" w:rsidP="00F47D86" w14:paraId="429890E7" w14:textId="78DD7017">
      <w:pPr>
        <w:pStyle w:val="Heading2"/>
      </w:pPr>
      <w:bookmarkStart w:id="198" w:name="_Toc148515761"/>
      <w:r>
        <w:t>Description of the Potential Impacts of the Rule on Small Entities</w:t>
      </w:r>
      <w:bookmarkEnd w:id="198"/>
    </w:p>
    <w:p w:rsidR="00755B60" w:rsidP="00755B60" w14:paraId="5C8CA777" w14:textId="77777777"/>
    <w:p w:rsidR="00445D5D" w:rsidP="000E6DD7" w14:paraId="328B2ACA" w14:textId="3D7B0782">
      <w:pPr>
        <w:ind w:firstLine="720"/>
      </w:pPr>
      <w:r>
        <w:t>We estimate t</w:t>
      </w:r>
      <w:r w:rsidR="00755B60">
        <w:t>he</w:t>
      </w:r>
      <w:r w:rsidR="001471B1">
        <w:t xml:space="preserve"> highest single year</w:t>
      </w:r>
      <w:r w:rsidR="00755B60">
        <w:t xml:space="preserve"> average cost per small entity by type of entity. </w:t>
      </w:r>
      <w:r w:rsidR="001471B1">
        <w:t xml:space="preserve">Year </w:t>
      </w:r>
      <w:r w:rsidR="003731FC">
        <w:t>one-and-a-half</w:t>
      </w:r>
      <w:r w:rsidR="00BA539A">
        <w:t xml:space="preserve"> </w:t>
      </w:r>
      <w:r w:rsidR="00C31A0C">
        <w:t>will</w:t>
      </w:r>
      <w:r w:rsidR="001471B1">
        <w:t xml:space="preserve"> have the highest single year average costs because </w:t>
      </w:r>
      <w:r w:rsidR="00706E1C">
        <w:t>many</w:t>
      </w:r>
      <w:r w:rsidR="001471B1">
        <w:t xml:space="preserve"> </w:t>
      </w:r>
      <w:r w:rsidR="00706E1C">
        <w:t>costs</w:t>
      </w:r>
      <w:r w:rsidR="001471B1">
        <w:t xml:space="preserve"> require a one-time investment, which </w:t>
      </w:r>
      <w:r w:rsidR="00BA539A">
        <w:t>occurs when compliance begins</w:t>
      </w:r>
      <w:r w:rsidR="001471B1">
        <w:t>.</w:t>
      </w:r>
      <w:r>
        <w:rPr>
          <w:rStyle w:val="FootnoteReference"/>
        </w:rPr>
        <w:footnoteReference w:id="28"/>
      </w:r>
      <w:r w:rsidR="001471B1">
        <w:t xml:space="preserve"> </w:t>
      </w:r>
      <w:r w:rsidR="00755B60">
        <w:t xml:space="preserve">We assume that costs are spread evenly across all affected entities. </w:t>
      </w:r>
      <w:r w:rsidR="004253BC">
        <w:t>These costs can be</w:t>
      </w:r>
      <w:r w:rsidRPr="004253BC" w:rsidR="004253BC">
        <w:t xml:space="preserve"> found in</w:t>
      </w:r>
      <w:r w:rsidR="004E17FC">
        <w:t xml:space="preserve"> </w:t>
      </w:r>
      <w:r w:rsidRPr="00830D72" w:rsidR="00830D72">
        <w:fldChar w:fldCharType="begin"/>
      </w:r>
      <w:r w:rsidRPr="00830D72" w:rsidR="00830D72">
        <w:instrText xml:space="preserve"> REF _Ref132016181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33</w:t>
      </w:r>
      <w:r w:rsidRPr="00830D72" w:rsidR="00830D72">
        <w:fldChar w:fldCharType="end"/>
      </w:r>
      <w:r w:rsidRPr="004E17FC" w:rsidR="004253BC">
        <w:t>.</w:t>
      </w:r>
    </w:p>
    <w:p w:rsidR="00B21D6B" w:rsidP="00B21D6B" w14:paraId="7869EEF3" w14:textId="61E0F4B7">
      <w:pPr>
        <w:rPr>
          <w:bCs/>
        </w:rPr>
      </w:pPr>
      <w:r>
        <w:tab/>
        <w:t xml:space="preserve">We measure the potential impacts of this final rule on small entities by the ratio of the </w:t>
      </w:r>
      <w:r w:rsidRPr="005C0398">
        <w:rPr>
          <w:bCs/>
        </w:rPr>
        <w:t>establishment’s expected rule-induced costs</w:t>
      </w:r>
      <w:r>
        <w:rPr>
          <w:bCs/>
        </w:rPr>
        <w:t xml:space="preserve"> to estimated annual revenue. </w:t>
      </w:r>
      <w:r w:rsidRPr="00DA2AB9">
        <w:rPr>
          <w:color w:val="000000"/>
        </w:rPr>
        <w:t>The most recent revenue data is from</w:t>
      </w:r>
      <w:r>
        <w:rPr>
          <w:color w:val="000000"/>
        </w:rPr>
        <w:t xml:space="preserve"> the</w:t>
      </w:r>
      <w:r w:rsidRPr="00DA2AB9">
        <w:rPr>
          <w:color w:val="000000"/>
        </w:rPr>
        <w:t xml:space="preserve"> 201</w:t>
      </w:r>
      <w:r>
        <w:rPr>
          <w:color w:val="000000"/>
        </w:rPr>
        <w:t xml:space="preserve">7 </w:t>
      </w:r>
      <w:r w:rsidRPr="00123948">
        <w:t>Statistics of U.S. Businesses (SUSB) data from the U.S. Census</w:t>
      </w:r>
      <w:r>
        <w:t xml:space="preserve"> (Ref. </w:t>
      </w:r>
      <w:r w:rsidR="00BB2E72">
        <w:t>9</w:t>
      </w:r>
      <w:r>
        <w:t>)</w:t>
      </w:r>
      <w:r w:rsidRPr="00DA2AB9">
        <w:rPr>
          <w:color w:val="000000"/>
        </w:rPr>
        <w:t xml:space="preserve">. </w:t>
      </w:r>
    </w:p>
    <w:p w:rsidR="00B21D6B" w:rsidP="00B21D6B" w14:paraId="05DD4E1D" w14:textId="3E67FC53">
      <w:pPr>
        <w:ind w:firstLine="720"/>
      </w:pPr>
      <w:r>
        <w:rPr>
          <w:bCs/>
        </w:rPr>
        <w:t xml:space="preserve">The 2020 ERG report (Ref. </w:t>
      </w:r>
      <w:r w:rsidR="00BB2E72">
        <w:rPr>
          <w:bCs/>
        </w:rPr>
        <w:t>2</w:t>
      </w:r>
      <w:r>
        <w:rPr>
          <w:bCs/>
        </w:rPr>
        <w:t xml:space="preserve">) identified small entities by mapping business from D&amp;B proprietary database on basic information pertaining to businesses to the corresponding NAICS </w:t>
      </w:r>
      <w:r>
        <w:rPr>
          <w:bCs/>
        </w:rPr>
        <w:t>codes. D&amp;B data mapped to 57 distinct NAICS codes.</w:t>
      </w:r>
      <w:r>
        <w:rPr>
          <w:rStyle w:val="FootnoteReference"/>
          <w:bCs/>
        </w:rPr>
        <w:footnoteReference w:id="29"/>
      </w:r>
      <w:r>
        <w:rPr>
          <w:bCs/>
        </w:rPr>
        <w:t xml:space="preserve"> However, for simplicity, we will use the </w:t>
      </w:r>
      <w:r w:rsidRPr="007432B9">
        <w:t>Pharmaceutical and Medicine Manufacturing</w:t>
      </w:r>
      <w:r>
        <w:t>,</w:t>
      </w:r>
      <w:r w:rsidRPr="000E6DD7">
        <w:rPr>
          <w:rFonts w:eastAsiaTheme="minorHAnsi"/>
        </w:rPr>
        <w:t xml:space="preserve"> </w:t>
      </w:r>
      <w:r w:rsidRPr="007432B9">
        <w:t>NAICS code 325400</w:t>
      </w:r>
      <w:r>
        <w:t xml:space="preserve"> annual receipts.</w:t>
      </w:r>
    </w:p>
    <w:p w:rsidR="00830E65" w:rsidRPr="00830E65" w:rsidP="00830E65" w14:paraId="069D1B2F" w14:textId="77777777"/>
    <w:p w:rsidR="004253BC" w:rsidRPr="000E6DD7" w:rsidP="000E6DD7" w14:paraId="19C7922F" w14:textId="3647CDD3">
      <w:pPr>
        <w:pStyle w:val="Caption"/>
        <w:rPr>
          <w:b/>
        </w:rPr>
      </w:pPr>
      <w:bookmarkStart w:id="199" w:name="_Ref37671841"/>
      <w:bookmarkStart w:id="200" w:name="_Ref132016181"/>
      <w:bookmarkStart w:id="201" w:name="_Toc147238777"/>
      <w:r w:rsidRPr="000E6DD7">
        <w:rPr>
          <w:b/>
        </w:rPr>
        <w:t xml:space="preserve">Table </w:t>
      </w:r>
      <w:bookmarkEnd w:id="199"/>
      <w:r w:rsidRPr="000E6DD7" w:rsidR="00DA492C">
        <w:rPr>
          <w:b/>
        </w:rPr>
        <w:fldChar w:fldCharType="begin"/>
      </w:r>
      <w:r w:rsidRPr="000E6DD7" w:rsidR="00DA492C">
        <w:rPr>
          <w:b/>
        </w:rPr>
        <w:instrText xml:space="preserve"> SEQ Table \* ARABIC </w:instrText>
      </w:r>
      <w:r w:rsidRPr="000E6DD7" w:rsidR="00DA492C">
        <w:rPr>
          <w:b/>
        </w:rPr>
        <w:fldChar w:fldCharType="separate"/>
      </w:r>
      <w:r w:rsidR="0011482F">
        <w:rPr>
          <w:b/>
          <w:noProof/>
        </w:rPr>
        <w:t>33</w:t>
      </w:r>
      <w:r w:rsidRPr="000E6DD7" w:rsidR="00DA492C">
        <w:rPr>
          <w:b/>
        </w:rPr>
        <w:fldChar w:fldCharType="end"/>
      </w:r>
      <w:bookmarkEnd w:id="200"/>
      <w:r w:rsidRPr="000E6DD7">
        <w:rPr>
          <w:b/>
        </w:rPr>
        <w:t>. Costs Per Small Entity by</w:t>
      </w:r>
      <w:r>
        <w:rPr>
          <w:b/>
        </w:rPr>
        <w:t xml:space="preserve"> Entity</w:t>
      </w:r>
      <w:r w:rsidRPr="000E6DD7">
        <w:rPr>
          <w:b/>
        </w:rPr>
        <w:t xml:space="preserve"> Type</w:t>
      </w:r>
      <w:bookmarkEnd w:id="201"/>
    </w:p>
    <w:tbl>
      <w:tblPr>
        <w:tblW w:w="5000" w:type="pct"/>
        <w:tblLook w:val="04A0"/>
      </w:tblPr>
      <w:tblGrid>
        <w:gridCol w:w="3443"/>
        <w:gridCol w:w="1969"/>
        <w:gridCol w:w="1969"/>
        <w:gridCol w:w="1969"/>
      </w:tblGrid>
      <w:tr w14:paraId="4184040F" w14:textId="77777777" w:rsidTr="00C30D1E">
        <w:tblPrEx>
          <w:tblW w:w="5000" w:type="pct"/>
          <w:tblLook w:val="04A0"/>
        </w:tblPrEx>
        <w:trPr>
          <w:trHeight w:val="864"/>
          <w:tblHeader/>
        </w:trPr>
        <w:tc>
          <w:tcPr>
            <w:tcW w:w="3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253BC" w:rsidRPr="00714FC0" w:rsidP="00755B60" w14:paraId="07A3ABEC" w14:textId="77777777">
            <w:pPr>
              <w:spacing w:after="0"/>
              <w:rPr>
                <w:rFonts w:eastAsia="Times New Roman"/>
                <w:b/>
                <w:color w:val="000000"/>
                <w:sz w:val="22"/>
                <w:szCs w:val="22"/>
              </w:rPr>
            </w:pPr>
            <w:r w:rsidRPr="00714FC0">
              <w:rPr>
                <w:rFonts w:eastAsia="Times New Roman"/>
                <w:b/>
                <w:color w:val="000000"/>
                <w:sz w:val="22"/>
                <w:szCs w:val="22"/>
              </w:rPr>
              <w:t> </w:t>
            </w:r>
          </w:p>
        </w:tc>
        <w:tc>
          <w:tcPr>
            <w:tcW w:w="196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253BC" w:rsidRPr="00714FC0" w:rsidP="00AC2CB0" w14:paraId="0A1BBEE9" w14:textId="173B2311">
            <w:pPr>
              <w:spacing w:after="0"/>
              <w:jc w:val="center"/>
              <w:rPr>
                <w:rFonts w:eastAsia="Times New Roman"/>
                <w:b/>
                <w:color w:val="000000"/>
                <w:sz w:val="22"/>
                <w:szCs w:val="22"/>
              </w:rPr>
            </w:pPr>
            <w:r w:rsidRPr="00714FC0">
              <w:rPr>
                <w:rFonts w:eastAsia="Times New Roman"/>
                <w:b/>
                <w:color w:val="000000"/>
                <w:sz w:val="22"/>
                <w:szCs w:val="22"/>
              </w:rPr>
              <w:t>Small Manufacturer</w:t>
            </w:r>
          </w:p>
        </w:tc>
        <w:tc>
          <w:tcPr>
            <w:tcW w:w="196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253BC" w:rsidRPr="00714FC0" w:rsidP="00AC2CB0" w14:paraId="6577A6F7" w14:textId="3688B3C1">
            <w:pPr>
              <w:spacing w:after="0"/>
              <w:jc w:val="center"/>
              <w:rPr>
                <w:rFonts w:eastAsia="Times New Roman"/>
                <w:b/>
                <w:color w:val="000000"/>
                <w:sz w:val="22"/>
                <w:szCs w:val="22"/>
              </w:rPr>
            </w:pPr>
            <w:r w:rsidRPr="00714FC0">
              <w:rPr>
                <w:rFonts w:eastAsia="Times New Roman"/>
                <w:b/>
                <w:color w:val="000000"/>
                <w:sz w:val="22"/>
                <w:szCs w:val="22"/>
              </w:rPr>
              <w:t>Small Downstream Entity Not Engaged in Homecare</w:t>
            </w:r>
          </w:p>
        </w:tc>
        <w:tc>
          <w:tcPr>
            <w:tcW w:w="196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253BC" w:rsidRPr="00714FC0" w:rsidP="00AC2CB0" w14:paraId="3A4D4605" w14:textId="762BC8EA">
            <w:pPr>
              <w:spacing w:after="0"/>
              <w:jc w:val="center"/>
              <w:rPr>
                <w:rFonts w:eastAsia="Times New Roman"/>
                <w:b/>
                <w:color w:val="000000"/>
                <w:sz w:val="22"/>
                <w:szCs w:val="22"/>
              </w:rPr>
            </w:pPr>
            <w:r w:rsidRPr="00714FC0">
              <w:rPr>
                <w:rFonts w:eastAsia="Times New Roman"/>
                <w:b/>
                <w:color w:val="000000"/>
                <w:sz w:val="22"/>
                <w:szCs w:val="22"/>
              </w:rPr>
              <w:t>Small Downstream Entity Engaged in Homecare</w:t>
            </w:r>
          </w:p>
        </w:tc>
      </w:tr>
      <w:tr w14:paraId="3D8E2E64" w14:textId="77777777" w:rsidTr="000659AD">
        <w:tblPrEx>
          <w:tblW w:w="5000" w:type="pct"/>
          <w:tblLook w:val="04A0"/>
        </w:tblPrEx>
        <w:trPr>
          <w:trHeight w:val="269"/>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009C8FEA" w14:textId="77382312">
            <w:pPr>
              <w:spacing w:after="0"/>
              <w:rPr>
                <w:rFonts w:eastAsia="Times New Roman"/>
                <w:color w:val="000000"/>
                <w:sz w:val="22"/>
                <w:szCs w:val="22"/>
              </w:rPr>
            </w:pPr>
            <w:r w:rsidRPr="00D52172">
              <w:rPr>
                <w:color w:val="000000"/>
                <w:sz w:val="22"/>
                <w:szCs w:val="22"/>
              </w:rPr>
              <w:t>New Label for Oxygen Containers</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D1E" w:rsidRPr="00C30D1E" w:rsidP="00C30D1E" w14:paraId="54E59826" w14:textId="33DBDE7E">
            <w:pPr>
              <w:spacing w:after="0"/>
              <w:jc w:val="center"/>
              <w:rPr>
                <w:rFonts w:eastAsia="Times New Roman"/>
                <w:color w:val="000000"/>
                <w:sz w:val="22"/>
                <w:szCs w:val="22"/>
              </w:rPr>
            </w:pPr>
            <w:r w:rsidRPr="000659AD">
              <w:rPr>
                <w:color w:val="000000"/>
                <w:sz w:val="22"/>
                <w:szCs w:val="22"/>
              </w:rPr>
              <w:t>$5,965.63</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C30D1E" w:rsidRPr="00C30D1E" w:rsidP="00C30D1E" w14:paraId="070AD0A6" w14:textId="14F36091">
            <w:pPr>
              <w:spacing w:after="0"/>
              <w:jc w:val="center"/>
              <w:rPr>
                <w:rFonts w:eastAsia="Times New Roman"/>
                <w:color w:val="000000"/>
                <w:sz w:val="22"/>
                <w:szCs w:val="22"/>
              </w:rPr>
            </w:pPr>
            <w:r w:rsidRPr="000659AD">
              <w:rPr>
                <w:color w:val="000000"/>
                <w:sz w:val="22"/>
                <w:szCs w:val="22"/>
              </w:rPr>
              <w:t>$5,965.63</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C30D1E" w:rsidRPr="00C30D1E" w:rsidP="00C30D1E" w14:paraId="44F31C36" w14:textId="57CC5784">
            <w:pPr>
              <w:spacing w:after="0"/>
              <w:jc w:val="center"/>
              <w:rPr>
                <w:rFonts w:eastAsia="Times New Roman"/>
                <w:color w:val="000000"/>
                <w:sz w:val="22"/>
                <w:szCs w:val="22"/>
              </w:rPr>
            </w:pPr>
            <w:r w:rsidRPr="000659AD">
              <w:rPr>
                <w:color w:val="000000"/>
                <w:sz w:val="22"/>
                <w:szCs w:val="22"/>
              </w:rPr>
              <w:t>$5,965.63</w:t>
            </w:r>
          </w:p>
        </w:tc>
      </w:tr>
      <w:tr w14:paraId="58BD9B94" w14:textId="77777777" w:rsidTr="00C30D1E">
        <w:tblPrEx>
          <w:tblW w:w="5000" w:type="pct"/>
          <w:tblLook w:val="04A0"/>
        </w:tblPrEx>
        <w:trPr>
          <w:trHeight w:val="216"/>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129685F4" w14:textId="0BFBDED5">
            <w:pPr>
              <w:spacing w:after="0"/>
              <w:rPr>
                <w:rFonts w:eastAsia="Times New Roman"/>
                <w:color w:val="000000"/>
                <w:sz w:val="22"/>
                <w:szCs w:val="22"/>
              </w:rPr>
            </w:pPr>
            <w:r w:rsidRPr="00D52172">
              <w:rPr>
                <w:color w:val="000000"/>
                <w:sz w:val="22"/>
                <w:szCs w:val="22"/>
              </w:rPr>
              <w:t>Full Compliance Quality Units</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3DC504B6" w14:textId="55464FAC">
            <w:pPr>
              <w:spacing w:after="0"/>
              <w:jc w:val="center"/>
              <w:rPr>
                <w:rFonts w:eastAsia="Times New Roman"/>
                <w:color w:val="000000"/>
                <w:sz w:val="22"/>
                <w:szCs w:val="22"/>
              </w:rPr>
            </w:pPr>
            <w:r w:rsidRPr="000659AD">
              <w:rPr>
                <w:color w:val="000000"/>
                <w:sz w:val="22"/>
                <w:szCs w:val="22"/>
              </w:rPr>
              <w:t>$371.83</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4A528F9C" w14:textId="056B68D5">
            <w:pPr>
              <w:spacing w:after="0"/>
              <w:jc w:val="center"/>
              <w:rPr>
                <w:rFonts w:eastAsia="Times New Roman"/>
                <w:color w:val="000000"/>
                <w:sz w:val="22"/>
                <w:szCs w:val="22"/>
              </w:rPr>
            </w:pPr>
            <w:r w:rsidRPr="000659AD">
              <w:rPr>
                <w:color w:val="000000"/>
                <w:sz w:val="22"/>
                <w:szCs w:val="22"/>
              </w:rPr>
              <w:t>$371.83</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5C5C372D" w14:textId="04A163B6">
            <w:pPr>
              <w:spacing w:after="0"/>
              <w:jc w:val="center"/>
              <w:rPr>
                <w:rFonts w:eastAsia="Times New Roman"/>
                <w:color w:val="000000"/>
                <w:sz w:val="22"/>
                <w:szCs w:val="22"/>
              </w:rPr>
            </w:pPr>
            <w:r w:rsidRPr="000659AD">
              <w:rPr>
                <w:color w:val="000000"/>
                <w:sz w:val="22"/>
                <w:szCs w:val="22"/>
              </w:rPr>
              <w:t>$371.83</w:t>
            </w:r>
          </w:p>
        </w:tc>
      </w:tr>
      <w:tr w14:paraId="60843353" w14:textId="77777777" w:rsidTr="000659AD">
        <w:tblPrEx>
          <w:tblW w:w="5000" w:type="pct"/>
          <w:tblLook w:val="04A0"/>
        </w:tblPrEx>
        <w:trPr>
          <w:trHeight w:val="216"/>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7D065B9F" w14:textId="7FBF7736">
            <w:pPr>
              <w:spacing w:after="0"/>
              <w:rPr>
                <w:rFonts w:eastAsia="Times New Roman"/>
                <w:color w:val="000000"/>
                <w:sz w:val="22"/>
                <w:szCs w:val="22"/>
              </w:rPr>
            </w:pPr>
            <w:r w:rsidRPr="00D52172">
              <w:rPr>
                <w:color w:val="000000"/>
                <w:sz w:val="22"/>
                <w:szCs w:val="22"/>
              </w:rPr>
              <w:t>Full Compliance Personnel Qualifications and Responsibilities</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2ED1B253" w14:textId="3E7AF6AA">
            <w:pPr>
              <w:spacing w:after="0"/>
              <w:jc w:val="center"/>
              <w:rPr>
                <w:rFonts w:eastAsia="Times New Roman"/>
                <w:color w:val="000000"/>
                <w:sz w:val="22"/>
                <w:szCs w:val="22"/>
              </w:rPr>
            </w:pPr>
            <w:r w:rsidRPr="000659AD">
              <w:rPr>
                <w:color w:val="000000"/>
                <w:sz w:val="22"/>
                <w:szCs w:val="22"/>
              </w:rPr>
              <w:t>$295.29</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3DB2E229" w14:textId="0E559E6B">
            <w:pPr>
              <w:spacing w:after="0"/>
              <w:jc w:val="center"/>
              <w:rPr>
                <w:rFonts w:eastAsia="Times New Roman"/>
                <w:color w:val="000000"/>
                <w:sz w:val="22"/>
                <w:szCs w:val="22"/>
              </w:rPr>
            </w:pPr>
            <w:r w:rsidRPr="000659AD">
              <w:rPr>
                <w:color w:val="000000"/>
                <w:sz w:val="22"/>
                <w:szCs w:val="22"/>
              </w:rPr>
              <w:t>$295.29</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129B07BA" w14:textId="05AB2D5D">
            <w:pPr>
              <w:spacing w:after="0"/>
              <w:jc w:val="center"/>
              <w:rPr>
                <w:rFonts w:eastAsia="Times New Roman"/>
                <w:color w:val="000000"/>
                <w:sz w:val="22"/>
                <w:szCs w:val="22"/>
              </w:rPr>
            </w:pPr>
            <w:r w:rsidRPr="000659AD">
              <w:rPr>
                <w:color w:val="000000"/>
                <w:sz w:val="22"/>
                <w:szCs w:val="22"/>
              </w:rPr>
              <w:t>$295.29</w:t>
            </w:r>
          </w:p>
        </w:tc>
      </w:tr>
      <w:tr w14:paraId="2867C328" w14:textId="77777777" w:rsidTr="000659AD">
        <w:tblPrEx>
          <w:tblW w:w="5000" w:type="pct"/>
          <w:tblLook w:val="04A0"/>
        </w:tblPrEx>
        <w:trPr>
          <w:trHeight w:val="432"/>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4AB1DF4D" w14:textId="16F17F74">
            <w:pPr>
              <w:spacing w:after="0"/>
              <w:rPr>
                <w:rFonts w:eastAsia="Times New Roman"/>
                <w:color w:val="000000"/>
                <w:sz w:val="22"/>
                <w:szCs w:val="22"/>
              </w:rPr>
            </w:pPr>
            <w:r w:rsidRPr="00D52172">
              <w:rPr>
                <w:color w:val="000000"/>
                <w:sz w:val="22"/>
                <w:szCs w:val="22"/>
              </w:rPr>
              <w:t>Written Procedures for Personnel Qualifications and Responsibilities</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6CC82B6B" w14:textId="12F80EFF">
            <w:pPr>
              <w:spacing w:after="0"/>
              <w:jc w:val="center"/>
              <w:rPr>
                <w:rFonts w:eastAsia="Times New Roman"/>
                <w:color w:val="000000"/>
                <w:sz w:val="22"/>
                <w:szCs w:val="22"/>
              </w:rPr>
            </w:pPr>
            <w:r w:rsidRPr="000659AD">
              <w:rPr>
                <w:color w:val="000000"/>
                <w:sz w:val="22"/>
                <w:szCs w:val="22"/>
              </w:rPr>
              <w:t>$25.45</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5636974A" w14:textId="516407AE">
            <w:pPr>
              <w:spacing w:after="0"/>
              <w:jc w:val="center"/>
              <w:rPr>
                <w:rFonts w:eastAsia="Times New Roman"/>
                <w:color w:val="000000"/>
                <w:sz w:val="22"/>
                <w:szCs w:val="22"/>
              </w:rPr>
            </w:pPr>
            <w:r w:rsidRPr="000659AD">
              <w:rPr>
                <w:color w:val="000000"/>
                <w:sz w:val="22"/>
                <w:szCs w:val="22"/>
              </w:rPr>
              <w:t>$25.45</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0756CF9F" w14:textId="05877D26">
            <w:pPr>
              <w:spacing w:after="0"/>
              <w:jc w:val="center"/>
              <w:rPr>
                <w:rFonts w:eastAsia="Times New Roman"/>
                <w:color w:val="000000"/>
                <w:sz w:val="22"/>
                <w:szCs w:val="22"/>
              </w:rPr>
            </w:pPr>
            <w:r w:rsidRPr="000659AD">
              <w:rPr>
                <w:color w:val="000000"/>
                <w:sz w:val="22"/>
                <w:szCs w:val="22"/>
              </w:rPr>
              <w:t>$25.45</w:t>
            </w:r>
          </w:p>
        </w:tc>
      </w:tr>
      <w:tr w14:paraId="799C1A94" w14:textId="77777777" w:rsidTr="000659AD">
        <w:tblPrEx>
          <w:tblW w:w="5000" w:type="pct"/>
          <w:tblLook w:val="04A0"/>
        </w:tblPrEx>
        <w:trPr>
          <w:trHeight w:val="432"/>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2FB69872" w14:textId="308F3C17">
            <w:pPr>
              <w:spacing w:after="0"/>
              <w:rPr>
                <w:rFonts w:eastAsia="Times New Roman"/>
                <w:color w:val="000000"/>
                <w:sz w:val="22"/>
                <w:szCs w:val="22"/>
              </w:rPr>
            </w:pPr>
            <w:r w:rsidRPr="00D52172">
              <w:rPr>
                <w:color w:val="000000"/>
                <w:sz w:val="22"/>
                <w:szCs w:val="22"/>
              </w:rPr>
              <w:t xml:space="preserve">Rejected Containers </w:t>
            </w:r>
            <w:r w:rsidR="002D469F">
              <w:rPr>
                <w:color w:val="000000"/>
                <w:sz w:val="22"/>
                <w:szCs w:val="22"/>
              </w:rPr>
              <w:t>M</w:t>
            </w:r>
            <w:r w:rsidRPr="00D52172">
              <w:rPr>
                <w:color w:val="000000"/>
                <w:sz w:val="22"/>
                <w:szCs w:val="22"/>
              </w:rPr>
              <w:t xml:space="preserve">ust </w:t>
            </w:r>
            <w:r w:rsidR="002D469F">
              <w:rPr>
                <w:color w:val="000000"/>
                <w:sz w:val="22"/>
                <w:szCs w:val="22"/>
              </w:rPr>
              <w:t>B</w:t>
            </w:r>
            <w:r w:rsidRPr="00D52172">
              <w:rPr>
                <w:color w:val="000000"/>
                <w:sz w:val="22"/>
                <w:szCs w:val="22"/>
              </w:rPr>
              <w:t xml:space="preserve">e </w:t>
            </w:r>
            <w:r>
              <w:rPr>
                <w:color w:val="000000"/>
                <w:sz w:val="22"/>
                <w:szCs w:val="22"/>
              </w:rPr>
              <w:t>Documented and Assessed</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0E73CEED" w14:textId="39D8D39A">
            <w:pPr>
              <w:spacing w:after="0"/>
              <w:jc w:val="center"/>
              <w:rPr>
                <w:rFonts w:eastAsia="Times New Roman"/>
                <w:color w:val="000000"/>
                <w:sz w:val="22"/>
                <w:szCs w:val="22"/>
              </w:rPr>
            </w:pPr>
            <w:r w:rsidRPr="000659AD">
              <w:rPr>
                <w:color w:val="000000"/>
                <w:sz w:val="22"/>
                <w:szCs w:val="22"/>
              </w:rPr>
              <w:t>$132.27</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0BD6026A" w14:textId="4E3A88A5">
            <w:pPr>
              <w:spacing w:after="0"/>
              <w:jc w:val="center"/>
              <w:rPr>
                <w:rFonts w:eastAsia="Times New Roman"/>
                <w:color w:val="000000"/>
                <w:sz w:val="22"/>
                <w:szCs w:val="22"/>
              </w:rPr>
            </w:pPr>
            <w:r w:rsidRPr="000659AD">
              <w:rPr>
                <w:color w:val="000000"/>
                <w:sz w:val="22"/>
                <w:szCs w:val="22"/>
              </w:rPr>
              <w:t>$132.27</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2C274558" w14:textId="369909A5">
            <w:pPr>
              <w:spacing w:after="0"/>
              <w:jc w:val="center"/>
              <w:rPr>
                <w:rFonts w:eastAsia="Times New Roman"/>
                <w:color w:val="000000"/>
                <w:sz w:val="22"/>
                <w:szCs w:val="22"/>
              </w:rPr>
            </w:pPr>
            <w:r w:rsidRPr="000659AD">
              <w:rPr>
                <w:color w:val="000000"/>
                <w:sz w:val="22"/>
                <w:szCs w:val="22"/>
              </w:rPr>
              <w:t>$132.27</w:t>
            </w:r>
          </w:p>
        </w:tc>
      </w:tr>
      <w:tr w14:paraId="5C197D4F" w14:textId="77777777" w:rsidTr="000659AD">
        <w:tblPrEx>
          <w:tblW w:w="5000" w:type="pct"/>
          <w:tblLook w:val="04A0"/>
        </w:tblPrEx>
        <w:trPr>
          <w:trHeight w:val="216"/>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74B4A942" w14:textId="464A8535">
            <w:pPr>
              <w:spacing w:after="0"/>
              <w:rPr>
                <w:rFonts w:eastAsia="Times New Roman"/>
                <w:color w:val="000000"/>
                <w:sz w:val="22"/>
                <w:szCs w:val="22"/>
              </w:rPr>
            </w:pPr>
            <w:r w:rsidRPr="00D52172">
              <w:rPr>
                <w:color w:val="000000"/>
                <w:sz w:val="22"/>
                <w:szCs w:val="22"/>
              </w:rPr>
              <w:t>Portable Cryogenic Containers Working Gauge Requirement</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6DE668FA" w14:textId="2813C168">
            <w:pPr>
              <w:spacing w:after="0"/>
              <w:jc w:val="center"/>
              <w:rPr>
                <w:rFonts w:eastAsia="Times New Roman"/>
                <w:color w:val="000000"/>
                <w:sz w:val="22"/>
                <w:szCs w:val="22"/>
              </w:rPr>
            </w:pPr>
            <w:r w:rsidRPr="000659AD">
              <w:rPr>
                <w:color w:val="000000"/>
                <w:sz w:val="22"/>
                <w:szCs w:val="22"/>
              </w:rPr>
              <w:t>$2,505.91</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3B563E59" w14:textId="18EF6AAE">
            <w:pPr>
              <w:spacing w:after="0"/>
              <w:jc w:val="center"/>
              <w:rPr>
                <w:rFonts w:eastAsia="Times New Roman"/>
                <w:color w:val="000000"/>
                <w:sz w:val="22"/>
                <w:szCs w:val="22"/>
              </w:rPr>
            </w:pPr>
            <w:r w:rsidRPr="000659AD">
              <w:rPr>
                <w:color w:val="000000"/>
                <w:sz w:val="22"/>
                <w:szCs w:val="22"/>
              </w:rPr>
              <w:t>$2,505.91</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76A2BC2A" w14:textId="33DC5C05">
            <w:pPr>
              <w:spacing w:after="0"/>
              <w:jc w:val="center"/>
              <w:rPr>
                <w:rFonts w:eastAsia="Times New Roman"/>
                <w:color w:val="000000"/>
                <w:sz w:val="22"/>
                <w:szCs w:val="22"/>
              </w:rPr>
            </w:pPr>
            <w:r w:rsidRPr="000659AD">
              <w:rPr>
                <w:color w:val="000000"/>
                <w:sz w:val="22"/>
                <w:szCs w:val="22"/>
              </w:rPr>
              <w:t>$2,505.91</w:t>
            </w:r>
          </w:p>
        </w:tc>
      </w:tr>
      <w:tr w14:paraId="733342AC" w14:textId="77777777" w:rsidTr="000659AD">
        <w:tblPrEx>
          <w:tblW w:w="5000" w:type="pct"/>
          <w:tblLook w:val="04A0"/>
        </w:tblPrEx>
        <w:trPr>
          <w:trHeight w:val="179"/>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58E928D3" w14:textId="6EDD2ADF">
            <w:pPr>
              <w:spacing w:after="0"/>
              <w:rPr>
                <w:rFonts w:eastAsia="Times New Roman"/>
                <w:color w:val="000000"/>
                <w:sz w:val="22"/>
                <w:szCs w:val="22"/>
              </w:rPr>
            </w:pPr>
            <w:r w:rsidRPr="00D52172">
              <w:rPr>
                <w:color w:val="000000"/>
                <w:sz w:val="22"/>
                <w:szCs w:val="22"/>
              </w:rPr>
              <w:t>CVM Adverse Event</w:t>
            </w:r>
            <w:r>
              <w:rPr>
                <w:color w:val="000000"/>
                <w:sz w:val="22"/>
                <w:szCs w:val="22"/>
              </w:rPr>
              <w:t>s</w:t>
            </w:r>
            <w:r w:rsidRPr="00D52172">
              <w:rPr>
                <w:color w:val="000000"/>
                <w:sz w:val="22"/>
                <w:szCs w:val="22"/>
              </w:rPr>
              <w:t xml:space="preserve"> </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5CC6DDEB" w14:textId="27C2F83F">
            <w:pPr>
              <w:spacing w:after="0"/>
              <w:jc w:val="center"/>
              <w:rPr>
                <w:rFonts w:eastAsia="Times New Roman"/>
                <w:color w:val="000000"/>
                <w:sz w:val="22"/>
                <w:szCs w:val="22"/>
              </w:rPr>
            </w:pPr>
            <w:r w:rsidRPr="000659AD">
              <w:rPr>
                <w:color w:val="000000"/>
                <w:sz w:val="22"/>
                <w:szCs w:val="22"/>
              </w:rPr>
              <w:t>$1.33</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543C74A9" w14:textId="7DBA46D9">
            <w:pPr>
              <w:spacing w:after="0"/>
              <w:jc w:val="center"/>
              <w:rPr>
                <w:rFonts w:eastAsia="Times New Roman"/>
                <w:color w:val="000000"/>
                <w:sz w:val="22"/>
                <w:szCs w:val="22"/>
              </w:rPr>
            </w:pPr>
            <w:r w:rsidRPr="000659AD">
              <w:rPr>
                <w:color w:val="000000"/>
                <w:sz w:val="22"/>
                <w:szCs w:val="22"/>
              </w:rPr>
              <w:t>$1.33</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2E544DA3" w14:textId="6E3CFB59">
            <w:pPr>
              <w:spacing w:after="0"/>
              <w:jc w:val="center"/>
              <w:rPr>
                <w:rFonts w:eastAsia="Times New Roman"/>
                <w:color w:val="000000"/>
                <w:sz w:val="22"/>
                <w:szCs w:val="22"/>
              </w:rPr>
            </w:pPr>
            <w:r w:rsidRPr="000659AD">
              <w:rPr>
                <w:color w:val="000000"/>
                <w:sz w:val="22"/>
                <w:szCs w:val="22"/>
              </w:rPr>
              <w:t>$1.33</w:t>
            </w:r>
          </w:p>
        </w:tc>
      </w:tr>
      <w:tr w14:paraId="599CC689" w14:textId="77777777" w:rsidTr="000659AD">
        <w:tblPrEx>
          <w:tblW w:w="5000" w:type="pct"/>
          <w:tblLook w:val="04A0"/>
        </w:tblPrEx>
        <w:trPr>
          <w:trHeight w:val="216"/>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1091C63C" w14:textId="470081E0">
            <w:pPr>
              <w:spacing w:after="0"/>
              <w:rPr>
                <w:rFonts w:eastAsia="Times New Roman"/>
                <w:color w:val="000000"/>
                <w:sz w:val="22"/>
                <w:szCs w:val="22"/>
              </w:rPr>
            </w:pPr>
            <w:r w:rsidRPr="00D52172">
              <w:rPr>
                <w:color w:val="000000"/>
                <w:sz w:val="22"/>
                <w:szCs w:val="22"/>
              </w:rPr>
              <w:t>Submission of Certification Request</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073442D8" w14:textId="348383BD">
            <w:pPr>
              <w:spacing w:after="0"/>
              <w:jc w:val="center"/>
              <w:rPr>
                <w:rFonts w:eastAsia="Times New Roman"/>
                <w:color w:val="000000"/>
                <w:sz w:val="22"/>
                <w:szCs w:val="22"/>
              </w:rPr>
            </w:pPr>
            <w:r w:rsidRPr="000659AD">
              <w:rPr>
                <w:color w:val="000000"/>
                <w:sz w:val="22"/>
                <w:szCs w:val="22"/>
              </w:rPr>
              <w:t>$0.00</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7AF517EE" w14:textId="3461AD9F">
            <w:pPr>
              <w:spacing w:after="0"/>
              <w:jc w:val="center"/>
              <w:rPr>
                <w:rFonts w:eastAsia="Times New Roman"/>
                <w:color w:val="000000"/>
                <w:sz w:val="22"/>
                <w:szCs w:val="22"/>
              </w:rPr>
            </w:pPr>
            <w:r w:rsidRPr="000659AD">
              <w:rPr>
                <w:color w:val="000000"/>
                <w:sz w:val="22"/>
                <w:szCs w:val="22"/>
              </w:rPr>
              <w:t>$8.76</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27A3FFE5" w14:textId="224E7CF0">
            <w:pPr>
              <w:spacing w:after="0"/>
              <w:jc w:val="center"/>
              <w:rPr>
                <w:rFonts w:eastAsia="Times New Roman"/>
                <w:color w:val="000000"/>
                <w:sz w:val="22"/>
                <w:szCs w:val="22"/>
              </w:rPr>
            </w:pPr>
            <w:r w:rsidRPr="000659AD">
              <w:rPr>
                <w:color w:val="000000"/>
                <w:sz w:val="22"/>
                <w:szCs w:val="22"/>
              </w:rPr>
              <w:t>$8.76</w:t>
            </w:r>
          </w:p>
        </w:tc>
      </w:tr>
      <w:tr w14:paraId="2CE2E7C9" w14:textId="77777777" w:rsidTr="000659AD">
        <w:tblPrEx>
          <w:tblW w:w="5000" w:type="pct"/>
          <w:tblLook w:val="04A0"/>
        </w:tblPrEx>
        <w:trPr>
          <w:trHeight w:val="216"/>
        </w:trPr>
        <w:tc>
          <w:tcPr>
            <w:tcW w:w="3443" w:type="dxa"/>
            <w:tcBorders>
              <w:top w:val="nil"/>
              <w:left w:val="single" w:sz="4" w:space="0" w:color="auto"/>
              <w:bottom w:val="single" w:sz="4" w:space="0" w:color="auto"/>
              <w:right w:val="single" w:sz="4" w:space="0" w:color="auto"/>
            </w:tcBorders>
            <w:shd w:val="clear" w:color="auto" w:fill="auto"/>
            <w:noWrap/>
            <w:vAlign w:val="bottom"/>
            <w:hideMark/>
          </w:tcPr>
          <w:p w:rsidR="00C30D1E" w:rsidRPr="00D52172" w:rsidP="00C30D1E" w14:paraId="6E796782" w14:textId="3FEE2320">
            <w:pPr>
              <w:spacing w:after="0"/>
              <w:rPr>
                <w:rFonts w:eastAsia="Times New Roman"/>
                <w:color w:val="000000"/>
                <w:sz w:val="22"/>
                <w:szCs w:val="22"/>
              </w:rPr>
            </w:pPr>
            <w:r w:rsidRPr="00D52172">
              <w:rPr>
                <w:color w:val="000000"/>
                <w:sz w:val="22"/>
                <w:szCs w:val="22"/>
              </w:rPr>
              <w:t>Annual Report for Granted Certifications</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rsidR="00C30D1E" w:rsidRPr="00C30D1E" w:rsidP="00C30D1E" w14:paraId="7DFC2D8D" w14:textId="275FA2D3">
            <w:pPr>
              <w:spacing w:after="0"/>
              <w:jc w:val="center"/>
              <w:rPr>
                <w:rFonts w:eastAsia="Times New Roman"/>
                <w:color w:val="000000"/>
                <w:sz w:val="22"/>
                <w:szCs w:val="22"/>
              </w:rPr>
            </w:pPr>
            <w:r w:rsidRPr="000659AD">
              <w:rPr>
                <w:color w:val="000000"/>
                <w:sz w:val="22"/>
                <w:szCs w:val="22"/>
              </w:rPr>
              <w:t>$121.4</w:t>
            </w:r>
            <w:r w:rsidR="00612D99">
              <w:rPr>
                <w:color w:val="000000"/>
                <w:sz w:val="22"/>
                <w:szCs w:val="22"/>
              </w:rPr>
              <w:t>9</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4E6C7A33" w14:textId="1C4691E5">
            <w:pPr>
              <w:spacing w:after="0"/>
              <w:jc w:val="center"/>
              <w:rPr>
                <w:rFonts w:eastAsia="Times New Roman"/>
                <w:color w:val="000000"/>
                <w:sz w:val="22"/>
                <w:szCs w:val="22"/>
              </w:rPr>
            </w:pPr>
            <w:r w:rsidRPr="000659AD">
              <w:rPr>
                <w:color w:val="000000"/>
                <w:sz w:val="22"/>
                <w:szCs w:val="22"/>
              </w:rPr>
              <w:t>$0.00</w:t>
            </w:r>
          </w:p>
        </w:tc>
        <w:tc>
          <w:tcPr>
            <w:tcW w:w="1969" w:type="dxa"/>
            <w:tcBorders>
              <w:top w:val="nil"/>
              <w:left w:val="nil"/>
              <w:bottom w:val="single" w:sz="4" w:space="0" w:color="auto"/>
              <w:right w:val="single" w:sz="4" w:space="0" w:color="auto"/>
            </w:tcBorders>
            <w:shd w:val="clear" w:color="auto" w:fill="auto"/>
            <w:noWrap/>
            <w:vAlign w:val="bottom"/>
            <w:hideMark/>
          </w:tcPr>
          <w:p w:rsidR="00C30D1E" w:rsidRPr="00C30D1E" w:rsidP="00C30D1E" w14:paraId="3298D9A9" w14:textId="5A57C273">
            <w:pPr>
              <w:spacing w:after="0"/>
              <w:jc w:val="center"/>
              <w:rPr>
                <w:rFonts w:eastAsia="Times New Roman"/>
                <w:color w:val="000000"/>
                <w:sz w:val="22"/>
                <w:szCs w:val="22"/>
              </w:rPr>
            </w:pPr>
            <w:r w:rsidRPr="000659AD">
              <w:rPr>
                <w:color w:val="000000"/>
                <w:sz w:val="22"/>
                <w:szCs w:val="22"/>
              </w:rPr>
              <w:t>$0.00</w:t>
            </w:r>
          </w:p>
        </w:tc>
      </w:tr>
      <w:tr w14:paraId="2FA473A0" w14:textId="77777777" w:rsidTr="00C30D1E">
        <w:tblPrEx>
          <w:tblW w:w="5000" w:type="pct"/>
          <w:tblLook w:val="04A0"/>
        </w:tblPrEx>
        <w:trPr>
          <w:trHeight w:val="215"/>
        </w:trPr>
        <w:tc>
          <w:tcPr>
            <w:tcW w:w="3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7C42" w:rsidRPr="00D52172" w:rsidP="002E7C42" w14:paraId="17E2D720" w14:textId="64EF7CA3">
            <w:pPr>
              <w:spacing w:after="0"/>
              <w:rPr>
                <w:rFonts w:eastAsia="Times New Roman"/>
                <w:color w:val="000000"/>
                <w:sz w:val="22"/>
                <w:szCs w:val="22"/>
              </w:rPr>
            </w:pPr>
            <w:r w:rsidRPr="00D52172">
              <w:rPr>
                <w:rFonts w:eastAsia="Times New Roman"/>
                <w:b/>
                <w:color w:val="000000"/>
                <w:sz w:val="22"/>
                <w:szCs w:val="22"/>
              </w:rPr>
              <w:t>Total Cost</w:t>
            </w:r>
          </w:p>
        </w:tc>
        <w:tc>
          <w:tcPr>
            <w:tcW w:w="1969"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rsidR="002E7C42" w:rsidRPr="00D52172" w:rsidP="008623DC" w14:paraId="2B948F32" w14:textId="528D5B5F">
            <w:pPr>
              <w:spacing w:after="0"/>
              <w:jc w:val="center"/>
              <w:rPr>
                <w:rFonts w:eastAsia="Times New Roman"/>
                <w:color w:val="000000"/>
                <w:sz w:val="22"/>
                <w:szCs w:val="22"/>
              </w:rPr>
            </w:pPr>
          </w:p>
        </w:tc>
        <w:tc>
          <w:tcPr>
            <w:tcW w:w="1969"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rsidR="002E7C42" w:rsidRPr="00D52172" w:rsidP="008623DC" w14:paraId="7D464C80" w14:textId="13F72368">
            <w:pPr>
              <w:spacing w:after="0"/>
              <w:jc w:val="center"/>
              <w:rPr>
                <w:rFonts w:eastAsia="Times New Roman"/>
                <w:color w:val="000000"/>
                <w:sz w:val="22"/>
                <w:szCs w:val="22"/>
              </w:rPr>
            </w:pPr>
          </w:p>
        </w:tc>
        <w:tc>
          <w:tcPr>
            <w:tcW w:w="19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7C42" w:rsidRPr="00D52172" w:rsidP="008623DC" w14:paraId="0CF1B474" w14:textId="66739161">
            <w:pPr>
              <w:spacing w:after="0"/>
              <w:jc w:val="center"/>
              <w:rPr>
                <w:rFonts w:eastAsia="Times New Roman"/>
                <w:color w:val="000000"/>
                <w:sz w:val="22"/>
                <w:szCs w:val="22"/>
              </w:rPr>
            </w:pPr>
          </w:p>
        </w:tc>
      </w:tr>
      <w:tr w14:paraId="30655FCA" w14:textId="77777777" w:rsidTr="000659AD">
        <w:tblPrEx>
          <w:tblW w:w="5000" w:type="pct"/>
          <w:tblLook w:val="04A0"/>
        </w:tblPrEx>
        <w:trPr>
          <w:trHeight w:val="216"/>
        </w:trPr>
        <w:tc>
          <w:tcPr>
            <w:tcW w:w="34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30D1E" w:rsidRPr="00D52172" w:rsidP="00C30D1E" w14:paraId="74BB73A9" w14:textId="790B2394">
            <w:pPr>
              <w:spacing w:after="0"/>
              <w:rPr>
                <w:color w:val="000000"/>
                <w:sz w:val="22"/>
                <w:szCs w:val="22"/>
              </w:rPr>
            </w:pPr>
            <w:r w:rsidRPr="00D52172">
              <w:rPr>
                <w:rFonts w:eastAsia="Times New Roman"/>
                <w:color w:val="000000"/>
                <w:sz w:val="22"/>
                <w:szCs w:val="22"/>
              </w:rPr>
              <w:t>Total Cost</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D1E" w:rsidRPr="00C30D1E" w:rsidP="00C30D1E" w14:paraId="565107DD" w14:textId="73CBA1D2">
            <w:pPr>
              <w:spacing w:after="0"/>
              <w:jc w:val="center"/>
              <w:rPr>
                <w:color w:val="000000"/>
                <w:sz w:val="22"/>
                <w:szCs w:val="22"/>
              </w:rPr>
            </w:pPr>
            <w:r w:rsidRPr="000659AD">
              <w:rPr>
                <w:color w:val="000000"/>
                <w:sz w:val="22"/>
                <w:szCs w:val="22"/>
              </w:rPr>
              <w:t>$9,419.13</w:t>
            </w:r>
          </w:p>
        </w:tc>
        <w:tc>
          <w:tcPr>
            <w:tcW w:w="1969" w:type="dxa"/>
            <w:tcBorders>
              <w:top w:val="single" w:sz="4" w:space="0" w:color="auto"/>
              <w:left w:val="nil"/>
              <w:bottom w:val="single" w:sz="4" w:space="0" w:color="auto"/>
              <w:right w:val="single" w:sz="4" w:space="0" w:color="auto"/>
            </w:tcBorders>
            <w:shd w:val="clear" w:color="auto" w:fill="auto"/>
            <w:noWrap/>
            <w:vAlign w:val="bottom"/>
          </w:tcPr>
          <w:p w:rsidR="00C30D1E" w:rsidRPr="00C30D1E" w:rsidP="00C30D1E" w14:paraId="7DA791A8" w14:textId="660BF2A4">
            <w:pPr>
              <w:spacing w:after="0"/>
              <w:jc w:val="center"/>
              <w:rPr>
                <w:color w:val="000000"/>
                <w:sz w:val="22"/>
                <w:szCs w:val="22"/>
              </w:rPr>
            </w:pPr>
            <w:r w:rsidRPr="000659AD">
              <w:rPr>
                <w:color w:val="000000"/>
                <w:sz w:val="22"/>
                <w:szCs w:val="22"/>
              </w:rPr>
              <w:t>$9,306.48</w:t>
            </w:r>
          </w:p>
        </w:tc>
        <w:tc>
          <w:tcPr>
            <w:tcW w:w="1969" w:type="dxa"/>
            <w:tcBorders>
              <w:top w:val="single" w:sz="4" w:space="0" w:color="auto"/>
              <w:left w:val="nil"/>
              <w:bottom w:val="single" w:sz="4" w:space="0" w:color="auto"/>
              <w:right w:val="single" w:sz="4" w:space="0" w:color="auto"/>
            </w:tcBorders>
            <w:shd w:val="clear" w:color="auto" w:fill="auto"/>
            <w:noWrap/>
            <w:vAlign w:val="bottom"/>
          </w:tcPr>
          <w:p w:rsidR="00C30D1E" w:rsidRPr="00C30D1E" w:rsidP="00C30D1E" w14:paraId="208BDB36" w14:textId="7368796F">
            <w:pPr>
              <w:spacing w:after="0"/>
              <w:jc w:val="center"/>
              <w:rPr>
                <w:color w:val="000000"/>
                <w:sz w:val="22"/>
                <w:szCs w:val="22"/>
              </w:rPr>
            </w:pPr>
            <w:r w:rsidRPr="000659AD">
              <w:rPr>
                <w:color w:val="000000"/>
                <w:sz w:val="22"/>
                <w:szCs w:val="22"/>
              </w:rPr>
              <w:t>$9,306.48</w:t>
            </w:r>
          </w:p>
        </w:tc>
      </w:tr>
    </w:tbl>
    <w:p w:rsidR="00755B60" w:rsidP="00F47D86" w14:paraId="57900E7F" w14:textId="46BB8B2C"/>
    <w:p w:rsidR="00B21D6B" w:rsidRPr="004A4589" w:rsidP="00F47D86" w14:paraId="27307337" w14:textId="77777777"/>
    <w:p w:rsidR="00041526" w:rsidRPr="00041526" w:rsidP="003B7206" w14:paraId="289D4314" w14:textId="0609C4C0">
      <w:pPr>
        <w:ind w:firstLine="720"/>
      </w:pPr>
      <w:r>
        <w:rPr>
          <w:bCs/>
        </w:rPr>
        <w:t xml:space="preserve">The ratio of highest single year costs to receipts is highest for </w:t>
      </w:r>
      <w:r w:rsidR="00D015F9">
        <w:rPr>
          <w:bCs/>
        </w:rPr>
        <w:t xml:space="preserve">small </w:t>
      </w:r>
      <w:r w:rsidR="002E7C42">
        <w:rPr>
          <w:bCs/>
        </w:rPr>
        <w:t>manufacturers</w:t>
      </w:r>
      <w:r>
        <w:rPr>
          <w:bCs/>
        </w:rPr>
        <w:t xml:space="preserve"> with 0 to 4 employees (</w:t>
      </w:r>
      <w:r>
        <w:t>0.</w:t>
      </w:r>
      <w:r w:rsidR="009020B2">
        <w:t>860</w:t>
      </w:r>
      <w:r>
        <w:t xml:space="preserve"> percent) while the average costs to receipts ratio rounds to 0.00</w:t>
      </w:r>
      <w:r w:rsidR="00A35C6A">
        <w:t>7</w:t>
      </w:r>
      <w:r>
        <w:t xml:space="preserve"> percent for all three entity types. These estimates can be</w:t>
      </w:r>
      <w:r w:rsidRPr="004253BC">
        <w:t xml:space="preserve"> found in</w:t>
      </w:r>
      <w:r>
        <w:t xml:space="preserve"> </w:t>
      </w:r>
      <w:r w:rsidRPr="00830D72" w:rsidR="00830D72">
        <w:fldChar w:fldCharType="begin"/>
      </w:r>
      <w:r w:rsidRPr="00830D72" w:rsidR="00830D72">
        <w:instrText xml:space="preserve"> REF _Ref132016213 \h </w:instrText>
      </w:r>
      <w:r w:rsidRPr="004848C7" w:rsidR="00830D72">
        <w:instrText xml:space="preserve"> \* MERGEFORMAT </w:instrText>
      </w:r>
      <w:r w:rsidRPr="00830D72" w:rsidR="00830D72">
        <w:fldChar w:fldCharType="separate"/>
      </w:r>
      <w:r w:rsidRPr="004848C7" w:rsidR="00830D72">
        <w:t xml:space="preserve">Table </w:t>
      </w:r>
      <w:r w:rsidRPr="004848C7" w:rsidR="00830D72">
        <w:rPr>
          <w:noProof/>
        </w:rPr>
        <w:t>34</w:t>
      </w:r>
      <w:r w:rsidRPr="00830D72" w:rsidR="00830D72">
        <w:fldChar w:fldCharType="end"/>
      </w:r>
      <w:r w:rsidRPr="004E17FC">
        <w:t>.</w:t>
      </w:r>
    </w:p>
    <w:p w:rsidR="00B06BAA" w:rsidP="003B7206" w14:paraId="7FE2CB06" w14:textId="656DAFC4">
      <w:pPr>
        <w:ind w:firstLine="720"/>
      </w:pPr>
    </w:p>
    <w:p w:rsidR="002A29DF" w:rsidRPr="003B7206" w:rsidP="003B7206" w14:paraId="3BFCD58F" w14:textId="6A305B82">
      <w:pPr>
        <w:pStyle w:val="Caption"/>
        <w:rPr>
          <w:b/>
          <w:bCs/>
        </w:rPr>
      </w:pPr>
      <w:bookmarkStart w:id="202" w:name="_Ref132016213"/>
      <w:bookmarkStart w:id="203" w:name="_Toc147238778"/>
      <w:r w:rsidRPr="003B7206">
        <w:rPr>
          <w:b/>
          <w:bCs/>
        </w:rPr>
        <w:t xml:space="preserve">Table </w:t>
      </w:r>
      <w:r w:rsidRPr="003B7206">
        <w:rPr>
          <w:b/>
          <w:bCs/>
        </w:rPr>
        <w:fldChar w:fldCharType="begin"/>
      </w:r>
      <w:r w:rsidRPr="003B7206">
        <w:rPr>
          <w:b/>
          <w:bCs/>
        </w:rPr>
        <w:instrText xml:space="preserve"> SEQ Table \* ARABIC </w:instrText>
      </w:r>
      <w:r w:rsidRPr="003B7206">
        <w:rPr>
          <w:b/>
          <w:bCs/>
        </w:rPr>
        <w:fldChar w:fldCharType="separate"/>
      </w:r>
      <w:r w:rsidR="0011482F">
        <w:rPr>
          <w:b/>
          <w:bCs/>
          <w:noProof/>
        </w:rPr>
        <w:t>34</w:t>
      </w:r>
      <w:r w:rsidRPr="003B7206">
        <w:rPr>
          <w:b/>
          <w:bCs/>
        </w:rPr>
        <w:fldChar w:fldCharType="end"/>
      </w:r>
      <w:bookmarkEnd w:id="202"/>
      <w:r w:rsidRPr="003B7206">
        <w:rPr>
          <w:b/>
          <w:bCs/>
        </w:rPr>
        <w:t>.</w:t>
      </w:r>
      <w:r w:rsidRPr="003B7206">
        <w:rPr>
          <w:b/>
          <w:bCs/>
        </w:rPr>
        <w:t xml:space="preserve"> Percent of Single Year Highest Costs Relative to Annual </w:t>
      </w:r>
      <w:r w:rsidRPr="003B7206" w:rsidR="001515B5">
        <w:rPr>
          <w:b/>
          <w:bCs/>
        </w:rPr>
        <w:t>Receipts</w:t>
      </w:r>
      <w:r w:rsidRPr="003B7206">
        <w:rPr>
          <w:b/>
          <w:bCs/>
        </w:rPr>
        <w:t xml:space="preserve"> for Compliant and Non-complaint Firms</w:t>
      </w:r>
      <w:bookmarkEnd w:id="203"/>
    </w:p>
    <w:tbl>
      <w:tblPr>
        <w:tblW w:w="9470" w:type="dxa"/>
        <w:tblLook w:val="04A0"/>
      </w:tblPr>
      <w:tblGrid>
        <w:gridCol w:w="1530"/>
        <w:gridCol w:w="1863"/>
        <w:gridCol w:w="1622"/>
        <w:gridCol w:w="2180"/>
        <w:gridCol w:w="2275"/>
      </w:tblGrid>
      <w:tr w14:paraId="18C31929" w14:textId="77777777" w:rsidTr="00714FC0">
        <w:tblPrEx>
          <w:tblW w:w="9470" w:type="dxa"/>
          <w:tblLook w:val="04A0"/>
        </w:tblPrEx>
        <w:trPr>
          <w:trHeight w:val="648"/>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64801" w:rsidRPr="008623DC" w:rsidP="00064801" w14:paraId="2BC85932" w14:textId="77777777">
            <w:pPr>
              <w:spacing w:after="0"/>
              <w:rPr>
                <w:rFonts w:eastAsia="Times New Roman"/>
                <w:b/>
                <w:bCs/>
                <w:color w:val="000000"/>
                <w:sz w:val="22"/>
                <w:szCs w:val="22"/>
              </w:rPr>
            </w:pPr>
            <w:r w:rsidRPr="008623DC">
              <w:rPr>
                <w:rFonts w:eastAsia="Times New Roman"/>
                <w:b/>
                <w:bCs/>
                <w:color w:val="000000"/>
                <w:sz w:val="22"/>
                <w:szCs w:val="22"/>
              </w:rPr>
              <w:t>Employment Size</w:t>
            </w:r>
          </w:p>
        </w:tc>
        <w:tc>
          <w:tcPr>
            <w:tcW w:w="186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64801" w:rsidRPr="008623DC" w:rsidP="00AC2CB0" w14:paraId="4012A0F1" w14:textId="3C9C90E1">
            <w:pPr>
              <w:spacing w:after="0"/>
              <w:jc w:val="center"/>
              <w:rPr>
                <w:rFonts w:eastAsia="Times New Roman"/>
                <w:b/>
                <w:bCs/>
                <w:color w:val="000000"/>
                <w:sz w:val="22"/>
                <w:szCs w:val="22"/>
              </w:rPr>
            </w:pPr>
            <w:r w:rsidRPr="008623DC">
              <w:rPr>
                <w:rFonts w:eastAsia="Times New Roman"/>
                <w:b/>
                <w:bCs/>
                <w:color w:val="000000"/>
                <w:sz w:val="22"/>
                <w:szCs w:val="22"/>
              </w:rPr>
              <w:t>Annual Receipts per Firm</w:t>
            </w:r>
            <w:r w:rsidRPr="008623DC" w:rsidR="000571B7">
              <w:rPr>
                <w:rFonts w:eastAsia="Times New Roman"/>
                <w:b/>
                <w:bCs/>
                <w:color w:val="000000"/>
                <w:sz w:val="22"/>
                <w:szCs w:val="22"/>
              </w:rPr>
              <w:t xml:space="preserve"> ($1,000)</w:t>
            </w:r>
          </w:p>
        </w:tc>
        <w:tc>
          <w:tcPr>
            <w:tcW w:w="162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64801" w:rsidRPr="008623DC" w:rsidP="00AC2CB0" w14:paraId="25B505DC" w14:textId="6EA928DB">
            <w:pPr>
              <w:spacing w:after="0"/>
              <w:jc w:val="center"/>
              <w:rPr>
                <w:rFonts w:eastAsia="Times New Roman"/>
                <w:b/>
                <w:bCs/>
                <w:color w:val="000000"/>
                <w:sz w:val="22"/>
                <w:szCs w:val="22"/>
              </w:rPr>
            </w:pPr>
            <w:r w:rsidRPr="008623DC">
              <w:rPr>
                <w:rFonts w:eastAsia="Times New Roman"/>
                <w:b/>
                <w:bCs/>
                <w:color w:val="000000"/>
                <w:sz w:val="22"/>
                <w:szCs w:val="22"/>
              </w:rPr>
              <w:t>Small Manufacturer</w:t>
            </w:r>
          </w:p>
        </w:tc>
        <w:tc>
          <w:tcPr>
            <w:tcW w:w="2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64801" w:rsidRPr="008623DC" w:rsidP="00AC2CB0" w14:paraId="2CAE8744" w14:textId="4588564A">
            <w:pPr>
              <w:spacing w:after="0"/>
              <w:jc w:val="center"/>
              <w:rPr>
                <w:rFonts w:eastAsia="Times New Roman"/>
                <w:b/>
                <w:bCs/>
                <w:color w:val="000000"/>
                <w:sz w:val="22"/>
                <w:szCs w:val="22"/>
              </w:rPr>
            </w:pPr>
            <w:r w:rsidRPr="008623DC">
              <w:rPr>
                <w:rFonts w:eastAsia="Times New Roman"/>
                <w:b/>
                <w:bCs/>
                <w:color w:val="000000"/>
                <w:sz w:val="22"/>
                <w:szCs w:val="22"/>
              </w:rPr>
              <w:t>Small Downstream Entity Not Engaged in Homecare</w:t>
            </w:r>
          </w:p>
        </w:tc>
        <w:tc>
          <w:tcPr>
            <w:tcW w:w="227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64801" w:rsidRPr="008623DC" w:rsidP="00AC2CB0" w14:paraId="3E87F3FA" w14:textId="3A52AFDA">
            <w:pPr>
              <w:spacing w:after="0"/>
              <w:jc w:val="center"/>
              <w:rPr>
                <w:rFonts w:eastAsia="Times New Roman"/>
                <w:b/>
                <w:bCs/>
                <w:color w:val="000000"/>
                <w:sz w:val="22"/>
                <w:szCs w:val="22"/>
              </w:rPr>
            </w:pPr>
            <w:r w:rsidRPr="008623DC">
              <w:rPr>
                <w:rFonts w:eastAsia="Times New Roman"/>
                <w:b/>
                <w:bCs/>
                <w:color w:val="000000"/>
                <w:sz w:val="22"/>
                <w:szCs w:val="22"/>
              </w:rPr>
              <w:t>Small Downstream Entity Engaged in Homecare</w:t>
            </w:r>
          </w:p>
        </w:tc>
      </w:tr>
      <w:tr w14:paraId="18368568"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3510C6FF" w14:textId="173CD276">
            <w:pPr>
              <w:spacing w:after="0"/>
              <w:rPr>
                <w:rFonts w:eastAsia="Times New Roman"/>
                <w:color w:val="000000"/>
                <w:sz w:val="22"/>
                <w:szCs w:val="22"/>
              </w:rPr>
            </w:pPr>
            <w:r w:rsidRPr="008623DC">
              <w:rPr>
                <w:rFonts w:eastAsia="Times New Roman"/>
                <w:color w:val="000000"/>
                <w:sz w:val="22"/>
                <w:szCs w:val="22"/>
              </w:rPr>
              <w:t>Total</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5FAEE47A" w14:textId="1190AF6D">
            <w:pPr>
              <w:spacing w:after="0"/>
              <w:jc w:val="center"/>
              <w:rPr>
                <w:rFonts w:eastAsia="Times New Roman"/>
                <w:color w:val="000000"/>
                <w:sz w:val="22"/>
                <w:szCs w:val="22"/>
              </w:rPr>
            </w:pPr>
            <w:r w:rsidRPr="008623DC">
              <w:rPr>
                <w:rFonts w:eastAsia="Times New Roman"/>
                <w:color w:val="000000"/>
                <w:sz w:val="22"/>
                <w:szCs w:val="22"/>
              </w:rPr>
              <w:t>128,896</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537FF85E" w14:textId="3FCDAB94">
            <w:pPr>
              <w:spacing w:after="0"/>
              <w:jc w:val="center"/>
              <w:rPr>
                <w:rFonts w:eastAsia="Times New Roman"/>
                <w:color w:val="000000"/>
                <w:sz w:val="22"/>
                <w:szCs w:val="22"/>
              </w:rPr>
            </w:pPr>
            <w:r>
              <w:rPr>
                <w:color w:val="000000"/>
                <w:sz w:val="22"/>
                <w:szCs w:val="22"/>
              </w:rPr>
              <w:t>0.007%</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F6820C9" w14:textId="503C1E96">
            <w:pPr>
              <w:spacing w:after="0"/>
              <w:jc w:val="center"/>
              <w:rPr>
                <w:rFonts w:eastAsia="Times New Roman"/>
                <w:color w:val="000000"/>
                <w:sz w:val="22"/>
                <w:szCs w:val="22"/>
              </w:rPr>
            </w:pPr>
            <w:r>
              <w:rPr>
                <w:color w:val="000000"/>
                <w:sz w:val="22"/>
                <w:szCs w:val="22"/>
              </w:rPr>
              <w:t>0.007%</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8BEBBC7" w14:textId="2D6E47D2">
            <w:pPr>
              <w:spacing w:after="0"/>
              <w:jc w:val="center"/>
              <w:rPr>
                <w:rFonts w:eastAsia="Times New Roman"/>
                <w:color w:val="000000"/>
                <w:sz w:val="22"/>
                <w:szCs w:val="22"/>
              </w:rPr>
            </w:pPr>
            <w:r>
              <w:rPr>
                <w:color w:val="000000"/>
                <w:sz w:val="22"/>
                <w:szCs w:val="22"/>
              </w:rPr>
              <w:t>0.007%</w:t>
            </w:r>
          </w:p>
        </w:tc>
      </w:tr>
      <w:tr w14:paraId="2DA871FB"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7EA89E86" w14:textId="1BDD902C">
            <w:pPr>
              <w:spacing w:after="0"/>
              <w:rPr>
                <w:rFonts w:eastAsia="Times New Roman"/>
                <w:color w:val="000000"/>
                <w:sz w:val="22"/>
                <w:szCs w:val="22"/>
              </w:rPr>
            </w:pPr>
            <w:r w:rsidRPr="008623DC">
              <w:rPr>
                <w:rFonts w:eastAsia="Times New Roman"/>
                <w:color w:val="000000"/>
                <w:sz w:val="22"/>
                <w:szCs w:val="22"/>
              </w:rPr>
              <w:t>0-4</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25D68047" w14:textId="41924D75">
            <w:pPr>
              <w:spacing w:after="0"/>
              <w:jc w:val="center"/>
              <w:rPr>
                <w:rFonts w:eastAsia="Times New Roman"/>
                <w:color w:val="000000"/>
                <w:sz w:val="22"/>
                <w:szCs w:val="22"/>
              </w:rPr>
            </w:pPr>
            <w:r w:rsidRPr="008623DC">
              <w:rPr>
                <w:rFonts w:eastAsia="Times New Roman"/>
                <w:color w:val="000000"/>
                <w:sz w:val="22"/>
                <w:szCs w:val="22"/>
              </w:rPr>
              <w:t>1,095</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3103F88A" w14:textId="7AC60945">
            <w:pPr>
              <w:spacing w:after="0"/>
              <w:jc w:val="center"/>
              <w:rPr>
                <w:rFonts w:eastAsia="Times New Roman"/>
                <w:color w:val="000000"/>
                <w:sz w:val="22"/>
                <w:szCs w:val="22"/>
              </w:rPr>
            </w:pPr>
            <w:r>
              <w:rPr>
                <w:color w:val="000000"/>
                <w:sz w:val="22"/>
                <w:szCs w:val="22"/>
              </w:rPr>
              <w:t>0.860%</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0628A52" w14:textId="1A5E8EEF">
            <w:pPr>
              <w:spacing w:after="0"/>
              <w:jc w:val="center"/>
              <w:rPr>
                <w:rFonts w:eastAsia="Times New Roman"/>
                <w:color w:val="000000"/>
                <w:sz w:val="22"/>
                <w:szCs w:val="22"/>
              </w:rPr>
            </w:pPr>
            <w:r>
              <w:rPr>
                <w:color w:val="000000"/>
                <w:sz w:val="22"/>
                <w:szCs w:val="22"/>
              </w:rPr>
              <w:t>0.850%</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5F612A81" w14:textId="389E2BD5">
            <w:pPr>
              <w:spacing w:after="0"/>
              <w:jc w:val="center"/>
              <w:rPr>
                <w:rFonts w:eastAsia="Times New Roman"/>
                <w:color w:val="000000"/>
                <w:sz w:val="22"/>
                <w:szCs w:val="22"/>
              </w:rPr>
            </w:pPr>
            <w:r>
              <w:rPr>
                <w:color w:val="000000"/>
                <w:sz w:val="22"/>
                <w:szCs w:val="22"/>
              </w:rPr>
              <w:t>0.850%</w:t>
            </w:r>
          </w:p>
        </w:tc>
      </w:tr>
      <w:tr w14:paraId="61B5A460"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32296740" w14:textId="55DB3B60">
            <w:pPr>
              <w:spacing w:after="0"/>
              <w:rPr>
                <w:rFonts w:eastAsia="Times New Roman"/>
                <w:color w:val="000000"/>
                <w:sz w:val="22"/>
                <w:szCs w:val="22"/>
              </w:rPr>
            </w:pPr>
            <w:r w:rsidRPr="008623DC">
              <w:rPr>
                <w:rFonts w:eastAsia="Times New Roman"/>
                <w:color w:val="000000"/>
                <w:sz w:val="22"/>
                <w:szCs w:val="22"/>
              </w:rPr>
              <w:t>5-9</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796ADD82" w14:textId="2A865D31">
            <w:pPr>
              <w:spacing w:after="0"/>
              <w:jc w:val="center"/>
              <w:rPr>
                <w:rFonts w:eastAsia="Times New Roman"/>
                <w:color w:val="000000"/>
                <w:sz w:val="22"/>
                <w:szCs w:val="22"/>
              </w:rPr>
            </w:pPr>
            <w:r w:rsidRPr="008623DC">
              <w:rPr>
                <w:rFonts w:eastAsia="Times New Roman"/>
                <w:color w:val="000000"/>
                <w:sz w:val="22"/>
                <w:szCs w:val="22"/>
              </w:rPr>
              <w:t>2,983</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13C0CD93" w14:textId="27046F62">
            <w:pPr>
              <w:spacing w:after="0"/>
              <w:jc w:val="center"/>
              <w:rPr>
                <w:rFonts w:eastAsia="Times New Roman"/>
                <w:color w:val="000000"/>
                <w:sz w:val="22"/>
                <w:szCs w:val="22"/>
              </w:rPr>
            </w:pPr>
            <w:r>
              <w:rPr>
                <w:color w:val="000000"/>
                <w:sz w:val="22"/>
                <w:szCs w:val="22"/>
              </w:rPr>
              <w:t>0.316%</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69B31EE" w14:textId="7031D6BE">
            <w:pPr>
              <w:spacing w:after="0"/>
              <w:jc w:val="center"/>
              <w:rPr>
                <w:rFonts w:eastAsia="Times New Roman"/>
                <w:color w:val="000000"/>
                <w:sz w:val="22"/>
                <w:szCs w:val="22"/>
              </w:rPr>
            </w:pPr>
            <w:r>
              <w:rPr>
                <w:color w:val="000000"/>
                <w:sz w:val="22"/>
                <w:szCs w:val="22"/>
              </w:rPr>
              <w:t>0.312%</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AD753C5" w14:textId="4308368D">
            <w:pPr>
              <w:spacing w:after="0"/>
              <w:jc w:val="center"/>
              <w:rPr>
                <w:rFonts w:eastAsia="Times New Roman"/>
                <w:color w:val="000000"/>
                <w:sz w:val="22"/>
                <w:szCs w:val="22"/>
              </w:rPr>
            </w:pPr>
            <w:r>
              <w:rPr>
                <w:color w:val="000000"/>
                <w:sz w:val="22"/>
                <w:szCs w:val="22"/>
              </w:rPr>
              <w:t>0.312%</w:t>
            </w:r>
          </w:p>
        </w:tc>
      </w:tr>
      <w:tr w14:paraId="009C2918"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106FE1CD" w14:textId="40824C8C">
            <w:pPr>
              <w:spacing w:after="0"/>
              <w:rPr>
                <w:rFonts w:eastAsia="Times New Roman"/>
                <w:color w:val="000000"/>
                <w:sz w:val="22"/>
                <w:szCs w:val="22"/>
              </w:rPr>
            </w:pPr>
            <w:r w:rsidRPr="008623DC">
              <w:rPr>
                <w:rFonts w:eastAsia="Times New Roman"/>
                <w:color w:val="000000"/>
                <w:sz w:val="22"/>
                <w:szCs w:val="22"/>
              </w:rPr>
              <w:t>10-19</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2F3630AB" w14:textId="3CC0D954">
            <w:pPr>
              <w:spacing w:after="0"/>
              <w:jc w:val="center"/>
              <w:rPr>
                <w:rFonts w:eastAsia="Times New Roman"/>
                <w:color w:val="000000"/>
                <w:sz w:val="22"/>
                <w:szCs w:val="22"/>
              </w:rPr>
            </w:pPr>
            <w:r w:rsidRPr="008623DC">
              <w:rPr>
                <w:rFonts w:eastAsia="Times New Roman"/>
                <w:color w:val="000000"/>
                <w:sz w:val="22"/>
                <w:szCs w:val="22"/>
              </w:rPr>
              <w:t>6,892</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4CF5D6A1" w14:textId="2D219F0F">
            <w:pPr>
              <w:spacing w:after="0"/>
              <w:jc w:val="center"/>
              <w:rPr>
                <w:rFonts w:eastAsia="Times New Roman"/>
                <w:color w:val="000000"/>
                <w:sz w:val="22"/>
                <w:szCs w:val="22"/>
              </w:rPr>
            </w:pPr>
            <w:r>
              <w:rPr>
                <w:color w:val="000000"/>
                <w:sz w:val="22"/>
                <w:szCs w:val="22"/>
              </w:rPr>
              <w:t>0.137%</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E37B569" w14:textId="7DDFC223">
            <w:pPr>
              <w:spacing w:after="0"/>
              <w:jc w:val="center"/>
              <w:rPr>
                <w:rFonts w:eastAsia="Times New Roman"/>
                <w:color w:val="000000"/>
                <w:sz w:val="22"/>
                <w:szCs w:val="22"/>
              </w:rPr>
            </w:pPr>
            <w:r>
              <w:rPr>
                <w:color w:val="000000"/>
                <w:sz w:val="22"/>
                <w:szCs w:val="22"/>
              </w:rPr>
              <w:t>0.135%</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A37253C" w14:textId="0C27A1B1">
            <w:pPr>
              <w:spacing w:after="0"/>
              <w:jc w:val="center"/>
              <w:rPr>
                <w:rFonts w:eastAsia="Times New Roman"/>
                <w:color w:val="000000"/>
                <w:sz w:val="22"/>
                <w:szCs w:val="22"/>
              </w:rPr>
            </w:pPr>
            <w:r>
              <w:rPr>
                <w:color w:val="000000"/>
                <w:sz w:val="22"/>
                <w:szCs w:val="22"/>
              </w:rPr>
              <w:t>0.135%</w:t>
            </w:r>
          </w:p>
        </w:tc>
      </w:tr>
      <w:tr w14:paraId="209DDEC7"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01E13D56" w14:textId="7AA3CC7A">
            <w:pPr>
              <w:spacing w:after="0"/>
              <w:rPr>
                <w:rFonts w:eastAsia="Times New Roman"/>
                <w:color w:val="000000"/>
                <w:sz w:val="22"/>
                <w:szCs w:val="22"/>
              </w:rPr>
            </w:pPr>
            <w:r w:rsidRPr="008623DC">
              <w:rPr>
                <w:rFonts w:eastAsia="Times New Roman"/>
                <w:color w:val="000000"/>
                <w:sz w:val="22"/>
                <w:szCs w:val="22"/>
              </w:rPr>
              <w:t>&lt;20</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38FAC7E3" w14:textId="2605D464">
            <w:pPr>
              <w:spacing w:after="0"/>
              <w:jc w:val="center"/>
              <w:rPr>
                <w:rFonts w:eastAsia="Times New Roman"/>
                <w:color w:val="000000"/>
                <w:sz w:val="22"/>
                <w:szCs w:val="22"/>
              </w:rPr>
            </w:pPr>
            <w:r w:rsidRPr="008623DC">
              <w:rPr>
                <w:rFonts w:eastAsia="Times New Roman"/>
                <w:color w:val="000000"/>
                <w:sz w:val="22"/>
                <w:szCs w:val="22"/>
              </w:rPr>
              <w:t>2,742</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7D324EC" w14:textId="530A81D8">
            <w:pPr>
              <w:spacing w:after="0"/>
              <w:jc w:val="center"/>
              <w:rPr>
                <w:rFonts w:eastAsia="Times New Roman"/>
                <w:color w:val="000000"/>
                <w:sz w:val="22"/>
                <w:szCs w:val="22"/>
              </w:rPr>
            </w:pPr>
            <w:r>
              <w:rPr>
                <w:color w:val="000000"/>
                <w:sz w:val="22"/>
                <w:szCs w:val="22"/>
              </w:rPr>
              <w:t>0.34</w:t>
            </w:r>
            <w:r w:rsidR="00E54788">
              <w:rPr>
                <w:color w:val="000000"/>
                <w:sz w:val="22"/>
                <w:szCs w:val="22"/>
              </w:rPr>
              <w:t>4</w:t>
            </w:r>
            <w:r>
              <w:rPr>
                <w:color w:val="000000"/>
                <w:sz w:val="22"/>
                <w:szCs w:val="22"/>
              </w:rPr>
              <w:t>%</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4A3C279C" w14:textId="399DE227">
            <w:pPr>
              <w:spacing w:after="0"/>
              <w:jc w:val="center"/>
              <w:rPr>
                <w:rFonts w:eastAsia="Times New Roman"/>
                <w:color w:val="000000"/>
                <w:sz w:val="22"/>
                <w:szCs w:val="22"/>
              </w:rPr>
            </w:pPr>
            <w:r>
              <w:rPr>
                <w:color w:val="000000"/>
                <w:sz w:val="22"/>
                <w:szCs w:val="22"/>
              </w:rPr>
              <w:t>0.339%</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0C85628" w14:textId="78F9BB38">
            <w:pPr>
              <w:spacing w:after="0"/>
              <w:jc w:val="center"/>
              <w:rPr>
                <w:rFonts w:eastAsia="Times New Roman"/>
                <w:color w:val="000000"/>
                <w:sz w:val="22"/>
                <w:szCs w:val="22"/>
              </w:rPr>
            </w:pPr>
            <w:r>
              <w:rPr>
                <w:color w:val="000000"/>
                <w:sz w:val="22"/>
                <w:szCs w:val="22"/>
              </w:rPr>
              <w:t>0.339%</w:t>
            </w:r>
          </w:p>
        </w:tc>
      </w:tr>
      <w:tr w14:paraId="1DBDC029"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63782C25" w14:textId="75091BA1">
            <w:pPr>
              <w:spacing w:after="0"/>
              <w:rPr>
                <w:rFonts w:eastAsia="Times New Roman"/>
                <w:color w:val="000000"/>
                <w:sz w:val="22"/>
                <w:szCs w:val="22"/>
              </w:rPr>
            </w:pPr>
            <w:r w:rsidRPr="008623DC">
              <w:rPr>
                <w:rFonts w:eastAsia="Times New Roman"/>
                <w:color w:val="000000"/>
                <w:sz w:val="22"/>
                <w:szCs w:val="22"/>
              </w:rPr>
              <w:t>20-99</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14426119" w14:textId="7A410EE7">
            <w:pPr>
              <w:spacing w:after="0"/>
              <w:jc w:val="center"/>
              <w:rPr>
                <w:rFonts w:eastAsia="Times New Roman"/>
                <w:color w:val="000000"/>
                <w:sz w:val="22"/>
                <w:szCs w:val="22"/>
              </w:rPr>
            </w:pPr>
            <w:r w:rsidRPr="008623DC">
              <w:rPr>
                <w:rFonts w:eastAsia="Times New Roman"/>
                <w:color w:val="000000"/>
                <w:sz w:val="22"/>
                <w:szCs w:val="22"/>
              </w:rPr>
              <w:t>16,161</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5193A930" w14:textId="1F90575F">
            <w:pPr>
              <w:spacing w:after="0"/>
              <w:jc w:val="center"/>
              <w:rPr>
                <w:rFonts w:eastAsia="Times New Roman"/>
                <w:color w:val="000000"/>
                <w:sz w:val="22"/>
                <w:szCs w:val="22"/>
              </w:rPr>
            </w:pPr>
            <w:r>
              <w:rPr>
                <w:color w:val="000000"/>
                <w:sz w:val="22"/>
                <w:szCs w:val="22"/>
              </w:rPr>
              <w:t>0.058%</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28CE7D9E" w14:textId="7F748D15">
            <w:pPr>
              <w:spacing w:after="0"/>
              <w:jc w:val="center"/>
              <w:rPr>
                <w:rFonts w:eastAsia="Times New Roman"/>
                <w:color w:val="000000"/>
                <w:sz w:val="22"/>
                <w:szCs w:val="22"/>
              </w:rPr>
            </w:pPr>
            <w:r>
              <w:rPr>
                <w:color w:val="000000"/>
                <w:sz w:val="22"/>
                <w:szCs w:val="22"/>
              </w:rPr>
              <w:t>0.058%</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14B5CE73" w14:textId="355559F6">
            <w:pPr>
              <w:spacing w:after="0"/>
              <w:jc w:val="center"/>
              <w:rPr>
                <w:rFonts w:eastAsia="Times New Roman"/>
                <w:color w:val="000000"/>
                <w:sz w:val="22"/>
                <w:szCs w:val="22"/>
              </w:rPr>
            </w:pPr>
            <w:r>
              <w:rPr>
                <w:color w:val="000000"/>
                <w:sz w:val="22"/>
                <w:szCs w:val="22"/>
              </w:rPr>
              <w:t>0.058%</w:t>
            </w:r>
          </w:p>
        </w:tc>
      </w:tr>
      <w:tr w14:paraId="58E4F0F6"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1381A915" w14:textId="732C449E">
            <w:pPr>
              <w:spacing w:after="0"/>
              <w:rPr>
                <w:rFonts w:eastAsia="Times New Roman"/>
                <w:color w:val="000000"/>
                <w:sz w:val="22"/>
                <w:szCs w:val="22"/>
              </w:rPr>
            </w:pPr>
            <w:r w:rsidRPr="008623DC">
              <w:rPr>
                <w:rFonts w:eastAsia="Times New Roman"/>
                <w:color w:val="000000"/>
                <w:sz w:val="22"/>
                <w:szCs w:val="22"/>
              </w:rPr>
              <w:t>100-499</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70404957" w14:textId="53F8BE91">
            <w:pPr>
              <w:spacing w:after="0"/>
              <w:jc w:val="center"/>
              <w:rPr>
                <w:rFonts w:eastAsia="Times New Roman"/>
                <w:color w:val="000000"/>
                <w:sz w:val="22"/>
                <w:szCs w:val="22"/>
              </w:rPr>
            </w:pPr>
            <w:r w:rsidRPr="008623DC">
              <w:rPr>
                <w:rFonts w:eastAsia="Times New Roman"/>
                <w:color w:val="000000"/>
                <w:sz w:val="22"/>
                <w:szCs w:val="22"/>
              </w:rPr>
              <w:t>71,220</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D4A9014" w14:textId="26690B9C">
            <w:pPr>
              <w:spacing w:after="0"/>
              <w:jc w:val="center"/>
              <w:rPr>
                <w:rFonts w:eastAsia="Times New Roman"/>
                <w:color w:val="000000"/>
                <w:sz w:val="22"/>
                <w:szCs w:val="22"/>
              </w:rPr>
            </w:pPr>
            <w:r>
              <w:rPr>
                <w:color w:val="000000"/>
                <w:sz w:val="22"/>
                <w:szCs w:val="22"/>
              </w:rPr>
              <w:t>0.013%</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0864AAC" w14:textId="26EF1FF6">
            <w:pPr>
              <w:spacing w:after="0"/>
              <w:jc w:val="center"/>
              <w:rPr>
                <w:rFonts w:eastAsia="Times New Roman"/>
                <w:color w:val="000000"/>
                <w:sz w:val="22"/>
                <w:szCs w:val="22"/>
              </w:rPr>
            </w:pPr>
            <w:r>
              <w:rPr>
                <w:color w:val="000000"/>
                <w:sz w:val="22"/>
                <w:szCs w:val="22"/>
              </w:rPr>
              <w:t>0.013%</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1AEB889F" w14:textId="3EA9F45D">
            <w:pPr>
              <w:spacing w:after="0"/>
              <w:jc w:val="center"/>
              <w:rPr>
                <w:rFonts w:eastAsia="Times New Roman"/>
                <w:color w:val="000000"/>
                <w:sz w:val="22"/>
                <w:szCs w:val="22"/>
              </w:rPr>
            </w:pPr>
            <w:r>
              <w:rPr>
                <w:color w:val="000000"/>
                <w:sz w:val="22"/>
                <w:szCs w:val="22"/>
              </w:rPr>
              <w:t>0.013%</w:t>
            </w:r>
          </w:p>
        </w:tc>
      </w:tr>
      <w:tr w14:paraId="521E38C1"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61FCE5DB" w14:textId="43537C49">
            <w:pPr>
              <w:spacing w:after="0"/>
              <w:rPr>
                <w:rFonts w:eastAsia="Times New Roman"/>
                <w:color w:val="000000"/>
                <w:sz w:val="22"/>
                <w:szCs w:val="22"/>
              </w:rPr>
            </w:pPr>
            <w:r w:rsidRPr="008623DC">
              <w:rPr>
                <w:rFonts w:eastAsia="Times New Roman"/>
                <w:color w:val="000000"/>
                <w:sz w:val="22"/>
                <w:szCs w:val="22"/>
              </w:rPr>
              <w:t>&lt;500</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3E0AF041" w14:textId="037299CB">
            <w:pPr>
              <w:spacing w:after="0"/>
              <w:jc w:val="center"/>
              <w:rPr>
                <w:rFonts w:eastAsia="Times New Roman"/>
                <w:color w:val="000000"/>
                <w:sz w:val="22"/>
                <w:szCs w:val="22"/>
              </w:rPr>
            </w:pPr>
            <w:r w:rsidRPr="008623DC">
              <w:rPr>
                <w:rFonts w:eastAsia="Times New Roman"/>
                <w:color w:val="000000"/>
                <w:sz w:val="22"/>
                <w:szCs w:val="22"/>
              </w:rPr>
              <w:t>14,702</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44AFC475" w14:textId="19105F04">
            <w:pPr>
              <w:spacing w:after="0"/>
              <w:jc w:val="center"/>
              <w:rPr>
                <w:rFonts w:eastAsia="Times New Roman"/>
                <w:color w:val="000000"/>
                <w:sz w:val="22"/>
                <w:szCs w:val="22"/>
              </w:rPr>
            </w:pPr>
            <w:r>
              <w:rPr>
                <w:color w:val="000000"/>
                <w:sz w:val="22"/>
                <w:szCs w:val="22"/>
              </w:rPr>
              <w:t>0.064%</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261083FD" w14:textId="2419DE04">
            <w:pPr>
              <w:spacing w:after="0"/>
              <w:jc w:val="center"/>
              <w:rPr>
                <w:rFonts w:eastAsia="Times New Roman"/>
                <w:color w:val="000000"/>
                <w:sz w:val="22"/>
                <w:szCs w:val="22"/>
              </w:rPr>
            </w:pPr>
            <w:r>
              <w:rPr>
                <w:color w:val="000000"/>
                <w:sz w:val="22"/>
                <w:szCs w:val="22"/>
              </w:rPr>
              <w:t>0.063%</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2A43F53" w14:textId="0F6716D3">
            <w:pPr>
              <w:spacing w:after="0"/>
              <w:jc w:val="center"/>
              <w:rPr>
                <w:rFonts w:eastAsia="Times New Roman"/>
                <w:color w:val="000000"/>
                <w:sz w:val="22"/>
                <w:szCs w:val="22"/>
              </w:rPr>
            </w:pPr>
            <w:r>
              <w:rPr>
                <w:color w:val="000000"/>
                <w:sz w:val="22"/>
                <w:szCs w:val="22"/>
              </w:rPr>
              <w:t>0.063%</w:t>
            </w:r>
          </w:p>
        </w:tc>
      </w:tr>
      <w:tr w14:paraId="7F9C45B4" w14:textId="77777777" w:rsidTr="00714FC0">
        <w:tblPrEx>
          <w:tblW w:w="9470" w:type="dxa"/>
          <w:tblLook w:val="04A0"/>
        </w:tblPrEx>
        <w:trPr>
          <w:trHeight w:val="21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30D1E" w:rsidRPr="008623DC" w:rsidP="00C30D1E" w14:paraId="6C7429A4" w14:textId="4A47EDAD">
            <w:pPr>
              <w:spacing w:after="0"/>
              <w:rPr>
                <w:rFonts w:eastAsia="Times New Roman"/>
                <w:color w:val="000000"/>
                <w:sz w:val="22"/>
                <w:szCs w:val="22"/>
              </w:rPr>
            </w:pPr>
            <w:r w:rsidRPr="008623DC">
              <w:rPr>
                <w:rFonts w:eastAsia="Times New Roman"/>
                <w:color w:val="000000"/>
                <w:sz w:val="22"/>
                <w:szCs w:val="22"/>
              </w:rPr>
              <w:t>500+</w:t>
            </w:r>
          </w:p>
        </w:tc>
        <w:tc>
          <w:tcPr>
            <w:tcW w:w="1863"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3F6E5723" w14:textId="053EFDC3">
            <w:pPr>
              <w:spacing w:after="0"/>
              <w:jc w:val="center"/>
              <w:rPr>
                <w:rFonts w:eastAsia="Times New Roman"/>
                <w:color w:val="000000"/>
                <w:sz w:val="22"/>
                <w:szCs w:val="22"/>
              </w:rPr>
            </w:pPr>
            <w:r w:rsidRPr="008623DC">
              <w:rPr>
                <w:rFonts w:eastAsia="Times New Roman"/>
                <w:color w:val="000000"/>
                <w:sz w:val="22"/>
                <w:szCs w:val="22"/>
              </w:rPr>
              <w:t>1,206,037</w:t>
            </w:r>
          </w:p>
        </w:tc>
        <w:tc>
          <w:tcPr>
            <w:tcW w:w="1622"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0711BC8D" w14:textId="00E34831">
            <w:pPr>
              <w:spacing w:after="0"/>
              <w:jc w:val="center"/>
              <w:rPr>
                <w:rFonts w:eastAsia="Times New Roman"/>
                <w:color w:val="000000"/>
                <w:sz w:val="22"/>
                <w:szCs w:val="22"/>
              </w:rPr>
            </w:pPr>
            <w:r>
              <w:rPr>
                <w:color w:val="000000"/>
                <w:sz w:val="22"/>
                <w:szCs w:val="22"/>
              </w:rPr>
              <w:t>0.001%</w:t>
            </w:r>
          </w:p>
        </w:tc>
        <w:tc>
          <w:tcPr>
            <w:tcW w:w="2180"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4E7B10BD" w14:textId="2A55215F">
            <w:pPr>
              <w:spacing w:after="0"/>
              <w:jc w:val="center"/>
              <w:rPr>
                <w:rFonts w:eastAsia="Times New Roman"/>
                <w:color w:val="000000"/>
                <w:sz w:val="22"/>
                <w:szCs w:val="22"/>
              </w:rPr>
            </w:pPr>
            <w:r>
              <w:rPr>
                <w:color w:val="000000"/>
                <w:sz w:val="22"/>
                <w:szCs w:val="22"/>
              </w:rPr>
              <w:t>0.001%</w:t>
            </w:r>
          </w:p>
        </w:tc>
        <w:tc>
          <w:tcPr>
            <w:tcW w:w="2275" w:type="dxa"/>
            <w:tcBorders>
              <w:top w:val="nil"/>
              <w:left w:val="nil"/>
              <w:bottom w:val="single" w:sz="4" w:space="0" w:color="auto"/>
              <w:right w:val="single" w:sz="4" w:space="0" w:color="auto"/>
            </w:tcBorders>
            <w:shd w:val="clear" w:color="auto" w:fill="auto"/>
            <w:noWrap/>
            <w:vAlign w:val="bottom"/>
            <w:hideMark/>
          </w:tcPr>
          <w:p w:rsidR="00C30D1E" w:rsidRPr="008623DC" w:rsidP="00C30D1E" w14:paraId="623E003E" w14:textId="1EEDFB61">
            <w:pPr>
              <w:spacing w:after="0"/>
              <w:jc w:val="center"/>
              <w:rPr>
                <w:rFonts w:eastAsia="Times New Roman"/>
                <w:color w:val="000000"/>
                <w:sz w:val="22"/>
                <w:szCs w:val="22"/>
              </w:rPr>
            </w:pPr>
            <w:r>
              <w:rPr>
                <w:color w:val="000000"/>
                <w:sz w:val="22"/>
                <w:szCs w:val="22"/>
              </w:rPr>
              <w:t>0.001%</w:t>
            </w:r>
          </w:p>
        </w:tc>
      </w:tr>
    </w:tbl>
    <w:p w:rsidR="001E2572" w14:paraId="3BA800D8" w14:textId="37352055">
      <w:pPr>
        <w:rPr>
          <w:bCs/>
        </w:rPr>
      </w:pPr>
    </w:p>
    <w:p w:rsidR="00B21D6B" w14:paraId="7A797D32" w14:textId="77777777">
      <w:pPr>
        <w:rPr>
          <w:bCs/>
        </w:rPr>
      </w:pPr>
    </w:p>
    <w:p w:rsidR="00CF0672" w:rsidP="00B21D6B" w14:paraId="6AF9BD70" w14:textId="13EBD6C5">
      <w:pPr>
        <w:rPr>
          <w:color w:val="000000"/>
        </w:rPr>
      </w:pPr>
      <w:bookmarkStart w:id="204" w:name="_Hlk46216942"/>
      <w:r w:rsidRPr="006F4638">
        <w:rPr>
          <w:color w:val="000000"/>
        </w:rPr>
        <w:t xml:space="preserve">Our analysis of the impact of the </w:t>
      </w:r>
      <w:r w:rsidR="00627A01">
        <w:rPr>
          <w:color w:val="000000"/>
        </w:rPr>
        <w:t>final</w:t>
      </w:r>
      <w:r w:rsidRPr="006F4638">
        <w:rPr>
          <w:color w:val="000000"/>
        </w:rPr>
        <w:t xml:space="preserve"> rule on small entities suggests that small firms will not be significantly affected by the regulation. We do not estimate the impact of the rule on other small entities, such as non-profits or state and local governments, because we do not anticipate </w:t>
      </w:r>
      <w:r>
        <w:rPr>
          <w:color w:val="000000"/>
        </w:rPr>
        <w:t xml:space="preserve">that </w:t>
      </w:r>
      <w:r w:rsidRPr="006F4638">
        <w:rPr>
          <w:color w:val="000000"/>
        </w:rPr>
        <w:t>the rule</w:t>
      </w:r>
      <w:r>
        <w:rPr>
          <w:color w:val="000000"/>
        </w:rPr>
        <w:t xml:space="preserve"> will</w:t>
      </w:r>
      <w:r w:rsidRPr="006F4638">
        <w:rPr>
          <w:color w:val="000000"/>
        </w:rPr>
        <w:t xml:space="preserve"> affect these entities. We therefore certify that this regulation will not have a significant effect on small entities.</w:t>
      </w:r>
      <w:bookmarkEnd w:id="204"/>
    </w:p>
    <w:p w:rsidR="00CF0672" w:rsidP="00B21D6B" w14:paraId="651F605A" w14:textId="6647A9E4">
      <w:pPr>
        <w:rPr>
          <w:color w:val="000000"/>
        </w:rPr>
      </w:pPr>
    </w:p>
    <w:p w:rsidR="00CF0672" w:rsidP="00B21D6B" w14:paraId="664D6B8A" w14:textId="15E9834E">
      <w:pPr>
        <w:rPr>
          <w:color w:val="000000"/>
        </w:rPr>
      </w:pPr>
    </w:p>
    <w:p w:rsidR="00CF0672" w:rsidP="00B21D6B" w14:paraId="3A5EFF88" w14:textId="6650E8D7">
      <w:pPr>
        <w:rPr>
          <w:color w:val="000000"/>
        </w:rPr>
      </w:pPr>
    </w:p>
    <w:p w:rsidR="00CF0672" w:rsidP="00B21D6B" w14:paraId="49017F8F" w14:textId="0E0409D3">
      <w:pPr>
        <w:rPr>
          <w:color w:val="000000"/>
        </w:rPr>
      </w:pPr>
    </w:p>
    <w:p w:rsidR="00CF0672" w:rsidP="00B21D6B" w14:paraId="4BF98B4A" w14:textId="338EEF4C">
      <w:pPr>
        <w:rPr>
          <w:color w:val="000000"/>
        </w:rPr>
      </w:pPr>
    </w:p>
    <w:p w:rsidR="00CF0672" w:rsidP="00B21D6B" w14:paraId="0D7EFBC6" w14:textId="1D1EFB93">
      <w:pPr>
        <w:rPr>
          <w:color w:val="000000"/>
        </w:rPr>
      </w:pPr>
    </w:p>
    <w:p w:rsidR="00CF0672" w:rsidP="00B21D6B" w14:paraId="48A5E7EE" w14:textId="5C007F51">
      <w:pPr>
        <w:rPr>
          <w:color w:val="000000"/>
        </w:rPr>
      </w:pPr>
    </w:p>
    <w:p w:rsidR="00CF0672" w:rsidP="00B21D6B" w14:paraId="1A213E8A" w14:textId="08803258">
      <w:pPr>
        <w:rPr>
          <w:color w:val="000000"/>
        </w:rPr>
      </w:pPr>
    </w:p>
    <w:p w:rsidR="00CF0672" w:rsidP="00B21D6B" w14:paraId="391816D0" w14:textId="61713449">
      <w:pPr>
        <w:rPr>
          <w:color w:val="000000"/>
        </w:rPr>
      </w:pPr>
    </w:p>
    <w:p w:rsidR="00CF0672" w:rsidP="00B21D6B" w14:paraId="4EEFB481" w14:textId="435531DB">
      <w:pPr>
        <w:rPr>
          <w:color w:val="000000"/>
        </w:rPr>
      </w:pPr>
    </w:p>
    <w:p w:rsidR="00CF0672" w:rsidP="00B21D6B" w14:paraId="366673E7" w14:textId="6DB31E89">
      <w:pPr>
        <w:rPr>
          <w:color w:val="000000"/>
        </w:rPr>
      </w:pPr>
    </w:p>
    <w:p w:rsidR="00CF0672" w:rsidP="00B21D6B" w14:paraId="0BA75E64" w14:textId="7E625BFB">
      <w:pPr>
        <w:rPr>
          <w:color w:val="000000"/>
        </w:rPr>
      </w:pPr>
    </w:p>
    <w:p w:rsidR="00CF0672" w:rsidP="00B21D6B" w14:paraId="1E6FB933" w14:textId="18ACF031">
      <w:pPr>
        <w:rPr>
          <w:color w:val="000000"/>
        </w:rPr>
      </w:pPr>
    </w:p>
    <w:p w:rsidR="00CF0672" w:rsidP="00B21D6B" w14:paraId="3D8752E1" w14:textId="165C0670">
      <w:pPr>
        <w:rPr>
          <w:color w:val="000000"/>
        </w:rPr>
      </w:pPr>
    </w:p>
    <w:p w:rsidR="00CF0672" w:rsidP="00B21D6B" w14:paraId="636FAA16" w14:textId="2C646E4A">
      <w:pPr>
        <w:rPr>
          <w:color w:val="000000"/>
        </w:rPr>
      </w:pPr>
    </w:p>
    <w:p w:rsidR="00CF0672" w:rsidP="00B21D6B" w14:paraId="23E7E992" w14:textId="02644F89">
      <w:pPr>
        <w:rPr>
          <w:color w:val="000000"/>
        </w:rPr>
      </w:pPr>
    </w:p>
    <w:p w:rsidR="00CF0672" w:rsidP="00B21D6B" w14:paraId="5D4BE002" w14:textId="0E1C229E">
      <w:pPr>
        <w:rPr>
          <w:color w:val="000000"/>
        </w:rPr>
      </w:pPr>
    </w:p>
    <w:p w:rsidR="00CF0672" w:rsidP="00B21D6B" w14:paraId="6868C609" w14:textId="6840C823">
      <w:pPr>
        <w:rPr>
          <w:color w:val="000000"/>
        </w:rPr>
      </w:pPr>
    </w:p>
    <w:p w:rsidR="00CF0672" w:rsidP="00B21D6B" w14:paraId="184ACBCC" w14:textId="5A338EC9">
      <w:pPr>
        <w:rPr>
          <w:color w:val="000000"/>
        </w:rPr>
      </w:pPr>
    </w:p>
    <w:p w:rsidR="00CF0672" w:rsidP="00B21D6B" w14:paraId="06F99B00" w14:textId="67E119D0">
      <w:pPr>
        <w:rPr>
          <w:color w:val="000000"/>
        </w:rPr>
      </w:pPr>
    </w:p>
    <w:p w:rsidR="00817798" w:rsidP="00B21D6B" w14:paraId="753CD161" w14:textId="11F503FA"/>
    <w:p w:rsidR="00F47D86" w:rsidP="00F47D86" w14:paraId="28DBB588" w14:textId="1ED58D84">
      <w:pPr>
        <w:pStyle w:val="Heading1"/>
      </w:pPr>
      <w:bookmarkStart w:id="205" w:name="_Toc132274663"/>
      <w:bookmarkStart w:id="206" w:name="_Toc132274664"/>
      <w:bookmarkStart w:id="207" w:name="_Toc77674602"/>
      <w:bookmarkStart w:id="208" w:name="_Toc77687435"/>
      <w:bookmarkStart w:id="209" w:name="_Toc77687500"/>
      <w:bookmarkStart w:id="210" w:name="_Toc77687565"/>
      <w:bookmarkStart w:id="211" w:name="_Toc77687630"/>
      <w:bookmarkStart w:id="212" w:name="_Toc77687763"/>
      <w:bookmarkStart w:id="213" w:name="_Toc148515762"/>
      <w:bookmarkEnd w:id="205"/>
      <w:bookmarkEnd w:id="206"/>
      <w:bookmarkEnd w:id="207"/>
      <w:bookmarkEnd w:id="208"/>
      <w:bookmarkEnd w:id="209"/>
      <w:bookmarkEnd w:id="210"/>
      <w:bookmarkEnd w:id="211"/>
      <w:bookmarkEnd w:id="212"/>
      <w:r>
        <w:t>References</w:t>
      </w:r>
      <w:bookmarkEnd w:id="213"/>
    </w:p>
    <w:p w:rsidR="0008025E" w:rsidP="000E6DD7" w14:paraId="01A2C8AA" w14:textId="73D2045D">
      <w:pPr>
        <w:rPr>
          <w:sz w:val="22"/>
          <w:szCs w:val="22"/>
        </w:rPr>
      </w:pPr>
    </w:p>
    <w:p w:rsidR="001E2572" w:rsidRPr="00E4751C" w:rsidP="001E2572" w14:paraId="6888DE1C" w14:textId="336272EF">
      <w:pPr>
        <w:tabs>
          <w:tab w:val="left" w:pos="360"/>
        </w:tabs>
        <w:ind w:firstLine="720"/>
        <w:rPr>
          <w:u w:val="single"/>
        </w:rPr>
      </w:pPr>
      <w:r w:rsidRPr="00E4751C">
        <w:t xml:space="preserve">The following references are cited in the analysis. FDA has verified the Web site addresses for the references displaying a URL, but FDA is not responsible for any subsequent changes to the Web sites after this document publishes in the </w:t>
      </w:r>
      <w:r w:rsidRPr="00E4751C">
        <w:rPr>
          <w:u w:val="single"/>
        </w:rPr>
        <w:t>Federal Register</w:t>
      </w:r>
      <w:r w:rsidRPr="00E4751C">
        <w:t>.</w:t>
      </w:r>
    </w:p>
    <w:p w:rsidR="001E2572" w:rsidRPr="000E6DD7" w:rsidP="004910D2" w14:paraId="5AFE4ACF" w14:textId="77777777">
      <w:pPr>
        <w:spacing w:after="0"/>
        <w:rPr>
          <w:sz w:val="22"/>
          <w:szCs w:val="22"/>
        </w:rPr>
      </w:pPr>
    </w:p>
    <w:p w:rsidR="00BB2E72" w:rsidP="00BB2E72" w14:paraId="2CF0191B" w14:textId="77777777">
      <w:pPr>
        <w:pStyle w:val="ListParagraph"/>
        <w:numPr>
          <w:ilvl w:val="0"/>
          <w:numId w:val="19"/>
        </w:numPr>
        <w:spacing w:after="0"/>
        <w:rPr>
          <w:sz w:val="22"/>
          <w:szCs w:val="22"/>
        </w:rPr>
      </w:pPr>
      <w:bookmarkStart w:id="214" w:name="_Ref512423071"/>
      <w:r w:rsidRPr="00F40FE8">
        <w:rPr>
          <w:sz w:val="22"/>
          <w:szCs w:val="22"/>
        </w:rPr>
        <w:t xml:space="preserve">FDA, Preliminary Regulatory Impact Analysis: Current Good Manufacturing Practice, Certification, Postmarketing Safety Reporting, and Labeling Requirements for Certain Medical Gases, available at </w:t>
      </w:r>
      <w:hyperlink r:id="rId13" w:history="1">
        <w:r w:rsidRPr="00F40FE8">
          <w:rPr>
            <w:rStyle w:val="Hyperlink"/>
            <w:sz w:val="22"/>
            <w:szCs w:val="22"/>
          </w:rPr>
          <w:t>https://www.fda.gov/about-fda/reports/economic-impact-analyses-fda-regulations</w:t>
        </w:r>
      </w:hyperlink>
      <w:r w:rsidRPr="00F40FE8">
        <w:rPr>
          <w:sz w:val="22"/>
          <w:szCs w:val="22"/>
        </w:rPr>
        <w:t>.</w:t>
      </w:r>
    </w:p>
    <w:p w:rsidR="00BB2E72" w:rsidP="00BB2E72" w14:paraId="11FFDBB5" w14:textId="77777777">
      <w:pPr>
        <w:pStyle w:val="ListParagraph"/>
        <w:spacing w:after="0"/>
        <w:ind w:left="360"/>
        <w:rPr>
          <w:rFonts w:eastAsia="Times New Roman"/>
          <w:sz w:val="22"/>
          <w:szCs w:val="22"/>
        </w:rPr>
      </w:pPr>
    </w:p>
    <w:p w:rsidR="00F47D86" w:rsidP="004910D2" w14:paraId="0FCFDD14" w14:textId="06E494BC">
      <w:pPr>
        <w:pStyle w:val="ListParagraph"/>
        <w:numPr>
          <w:ilvl w:val="0"/>
          <w:numId w:val="19"/>
        </w:numPr>
        <w:spacing w:after="0"/>
        <w:rPr>
          <w:sz w:val="22"/>
          <w:szCs w:val="22"/>
        </w:rPr>
      </w:pPr>
      <w:r w:rsidRPr="6007E727">
        <w:rPr>
          <w:sz w:val="22"/>
          <w:szCs w:val="22"/>
        </w:rPr>
        <w:t xml:space="preserve">Update of Medical Gas Industry Profile and Estimates of Medical Gas Industry Efforts to Comply with Current Federal Regulations, Eastern Research Group, Inc. </w:t>
      </w:r>
      <w:r w:rsidRPr="6007E727" w:rsidR="0008025E">
        <w:rPr>
          <w:sz w:val="22"/>
          <w:szCs w:val="22"/>
        </w:rPr>
        <w:t>January 17, 2020</w:t>
      </w:r>
      <w:r w:rsidRPr="6007E727">
        <w:rPr>
          <w:sz w:val="22"/>
          <w:szCs w:val="22"/>
        </w:rPr>
        <w:t>, Contract No. HHSF223201400008I, Task Order No. HHSF22301009T</w:t>
      </w:r>
      <w:r w:rsidRPr="6007E727" w:rsidR="344E3556">
        <w:rPr>
          <w:sz w:val="22"/>
          <w:szCs w:val="22"/>
        </w:rPr>
        <w:t>.</w:t>
      </w:r>
      <w:bookmarkEnd w:id="214"/>
    </w:p>
    <w:p w:rsidR="00E45D30" w:rsidRPr="003B7206" w:rsidP="003B7206" w14:paraId="0A2AAF64" w14:textId="77777777">
      <w:pPr>
        <w:spacing w:after="0"/>
        <w:rPr>
          <w:sz w:val="22"/>
          <w:szCs w:val="22"/>
        </w:rPr>
      </w:pPr>
    </w:p>
    <w:p w:rsidR="00E45D30" w:rsidRPr="003B7206" w:rsidP="001F2044" w14:paraId="60BBBCEC" w14:textId="7F8FB024">
      <w:pPr>
        <w:pStyle w:val="ListParagraph"/>
        <w:numPr>
          <w:ilvl w:val="0"/>
          <w:numId w:val="19"/>
        </w:numPr>
        <w:spacing w:after="0"/>
        <w:rPr>
          <w:sz w:val="22"/>
          <w:szCs w:val="22"/>
        </w:rPr>
      </w:pPr>
      <w:r w:rsidRPr="00E45D30">
        <w:rPr>
          <w:sz w:val="22"/>
          <w:szCs w:val="22"/>
        </w:rPr>
        <w:t>Profile of Baseline Materials Management Practices of Finished Drug Product Manufacturers, Eastern Research Group, Inc. April 23, 2013, Contract No. 223-2008-100171, Task Order No. 10.</w:t>
      </w:r>
    </w:p>
    <w:p w:rsidR="00E45D30" w:rsidP="003B7206" w14:paraId="781D6C5B" w14:textId="77777777">
      <w:pPr>
        <w:pStyle w:val="ListParagraph"/>
        <w:spacing w:after="0"/>
        <w:ind w:left="360"/>
        <w:rPr>
          <w:sz w:val="22"/>
          <w:szCs w:val="22"/>
        </w:rPr>
      </w:pPr>
    </w:p>
    <w:p w:rsidR="00F75C3C" w:rsidRPr="003B7206" w:rsidP="003B7206" w14:paraId="3461045C" w14:textId="36E7AE41">
      <w:pPr>
        <w:pStyle w:val="ListParagraph"/>
        <w:numPr>
          <w:ilvl w:val="0"/>
          <w:numId w:val="19"/>
        </w:numPr>
        <w:spacing w:after="0"/>
        <w:rPr>
          <w:sz w:val="22"/>
          <w:szCs w:val="22"/>
        </w:rPr>
      </w:pPr>
      <w:r>
        <w:rPr>
          <w:rStyle w:val="normaltextrun"/>
          <w:color w:val="000000"/>
          <w:bdr w:val="none" w:sz="0" w:space="0" w:color="auto" w:frame="1"/>
        </w:rPr>
        <w:t xml:space="preserve">U.S. Bureau of Labor Statistics, Occupational Employment Statistics, </w:t>
      </w:r>
      <w:r w:rsidRPr="000E6DD7" w:rsidR="00E45D30">
        <w:rPr>
          <w:sz w:val="22"/>
          <w:szCs w:val="22"/>
        </w:rPr>
        <w:t>May 20</w:t>
      </w:r>
      <w:r w:rsidR="00806912">
        <w:rPr>
          <w:sz w:val="22"/>
          <w:szCs w:val="22"/>
        </w:rPr>
        <w:t>20</w:t>
      </w:r>
      <w:r w:rsidRPr="000E6DD7" w:rsidR="00E45D30">
        <w:rPr>
          <w:sz w:val="22"/>
          <w:szCs w:val="22"/>
        </w:rPr>
        <w:t xml:space="preserve"> National Industry-Specific Occupational Employment and Wage Estimates for NAICS 325400 – Pharmaceutical and Medicine Manufacturing.</w:t>
      </w:r>
      <w:r w:rsidR="00E45D30">
        <w:rPr>
          <w:sz w:val="22"/>
          <w:szCs w:val="22"/>
        </w:rPr>
        <w:t xml:space="preserve"> </w:t>
      </w:r>
      <w:hyperlink r:id="rId11" w:history="1">
        <w:r w:rsidRPr="003153D7" w:rsidR="003153D7">
          <w:rPr>
            <w:rStyle w:val="Hyperlink"/>
            <w:sz w:val="22"/>
            <w:szCs w:val="22"/>
          </w:rPr>
          <w:t>https://www.bls.gov/oes/2022/may/naics4_325400.htm</w:t>
        </w:r>
      </w:hyperlink>
      <w:r w:rsidR="002D469F">
        <w:rPr>
          <w:sz w:val="22"/>
          <w:szCs w:val="22"/>
        </w:rPr>
        <w:t>.</w:t>
      </w:r>
    </w:p>
    <w:p w:rsidR="00E45D30" w:rsidP="003B7206" w14:paraId="2734DE86" w14:textId="5E9EB33E">
      <w:pPr>
        <w:pStyle w:val="FootnoteText"/>
        <w:rPr>
          <w:sz w:val="22"/>
          <w:szCs w:val="22"/>
        </w:rPr>
      </w:pPr>
    </w:p>
    <w:p w:rsidR="00E45D30" w:rsidP="00E45D30" w14:paraId="4296C7BA" w14:textId="7E18CD50">
      <w:pPr>
        <w:pStyle w:val="ListParagraph"/>
        <w:numPr>
          <w:ilvl w:val="0"/>
          <w:numId w:val="19"/>
        </w:numPr>
        <w:spacing w:after="0"/>
        <w:rPr>
          <w:sz w:val="22"/>
          <w:szCs w:val="22"/>
        </w:rPr>
      </w:pPr>
      <w:r w:rsidRPr="000E6DD7">
        <w:rPr>
          <w:sz w:val="22"/>
          <w:szCs w:val="22"/>
        </w:rPr>
        <w:t xml:space="preserve">RTI International. “2014 FDA Labeling Cost Model.” Prepared by Mary K. </w:t>
      </w:r>
      <w:r w:rsidRPr="000E6DD7">
        <w:rPr>
          <w:sz w:val="22"/>
          <w:szCs w:val="22"/>
        </w:rPr>
        <w:t>Muth</w:t>
      </w:r>
      <w:r w:rsidRPr="000E6DD7">
        <w:rPr>
          <w:sz w:val="22"/>
          <w:szCs w:val="22"/>
        </w:rPr>
        <w:t xml:space="preserve">, Samantha Bradley, Jenna Brophy, Kristen </w:t>
      </w:r>
      <w:r w:rsidRPr="000E6DD7">
        <w:rPr>
          <w:sz w:val="22"/>
          <w:szCs w:val="22"/>
        </w:rPr>
        <w:t>Capogrossi</w:t>
      </w:r>
      <w:r w:rsidRPr="000E6DD7">
        <w:rPr>
          <w:sz w:val="22"/>
          <w:szCs w:val="22"/>
        </w:rPr>
        <w:t xml:space="preserve">, Michaela C. </w:t>
      </w:r>
      <w:r w:rsidRPr="000E6DD7">
        <w:rPr>
          <w:sz w:val="22"/>
          <w:szCs w:val="22"/>
        </w:rPr>
        <w:t>Coglaiti</w:t>
      </w:r>
      <w:r w:rsidRPr="000E6DD7">
        <w:rPr>
          <w:sz w:val="22"/>
          <w:szCs w:val="22"/>
        </w:rPr>
        <w:t xml:space="preserve">, and Shawn A. </w:t>
      </w:r>
      <w:r w:rsidRPr="000E6DD7">
        <w:rPr>
          <w:sz w:val="22"/>
          <w:szCs w:val="22"/>
        </w:rPr>
        <w:t>Karns</w:t>
      </w:r>
      <w:r w:rsidRPr="000E6DD7">
        <w:rPr>
          <w:sz w:val="22"/>
          <w:szCs w:val="22"/>
        </w:rPr>
        <w:t xml:space="preserve">. Contract No. HHSF-223-2011-10005B, Task Order 20, August 2015. </w:t>
      </w:r>
    </w:p>
    <w:p w:rsidR="001F2044" w:rsidRPr="003B7206" w:rsidP="003B7206" w14:paraId="1889834E" w14:textId="77777777">
      <w:pPr>
        <w:spacing w:after="0"/>
        <w:rPr>
          <w:sz w:val="22"/>
          <w:szCs w:val="22"/>
        </w:rPr>
      </w:pPr>
    </w:p>
    <w:p w:rsidR="00F2237E" w:rsidRPr="007A7D11" w:rsidP="0053237B" w14:paraId="0ED51117" w14:textId="23F0322F">
      <w:pPr>
        <w:pStyle w:val="ListParagraph"/>
        <w:numPr>
          <w:ilvl w:val="0"/>
          <w:numId w:val="19"/>
        </w:numPr>
        <w:spacing w:after="0"/>
      </w:pPr>
      <w:r w:rsidRPr="008825BA">
        <w:rPr>
          <w:sz w:val="22"/>
          <w:szCs w:val="22"/>
        </w:rPr>
        <w:t xml:space="preserve">OC Economics Staff, Memorandum to File: Summary of Economic Analysis for Draft Final Rule to Amend Postmarketing Safety Reporting Requirements. </w:t>
      </w:r>
      <w:r>
        <w:rPr>
          <w:sz w:val="22"/>
          <w:szCs w:val="22"/>
        </w:rPr>
        <w:t>[DATE]</w:t>
      </w:r>
      <w:r w:rsidRPr="008825BA">
        <w:rPr>
          <w:sz w:val="22"/>
          <w:szCs w:val="22"/>
        </w:rPr>
        <w:t>. U.S. Food and Drug Administration</w:t>
      </w:r>
      <w:r w:rsidRPr="00AC2CB0">
        <w:rPr>
          <w:sz w:val="22"/>
          <w:szCs w:val="22"/>
        </w:rPr>
        <w:t>.</w:t>
      </w:r>
    </w:p>
    <w:p w:rsidR="00652F41" w:rsidRPr="004910D2" w:rsidP="004910D2" w14:paraId="2D3A76F5" w14:textId="77777777">
      <w:pPr>
        <w:spacing w:after="0"/>
        <w:rPr>
          <w:rFonts w:eastAsia="Times New Roman"/>
          <w:sz w:val="22"/>
          <w:szCs w:val="22"/>
        </w:rPr>
      </w:pPr>
    </w:p>
    <w:p w:rsidR="00652F41" w:rsidP="00F2237E" w14:paraId="20350BD1" w14:textId="74ACB089">
      <w:pPr>
        <w:pStyle w:val="ListParagraph"/>
        <w:numPr>
          <w:ilvl w:val="0"/>
          <w:numId w:val="19"/>
        </w:numPr>
        <w:spacing w:after="0"/>
        <w:rPr>
          <w:rFonts w:eastAsia="Times New Roman"/>
          <w:sz w:val="22"/>
          <w:szCs w:val="22"/>
        </w:rPr>
      </w:pPr>
      <w:r>
        <w:rPr>
          <w:rFonts w:eastAsia="Times New Roman"/>
          <w:sz w:val="22"/>
          <w:szCs w:val="22"/>
        </w:rPr>
        <w:t>Standard for Appropriate and Effective Regulations for Medical Gases Within 21</w:t>
      </w:r>
      <w:r w:rsidR="008306DB">
        <w:rPr>
          <w:rFonts w:eastAsia="Times New Roman"/>
          <w:sz w:val="22"/>
          <w:szCs w:val="22"/>
        </w:rPr>
        <w:t xml:space="preserve"> </w:t>
      </w:r>
      <w:r>
        <w:rPr>
          <w:rFonts w:eastAsia="Times New Roman"/>
          <w:sz w:val="22"/>
          <w:szCs w:val="22"/>
        </w:rPr>
        <w:t>CFR Parts 201,</w:t>
      </w:r>
      <w:r w:rsidR="008306DB">
        <w:rPr>
          <w:rFonts w:eastAsia="Times New Roman"/>
          <w:sz w:val="22"/>
          <w:szCs w:val="22"/>
        </w:rPr>
        <w:t xml:space="preserve"> </w:t>
      </w:r>
      <w:r>
        <w:rPr>
          <w:rFonts w:eastAsia="Times New Roman"/>
          <w:sz w:val="22"/>
          <w:szCs w:val="22"/>
        </w:rPr>
        <w:t>205, and 210/211 Third Edition, Compressed Gas Association</w:t>
      </w:r>
      <w:r w:rsidR="00BE7085">
        <w:rPr>
          <w:rFonts w:eastAsia="Times New Roman"/>
          <w:sz w:val="22"/>
          <w:szCs w:val="22"/>
        </w:rPr>
        <w:t>, CGA M-15</w:t>
      </w:r>
      <w:r w:rsidR="008417C0">
        <w:rPr>
          <w:rFonts w:eastAsia="Times New Roman"/>
          <w:sz w:val="22"/>
          <w:szCs w:val="22"/>
        </w:rPr>
        <w:t>—</w:t>
      </w:r>
      <w:r w:rsidR="00BE7085">
        <w:rPr>
          <w:rFonts w:eastAsia="Times New Roman"/>
          <w:sz w:val="22"/>
          <w:szCs w:val="22"/>
        </w:rPr>
        <w:t>2018</w:t>
      </w:r>
      <w:r w:rsidR="00307EA3">
        <w:rPr>
          <w:rFonts w:eastAsia="Times New Roman"/>
          <w:sz w:val="22"/>
          <w:szCs w:val="22"/>
        </w:rPr>
        <w:t>.</w:t>
      </w:r>
    </w:p>
    <w:p w:rsidR="001F2044" w:rsidRPr="003B7206" w:rsidP="003B7206" w14:paraId="676CD62F" w14:textId="77777777">
      <w:pPr>
        <w:spacing w:after="0"/>
        <w:rPr>
          <w:rFonts w:eastAsia="Times New Roman"/>
          <w:sz w:val="22"/>
          <w:szCs w:val="22"/>
        </w:rPr>
      </w:pPr>
    </w:p>
    <w:p w:rsidR="001F2044" w:rsidRPr="003B7206" w:rsidP="001F2044" w14:paraId="050282B4" w14:textId="2E419D3E">
      <w:pPr>
        <w:pStyle w:val="ListParagraph"/>
        <w:numPr>
          <w:ilvl w:val="0"/>
          <w:numId w:val="19"/>
        </w:numPr>
        <w:spacing w:after="0"/>
        <w:rPr>
          <w:rFonts w:eastAsia="Times New Roman"/>
          <w:sz w:val="22"/>
          <w:szCs w:val="22"/>
        </w:rPr>
      </w:pPr>
      <w:r w:rsidRPr="004910D2">
        <w:rPr>
          <w:rFonts w:eastAsia="Times New Roman"/>
          <w:sz w:val="22"/>
          <w:szCs w:val="22"/>
        </w:rPr>
        <w:t>FDA, Response to petition submitted by Compressed Gas Association, Docket No. 87P-0167/CP1, September 19, 1996.</w:t>
      </w:r>
    </w:p>
    <w:p w:rsidR="001F2044" w:rsidRPr="003B7206" w:rsidP="003B7206" w14:paraId="65DD3A39" w14:textId="77777777">
      <w:pPr>
        <w:spacing w:after="0"/>
        <w:rPr>
          <w:rFonts w:eastAsia="Times New Roman"/>
          <w:sz w:val="22"/>
          <w:szCs w:val="22"/>
        </w:rPr>
      </w:pPr>
    </w:p>
    <w:p w:rsidR="001F2044" w:rsidP="001F2044" w14:paraId="70FCBDA6" w14:textId="55F8C8DB">
      <w:pPr>
        <w:pStyle w:val="ListParagraph"/>
        <w:numPr>
          <w:ilvl w:val="0"/>
          <w:numId w:val="19"/>
        </w:numPr>
        <w:spacing w:after="0"/>
        <w:rPr>
          <w:sz w:val="22"/>
          <w:szCs w:val="22"/>
        </w:rPr>
      </w:pPr>
      <w:r w:rsidRPr="007A7D11">
        <w:rPr>
          <w:sz w:val="22"/>
          <w:szCs w:val="22"/>
        </w:rPr>
        <w:t xml:space="preserve">U.S. Census Bureau, Statistics of U.S. Businesses, 2017 SUSB Annual Data, </w:t>
      </w:r>
      <w:r w:rsidRPr="007A7D11">
        <w:rPr>
          <w:rStyle w:val="Hyperlink"/>
          <w:sz w:val="22"/>
          <w:szCs w:val="22"/>
        </w:rPr>
        <w:t>https://www.census.gov/data/tables/2017/econ/susb/2017-susb-annual.html</w:t>
      </w:r>
      <w:r w:rsidRPr="007A7D11">
        <w:rPr>
          <w:sz w:val="22"/>
          <w:szCs w:val="22"/>
        </w:rPr>
        <w:t xml:space="preserve">, accessed </w:t>
      </w:r>
      <w:r w:rsidRPr="004F3008">
        <w:rPr>
          <w:sz w:val="22"/>
          <w:szCs w:val="22"/>
        </w:rPr>
        <w:t>July 21</w:t>
      </w:r>
      <w:r w:rsidRPr="00142A73">
        <w:rPr>
          <w:sz w:val="22"/>
          <w:szCs w:val="22"/>
        </w:rPr>
        <w:t>, 2020.</w:t>
      </w:r>
    </w:p>
    <w:p w:rsidR="00F2237E" w:rsidRPr="00925306" w:rsidP="00CF0672" w14:paraId="415C6B00" w14:textId="77777777">
      <w:pPr>
        <w:rPr>
          <w:sz w:val="20"/>
        </w:rPr>
      </w:pPr>
    </w:p>
    <w:sectPr w:rsidSect="003A065D">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802" w:rsidP="00006C8F" w14:paraId="76B9045C"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5F69" w:rsidP="00006C8F" w14:paraId="7D842C02" w14:textId="77777777">
      <w:pPr>
        <w:spacing w:after="0"/>
      </w:pPr>
      <w:r>
        <w:separator/>
      </w:r>
    </w:p>
  </w:footnote>
  <w:footnote w:type="continuationSeparator" w:id="1">
    <w:p w:rsidR="00FC5F69" w:rsidP="00006C8F" w14:paraId="5BE63759" w14:textId="77777777">
      <w:pPr>
        <w:spacing w:after="0"/>
      </w:pPr>
      <w:r>
        <w:continuationSeparator/>
      </w:r>
    </w:p>
  </w:footnote>
  <w:footnote w:type="continuationNotice" w:id="2">
    <w:p w:rsidR="00FC5F69" w14:paraId="7E77A420" w14:textId="77777777">
      <w:pPr>
        <w:spacing w:after="0"/>
      </w:pPr>
    </w:p>
  </w:footnote>
  <w:footnote w:id="3">
    <w:p w:rsidR="00CF57FA" w:rsidP="00CF57FA" w14:paraId="6B18B678" w14:textId="1644EC5F">
      <w:pPr>
        <w:pStyle w:val="FootnoteText"/>
      </w:pPr>
      <w:r>
        <w:rPr>
          <w:rStyle w:val="FootnoteReference"/>
        </w:rPr>
        <w:footnoteRef/>
      </w:r>
      <w:r>
        <w:t xml:space="preserve"> </w:t>
      </w:r>
      <w:r w:rsidR="00420B58">
        <w:t>G</w:t>
      </w:r>
      <w:r>
        <w:t xml:space="preserve">uidance for </w:t>
      </w:r>
      <w:r w:rsidR="00420B58">
        <w:t>i</w:t>
      </w:r>
      <w:r>
        <w:t>n</w:t>
      </w:r>
      <w:r w:rsidRPr="00CD1EFF">
        <w:t>dustry Postmarketing Adverse Event Reporting for Nonprescription Human Drug Products Marketed Without an Approved Application</w:t>
      </w:r>
      <w:r>
        <w:t>:</w:t>
      </w:r>
      <w:r w:rsidRPr="00CD1EFF">
        <w:t xml:space="preserve"> </w:t>
      </w:r>
      <w:hyperlink r:id="rId1" w:history="1">
        <w:r w:rsidRPr="0031060D">
          <w:rPr>
            <w:rStyle w:val="Hyperlink"/>
          </w:rPr>
          <w:t>https://www.fda.gov/media/77193/download</w:t>
        </w:r>
      </w:hyperlink>
      <w:r w:rsidR="001848FF">
        <w:rPr>
          <w:rStyle w:val="Hyperlink"/>
        </w:rPr>
        <w:t>.</w:t>
      </w:r>
      <w:r>
        <w:t xml:space="preserve"> </w:t>
      </w:r>
    </w:p>
  </w:footnote>
  <w:footnote w:id="4">
    <w:p w:rsidR="009E4637" w14:paraId="066E5B55" w14:textId="55A8A27A">
      <w:pPr>
        <w:pStyle w:val="FootnoteText"/>
      </w:pPr>
      <w:r>
        <w:rPr>
          <w:rStyle w:val="FootnoteReference"/>
        </w:rPr>
        <w:footnoteRef/>
      </w:r>
      <w:r>
        <w:t xml:space="preserve"> </w:t>
      </w:r>
      <w:r w:rsidR="005B0FDE">
        <w:t>D</w:t>
      </w:r>
      <w:r w:rsidRPr="002A6B8C" w:rsidR="005B0FDE">
        <w:t>raft guidance for industry Postmarketing Safety Reporting for Human Drug and Biological Products Including Vaccine</w:t>
      </w:r>
      <w:r w:rsidR="005B0FDE">
        <w:t>s:</w:t>
      </w:r>
      <w:r w:rsidRPr="005B0FDE" w:rsidR="005B0FDE">
        <w:t xml:space="preserve"> </w:t>
      </w:r>
      <w:hyperlink r:id="rId2" w:history="1">
        <w:r w:rsidRPr="0031060D" w:rsidR="005B0FDE">
          <w:rPr>
            <w:rStyle w:val="Hyperlink"/>
          </w:rPr>
          <w:t>https://www.fda.gov/media/73593/download</w:t>
        </w:r>
      </w:hyperlink>
      <w:r w:rsidR="00BF0629">
        <w:t xml:space="preserve">. </w:t>
      </w:r>
      <w:r w:rsidRPr="008D750C" w:rsidR="00BF0629">
        <w:t>When finalized the guidance will represent FDA’s current thinking on this issue</w:t>
      </w:r>
      <w:r w:rsidR="00BF0629">
        <w:t xml:space="preserve">. </w:t>
      </w:r>
      <w:r w:rsidR="005B0FDE">
        <w:t xml:space="preserve"> </w:t>
      </w:r>
    </w:p>
  </w:footnote>
  <w:footnote w:id="5">
    <w:p w:rsidR="008B5802" w:rsidRPr="00FE127C" w:rsidP="00FE127C" w14:paraId="6FC2D827" w14:textId="2E465C5B">
      <w:pPr>
        <w:pStyle w:val="FootnoteText"/>
      </w:pPr>
      <w:r>
        <w:rPr>
          <w:rStyle w:val="FootnoteReference"/>
        </w:rPr>
        <w:footnoteRef/>
      </w:r>
      <w:r>
        <w:t xml:space="preserve"> In </w:t>
      </w:r>
      <w:r w:rsidR="00805CA6">
        <w:t>the Federal Food, Drug, and Cosmetic Act (</w:t>
      </w:r>
      <w:r>
        <w:t>FD&amp;C Act</w:t>
      </w:r>
      <w:r w:rsidR="00805CA6">
        <w:t>)</w:t>
      </w:r>
      <w:r>
        <w:t xml:space="preserve"> § 575(1), t</w:t>
      </w:r>
      <w:r w:rsidRPr="00FE127C">
        <w:t xml:space="preserve">he term "designated medical gas" </w:t>
      </w:r>
      <w:r>
        <w:t xml:space="preserve">is defined to </w:t>
      </w:r>
      <w:r w:rsidRPr="00FE127C">
        <w:t>mean any of the following:</w:t>
      </w:r>
      <w:bookmarkStart w:id="24" w:name="substructure-location_1_A"/>
      <w:bookmarkEnd w:id="24"/>
      <w:r>
        <w:t xml:space="preserve"> </w:t>
      </w:r>
      <w:r w:rsidR="00E07471">
        <w:t>“</w:t>
      </w:r>
      <w:r w:rsidRPr="00FE127C">
        <w:t>(A) Oxygen that meets the standards set forth in an official compendium.</w:t>
      </w:r>
      <w:bookmarkStart w:id="25" w:name="substructure-location_1_B"/>
      <w:bookmarkEnd w:id="25"/>
      <w:r>
        <w:t xml:space="preserve"> </w:t>
      </w:r>
      <w:r w:rsidRPr="00FE127C">
        <w:t>(B) Nitrogen that meets the standards set forth in an official compendium.</w:t>
      </w:r>
      <w:bookmarkStart w:id="26" w:name="substructure-location_1_C"/>
      <w:bookmarkEnd w:id="26"/>
      <w:r>
        <w:t xml:space="preserve"> </w:t>
      </w:r>
      <w:r w:rsidRPr="00FE127C">
        <w:t>(C) Nitrous oxide that meets the standards set forth in an official compendium.</w:t>
      </w:r>
      <w:bookmarkStart w:id="27" w:name="substructure-location_1_D"/>
      <w:bookmarkEnd w:id="27"/>
      <w:r>
        <w:t xml:space="preserve"> </w:t>
      </w:r>
      <w:r w:rsidRPr="00FE127C">
        <w:t>(D) Carbon dioxide that meets the standards set forth in an official compendium.</w:t>
      </w:r>
      <w:bookmarkStart w:id="28" w:name="substructure-location_1_E"/>
      <w:bookmarkEnd w:id="28"/>
      <w:r>
        <w:t xml:space="preserve"> </w:t>
      </w:r>
      <w:r w:rsidRPr="00FE127C">
        <w:t>(E) Helium that meets the standards set forth in an official compendium.</w:t>
      </w:r>
      <w:bookmarkStart w:id="29" w:name="substructure-location_1_F"/>
      <w:bookmarkEnd w:id="29"/>
      <w:r>
        <w:t xml:space="preserve"> </w:t>
      </w:r>
      <w:r w:rsidRPr="00FE127C">
        <w:t>(F) Carbon monoxide that meets the standards set forth in an official compendium.</w:t>
      </w:r>
      <w:bookmarkStart w:id="30" w:name="substructure-location_1_G"/>
      <w:bookmarkEnd w:id="30"/>
      <w:r>
        <w:t xml:space="preserve"> </w:t>
      </w:r>
      <w:r w:rsidRPr="00FE127C">
        <w:t>(G) Medical air that meets the standards set forth in an official compendium.</w:t>
      </w:r>
      <w:bookmarkStart w:id="31" w:name="substructure-location_1_H"/>
      <w:bookmarkEnd w:id="31"/>
      <w:r>
        <w:t xml:space="preserve"> </w:t>
      </w:r>
      <w:r w:rsidRPr="00FE127C">
        <w:t>(H) Any other medical gas deemed appropriate by the Secretary, after taking into account any investigational new drug application or investigational new animal drug application for the same medical gas submitted in accordance with regulations applicable to such applications in title 21 of the Code of Federal Regulations, unless any period of exclusivity for a new drug under </w:t>
      </w:r>
      <w:r w:rsidR="00D75740">
        <w:t>S</w:t>
      </w:r>
      <w:r w:rsidRPr="00FE127C">
        <w:t>ection 355(c)(3)(E)(ii) of this title or </w:t>
      </w:r>
      <w:r w:rsidR="00D75740">
        <w:t>S</w:t>
      </w:r>
      <w:r w:rsidRPr="00FE127C">
        <w:t>ection 355(j)(5)(F)(ii) of this title, or the extension of any such period under </w:t>
      </w:r>
      <w:r w:rsidR="00D75740">
        <w:t>S</w:t>
      </w:r>
      <w:r w:rsidRPr="00FE127C">
        <w:t>ection 355a of this title, or any period of exclusivity for a new animal drug under </w:t>
      </w:r>
      <w:r w:rsidR="00D75740">
        <w:t>S</w:t>
      </w:r>
      <w:r w:rsidRPr="00FE127C">
        <w:t>ection 360b(c)(2)(F) of this title, applicable to such medical gas has not expired.</w:t>
      </w:r>
      <w:r w:rsidR="00E07471">
        <w:t>”</w:t>
      </w:r>
      <w:r>
        <w:t xml:space="preserve">—Link: </w:t>
      </w:r>
      <w:hyperlink r:id="rId3" w:history="1">
        <w:r>
          <w:rPr>
            <w:rStyle w:val="Hyperlink"/>
          </w:rPr>
          <w:t>https://uscode.house.gov/view.xhtml?path=/prelim@title21/chapter9/subchapter5&amp;edition=prelim</w:t>
        </w:r>
      </w:hyperlink>
      <w:r>
        <w:rPr>
          <w:rStyle w:val="Hyperlink"/>
        </w:rPr>
        <w:t>.</w:t>
      </w:r>
    </w:p>
    <w:p w:rsidR="008B5802" w14:paraId="44D5F3D0" w14:textId="4EEA8C38">
      <w:pPr>
        <w:pStyle w:val="FootnoteText"/>
      </w:pPr>
    </w:p>
  </w:footnote>
  <w:footnote w:id="6">
    <w:p w:rsidR="008B5802" w:rsidP="00E45D30" w14:paraId="52823FCE" w14:textId="23475CF6">
      <w:pPr>
        <w:pStyle w:val="FootnoteText"/>
      </w:pPr>
      <w:r>
        <w:rPr>
          <w:rStyle w:val="FootnoteReference"/>
        </w:rPr>
        <w:footnoteRef/>
      </w:r>
      <w:r>
        <w:t xml:space="preserve"> We use the FDA-wide FTE wage rate for this </w:t>
      </w:r>
      <w:r w:rsidR="00627A01">
        <w:t>final</w:t>
      </w:r>
      <w:r>
        <w:t xml:space="preserve"> rule because this rule would affect different centers including Center for Drug Evaluation and Research (CDER), Center for Veterinary </w:t>
      </w:r>
      <w:r w:rsidR="00C8444A">
        <w:t>Medicine</w:t>
      </w:r>
      <w:r>
        <w:t xml:space="preserve"> (CVM), and Office of Regulatory Affairs (ORA).</w:t>
      </w:r>
    </w:p>
  </w:footnote>
  <w:footnote w:id="7">
    <w:p w:rsidR="008B5802" w:rsidP="00E45D30" w14:paraId="69D6AF9B" w14:textId="77777777">
      <w:pPr>
        <w:pStyle w:val="FootnoteText"/>
      </w:pPr>
      <w:r>
        <w:rPr>
          <w:rStyle w:val="FootnoteReference"/>
        </w:rPr>
        <w:footnoteRef/>
      </w:r>
      <w:r>
        <w:t xml:space="preserve"> </w:t>
      </w:r>
      <w:r w:rsidRPr="00F01E15">
        <w:t>HHS currently assumes that benefits plus indirect costs equal approximately 100 percent of wages. In other words, multiplying wages by a factor of 2 provides an estimate of the fully</w:t>
      </w:r>
      <w:r>
        <w:t>-</w:t>
      </w:r>
      <w:r w:rsidRPr="00F01E15">
        <w:t>loaded wage rate (</w:t>
      </w:r>
      <w:hyperlink r:id="rId4" w:history="1">
        <w:r w:rsidRPr="00F01E15">
          <w:rPr>
            <w:rStyle w:val="Hyperlink"/>
          </w:rPr>
          <w:t>https://aspe.hhs.gov/system/files/pdf/257746/VOT.pdf</w:t>
        </w:r>
      </w:hyperlink>
      <w:r w:rsidRPr="000659AD">
        <w:t>).</w:t>
      </w:r>
    </w:p>
  </w:footnote>
  <w:footnote w:id="8">
    <w:p w:rsidR="004E7FB6" w:rsidP="004E7FB6" w14:paraId="6EC0645C" w14:textId="0FA2800E">
      <w:pPr>
        <w:spacing w:after="0"/>
      </w:pPr>
      <w:r w:rsidRPr="00ED3689">
        <w:rPr>
          <w:rStyle w:val="FootnoteReference"/>
          <w:sz w:val="20"/>
          <w:szCs w:val="20"/>
        </w:rPr>
        <w:footnoteRef/>
      </w:r>
      <w:r w:rsidRPr="00ED3689">
        <w:rPr>
          <w:sz w:val="20"/>
          <w:szCs w:val="20"/>
        </w:rPr>
        <w:t xml:space="preserve"> We did not add facilities to our ERG count for medical gases marketed under applications submitted through </w:t>
      </w:r>
      <w:r w:rsidR="00D75740">
        <w:rPr>
          <w:sz w:val="20"/>
          <w:szCs w:val="20"/>
        </w:rPr>
        <w:t>S</w:t>
      </w:r>
      <w:r w:rsidRPr="00ED3689">
        <w:rPr>
          <w:sz w:val="20"/>
          <w:szCs w:val="20"/>
        </w:rPr>
        <w:t>ection</w:t>
      </w:r>
      <w:r w:rsidR="00C8444A">
        <w:rPr>
          <w:sz w:val="20"/>
          <w:szCs w:val="20"/>
        </w:rPr>
        <w:t>s</w:t>
      </w:r>
      <w:r w:rsidRPr="00ED3689">
        <w:rPr>
          <w:sz w:val="20"/>
          <w:szCs w:val="20"/>
        </w:rPr>
        <w:t xml:space="preserve"> 505 and 512</w:t>
      </w:r>
      <w:r w:rsidR="00C8444A">
        <w:rPr>
          <w:sz w:val="20"/>
          <w:szCs w:val="20"/>
        </w:rPr>
        <w:t xml:space="preserve"> of the</w:t>
      </w:r>
      <w:r w:rsidRPr="00ED3689">
        <w:rPr>
          <w:sz w:val="20"/>
          <w:szCs w:val="20"/>
        </w:rPr>
        <w:t xml:space="preserve"> FD&amp;C Act. </w:t>
      </w:r>
      <w:r>
        <w:rPr>
          <w:sz w:val="20"/>
          <w:szCs w:val="20"/>
        </w:rPr>
        <w:t>According to</w:t>
      </w:r>
      <w:r w:rsidRPr="00ED3689">
        <w:rPr>
          <w:sz w:val="20"/>
          <w:szCs w:val="20"/>
        </w:rPr>
        <w:t xml:space="preserve"> </w:t>
      </w:r>
      <w:r>
        <w:rPr>
          <w:sz w:val="20"/>
          <w:szCs w:val="20"/>
        </w:rPr>
        <w:t>the Orange Book</w:t>
      </w:r>
      <w:r w:rsidRPr="00ED3689">
        <w:rPr>
          <w:sz w:val="20"/>
          <w:szCs w:val="20"/>
        </w:rPr>
        <w:t xml:space="preserve">, there are only </w:t>
      </w:r>
      <w:r w:rsidR="0099306E">
        <w:rPr>
          <w:sz w:val="20"/>
          <w:szCs w:val="20"/>
        </w:rPr>
        <w:t>9</w:t>
      </w:r>
      <w:r w:rsidRPr="00ED3689">
        <w:rPr>
          <w:sz w:val="20"/>
          <w:szCs w:val="20"/>
        </w:rPr>
        <w:t xml:space="preserve"> active approved drug applications and many</w:t>
      </w:r>
      <w:r>
        <w:rPr>
          <w:sz w:val="20"/>
          <w:szCs w:val="20"/>
        </w:rPr>
        <w:t>,</w:t>
      </w:r>
      <w:r w:rsidRPr="00ED3689">
        <w:rPr>
          <w:sz w:val="20"/>
          <w:szCs w:val="20"/>
        </w:rPr>
        <w:t xml:space="preserve"> if not all</w:t>
      </w:r>
      <w:r>
        <w:rPr>
          <w:sz w:val="20"/>
          <w:szCs w:val="20"/>
        </w:rPr>
        <w:t>,</w:t>
      </w:r>
      <w:r w:rsidRPr="00ED3689">
        <w:rPr>
          <w:sz w:val="20"/>
          <w:szCs w:val="20"/>
        </w:rPr>
        <w:t xml:space="preserve"> of the </w:t>
      </w:r>
      <w:r w:rsidR="0099306E">
        <w:rPr>
          <w:sz w:val="20"/>
          <w:szCs w:val="20"/>
        </w:rPr>
        <w:t>6</w:t>
      </w:r>
      <w:r w:rsidRPr="00ED3689">
        <w:rPr>
          <w:sz w:val="20"/>
          <w:szCs w:val="20"/>
        </w:rPr>
        <w:t xml:space="preserve"> applicant holders are included in the count for a DMG. </w:t>
      </w:r>
      <w:r w:rsidR="005C65A8">
        <w:rPr>
          <w:sz w:val="20"/>
          <w:szCs w:val="20"/>
        </w:rPr>
        <w:t>Accessed April 21, 2023.</w:t>
      </w:r>
      <w:r w:rsidRPr="00ED3689" w:rsidR="005C65A8">
        <w:rPr>
          <w:sz w:val="20"/>
          <w:szCs w:val="20"/>
        </w:rPr>
        <w:t xml:space="preserve"> </w:t>
      </w:r>
      <w:r>
        <w:rPr>
          <w:sz w:val="20"/>
          <w:szCs w:val="20"/>
        </w:rPr>
        <w:t xml:space="preserve">Source: </w:t>
      </w:r>
      <w:hyperlink r:id="rId5" w:history="1">
        <w:r w:rsidRPr="00B21A17">
          <w:rPr>
            <w:rStyle w:val="Hyperlink"/>
            <w:sz w:val="20"/>
            <w:szCs w:val="20"/>
          </w:rPr>
          <w:t>https://www.accessdata.fda.gov/scripts/cder/ob/index.cfm</w:t>
        </w:r>
      </w:hyperlink>
      <w:r>
        <w:rPr>
          <w:sz w:val="20"/>
          <w:szCs w:val="20"/>
        </w:rPr>
        <w:t xml:space="preserve"> (search GAS under Dosage Form)</w:t>
      </w:r>
      <w:r w:rsidR="00F32B32">
        <w:rPr>
          <w:sz w:val="20"/>
          <w:szCs w:val="20"/>
        </w:rPr>
        <w:t>.</w:t>
      </w:r>
    </w:p>
  </w:footnote>
  <w:footnote w:id="9">
    <w:p w:rsidR="008B5802" w:rsidRPr="004D14AC" w14:paraId="173F63C2" w14:textId="1619AA88">
      <w:pPr>
        <w:pStyle w:val="FootnoteText"/>
      </w:pPr>
      <w:r w:rsidRPr="004D14AC">
        <w:rPr>
          <w:rStyle w:val="FootnoteReference"/>
        </w:rPr>
        <w:footnoteRef/>
      </w:r>
      <w:r w:rsidRPr="004D14AC">
        <w:t xml:space="preserve"> Current Good Manufacturing Practice for Medical Gases Draft Guidance for Industry link: </w:t>
      </w:r>
      <w:hyperlink r:id="rId6" w:history="1">
        <w:r w:rsidRPr="004D14AC">
          <w:rPr>
            <w:rStyle w:val="Hyperlink"/>
          </w:rPr>
          <w:t>https://www.fda.gov/media/70973/download</w:t>
        </w:r>
      </w:hyperlink>
      <w:r>
        <w:rPr>
          <w:rStyle w:val="Hyperlink"/>
        </w:rPr>
        <w:t>.</w:t>
      </w:r>
    </w:p>
  </w:footnote>
  <w:footnote w:id="10">
    <w:p w:rsidR="00246ECD" w:rsidRPr="004D14AC" w:rsidP="00246ECD" w14:paraId="434257C3" w14:textId="77777777">
      <w:pPr>
        <w:pStyle w:val="FootnoteText"/>
      </w:pPr>
      <w:r w:rsidRPr="004D14AC">
        <w:rPr>
          <w:rStyle w:val="FootnoteReference"/>
        </w:rPr>
        <w:footnoteRef/>
      </w:r>
      <w:r w:rsidRPr="004D14AC">
        <w:t xml:space="preserve"> FDA believes that lighting is sufficiently addressed in </w:t>
      </w:r>
      <w:r w:rsidRPr="004D14AC">
        <w:rPr>
          <w:rFonts w:eastAsia="Times New Roman"/>
        </w:rPr>
        <w:t>the requirements in § 213.42 to ensure that the design, space, and placement of equipment in a facility help protect against mix-ups</w:t>
      </w:r>
      <w:r>
        <w:rPr>
          <w:rFonts w:eastAsia="Times New Roman"/>
        </w:rPr>
        <w:t>.</w:t>
      </w:r>
    </w:p>
  </w:footnote>
  <w:footnote w:id="11">
    <w:p w:rsidR="008B5802" w:rsidP="007432B9" w14:paraId="2FAF0EDE" w14:textId="77777777">
      <w:pPr>
        <w:pStyle w:val="FootnoteText"/>
      </w:pPr>
      <w:r>
        <w:rPr>
          <w:rStyle w:val="FootnoteReference"/>
        </w:rPr>
        <w:footnoteRef/>
      </w:r>
      <w:r>
        <w:t xml:space="preserve"> Many</w:t>
      </w:r>
      <w:r w:rsidRPr="00A75BA2">
        <w:t xml:space="preserve"> estimates throughout this report lent well to approximating upper and lower bound benefits. Consequently, we approximate the primary estimate by taking a mean and assuming a </w:t>
      </w:r>
      <w:r>
        <w:t>triangular</w:t>
      </w:r>
      <w:r w:rsidRPr="00A75BA2">
        <w:t xml:space="preserve"> distribution of benefit across the upper and lower bound</w:t>
      </w:r>
      <w:r>
        <w:t xml:space="preserve"> where not otherwise specified</w:t>
      </w:r>
      <w:r w:rsidRPr="00A75BA2">
        <w:t>.</w:t>
      </w:r>
    </w:p>
  </w:footnote>
  <w:footnote w:id="12">
    <w:p w:rsidR="00B02FAB" w14:paraId="328CD4DF" w14:textId="6817490A">
      <w:pPr>
        <w:pStyle w:val="FootnoteText"/>
      </w:pPr>
      <w:r w:rsidRPr="007C6BD7">
        <w:rPr>
          <w:rStyle w:val="FootnoteReference"/>
        </w:rPr>
        <w:footnoteRef/>
      </w:r>
      <w:r w:rsidRPr="007C6BD7">
        <w:t xml:space="preserve"> </w:t>
      </w:r>
      <w:r w:rsidRPr="007C6BD7" w:rsidR="00901E00">
        <w:t xml:space="preserve">Because the </w:t>
      </w:r>
      <w:r w:rsidRPr="007C6BD7" w:rsidR="00AA3E98">
        <w:t>f</w:t>
      </w:r>
      <w:r w:rsidRPr="007C6BD7" w:rsidR="00901E00">
        <w:t xml:space="preserve">inal </w:t>
      </w:r>
      <w:r w:rsidRPr="007C6BD7" w:rsidR="00AA3E98">
        <w:t>r</w:t>
      </w:r>
      <w:r w:rsidRPr="007C6BD7" w:rsidR="00901E00">
        <w:t xml:space="preserve">ule’s changes to 21 CFR </w:t>
      </w:r>
      <w:r w:rsidRPr="007C6BD7" w:rsidR="00445A7A">
        <w:t>p</w:t>
      </w:r>
      <w:r w:rsidRPr="007C6BD7" w:rsidR="00901E00">
        <w:t xml:space="preserve">art 4 </w:t>
      </w:r>
      <w:r w:rsidRPr="007C6BD7" w:rsidR="00D94205">
        <w:t xml:space="preserve">are minimal in scope and substance, and because </w:t>
      </w:r>
      <w:r w:rsidRPr="007C6BD7" w:rsidR="00F34945">
        <w:t>the February 2, 2026</w:t>
      </w:r>
      <w:r w:rsidR="00F40233">
        <w:t>,</w:t>
      </w:r>
      <w:r w:rsidRPr="007C6BD7" w:rsidR="00F34945">
        <w:t xml:space="preserve"> effective date is close in time to </w:t>
      </w:r>
      <w:r w:rsidRPr="007C6BD7" w:rsidR="00F96557">
        <w:t xml:space="preserve">the anticipated effective date for the remainder of the </w:t>
      </w:r>
      <w:r w:rsidRPr="007C6BD7" w:rsidR="00AA3E98">
        <w:t>f</w:t>
      </w:r>
      <w:r w:rsidRPr="007C6BD7" w:rsidR="00F96557">
        <w:t xml:space="preserve">inal </w:t>
      </w:r>
      <w:r w:rsidRPr="007C6BD7" w:rsidR="00AA3E98">
        <w:t>r</w:t>
      </w:r>
      <w:r w:rsidRPr="007C6BD7" w:rsidR="00F96557">
        <w:t xml:space="preserve">ule, </w:t>
      </w:r>
      <w:r w:rsidRPr="007C6BD7" w:rsidR="00A722A6">
        <w:t xml:space="preserve">we estimate that </w:t>
      </w:r>
      <w:r w:rsidRPr="007C6BD7" w:rsidR="00CD1CD1">
        <w:t xml:space="preserve">the </w:t>
      </w:r>
      <w:r w:rsidRPr="007C6BD7" w:rsidR="00F92D1B">
        <w:t>different</w:t>
      </w:r>
      <w:r w:rsidRPr="007C6BD7" w:rsidR="00CD1CD1">
        <w:t xml:space="preserve"> effective date for </w:t>
      </w:r>
      <w:r w:rsidRPr="007C6BD7" w:rsidR="00631E2A">
        <w:t xml:space="preserve">the provisions </w:t>
      </w:r>
      <w:r w:rsidRPr="007C6BD7" w:rsidR="00881302">
        <w:t>that amend</w:t>
      </w:r>
      <w:r w:rsidRPr="007C6BD7" w:rsidR="00631E2A">
        <w:t xml:space="preserve"> </w:t>
      </w:r>
      <w:r w:rsidRPr="007C6BD7" w:rsidR="00954F9B">
        <w:t>2</w:t>
      </w:r>
      <w:r w:rsidR="00F40233">
        <w:t>1</w:t>
      </w:r>
      <w:r w:rsidRPr="007C6BD7" w:rsidR="00954F9B">
        <w:t xml:space="preserve"> CFR p</w:t>
      </w:r>
      <w:r w:rsidRPr="007C6BD7" w:rsidR="00631E2A">
        <w:t xml:space="preserve">art 4 will not </w:t>
      </w:r>
      <w:r w:rsidRPr="007C6BD7" w:rsidR="00F92D1B">
        <w:t>a</w:t>
      </w:r>
      <w:r w:rsidRPr="007C6BD7" w:rsidR="00631E2A">
        <w:t xml:space="preserve">ffect the costs or benefits </w:t>
      </w:r>
      <w:r w:rsidRPr="007C6BD7" w:rsidR="00F92D1B">
        <w:t>of the final rule.</w:t>
      </w:r>
    </w:p>
  </w:footnote>
  <w:footnote w:id="13">
    <w:p w:rsidR="00E675AD" w:rsidP="00E675AD" w14:paraId="082E8950" w14:textId="77777777">
      <w:pPr>
        <w:pStyle w:val="FootnoteText"/>
      </w:pPr>
      <w:r>
        <w:rPr>
          <w:rStyle w:val="FootnoteReference"/>
        </w:rPr>
        <w:footnoteRef/>
      </w:r>
      <w:r>
        <w:t xml:space="preserve"> BPR study source: </w:t>
      </w:r>
      <w:hyperlink r:id="rId7" w:history="1">
        <w:r w:rsidRPr="000C5884">
          <w:rPr>
            <w:rStyle w:val="Hyperlink"/>
          </w:rPr>
          <w:t>http://www.firebreaks.info/wp-content/uploads/2019/09/BPR-Study-Report-2019-v5.1.pdf</w:t>
        </w:r>
      </w:hyperlink>
      <w:r>
        <w:rPr>
          <w:rStyle w:val="Hyperlink"/>
        </w:rPr>
        <w:t xml:space="preserve">. </w:t>
      </w:r>
    </w:p>
  </w:footnote>
  <w:footnote w:id="14">
    <w:p w:rsidR="00E675AD" w:rsidP="00E675AD" w14:paraId="41B5F355" w14:textId="77777777">
      <w:pPr>
        <w:pStyle w:val="FootnoteText"/>
      </w:pPr>
      <w:r>
        <w:rPr>
          <w:rStyle w:val="FootnoteReference"/>
        </w:rPr>
        <w:footnoteRef/>
      </w:r>
      <w:r>
        <w:t xml:space="preserve"> Guidelines available at: </w:t>
      </w:r>
      <w:hyperlink r:id="rId8" w:history="1">
        <w:r>
          <w:rPr>
            <w:rStyle w:val="Hyperlink"/>
          </w:rPr>
          <w:t>https://aspe.hhs.gov/system/files/pdf/242926/HHS_RIAGuidance.pdf</w:t>
        </w:r>
      </w:hyperlink>
      <w:r>
        <w:rPr>
          <w:rStyle w:val="Hyperlink"/>
        </w:rPr>
        <w:t>.</w:t>
      </w:r>
    </w:p>
  </w:footnote>
  <w:footnote w:id="15">
    <w:p w:rsidR="008B5802" w:rsidP="006C2739" w14:paraId="1A8F7CB7" w14:textId="2A237201">
      <w:pPr>
        <w:pStyle w:val="FootnoteText"/>
      </w:pPr>
      <w:r>
        <w:rPr>
          <w:rStyle w:val="FootnoteReference"/>
        </w:rPr>
        <w:footnoteRef/>
      </w:r>
      <w:r>
        <w:t xml:space="preserve"> May 20</w:t>
      </w:r>
      <w:r w:rsidR="008A6403">
        <w:t>20</w:t>
      </w:r>
      <w:r>
        <w:t xml:space="preserve"> National Industry-Specific Occupational Employment and Wage Estimates for NAICS 325400 – Pharmaceutical and Medicine Manufacturing. We use estimates from NAICS 325400 because detailed estimates for NAICS 325412 are not available. Data available at</w:t>
      </w:r>
      <w:r w:rsidR="00827961">
        <w:t xml:space="preserve"> </w:t>
      </w:r>
      <w:r w:rsidRPr="00CC6950" w:rsidR="00CC6950">
        <w:t>https://www.bls.gov/oes/2020/may/naics4_325400.htm</w:t>
      </w:r>
      <w:r>
        <w:t xml:space="preserve">. </w:t>
      </w:r>
    </w:p>
  </w:footnote>
  <w:footnote w:id="16">
    <w:p w:rsidR="008B5802" w:rsidP="006C2739" w14:paraId="0DB02A50" w14:textId="14318538">
      <w:pPr>
        <w:pStyle w:val="FootnoteText"/>
      </w:pPr>
      <w:r>
        <w:rPr>
          <w:rStyle w:val="FootnoteReference"/>
        </w:rPr>
        <w:footnoteRef/>
      </w:r>
      <w:r>
        <w:t xml:space="preserve"> The calculation is 0.5</w:t>
      </w:r>
      <w:r w:rsidR="00664377">
        <w:t xml:space="preserve"> x </w:t>
      </w:r>
      <w:r>
        <w:t>($</w:t>
      </w:r>
      <w:r w:rsidR="0003095E">
        <w:t>94.05</w:t>
      </w:r>
      <w:r>
        <w:t>) + 0.5</w:t>
      </w:r>
      <w:r w:rsidR="00664377">
        <w:t xml:space="preserve"> x </w:t>
      </w:r>
      <w:r>
        <w:t>($</w:t>
      </w:r>
      <w:r w:rsidR="0003095E">
        <w:t>83.84</w:t>
      </w:r>
      <w:r>
        <w:t>) = $</w:t>
      </w:r>
      <w:r w:rsidR="00F403A2">
        <w:t>8</w:t>
      </w:r>
      <w:r w:rsidR="0003095E">
        <w:t>8.95</w:t>
      </w:r>
      <w:r>
        <w:t>.</w:t>
      </w:r>
    </w:p>
  </w:footnote>
  <w:footnote w:id="17">
    <w:p w:rsidR="008B5802" w14:paraId="68D2030F" w14:textId="41BD0E3E">
      <w:pPr>
        <w:pStyle w:val="FootnoteText"/>
      </w:pPr>
      <w:r>
        <w:rPr>
          <w:rStyle w:val="FootnoteReference"/>
        </w:rPr>
        <w:footnoteRef/>
      </w:r>
      <w:r>
        <w:t xml:space="preserve"> We did not include ERG’s estimate of cryogenic containers of oxygen for medical use in healthcare reservoirs and small trucks because we do not expect these containers to be located in the vicinity of the patient using the medical oxygen and therefore would not be required to display the no smoking, no vaping, and graphic warning symbol statement.</w:t>
      </w:r>
    </w:p>
  </w:footnote>
  <w:footnote w:id="18">
    <w:p w:rsidR="00236046" w:rsidP="00236046" w14:paraId="03A82E63" w14:textId="27E57609">
      <w:pPr>
        <w:pStyle w:val="FootnoteText"/>
      </w:pPr>
      <w:r>
        <w:rPr>
          <w:rStyle w:val="FootnoteReference"/>
        </w:rPr>
        <w:footnoteRef/>
      </w:r>
      <w:r>
        <w:t xml:space="preserve"> A “</w:t>
      </w:r>
      <w:r w:rsidRPr="009106B7">
        <w:t>portable cryogenic medical gas container</w:t>
      </w:r>
      <w:r>
        <w:t>”</w:t>
      </w:r>
      <w:r w:rsidRPr="009106B7">
        <w:t xml:space="preserve"> is one that is capable of being transported and is intended to be attached to a medical gas supply system within a hospital, health care entity, nursing home, other facility, or home health care setting, or is used to fill small cryogenic gas containers for use by individual patients.</w:t>
      </w:r>
      <w:r>
        <w:t xml:space="preserve"> </w:t>
      </w:r>
      <w:r w:rsidR="00CA17B8">
        <w:t xml:space="preserve">The term excludes </w:t>
      </w:r>
      <w:r w:rsidR="00E01513">
        <w:t xml:space="preserve">cryogenic containers that are not designed to be connected to a medical gas supply system, e.g., tank trucks, trailers, rail cares, or small cryogenic </w:t>
      </w:r>
      <w:r w:rsidR="00D47A91">
        <w:t xml:space="preserve">gas containers for use by individual patients (including portable liquid oxygen units as defined at 21 CFR </w:t>
      </w:r>
      <w:r w:rsidR="007E0523">
        <w:t>868.5655</w:t>
      </w:r>
      <w:r w:rsidR="00BB1126">
        <w:t>)</w:t>
      </w:r>
      <w:r w:rsidR="007E0523">
        <w:t>.</w:t>
      </w:r>
    </w:p>
  </w:footnote>
  <w:footnote w:id="19">
    <w:p w:rsidR="008B5802" w:rsidP="00A479E3" w14:paraId="71B68D48" w14:textId="24BB2B52">
      <w:pPr>
        <w:pStyle w:val="FootnoteText"/>
      </w:pPr>
      <w:r>
        <w:rPr>
          <w:rStyle w:val="FootnoteReference"/>
        </w:rPr>
        <w:footnoteRef/>
      </w:r>
      <w:r>
        <w:t xml:space="preserve"> Certification Process for Designated Medical Gases; Revised Draft Guidance available at: </w:t>
      </w:r>
      <w:hyperlink r:id="rId9" w:history="1">
        <w:r w:rsidRPr="00AE0D80">
          <w:rPr>
            <w:rStyle w:val="Hyperlink"/>
          </w:rPr>
          <w:t>https://www.fda.gov/media/85013/download</w:t>
        </w:r>
      </w:hyperlink>
      <w:r>
        <w:rPr>
          <w:rStyle w:val="Hyperlink"/>
        </w:rPr>
        <w:t>.</w:t>
      </w:r>
    </w:p>
  </w:footnote>
  <w:footnote w:id="20">
    <w:p w:rsidR="008B5802" w14:paraId="77B2A348" w14:textId="19896EF2">
      <w:pPr>
        <w:pStyle w:val="FootnoteText"/>
      </w:pPr>
      <w:r>
        <w:rPr>
          <w:rStyle w:val="FootnoteReference"/>
        </w:rPr>
        <w:footnoteRef/>
      </w:r>
      <w:r>
        <w:t xml:space="preserve"> Certifications granted as of </w:t>
      </w:r>
      <w:r w:rsidR="00BD1488">
        <w:t>12-31</w:t>
      </w:r>
      <w:r w:rsidR="00C5067F">
        <w:t>-2023</w:t>
      </w:r>
    </w:p>
  </w:footnote>
  <w:footnote w:id="21">
    <w:p w:rsidR="00F53FC9" w:rsidP="00F53FC9" w14:paraId="76C6532C" w14:textId="77777777">
      <w:pPr>
        <w:pStyle w:val="FootnoteText"/>
      </w:pPr>
      <w:r>
        <w:rPr>
          <w:rStyle w:val="FootnoteReference"/>
        </w:rPr>
        <w:footnoteRef/>
      </w:r>
      <w:r>
        <w:t xml:space="preserve"> </w:t>
      </w:r>
      <w:r w:rsidRPr="00755DFD">
        <w:rPr>
          <w:rFonts w:eastAsia="Times New Roman"/>
          <w:spacing w:val="-1"/>
        </w:rPr>
        <w:t xml:space="preserve">FDA, Compliance Program Guidance Manual 7356.002E, “Compressed Medical Gases,” March 15, 2015, available at </w:t>
      </w:r>
      <w:hyperlink r:id="rId10" w:history="1">
        <w:r w:rsidRPr="00755DFD">
          <w:rPr>
            <w:rFonts w:eastAsia="Times New Roman"/>
            <w:color w:val="0000FF"/>
            <w:spacing w:val="-1"/>
            <w:u w:val="single"/>
          </w:rPr>
          <w:t>https://www.fda.gov/media/75194/download</w:t>
        </w:r>
      </w:hyperlink>
      <w:r w:rsidRPr="00755DFD">
        <w:rPr>
          <w:rFonts w:eastAsia="Times New Roman"/>
          <w:spacing w:val="-1"/>
        </w:rPr>
        <w:t>.</w:t>
      </w:r>
    </w:p>
  </w:footnote>
  <w:footnote w:id="22">
    <w:p w:rsidR="008B5802" w:rsidP="00AA6CA0" w14:paraId="6409EFD0" w14:textId="77777777">
      <w:pPr>
        <w:pStyle w:val="FootnoteText"/>
      </w:pPr>
      <w:r>
        <w:rPr>
          <w:rStyle w:val="FootnoteReference"/>
        </w:rPr>
        <w:footnoteRef/>
      </w:r>
      <w:r>
        <w:t xml:space="preserve"> Palisade offers a succinct description of Monte Carlo simulations at </w:t>
      </w:r>
      <w:hyperlink r:id="rId11" w:history="1">
        <w:r w:rsidRPr="00E010A6">
          <w:rPr>
            <w:rStyle w:val="Hyperlink"/>
          </w:rPr>
          <w:t>https://www.palisade.com/risk/monte_carlo_simulation.asp</w:t>
        </w:r>
      </w:hyperlink>
      <w:r>
        <w:t>. We run 10,000 iterations of our model, using an initial seed of 1.</w:t>
      </w:r>
    </w:p>
  </w:footnote>
  <w:footnote w:id="23">
    <w:p w:rsidR="008B5802" w:rsidP="00AA6CA0" w14:paraId="6C41EA28" w14:textId="77777777">
      <w:pPr>
        <w:pStyle w:val="FootnoteText"/>
      </w:pPr>
      <w:r>
        <w:rPr>
          <w:rStyle w:val="FootnoteReference"/>
        </w:rPr>
        <w:footnoteRef/>
      </w:r>
      <w:r>
        <w:t xml:space="preserve"> </w:t>
      </w:r>
      <w:r w:rsidRPr="00D376AE">
        <w:t xml:space="preserve">A Microsoft Excel add-in from Palisade Corporation used to simulate values </w:t>
      </w:r>
      <w:r>
        <w:t xml:space="preserve">from a probability </w:t>
      </w:r>
      <w:r w:rsidRPr="00D376AE">
        <w:t>distribution</w:t>
      </w:r>
      <w:r>
        <w:t xml:space="preserve"> (@Risk</w:t>
      </w:r>
      <w:r w:rsidRPr="00D376AE">
        <w:rPr>
          <w:vertAlign w:val="superscript"/>
        </w:rPr>
        <w:t>TM</w:t>
      </w:r>
      <w:r>
        <w:t xml:space="preserve"> version 7.6, Palisade Corporation http://www.palisade.com)</w:t>
      </w:r>
      <w:r w:rsidRPr="00D376AE">
        <w:t>.</w:t>
      </w:r>
    </w:p>
  </w:footnote>
  <w:footnote w:id="24">
    <w:p w:rsidR="008B5802" w:rsidP="00AA6CA0" w14:paraId="37C0FA71" w14:textId="77777777">
      <w:pPr>
        <w:pStyle w:val="FootnoteText"/>
      </w:pPr>
      <w:r>
        <w:rPr>
          <w:rStyle w:val="FootnoteReference"/>
        </w:rPr>
        <w:footnoteRef/>
      </w:r>
      <w:r>
        <w:t xml:space="preserve"> We assume a triangular distribution using the low, primary, and upper level of inputs, that vary. </w:t>
      </w:r>
    </w:p>
  </w:footnote>
  <w:footnote w:id="25">
    <w:p w:rsidR="00294011" w14:paraId="1E8EE512" w14:textId="2613A049">
      <w:pPr>
        <w:pStyle w:val="FootnoteText"/>
      </w:pPr>
      <w:r>
        <w:rPr>
          <w:rStyle w:val="FootnoteReference"/>
        </w:rPr>
        <w:footnoteRef/>
      </w:r>
      <w:r>
        <w:t xml:space="preserve"> Firms could elect to perform full compendial testing on the gas rather than verify and record the COA. We believe this </w:t>
      </w:r>
      <w:r w:rsidR="00BB4D08">
        <w:t>will be less common</w:t>
      </w:r>
      <w:r>
        <w:t xml:space="preserve"> as it would be more burdensome for industry. </w:t>
      </w:r>
    </w:p>
  </w:footnote>
  <w:footnote w:id="26">
    <w:p w:rsidR="00616810" w:rsidP="00616810" w14:paraId="1E6E506D" w14:textId="77777777">
      <w:pPr>
        <w:pStyle w:val="FootnoteText"/>
      </w:pPr>
      <w:r>
        <w:rPr>
          <w:rStyle w:val="FootnoteReference"/>
        </w:rPr>
        <w:footnoteRef/>
      </w:r>
      <w:r>
        <w:t xml:space="preserve"> We use the same rates of replace from before (15 percent replacement per year for low, 12 percent replacement per year for primary, and 7 percent replacement for high) to estimate the percentage of portable cryogenic containers that would need to be replaced as a result of this delay in compliance. </w:t>
      </w:r>
    </w:p>
  </w:footnote>
  <w:footnote w:id="27">
    <w:p w:rsidR="008B5802" w14:paraId="7127B9F9" w14:textId="1C1F58B5">
      <w:pPr>
        <w:pStyle w:val="FootnoteText"/>
      </w:pPr>
      <w:r>
        <w:rPr>
          <w:rStyle w:val="FootnoteReference"/>
        </w:rPr>
        <w:footnoteRef/>
      </w:r>
      <w:r>
        <w:t xml:space="preserve"> SBA </w:t>
      </w:r>
      <w:r w:rsidR="007E6083">
        <w:t xml:space="preserve">2023 </w:t>
      </w:r>
      <w:r>
        <w:t xml:space="preserve">size standards: </w:t>
      </w:r>
      <w:hyperlink r:id="rId12" w:history="1">
        <w:r w:rsidRPr="00497351" w:rsidR="003D6516">
          <w:rPr>
            <w:rStyle w:val="Hyperlink"/>
          </w:rPr>
          <w:t>https://www.sba.gov/sites/sbagov/files/2023-03/Table%20of%20Size%20Standards_Effective%20March%2017%2C%202023%20%281%29%20%281%29_0.pdf</w:t>
        </w:r>
      </w:hyperlink>
      <w:r w:rsidR="003D6516">
        <w:t xml:space="preserve"> </w:t>
      </w:r>
    </w:p>
  </w:footnote>
  <w:footnote w:id="28">
    <w:p w:rsidR="008B5802" w:rsidP="00714FC0" w14:paraId="518D6604" w14:textId="2AB8138C">
      <w:pPr>
        <w:pStyle w:val="CommentText"/>
        <w:spacing w:after="0"/>
      </w:pPr>
      <w:r>
        <w:rPr>
          <w:rStyle w:val="FootnoteReference"/>
        </w:rPr>
        <w:footnoteRef/>
      </w:r>
      <w:r>
        <w:t xml:space="preserve"> Reading and understanding the rule costs are not included in this table because they occur in year zero. </w:t>
      </w:r>
    </w:p>
  </w:footnote>
  <w:footnote w:id="29">
    <w:p w:rsidR="00B21D6B" w:rsidP="00B21D6B" w14:paraId="160A6E14" w14:textId="34577054">
      <w:pPr>
        <w:pStyle w:val="FootnoteText"/>
      </w:pPr>
      <w:r>
        <w:rPr>
          <w:rStyle w:val="FootnoteReference"/>
        </w:rPr>
        <w:footnoteRef/>
      </w:r>
      <w:r>
        <w:t xml:space="preserve"> All NAICS codes used in ERG report: </w:t>
      </w:r>
      <w:r w:rsidRPr="00897A92">
        <w:t>213112, 312140, 325120, 325998, 332313, 333992, 333249, 333999, 334514, 339113, 334510, 621910, 484220, 423440, 423450, 423830, 423840, 423990, 424210, 424690, 424720, 444190, 444130, 452319, 441310, 446110, 454110, 454310, 523120, 524114, 531120, 551112, 525910, 523130, 532283, 532490, 561320, 541519, 812990, 532120, 812219, 811310, 621111, 623110, 622110, 622310, 621511, 621610, 621498, 621999, 611310, 813920, 541330, 541380, 561110, 541611, 541690</w:t>
      </w:r>
      <w:r w:rsidR="002D46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A0BCD9" w14:textId="77777777" w:rsidTr="004910D2">
      <w:tblPrEx>
        <w:tblW w:w="0" w:type="auto"/>
        <w:tblLayout w:type="fixed"/>
        <w:tblLook w:val="06A0"/>
      </w:tblPrEx>
      <w:tc>
        <w:tcPr>
          <w:tcW w:w="3120" w:type="dxa"/>
        </w:tcPr>
        <w:p w:rsidR="008B5802" w:rsidP="004910D2" w14:paraId="24C02F0C" w14:textId="1401B70B">
          <w:pPr>
            <w:pStyle w:val="Header"/>
            <w:ind w:left="-115"/>
          </w:pPr>
        </w:p>
      </w:tc>
      <w:tc>
        <w:tcPr>
          <w:tcW w:w="3120" w:type="dxa"/>
        </w:tcPr>
        <w:p w:rsidR="008B5802" w:rsidP="004910D2" w14:paraId="2F5EDE7D" w14:textId="55C244FF">
          <w:pPr>
            <w:pStyle w:val="Header"/>
            <w:jc w:val="center"/>
          </w:pPr>
        </w:p>
      </w:tc>
      <w:tc>
        <w:tcPr>
          <w:tcW w:w="3120" w:type="dxa"/>
        </w:tcPr>
        <w:p w:rsidR="008B5802" w:rsidP="004910D2" w14:paraId="09192B73" w14:textId="2D967083">
          <w:pPr>
            <w:pStyle w:val="Header"/>
            <w:ind w:right="-115"/>
            <w:jc w:val="right"/>
          </w:pPr>
        </w:p>
      </w:tc>
    </w:tr>
  </w:tbl>
  <w:p w:rsidR="008B5802" w:rsidP="004910D2" w14:paraId="6E8E4FA6" w14:textId="70296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C31F092" w14:textId="77777777" w:rsidTr="004910D2">
      <w:tblPrEx>
        <w:tblW w:w="0" w:type="auto"/>
        <w:tblLayout w:type="fixed"/>
        <w:tblLook w:val="06A0"/>
      </w:tblPrEx>
      <w:tc>
        <w:tcPr>
          <w:tcW w:w="4320" w:type="dxa"/>
        </w:tcPr>
        <w:p w:rsidR="008B5802" w:rsidP="004910D2" w14:paraId="55E476DB" w14:textId="6FE7A02C">
          <w:pPr>
            <w:pStyle w:val="Header"/>
            <w:ind w:left="-115"/>
          </w:pPr>
        </w:p>
      </w:tc>
      <w:tc>
        <w:tcPr>
          <w:tcW w:w="4320" w:type="dxa"/>
        </w:tcPr>
        <w:p w:rsidR="008B5802" w:rsidP="004910D2" w14:paraId="4E836D7F" w14:textId="5681220E">
          <w:pPr>
            <w:pStyle w:val="Header"/>
            <w:jc w:val="center"/>
          </w:pPr>
        </w:p>
      </w:tc>
      <w:tc>
        <w:tcPr>
          <w:tcW w:w="4320" w:type="dxa"/>
        </w:tcPr>
        <w:p w:rsidR="008B5802" w:rsidP="004910D2" w14:paraId="7BA51759" w14:textId="71770316">
          <w:pPr>
            <w:pStyle w:val="Header"/>
            <w:ind w:right="-115"/>
            <w:jc w:val="right"/>
          </w:pPr>
        </w:p>
      </w:tc>
    </w:tr>
  </w:tbl>
  <w:p w:rsidR="008B5802" w:rsidP="004910D2" w14:paraId="1EC7ADAB" w14:textId="01EE3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6DB59B" w14:textId="77777777" w:rsidTr="004910D2">
      <w:tblPrEx>
        <w:tblW w:w="0" w:type="auto"/>
        <w:tblLayout w:type="fixed"/>
        <w:tblLook w:val="06A0"/>
      </w:tblPrEx>
      <w:tc>
        <w:tcPr>
          <w:tcW w:w="3120" w:type="dxa"/>
        </w:tcPr>
        <w:p w:rsidR="008B5802" w:rsidP="004910D2" w14:paraId="07492398" w14:textId="651CC052">
          <w:pPr>
            <w:pStyle w:val="Header"/>
            <w:ind w:left="-115"/>
          </w:pPr>
        </w:p>
      </w:tc>
      <w:tc>
        <w:tcPr>
          <w:tcW w:w="3120" w:type="dxa"/>
        </w:tcPr>
        <w:p w:rsidR="008B5802" w:rsidP="004910D2" w14:paraId="5199BAE0" w14:textId="12614B0F">
          <w:pPr>
            <w:pStyle w:val="Header"/>
            <w:jc w:val="center"/>
          </w:pPr>
        </w:p>
      </w:tc>
      <w:tc>
        <w:tcPr>
          <w:tcW w:w="3120" w:type="dxa"/>
        </w:tcPr>
        <w:p w:rsidR="008B5802" w:rsidP="004910D2" w14:paraId="50928CEC" w14:textId="38D90AB9">
          <w:pPr>
            <w:pStyle w:val="Header"/>
            <w:ind w:right="-115"/>
            <w:jc w:val="right"/>
          </w:pPr>
        </w:p>
      </w:tc>
    </w:tr>
  </w:tbl>
  <w:p w:rsidR="008B5802" w:rsidP="004910D2" w14:paraId="692AF12A" w14:textId="4AA30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37289"/>
    <w:multiLevelType w:val="hybridMultilevel"/>
    <w:tmpl w:val="2136932A"/>
    <w:lvl w:ilvl="0">
      <w:start w:val="1"/>
      <w:numFmt w:val="decimal"/>
      <w:pStyle w:val="Heading3"/>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4A3449"/>
    <w:multiLevelType w:val="hybridMultilevel"/>
    <w:tmpl w:val="7FB6FEF4"/>
    <w:lvl w:ilvl="0">
      <w:start w:val="1"/>
      <w:numFmt w:val="upperLetter"/>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0766FD"/>
    <w:multiLevelType w:val="hybridMultilevel"/>
    <w:tmpl w:val="8EA61A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C790231"/>
    <w:multiLevelType w:val="hybridMultilevel"/>
    <w:tmpl w:val="4D44B6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F44D3C"/>
    <w:multiLevelType w:val="hybridMultilevel"/>
    <w:tmpl w:val="DFC88F60"/>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C87F2E"/>
    <w:multiLevelType w:val="hybridMultilevel"/>
    <w:tmpl w:val="C67629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164EF5"/>
    <w:multiLevelType w:val="hybridMultilevel"/>
    <w:tmpl w:val="3A206548"/>
    <w:lvl w:ilvl="0">
      <w:start w:val="1"/>
      <w:numFmt w:val="lowerLetter"/>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54657A"/>
    <w:multiLevelType w:val="hybridMultilevel"/>
    <w:tmpl w:val="24542A04"/>
    <w:lvl w:ilvl="0">
      <w:start w:val="1"/>
      <w:numFmt w:val="upperRoman"/>
      <w:pStyle w:val="Heading1"/>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8D594A"/>
    <w:multiLevelType w:val="hybridMultilevel"/>
    <w:tmpl w:val="63BA57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744AF2"/>
    <w:multiLevelType w:val="hybridMultilevel"/>
    <w:tmpl w:val="C32CEF06"/>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8A466E"/>
    <w:multiLevelType w:val="hybridMultilevel"/>
    <w:tmpl w:val="60FE4D1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E381FA2"/>
    <w:multiLevelType w:val="hybridMultilevel"/>
    <w:tmpl w:val="BE1CB8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40170D"/>
    <w:multiLevelType w:val="hybridMultilevel"/>
    <w:tmpl w:val="5AAE52B0"/>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637061">
    <w:abstractNumId w:val="7"/>
  </w:num>
  <w:num w:numId="2" w16cid:durableId="1547599323">
    <w:abstractNumId w:val="1"/>
  </w:num>
  <w:num w:numId="3" w16cid:durableId="516504117">
    <w:abstractNumId w:val="0"/>
  </w:num>
  <w:num w:numId="4" w16cid:durableId="139808579">
    <w:abstractNumId w:val="6"/>
  </w:num>
  <w:num w:numId="5" w16cid:durableId="1548026375">
    <w:abstractNumId w:val="11"/>
  </w:num>
  <w:num w:numId="6" w16cid:durableId="1149830506">
    <w:abstractNumId w:val="1"/>
    <w:lvlOverride w:ilvl="0">
      <w:startOverride w:val="1"/>
    </w:lvlOverride>
  </w:num>
  <w:num w:numId="7" w16cid:durableId="1684623101">
    <w:abstractNumId w:val="0"/>
    <w:lvlOverride w:ilvl="0">
      <w:startOverride w:val="1"/>
    </w:lvlOverride>
  </w:num>
  <w:num w:numId="8" w16cid:durableId="335159411">
    <w:abstractNumId w:val="0"/>
    <w:lvlOverride w:ilvl="0">
      <w:startOverride w:val="1"/>
    </w:lvlOverride>
  </w:num>
  <w:num w:numId="9" w16cid:durableId="1740976538">
    <w:abstractNumId w:val="0"/>
    <w:lvlOverride w:ilvl="0">
      <w:startOverride w:val="1"/>
    </w:lvlOverride>
  </w:num>
  <w:num w:numId="10" w16cid:durableId="2145389498">
    <w:abstractNumId w:val="0"/>
    <w:lvlOverride w:ilvl="0">
      <w:startOverride w:val="1"/>
    </w:lvlOverride>
  </w:num>
  <w:num w:numId="11" w16cid:durableId="2097899574">
    <w:abstractNumId w:val="0"/>
    <w:lvlOverride w:ilvl="0">
      <w:startOverride w:val="1"/>
    </w:lvlOverride>
  </w:num>
  <w:num w:numId="12" w16cid:durableId="862131401">
    <w:abstractNumId w:val="0"/>
    <w:lvlOverride w:ilvl="0">
      <w:startOverride w:val="1"/>
    </w:lvlOverride>
  </w:num>
  <w:num w:numId="13" w16cid:durableId="1888225139">
    <w:abstractNumId w:val="0"/>
    <w:lvlOverride w:ilvl="0">
      <w:startOverride w:val="1"/>
    </w:lvlOverride>
  </w:num>
  <w:num w:numId="14" w16cid:durableId="734938155">
    <w:abstractNumId w:val="0"/>
    <w:lvlOverride w:ilvl="0">
      <w:startOverride w:val="1"/>
    </w:lvlOverride>
  </w:num>
  <w:num w:numId="15" w16cid:durableId="1925337960">
    <w:abstractNumId w:val="1"/>
    <w:lvlOverride w:ilvl="0">
      <w:startOverride w:val="1"/>
    </w:lvlOverride>
  </w:num>
  <w:num w:numId="16" w16cid:durableId="1429501488">
    <w:abstractNumId w:val="0"/>
    <w:lvlOverride w:ilvl="0">
      <w:startOverride w:val="1"/>
    </w:lvlOverride>
  </w:num>
  <w:num w:numId="17" w16cid:durableId="49959442">
    <w:abstractNumId w:val="0"/>
    <w:lvlOverride w:ilvl="0">
      <w:startOverride w:val="1"/>
    </w:lvlOverride>
  </w:num>
  <w:num w:numId="18" w16cid:durableId="1627538538">
    <w:abstractNumId w:val="0"/>
    <w:lvlOverride w:ilvl="0">
      <w:startOverride w:val="1"/>
    </w:lvlOverride>
  </w:num>
  <w:num w:numId="19" w16cid:durableId="2138061738">
    <w:abstractNumId w:val="3"/>
  </w:num>
  <w:num w:numId="20" w16cid:durableId="534581787">
    <w:abstractNumId w:val="12"/>
  </w:num>
  <w:num w:numId="21" w16cid:durableId="1093428720">
    <w:abstractNumId w:val="4"/>
  </w:num>
  <w:num w:numId="22" w16cid:durableId="848714911">
    <w:abstractNumId w:val="6"/>
    <w:lvlOverride w:ilvl="0">
      <w:startOverride w:val="1"/>
    </w:lvlOverride>
  </w:num>
  <w:num w:numId="23" w16cid:durableId="1182665916">
    <w:abstractNumId w:val="5"/>
  </w:num>
  <w:num w:numId="24" w16cid:durableId="2018267964">
    <w:abstractNumId w:val="2"/>
  </w:num>
  <w:num w:numId="25" w16cid:durableId="298848410">
    <w:abstractNumId w:val="8"/>
  </w:num>
  <w:num w:numId="26" w16cid:durableId="42489273">
    <w:abstractNumId w:val="6"/>
    <w:lvlOverride w:ilvl="0">
      <w:startOverride w:val="1"/>
    </w:lvlOverride>
  </w:num>
  <w:num w:numId="27" w16cid:durableId="76175078">
    <w:abstractNumId w:val="6"/>
    <w:lvlOverride w:ilvl="0">
      <w:startOverride w:val="1"/>
    </w:lvlOverride>
  </w:num>
  <w:num w:numId="28" w16cid:durableId="1398437560">
    <w:abstractNumId w:val="6"/>
  </w:num>
  <w:num w:numId="29" w16cid:durableId="1603952886">
    <w:abstractNumId w:val="6"/>
    <w:lvlOverride w:ilvl="0">
      <w:startOverride w:val="1"/>
    </w:lvlOverride>
  </w:num>
  <w:num w:numId="30" w16cid:durableId="944769172">
    <w:abstractNumId w:val="6"/>
    <w:lvlOverride w:ilvl="0">
      <w:startOverride w:val="1"/>
    </w:lvlOverride>
  </w:num>
  <w:num w:numId="31" w16cid:durableId="283583300">
    <w:abstractNumId w:val="6"/>
    <w:lvlOverride w:ilvl="0">
      <w:startOverride w:val="1"/>
    </w:lvlOverride>
  </w:num>
  <w:num w:numId="32" w16cid:durableId="1472361946">
    <w:abstractNumId w:val="6"/>
    <w:lvlOverride w:ilvl="0">
      <w:startOverride w:val="1"/>
    </w:lvlOverride>
  </w:num>
  <w:num w:numId="33" w16cid:durableId="1850413772">
    <w:abstractNumId w:val="6"/>
    <w:lvlOverride w:ilvl="0">
      <w:startOverride w:val="1"/>
    </w:lvlOverride>
  </w:num>
  <w:num w:numId="34" w16cid:durableId="1840729712">
    <w:abstractNumId w:val="6"/>
    <w:lvlOverride w:ilvl="0">
      <w:startOverride w:val="1"/>
    </w:lvlOverride>
  </w:num>
  <w:num w:numId="35" w16cid:durableId="659967415">
    <w:abstractNumId w:val="6"/>
    <w:lvlOverride w:ilvl="0">
      <w:startOverride w:val="1"/>
    </w:lvlOverride>
  </w:num>
  <w:num w:numId="36" w16cid:durableId="67311885">
    <w:abstractNumId w:val="6"/>
    <w:lvlOverride w:ilvl="0">
      <w:startOverride w:val="1"/>
    </w:lvlOverride>
  </w:num>
  <w:num w:numId="37" w16cid:durableId="654802853">
    <w:abstractNumId w:val="0"/>
    <w:lvlOverride w:ilvl="0">
      <w:startOverride w:val="1"/>
    </w:lvlOverride>
  </w:num>
  <w:num w:numId="38" w16cid:durableId="564680701">
    <w:abstractNumId w:val="6"/>
    <w:lvlOverride w:ilvl="0">
      <w:startOverride w:val="1"/>
    </w:lvlOverride>
  </w:num>
  <w:num w:numId="39" w16cid:durableId="1595019677">
    <w:abstractNumId w:val="6"/>
    <w:lvlOverride w:ilvl="0">
      <w:startOverride w:val="1"/>
    </w:lvlOverride>
  </w:num>
  <w:num w:numId="40" w16cid:durableId="37166523">
    <w:abstractNumId w:val="9"/>
  </w:num>
  <w:num w:numId="41" w16cid:durableId="785350506">
    <w:abstractNumId w:val="6"/>
    <w:lvlOverride w:ilvl="0">
      <w:startOverride w:val="1"/>
    </w:lvlOverride>
  </w:num>
  <w:num w:numId="42" w16cid:durableId="2114593689">
    <w:abstractNumId w:val="6"/>
  </w:num>
  <w:num w:numId="43" w16cid:durableId="708185521">
    <w:abstractNumId w:val="6"/>
    <w:lvlOverride w:ilvl="0">
      <w:startOverride w:val="1"/>
    </w:lvlOverride>
  </w:num>
  <w:num w:numId="44" w16cid:durableId="1189104276">
    <w:abstractNumId w:val="6"/>
    <w:lvlOverride w:ilvl="0">
      <w:startOverride w:val="1"/>
    </w:lvlOverride>
  </w:num>
  <w:num w:numId="45" w16cid:durableId="771632891">
    <w:abstractNumId w:val="6"/>
  </w:num>
  <w:num w:numId="46" w16cid:durableId="106509536">
    <w:abstractNumId w:val="6"/>
  </w:num>
  <w:num w:numId="47" w16cid:durableId="1444304416">
    <w:abstractNumId w:val="6"/>
    <w:lvlOverride w:ilvl="0">
      <w:startOverride w:val="1"/>
    </w:lvlOverride>
  </w:num>
  <w:num w:numId="48" w16cid:durableId="934551726">
    <w:abstractNumId w:val="0"/>
    <w:lvlOverride w:ilvl="0">
      <w:startOverride w:val="1"/>
    </w:lvlOverride>
  </w:num>
  <w:num w:numId="49" w16cid:durableId="2069256278">
    <w:abstractNumId w:val="6"/>
    <w:lvlOverride w:ilvl="0">
      <w:startOverride w:val="1"/>
    </w:lvlOverride>
  </w:num>
  <w:num w:numId="50" w16cid:durableId="1596866552">
    <w:abstractNumId w:val="6"/>
    <w:lvlOverride w:ilvl="0">
      <w:startOverride w:val="1"/>
    </w:lvlOverride>
  </w:num>
  <w:num w:numId="51" w16cid:durableId="1190921345">
    <w:abstractNumId w:val="6"/>
    <w:lvlOverride w:ilvl="0">
      <w:startOverride w:val="1"/>
    </w:lvlOverride>
  </w:num>
  <w:num w:numId="52" w16cid:durableId="486676656">
    <w:abstractNumId w:val="6"/>
    <w:lvlOverride w:ilvl="0">
      <w:startOverride w:val="1"/>
    </w:lvlOverride>
  </w:num>
  <w:num w:numId="53" w16cid:durableId="1522740237">
    <w:abstractNumId w:val="6"/>
    <w:lvlOverride w:ilvl="0">
      <w:startOverride w:val="1"/>
    </w:lvlOverride>
  </w:num>
  <w:num w:numId="54" w16cid:durableId="519008697">
    <w:abstractNumId w:val="6"/>
    <w:lvlOverride w:ilvl="0">
      <w:startOverride w:val="1"/>
    </w:lvlOverride>
  </w:num>
  <w:num w:numId="55" w16cid:durableId="446195746">
    <w:abstractNumId w:val="0"/>
    <w:lvlOverride w:ilvl="0">
      <w:startOverride w:val="1"/>
    </w:lvlOverride>
  </w:num>
  <w:num w:numId="56" w16cid:durableId="278605356">
    <w:abstractNumId w:val="6"/>
    <w:lvlOverride w:ilvl="0">
      <w:startOverride w:val="1"/>
    </w:lvlOverride>
  </w:num>
  <w:num w:numId="57" w16cid:durableId="1249971444">
    <w:abstractNumId w:val="0"/>
    <w:lvlOverride w:ilvl="0">
      <w:startOverride w:val="1"/>
    </w:lvlOverride>
  </w:num>
  <w:num w:numId="58" w16cid:durableId="1044864118">
    <w:abstractNumId w:val="6"/>
    <w:lvlOverride w:ilvl="0">
      <w:startOverride w:val="1"/>
    </w:lvlOverride>
  </w:num>
  <w:num w:numId="59" w16cid:durableId="387458358">
    <w:abstractNumId w:val="6"/>
    <w:lvlOverride w:ilvl="0">
      <w:startOverride w:val="1"/>
    </w:lvlOverride>
  </w:num>
  <w:num w:numId="60" w16cid:durableId="281110511">
    <w:abstractNumId w:val="6"/>
    <w:lvlOverride w:ilvl="0">
      <w:startOverride w:val="1"/>
    </w:lvlOverride>
  </w:num>
  <w:num w:numId="61" w16cid:durableId="2035954459">
    <w:abstractNumId w:val="6"/>
    <w:lvlOverride w:ilvl="0">
      <w:startOverride w:val="1"/>
    </w:lvlOverride>
  </w:num>
  <w:num w:numId="62" w16cid:durableId="517740774">
    <w:abstractNumId w:val="6"/>
    <w:lvlOverride w:ilvl="0">
      <w:startOverride w:val="1"/>
    </w:lvlOverride>
  </w:num>
  <w:num w:numId="63" w16cid:durableId="1865705261">
    <w:abstractNumId w:val="6"/>
    <w:lvlOverride w:ilvl="0">
      <w:startOverride w:val="1"/>
    </w:lvlOverride>
  </w:num>
  <w:num w:numId="64" w16cid:durableId="1618372108">
    <w:abstractNumId w:val="6"/>
    <w:lvlOverride w:ilvl="0">
      <w:startOverride w:val="1"/>
    </w:lvlOverride>
  </w:num>
  <w:num w:numId="65" w16cid:durableId="1179470277">
    <w:abstractNumId w:val="1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an, Domini">
    <w15:presenceInfo w15:providerId="AD" w15:userId="S::DHC@fda.gov::9e896585-6a6e-44c8-a382-b7b5ecc1b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11"/>
    <w:rsid w:val="00000F7A"/>
    <w:rsid w:val="000010C8"/>
    <w:rsid w:val="00001A7D"/>
    <w:rsid w:val="00003B6D"/>
    <w:rsid w:val="00003BC5"/>
    <w:rsid w:val="00004300"/>
    <w:rsid w:val="00004542"/>
    <w:rsid w:val="00005032"/>
    <w:rsid w:val="000056A9"/>
    <w:rsid w:val="00006377"/>
    <w:rsid w:val="00006C8F"/>
    <w:rsid w:val="00007804"/>
    <w:rsid w:val="00007950"/>
    <w:rsid w:val="00007ED5"/>
    <w:rsid w:val="00010599"/>
    <w:rsid w:val="00011001"/>
    <w:rsid w:val="00011343"/>
    <w:rsid w:val="00011D77"/>
    <w:rsid w:val="00012593"/>
    <w:rsid w:val="0001340A"/>
    <w:rsid w:val="00013C0D"/>
    <w:rsid w:val="0001402D"/>
    <w:rsid w:val="00015ABB"/>
    <w:rsid w:val="0001620D"/>
    <w:rsid w:val="00016753"/>
    <w:rsid w:val="00016EA0"/>
    <w:rsid w:val="000175F8"/>
    <w:rsid w:val="00017742"/>
    <w:rsid w:val="00017B25"/>
    <w:rsid w:val="00017EFB"/>
    <w:rsid w:val="00022152"/>
    <w:rsid w:val="0002306D"/>
    <w:rsid w:val="0002334B"/>
    <w:rsid w:val="00023EEF"/>
    <w:rsid w:val="000249FF"/>
    <w:rsid w:val="00024FC5"/>
    <w:rsid w:val="00025ACD"/>
    <w:rsid w:val="00025DC4"/>
    <w:rsid w:val="00025F01"/>
    <w:rsid w:val="0002620F"/>
    <w:rsid w:val="0002689A"/>
    <w:rsid w:val="000269D8"/>
    <w:rsid w:val="000274B1"/>
    <w:rsid w:val="000278BE"/>
    <w:rsid w:val="00027B90"/>
    <w:rsid w:val="00027FF8"/>
    <w:rsid w:val="0003095E"/>
    <w:rsid w:val="00031177"/>
    <w:rsid w:val="00031ACD"/>
    <w:rsid w:val="00032930"/>
    <w:rsid w:val="00032B65"/>
    <w:rsid w:val="00032E67"/>
    <w:rsid w:val="00033171"/>
    <w:rsid w:val="00033BC2"/>
    <w:rsid w:val="0003426D"/>
    <w:rsid w:val="000346CA"/>
    <w:rsid w:val="00034C49"/>
    <w:rsid w:val="00034F1A"/>
    <w:rsid w:val="00034F65"/>
    <w:rsid w:val="00035ADD"/>
    <w:rsid w:val="00035B1A"/>
    <w:rsid w:val="00037A74"/>
    <w:rsid w:val="000401A1"/>
    <w:rsid w:val="000406B6"/>
    <w:rsid w:val="00040BFA"/>
    <w:rsid w:val="000410E9"/>
    <w:rsid w:val="00041526"/>
    <w:rsid w:val="00041961"/>
    <w:rsid w:val="0004227E"/>
    <w:rsid w:val="00042510"/>
    <w:rsid w:val="0004280D"/>
    <w:rsid w:val="00043351"/>
    <w:rsid w:val="000434EC"/>
    <w:rsid w:val="00044F10"/>
    <w:rsid w:val="00045CD7"/>
    <w:rsid w:val="00046395"/>
    <w:rsid w:val="0005024E"/>
    <w:rsid w:val="000503BA"/>
    <w:rsid w:val="000509E7"/>
    <w:rsid w:val="00052B9D"/>
    <w:rsid w:val="00052CC6"/>
    <w:rsid w:val="000538C7"/>
    <w:rsid w:val="00054E4D"/>
    <w:rsid w:val="00054FE3"/>
    <w:rsid w:val="000552CD"/>
    <w:rsid w:val="00056E23"/>
    <w:rsid w:val="000571B7"/>
    <w:rsid w:val="000571BB"/>
    <w:rsid w:val="0005720D"/>
    <w:rsid w:val="000577C8"/>
    <w:rsid w:val="000604C5"/>
    <w:rsid w:val="00061DCC"/>
    <w:rsid w:val="00062281"/>
    <w:rsid w:val="00062341"/>
    <w:rsid w:val="0006239F"/>
    <w:rsid w:val="0006308C"/>
    <w:rsid w:val="0006394E"/>
    <w:rsid w:val="000644D5"/>
    <w:rsid w:val="00064801"/>
    <w:rsid w:val="00065407"/>
    <w:rsid w:val="00065497"/>
    <w:rsid w:val="00065499"/>
    <w:rsid w:val="000659AD"/>
    <w:rsid w:val="00065C64"/>
    <w:rsid w:val="00065E2A"/>
    <w:rsid w:val="00065F5A"/>
    <w:rsid w:val="0006676B"/>
    <w:rsid w:val="00066AB7"/>
    <w:rsid w:val="00066EE3"/>
    <w:rsid w:val="00067002"/>
    <w:rsid w:val="000677B4"/>
    <w:rsid w:val="000703E0"/>
    <w:rsid w:val="000704E8"/>
    <w:rsid w:val="00070D72"/>
    <w:rsid w:val="00070E7E"/>
    <w:rsid w:val="00071073"/>
    <w:rsid w:val="0007175A"/>
    <w:rsid w:val="000723B5"/>
    <w:rsid w:val="000723E8"/>
    <w:rsid w:val="00072864"/>
    <w:rsid w:val="000735BF"/>
    <w:rsid w:val="00075264"/>
    <w:rsid w:val="000758CE"/>
    <w:rsid w:val="00075DAC"/>
    <w:rsid w:val="000764C8"/>
    <w:rsid w:val="000770F3"/>
    <w:rsid w:val="00077224"/>
    <w:rsid w:val="0008025E"/>
    <w:rsid w:val="00080509"/>
    <w:rsid w:val="0008082C"/>
    <w:rsid w:val="00081539"/>
    <w:rsid w:val="00081687"/>
    <w:rsid w:val="00081EBC"/>
    <w:rsid w:val="00082160"/>
    <w:rsid w:val="00082B60"/>
    <w:rsid w:val="0008495C"/>
    <w:rsid w:val="00084C9F"/>
    <w:rsid w:val="00084DDD"/>
    <w:rsid w:val="0008513F"/>
    <w:rsid w:val="00085505"/>
    <w:rsid w:val="00085C50"/>
    <w:rsid w:val="00086141"/>
    <w:rsid w:val="0008748F"/>
    <w:rsid w:val="00087661"/>
    <w:rsid w:val="000905BA"/>
    <w:rsid w:val="00090AC5"/>
    <w:rsid w:val="00090EFF"/>
    <w:rsid w:val="000915F7"/>
    <w:rsid w:val="00091B5F"/>
    <w:rsid w:val="0009259F"/>
    <w:rsid w:val="000925DA"/>
    <w:rsid w:val="000928F4"/>
    <w:rsid w:val="000934CF"/>
    <w:rsid w:val="000947CB"/>
    <w:rsid w:val="000950C1"/>
    <w:rsid w:val="00095200"/>
    <w:rsid w:val="00095425"/>
    <w:rsid w:val="00095548"/>
    <w:rsid w:val="00096B06"/>
    <w:rsid w:val="0009747D"/>
    <w:rsid w:val="00097742"/>
    <w:rsid w:val="00097A9A"/>
    <w:rsid w:val="000A194B"/>
    <w:rsid w:val="000A1AFB"/>
    <w:rsid w:val="000A2E46"/>
    <w:rsid w:val="000A4BC3"/>
    <w:rsid w:val="000A5032"/>
    <w:rsid w:val="000A5146"/>
    <w:rsid w:val="000A5179"/>
    <w:rsid w:val="000A6346"/>
    <w:rsid w:val="000A6720"/>
    <w:rsid w:val="000A724C"/>
    <w:rsid w:val="000A75EB"/>
    <w:rsid w:val="000A7A8D"/>
    <w:rsid w:val="000B004F"/>
    <w:rsid w:val="000B00D1"/>
    <w:rsid w:val="000B0B7F"/>
    <w:rsid w:val="000B0B96"/>
    <w:rsid w:val="000B0C65"/>
    <w:rsid w:val="000B0EBA"/>
    <w:rsid w:val="000B102B"/>
    <w:rsid w:val="000B146F"/>
    <w:rsid w:val="000B1BD8"/>
    <w:rsid w:val="000B228A"/>
    <w:rsid w:val="000B2422"/>
    <w:rsid w:val="000B3979"/>
    <w:rsid w:val="000B3A8B"/>
    <w:rsid w:val="000B3C57"/>
    <w:rsid w:val="000B426C"/>
    <w:rsid w:val="000B4D47"/>
    <w:rsid w:val="000B4DF7"/>
    <w:rsid w:val="000B5211"/>
    <w:rsid w:val="000B6620"/>
    <w:rsid w:val="000B7194"/>
    <w:rsid w:val="000B7EF8"/>
    <w:rsid w:val="000C0D0D"/>
    <w:rsid w:val="000C0D77"/>
    <w:rsid w:val="000C0ED6"/>
    <w:rsid w:val="000C28D0"/>
    <w:rsid w:val="000C32F5"/>
    <w:rsid w:val="000C3C7C"/>
    <w:rsid w:val="000C3E1C"/>
    <w:rsid w:val="000C3F8F"/>
    <w:rsid w:val="000C46E2"/>
    <w:rsid w:val="000C5415"/>
    <w:rsid w:val="000C543F"/>
    <w:rsid w:val="000C5498"/>
    <w:rsid w:val="000C5884"/>
    <w:rsid w:val="000C66F3"/>
    <w:rsid w:val="000C6858"/>
    <w:rsid w:val="000C6ADB"/>
    <w:rsid w:val="000C70AB"/>
    <w:rsid w:val="000C78A1"/>
    <w:rsid w:val="000D014F"/>
    <w:rsid w:val="000D0293"/>
    <w:rsid w:val="000D0631"/>
    <w:rsid w:val="000D0DA1"/>
    <w:rsid w:val="000D0FA5"/>
    <w:rsid w:val="000D1124"/>
    <w:rsid w:val="000D11D7"/>
    <w:rsid w:val="000D177F"/>
    <w:rsid w:val="000D1FF4"/>
    <w:rsid w:val="000D2B47"/>
    <w:rsid w:val="000D3515"/>
    <w:rsid w:val="000D369F"/>
    <w:rsid w:val="000D43C5"/>
    <w:rsid w:val="000D47BB"/>
    <w:rsid w:val="000D4951"/>
    <w:rsid w:val="000D5B95"/>
    <w:rsid w:val="000D61B3"/>
    <w:rsid w:val="000D6BD4"/>
    <w:rsid w:val="000D6DBF"/>
    <w:rsid w:val="000D74D8"/>
    <w:rsid w:val="000D7BA9"/>
    <w:rsid w:val="000D7E1A"/>
    <w:rsid w:val="000E0318"/>
    <w:rsid w:val="000E268E"/>
    <w:rsid w:val="000E2817"/>
    <w:rsid w:val="000E4575"/>
    <w:rsid w:val="000E45E1"/>
    <w:rsid w:val="000E6253"/>
    <w:rsid w:val="000E6DD7"/>
    <w:rsid w:val="000E7426"/>
    <w:rsid w:val="000E7559"/>
    <w:rsid w:val="000E76C8"/>
    <w:rsid w:val="000E78D0"/>
    <w:rsid w:val="000E7A54"/>
    <w:rsid w:val="000F02A9"/>
    <w:rsid w:val="000F03FD"/>
    <w:rsid w:val="000F04E9"/>
    <w:rsid w:val="000F053C"/>
    <w:rsid w:val="000F0942"/>
    <w:rsid w:val="000F0A42"/>
    <w:rsid w:val="000F1E9B"/>
    <w:rsid w:val="000F20D5"/>
    <w:rsid w:val="000F2265"/>
    <w:rsid w:val="000F25F7"/>
    <w:rsid w:val="000F3968"/>
    <w:rsid w:val="000F412E"/>
    <w:rsid w:val="000F4998"/>
    <w:rsid w:val="000F4BD6"/>
    <w:rsid w:val="000F52A8"/>
    <w:rsid w:val="000F66E9"/>
    <w:rsid w:val="000F6B93"/>
    <w:rsid w:val="000F741F"/>
    <w:rsid w:val="000F7B70"/>
    <w:rsid w:val="00100517"/>
    <w:rsid w:val="00101499"/>
    <w:rsid w:val="00101D8F"/>
    <w:rsid w:val="00102055"/>
    <w:rsid w:val="0010228C"/>
    <w:rsid w:val="00102924"/>
    <w:rsid w:val="00102E81"/>
    <w:rsid w:val="00104047"/>
    <w:rsid w:val="00105877"/>
    <w:rsid w:val="00106050"/>
    <w:rsid w:val="001063CF"/>
    <w:rsid w:val="0010652D"/>
    <w:rsid w:val="00106732"/>
    <w:rsid w:val="00106953"/>
    <w:rsid w:val="001071FA"/>
    <w:rsid w:val="00107919"/>
    <w:rsid w:val="00107A64"/>
    <w:rsid w:val="00110024"/>
    <w:rsid w:val="00110747"/>
    <w:rsid w:val="0011136A"/>
    <w:rsid w:val="0011271E"/>
    <w:rsid w:val="00112DAD"/>
    <w:rsid w:val="00113FB2"/>
    <w:rsid w:val="001143F9"/>
    <w:rsid w:val="001144CF"/>
    <w:rsid w:val="00114686"/>
    <w:rsid w:val="0011482F"/>
    <w:rsid w:val="0011558C"/>
    <w:rsid w:val="00116028"/>
    <w:rsid w:val="00116421"/>
    <w:rsid w:val="001166DF"/>
    <w:rsid w:val="001174D2"/>
    <w:rsid w:val="00117FB5"/>
    <w:rsid w:val="001206B8"/>
    <w:rsid w:val="001206C1"/>
    <w:rsid w:val="00120D16"/>
    <w:rsid w:val="001221A6"/>
    <w:rsid w:val="00122240"/>
    <w:rsid w:val="0012234E"/>
    <w:rsid w:val="0012335B"/>
    <w:rsid w:val="00123948"/>
    <w:rsid w:val="0012598D"/>
    <w:rsid w:val="00126181"/>
    <w:rsid w:val="00126784"/>
    <w:rsid w:val="00126E73"/>
    <w:rsid w:val="00130133"/>
    <w:rsid w:val="00130716"/>
    <w:rsid w:val="0013197C"/>
    <w:rsid w:val="00132141"/>
    <w:rsid w:val="00132C95"/>
    <w:rsid w:val="00132F83"/>
    <w:rsid w:val="00134B1E"/>
    <w:rsid w:val="001361C6"/>
    <w:rsid w:val="00136929"/>
    <w:rsid w:val="0013714C"/>
    <w:rsid w:val="001406C4"/>
    <w:rsid w:val="00140C42"/>
    <w:rsid w:val="00141D24"/>
    <w:rsid w:val="00142A73"/>
    <w:rsid w:val="00142A9B"/>
    <w:rsid w:val="00143200"/>
    <w:rsid w:val="001432DB"/>
    <w:rsid w:val="001438D0"/>
    <w:rsid w:val="0014458F"/>
    <w:rsid w:val="00144C42"/>
    <w:rsid w:val="00145996"/>
    <w:rsid w:val="001459DE"/>
    <w:rsid w:val="00145B85"/>
    <w:rsid w:val="00145CC1"/>
    <w:rsid w:val="00146A3C"/>
    <w:rsid w:val="00146F95"/>
    <w:rsid w:val="001471B1"/>
    <w:rsid w:val="001501BE"/>
    <w:rsid w:val="00150AD7"/>
    <w:rsid w:val="00150EC3"/>
    <w:rsid w:val="00151041"/>
    <w:rsid w:val="001515B5"/>
    <w:rsid w:val="0015165C"/>
    <w:rsid w:val="00151C79"/>
    <w:rsid w:val="0015232A"/>
    <w:rsid w:val="00152433"/>
    <w:rsid w:val="00152609"/>
    <w:rsid w:val="0015337B"/>
    <w:rsid w:val="00153AC2"/>
    <w:rsid w:val="0015435B"/>
    <w:rsid w:val="00155B74"/>
    <w:rsid w:val="001565A5"/>
    <w:rsid w:val="00156B7C"/>
    <w:rsid w:val="00156BF6"/>
    <w:rsid w:val="00157BDD"/>
    <w:rsid w:val="00157FE4"/>
    <w:rsid w:val="001604F9"/>
    <w:rsid w:val="00160804"/>
    <w:rsid w:val="00160DD6"/>
    <w:rsid w:val="00161D2D"/>
    <w:rsid w:val="00162029"/>
    <w:rsid w:val="00163298"/>
    <w:rsid w:val="00163FAF"/>
    <w:rsid w:val="00164687"/>
    <w:rsid w:val="00164EEE"/>
    <w:rsid w:val="0016508B"/>
    <w:rsid w:val="001660F3"/>
    <w:rsid w:val="0016612A"/>
    <w:rsid w:val="00166792"/>
    <w:rsid w:val="00166CCF"/>
    <w:rsid w:val="00167D99"/>
    <w:rsid w:val="001700E7"/>
    <w:rsid w:val="00170ECC"/>
    <w:rsid w:val="00171D95"/>
    <w:rsid w:val="00171FD7"/>
    <w:rsid w:val="001737EF"/>
    <w:rsid w:val="00173A7B"/>
    <w:rsid w:val="00173C97"/>
    <w:rsid w:val="00173E5B"/>
    <w:rsid w:val="00174D9F"/>
    <w:rsid w:val="0017598B"/>
    <w:rsid w:val="00176AE4"/>
    <w:rsid w:val="00176E99"/>
    <w:rsid w:val="001777E5"/>
    <w:rsid w:val="00180FC6"/>
    <w:rsid w:val="00182000"/>
    <w:rsid w:val="001820A3"/>
    <w:rsid w:val="00182EAF"/>
    <w:rsid w:val="00182F19"/>
    <w:rsid w:val="001830CE"/>
    <w:rsid w:val="0018366A"/>
    <w:rsid w:val="00183796"/>
    <w:rsid w:val="00183C94"/>
    <w:rsid w:val="00183DF2"/>
    <w:rsid w:val="001847CA"/>
    <w:rsid w:val="001848FF"/>
    <w:rsid w:val="001858E7"/>
    <w:rsid w:val="00185A4A"/>
    <w:rsid w:val="00185F8C"/>
    <w:rsid w:val="00186381"/>
    <w:rsid w:val="00186742"/>
    <w:rsid w:val="001874CD"/>
    <w:rsid w:val="00187D01"/>
    <w:rsid w:val="00190E2A"/>
    <w:rsid w:val="001910B0"/>
    <w:rsid w:val="00191336"/>
    <w:rsid w:val="00191C40"/>
    <w:rsid w:val="00191D0E"/>
    <w:rsid w:val="001922D8"/>
    <w:rsid w:val="00192FD5"/>
    <w:rsid w:val="0019319C"/>
    <w:rsid w:val="00193B69"/>
    <w:rsid w:val="001940B0"/>
    <w:rsid w:val="00194C35"/>
    <w:rsid w:val="00196249"/>
    <w:rsid w:val="00196767"/>
    <w:rsid w:val="0019685A"/>
    <w:rsid w:val="0019699B"/>
    <w:rsid w:val="00197B1D"/>
    <w:rsid w:val="00197C14"/>
    <w:rsid w:val="00197C58"/>
    <w:rsid w:val="001A0987"/>
    <w:rsid w:val="001A116C"/>
    <w:rsid w:val="001A14CB"/>
    <w:rsid w:val="001A210B"/>
    <w:rsid w:val="001A25B5"/>
    <w:rsid w:val="001A36A0"/>
    <w:rsid w:val="001A3AA3"/>
    <w:rsid w:val="001A4557"/>
    <w:rsid w:val="001A4DA6"/>
    <w:rsid w:val="001A6B00"/>
    <w:rsid w:val="001A754D"/>
    <w:rsid w:val="001A75EA"/>
    <w:rsid w:val="001A786A"/>
    <w:rsid w:val="001A7A12"/>
    <w:rsid w:val="001A7B73"/>
    <w:rsid w:val="001A7FEF"/>
    <w:rsid w:val="001B04B9"/>
    <w:rsid w:val="001B0840"/>
    <w:rsid w:val="001B2AE7"/>
    <w:rsid w:val="001B2D2F"/>
    <w:rsid w:val="001B3D82"/>
    <w:rsid w:val="001B4513"/>
    <w:rsid w:val="001B4E9F"/>
    <w:rsid w:val="001B61EF"/>
    <w:rsid w:val="001B6DA1"/>
    <w:rsid w:val="001C0753"/>
    <w:rsid w:val="001C099B"/>
    <w:rsid w:val="001C0FCF"/>
    <w:rsid w:val="001C1370"/>
    <w:rsid w:val="001C160A"/>
    <w:rsid w:val="001C1F7E"/>
    <w:rsid w:val="001C20A8"/>
    <w:rsid w:val="001C21BA"/>
    <w:rsid w:val="001C30FA"/>
    <w:rsid w:val="001C3EB1"/>
    <w:rsid w:val="001C4206"/>
    <w:rsid w:val="001C44E5"/>
    <w:rsid w:val="001C508A"/>
    <w:rsid w:val="001C553E"/>
    <w:rsid w:val="001C636D"/>
    <w:rsid w:val="001C6B4C"/>
    <w:rsid w:val="001C71DE"/>
    <w:rsid w:val="001C7454"/>
    <w:rsid w:val="001C74B6"/>
    <w:rsid w:val="001C75C0"/>
    <w:rsid w:val="001C7EDE"/>
    <w:rsid w:val="001C7FC5"/>
    <w:rsid w:val="001D06BA"/>
    <w:rsid w:val="001D10A1"/>
    <w:rsid w:val="001D1997"/>
    <w:rsid w:val="001D1A6D"/>
    <w:rsid w:val="001D2E97"/>
    <w:rsid w:val="001D3AD5"/>
    <w:rsid w:val="001D5B32"/>
    <w:rsid w:val="001D5DF3"/>
    <w:rsid w:val="001D61BC"/>
    <w:rsid w:val="001D6861"/>
    <w:rsid w:val="001D6A95"/>
    <w:rsid w:val="001E0AA5"/>
    <w:rsid w:val="001E1566"/>
    <w:rsid w:val="001E2572"/>
    <w:rsid w:val="001E2DA7"/>
    <w:rsid w:val="001E332F"/>
    <w:rsid w:val="001E4003"/>
    <w:rsid w:val="001E420E"/>
    <w:rsid w:val="001E5336"/>
    <w:rsid w:val="001E5721"/>
    <w:rsid w:val="001E63AD"/>
    <w:rsid w:val="001E6831"/>
    <w:rsid w:val="001E71DC"/>
    <w:rsid w:val="001E75BE"/>
    <w:rsid w:val="001E766A"/>
    <w:rsid w:val="001E7998"/>
    <w:rsid w:val="001E7F5C"/>
    <w:rsid w:val="001F01ED"/>
    <w:rsid w:val="001F1B15"/>
    <w:rsid w:val="001F2044"/>
    <w:rsid w:val="001F229B"/>
    <w:rsid w:val="001F258C"/>
    <w:rsid w:val="001F2F79"/>
    <w:rsid w:val="001F370D"/>
    <w:rsid w:val="001F580B"/>
    <w:rsid w:val="001F58CF"/>
    <w:rsid w:val="001F5FEB"/>
    <w:rsid w:val="001F76CE"/>
    <w:rsid w:val="001F7A42"/>
    <w:rsid w:val="00200278"/>
    <w:rsid w:val="00200DD5"/>
    <w:rsid w:val="00200E86"/>
    <w:rsid w:val="00201049"/>
    <w:rsid w:val="00202719"/>
    <w:rsid w:val="00203537"/>
    <w:rsid w:val="0020373D"/>
    <w:rsid w:val="002039A7"/>
    <w:rsid w:val="002039CF"/>
    <w:rsid w:val="00203C86"/>
    <w:rsid w:val="002048E7"/>
    <w:rsid w:val="00204A55"/>
    <w:rsid w:val="0020556E"/>
    <w:rsid w:val="00205AE8"/>
    <w:rsid w:val="00205D60"/>
    <w:rsid w:val="00206333"/>
    <w:rsid w:val="00206677"/>
    <w:rsid w:val="00206C92"/>
    <w:rsid w:val="00206E9E"/>
    <w:rsid w:val="002071D9"/>
    <w:rsid w:val="00207928"/>
    <w:rsid w:val="00207B27"/>
    <w:rsid w:val="002106C2"/>
    <w:rsid w:val="00210C1A"/>
    <w:rsid w:val="00210EA5"/>
    <w:rsid w:val="002115D9"/>
    <w:rsid w:val="00211A66"/>
    <w:rsid w:val="0021287A"/>
    <w:rsid w:val="00212F09"/>
    <w:rsid w:val="0021338B"/>
    <w:rsid w:val="002133E0"/>
    <w:rsid w:val="00215956"/>
    <w:rsid w:val="00216723"/>
    <w:rsid w:val="002174FF"/>
    <w:rsid w:val="00217852"/>
    <w:rsid w:val="00220847"/>
    <w:rsid w:val="002209F4"/>
    <w:rsid w:val="00220D1A"/>
    <w:rsid w:val="00220FCC"/>
    <w:rsid w:val="00221543"/>
    <w:rsid w:val="00221665"/>
    <w:rsid w:val="002218C5"/>
    <w:rsid w:val="0022201D"/>
    <w:rsid w:val="00222197"/>
    <w:rsid w:val="002226BC"/>
    <w:rsid w:val="00222D0F"/>
    <w:rsid w:val="00222F9A"/>
    <w:rsid w:val="0022355A"/>
    <w:rsid w:val="002239B8"/>
    <w:rsid w:val="002240E0"/>
    <w:rsid w:val="0022449F"/>
    <w:rsid w:val="00224534"/>
    <w:rsid w:val="002251A0"/>
    <w:rsid w:val="002258B9"/>
    <w:rsid w:val="002267BA"/>
    <w:rsid w:val="00226EDF"/>
    <w:rsid w:val="002274A8"/>
    <w:rsid w:val="00227BE5"/>
    <w:rsid w:val="00230052"/>
    <w:rsid w:val="00230182"/>
    <w:rsid w:val="00230393"/>
    <w:rsid w:val="00230833"/>
    <w:rsid w:val="002312B8"/>
    <w:rsid w:val="0023194A"/>
    <w:rsid w:val="00232697"/>
    <w:rsid w:val="002326B5"/>
    <w:rsid w:val="0023282B"/>
    <w:rsid w:val="00233D50"/>
    <w:rsid w:val="00233E61"/>
    <w:rsid w:val="00233EA7"/>
    <w:rsid w:val="00234640"/>
    <w:rsid w:val="002351BA"/>
    <w:rsid w:val="00236046"/>
    <w:rsid w:val="002361C1"/>
    <w:rsid w:val="00236725"/>
    <w:rsid w:val="00236B1E"/>
    <w:rsid w:val="00236DA5"/>
    <w:rsid w:val="00236EA1"/>
    <w:rsid w:val="0023708C"/>
    <w:rsid w:val="00237716"/>
    <w:rsid w:val="00237AE4"/>
    <w:rsid w:val="00237DB7"/>
    <w:rsid w:val="00240019"/>
    <w:rsid w:val="00240103"/>
    <w:rsid w:val="0024038F"/>
    <w:rsid w:val="00241760"/>
    <w:rsid w:val="00242455"/>
    <w:rsid w:val="00242A4E"/>
    <w:rsid w:val="0024341A"/>
    <w:rsid w:val="00243AD0"/>
    <w:rsid w:val="00244B1B"/>
    <w:rsid w:val="00245CF9"/>
    <w:rsid w:val="00246244"/>
    <w:rsid w:val="00246E91"/>
    <w:rsid w:val="00246E92"/>
    <w:rsid w:val="00246ECD"/>
    <w:rsid w:val="00247222"/>
    <w:rsid w:val="0024724E"/>
    <w:rsid w:val="00250419"/>
    <w:rsid w:val="00250E43"/>
    <w:rsid w:val="00250EAD"/>
    <w:rsid w:val="00251E60"/>
    <w:rsid w:val="0025265C"/>
    <w:rsid w:val="00252AE3"/>
    <w:rsid w:val="00252B84"/>
    <w:rsid w:val="00252BCD"/>
    <w:rsid w:val="00253B34"/>
    <w:rsid w:val="00254357"/>
    <w:rsid w:val="00254470"/>
    <w:rsid w:val="002546FA"/>
    <w:rsid w:val="00254BA9"/>
    <w:rsid w:val="00254D43"/>
    <w:rsid w:val="00254FF9"/>
    <w:rsid w:val="00256111"/>
    <w:rsid w:val="0025771D"/>
    <w:rsid w:val="002578EE"/>
    <w:rsid w:val="00257D26"/>
    <w:rsid w:val="00260DD6"/>
    <w:rsid w:val="00260E55"/>
    <w:rsid w:val="00261776"/>
    <w:rsid w:val="00261F17"/>
    <w:rsid w:val="0026215F"/>
    <w:rsid w:val="00262DD9"/>
    <w:rsid w:val="00263110"/>
    <w:rsid w:val="0026359A"/>
    <w:rsid w:val="00263B85"/>
    <w:rsid w:val="00264363"/>
    <w:rsid w:val="00264BAF"/>
    <w:rsid w:val="002651B7"/>
    <w:rsid w:val="00265277"/>
    <w:rsid w:val="002656C6"/>
    <w:rsid w:val="00265EA4"/>
    <w:rsid w:val="00266AB9"/>
    <w:rsid w:val="00266D13"/>
    <w:rsid w:val="00267113"/>
    <w:rsid w:val="00267984"/>
    <w:rsid w:val="00267BE8"/>
    <w:rsid w:val="00272C99"/>
    <w:rsid w:val="00273E69"/>
    <w:rsid w:val="00274897"/>
    <w:rsid w:val="00274C20"/>
    <w:rsid w:val="0027548F"/>
    <w:rsid w:val="00275858"/>
    <w:rsid w:val="00275FDF"/>
    <w:rsid w:val="002762F9"/>
    <w:rsid w:val="002763E0"/>
    <w:rsid w:val="00276AD4"/>
    <w:rsid w:val="0028126E"/>
    <w:rsid w:val="00281A28"/>
    <w:rsid w:val="00282059"/>
    <w:rsid w:val="00282188"/>
    <w:rsid w:val="00285339"/>
    <w:rsid w:val="0028597F"/>
    <w:rsid w:val="00285A54"/>
    <w:rsid w:val="0028619C"/>
    <w:rsid w:val="0028761C"/>
    <w:rsid w:val="002904A2"/>
    <w:rsid w:val="00290B9F"/>
    <w:rsid w:val="0029150A"/>
    <w:rsid w:val="002916CA"/>
    <w:rsid w:val="00292271"/>
    <w:rsid w:val="002930A6"/>
    <w:rsid w:val="00294011"/>
    <w:rsid w:val="0029433A"/>
    <w:rsid w:val="00294FE8"/>
    <w:rsid w:val="00296CAD"/>
    <w:rsid w:val="00297230"/>
    <w:rsid w:val="002A0550"/>
    <w:rsid w:val="002A084C"/>
    <w:rsid w:val="002A29DF"/>
    <w:rsid w:val="002A3DD0"/>
    <w:rsid w:val="002A413C"/>
    <w:rsid w:val="002A4563"/>
    <w:rsid w:val="002A54C9"/>
    <w:rsid w:val="002A6B8C"/>
    <w:rsid w:val="002A75E3"/>
    <w:rsid w:val="002B1944"/>
    <w:rsid w:val="002B1FE7"/>
    <w:rsid w:val="002B2561"/>
    <w:rsid w:val="002B27AD"/>
    <w:rsid w:val="002B34B3"/>
    <w:rsid w:val="002B43FA"/>
    <w:rsid w:val="002B52D8"/>
    <w:rsid w:val="002B6513"/>
    <w:rsid w:val="002B750A"/>
    <w:rsid w:val="002C1752"/>
    <w:rsid w:val="002C1A09"/>
    <w:rsid w:val="002C2D6D"/>
    <w:rsid w:val="002C3112"/>
    <w:rsid w:val="002C322D"/>
    <w:rsid w:val="002C3EFD"/>
    <w:rsid w:val="002C4B43"/>
    <w:rsid w:val="002C52E3"/>
    <w:rsid w:val="002C582C"/>
    <w:rsid w:val="002C6B29"/>
    <w:rsid w:val="002C6ED7"/>
    <w:rsid w:val="002D018E"/>
    <w:rsid w:val="002D0B26"/>
    <w:rsid w:val="002D0E66"/>
    <w:rsid w:val="002D1558"/>
    <w:rsid w:val="002D162B"/>
    <w:rsid w:val="002D16F6"/>
    <w:rsid w:val="002D1923"/>
    <w:rsid w:val="002D1F1B"/>
    <w:rsid w:val="002D28FC"/>
    <w:rsid w:val="002D29A6"/>
    <w:rsid w:val="002D2ED1"/>
    <w:rsid w:val="002D3E27"/>
    <w:rsid w:val="002D469F"/>
    <w:rsid w:val="002D56C1"/>
    <w:rsid w:val="002D5FEE"/>
    <w:rsid w:val="002D7F83"/>
    <w:rsid w:val="002E003D"/>
    <w:rsid w:val="002E13CF"/>
    <w:rsid w:val="002E1708"/>
    <w:rsid w:val="002E2444"/>
    <w:rsid w:val="002E2737"/>
    <w:rsid w:val="002E31F0"/>
    <w:rsid w:val="002E4492"/>
    <w:rsid w:val="002E48B1"/>
    <w:rsid w:val="002E4A1F"/>
    <w:rsid w:val="002E4DE0"/>
    <w:rsid w:val="002E5447"/>
    <w:rsid w:val="002E5B1B"/>
    <w:rsid w:val="002E5B4C"/>
    <w:rsid w:val="002E6517"/>
    <w:rsid w:val="002E7C42"/>
    <w:rsid w:val="002E7F97"/>
    <w:rsid w:val="002F079A"/>
    <w:rsid w:val="002F0A07"/>
    <w:rsid w:val="002F27CB"/>
    <w:rsid w:val="002F293C"/>
    <w:rsid w:val="002F2C3F"/>
    <w:rsid w:val="002F3D1B"/>
    <w:rsid w:val="002F3E5A"/>
    <w:rsid w:val="002F43B3"/>
    <w:rsid w:val="002F441D"/>
    <w:rsid w:val="002F4DBC"/>
    <w:rsid w:val="002F59DA"/>
    <w:rsid w:val="002F7E4C"/>
    <w:rsid w:val="002F7FA2"/>
    <w:rsid w:val="00300826"/>
    <w:rsid w:val="00300A62"/>
    <w:rsid w:val="00301002"/>
    <w:rsid w:val="00301656"/>
    <w:rsid w:val="00301A48"/>
    <w:rsid w:val="00301F61"/>
    <w:rsid w:val="0030217B"/>
    <w:rsid w:val="00303489"/>
    <w:rsid w:val="00303B85"/>
    <w:rsid w:val="003044D5"/>
    <w:rsid w:val="00304703"/>
    <w:rsid w:val="00304E25"/>
    <w:rsid w:val="00305476"/>
    <w:rsid w:val="00306530"/>
    <w:rsid w:val="00307EA3"/>
    <w:rsid w:val="003104CE"/>
    <w:rsid w:val="0031060D"/>
    <w:rsid w:val="00310A78"/>
    <w:rsid w:val="0031116E"/>
    <w:rsid w:val="00311C21"/>
    <w:rsid w:val="00312C7A"/>
    <w:rsid w:val="0031342A"/>
    <w:rsid w:val="003134C2"/>
    <w:rsid w:val="003138EA"/>
    <w:rsid w:val="00314AA3"/>
    <w:rsid w:val="00315191"/>
    <w:rsid w:val="0031532C"/>
    <w:rsid w:val="003153D7"/>
    <w:rsid w:val="00315405"/>
    <w:rsid w:val="003162FB"/>
    <w:rsid w:val="00316805"/>
    <w:rsid w:val="0031747C"/>
    <w:rsid w:val="0032024A"/>
    <w:rsid w:val="003207F9"/>
    <w:rsid w:val="00320C01"/>
    <w:rsid w:val="003211EF"/>
    <w:rsid w:val="0032141C"/>
    <w:rsid w:val="003228B2"/>
    <w:rsid w:val="00322A5A"/>
    <w:rsid w:val="0032327C"/>
    <w:rsid w:val="003235D9"/>
    <w:rsid w:val="003247FE"/>
    <w:rsid w:val="00325155"/>
    <w:rsid w:val="003264F8"/>
    <w:rsid w:val="00326B3B"/>
    <w:rsid w:val="00327A11"/>
    <w:rsid w:val="00327B78"/>
    <w:rsid w:val="00332A39"/>
    <w:rsid w:val="00332A6A"/>
    <w:rsid w:val="00332BBA"/>
    <w:rsid w:val="00332DEF"/>
    <w:rsid w:val="003331A7"/>
    <w:rsid w:val="00333603"/>
    <w:rsid w:val="003337D6"/>
    <w:rsid w:val="00335931"/>
    <w:rsid w:val="00336B92"/>
    <w:rsid w:val="00336C05"/>
    <w:rsid w:val="00336C3A"/>
    <w:rsid w:val="00336F6A"/>
    <w:rsid w:val="0033703A"/>
    <w:rsid w:val="003375F6"/>
    <w:rsid w:val="003402F9"/>
    <w:rsid w:val="00340319"/>
    <w:rsid w:val="00340621"/>
    <w:rsid w:val="00341516"/>
    <w:rsid w:val="003422CD"/>
    <w:rsid w:val="0034366B"/>
    <w:rsid w:val="00343FAC"/>
    <w:rsid w:val="00344DEB"/>
    <w:rsid w:val="0034614B"/>
    <w:rsid w:val="003467B8"/>
    <w:rsid w:val="00346CBB"/>
    <w:rsid w:val="00346FEF"/>
    <w:rsid w:val="00347481"/>
    <w:rsid w:val="00347527"/>
    <w:rsid w:val="003503BC"/>
    <w:rsid w:val="00350535"/>
    <w:rsid w:val="003506A3"/>
    <w:rsid w:val="0035080B"/>
    <w:rsid w:val="00350C97"/>
    <w:rsid w:val="0035101C"/>
    <w:rsid w:val="003513A8"/>
    <w:rsid w:val="00351445"/>
    <w:rsid w:val="0035147F"/>
    <w:rsid w:val="0035159C"/>
    <w:rsid w:val="00352D89"/>
    <w:rsid w:val="00353230"/>
    <w:rsid w:val="0035364D"/>
    <w:rsid w:val="00353C85"/>
    <w:rsid w:val="00354064"/>
    <w:rsid w:val="003543B3"/>
    <w:rsid w:val="003547B4"/>
    <w:rsid w:val="0035573F"/>
    <w:rsid w:val="00355D4A"/>
    <w:rsid w:val="0035730C"/>
    <w:rsid w:val="003576E5"/>
    <w:rsid w:val="0036003A"/>
    <w:rsid w:val="00360341"/>
    <w:rsid w:val="0036110B"/>
    <w:rsid w:val="003618F0"/>
    <w:rsid w:val="00362083"/>
    <w:rsid w:val="00363560"/>
    <w:rsid w:val="00364666"/>
    <w:rsid w:val="00364EE0"/>
    <w:rsid w:val="00365821"/>
    <w:rsid w:val="0036732C"/>
    <w:rsid w:val="0037051A"/>
    <w:rsid w:val="00370A31"/>
    <w:rsid w:val="00371337"/>
    <w:rsid w:val="00371C9D"/>
    <w:rsid w:val="00372168"/>
    <w:rsid w:val="00372C3B"/>
    <w:rsid w:val="003731FC"/>
    <w:rsid w:val="00373299"/>
    <w:rsid w:val="0037333B"/>
    <w:rsid w:val="003736DC"/>
    <w:rsid w:val="00373ABF"/>
    <w:rsid w:val="00373AF5"/>
    <w:rsid w:val="003772D4"/>
    <w:rsid w:val="0037751E"/>
    <w:rsid w:val="00377F83"/>
    <w:rsid w:val="00380249"/>
    <w:rsid w:val="003802CB"/>
    <w:rsid w:val="00380585"/>
    <w:rsid w:val="00380716"/>
    <w:rsid w:val="00380BA1"/>
    <w:rsid w:val="00380E64"/>
    <w:rsid w:val="00380ED1"/>
    <w:rsid w:val="00381F23"/>
    <w:rsid w:val="003820CE"/>
    <w:rsid w:val="00382303"/>
    <w:rsid w:val="0038320B"/>
    <w:rsid w:val="00384A40"/>
    <w:rsid w:val="00385042"/>
    <w:rsid w:val="00385047"/>
    <w:rsid w:val="003864CC"/>
    <w:rsid w:val="00386A71"/>
    <w:rsid w:val="00386D46"/>
    <w:rsid w:val="00386E17"/>
    <w:rsid w:val="00387D9D"/>
    <w:rsid w:val="0039064D"/>
    <w:rsid w:val="003909C7"/>
    <w:rsid w:val="00390AA8"/>
    <w:rsid w:val="0039110E"/>
    <w:rsid w:val="00391829"/>
    <w:rsid w:val="003924EB"/>
    <w:rsid w:val="00393101"/>
    <w:rsid w:val="00394978"/>
    <w:rsid w:val="00395075"/>
    <w:rsid w:val="00395C1E"/>
    <w:rsid w:val="003966E4"/>
    <w:rsid w:val="00396E83"/>
    <w:rsid w:val="003A065D"/>
    <w:rsid w:val="003A0921"/>
    <w:rsid w:val="003A0E45"/>
    <w:rsid w:val="003A168A"/>
    <w:rsid w:val="003A1DFA"/>
    <w:rsid w:val="003A1EEF"/>
    <w:rsid w:val="003A2759"/>
    <w:rsid w:val="003A34B3"/>
    <w:rsid w:val="003A40A9"/>
    <w:rsid w:val="003A413A"/>
    <w:rsid w:val="003A45B4"/>
    <w:rsid w:val="003A60A4"/>
    <w:rsid w:val="003A653D"/>
    <w:rsid w:val="003A703E"/>
    <w:rsid w:val="003A7495"/>
    <w:rsid w:val="003A7F28"/>
    <w:rsid w:val="003B1069"/>
    <w:rsid w:val="003B117C"/>
    <w:rsid w:val="003B1330"/>
    <w:rsid w:val="003B1421"/>
    <w:rsid w:val="003B1BEB"/>
    <w:rsid w:val="003B22B1"/>
    <w:rsid w:val="003B2EC5"/>
    <w:rsid w:val="003B3149"/>
    <w:rsid w:val="003B3258"/>
    <w:rsid w:val="003B32E1"/>
    <w:rsid w:val="003B353C"/>
    <w:rsid w:val="003B3633"/>
    <w:rsid w:val="003B3740"/>
    <w:rsid w:val="003B392A"/>
    <w:rsid w:val="003B3F0F"/>
    <w:rsid w:val="003B4556"/>
    <w:rsid w:val="003B4DE1"/>
    <w:rsid w:val="003B5168"/>
    <w:rsid w:val="003B7030"/>
    <w:rsid w:val="003B7206"/>
    <w:rsid w:val="003B7C3D"/>
    <w:rsid w:val="003B7CF6"/>
    <w:rsid w:val="003B7FE9"/>
    <w:rsid w:val="003C09AE"/>
    <w:rsid w:val="003C0A67"/>
    <w:rsid w:val="003C1834"/>
    <w:rsid w:val="003C1E35"/>
    <w:rsid w:val="003C2058"/>
    <w:rsid w:val="003C2CD9"/>
    <w:rsid w:val="003C3EC0"/>
    <w:rsid w:val="003C5237"/>
    <w:rsid w:val="003C5B53"/>
    <w:rsid w:val="003C705F"/>
    <w:rsid w:val="003C7482"/>
    <w:rsid w:val="003C7643"/>
    <w:rsid w:val="003D08B1"/>
    <w:rsid w:val="003D0F1B"/>
    <w:rsid w:val="003D10CB"/>
    <w:rsid w:val="003D1201"/>
    <w:rsid w:val="003D13C2"/>
    <w:rsid w:val="003D17BD"/>
    <w:rsid w:val="003D2438"/>
    <w:rsid w:val="003D247D"/>
    <w:rsid w:val="003D383C"/>
    <w:rsid w:val="003D3930"/>
    <w:rsid w:val="003D418F"/>
    <w:rsid w:val="003D4385"/>
    <w:rsid w:val="003D533D"/>
    <w:rsid w:val="003D5D3A"/>
    <w:rsid w:val="003D6516"/>
    <w:rsid w:val="003E230E"/>
    <w:rsid w:val="003E3651"/>
    <w:rsid w:val="003E3CAA"/>
    <w:rsid w:val="003E4040"/>
    <w:rsid w:val="003E45DB"/>
    <w:rsid w:val="003E4CE5"/>
    <w:rsid w:val="003E5400"/>
    <w:rsid w:val="003E5882"/>
    <w:rsid w:val="003E62E1"/>
    <w:rsid w:val="003E6E3F"/>
    <w:rsid w:val="003E7227"/>
    <w:rsid w:val="003E7B01"/>
    <w:rsid w:val="003E7FDA"/>
    <w:rsid w:val="003F0360"/>
    <w:rsid w:val="003F0599"/>
    <w:rsid w:val="003F0776"/>
    <w:rsid w:val="003F3208"/>
    <w:rsid w:val="003F3F3C"/>
    <w:rsid w:val="003F46D3"/>
    <w:rsid w:val="003F4BEF"/>
    <w:rsid w:val="003F50EA"/>
    <w:rsid w:val="003F56DF"/>
    <w:rsid w:val="003F64D4"/>
    <w:rsid w:val="003F6EAB"/>
    <w:rsid w:val="003F7EC9"/>
    <w:rsid w:val="00400498"/>
    <w:rsid w:val="00400A2D"/>
    <w:rsid w:val="00402063"/>
    <w:rsid w:val="004031D6"/>
    <w:rsid w:val="00403E0E"/>
    <w:rsid w:val="00404CFA"/>
    <w:rsid w:val="00405239"/>
    <w:rsid w:val="00405CEC"/>
    <w:rsid w:val="00406D12"/>
    <w:rsid w:val="004102D3"/>
    <w:rsid w:val="0041035C"/>
    <w:rsid w:val="00410B30"/>
    <w:rsid w:val="00411866"/>
    <w:rsid w:val="00411A28"/>
    <w:rsid w:val="004122EC"/>
    <w:rsid w:val="00412BC6"/>
    <w:rsid w:val="00413195"/>
    <w:rsid w:val="004137F5"/>
    <w:rsid w:val="00413AA5"/>
    <w:rsid w:val="00414552"/>
    <w:rsid w:val="0041533F"/>
    <w:rsid w:val="004160AB"/>
    <w:rsid w:val="00417102"/>
    <w:rsid w:val="004177BE"/>
    <w:rsid w:val="004179F0"/>
    <w:rsid w:val="00417A97"/>
    <w:rsid w:val="00417AF3"/>
    <w:rsid w:val="00417F7B"/>
    <w:rsid w:val="00420B58"/>
    <w:rsid w:val="00421FA6"/>
    <w:rsid w:val="00422213"/>
    <w:rsid w:val="00423EC5"/>
    <w:rsid w:val="00424360"/>
    <w:rsid w:val="00424DAC"/>
    <w:rsid w:val="004253BC"/>
    <w:rsid w:val="00425B0F"/>
    <w:rsid w:val="0042659E"/>
    <w:rsid w:val="0042660F"/>
    <w:rsid w:val="00426DBB"/>
    <w:rsid w:val="00430143"/>
    <w:rsid w:val="004305B2"/>
    <w:rsid w:val="00430B7E"/>
    <w:rsid w:val="00431B67"/>
    <w:rsid w:val="00432EB9"/>
    <w:rsid w:val="0043305E"/>
    <w:rsid w:val="00433E8A"/>
    <w:rsid w:val="00434691"/>
    <w:rsid w:val="00434D61"/>
    <w:rsid w:val="00435109"/>
    <w:rsid w:val="004351EC"/>
    <w:rsid w:val="0043555D"/>
    <w:rsid w:val="00437465"/>
    <w:rsid w:val="00437938"/>
    <w:rsid w:val="00437C45"/>
    <w:rsid w:val="0044005E"/>
    <w:rsid w:val="00440915"/>
    <w:rsid w:val="00440929"/>
    <w:rsid w:val="00440C42"/>
    <w:rsid w:val="00440CC7"/>
    <w:rsid w:val="0044184A"/>
    <w:rsid w:val="00442267"/>
    <w:rsid w:val="004428DB"/>
    <w:rsid w:val="0044315E"/>
    <w:rsid w:val="00444CB5"/>
    <w:rsid w:val="00444EF9"/>
    <w:rsid w:val="00445A7A"/>
    <w:rsid w:val="00445D5D"/>
    <w:rsid w:val="0045006E"/>
    <w:rsid w:val="00450987"/>
    <w:rsid w:val="00453252"/>
    <w:rsid w:val="0045428F"/>
    <w:rsid w:val="00454325"/>
    <w:rsid w:val="0045443B"/>
    <w:rsid w:val="00454DB3"/>
    <w:rsid w:val="00455940"/>
    <w:rsid w:val="00455964"/>
    <w:rsid w:val="00456348"/>
    <w:rsid w:val="0045644D"/>
    <w:rsid w:val="00457A4C"/>
    <w:rsid w:val="00460A48"/>
    <w:rsid w:val="00461037"/>
    <w:rsid w:val="004615D2"/>
    <w:rsid w:val="0046185E"/>
    <w:rsid w:val="00462093"/>
    <w:rsid w:val="00463A61"/>
    <w:rsid w:val="004646CA"/>
    <w:rsid w:val="0046475F"/>
    <w:rsid w:val="00464B15"/>
    <w:rsid w:val="00465193"/>
    <w:rsid w:val="00465E6D"/>
    <w:rsid w:val="00465E94"/>
    <w:rsid w:val="0046627D"/>
    <w:rsid w:val="00467384"/>
    <w:rsid w:val="0046739F"/>
    <w:rsid w:val="004677F8"/>
    <w:rsid w:val="0046781A"/>
    <w:rsid w:val="004710C6"/>
    <w:rsid w:val="004715BF"/>
    <w:rsid w:val="00471899"/>
    <w:rsid w:val="00472070"/>
    <w:rsid w:val="00472C77"/>
    <w:rsid w:val="00472D16"/>
    <w:rsid w:val="004736A4"/>
    <w:rsid w:val="00473AC9"/>
    <w:rsid w:val="00474F2F"/>
    <w:rsid w:val="004759F6"/>
    <w:rsid w:val="00475CCB"/>
    <w:rsid w:val="00475E9B"/>
    <w:rsid w:val="0047675D"/>
    <w:rsid w:val="00480199"/>
    <w:rsid w:val="0048048E"/>
    <w:rsid w:val="00481127"/>
    <w:rsid w:val="00481E66"/>
    <w:rsid w:val="00481F48"/>
    <w:rsid w:val="00482182"/>
    <w:rsid w:val="00482C04"/>
    <w:rsid w:val="004832CD"/>
    <w:rsid w:val="00483AC7"/>
    <w:rsid w:val="00483F0B"/>
    <w:rsid w:val="00483FAF"/>
    <w:rsid w:val="004848C7"/>
    <w:rsid w:val="00484BA0"/>
    <w:rsid w:val="0049020D"/>
    <w:rsid w:val="004905C6"/>
    <w:rsid w:val="004910D2"/>
    <w:rsid w:val="004921A5"/>
    <w:rsid w:val="00492FDE"/>
    <w:rsid w:val="00493494"/>
    <w:rsid w:val="004942DF"/>
    <w:rsid w:val="00494300"/>
    <w:rsid w:val="00495C3C"/>
    <w:rsid w:val="00495F09"/>
    <w:rsid w:val="00496180"/>
    <w:rsid w:val="00496C97"/>
    <w:rsid w:val="00497351"/>
    <w:rsid w:val="004976ED"/>
    <w:rsid w:val="004A0C30"/>
    <w:rsid w:val="004A1C62"/>
    <w:rsid w:val="004A2064"/>
    <w:rsid w:val="004A33B8"/>
    <w:rsid w:val="004A39B9"/>
    <w:rsid w:val="004A3D6F"/>
    <w:rsid w:val="004A4032"/>
    <w:rsid w:val="004A4589"/>
    <w:rsid w:val="004A516F"/>
    <w:rsid w:val="004A5596"/>
    <w:rsid w:val="004A5915"/>
    <w:rsid w:val="004A638E"/>
    <w:rsid w:val="004A7AC4"/>
    <w:rsid w:val="004A7C10"/>
    <w:rsid w:val="004B085D"/>
    <w:rsid w:val="004B1015"/>
    <w:rsid w:val="004B22C8"/>
    <w:rsid w:val="004B295F"/>
    <w:rsid w:val="004B2CEC"/>
    <w:rsid w:val="004B2F48"/>
    <w:rsid w:val="004B3B6C"/>
    <w:rsid w:val="004B3FD5"/>
    <w:rsid w:val="004B4151"/>
    <w:rsid w:val="004B43F2"/>
    <w:rsid w:val="004B5B6A"/>
    <w:rsid w:val="004B5CDC"/>
    <w:rsid w:val="004B622D"/>
    <w:rsid w:val="004B6E14"/>
    <w:rsid w:val="004B727F"/>
    <w:rsid w:val="004B77C1"/>
    <w:rsid w:val="004B7A07"/>
    <w:rsid w:val="004B7F21"/>
    <w:rsid w:val="004C0274"/>
    <w:rsid w:val="004C0A53"/>
    <w:rsid w:val="004C3866"/>
    <w:rsid w:val="004C3C70"/>
    <w:rsid w:val="004C3D18"/>
    <w:rsid w:val="004C422D"/>
    <w:rsid w:val="004C45BC"/>
    <w:rsid w:val="004C4647"/>
    <w:rsid w:val="004C48CC"/>
    <w:rsid w:val="004C54E0"/>
    <w:rsid w:val="004C5A67"/>
    <w:rsid w:val="004C5F4A"/>
    <w:rsid w:val="004C6E83"/>
    <w:rsid w:val="004C737C"/>
    <w:rsid w:val="004C7A6D"/>
    <w:rsid w:val="004D11F3"/>
    <w:rsid w:val="004D14AC"/>
    <w:rsid w:val="004D150B"/>
    <w:rsid w:val="004D17FC"/>
    <w:rsid w:val="004D2108"/>
    <w:rsid w:val="004D2A69"/>
    <w:rsid w:val="004D39C3"/>
    <w:rsid w:val="004D4308"/>
    <w:rsid w:val="004D4AED"/>
    <w:rsid w:val="004D5D2A"/>
    <w:rsid w:val="004D6B55"/>
    <w:rsid w:val="004D72DA"/>
    <w:rsid w:val="004E028F"/>
    <w:rsid w:val="004E08D3"/>
    <w:rsid w:val="004E17FC"/>
    <w:rsid w:val="004E18F5"/>
    <w:rsid w:val="004E1AD2"/>
    <w:rsid w:val="004E2A56"/>
    <w:rsid w:val="004E2D65"/>
    <w:rsid w:val="004E2EB3"/>
    <w:rsid w:val="004E31B3"/>
    <w:rsid w:val="004E380D"/>
    <w:rsid w:val="004E39A0"/>
    <w:rsid w:val="004E3ECF"/>
    <w:rsid w:val="004E3F16"/>
    <w:rsid w:val="004E3FD1"/>
    <w:rsid w:val="004E4BB8"/>
    <w:rsid w:val="004E5833"/>
    <w:rsid w:val="004E6B13"/>
    <w:rsid w:val="004E77DB"/>
    <w:rsid w:val="004E7FB6"/>
    <w:rsid w:val="004F151F"/>
    <w:rsid w:val="004F1A5B"/>
    <w:rsid w:val="004F1B8A"/>
    <w:rsid w:val="004F1C9F"/>
    <w:rsid w:val="004F29F0"/>
    <w:rsid w:val="004F2A08"/>
    <w:rsid w:val="004F3008"/>
    <w:rsid w:val="004F35C3"/>
    <w:rsid w:val="004F4C33"/>
    <w:rsid w:val="004F4E4A"/>
    <w:rsid w:val="004F5499"/>
    <w:rsid w:val="004F556E"/>
    <w:rsid w:val="004F59F0"/>
    <w:rsid w:val="004F722D"/>
    <w:rsid w:val="004F7AA6"/>
    <w:rsid w:val="00501A7A"/>
    <w:rsid w:val="00501AF1"/>
    <w:rsid w:val="005020B7"/>
    <w:rsid w:val="00502D57"/>
    <w:rsid w:val="00502E31"/>
    <w:rsid w:val="00503D98"/>
    <w:rsid w:val="00504067"/>
    <w:rsid w:val="005055FF"/>
    <w:rsid w:val="0050578E"/>
    <w:rsid w:val="0050711E"/>
    <w:rsid w:val="00507194"/>
    <w:rsid w:val="00507248"/>
    <w:rsid w:val="005076B0"/>
    <w:rsid w:val="00507FC2"/>
    <w:rsid w:val="00510AB9"/>
    <w:rsid w:val="0051133B"/>
    <w:rsid w:val="005114B2"/>
    <w:rsid w:val="00511F7E"/>
    <w:rsid w:val="00512227"/>
    <w:rsid w:val="0051236D"/>
    <w:rsid w:val="00512669"/>
    <w:rsid w:val="00513ADB"/>
    <w:rsid w:val="00514711"/>
    <w:rsid w:val="00514748"/>
    <w:rsid w:val="00514C53"/>
    <w:rsid w:val="00514DB7"/>
    <w:rsid w:val="00514E47"/>
    <w:rsid w:val="00515396"/>
    <w:rsid w:val="00515562"/>
    <w:rsid w:val="00516B61"/>
    <w:rsid w:val="00516F9E"/>
    <w:rsid w:val="00517A96"/>
    <w:rsid w:val="00517D61"/>
    <w:rsid w:val="00521298"/>
    <w:rsid w:val="00522D18"/>
    <w:rsid w:val="00522DC9"/>
    <w:rsid w:val="00524C13"/>
    <w:rsid w:val="00525037"/>
    <w:rsid w:val="00525BB8"/>
    <w:rsid w:val="00525E3E"/>
    <w:rsid w:val="00526D22"/>
    <w:rsid w:val="0052755E"/>
    <w:rsid w:val="00527988"/>
    <w:rsid w:val="00530058"/>
    <w:rsid w:val="005308C3"/>
    <w:rsid w:val="00530B44"/>
    <w:rsid w:val="0053106E"/>
    <w:rsid w:val="005313F6"/>
    <w:rsid w:val="0053166C"/>
    <w:rsid w:val="00531B2A"/>
    <w:rsid w:val="0053237B"/>
    <w:rsid w:val="0053265D"/>
    <w:rsid w:val="005336EA"/>
    <w:rsid w:val="00534446"/>
    <w:rsid w:val="005349FA"/>
    <w:rsid w:val="00534CB1"/>
    <w:rsid w:val="00537E13"/>
    <w:rsid w:val="00540709"/>
    <w:rsid w:val="00540C58"/>
    <w:rsid w:val="00541CB0"/>
    <w:rsid w:val="0054260D"/>
    <w:rsid w:val="00543C08"/>
    <w:rsid w:val="00543E01"/>
    <w:rsid w:val="005445E9"/>
    <w:rsid w:val="00545489"/>
    <w:rsid w:val="005465D1"/>
    <w:rsid w:val="00546A4F"/>
    <w:rsid w:val="00546CBA"/>
    <w:rsid w:val="00550A9E"/>
    <w:rsid w:val="00550E59"/>
    <w:rsid w:val="005512FA"/>
    <w:rsid w:val="00552548"/>
    <w:rsid w:val="00552FAF"/>
    <w:rsid w:val="005532BC"/>
    <w:rsid w:val="005536FC"/>
    <w:rsid w:val="00553CCF"/>
    <w:rsid w:val="00553D3F"/>
    <w:rsid w:val="00554793"/>
    <w:rsid w:val="00554C61"/>
    <w:rsid w:val="0055527F"/>
    <w:rsid w:val="00555537"/>
    <w:rsid w:val="00555D57"/>
    <w:rsid w:val="00556477"/>
    <w:rsid w:val="00557240"/>
    <w:rsid w:val="0056034F"/>
    <w:rsid w:val="00560FC3"/>
    <w:rsid w:val="0056163D"/>
    <w:rsid w:val="005629B5"/>
    <w:rsid w:val="005633BF"/>
    <w:rsid w:val="005633C7"/>
    <w:rsid w:val="0056360C"/>
    <w:rsid w:val="00563853"/>
    <w:rsid w:val="00563F4B"/>
    <w:rsid w:val="005649D6"/>
    <w:rsid w:val="00565028"/>
    <w:rsid w:val="0056548F"/>
    <w:rsid w:val="00565C5F"/>
    <w:rsid w:val="00565E31"/>
    <w:rsid w:val="00566250"/>
    <w:rsid w:val="0056660A"/>
    <w:rsid w:val="00570D61"/>
    <w:rsid w:val="00570FFB"/>
    <w:rsid w:val="0057107F"/>
    <w:rsid w:val="005711C4"/>
    <w:rsid w:val="005713B8"/>
    <w:rsid w:val="005713BD"/>
    <w:rsid w:val="0057174C"/>
    <w:rsid w:val="00572624"/>
    <w:rsid w:val="0057306D"/>
    <w:rsid w:val="00573448"/>
    <w:rsid w:val="00574281"/>
    <w:rsid w:val="00574A77"/>
    <w:rsid w:val="0057697C"/>
    <w:rsid w:val="00576D47"/>
    <w:rsid w:val="00580EED"/>
    <w:rsid w:val="00581893"/>
    <w:rsid w:val="00581FE4"/>
    <w:rsid w:val="005820EE"/>
    <w:rsid w:val="00582C44"/>
    <w:rsid w:val="00582F91"/>
    <w:rsid w:val="0058393C"/>
    <w:rsid w:val="00583BF5"/>
    <w:rsid w:val="00584862"/>
    <w:rsid w:val="005850E4"/>
    <w:rsid w:val="005850FD"/>
    <w:rsid w:val="00585195"/>
    <w:rsid w:val="00585BC4"/>
    <w:rsid w:val="005865F0"/>
    <w:rsid w:val="0058774C"/>
    <w:rsid w:val="005902AD"/>
    <w:rsid w:val="0059037E"/>
    <w:rsid w:val="005904F1"/>
    <w:rsid w:val="00592BA3"/>
    <w:rsid w:val="00592C98"/>
    <w:rsid w:val="005943BC"/>
    <w:rsid w:val="005944CA"/>
    <w:rsid w:val="00594BAA"/>
    <w:rsid w:val="0059505A"/>
    <w:rsid w:val="0059553C"/>
    <w:rsid w:val="00595829"/>
    <w:rsid w:val="00595C79"/>
    <w:rsid w:val="00596412"/>
    <w:rsid w:val="00596C6D"/>
    <w:rsid w:val="00596FD6"/>
    <w:rsid w:val="005979D3"/>
    <w:rsid w:val="005A0629"/>
    <w:rsid w:val="005A147E"/>
    <w:rsid w:val="005A1789"/>
    <w:rsid w:val="005A18AF"/>
    <w:rsid w:val="005A1A6B"/>
    <w:rsid w:val="005A2C5A"/>
    <w:rsid w:val="005A3E0F"/>
    <w:rsid w:val="005A3F0E"/>
    <w:rsid w:val="005A4425"/>
    <w:rsid w:val="005A510D"/>
    <w:rsid w:val="005A5CBF"/>
    <w:rsid w:val="005A5D10"/>
    <w:rsid w:val="005A5D49"/>
    <w:rsid w:val="005A5F9D"/>
    <w:rsid w:val="005A63CE"/>
    <w:rsid w:val="005A6E8B"/>
    <w:rsid w:val="005A746E"/>
    <w:rsid w:val="005B02EC"/>
    <w:rsid w:val="005B0990"/>
    <w:rsid w:val="005B0FDE"/>
    <w:rsid w:val="005B13C0"/>
    <w:rsid w:val="005B535B"/>
    <w:rsid w:val="005B551B"/>
    <w:rsid w:val="005B5EBF"/>
    <w:rsid w:val="005B6EAB"/>
    <w:rsid w:val="005B717F"/>
    <w:rsid w:val="005B7A33"/>
    <w:rsid w:val="005C019A"/>
    <w:rsid w:val="005C0398"/>
    <w:rsid w:val="005C083F"/>
    <w:rsid w:val="005C11FD"/>
    <w:rsid w:val="005C19FC"/>
    <w:rsid w:val="005C2045"/>
    <w:rsid w:val="005C499F"/>
    <w:rsid w:val="005C4A63"/>
    <w:rsid w:val="005C57DA"/>
    <w:rsid w:val="005C5E67"/>
    <w:rsid w:val="005C65A8"/>
    <w:rsid w:val="005C679C"/>
    <w:rsid w:val="005D0B6C"/>
    <w:rsid w:val="005D0D3F"/>
    <w:rsid w:val="005D0E58"/>
    <w:rsid w:val="005D16D6"/>
    <w:rsid w:val="005D190B"/>
    <w:rsid w:val="005D20D8"/>
    <w:rsid w:val="005D2117"/>
    <w:rsid w:val="005D26B3"/>
    <w:rsid w:val="005D2C33"/>
    <w:rsid w:val="005D3C8D"/>
    <w:rsid w:val="005D4113"/>
    <w:rsid w:val="005D5121"/>
    <w:rsid w:val="005D5C99"/>
    <w:rsid w:val="005D5CB5"/>
    <w:rsid w:val="005D60EB"/>
    <w:rsid w:val="005D63AB"/>
    <w:rsid w:val="005D79D4"/>
    <w:rsid w:val="005D7CD2"/>
    <w:rsid w:val="005E0BA4"/>
    <w:rsid w:val="005E234A"/>
    <w:rsid w:val="005E2E5D"/>
    <w:rsid w:val="005E33EC"/>
    <w:rsid w:val="005E348D"/>
    <w:rsid w:val="005E3809"/>
    <w:rsid w:val="005E5FFB"/>
    <w:rsid w:val="005F0CF0"/>
    <w:rsid w:val="005F0EFB"/>
    <w:rsid w:val="005F1316"/>
    <w:rsid w:val="005F149F"/>
    <w:rsid w:val="005F15B8"/>
    <w:rsid w:val="005F1A11"/>
    <w:rsid w:val="005F1A20"/>
    <w:rsid w:val="005F1E2F"/>
    <w:rsid w:val="005F26E1"/>
    <w:rsid w:val="005F3550"/>
    <w:rsid w:val="005F3F76"/>
    <w:rsid w:val="005F4B51"/>
    <w:rsid w:val="005F5310"/>
    <w:rsid w:val="005F5660"/>
    <w:rsid w:val="005F5B64"/>
    <w:rsid w:val="0060059A"/>
    <w:rsid w:val="00600B13"/>
    <w:rsid w:val="00600EEE"/>
    <w:rsid w:val="006015D6"/>
    <w:rsid w:val="00601660"/>
    <w:rsid w:val="006025F2"/>
    <w:rsid w:val="00603250"/>
    <w:rsid w:val="00603400"/>
    <w:rsid w:val="006046A7"/>
    <w:rsid w:val="0060470D"/>
    <w:rsid w:val="00604D74"/>
    <w:rsid w:val="00605D53"/>
    <w:rsid w:val="0060613E"/>
    <w:rsid w:val="00607881"/>
    <w:rsid w:val="00607B8B"/>
    <w:rsid w:val="00610546"/>
    <w:rsid w:val="00610C47"/>
    <w:rsid w:val="00610F97"/>
    <w:rsid w:val="006125A6"/>
    <w:rsid w:val="00612D99"/>
    <w:rsid w:val="00613302"/>
    <w:rsid w:val="00613E5C"/>
    <w:rsid w:val="00614B4F"/>
    <w:rsid w:val="00614F59"/>
    <w:rsid w:val="0061538D"/>
    <w:rsid w:val="006155B8"/>
    <w:rsid w:val="00615A63"/>
    <w:rsid w:val="00615D4B"/>
    <w:rsid w:val="00615F3A"/>
    <w:rsid w:val="00616810"/>
    <w:rsid w:val="00616E49"/>
    <w:rsid w:val="0061711E"/>
    <w:rsid w:val="00617FA7"/>
    <w:rsid w:val="006205E1"/>
    <w:rsid w:val="0062094F"/>
    <w:rsid w:val="006211FE"/>
    <w:rsid w:val="0062163E"/>
    <w:rsid w:val="006228DA"/>
    <w:rsid w:val="00622CB3"/>
    <w:rsid w:val="00622F91"/>
    <w:rsid w:val="0062375A"/>
    <w:rsid w:val="006241EA"/>
    <w:rsid w:val="00625794"/>
    <w:rsid w:val="00626005"/>
    <w:rsid w:val="0062724E"/>
    <w:rsid w:val="0062789D"/>
    <w:rsid w:val="006279B8"/>
    <w:rsid w:val="00627A01"/>
    <w:rsid w:val="00630058"/>
    <w:rsid w:val="00631E2A"/>
    <w:rsid w:val="00632996"/>
    <w:rsid w:val="006335DA"/>
    <w:rsid w:val="00633B55"/>
    <w:rsid w:val="00634E85"/>
    <w:rsid w:val="00635ECF"/>
    <w:rsid w:val="00635F46"/>
    <w:rsid w:val="00636566"/>
    <w:rsid w:val="006365C6"/>
    <w:rsid w:val="00637D08"/>
    <w:rsid w:val="00637DEC"/>
    <w:rsid w:val="00640234"/>
    <w:rsid w:val="00641185"/>
    <w:rsid w:val="00641F7E"/>
    <w:rsid w:val="00642724"/>
    <w:rsid w:val="006440BA"/>
    <w:rsid w:val="006449CF"/>
    <w:rsid w:val="00645058"/>
    <w:rsid w:val="006456C5"/>
    <w:rsid w:val="00646377"/>
    <w:rsid w:val="0064667F"/>
    <w:rsid w:val="00646D68"/>
    <w:rsid w:val="00650194"/>
    <w:rsid w:val="00650346"/>
    <w:rsid w:val="00650380"/>
    <w:rsid w:val="00650FED"/>
    <w:rsid w:val="0065256A"/>
    <w:rsid w:val="00652F41"/>
    <w:rsid w:val="00653219"/>
    <w:rsid w:val="00654505"/>
    <w:rsid w:val="00655A8F"/>
    <w:rsid w:val="00655C42"/>
    <w:rsid w:val="00655F4B"/>
    <w:rsid w:val="00656FFD"/>
    <w:rsid w:val="00661A4D"/>
    <w:rsid w:val="0066204B"/>
    <w:rsid w:val="0066229A"/>
    <w:rsid w:val="00664377"/>
    <w:rsid w:val="0066505F"/>
    <w:rsid w:val="00666295"/>
    <w:rsid w:val="00666764"/>
    <w:rsid w:val="006678F6"/>
    <w:rsid w:val="00670002"/>
    <w:rsid w:val="006708D5"/>
    <w:rsid w:val="00670D33"/>
    <w:rsid w:val="00671F77"/>
    <w:rsid w:val="006722D9"/>
    <w:rsid w:val="00672400"/>
    <w:rsid w:val="0067276C"/>
    <w:rsid w:val="0067285F"/>
    <w:rsid w:val="006728C4"/>
    <w:rsid w:val="00672B29"/>
    <w:rsid w:val="00672C82"/>
    <w:rsid w:val="006733C3"/>
    <w:rsid w:val="00674129"/>
    <w:rsid w:val="00674EA3"/>
    <w:rsid w:val="00677314"/>
    <w:rsid w:val="00680AA8"/>
    <w:rsid w:val="006813D9"/>
    <w:rsid w:val="00681FF4"/>
    <w:rsid w:val="0068205E"/>
    <w:rsid w:val="0068225E"/>
    <w:rsid w:val="00682536"/>
    <w:rsid w:val="006839A1"/>
    <w:rsid w:val="00684054"/>
    <w:rsid w:val="006844FE"/>
    <w:rsid w:val="00684CA7"/>
    <w:rsid w:val="0068512C"/>
    <w:rsid w:val="00685912"/>
    <w:rsid w:val="00685B9D"/>
    <w:rsid w:val="00685DBB"/>
    <w:rsid w:val="00685E03"/>
    <w:rsid w:val="00686C3A"/>
    <w:rsid w:val="0069047B"/>
    <w:rsid w:val="006909CE"/>
    <w:rsid w:val="00690A32"/>
    <w:rsid w:val="00690FEC"/>
    <w:rsid w:val="0069138F"/>
    <w:rsid w:val="0069145E"/>
    <w:rsid w:val="00691914"/>
    <w:rsid w:val="006922A3"/>
    <w:rsid w:val="006927D3"/>
    <w:rsid w:val="00693287"/>
    <w:rsid w:val="006932D6"/>
    <w:rsid w:val="0069448A"/>
    <w:rsid w:val="0069647A"/>
    <w:rsid w:val="006964F6"/>
    <w:rsid w:val="006979CA"/>
    <w:rsid w:val="006A06AA"/>
    <w:rsid w:val="006A23F2"/>
    <w:rsid w:val="006A25D7"/>
    <w:rsid w:val="006A2948"/>
    <w:rsid w:val="006A2F8F"/>
    <w:rsid w:val="006A437B"/>
    <w:rsid w:val="006A48E7"/>
    <w:rsid w:val="006A4DD9"/>
    <w:rsid w:val="006A6261"/>
    <w:rsid w:val="006A6967"/>
    <w:rsid w:val="006A726A"/>
    <w:rsid w:val="006A72CF"/>
    <w:rsid w:val="006A7878"/>
    <w:rsid w:val="006B0B70"/>
    <w:rsid w:val="006B1348"/>
    <w:rsid w:val="006B145B"/>
    <w:rsid w:val="006B1E22"/>
    <w:rsid w:val="006B307D"/>
    <w:rsid w:val="006B3541"/>
    <w:rsid w:val="006B4307"/>
    <w:rsid w:val="006B598D"/>
    <w:rsid w:val="006B6163"/>
    <w:rsid w:val="006B682B"/>
    <w:rsid w:val="006B7955"/>
    <w:rsid w:val="006C0394"/>
    <w:rsid w:val="006C0B40"/>
    <w:rsid w:val="006C1188"/>
    <w:rsid w:val="006C1555"/>
    <w:rsid w:val="006C1819"/>
    <w:rsid w:val="006C1ED5"/>
    <w:rsid w:val="006C2739"/>
    <w:rsid w:val="006C282C"/>
    <w:rsid w:val="006C3220"/>
    <w:rsid w:val="006C3B80"/>
    <w:rsid w:val="006C4C47"/>
    <w:rsid w:val="006C59E8"/>
    <w:rsid w:val="006C5EE2"/>
    <w:rsid w:val="006C62E2"/>
    <w:rsid w:val="006C62F7"/>
    <w:rsid w:val="006C6927"/>
    <w:rsid w:val="006C69B5"/>
    <w:rsid w:val="006D005B"/>
    <w:rsid w:val="006D03EF"/>
    <w:rsid w:val="006D0442"/>
    <w:rsid w:val="006D0B3C"/>
    <w:rsid w:val="006D0E3C"/>
    <w:rsid w:val="006D18F7"/>
    <w:rsid w:val="006D4400"/>
    <w:rsid w:val="006D44EA"/>
    <w:rsid w:val="006D53C0"/>
    <w:rsid w:val="006D6B9C"/>
    <w:rsid w:val="006D7D9A"/>
    <w:rsid w:val="006E0179"/>
    <w:rsid w:val="006E20C1"/>
    <w:rsid w:val="006E289F"/>
    <w:rsid w:val="006E2AA5"/>
    <w:rsid w:val="006E37F1"/>
    <w:rsid w:val="006E3E0E"/>
    <w:rsid w:val="006E4245"/>
    <w:rsid w:val="006E4888"/>
    <w:rsid w:val="006E557D"/>
    <w:rsid w:val="006E5765"/>
    <w:rsid w:val="006E5F75"/>
    <w:rsid w:val="006E6785"/>
    <w:rsid w:val="006E76C2"/>
    <w:rsid w:val="006F11DA"/>
    <w:rsid w:val="006F1214"/>
    <w:rsid w:val="006F3208"/>
    <w:rsid w:val="006F4638"/>
    <w:rsid w:val="006F5EC3"/>
    <w:rsid w:val="006F6054"/>
    <w:rsid w:val="006F6839"/>
    <w:rsid w:val="0070095A"/>
    <w:rsid w:val="0070097A"/>
    <w:rsid w:val="00700D65"/>
    <w:rsid w:val="00701415"/>
    <w:rsid w:val="0070160A"/>
    <w:rsid w:val="007018DC"/>
    <w:rsid w:val="00701DE5"/>
    <w:rsid w:val="00702560"/>
    <w:rsid w:val="0070313F"/>
    <w:rsid w:val="00703221"/>
    <w:rsid w:val="00704338"/>
    <w:rsid w:val="00705B00"/>
    <w:rsid w:val="00706066"/>
    <w:rsid w:val="00706245"/>
    <w:rsid w:val="00706E1C"/>
    <w:rsid w:val="0070755C"/>
    <w:rsid w:val="007077EC"/>
    <w:rsid w:val="00707BC4"/>
    <w:rsid w:val="00707E43"/>
    <w:rsid w:val="0071044F"/>
    <w:rsid w:val="007104E8"/>
    <w:rsid w:val="00710C3E"/>
    <w:rsid w:val="00710DA8"/>
    <w:rsid w:val="00711F17"/>
    <w:rsid w:val="007120C4"/>
    <w:rsid w:val="007122EF"/>
    <w:rsid w:val="00714813"/>
    <w:rsid w:val="007148CD"/>
    <w:rsid w:val="00714E8A"/>
    <w:rsid w:val="00714FC0"/>
    <w:rsid w:val="00715368"/>
    <w:rsid w:val="0071545C"/>
    <w:rsid w:val="007158DE"/>
    <w:rsid w:val="00715BC3"/>
    <w:rsid w:val="00716903"/>
    <w:rsid w:val="00717A9C"/>
    <w:rsid w:val="00720649"/>
    <w:rsid w:val="00720684"/>
    <w:rsid w:val="007209A1"/>
    <w:rsid w:val="00721495"/>
    <w:rsid w:val="00721582"/>
    <w:rsid w:val="007215D1"/>
    <w:rsid w:val="0072178E"/>
    <w:rsid w:val="00721790"/>
    <w:rsid w:val="0072227F"/>
    <w:rsid w:val="007223B0"/>
    <w:rsid w:val="0072272D"/>
    <w:rsid w:val="0072449F"/>
    <w:rsid w:val="00724640"/>
    <w:rsid w:val="00724C2C"/>
    <w:rsid w:val="007263CF"/>
    <w:rsid w:val="0072672F"/>
    <w:rsid w:val="007268B1"/>
    <w:rsid w:val="007272EE"/>
    <w:rsid w:val="00727347"/>
    <w:rsid w:val="00727411"/>
    <w:rsid w:val="00727BE0"/>
    <w:rsid w:val="0073056C"/>
    <w:rsid w:val="00730DBB"/>
    <w:rsid w:val="00730EF5"/>
    <w:rsid w:val="007314E5"/>
    <w:rsid w:val="007318E7"/>
    <w:rsid w:val="0073331E"/>
    <w:rsid w:val="00733BEE"/>
    <w:rsid w:val="007343BA"/>
    <w:rsid w:val="0073462A"/>
    <w:rsid w:val="0073583D"/>
    <w:rsid w:val="00736DD7"/>
    <w:rsid w:val="00737037"/>
    <w:rsid w:val="00737041"/>
    <w:rsid w:val="00740A64"/>
    <w:rsid w:val="0074101C"/>
    <w:rsid w:val="00741216"/>
    <w:rsid w:val="007419A9"/>
    <w:rsid w:val="00742BF2"/>
    <w:rsid w:val="007432B9"/>
    <w:rsid w:val="00743F9A"/>
    <w:rsid w:val="0074421C"/>
    <w:rsid w:val="00744A15"/>
    <w:rsid w:val="00744D62"/>
    <w:rsid w:val="00745145"/>
    <w:rsid w:val="00745D6D"/>
    <w:rsid w:val="0074688F"/>
    <w:rsid w:val="00746CB0"/>
    <w:rsid w:val="007507D9"/>
    <w:rsid w:val="00750AB6"/>
    <w:rsid w:val="007512DA"/>
    <w:rsid w:val="00752330"/>
    <w:rsid w:val="00752CA3"/>
    <w:rsid w:val="00753B47"/>
    <w:rsid w:val="0075463E"/>
    <w:rsid w:val="007552F7"/>
    <w:rsid w:val="007554FE"/>
    <w:rsid w:val="00755B60"/>
    <w:rsid w:val="00755DFD"/>
    <w:rsid w:val="00755E59"/>
    <w:rsid w:val="007567BE"/>
    <w:rsid w:val="00756896"/>
    <w:rsid w:val="00756A66"/>
    <w:rsid w:val="00757647"/>
    <w:rsid w:val="007576BB"/>
    <w:rsid w:val="00757FB6"/>
    <w:rsid w:val="00761423"/>
    <w:rsid w:val="007618EE"/>
    <w:rsid w:val="007629DA"/>
    <w:rsid w:val="007630D4"/>
    <w:rsid w:val="00764D34"/>
    <w:rsid w:val="007650FE"/>
    <w:rsid w:val="0076530F"/>
    <w:rsid w:val="00765671"/>
    <w:rsid w:val="0076746F"/>
    <w:rsid w:val="0076766A"/>
    <w:rsid w:val="007700A4"/>
    <w:rsid w:val="007708FF"/>
    <w:rsid w:val="007716F2"/>
    <w:rsid w:val="00771A6D"/>
    <w:rsid w:val="007722D6"/>
    <w:rsid w:val="007728D6"/>
    <w:rsid w:val="0077295B"/>
    <w:rsid w:val="007729A5"/>
    <w:rsid w:val="00772D39"/>
    <w:rsid w:val="00773677"/>
    <w:rsid w:val="00774336"/>
    <w:rsid w:val="00774456"/>
    <w:rsid w:val="007760C0"/>
    <w:rsid w:val="00776236"/>
    <w:rsid w:val="00776994"/>
    <w:rsid w:val="00776A47"/>
    <w:rsid w:val="00780223"/>
    <w:rsid w:val="00780B30"/>
    <w:rsid w:val="00781BD9"/>
    <w:rsid w:val="0078210B"/>
    <w:rsid w:val="007828A2"/>
    <w:rsid w:val="00782E34"/>
    <w:rsid w:val="0078372E"/>
    <w:rsid w:val="0078379B"/>
    <w:rsid w:val="00783AF7"/>
    <w:rsid w:val="0078400E"/>
    <w:rsid w:val="007847A1"/>
    <w:rsid w:val="0078483D"/>
    <w:rsid w:val="00785999"/>
    <w:rsid w:val="00786613"/>
    <w:rsid w:val="00786C38"/>
    <w:rsid w:val="00786DCD"/>
    <w:rsid w:val="00787088"/>
    <w:rsid w:val="00787208"/>
    <w:rsid w:val="007872D8"/>
    <w:rsid w:val="007875E9"/>
    <w:rsid w:val="00790EE9"/>
    <w:rsid w:val="00791CFA"/>
    <w:rsid w:val="0079260E"/>
    <w:rsid w:val="00792C93"/>
    <w:rsid w:val="00792F32"/>
    <w:rsid w:val="00793465"/>
    <w:rsid w:val="00793977"/>
    <w:rsid w:val="00793DEC"/>
    <w:rsid w:val="007940B7"/>
    <w:rsid w:val="007944B4"/>
    <w:rsid w:val="00794EAA"/>
    <w:rsid w:val="00797474"/>
    <w:rsid w:val="0079771B"/>
    <w:rsid w:val="00797C71"/>
    <w:rsid w:val="007A017B"/>
    <w:rsid w:val="007A1772"/>
    <w:rsid w:val="007A1F36"/>
    <w:rsid w:val="007A29F8"/>
    <w:rsid w:val="007A2A83"/>
    <w:rsid w:val="007A3027"/>
    <w:rsid w:val="007A35BF"/>
    <w:rsid w:val="007A3BF8"/>
    <w:rsid w:val="007A44FF"/>
    <w:rsid w:val="007A5A36"/>
    <w:rsid w:val="007A6D05"/>
    <w:rsid w:val="007A706E"/>
    <w:rsid w:val="007A7514"/>
    <w:rsid w:val="007A7D11"/>
    <w:rsid w:val="007B0685"/>
    <w:rsid w:val="007B08B6"/>
    <w:rsid w:val="007B0D01"/>
    <w:rsid w:val="007B12D8"/>
    <w:rsid w:val="007B2302"/>
    <w:rsid w:val="007B26D8"/>
    <w:rsid w:val="007B29F9"/>
    <w:rsid w:val="007B2A1D"/>
    <w:rsid w:val="007B33D5"/>
    <w:rsid w:val="007B34B3"/>
    <w:rsid w:val="007B4531"/>
    <w:rsid w:val="007B4793"/>
    <w:rsid w:val="007B4B9B"/>
    <w:rsid w:val="007B4E8D"/>
    <w:rsid w:val="007B5C00"/>
    <w:rsid w:val="007B5E7B"/>
    <w:rsid w:val="007B5F31"/>
    <w:rsid w:val="007B6ACC"/>
    <w:rsid w:val="007B77DA"/>
    <w:rsid w:val="007B7C66"/>
    <w:rsid w:val="007C041C"/>
    <w:rsid w:val="007C1085"/>
    <w:rsid w:val="007C1AF0"/>
    <w:rsid w:val="007C2CD9"/>
    <w:rsid w:val="007C346A"/>
    <w:rsid w:val="007C352F"/>
    <w:rsid w:val="007C368D"/>
    <w:rsid w:val="007C489B"/>
    <w:rsid w:val="007C5C6A"/>
    <w:rsid w:val="007C6210"/>
    <w:rsid w:val="007C6BD7"/>
    <w:rsid w:val="007C6FCE"/>
    <w:rsid w:val="007C791F"/>
    <w:rsid w:val="007C79B6"/>
    <w:rsid w:val="007D0A35"/>
    <w:rsid w:val="007D0BAE"/>
    <w:rsid w:val="007D1B52"/>
    <w:rsid w:val="007D33CB"/>
    <w:rsid w:val="007D54A6"/>
    <w:rsid w:val="007D5531"/>
    <w:rsid w:val="007D67CC"/>
    <w:rsid w:val="007D68AF"/>
    <w:rsid w:val="007E030D"/>
    <w:rsid w:val="007E04EA"/>
    <w:rsid w:val="007E0523"/>
    <w:rsid w:val="007E11AA"/>
    <w:rsid w:val="007E1832"/>
    <w:rsid w:val="007E3725"/>
    <w:rsid w:val="007E512D"/>
    <w:rsid w:val="007E606F"/>
    <w:rsid w:val="007E6083"/>
    <w:rsid w:val="007E6B04"/>
    <w:rsid w:val="007E73B3"/>
    <w:rsid w:val="007E7A64"/>
    <w:rsid w:val="007F005E"/>
    <w:rsid w:val="007F0554"/>
    <w:rsid w:val="007F0E09"/>
    <w:rsid w:val="007F1F3C"/>
    <w:rsid w:val="007F244A"/>
    <w:rsid w:val="007F260C"/>
    <w:rsid w:val="007F4AE2"/>
    <w:rsid w:val="007F4E3C"/>
    <w:rsid w:val="007F5146"/>
    <w:rsid w:val="007F5598"/>
    <w:rsid w:val="007F62FF"/>
    <w:rsid w:val="007F6489"/>
    <w:rsid w:val="007F67EB"/>
    <w:rsid w:val="007F690C"/>
    <w:rsid w:val="007F6B35"/>
    <w:rsid w:val="007F780F"/>
    <w:rsid w:val="008006D1"/>
    <w:rsid w:val="00800900"/>
    <w:rsid w:val="008026CD"/>
    <w:rsid w:val="00802BF9"/>
    <w:rsid w:val="008032DC"/>
    <w:rsid w:val="008033F9"/>
    <w:rsid w:val="00803BA5"/>
    <w:rsid w:val="00804941"/>
    <w:rsid w:val="00805170"/>
    <w:rsid w:val="00805CA6"/>
    <w:rsid w:val="00805CB1"/>
    <w:rsid w:val="00806601"/>
    <w:rsid w:val="00806912"/>
    <w:rsid w:val="00806A70"/>
    <w:rsid w:val="00810009"/>
    <w:rsid w:val="00810248"/>
    <w:rsid w:val="00810F83"/>
    <w:rsid w:val="00811AB8"/>
    <w:rsid w:val="00811B1D"/>
    <w:rsid w:val="00811BF5"/>
    <w:rsid w:val="00811D7A"/>
    <w:rsid w:val="00812524"/>
    <w:rsid w:val="00814574"/>
    <w:rsid w:val="008147C5"/>
    <w:rsid w:val="00814A6D"/>
    <w:rsid w:val="00817069"/>
    <w:rsid w:val="008175CB"/>
    <w:rsid w:val="00817641"/>
    <w:rsid w:val="00817798"/>
    <w:rsid w:val="00817F55"/>
    <w:rsid w:val="008201F8"/>
    <w:rsid w:val="00822915"/>
    <w:rsid w:val="008229EB"/>
    <w:rsid w:val="00823150"/>
    <w:rsid w:val="0082397C"/>
    <w:rsid w:val="00824851"/>
    <w:rsid w:val="00825C67"/>
    <w:rsid w:val="00826612"/>
    <w:rsid w:val="008266F0"/>
    <w:rsid w:val="00827961"/>
    <w:rsid w:val="008306DB"/>
    <w:rsid w:val="008309D3"/>
    <w:rsid w:val="00830D72"/>
    <w:rsid w:val="00830E64"/>
    <w:rsid w:val="00830E65"/>
    <w:rsid w:val="008326AD"/>
    <w:rsid w:val="008354D7"/>
    <w:rsid w:val="00836630"/>
    <w:rsid w:val="00836A02"/>
    <w:rsid w:val="00836B47"/>
    <w:rsid w:val="00836C0D"/>
    <w:rsid w:val="00836E54"/>
    <w:rsid w:val="008379FD"/>
    <w:rsid w:val="00840364"/>
    <w:rsid w:val="008417C0"/>
    <w:rsid w:val="0084228D"/>
    <w:rsid w:val="008423CD"/>
    <w:rsid w:val="00842484"/>
    <w:rsid w:val="00842898"/>
    <w:rsid w:val="008429F0"/>
    <w:rsid w:val="00842A91"/>
    <w:rsid w:val="00844293"/>
    <w:rsid w:val="00844535"/>
    <w:rsid w:val="00844EA8"/>
    <w:rsid w:val="008451F1"/>
    <w:rsid w:val="008458B9"/>
    <w:rsid w:val="00846E15"/>
    <w:rsid w:val="008473D1"/>
    <w:rsid w:val="00847D48"/>
    <w:rsid w:val="00850649"/>
    <w:rsid w:val="00850A8C"/>
    <w:rsid w:val="00850C45"/>
    <w:rsid w:val="0085183E"/>
    <w:rsid w:val="008522E5"/>
    <w:rsid w:val="008560AD"/>
    <w:rsid w:val="00856C2F"/>
    <w:rsid w:val="0085776B"/>
    <w:rsid w:val="00857DCC"/>
    <w:rsid w:val="00857FD5"/>
    <w:rsid w:val="008623DC"/>
    <w:rsid w:val="00862508"/>
    <w:rsid w:val="008630CA"/>
    <w:rsid w:val="00863DCB"/>
    <w:rsid w:val="0086404B"/>
    <w:rsid w:val="008642E0"/>
    <w:rsid w:val="00864984"/>
    <w:rsid w:val="008650D4"/>
    <w:rsid w:val="008654D9"/>
    <w:rsid w:val="00865CC0"/>
    <w:rsid w:val="00865FA1"/>
    <w:rsid w:val="008672E6"/>
    <w:rsid w:val="00867D4C"/>
    <w:rsid w:val="00867E29"/>
    <w:rsid w:val="00870B50"/>
    <w:rsid w:val="0087243C"/>
    <w:rsid w:val="00872459"/>
    <w:rsid w:val="00872719"/>
    <w:rsid w:val="00872D52"/>
    <w:rsid w:val="0087354B"/>
    <w:rsid w:val="00873B43"/>
    <w:rsid w:val="00874E2F"/>
    <w:rsid w:val="00875B2A"/>
    <w:rsid w:val="00875B6C"/>
    <w:rsid w:val="00875EEA"/>
    <w:rsid w:val="00876325"/>
    <w:rsid w:val="00876882"/>
    <w:rsid w:val="00876BAC"/>
    <w:rsid w:val="00877166"/>
    <w:rsid w:val="00877BE6"/>
    <w:rsid w:val="008800E3"/>
    <w:rsid w:val="00880D0B"/>
    <w:rsid w:val="00881302"/>
    <w:rsid w:val="008825BA"/>
    <w:rsid w:val="00882DE6"/>
    <w:rsid w:val="008846CC"/>
    <w:rsid w:val="00884B03"/>
    <w:rsid w:val="00884EA1"/>
    <w:rsid w:val="00885B98"/>
    <w:rsid w:val="008860B0"/>
    <w:rsid w:val="00886AC0"/>
    <w:rsid w:val="008873D4"/>
    <w:rsid w:val="0088775F"/>
    <w:rsid w:val="00887946"/>
    <w:rsid w:val="008909FB"/>
    <w:rsid w:val="00890EC6"/>
    <w:rsid w:val="00891215"/>
    <w:rsid w:val="008914FF"/>
    <w:rsid w:val="00891BFC"/>
    <w:rsid w:val="008930BC"/>
    <w:rsid w:val="00893A25"/>
    <w:rsid w:val="00893F8B"/>
    <w:rsid w:val="0089439F"/>
    <w:rsid w:val="008949CF"/>
    <w:rsid w:val="00894D89"/>
    <w:rsid w:val="0089564A"/>
    <w:rsid w:val="008956F4"/>
    <w:rsid w:val="0089607A"/>
    <w:rsid w:val="008965A0"/>
    <w:rsid w:val="00896CE6"/>
    <w:rsid w:val="0089722C"/>
    <w:rsid w:val="00897757"/>
    <w:rsid w:val="00897A92"/>
    <w:rsid w:val="008A19CD"/>
    <w:rsid w:val="008A19F7"/>
    <w:rsid w:val="008A1A71"/>
    <w:rsid w:val="008A1B04"/>
    <w:rsid w:val="008A2292"/>
    <w:rsid w:val="008A3BDE"/>
    <w:rsid w:val="008A582B"/>
    <w:rsid w:val="008A6403"/>
    <w:rsid w:val="008A6B5B"/>
    <w:rsid w:val="008B00BC"/>
    <w:rsid w:val="008B1739"/>
    <w:rsid w:val="008B1799"/>
    <w:rsid w:val="008B1A3A"/>
    <w:rsid w:val="008B4219"/>
    <w:rsid w:val="008B4F63"/>
    <w:rsid w:val="008B5802"/>
    <w:rsid w:val="008B6A0B"/>
    <w:rsid w:val="008B7135"/>
    <w:rsid w:val="008B7619"/>
    <w:rsid w:val="008B77BF"/>
    <w:rsid w:val="008C0767"/>
    <w:rsid w:val="008C0F03"/>
    <w:rsid w:val="008C1947"/>
    <w:rsid w:val="008C27FD"/>
    <w:rsid w:val="008C3D8C"/>
    <w:rsid w:val="008C4B71"/>
    <w:rsid w:val="008C5713"/>
    <w:rsid w:val="008C74D5"/>
    <w:rsid w:val="008C78B8"/>
    <w:rsid w:val="008D0AA6"/>
    <w:rsid w:val="008D0D48"/>
    <w:rsid w:val="008D1A2D"/>
    <w:rsid w:val="008D20BC"/>
    <w:rsid w:val="008D3598"/>
    <w:rsid w:val="008D37A1"/>
    <w:rsid w:val="008D3926"/>
    <w:rsid w:val="008D3B37"/>
    <w:rsid w:val="008D4768"/>
    <w:rsid w:val="008D4774"/>
    <w:rsid w:val="008D5EDC"/>
    <w:rsid w:val="008D750C"/>
    <w:rsid w:val="008E0B42"/>
    <w:rsid w:val="008E1912"/>
    <w:rsid w:val="008E1D38"/>
    <w:rsid w:val="008E2392"/>
    <w:rsid w:val="008E2C67"/>
    <w:rsid w:val="008E3022"/>
    <w:rsid w:val="008E3CDB"/>
    <w:rsid w:val="008E48B8"/>
    <w:rsid w:val="008E5C04"/>
    <w:rsid w:val="008E5ED8"/>
    <w:rsid w:val="008E600A"/>
    <w:rsid w:val="008F04CF"/>
    <w:rsid w:val="008F0BA5"/>
    <w:rsid w:val="008F0FDD"/>
    <w:rsid w:val="008F1A5E"/>
    <w:rsid w:val="008F262E"/>
    <w:rsid w:val="008F26F7"/>
    <w:rsid w:val="008F3C32"/>
    <w:rsid w:val="008F3CA4"/>
    <w:rsid w:val="008F4A89"/>
    <w:rsid w:val="008F5C92"/>
    <w:rsid w:val="008F629A"/>
    <w:rsid w:val="008F6950"/>
    <w:rsid w:val="008F6D7D"/>
    <w:rsid w:val="008F78DA"/>
    <w:rsid w:val="008F7F2D"/>
    <w:rsid w:val="00901481"/>
    <w:rsid w:val="0090189C"/>
    <w:rsid w:val="00901E00"/>
    <w:rsid w:val="009020B2"/>
    <w:rsid w:val="00903416"/>
    <w:rsid w:val="00903448"/>
    <w:rsid w:val="00903B25"/>
    <w:rsid w:val="00903E6E"/>
    <w:rsid w:val="009042C4"/>
    <w:rsid w:val="00906168"/>
    <w:rsid w:val="00907E3C"/>
    <w:rsid w:val="009106B7"/>
    <w:rsid w:val="00911365"/>
    <w:rsid w:val="00911398"/>
    <w:rsid w:val="00913279"/>
    <w:rsid w:val="009150AB"/>
    <w:rsid w:val="009158E0"/>
    <w:rsid w:val="00915C67"/>
    <w:rsid w:val="009164DE"/>
    <w:rsid w:val="00917214"/>
    <w:rsid w:val="00917307"/>
    <w:rsid w:val="009174A2"/>
    <w:rsid w:val="00917C57"/>
    <w:rsid w:val="0092033E"/>
    <w:rsid w:val="0092168B"/>
    <w:rsid w:val="00921A62"/>
    <w:rsid w:val="00922C90"/>
    <w:rsid w:val="00923600"/>
    <w:rsid w:val="00923806"/>
    <w:rsid w:val="00923D0C"/>
    <w:rsid w:val="0092449D"/>
    <w:rsid w:val="0092472C"/>
    <w:rsid w:val="0092472E"/>
    <w:rsid w:val="00924F45"/>
    <w:rsid w:val="009251BF"/>
    <w:rsid w:val="00925306"/>
    <w:rsid w:val="0092577B"/>
    <w:rsid w:val="009264FC"/>
    <w:rsid w:val="0092658D"/>
    <w:rsid w:val="00926EBD"/>
    <w:rsid w:val="009270C5"/>
    <w:rsid w:val="00927FCF"/>
    <w:rsid w:val="0093005B"/>
    <w:rsid w:val="009320D0"/>
    <w:rsid w:val="00932216"/>
    <w:rsid w:val="00932487"/>
    <w:rsid w:val="00932E1D"/>
    <w:rsid w:val="009332DD"/>
    <w:rsid w:val="0093371A"/>
    <w:rsid w:val="00934214"/>
    <w:rsid w:val="00935501"/>
    <w:rsid w:val="009363B1"/>
    <w:rsid w:val="00936BFA"/>
    <w:rsid w:val="00936E5A"/>
    <w:rsid w:val="009371A5"/>
    <w:rsid w:val="00937EAA"/>
    <w:rsid w:val="00940A6D"/>
    <w:rsid w:val="00941766"/>
    <w:rsid w:val="00941D61"/>
    <w:rsid w:val="00941EE6"/>
    <w:rsid w:val="00942F5D"/>
    <w:rsid w:val="0094306D"/>
    <w:rsid w:val="00944E22"/>
    <w:rsid w:val="009455E3"/>
    <w:rsid w:val="009467BC"/>
    <w:rsid w:val="00946D03"/>
    <w:rsid w:val="00946D69"/>
    <w:rsid w:val="009474AE"/>
    <w:rsid w:val="009500FB"/>
    <w:rsid w:val="009506B2"/>
    <w:rsid w:val="00950AA8"/>
    <w:rsid w:val="00950FE9"/>
    <w:rsid w:val="00951777"/>
    <w:rsid w:val="00951903"/>
    <w:rsid w:val="00951E8E"/>
    <w:rsid w:val="00953373"/>
    <w:rsid w:val="00954132"/>
    <w:rsid w:val="00954F9B"/>
    <w:rsid w:val="00955365"/>
    <w:rsid w:val="00955CB0"/>
    <w:rsid w:val="00955FCB"/>
    <w:rsid w:val="009560F6"/>
    <w:rsid w:val="009564DD"/>
    <w:rsid w:val="0095693E"/>
    <w:rsid w:val="00956B14"/>
    <w:rsid w:val="00956D6B"/>
    <w:rsid w:val="00960FAB"/>
    <w:rsid w:val="009615A1"/>
    <w:rsid w:val="00961A86"/>
    <w:rsid w:val="00962124"/>
    <w:rsid w:val="0096310F"/>
    <w:rsid w:val="00963367"/>
    <w:rsid w:val="00964401"/>
    <w:rsid w:val="009648B8"/>
    <w:rsid w:val="00964E2C"/>
    <w:rsid w:val="00966FCF"/>
    <w:rsid w:val="009674D7"/>
    <w:rsid w:val="0097019D"/>
    <w:rsid w:val="009702D2"/>
    <w:rsid w:val="009708E8"/>
    <w:rsid w:val="009711D5"/>
    <w:rsid w:val="00971225"/>
    <w:rsid w:val="00972A5F"/>
    <w:rsid w:val="00972E03"/>
    <w:rsid w:val="00973862"/>
    <w:rsid w:val="00973FB9"/>
    <w:rsid w:val="00974D02"/>
    <w:rsid w:val="00975123"/>
    <w:rsid w:val="009753EA"/>
    <w:rsid w:val="00975D2C"/>
    <w:rsid w:val="00976282"/>
    <w:rsid w:val="00976AF6"/>
    <w:rsid w:val="00976D18"/>
    <w:rsid w:val="0097728F"/>
    <w:rsid w:val="00977881"/>
    <w:rsid w:val="0098072A"/>
    <w:rsid w:val="00981122"/>
    <w:rsid w:val="00981630"/>
    <w:rsid w:val="00983BE9"/>
    <w:rsid w:val="00984606"/>
    <w:rsid w:val="009848C7"/>
    <w:rsid w:val="00984C66"/>
    <w:rsid w:val="00986206"/>
    <w:rsid w:val="00986C7B"/>
    <w:rsid w:val="009874C8"/>
    <w:rsid w:val="00987A52"/>
    <w:rsid w:val="00990D22"/>
    <w:rsid w:val="00991A03"/>
    <w:rsid w:val="009922B1"/>
    <w:rsid w:val="009926A8"/>
    <w:rsid w:val="0099306E"/>
    <w:rsid w:val="0099474C"/>
    <w:rsid w:val="00996405"/>
    <w:rsid w:val="009964CB"/>
    <w:rsid w:val="00997365"/>
    <w:rsid w:val="009978E0"/>
    <w:rsid w:val="00997D39"/>
    <w:rsid w:val="009A03DA"/>
    <w:rsid w:val="009A09BB"/>
    <w:rsid w:val="009A0A6A"/>
    <w:rsid w:val="009A0B30"/>
    <w:rsid w:val="009A166E"/>
    <w:rsid w:val="009A2CF1"/>
    <w:rsid w:val="009A328A"/>
    <w:rsid w:val="009A3363"/>
    <w:rsid w:val="009A3C47"/>
    <w:rsid w:val="009A41FB"/>
    <w:rsid w:val="009A435F"/>
    <w:rsid w:val="009A47A7"/>
    <w:rsid w:val="009A4D41"/>
    <w:rsid w:val="009A55A7"/>
    <w:rsid w:val="009A5663"/>
    <w:rsid w:val="009A5674"/>
    <w:rsid w:val="009A5DC4"/>
    <w:rsid w:val="009A7728"/>
    <w:rsid w:val="009A7C59"/>
    <w:rsid w:val="009B1D05"/>
    <w:rsid w:val="009B215D"/>
    <w:rsid w:val="009B2DAF"/>
    <w:rsid w:val="009B45E6"/>
    <w:rsid w:val="009B5B1F"/>
    <w:rsid w:val="009B6F64"/>
    <w:rsid w:val="009B7B01"/>
    <w:rsid w:val="009C1931"/>
    <w:rsid w:val="009C2B29"/>
    <w:rsid w:val="009C3323"/>
    <w:rsid w:val="009C3324"/>
    <w:rsid w:val="009C3E86"/>
    <w:rsid w:val="009C44F7"/>
    <w:rsid w:val="009C4524"/>
    <w:rsid w:val="009C4CDB"/>
    <w:rsid w:val="009C77C0"/>
    <w:rsid w:val="009C79B2"/>
    <w:rsid w:val="009D0192"/>
    <w:rsid w:val="009D0877"/>
    <w:rsid w:val="009D08F0"/>
    <w:rsid w:val="009D09C4"/>
    <w:rsid w:val="009D19E8"/>
    <w:rsid w:val="009D21BB"/>
    <w:rsid w:val="009D2BC8"/>
    <w:rsid w:val="009D2E10"/>
    <w:rsid w:val="009D3186"/>
    <w:rsid w:val="009D3A14"/>
    <w:rsid w:val="009D3EE5"/>
    <w:rsid w:val="009D41AF"/>
    <w:rsid w:val="009D5618"/>
    <w:rsid w:val="009D688C"/>
    <w:rsid w:val="009E0B99"/>
    <w:rsid w:val="009E0D82"/>
    <w:rsid w:val="009E17AA"/>
    <w:rsid w:val="009E39C3"/>
    <w:rsid w:val="009E438F"/>
    <w:rsid w:val="009E4637"/>
    <w:rsid w:val="009E4880"/>
    <w:rsid w:val="009E6182"/>
    <w:rsid w:val="009E689F"/>
    <w:rsid w:val="009E6EBD"/>
    <w:rsid w:val="009E7201"/>
    <w:rsid w:val="009E782B"/>
    <w:rsid w:val="009F0175"/>
    <w:rsid w:val="009F092B"/>
    <w:rsid w:val="009F0AB2"/>
    <w:rsid w:val="009F0AE7"/>
    <w:rsid w:val="009F13FD"/>
    <w:rsid w:val="009F1745"/>
    <w:rsid w:val="009F204C"/>
    <w:rsid w:val="009F2CB4"/>
    <w:rsid w:val="009F3D0E"/>
    <w:rsid w:val="009F3EE4"/>
    <w:rsid w:val="009F4103"/>
    <w:rsid w:val="009F44BD"/>
    <w:rsid w:val="009F44FD"/>
    <w:rsid w:val="009F46C4"/>
    <w:rsid w:val="009F6AA4"/>
    <w:rsid w:val="009F6C50"/>
    <w:rsid w:val="009F734D"/>
    <w:rsid w:val="009F7389"/>
    <w:rsid w:val="00A00F5F"/>
    <w:rsid w:val="00A0187A"/>
    <w:rsid w:val="00A036D2"/>
    <w:rsid w:val="00A0390A"/>
    <w:rsid w:val="00A03C76"/>
    <w:rsid w:val="00A0663F"/>
    <w:rsid w:val="00A06760"/>
    <w:rsid w:val="00A07803"/>
    <w:rsid w:val="00A07F80"/>
    <w:rsid w:val="00A1022D"/>
    <w:rsid w:val="00A10926"/>
    <w:rsid w:val="00A1225C"/>
    <w:rsid w:val="00A124E1"/>
    <w:rsid w:val="00A13819"/>
    <w:rsid w:val="00A13968"/>
    <w:rsid w:val="00A14211"/>
    <w:rsid w:val="00A142E7"/>
    <w:rsid w:val="00A1451B"/>
    <w:rsid w:val="00A14ECD"/>
    <w:rsid w:val="00A1500A"/>
    <w:rsid w:val="00A1734B"/>
    <w:rsid w:val="00A17CC1"/>
    <w:rsid w:val="00A17F2E"/>
    <w:rsid w:val="00A20D24"/>
    <w:rsid w:val="00A21CB7"/>
    <w:rsid w:val="00A21CBA"/>
    <w:rsid w:val="00A22196"/>
    <w:rsid w:val="00A22B56"/>
    <w:rsid w:val="00A242BA"/>
    <w:rsid w:val="00A25023"/>
    <w:rsid w:val="00A25CFB"/>
    <w:rsid w:val="00A25F9B"/>
    <w:rsid w:val="00A26447"/>
    <w:rsid w:val="00A26601"/>
    <w:rsid w:val="00A26A29"/>
    <w:rsid w:val="00A274C0"/>
    <w:rsid w:val="00A27743"/>
    <w:rsid w:val="00A277AF"/>
    <w:rsid w:val="00A27CD0"/>
    <w:rsid w:val="00A27D5E"/>
    <w:rsid w:val="00A3016A"/>
    <w:rsid w:val="00A313FD"/>
    <w:rsid w:val="00A31EC6"/>
    <w:rsid w:val="00A32078"/>
    <w:rsid w:val="00A322E7"/>
    <w:rsid w:val="00A328B0"/>
    <w:rsid w:val="00A32AAA"/>
    <w:rsid w:val="00A3424D"/>
    <w:rsid w:val="00A344BE"/>
    <w:rsid w:val="00A3474B"/>
    <w:rsid w:val="00A35AA8"/>
    <w:rsid w:val="00A35B5D"/>
    <w:rsid w:val="00A35BBB"/>
    <w:rsid w:val="00A35C6A"/>
    <w:rsid w:val="00A3682F"/>
    <w:rsid w:val="00A36A39"/>
    <w:rsid w:val="00A36E2C"/>
    <w:rsid w:val="00A37EAE"/>
    <w:rsid w:val="00A401FC"/>
    <w:rsid w:val="00A408E3"/>
    <w:rsid w:val="00A412E1"/>
    <w:rsid w:val="00A4152E"/>
    <w:rsid w:val="00A4166D"/>
    <w:rsid w:val="00A421BB"/>
    <w:rsid w:val="00A42660"/>
    <w:rsid w:val="00A42AA0"/>
    <w:rsid w:val="00A431B1"/>
    <w:rsid w:val="00A43998"/>
    <w:rsid w:val="00A44589"/>
    <w:rsid w:val="00A446AE"/>
    <w:rsid w:val="00A44AE4"/>
    <w:rsid w:val="00A46122"/>
    <w:rsid w:val="00A46B2F"/>
    <w:rsid w:val="00A46BF4"/>
    <w:rsid w:val="00A479E3"/>
    <w:rsid w:val="00A47B14"/>
    <w:rsid w:val="00A47B4D"/>
    <w:rsid w:val="00A47F7A"/>
    <w:rsid w:val="00A50563"/>
    <w:rsid w:val="00A52283"/>
    <w:rsid w:val="00A52F85"/>
    <w:rsid w:val="00A5403C"/>
    <w:rsid w:val="00A54EC1"/>
    <w:rsid w:val="00A54FB4"/>
    <w:rsid w:val="00A551C8"/>
    <w:rsid w:val="00A5520C"/>
    <w:rsid w:val="00A5686D"/>
    <w:rsid w:val="00A56905"/>
    <w:rsid w:val="00A57301"/>
    <w:rsid w:val="00A57863"/>
    <w:rsid w:val="00A578C0"/>
    <w:rsid w:val="00A608A8"/>
    <w:rsid w:val="00A60C98"/>
    <w:rsid w:val="00A60F75"/>
    <w:rsid w:val="00A6243C"/>
    <w:rsid w:val="00A62D30"/>
    <w:rsid w:val="00A63EAE"/>
    <w:rsid w:val="00A6482A"/>
    <w:rsid w:val="00A66C92"/>
    <w:rsid w:val="00A71565"/>
    <w:rsid w:val="00A722A6"/>
    <w:rsid w:val="00A7278F"/>
    <w:rsid w:val="00A72A58"/>
    <w:rsid w:val="00A736F7"/>
    <w:rsid w:val="00A74BA4"/>
    <w:rsid w:val="00A75BA2"/>
    <w:rsid w:val="00A76371"/>
    <w:rsid w:val="00A76A7D"/>
    <w:rsid w:val="00A76F94"/>
    <w:rsid w:val="00A770DE"/>
    <w:rsid w:val="00A81201"/>
    <w:rsid w:val="00A81620"/>
    <w:rsid w:val="00A81B71"/>
    <w:rsid w:val="00A81CC6"/>
    <w:rsid w:val="00A82406"/>
    <w:rsid w:val="00A82F1F"/>
    <w:rsid w:val="00A84425"/>
    <w:rsid w:val="00A8548B"/>
    <w:rsid w:val="00A8598A"/>
    <w:rsid w:val="00A85C28"/>
    <w:rsid w:val="00A86A5B"/>
    <w:rsid w:val="00A872D6"/>
    <w:rsid w:val="00A87CE3"/>
    <w:rsid w:val="00A87E89"/>
    <w:rsid w:val="00A90574"/>
    <w:rsid w:val="00A90844"/>
    <w:rsid w:val="00A90928"/>
    <w:rsid w:val="00A90B1D"/>
    <w:rsid w:val="00A91310"/>
    <w:rsid w:val="00A91550"/>
    <w:rsid w:val="00A9182F"/>
    <w:rsid w:val="00A91E9A"/>
    <w:rsid w:val="00A91F0F"/>
    <w:rsid w:val="00A9297D"/>
    <w:rsid w:val="00A92E34"/>
    <w:rsid w:val="00A92FC5"/>
    <w:rsid w:val="00A937AC"/>
    <w:rsid w:val="00A93BE8"/>
    <w:rsid w:val="00A96448"/>
    <w:rsid w:val="00A966C2"/>
    <w:rsid w:val="00A97124"/>
    <w:rsid w:val="00A97C35"/>
    <w:rsid w:val="00AA07ED"/>
    <w:rsid w:val="00AA0928"/>
    <w:rsid w:val="00AA11B3"/>
    <w:rsid w:val="00AA1CCB"/>
    <w:rsid w:val="00AA1DE4"/>
    <w:rsid w:val="00AA25B6"/>
    <w:rsid w:val="00AA2D97"/>
    <w:rsid w:val="00AA2F08"/>
    <w:rsid w:val="00AA3A37"/>
    <w:rsid w:val="00AA3E98"/>
    <w:rsid w:val="00AA6216"/>
    <w:rsid w:val="00AA6375"/>
    <w:rsid w:val="00AA692C"/>
    <w:rsid w:val="00AA6CA0"/>
    <w:rsid w:val="00AA795E"/>
    <w:rsid w:val="00AB0179"/>
    <w:rsid w:val="00AB0A21"/>
    <w:rsid w:val="00AB1988"/>
    <w:rsid w:val="00AB207D"/>
    <w:rsid w:val="00AB364F"/>
    <w:rsid w:val="00AB3EA4"/>
    <w:rsid w:val="00AB4425"/>
    <w:rsid w:val="00AB4A15"/>
    <w:rsid w:val="00AB5212"/>
    <w:rsid w:val="00AB54CA"/>
    <w:rsid w:val="00AB566E"/>
    <w:rsid w:val="00AB6370"/>
    <w:rsid w:val="00AB6CF3"/>
    <w:rsid w:val="00AB7A35"/>
    <w:rsid w:val="00AC02B2"/>
    <w:rsid w:val="00AC09F1"/>
    <w:rsid w:val="00AC0BEE"/>
    <w:rsid w:val="00AC1294"/>
    <w:rsid w:val="00AC20E8"/>
    <w:rsid w:val="00AC2CB0"/>
    <w:rsid w:val="00AC32D8"/>
    <w:rsid w:val="00AC33C4"/>
    <w:rsid w:val="00AC36B2"/>
    <w:rsid w:val="00AC38D6"/>
    <w:rsid w:val="00AC3953"/>
    <w:rsid w:val="00AC3F38"/>
    <w:rsid w:val="00AC4297"/>
    <w:rsid w:val="00AC44E5"/>
    <w:rsid w:val="00AC586D"/>
    <w:rsid w:val="00AC650D"/>
    <w:rsid w:val="00AC6ACA"/>
    <w:rsid w:val="00AC7169"/>
    <w:rsid w:val="00AD03AF"/>
    <w:rsid w:val="00AD1079"/>
    <w:rsid w:val="00AD1333"/>
    <w:rsid w:val="00AD28DE"/>
    <w:rsid w:val="00AD3120"/>
    <w:rsid w:val="00AD36D4"/>
    <w:rsid w:val="00AD3BBA"/>
    <w:rsid w:val="00AD425C"/>
    <w:rsid w:val="00AD5050"/>
    <w:rsid w:val="00AD593C"/>
    <w:rsid w:val="00AD6060"/>
    <w:rsid w:val="00AD67F6"/>
    <w:rsid w:val="00AD719B"/>
    <w:rsid w:val="00AD7296"/>
    <w:rsid w:val="00AD740D"/>
    <w:rsid w:val="00AE02EA"/>
    <w:rsid w:val="00AE046A"/>
    <w:rsid w:val="00AE0D80"/>
    <w:rsid w:val="00AE115D"/>
    <w:rsid w:val="00AE12E6"/>
    <w:rsid w:val="00AE12EE"/>
    <w:rsid w:val="00AE2028"/>
    <w:rsid w:val="00AE2A2F"/>
    <w:rsid w:val="00AE3323"/>
    <w:rsid w:val="00AE3798"/>
    <w:rsid w:val="00AE3BF7"/>
    <w:rsid w:val="00AE3C76"/>
    <w:rsid w:val="00AE3FDC"/>
    <w:rsid w:val="00AE404B"/>
    <w:rsid w:val="00AE44E1"/>
    <w:rsid w:val="00AE4CCD"/>
    <w:rsid w:val="00AE4E76"/>
    <w:rsid w:val="00AE4FCF"/>
    <w:rsid w:val="00AE53E1"/>
    <w:rsid w:val="00AE54DF"/>
    <w:rsid w:val="00AE592D"/>
    <w:rsid w:val="00AE5D58"/>
    <w:rsid w:val="00AE64BB"/>
    <w:rsid w:val="00AE66A4"/>
    <w:rsid w:val="00AE67AE"/>
    <w:rsid w:val="00AE6853"/>
    <w:rsid w:val="00AE7CF3"/>
    <w:rsid w:val="00AE7F93"/>
    <w:rsid w:val="00AF0899"/>
    <w:rsid w:val="00AF0B17"/>
    <w:rsid w:val="00AF1F6C"/>
    <w:rsid w:val="00AF20C4"/>
    <w:rsid w:val="00AF2866"/>
    <w:rsid w:val="00AF3036"/>
    <w:rsid w:val="00AF34F3"/>
    <w:rsid w:val="00AF48CC"/>
    <w:rsid w:val="00AF5734"/>
    <w:rsid w:val="00AF5873"/>
    <w:rsid w:val="00AF6A5E"/>
    <w:rsid w:val="00AF6D83"/>
    <w:rsid w:val="00B000A0"/>
    <w:rsid w:val="00B01E41"/>
    <w:rsid w:val="00B02FAB"/>
    <w:rsid w:val="00B030FA"/>
    <w:rsid w:val="00B03E0A"/>
    <w:rsid w:val="00B042CA"/>
    <w:rsid w:val="00B04CDC"/>
    <w:rsid w:val="00B04D9D"/>
    <w:rsid w:val="00B0550C"/>
    <w:rsid w:val="00B05A2B"/>
    <w:rsid w:val="00B05DB3"/>
    <w:rsid w:val="00B06093"/>
    <w:rsid w:val="00B06BAA"/>
    <w:rsid w:val="00B07083"/>
    <w:rsid w:val="00B075E5"/>
    <w:rsid w:val="00B10776"/>
    <w:rsid w:val="00B113B2"/>
    <w:rsid w:val="00B11B07"/>
    <w:rsid w:val="00B11DEC"/>
    <w:rsid w:val="00B122ED"/>
    <w:rsid w:val="00B12D88"/>
    <w:rsid w:val="00B12D99"/>
    <w:rsid w:val="00B13080"/>
    <w:rsid w:val="00B13B36"/>
    <w:rsid w:val="00B144EF"/>
    <w:rsid w:val="00B14CD9"/>
    <w:rsid w:val="00B15688"/>
    <w:rsid w:val="00B162DD"/>
    <w:rsid w:val="00B163D4"/>
    <w:rsid w:val="00B166DD"/>
    <w:rsid w:val="00B17A86"/>
    <w:rsid w:val="00B21255"/>
    <w:rsid w:val="00B21A17"/>
    <w:rsid w:val="00B21D6B"/>
    <w:rsid w:val="00B224A6"/>
    <w:rsid w:val="00B227E9"/>
    <w:rsid w:val="00B233FB"/>
    <w:rsid w:val="00B23E7D"/>
    <w:rsid w:val="00B24441"/>
    <w:rsid w:val="00B244DD"/>
    <w:rsid w:val="00B248C2"/>
    <w:rsid w:val="00B24A83"/>
    <w:rsid w:val="00B27B5C"/>
    <w:rsid w:val="00B27E82"/>
    <w:rsid w:val="00B3073F"/>
    <w:rsid w:val="00B30C77"/>
    <w:rsid w:val="00B332CB"/>
    <w:rsid w:val="00B34361"/>
    <w:rsid w:val="00B36104"/>
    <w:rsid w:val="00B37B07"/>
    <w:rsid w:val="00B403AB"/>
    <w:rsid w:val="00B40839"/>
    <w:rsid w:val="00B4118A"/>
    <w:rsid w:val="00B41AA3"/>
    <w:rsid w:val="00B42085"/>
    <w:rsid w:val="00B420B5"/>
    <w:rsid w:val="00B43872"/>
    <w:rsid w:val="00B44C35"/>
    <w:rsid w:val="00B4603E"/>
    <w:rsid w:val="00B46794"/>
    <w:rsid w:val="00B46802"/>
    <w:rsid w:val="00B4694B"/>
    <w:rsid w:val="00B469B4"/>
    <w:rsid w:val="00B47F28"/>
    <w:rsid w:val="00B500B5"/>
    <w:rsid w:val="00B50903"/>
    <w:rsid w:val="00B5107C"/>
    <w:rsid w:val="00B5135F"/>
    <w:rsid w:val="00B51AEE"/>
    <w:rsid w:val="00B5238B"/>
    <w:rsid w:val="00B52ED1"/>
    <w:rsid w:val="00B533EE"/>
    <w:rsid w:val="00B53B6E"/>
    <w:rsid w:val="00B53C39"/>
    <w:rsid w:val="00B54023"/>
    <w:rsid w:val="00B5524B"/>
    <w:rsid w:val="00B55470"/>
    <w:rsid w:val="00B5633F"/>
    <w:rsid w:val="00B56B3A"/>
    <w:rsid w:val="00B570A1"/>
    <w:rsid w:val="00B57884"/>
    <w:rsid w:val="00B5791E"/>
    <w:rsid w:val="00B57AB6"/>
    <w:rsid w:val="00B57FBF"/>
    <w:rsid w:val="00B60CB7"/>
    <w:rsid w:val="00B60EBE"/>
    <w:rsid w:val="00B62E04"/>
    <w:rsid w:val="00B63C06"/>
    <w:rsid w:val="00B6419C"/>
    <w:rsid w:val="00B64990"/>
    <w:rsid w:val="00B65505"/>
    <w:rsid w:val="00B65B81"/>
    <w:rsid w:val="00B65EAC"/>
    <w:rsid w:val="00B661DD"/>
    <w:rsid w:val="00B66270"/>
    <w:rsid w:val="00B666C0"/>
    <w:rsid w:val="00B66A7E"/>
    <w:rsid w:val="00B67B23"/>
    <w:rsid w:val="00B70EBE"/>
    <w:rsid w:val="00B7167A"/>
    <w:rsid w:val="00B726F1"/>
    <w:rsid w:val="00B729C6"/>
    <w:rsid w:val="00B7603A"/>
    <w:rsid w:val="00B76BD0"/>
    <w:rsid w:val="00B76DC9"/>
    <w:rsid w:val="00B807D0"/>
    <w:rsid w:val="00B81572"/>
    <w:rsid w:val="00B81A22"/>
    <w:rsid w:val="00B81B3C"/>
    <w:rsid w:val="00B82155"/>
    <w:rsid w:val="00B828E9"/>
    <w:rsid w:val="00B83F96"/>
    <w:rsid w:val="00B84CC9"/>
    <w:rsid w:val="00B85F3F"/>
    <w:rsid w:val="00B86208"/>
    <w:rsid w:val="00B86DBF"/>
    <w:rsid w:val="00B871FA"/>
    <w:rsid w:val="00B8753C"/>
    <w:rsid w:val="00B90893"/>
    <w:rsid w:val="00B90A54"/>
    <w:rsid w:val="00B91B35"/>
    <w:rsid w:val="00B9205F"/>
    <w:rsid w:val="00B924EC"/>
    <w:rsid w:val="00B9250A"/>
    <w:rsid w:val="00B946F1"/>
    <w:rsid w:val="00B94A03"/>
    <w:rsid w:val="00B94B8D"/>
    <w:rsid w:val="00B94DD5"/>
    <w:rsid w:val="00B95BA0"/>
    <w:rsid w:val="00B96D81"/>
    <w:rsid w:val="00B96F31"/>
    <w:rsid w:val="00B971D6"/>
    <w:rsid w:val="00B978DB"/>
    <w:rsid w:val="00B979BB"/>
    <w:rsid w:val="00B97A6B"/>
    <w:rsid w:val="00BA0D0B"/>
    <w:rsid w:val="00BA11E9"/>
    <w:rsid w:val="00BA29C2"/>
    <w:rsid w:val="00BA3983"/>
    <w:rsid w:val="00BA496F"/>
    <w:rsid w:val="00BA539A"/>
    <w:rsid w:val="00BA5D10"/>
    <w:rsid w:val="00BA5E4B"/>
    <w:rsid w:val="00BA5EFD"/>
    <w:rsid w:val="00BA66EA"/>
    <w:rsid w:val="00BA6B6E"/>
    <w:rsid w:val="00BA79D5"/>
    <w:rsid w:val="00BA7F3C"/>
    <w:rsid w:val="00BB0416"/>
    <w:rsid w:val="00BB1126"/>
    <w:rsid w:val="00BB2A94"/>
    <w:rsid w:val="00BB2E72"/>
    <w:rsid w:val="00BB2FD7"/>
    <w:rsid w:val="00BB4024"/>
    <w:rsid w:val="00BB4515"/>
    <w:rsid w:val="00BB4D08"/>
    <w:rsid w:val="00BB4D46"/>
    <w:rsid w:val="00BB60B8"/>
    <w:rsid w:val="00BB6F61"/>
    <w:rsid w:val="00BB74F7"/>
    <w:rsid w:val="00BB75EA"/>
    <w:rsid w:val="00BB7E19"/>
    <w:rsid w:val="00BB7E89"/>
    <w:rsid w:val="00BC0059"/>
    <w:rsid w:val="00BC049F"/>
    <w:rsid w:val="00BC0C8F"/>
    <w:rsid w:val="00BC255E"/>
    <w:rsid w:val="00BC2666"/>
    <w:rsid w:val="00BC3083"/>
    <w:rsid w:val="00BC37BD"/>
    <w:rsid w:val="00BC4244"/>
    <w:rsid w:val="00BC4EBC"/>
    <w:rsid w:val="00BC52EA"/>
    <w:rsid w:val="00BC5AAC"/>
    <w:rsid w:val="00BC6B77"/>
    <w:rsid w:val="00BD09B8"/>
    <w:rsid w:val="00BD0DD1"/>
    <w:rsid w:val="00BD1488"/>
    <w:rsid w:val="00BD19CC"/>
    <w:rsid w:val="00BD2A0C"/>
    <w:rsid w:val="00BD2B72"/>
    <w:rsid w:val="00BD2C05"/>
    <w:rsid w:val="00BD2DE9"/>
    <w:rsid w:val="00BD36C5"/>
    <w:rsid w:val="00BD4105"/>
    <w:rsid w:val="00BD500F"/>
    <w:rsid w:val="00BD5731"/>
    <w:rsid w:val="00BD7845"/>
    <w:rsid w:val="00BD7846"/>
    <w:rsid w:val="00BE0C52"/>
    <w:rsid w:val="00BE0F33"/>
    <w:rsid w:val="00BE0F95"/>
    <w:rsid w:val="00BE1760"/>
    <w:rsid w:val="00BE2FFD"/>
    <w:rsid w:val="00BE4E12"/>
    <w:rsid w:val="00BE560E"/>
    <w:rsid w:val="00BE7085"/>
    <w:rsid w:val="00BE7926"/>
    <w:rsid w:val="00BE7D56"/>
    <w:rsid w:val="00BF0629"/>
    <w:rsid w:val="00BF0C28"/>
    <w:rsid w:val="00BF126A"/>
    <w:rsid w:val="00BF1A99"/>
    <w:rsid w:val="00BF2009"/>
    <w:rsid w:val="00BF2585"/>
    <w:rsid w:val="00BF371D"/>
    <w:rsid w:val="00BF5120"/>
    <w:rsid w:val="00BF5B41"/>
    <w:rsid w:val="00BF63BC"/>
    <w:rsid w:val="00BF6698"/>
    <w:rsid w:val="00BF66CA"/>
    <w:rsid w:val="00BF6ED0"/>
    <w:rsid w:val="00BF791F"/>
    <w:rsid w:val="00C00117"/>
    <w:rsid w:val="00C001BD"/>
    <w:rsid w:val="00C0060D"/>
    <w:rsid w:val="00C00620"/>
    <w:rsid w:val="00C00820"/>
    <w:rsid w:val="00C00BCF"/>
    <w:rsid w:val="00C0207F"/>
    <w:rsid w:val="00C02A33"/>
    <w:rsid w:val="00C041BF"/>
    <w:rsid w:val="00C04E99"/>
    <w:rsid w:val="00C0559C"/>
    <w:rsid w:val="00C06496"/>
    <w:rsid w:val="00C076EF"/>
    <w:rsid w:val="00C07EBC"/>
    <w:rsid w:val="00C101E4"/>
    <w:rsid w:val="00C10727"/>
    <w:rsid w:val="00C1074C"/>
    <w:rsid w:val="00C10AA0"/>
    <w:rsid w:val="00C11055"/>
    <w:rsid w:val="00C1177E"/>
    <w:rsid w:val="00C1185B"/>
    <w:rsid w:val="00C118F7"/>
    <w:rsid w:val="00C12BF7"/>
    <w:rsid w:val="00C14F56"/>
    <w:rsid w:val="00C1768A"/>
    <w:rsid w:val="00C17EA5"/>
    <w:rsid w:val="00C20229"/>
    <w:rsid w:val="00C21502"/>
    <w:rsid w:val="00C21A4C"/>
    <w:rsid w:val="00C21B7C"/>
    <w:rsid w:val="00C2294E"/>
    <w:rsid w:val="00C22AFE"/>
    <w:rsid w:val="00C24073"/>
    <w:rsid w:val="00C24D51"/>
    <w:rsid w:val="00C257B9"/>
    <w:rsid w:val="00C25E3B"/>
    <w:rsid w:val="00C26132"/>
    <w:rsid w:val="00C26186"/>
    <w:rsid w:val="00C264B7"/>
    <w:rsid w:val="00C269E4"/>
    <w:rsid w:val="00C26FFB"/>
    <w:rsid w:val="00C2702C"/>
    <w:rsid w:val="00C270F8"/>
    <w:rsid w:val="00C27E3E"/>
    <w:rsid w:val="00C30759"/>
    <w:rsid w:val="00C30D1E"/>
    <w:rsid w:val="00C31289"/>
    <w:rsid w:val="00C314D2"/>
    <w:rsid w:val="00C314D6"/>
    <w:rsid w:val="00C3171E"/>
    <w:rsid w:val="00C31A0C"/>
    <w:rsid w:val="00C31A94"/>
    <w:rsid w:val="00C32A12"/>
    <w:rsid w:val="00C32CA1"/>
    <w:rsid w:val="00C3376A"/>
    <w:rsid w:val="00C337D6"/>
    <w:rsid w:val="00C33C65"/>
    <w:rsid w:val="00C33EEA"/>
    <w:rsid w:val="00C340FA"/>
    <w:rsid w:val="00C346DD"/>
    <w:rsid w:val="00C34EF0"/>
    <w:rsid w:val="00C35A1B"/>
    <w:rsid w:val="00C35D62"/>
    <w:rsid w:val="00C3655F"/>
    <w:rsid w:val="00C36F0F"/>
    <w:rsid w:val="00C40C14"/>
    <w:rsid w:val="00C40D1A"/>
    <w:rsid w:val="00C40FCD"/>
    <w:rsid w:val="00C41E21"/>
    <w:rsid w:val="00C429AD"/>
    <w:rsid w:val="00C4303B"/>
    <w:rsid w:val="00C452AA"/>
    <w:rsid w:val="00C45D6A"/>
    <w:rsid w:val="00C45FC2"/>
    <w:rsid w:val="00C464F2"/>
    <w:rsid w:val="00C466A0"/>
    <w:rsid w:val="00C466C5"/>
    <w:rsid w:val="00C46F9E"/>
    <w:rsid w:val="00C50390"/>
    <w:rsid w:val="00C5067F"/>
    <w:rsid w:val="00C508D1"/>
    <w:rsid w:val="00C50B32"/>
    <w:rsid w:val="00C50D9F"/>
    <w:rsid w:val="00C51148"/>
    <w:rsid w:val="00C51A44"/>
    <w:rsid w:val="00C51A93"/>
    <w:rsid w:val="00C52663"/>
    <w:rsid w:val="00C52DAB"/>
    <w:rsid w:val="00C53B6E"/>
    <w:rsid w:val="00C53DF1"/>
    <w:rsid w:val="00C545A9"/>
    <w:rsid w:val="00C55599"/>
    <w:rsid w:val="00C55C3B"/>
    <w:rsid w:val="00C55FC4"/>
    <w:rsid w:val="00C5614D"/>
    <w:rsid w:val="00C56282"/>
    <w:rsid w:val="00C56714"/>
    <w:rsid w:val="00C56DC1"/>
    <w:rsid w:val="00C57025"/>
    <w:rsid w:val="00C57C26"/>
    <w:rsid w:val="00C60BD0"/>
    <w:rsid w:val="00C60E28"/>
    <w:rsid w:val="00C6209D"/>
    <w:rsid w:val="00C62620"/>
    <w:rsid w:val="00C62AF0"/>
    <w:rsid w:val="00C63AF4"/>
    <w:rsid w:val="00C63D15"/>
    <w:rsid w:val="00C63D75"/>
    <w:rsid w:val="00C64155"/>
    <w:rsid w:val="00C6459F"/>
    <w:rsid w:val="00C6489C"/>
    <w:rsid w:val="00C648DF"/>
    <w:rsid w:val="00C65337"/>
    <w:rsid w:val="00C658E7"/>
    <w:rsid w:val="00C65ED6"/>
    <w:rsid w:val="00C66E45"/>
    <w:rsid w:val="00C6767F"/>
    <w:rsid w:val="00C6788E"/>
    <w:rsid w:val="00C70657"/>
    <w:rsid w:val="00C72540"/>
    <w:rsid w:val="00C72AC8"/>
    <w:rsid w:val="00C72FB7"/>
    <w:rsid w:val="00C738E4"/>
    <w:rsid w:val="00C7392E"/>
    <w:rsid w:val="00C73CDB"/>
    <w:rsid w:val="00C73D4F"/>
    <w:rsid w:val="00C74AEE"/>
    <w:rsid w:val="00C758D9"/>
    <w:rsid w:val="00C75B87"/>
    <w:rsid w:val="00C75CB6"/>
    <w:rsid w:val="00C77605"/>
    <w:rsid w:val="00C80812"/>
    <w:rsid w:val="00C811D1"/>
    <w:rsid w:val="00C81447"/>
    <w:rsid w:val="00C81A09"/>
    <w:rsid w:val="00C81DB6"/>
    <w:rsid w:val="00C81EAC"/>
    <w:rsid w:val="00C82105"/>
    <w:rsid w:val="00C821A3"/>
    <w:rsid w:val="00C8444A"/>
    <w:rsid w:val="00C8557F"/>
    <w:rsid w:val="00C85A9F"/>
    <w:rsid w:val="00C85D94"/>
    <w:rsid w:val="00C86468"/>
    <w:rsid w:val="00C87813"/>
    <w:rsid w:val="00C901A9"/>
    <w:rsid w:val="00C902A1"/>
    <w:rsid w:val="00C9146F"/>
    <w:rsid w:val="00C91E0C"/>
    <w:rsid w:val="00C92326"/>
    <w:rsid w:val="00C92A18"/>
    <w:rsid w:val="00C9423F"/>
    <w:rsid w:val="00C94908"/>
    <w:rsid w:val="00C94A49"/>
    <w:rsid w:val="00C96530"/>
    <w:rsid w:val="00C96AAA"/>
    <w:rsid w:val="00C96C7A"/>
    <w:rsid w:val="00CA17B8"/>
    <w:rsid w:val="00CA17BD"/>
    <w:rsid w:val="00CA1CE4"/>
    <w:rsid w:val="00CA1E90"/>
    <w:rsid w:val="00CA21F0"/>
    <w:rsid w:val="00CA378C"/>
    <w:rsid w:val="00CA40A7"/>
    <w:rsid w:val="00CA456B"/>
    <w:rsid w:val="00CA48B8"/>
    <w:rsid w:val="00CA53FC"/>
    <w:rsid w:val="00CA5CC1"/>
    <w:rsid w:val="00CA636C"/>
    <w:rsid w:val="00CA65EA"/>
    <w:rsid w:val="00CB153B"/>
    <w:rsid w:val="00CB1C56"/>
    <w:rsid w:val="00CB1E8D"/>
    <w:rsid w:val="00CB3175"/>
    <w:rsid w:val="00CB4869"/>
    <w:rsid w:val="00CB62B1"/>
    <w:rsid w:val="00CB7714"/>
    <w:rsid w:val="00CB7C7C"/>
    <w:rsid w:val="00CC01C4"/>
    <w:rsid w:val="00CC0A6B"/>
    <w:rsid w:val="00CC0BAF"/>
    <w:rsid w:val="00CC101C"/>
    <w:rsid w:val="00CC1795"/>
    <w:rsid w:val="00CC2932"/>
    <w:rsid w:val="00CC2D4C"/>
    <w:rsid w:val="00CC30A8"/>
    <w:rsid w:val="00CC314C"/>
    <w:rsid w:val="00CC33A3"/>
    <w:rsid w:val="00CC4B8B"/>
    <w:rsid w:val="00CC5751"/>
    <w:rsid w:val="00CC5784"/>
    <w:rsid w:val="00CC6752"/>
    <w:rsid w:val="00CC6950"/>
    <w:rsid w:val="00CD0E97"/>
    <w:rsid w:val="00CD19A4"/>
    <w:rsid w:val="00CD1C33"/>
    <w:rsid w:val="00CD1CD1"/>
    <w:rsid w:val="00CD1EFF"/>
    <w:rsid w:val="00CD1F65"/>
    <w:rsid w:val="00CD228E"/>
    <w:rsid w:val="00CD27BA"/>
    <w:rsid w:val="00CD2881"/>
    <w:rsid w:val="00CD4705"/>
    <w:rsid w:val="00CD524F"/>
    <w:rsid w:val="00CD5DA8"/>
    <w:rsid w:val="00CD681B"/>
    <w:rsid w:val="00CD6CB9"/>
    <w:rsid w:val="00CD6CD6"/>
    <w:rsid w:val="00CD75CE"/>
    <w:rsid w:val="00CD7DBA"/>
    <w:rsid w:val="00CD7FEA"/>
    <w:rsid w:val="00CE19EA"/>
    <w:rsid w:val="00CE21AB"/>
    <w:rsid w:val="00CE385C"/>
    <w:rsid w:val="00CE3D2A"/>
    <w:rsid w:val="00CE3FD3"/>
    <w:rsid w:val="00CE4541"/>
    <w:rsid w:val="00CE4D74"/>
    <w:rsid w:val="00CE53F1"/>
    <w:rsid w:val="00CE548E"/>
    <w:rsid w:val="00CE7657"/>
    <w:rsid w:val="00CE7DA6"/>
    <w:rsid w:val="00CF03C2"/>
    <w:rsid w:val="00CF0470"/>
    <w:rsid w:val="00CF0672"/>
    <w:rsid w:val="00CF18DE"/>
    <w:rsid w:val="00CF1E0A"/>
    <w:rsid w:val="00CF2870"/>
    <w:rsid w:val="00CF354C"/>
    <w:rsid w:val="00CF3F91"/>
    <w:rsid w:val="00CF490C"/>
    <w:rsid w:val="00CF4C0F"/>
    <w:rsid w:val="00CF503A"/>
    <w:rsid w:val="00CF52A1"/>
    <w:rsid w:val="00CF5646"/>
    <w:rsid w:val="00CF57FA"/>
    <w:rsid w:val="00CF581F"/>
    <w:rsid w:val="00CF5A70"/>
    <w:rsid w:val="00CF75A4"/>
    <w:rsid w:val="00CF75F1"/>
    <w:rsid w:val="00D00A2E"/>
    <w:rsid w:val="00D00D43"/>
    <w:rsid w:val="00D015F9"/>
    <w:rsid w:val="00D020DD"/>
    <w:rsid w:val="00D02295"/>
    <w:rsid w:val="00D0291D"/>
    <w:rsid w:val="00D0322B"/>
    <w:rsid w:val="00D0360B"/>
    <w:rsid w:val="00D03F17"/>
    <w:rsid w:val="00D04341"/>
    <w:rsid w:val="00D04413"/>
    <w:rsid w:val="00D05B26"/>
    <w:rsid w:val="00D06BFC"/>
    <w:rsid w:val="00D07AA5"/>
    <w:rsid w:val="00D07B2D"/>
    <w:rsid w:val="00D1109B"/>
    <w:rsid w:val="00D11961"/>
    <w:rsid w:val="00D11AAB"/>
    <w:rsid w:val="00D13036"/>
    <w:rsid w:val="00D13EB9"/>
    <w:rsid w:val="00D1427A"/>
    <w:rsid w:val="00D14692"/>
    <w:rsid w:val="00D1556B"/>
    <w:rsid w:val="00D15963"/>
    <w:rsid w:val="00D15A0D"/>
    <w:rsid w:val="00D15D05"/>
    <w:rsid w:val="00D203E7"/>
    <w:rsid w:val="00D212A2"/>
    <w:rsid w:val="00D21578"/>
    <w:rsid w:val="00D2164F"/>
    <w:rsid w:val="00D21708"/>
    <w:rsid w:val="00D21E12"/>
    <w:rsid w:val="00D220BB"/>
    <w:rsid w:val="00D22212"/>
    <w:rsid w:val="00D22F42"/>
    <w:rsid w:val="00D23622"/>
    <w:rsid w:val="00D238A2"/>
    <w:rsid w:val="00D25186"/>
    <w:rsid w:val="00D26204"/>
    <w:rsid w:val="00D26375"/>
    <w:rsid w:val="00D268B0"/>
    <w:rsid w:val="00D30BD5"/>
    <w:rsid w:val="00D31967"/>
    <w:rsid w:val="00D31EE0"/>
    <w:rsid w:val="00D3275D"/>
    <w:rsid w:val="00D32941"/>
    <w:rsid w:val="00D32B7F"/>
    <w:rsid w:val="00D335F9"/>
    <w:rsid w:val="00D33C94"/>
    <w:rsid w:val="00D33CCC"/>
    <w:rsid w:val="00D34C79"/>
    <w:rsid w:val="00D34EBD"/>
    <w:rsid w:val="00D350EB"/>
    <w:rsid w:val="00D35F9C"/>
    <w:rsid w:val="00D3645E"/>
    <w:rsid w:val="00D36765"/>
    <w:rsid w:val="00D376AE"/>
    <w:rsid w:val="00D407BD"/>
    <w:rsid w:val="00D41158"/>
    <w:rsid w:val="00D4149F"/>
    <w:rsid w:val="00D42224"/>
    <w:rsid w:val="00D42376"/>
    <w:rsid w:val="00D42703"/>
    <w:rsid w:val="00D42A7A"/>
    <w:rsid w:val="00D43F8A"/>
    <w:rsid w:val="00D44203"/>
    <w:rsid w:val="00D44212"/>
    <w:rsid w:val="00D44548"/>
    <w:rsid w:val="00D45D86"/>
    <w:rsid w:val="00D47012"/>
    <w:rsid w:val="00D470DB"/>
    <w:rsid w:val="00D4789F"/>
    <w:rsid w:val="00D47A91"/>
    <w:rsid w:val="00D510DB"/>
    <w:rsid w:val="00D51431"/>
    <w:rsid w:val="00D51ACE"/>
    <w:rsid w:val="00D52172"/>
    <w:rsid w:val="00D526D8"/>
    <w:rsid w:val="00D52943"/>
    <w:rsid w:val="00D53167"/>
    <w:rsid w:val="00D53343"/>
    <w:rsid w:val="00D538AC"/>
    <w:rsid w:val="00D54628"/>
    <w:rsid w:val="00D549E4"/>
    <w:rsid w:val="00D54B22"/>
    <w:rsid w:val="00D553E4"/>
    <w:rsid w:val="00D55BEF"/>
    <w:rsid w:val="00D56074"/>
    <w:rsid w:val="00D57B6B"/>
    <w:rsid w:val="00D57C44"/>
    <w:rsid w:val="00D6005B"/>
    <w:rsid w:val="00D604BC"/>
    <w:rsid w:val="00D60AEF"/>
    <w:rsid w:val="00D614E5"/>
    <w:rsid w:val="00D6152C"/>
    <w:rsid w:val="00D61741"/>
    <w:rsid w:val="00D61E3B"/>
    <w:rsid w:val="00D630EE"/>
    <w:rsid w:val="00D6315F"/>
    <w:rsid w:val="00D63574"/>
    <w:rsid w:val="00D64049"/>
    <w:rsid w:val="00D64535"/>
    <w:rsid w:val="00D64C94"/>
    <w:rsid w:val="00D64EFA"/>
    <w:rsid w:val="00D65192"/>
    <w:rsid w:val="00D6688F"/>
    <w:rsid w:val="00D674F5"/>
    <w:rsid w:val="00D67BA6"/>
    <w:rsid w:val="00D70478"/>
    <w:rsid w:val="00D70798"/>
    <w:rsid w:val="00D71721"/>
    <w:rsid w:val="00D7266E"/>
    <w:rsid w:val="00D73562"/>
    <w:rsid w:val="00D743E9"/>
    <w:rsid w:val="00D74943"/>
    <w:rsid w:val="00D74E49"/>
    <w:rsid w:val="00D75740"/>
    <w:rsid w:val="00D76280"/>
    <w:rsid w:val="00D76A08"/>
    <w:rsid w:val="00D76A45"/>
    <w:rsid w:val="00D76C59"/>
    <w:rsid w:val="00D7784D"/>
    <w:rsid w:val="00D80BCD"/>
    <w:rsid w:val="00D81260"/>
    <w:rsid w:val="00D8314C"/>
    <w:rsid w:val="00D841B5"/>
    <w:rsid w:val="00D842A9"/>
    <w:rsid w:val="00D86363"/>
    <w:rsid w:val="00D87E2F"/>
    <w:rsid w:val="00D91E62"/>
    <w:rsid w:val="00D92324"/>
    <w:rsid w:val="00D92EF4"/>
    <w:rsid w:val="00D93F4F"/>
    <w:rsid w:val="00D94205"/>
    <w:rsid w:val="00D954C2"/>
    <w:rsid w:val="00D95788"/>
    <w:rsid w:val="00D95BA2"/>
    <w:rsid w:val="00DA04D1"/>
    <w:rsid w:val="00DA1792"/>
    <w:rsid w:val="00DA2AB9"/>
    <w:rsid w:val="00DA2F5B"/>
    <w:rsid w:val="00DA4701"/>
    <w:rsid w:val="00DA482C"/>
    <w:rsid w:val="00DA492C"/>
    <w:rsid w:val="00DA577F"/>
    <w:rsid w:val="00DA5BDB"/>
    <w:rsid w:val="00DA65FE"/>
    <w:rsid w:val="00DA7BC1"/>
    <w:rsid w:val="00DB009E"/>
    <w:rsid w:val="00DB0373"/>
    <w:rsid w:val="00DB183D"/>
    <w:rsid w:val="00DB21A2"/>
    <w:rsid w:val="00DB21FA"/>
    <w:rsid w:val="00DB23DD"/>
    <w:rsid w:val="00DB32EF"/>
    <w:rsid w:val="00DB3810"/>
    <w:rsid w:val="00DB392C"/>
    <w:rsid w:val="00DB3DC6"/>
    <w:rsid w:val="00DB4BD1"/>
    <w:rsid w:val="00DB535B"/>
    <w:rsid w:val="00DB558E"/>
    <w:rsid w:val="00DB569B"/>
    <w:rsid w:val="00DB5EE6"/>
    <w:rsid w:val="00DB5F56"/>
    <w:rsid w:val="00DB6812"/>
    <w:rsid w:val="00DC081C"/>
    <w:rsid w:val="00DC19FE"/>
    <w:rsid w:val="00DC2332"/>
    <w:rsid w:val="00DC3766"/>
    <w:rsid w:val="00DC450E"/>
    <w:rsid w:val="00DC5979"/>
    <w:rsid w:val="00DC61C8"/>
    <w:rsid w:val="00DC6656"/>
    <w:rsid w:val="00DC76E8"/>
    <w:rsid w:val="00DC799B"/>
    <w:rsid w:val="00DD02A5"/>
    <w:rsid w:val="00DD048A"/>
    <w:rsid w:val="00DD1614"/>
    <w:rsid w:val="00DD1EE3"/>
    <w:rsid w:val="00DD3BE0"/>
    <w:rsid w:val="00DD5BCF"/>
    <w:rsid w:val="00DD63EA"/>
    <w:rsid w:val="00DD666C"/>
    <w:rsid w:val="00DD68C2"/>
    <w:rsid w:val="00DD6DD5"/>
    <w:rsid w:val="00DD733F"/>
    <w:rsid w:val="00DE1D73"/>
    <w:rsid w:val="00DE239A"/>
    <w:rsid w:val="00DE23D1"/>
    <w:rsid w:val="00DE2449"/>
    <w:rsid w:val="00DE2E1E"/>
    <w:rsid w:val="00DE39E6"/>
    <w:rsid w:val="00DE4442"/>
    <w:rsid w:val="00DE4BEF"/>
    <w:rsid w:val="00DE4CCB"/>
    <w:rsid w:val="00DE51ED"/>
    <w:rsid w:val="00DE5FF4"/>
    <w:rsid w:val="00DE7390"/>
    <w:rsid w:val="00DE769F"/>
    <w:rsid w:val="00DE7A19"/>
    <w:rsid w:val="00DF0307"/>
    <w:rsid w:val="00DF030B"/>
    <w:rsid w:val="00DF04BC"/>
    <w:rsid w:val="00DF0F79"/>
    <w:rsid w:val="00DF0FBB"/>
    <w:rsid w:val="00DF11AB"/>
    <w:rsid w:val="00DF1DFA"/>
    <w:rsid w:val="00DF24BD"/>
    <w:rsid w:val="00DF3DFB"/>
    <w:rsid w:val="00DF512A"/>
    <w:rsid w:val="00DF5D20"/>
    <w:rsid w:val="00DF5EE6"/>
    <w:rsid w:val="00E00335"/>
    <w:rsid w:val="00E00D6C"/>
    <w:rsid w:val="00E010A6"/>
    <w:rsid w:val="00E01513"/>
    <w:rsid w:val="00E01968"/>
    <w:rsid w:val="00E01C39"/>
    <w:rsid w:val="00E023B1"/>
    <w:rsid w:val="00E02760"/>
    <w:rsid w:val="00E02F68"/>
    <w:rsid w:val="00E031B9"/>
    <w:rsid w:val="00E040B5"/>
    <w:rsid w:val="00E044A6"/>
    <w:rsid w:val="00E0481B"/>
    <w:rsid w:val="00E0520E"/>
    <w:rsid w:val="00E06017"/>
    <w:rsid w:val="00E07471"/>
    <w:rsid w:val="00E0770F"/>
    <w:rsid w:val="00E101FB"/>
    <w:rsid w:val="00E1150A"/>
    <w:rsid w:val="00E1170B"/>
    <w:rsid w:val="00E1172D"/>
    <w:rsid w:val="00E1181D"/>
    <w:rsid w:val="00E11D90"/>
    <w:rsid w:val="00E121E4"/>
    <w:rsid w:val="00E1319F"/>
    <w:rsid w:val="00E13A6A"/>
    <w:rsid w:val="00E13D7E"/>
    <w:rsid w:val="00E1481E"/>
    <w:rsid w:val="00E15D08"/>
    <w:rsid w:val="00E15DEC"/>
    <w:rsid w:val="00E166F8"/>
    <w:rsid w:val="00E16B90"/>
    <w:rsid w:val="00E16F37"/>
    <w:rsid w:val="00E17B92"/>
    <w:rsid w:val="00E20974"/>
    <w:rsid w:val="00E20F93"/>
    <w:rsid w:val="00E212FC"/>
    <w:rsid w:val="00E21D8A"/>
    <w:rsid w:val="00E21E79"/>
    <w:rsid w:val="00E21FD1"/>
    <w:rsid w:val="00E232F7"/>
    <w:rsid w:val="00E23440"/>
    <w:rsid w:val="00E2504A"/>
    <w:rsid w:val="00E250C5"/>
    <w:rsid w:val="00E253EE"/>
    <w:rsid w:val="00E26D4C"/>
    <w:rsid w:val="00E271F4"/>
    <w:rsid w:val="00E31537"/>
    <w:rsid w:val="00E31627"/>
    <w:rsid w:val="00E32310"/>
    <w:rsid w:val="00E32557"/>
    <w:rsid w:val="00E327E6"/>
    <w:rsid w:val="00E330CA"/>
    <w:rsid w:val="00E3317C"/>
    <w:rsid w:val="00E3350A"/>
    <w:rsid w:val="00E34FF0"/>
    <w:rsid w:val="00E36089"/>
    <w:rsid w:val="00E369E0"/>
    <w:rsid w:val="00E37DFE"/>
    <w:rsid w:val="00E4022B"/>
    <w:rsid w:val="00E413AF"/>
    <w:rsid w:val="00E41857"/>
    <w:rsid w:val="00E41B1D"/>
    <w:rsid w:val="00E41D3F"/>
    <w:rsid w:val="00E42046"/>
    <w:rsid w:val="00E421D2"/>
    <w:rsid w:val="00E437DA"/>
    <w:rsid w:val="00E43CC4"/>
    <w:rsid w:val="00E442B3"/>
    <w:rsid w:val="00E454ED"/>
    <w:rsid w:val="00E45C4B"/>
    <w:rsid w:val="00E45D30"/>
    <w:rsid w:val="00E46096"/>
    <w:rsid w:val="00E46305"/>
    <w:rsid w:val="00E4631D"/>
    <w:rsid w:val="00E464F1"/>
    <w:rsid w:val="00E46BB3"/>
    <w:rsid w:val="00E47014"/>
    <w:rsid w:val="00E47239"/>
    <w:rsid w:val="00E4751C"/>
    <w:rsid w:val="00E4762B"/>
    <w:rsid w:val="00E476C6"/>
    <w:rsid w:val="00E4781A"/>
    <w:rsid w:val="00E47B71"/>
    <w:rsid w:val="00E50C40"/>
    <w:rsid w:val="00E50E12"/>
    <w:rsid w:val="00E51A8B"/>
    <w:rsid w:val="00E51C2E"/>
    <w:rsid w:val="00E526FE"/>
    <w:rsid w:val="00E52A61"/>
    <w:rsid w:val="00E532ED"/>
    <w:rsid w:val="00E54609"/>
    <w:rsid w:val="00E54781"/>
    <w:rsid w:val="00E54788"/>
    <w:rsid w:val="00E54A84"/>
    <w:rsid w:val="00E54DDF"/>
    <w:rsid w:val="00E54EB3"/>
    <w:rsid w:val="00E55045"/>
    <w:rsid w:val="00E56051"/>
    <w:rsid w:val="00E576E9"/>
    <w:rsid w:val="00E57DE0"/>
    <w:rsid w:val="00E6081A"/>
    <w:rsid w:val="00E611B2"/>
    <w:rsid w:val="00E6150C"/>
    <w:rsid w:val="00E621A7"/>
    <w:rsid w:val="00E62E9F"/>
    <w:rsid w:val="00E63E32"/>
    <w:rsid w:val="00E64B94"/>
    <w:rsid w:val="00E65140"/>
    <w:rsid w:val="00E658CF"/>
    <w:rsid w:val="00E65A72"/>
    <w:rsid w:val="00E660BB"/>
    <w:rsid w:val="00E66369"/>
    <w:rsid w:val="00E675AD"/>
    <w:rsid w:val="00E67811"/>
    <w:rsid w:val="00E6781D"/>
    <w:rsid w:val="00E67A71"/>
    <w:rsid w:val="00E710BC"/>
    <w:rsid w:val="00E71361"/>
    <w:rsid w:val="00E72A0E"/>
    <w:rsid w:val="00E72C1F"/>
    <w:rsid w:val="00E730BD"/>
    <w:rsid w:val="00E7340E"/>
    <w:rsid w:val="00E752EF"/>
    <w:rsid w:val="00E764C4"/>
    <w:rsid w:val="00E76A13"/>
    <w:rsid w:val="00E773F9"/>
    <w:rsid w:val="00E77543"/>
    <w:rsid w:val="00E80278"/>
    <w:rsid w:val="00E80D06"/>
    <w:rsid w:val="00E80D3D"/>
    <w:rsid w:val="00E8137E"/>
    <w:rsid w:val="00E81ABC"/>
    <w:rsid w:val="00E81B93"/>
    <w:rsid w:val="00E81E9F"/>
    <w:rsid w:val="00E82913"/>
    <w:rsid w:val="00E82FF9"/>
    <w:rsid w:val="00E839CA"/>
    <w:rsid w:val="00E83E70"/>
    <w:rsid w:val="00E83F1E"/>
    <w:rsid w:val="00E86659"/>
    <w:rsid w:val="00E869DE"/>
    <w:rsid w:val="00E87217"/>
    <w:rsid w:val="00E87662"/>
    <w:rsid w:val="00E87E14"/>
    <w:rsid w:val="00E90054"/>
    <w:rsid w:val="00E9047F"/>
    <w:rsid w:val="00E90DAF"/>
    <w:rsid w:val="00E922BB"/>
    <w:rsid w:val="00E92370"/>
    <w:rsid w:val="00E92923"/>
    <w:rsid w:val="00E9361D"/>
    <w:rsid w:val="00E9364D"/>
    <w:rsid w:val="00E94D6A"/>
    <w:rsid w:val="00E95218"/>
    <w:rsid w:val="00E952FC"/>
    <w:rsid w:val="00E953CD"/>
    <w:rsid w:val="00E95657"/>
    <w:rsid w:val="00E95A19"/>
    <w:rsid w:val="00E968E3"/>
    <w:rsid w:val="00E96CEC"/>
    <w:rsid w:val="00EA0E26"/>
    <w:rsid w:val="00EA11A7"/>
    <w:rsid w:val="00EA11EC"/>
    <w:rsid w:val="00EA1624"/>
    <w:rsid w:val="00EA1E9D"/>
    <w:rsid w:val="00EA1EDE"/>
    <w:rsid w:val="00EA22C4"/>
    <w:rsid w:val="00EA3BB2"/>
    <w:rsid w:val="00EA3BFA"/>
    <w:rsid w:val="00EA405A"/>
    <w:rsid w:val="00EA43CB"/>
    <w:rsid w:val="00EA52D7"/>
    <w:rsid w:val="00EA70FB"/>
    <w:rsid w:val="00EA7323"/>
    <w:rsid w:val="00EA750A"/>
    <w:rsid w:val="00EA7810"/>
    <w:rsid w:val="00EA7972"/>
    <w:rsid w:val="00EB0C6B"/>
    <w:rsid w:val="00EB1B70"/>
    <w:rsid w:val="00EB295A"/>
    <w:rsid w:val="00EB2BCB"/>
    <w:rsid w:val="00EB367D"/>
    <w:rsid w:val="00EB3BC1"/>
    <w:rsid w:val="00EB4456"/>
    <w:rsid w:val="00EB47AC"/>
    <w:rsid w:val="00EB483E"/>
    <w:rsid w:val="00EB4FD4"/>
    <w:rsid w:val="00EB512E"/>
    <w:rsid w:val="00EB6175"/>
    <w:rsid w:val="00EB63BA"/>
    <w:rsid w:val="00EB6676"/>
    <w:rsid w:val="00EB6D1B"/>
    <w:rsid w:val="00EB756C"/>
    <w:rsid w:val="00EB7A91"/>
    <w:rsid w:val="00EC0749"/>
    <w:rsid w:val="00EC0AC2"/>
    <w:rsid w:val="00EC0F55"/>
    <w:rsid w:val="00EC181C"/>
    <w:rsid w:val="00EC1929"/>
    <w:rsid w:val="00EC1CC6"/>
    <w:rsid w:val="00EC2477"/>
    <w:rsid w:val="00EC2CB8"/>
    <w:rsid w:val="00EC4F1E"/>
    <w:rsid w:val="00EC57F1"/>
    <w:rsid w:val="00EC6E27"/>
    <w:rsid w:val="00ED0C43"/>
    <w:rsid w:val="00ED1A66"/>
    <w:rsid w:val="00ED1F47"/>
    <w:rsid w:val="00ED3689"/>
    <w:rsid w:val="00ED3D1A"/>
    <w:rsid w:val="00ED4033"/>
    <w:rsid w:val="00ED43F8"/>
    <w:rsid w:val="00ED44CD"/>
    <w:rsid w:val="00ED5B22"/>
    <w:rsid w:val="00ED6C5B"/>
    <w:rsid w:val="00ED6E12"/>
    <w:rsid w:val="00EE00B5"/>
    <w:rsid w:val="00EE03CB"/>
    <w:rsid w:val="00EE1707"/>
    <w:rsid w:val="00EE1C31"/>
    <w:rsid w:val="00EE37B8"/>
    <w:rsid w:val="00EE3E87"/>
    <w:rsid w:val="00EE4031"/>
    <w:rsid w:val="00EE4A6F"/>
    <w:rsid w:val="00EE4CC4"/>
    <w:rsid w:val="00EE4DB5"/>
    <w:rsid w:val="00EE522F"/>
    <w:rsid w:val="00EE5345"/>
    <w:rsid w:val="00EE5473"/>
    <w:rsid w:val="00EE5CEB"/>
    <w:rsid w:val="00EE6516"/>
    <w:rsid w:val="00EE67A3"/>
    <w:rsid w:val="00EE6B34"/>
    <w:rsid w:val="00EE6B84"/>
    <w:rsid w:val="00EE6CFC"/>
    <w:rsid w:val="00EE6D6C"/>
    <w:rsid w:val="00EE6E3C"/>
    <w:rsid w:val="00EE70B4"/>
    <w:rsid w:val="00EF0113"/>
    <w:rsid w:val="00EF02D6"/>
    <w:rsid w:val="00EF0480"/>
    <w:rsid w:val="00EF0F2E"/>
    <w:rsid w:val="00EF19B3"/>
    <w:rsid w:val="00EF1C79"/>
    <w:rsid w:val="00EF1C8B"/>
    <w:rsid w:val="00EF347E"/>
    <w:rsid w:val="00EF3B41"/>
    <w:rsid w:val="00EF49E2"/>
    <w:rsid w:val="00EF6648"/>
    <w:rsid w:val="00EF682A"/>
    <w:rsid w:val="00EF7A54"/>
    <w:rsid w:val="00F0103D"/>
    <w:rsid w:val="00F0152F"/>
    <w:rsid w:val="00F019E3"/>
    <w:rsid w:val="00F01E15"/>
    <w:rsid w:val="00F01E50"/>
    <w:rsid w:val="00F023DB"/>
    <w:rsid w:val="00F02E0F"/>
    <w:rsid w:val="00F0316E"/>
    <w:rsid w:val="00F03C28"/>
    <w:rsid w:val="00F03F80"/>
    <w:rsid w:val="00F041F1"/>
    <w:rsid w:val="00F0461A"/>
    <w:rsid w:val="00F06045"/>
    <w:rsid w:val="00F06F40"/>
    <w:rsid w:val="00F0790C"/>
    <w:rsid w:val="00F079A3"/>
    <w:rsid w:val="00F10448"/>
    <w:rsid w:val="00F111B1"/>
    <w:rsid w:val="00F11ECB"/>
    <w:rsid w:val="00F12ACF"/>
    <w:rsid w:val="00F1408E"/>
    <w:rsid w:val="00F14912"/>
    <w:rsid w:val="00F1521B"/>
    <w:rsid w:val="00F16640"/>
    <w:rsid w:val="00F1688E"/>
    <w:rsid w:val="00F16D94"/>
    <w:rsid w:val="00F173DE"/>
    <w:rsid w:val="00F17B94"/>
    <w:rsid w:val="00F20087"/>
    <w:rsid w:val="00F20158"/>
    <w:rsid w:val="00F20E89"/>
    <w:rsid w:val="00F2151E"/>
    <w:rsid w:val="00F2237E"/>
    <w:rsid w:val="00F23068"/>
    <w:rsid w:val="00F2325D"/>
    <w:rsid w:val="00F2326E"/>
    <w:rsid w:val="00F2426D"/>
    <w:rsid w:val="00F244FB"/>
    <w:rsid w:val="00F24C00"/>
    <w:rsid w:val="00F26976"/>
    <w:rsid w:val="00F26B97"/>
    <w:rsid w:val="00F26F96"/>
    <w:rsid w:val="00F27043"/>
    <w:rsid w:val="00F276EB"/>
    <w:rsid w:val="00F277FD"/>
    <w:rsid w:val="00F30697"/>
    <w:rsid w:val="00F308D3"/>
    <w:rsid w:val="00F312F3"/>
    <w:rsid w:val="00F3167F"/>
    <w:rsid w:val="00F318E0"/>
    <w:rsid w:val="00F3281B"/>
    <w:rsid w:val="00F3285F"/>
    <w:rsid w:val="00F32A4E"/>
    <w:rsid w:val="00F32A95"/>
    <w:rsid w:val="00F32B32"/>
    <w:rsid w:val="00F341F3"/>
    <w:rsid w:val="00F341F5"/>
    <w:rsid w:val="00F34848"/>
    <w:rsid w:val="00F34945"/>
    <w:rsid w:val="00F34C7B"/>
    <w:rsid w:val="00F34DA2"/>
    <w:rsid w:val="00F35111"/>
    <w:rsid w:val="00F35E0F"/>
    <w:rsid w:val="00F362BD"/>
    <w:rsid w:val="00F36792"/>
    <w:rsid w:val="00F36C2B"/>
    <w:rsid w:val="00F376B8"/>
    <w:rsid w:val="00F37CB5"/>
    <w:rsid w:val="00F40233"/>
    <w:rsid w:val="00F403A2"/>
    <w:rsid w:val="00F40FE8"/>
    <w:rsid w:val="00F42A63"/>
    <w:rsid w:val="00F42DF8"/>
    <w:rsid w:val="00F43AF6"/>
    <w:rsid w:val="00F43B71"/>
    <w:rsid w:val="00F43C00"/>
    <w:rsid w:val="00F443A0"/>
    <w:rsid w:val="00F44DBC"/>
    <w:rsid w:val="00F45116"/>
    <w:rsid w:val="00F45237"/>
    <w:rsid w:val="00F46623"/>
    <w:rsid w:val="00F468BB"/>
    <w:rsid w:val="00F468C2"/>
    <w:rsid w:val="00F46E4E"/>
    <w:rsid w:val="00F46E7D"/>
    <w:rsid w:val="00F46FB1"/>
    <w:rsid w:val="00F47150"/>
    <w:rsid w:val="00F47961"/>
    <w:rsid w:val="00F47B18"/>
    <w:rsid w:val="00F47D86"/>
    <w:rsid w:val="00F50007"/>
    <w:rsid w:val="00F503E9"/>
    <w:rsid w:val="00F5099F"/>
    <w:rsid w:val="00F50AB5"/>
    <w:rsid w:val="00F516E9"/>
    <w:rsid w:val="00F51C2E"/>
    <w:rsid w:val="00F5232A"/>
    <w:rsid w:val="00F5298F"/>
    <w:rsid w:val="00F5352A"/>
    <w:rsid w:val="00F53CD0"/>
    <w:rsid w:val="00F53FC9"/>
    <w:rsid w:val="00F5402E"/>
    <w:rsid w:val="00F541B0"/>
    <w:rsid w:val="00F557C8"/>
    <w:rsid w:val="00F55EA9"/>
    <w:rsid w:val="00F55ECF"/>
    <w:rsid w:val="00F56B92"/>
    <w:rsid w:val="00F56D9B"/>
    <w:rsid w:val="00F56E1F"/>
    <w:rsid w:val="00F576C8"/>
    <w:rsid w:val="00F600AA"/>
    <w:rsid w:val="00F60BFF"/>
    <w:rsid w:val="00F60F8C"/>
    <w:rsid w:val="00F61F94"/>
    <w:rsid w:val="00F622B3"/>
    <w:rsid w:val="00F6242F"/>
    <w:rsid w:val="00F63CC6"/>
    <w:rsid w:val="00F63CE1"/>
    <w:rsid w:val="00F64000"/>
    <w:rsid w:val="00F65344"/>
    <w:rsid w:val="00F6577F"/>
    <w:rsid w:val="00F65970"/>
    <w:rsid w:val="00F65A30"/>
    <w:rsid w:val="00F66CC1"/>
    <w:rsid w:val="00F67907"/>
    <w:rsid w:val="00F67A8D"/>
    <w:rsid w:val="00F67F36"/>
    <w:rsid w:val="00F70002"/>
    <w:rsid w:val="00F70316"/>
    <w:rsid w:val="00F70554"/>
    <w:rsid w:val="00F7098C"/>
    <w:rsid w:val="00F710EF"/>
    <w:rsid w:val="00F71943"/>
    <w:rsid w:val="00F71963"/>
    <w:rsid w:val="00F71ACC"/>
    <w:rsid w:val="00F72062"/>
    <w:rsid w:val="00F7232A"/>
    <w:rsid w:val="00F72AE3"/>
    <w:rsid w:val="00F730F8"/>
    <w:rsid w:val="00F73A75"/>
    <w:rsid w:val="00F73FE2"/>
    <w:rsid w:val="00F74FB7"/>
    <w:rsid w:val="00F753A8"/>
    <w:rsid w:val="00F755DD"/>
    <w:rsid w:val="00F75A8F"/>
    <w:rsid w:val="00F75C3C"/>
    <w:rsid w:val="00F76A9F"/>
    <w:rsid w:val="00F8013F"/>
    <w:rsid w:val="00F80303"/>
    <w:rsid w:val="00F80348"/>
    <w:rsid w:val="00F81056"/>
    <w:rsid w:val="00F81DC7"/>
    <w:rsid w:val="00F82066"/>
    <w:rsid w:val="00F83CAD"/>
    <w:rsid w:val="00F84439"/>
    <w:rsid w:val="00F84D94"/>
    <w:rsid w:val="00F84E99"/>
    <w:rsid w:val="00F85FC8"/>
    <w:rsid w:val="00F85FCF"/>
    <w:rsid w:val="00F877E2"/>
    <w:rsid w:val="00F87E80"/>
    <w:rsid w:val="00F90985"/>
    <w:rsid w:val="00F909A4"/>
    <w:rsid w:val="00F912A7"/>
    <w:rsid w:val="00F91ABD"/>
    <w:rsid w:val="00F92D1B"/>
    <w:rsid w:val="00F932FC"/>
    <w:rsid w:val="00F936F0"/>
    <w:rsid w:val="00F94193"/>
    <w:rsid w:val="00F9472D"/>
    <w:rsid w:val="00F949A3"/>
    <w:rsid w:val="00F9558E"/>
    <w:rsid w:val="00F96268"/>
    <w:rsid w:val="00F96557"/>
    <w:rsid w:val="00F96ECF"/>
    <w:rsid w:val="00F96FE7"/>
    <w:rsid w:val="00F9733E"/>
    <w:rsid w:val="00FA1013"/>
    <w:rsid w:val="00FA1983"/>
    <w:rsid w:val="00FA19DF"/>
    <w:rsid w:val="00FA1D8C"/>
    <w:rsid w:val="00FA4514"/>
    <w:rsid w:val="00FA5024"/>
    <w:rsid w:val="00FA54EF"/>
    <w:rsid w:val="00FA6A89"/>
    <w:rsid w:val="00FA79A4"/>
    <w:rsid w:val="00FB10AA"/>
    <w:rsid w:val="00FB16C2"/>
    <w:rsid w:val="00FB1C0A"/>
    <w:rsid w:val="00FB24FF"/>
    <w:rsid w:val="00FB28DE"/>
    <w:rsid w:val="00FB3B16"/>
    <w:rsid w:val="00FB41F9"/>
    <w:rsid w:val="00FB480B"/>
    <w:rsid w:val="00FB56A1"/>
    <w:rsid w:val="00FB56E3"/>
    <w:rsid w:val="00FB5B80"/>
    <w:rsid w:val="00FB5ECE"/>
    <w:rsid w:val="00FB6B74"/>
    <w:rsid w:val="00FC024F"/>
    <w:rsid w:val="00FC02EB"/>
    <w:rsid w:val="00FC049B"/>
    <w:rsid w:val="00FC0AB3"/>
    <w:rsid w:val="00FC0AD0"/>
    <w:rsid w:val="00FC10DD"/>
    <w:rsid w:val="00FC1A35"/>
    <w:rsid w:val="00FC1DD8"/>
    <w:rsid w:val="00FC2119"/>
    <w:rsid w:val="00FC2612"/>
    <w:rsid w:val="00FC3C82"/>
    <w:rsid w:val="00FC4643"/>
    <w:rsid w:val="00FC50DB"/>
    <w:rsid w:val="00FC582A"/>
    <w:rsid w:val="00FC5952"/>
    <w:rsid w:val="00FC5C29"/>
    <w:rsid w:val="00FC5F69"/>
    <w:rsid w:val="00FC612A"/>
    <w:rsid w:val="00FC6C91"/>
    <w:rsid w:val="00FC72AE"/>
    <w:rsid w:val="00FD05FF"/>
    <w:rsid w:val="00FD14D0"/>
    <w:rsid w:val="00FD24E5"/>
    <w:rsid w:val="00FD2B6E"/>
    <w:rsid w:val="00FD3227"/>
    <w:rsid w:val="00FD3491"/>
    <w:rsid w:val="00FD3934"/>
    <w:rsid w:val="00FD3993"/>
    <w:rsid w:val="00FD42A9"/>
    <w:rsid w:val="00FD587F"/>
    <w:rsid w:val="00FD640A"/>
    <w:rsid w:val="00FD65FD"/>
    <w:rsid w:val="00FD6E28"/>
    <w:rsid w:val="00FD7873"/>
    <w:rsid w:val="00FE100C"/>
    <w:rsid w:val="00FE113F"/>
    <w:rsid w:val="00FE127C"/>
    <w:rsid w:val="00FE1926"/>
    <w:rsid w:val="00FE39B0"/>
    <w:rsid w:val="00FE498F"/>
    <w:rsid w:val="00FE5345"/>
    <w:rsid w:val="00FE5C77"/>
    <w:rsid w:val="00FE7306"/>
    <w:rsid w:val="00FE76FB"/>
    <w:rsid w:val="00FE7BAE"/>
    <w:rsid w:val="00FE7E8F"/>
    <w:rsid w:val="00FE7EBE"/>
    <w:rsid w:val="00FF063F"/>
    <w:rsid w:val="00FF1974"/>
    <w:rsid w:val="00FF19B5"/>
    <w:rsid w:val="00FF2052"/>
    <w:rsid w:val="00FF20D4"/>
    <w:rsid w:val="00FF3392"/>
    <w:rsid w:val="00FF451C"/>
    <w:rsid w:val="00FF459B"/>
    <w:rsid w:val="00FF511C"/>
    <w:rsid w:val="00FF674A"/>
    <w:rsid w:val="00FF7538"/>
    <w:rsid w:val="00FF7FC7"/>
    <w:rsid w:val="04CBCCFC"/>
    <w:rsid w:val="086EFF85"/>
    <w:rsid w:val="08FB4846"/>
    <w:rsid w:val="0919D3F3"/>
    <w:rsid w:val="09B90EC9"/>
    <w:rsid w:val="09C21722"/>
    <w:rsid w:val="09EF7F4D"/>
    <w:rsid w:val="09F4ADEB"/>
    <w:rsid w:val="0B333945"/>
    <w:rsid w:val="0D0D58A6"/>
    <w:rsid w:val="0DCFF29D"/>
    <w:rsid w:val="0DF0A135"/>
    <w:rsid w:val="0EF6BAF6"/>
    <w:rsid w:val="12669A2F"/>
    <w:rsid w:val="13101884"/>
    <w:rsid w:val="13E33C77"/>
    <w:rsid w:val="143CD5B8"/>
    <w:rsid w:val="15667E6A"/>
    <w:rsid w:val="15DB859D"/>
    <w:rsid w:val="15FA2723"/>
    <w:rsid w:val="1792A0BB"/>
    <w:rsid w:val="1C2F13E3"/>
    <w:rsid w:val="1D4C0C11"/>
    <w:rsid w:val="1DB49102"/>
    <w:rsid w:val="1F855BE9"/>
    <w:rsid w:val="207C9EF7"/>
    <w:rsid w:val="21D57D70"/>
    <w:rsid w:val="22DA7545"/>
    <w:rsid w:val="2390D52D"/>
    <w:rsid w:val="25A7E984"/>
    <w:rsid w:val="263A3B10"/>
    <w:rsid w:val="26F15A4F"/>
    <w:rsid w:val="2707ABF9"/>
    <w:rsid w:val="2884D317"/>
    <w:rsid w:val="2ADFB8BA"/>
    <w:rsid w:val="2B0E7195"/>
    <w:rsid w:val="2B6CF79C"/>
    <w:rsid w:val="2C147E50"/>
    <w:rsid w:val="2E8733E4"/>
    <w:rsid w:val="2F5F7C29"/>
    <w:rsid w:val="309C61E4"/>
    <w:rsid w:val="332929FC"/>
    <w:rsid w:val="344E3556"/>
    <w:rsid w:val="34DB4EE3"/>
    <w:rsid w:val="350CF229"/>
    <w:rsid w:val="35FF1526"/>
    <w:rsid w:val="362D59DB"/>
    <w:rsid w:val="373E6372"/>
    <w:rsid w:val="38C9DA7F"/>
    <w:rsid w:val="39250BB7"/>
    <w:rsid w:val="3A16F6EC"/>
    <w:rsid w:val="3AE1EA29"/>
    <w:rsid w:val="3B6FA172"/>
    <w:rsid w:val="3D31EB44"/>
    <w:rsid w:val="3D624629"/>
    <w:rsid w:val="3D8EC70D"/>
    <w:rsid w:val="3E2AFBBD"/>
    <w:rsid w:val="3E753798"/>
    <w:rsid w:val="3EC31A3E"/>
    <w:rsid w:val="3F206C76"/>
    <w:rsid w:val="3FC16141"/>
    <w:rsid w:val="403A8AE6"/>
    <w:rsid w:val="40941F83"/>
    <w:rsid w:val="421D7DE0"/>
    <w:rsid w:val="422B4D9A"/>
    <w:rsid w:val="4284F667"/>
    <w:rsid w:val="4A624120"/>
    <w:rsid w:val="4B1576CC"/>
    <w:rsid w:val="4CF91CC3"/>
    <w:rsid w:val="5150C2BF"/>
    <w:rsid w:val="52387E2B"/>
    <w:rsid w:val="5514A4A2"/>
    <w:rsid w:val="55FFF1B6"/>
    <w:rsid w:val="56A14449"/>
    <w:rsid w:val="570506C2"/>
    <w:rsid w:val="57083DB1"/>
    <w:rsid w:val="5822C906"/>
    <w:rsid w:val="5C3D0BA6"/>
    <w:rsid w:val="5E1465E9"/>
    <w:rsid w:val="5E9C6388"/>
    <w:rsid w:val="5EB5327E"/>
    <w:rsid w:val="5F80C431"/>
    <w:rsid w:val="6007E727"/>
    <w:rsid w:val="62427518"/>
    <w:rsid w:val="6280DD8D"/>
    <w:rsid w:val="63DD1553"/>
    <w:rsid w:val="656A52A9"/>
    <w:rsid w:val="67B3218F"/>
    <w:rsid w:val="6941ACB9"/>
    <w:rsid w:val="694823E2"/>
    <w:rsid w:val="6A29242F"/>
    <w:rsid w:val="6A5E4C8D"/>
    <w:rsid w:val="6A6668D9"/>
    <w:rsid w:val="6AFC3C3C"/>
    <w:rsid w:val="6B50107E"/>
    <w:rsid w:val="6B7EF7AF"/>
    <w:rsid w:val="701839C0"/>
    <w:rsid w:val="72BFCB3F"/>
    <w:rsid w:val="737BD43C"/>
    <w:rsid w:val="746C3468"/>
    <w:rsid w:val="74743D99"/>
    <w:rsid w:val="752DC078"/>
    <w:rsid w:val="75E341D0"/>
    <w:rsid w:val="766597D1"/>
    <w:rsid w:val="78FA91B3"/>
    <w:rsid w:val="798AE6B1"/>
    <w:rsid w:val="79AEE7EE"/>
    <w:rsid w:val="79B214E4"/>
    <w:rsid w:val="7C39A35F"/>
    <w:rsid w:val="7E6BE3BD"/>
    <w:rsid w:val="7F1B0A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A02691"/>
  <w15:chartTrackingRefBased/>
  <w15:docId w15:val="{1A604ACE-91EC-4448-8C68-AD6BDA9D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DFB"/>
    <w:pPr>
      <w:spacing w:line="240" w:lineRule="auto"/>
    </w:pPr>
    <w:rPr>
      <w:rFonts w:ascii="Times New Roman" w:eastAsia="Calibri" w:hAnsi="Times New Roman" w:cs="Times New Roman"/>
      <w:sz w:val="24"/>
      <w:szCs w:val="24"/>
    </w:rPr>
  </w:style>
  <w:style w:type="paragraph" w:styleId="Heading1">
    <w:name w:val="heading 1"/>
    <w:basedOn w:val="ListParagraph"/>
    <w:next w:val="Normal"/>
    <w:link w:val="Heading1Char"/>
    <w:uiPriority w:val="9"/>
    <w:qFormat/>
    <w:rsid w:val="00006C8F"/>
    <w:pPr>
      <w:numPr>
        <w:numId w:val="1"/>
      </w:numPr>
      <w:ind w:left="720"/>
      <w:jc w:val="center"/>
      <w:outlineLvl w:val="0"/>
    </w:pPr>
    <w:rPr>
      <w:b/>
      <w:u w:val="single"/>
    </w:rPr>
  </w:style>
  <w:style w:type="paragraph" w:styleId="Heading2">
    <w:name w:val="heading 2"/>
    <w:basedOn w:val="Heading1"/>
    <w:next w:val="Normal"/>
    <w:link w:val="Heading2Char"/>
    <w:uiPriority w:val="9"/>
    <w:unhideWhenUsed/>
    <w:qFormat/>
    <w:rsid w:val="00006C8F"/>
    <w:pPr>
      <w:numPr>
        <w:numId w:val="2"/>
      </w:numPr>
      <w:ind w:left="360"/>
      <w:outlineLvl w:val="1"/>
    </w:pPr>
    <w:rPr>
      <w:b w:val="0"/>
    </w:rPr>
  </w:style>
  <w:style w:type="paragraph" w:styleId="Heading3">
    <w:name w:val="heading 3"/>
    <w:basedOn w:val="ListParagraph"/>
    <w:next w:val="Normal"/>
    <w:link w:val="Heading3Char"/>
    <w:uiPriority w:val="9"/>
    <w:unhideWhenUsed/>
    <w:qFormat/>
    <w:rsid w:val="00CA5CC1"/>
    <w:pPr>
      <w:numPr>
        <w:numId w:val="3"/>
      </w:numPr>
      <w:outlineLvl w:val="2"/>
    </w:pPr>
    <w:rPr>
      <w:u w:val="single"/>
    </w:rPr>
  </w:style>
  <w:style w:type="paragraph" w:styleId="Heading4">
    <w:name w:val="heading 4"/>
    <w:basedOn w:val="Heading3"/>
    <w:next w:val="Normal"/>
    <w:link w:val="Heading4Char"/>
    <w:uiPriority w:val="9"/>
    <w:unhideWhenUsed/>
    <w:qFormat/>
    <w:rsid w:val="00495C3C"/>
    <w:pPr>
      <w:numPr>
        <w:numId w:val="46"/>
      </w:numPr>
      <w:outlineLvl w:val="3"/>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06C8F"/>
    <w:pPr>
      <w:spacing w:after="0"/>
    </w:pPr>
    <w:rPr>
      <w:sz w:val="22"/>
    </w:rPr>
  </w:style>
  <w:style w:type="paragraph" w:styleId="ListParagraph">
    <w:name w:val="List Paragraph"/>
    <w:basedOn w:val="Normal"/>
    <w:uiPriority w:val="34"/>
    <w:qFormat/>
    <w:rsid w:val="00514711"/>
    <w:pPr>
      <w:ind w:left="720"/>
      <w:contextualSpacing/>
    </w:pPr>
  </w:style>
  <w:style w:type="character" w:customStyle="1" w:styleId="Heading1Char">
    <w:name w:val="Heading 1 Char"/>
    <w:basedOn w:val="DefaultParagraphFont"/>
    <w:link w:val="Heading1"/>
    <w:uiPriority w:val="9"/>
    <w:rsid w:val="00006C8F"/>
    <w:rPr>
      <w:rFonts w:ascii="Times New Roman" w:eastAsia="Calibri" w:hAnsi="Times New Roman" w:cs="Times New Roman"/>
      <w:b/>
      <w:sz w:val="24"/>
      <w:szCs w:val="24"/>
      <w:u w:val="single"/>
    </w:rPr>
  </w:style>
  <w:style w:type="character" w:customStyle="1" w:styleId="Heading2Char">
    <w:name w:val="Heading 2 Char"/>
    <w:basedOn w:val="DefaultParagraphFont"/>
    <w:link w:val="Heading2"/>
    <w:uiPriority w:val="9"/>
    <w:rsid w:val="00006C8F"/>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514711"/>
    <w:rPr>
      <w:rFonts w:ascii="Times New Roman" w:eastAsia="Calibri" w:hAnsi="Times New Roman" w:cs="Times New Roman"/>
      <w:sz w:val="24"/>
      <w:szCs w:val="24"/>
      <w:u w:val="single"/>
    </w:rPr>
  </w:style>
  <w:style w:type="character" w:customStyle="1" w:styleId="Heading4Char">
    <w:name w:val="Heading 4 Char"/>
    <w:basedOn w:val="DefaultParagraphFont"/>
    <w:link w:val="Heading4"/>
    <w:uiPriority w:val="9"/>
    <w:rsid w:val="00CA5CC1"/>
    <w:rPr>
      <w:rFonts w:ascii="Times New Roman" w:eastAsia="Calibri" w:hAnsi="Times New Roman" w:cs="Times New Roman"/>
      <w:i/>
      <w:sz w:val="24"/>
      <w:szCs w:val="24"/>
    </w:rPr>
  </w:style>
  <w:style w:type="paragraph" w:customStyle="1" w:styleId="TitlePage1">
    <w:name w:val="Title Page 1"/>
    <w:basedOn w:val="Normal"/>
    <w:link w:val="TitlePage1Char"/>
    <w:qFormat/>
    <w:rsid w:val="00514711"/>
    <w:pPr>
      <w:spacing w:after="0"/>
    </w:pPr>
    <w:rPr>
      <w:lang w:eastAsia="ja-JP"/>
    </w:rPr>
  </w:style>
  <w:style w:type="paragraph" w:customStyle="1" w:styleId="TitlePage2">
    <w:name w:val="Title Page 2"/>
    <w:basedOn w:val="Normal"/>
    <w:link w:val="TitlePage2Char"/>
    <w:qFormat/>
    <w:rsid w:val="00514711"/>
    <w:pPr>
      <w:jc w:val="center"/>
    </w:pPr>
    <w:rPr>
      <w:sz w:val="44"/>
      <w:szCs w:val="44"/>
      <w:lang w:eastAsia="ja-JP"/>
    </w:rPr>
  </w:style>
  <w:style w:type="character" w:customStyle="1" w:styleId="TitlePage1Char">
    <w:name w:val="Title Page 1 Char"/>
    <w:basedOn w:val="DefaultParagraphFont"/>
    <w:link w:val="TitlePage1"/>
    <w:rsid w:val="00514711"/>
    <w:rPr>
      <w:rFonts w:ascii="Times New Roman" w:eastAsia="Calibri" w:hAnsi="Times New Roman" w:cs="Times New Roman"/>
      <w:sz w:val="24"/>
      <w:szCs w:val="24"/>
      <w:lang w:eastAsia="ja-JP"/>
    </w:rPr>
  </w:style>
  <w:style w:type="paragraph" w:customStyle="1" w:styleId="TitlePage3">
    <w:name w:val="Title Page 3"/>
    <w:basedOn w:val="Normal"/>
    <w:link w:val="TitlePage3Char"/>
    <w:qFormat/>
    <w:rsid w:val="00514711"/>
    <w:pPr>
      <w:spacing w:after="0"/>
      <w:jc w:val="center"/>
    </w:pPr>
    <w:rPr>
      <w:sz w:val="36"/>
      <w:szCs w:val="36"/>
      <w:lang w:eastAsia="ja-JP"/>
    </w:rPr>
  </w:style>
  <w:style w:type="character" w:customStyle="1" w:styleId="TitlePage2Char">
    <w:name w:val="Title Page 2 Char"/>
    <w:basedOn w:val="DefaultParagraphFont"/>
    <w:link w:val="TitlePage2"/>
    <w:rsid w:val="00514711"/>
    <w:rPr>
      <w:rFonts w:ascii="Times New Roman" w:eastAsia="Calibri" w:hAnsi="Times New Roman" w:cs="Times New Roman"/>
      <w:sz w:val="44"/>
      <w:szCs w:val="44"/>
      <w:lang w:eastAsia="ja-JP"/>
    </w:rPr>
  </w:style>
  <w:style w:type="paragraph" w:customStyle="1" w:styleId="TitlePage4">
    <w:name w:val="Title Page 4"/>
    <w:basedOn w:val="Normal"/>
    <w:link w:val="TitlePage4Char"/>
    <w:qFormat/>
    <w:rsid w:val="00514711"/>
    <w:pPr>
      <w:spacing w:after="0"/>
      <w:jc w:val="center"/>
    </w:pPr>
    <w:rPr>
      <w:sz w:val="28"/>
      <w:szCs w:val="28"/>
      <w:lang w:eastAsia="ja-JP"/>
    </w:rPr>
  </w:style>
  <w:style w:type="character" w:customStyle="1" w:styleId="TitlePage3Char">
    <w:name w:val="Title Page 3 Char"/>
    <w:basedOn w:val="DefaultParagraphFont"/>
    <w:link w:val="TitlePage3"/>
    <w:rsid w:val="00514711"/>
    <w:rPr>
      <w:rFonts w:ascii="Times New Roman" w:eastAsia="Calibri" w:hAnsi="Times New Roman" w:cs="Times New Roman"/>
      <w:sz w:val="36"/>
      <w:szCs w:val="36"/>
      <w:lang w:eastAsia="ja-JP"/>
    </w:rPr>
  </w:style>
  <w:style w:type="paragraph" w:customStyle="1" w:styleId="TableofContentsTitle">
    <w:name w:val="Table of Contents Title"/>
    <w:basedOn w:val="TitlePage1"/>
    <w:link w:val="TableofContentsTitleChar"/>
    <w:qFormat/>
    <w:rsid w:val="00514711"/>
    <w:pPr>
      <w:jc w:val="center"/>
    </w:pPr>
    <w:rPr>
      <w:b/>
      <w:u w:val="single"/>
    </w:rPr>
  </w:style>
  <w:style w:type="character" w:customStyle="1" w:styleId="TitlePage4Char">
    <w:name w:val="Title Page 4 Char"/>
    <w:basedOn w:val="DefaultParagraphFont"/>
    <w:link w:val="TitlePage4"/>
    <w:rsid w:val="00514711"/>
    <w:rPr>
      <w:rFonts w:ascii="Times New Roman" w:eastAsia="Calibri" w:hAnsi="Times New Roman" w:cs="Times New Roman"/>
      <w:sz w:val="28"/>
      <w:szCs w:val="28"/>
      <w:lang w:eastAsia="ja-JP"/>
    </w:rPr>
  </w:style>
  <w:style w:type="paragraph" w:styleId="TOCHeading">
    <w:name w:val="TOC Heading"/>
    <w:basedOn w:val="Heading1"/>
    <w:next w:val="Normal"/>
    <w:uiPriority w:val="39"/>
    <w:unhideWhenUsed/>
    <w:qFormat/>
    <w:rsid w:val="00514711"/>
    <w:pPr>
      <w:keepNext/>
      <w:keepLines/>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character" w:customStyle="1" w:styleId="TableofContentsTitleChar">
    <w:name w:val="Table of Contents Title Char"/>
    <w:basedOn w:val="TitlePage1Char"/>
    <w:link w:val="TableofContentsTitle"/>
    <w:rsid w:val="00514711"/>
    <w:rPr>
      <w:rFonts w:ascii="Times New Roman" w:eastAsia="Calibri" w:hAnsi="Times New Roman" w:cs="Times New Roman"/>
      <w:b/>
      <w:sz w:val="24"/>
      <w:szCs w:val="24"/>
      <w:u w:val="single"/>
      <w:lang w:eastAsia="ja-JP"/>
    </w:rPr>
  </w:style>
  <w:style w:type="paragraph" w:styleId="Header">
    <w:name w:val="header"/>
    <w:basedOn w:val="Normal"/>
    <w:link w:val="HeaderChar"/>
    <w:uiPriority w:val="99"/>
    <w:unhideWhenUsed/>
    <w:rsid w:val="00006C8F"/>
    <w:pPr>
      <w:tabs>
        <w:tab w:val="center" w:pos="4680"/>
        <w:tab w:val="right" w:pos="9360"/>
      </w:tabs>
      <w:spacing w:after="0"/>
    </w:pPr>
  </w:style>
  <w:style w:type="character" w:customStyle="1" w:styleId="HeaderChar">
    <w:name w:val="Header Char"/>
    <w:basedOn w:val="DefaultParagraphFont"/>
    <w:link w:val="Header"/>
    <w:uiPriority w:val="99"/>
    <w:rsid w:val="00006C8F"/>
    <w:rPr>
      <w:rFonts w:ascii="Times New Roman" w:eastAsia="Calibri" w:hAnsi="Times New Roman" w:cs="Times New Roman"/>
      <w:sz w:val="24"/>
      <w:szCs w:val="24"/>
    </w:rPr>
  </w:style>
  <w:style w:type="paragraph" w:styleId="Footer">
    <w:name w:val="footer"/>
    <w:basedOn w:val="Normal"/>
    <w:link w:val="FooterChar"/>
    <w:uiPriority w:val="99"/>
    <w:unhideWhenUsed/>
    <w:rsid w:val="00006C8F"/>
    <w:pPr>
      <w:tabs>
        <w:tab w:val="center" w:pos="4680"/>
        <w:tab w:val="right" w:pos="9360"/>
      </w:tabs>
      <w:spacing w:after="0"/>
    </w:pPr>
  </w:style>
  <w:style w:type="character" w:customStyle="1" w:styleId="FooterChar">
    <w:name w:val="Footer Char"/>
    <w:basedOn w:val="DefaultParagraphFont"/>
    <w:link w:val="Footer"/>
    <w:uiPriority w:val="99"/>
    <w:rsid w:val="00006C8F"/>
    <w:rPr>
      <w:rFonts w:ascii="Times New Roman" w:eastAsia="Calibri" w:hAnsi="Times New Roman" w:cs="Times New Roman"/>
      <w:sz w:val="24"/>
      <w:szCs w:val="24"/>
    </w:rPr>
  </w:style>
  <w:style w:type="paragraph" w:styleId="TOC1">
    <w:name w:val="toc 1"/>
    <w:basedOn w:val="Normal"/>
    <w:next w:val="Normal"/>
    <w:autoRedefine/>
    <w:uiPriority w:val="39"/>
    <w:unhideWhenUsed/>
    <w:rsid w:val="00E32557"/>
    <w:pPr>
      <w:tabs>
        <w:tab w:val="left" w:pos="480"/>
        <w:tab w:val="right" w:leader="dot" w:pos="9350"/>
      </w:tabs>
      <w:spacing w:after="100"/>
    </w:pPr>
    <w:rPr>
      <w:sz w:val="22"/>
    </w:rPr>
  </w:style>
  <w:style w:type="paragraph" w:styleId="TOC2">
    <w:name w:val="toc 2"/>
    <w:basedOn w:val="Normal"/>
    <w:next w:val="Normal"/>
    <w:autoRedefine/>
    <w:uiPriority w:val="39"/>
    <w:unhideWhenUsed/>
    <w:rsid w:val="00E32557"/>
    <w:pPr>
      <w:tabs>
        <w:tab w:val="left" w:pos="880"/>
        <w:tab w:val="right" w:leader="dot" w:pos="9350"/>
      </w:tabs>
      <w:spacing w:after="100"/>
      <w:ind w:left="240"/>
    </w:pPr>
    <w:rPr>
      <w:sz w:val="22"/>
    </w:rPr>
  </w:style>
  <w:style w:type="character" w:styleId="Hyperlink">
    <w:name w:val="Hyperlink"/>
    <w:basedOn w:val="DefaultParagraphFont"/>
    <w:uiPriority w:val="99"/>
    <w:unhideWhenUsed/>
    <w:rsid w:val="00006C8F"/>
    <w:rPr>
      <w:color w:val="0000FF" w:themeColor="hyperlink"/>
      <w:u w:val="single"/>
    </w:rPr>
  </w:style>
  <w:style w:type="table" w:styleId="TableGrid">
    <w:name w:val="Table Grid"/>
    <w:basedOn w:val="TableNormal"/>
    <w:uiPriority w:val="39"/>
    <w:unhideWhenUsed/>
    <w:rsid w:val="0000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C2332"/>
    <w:pPr>
      <w:spacing w:after="0"/>
    </w:pPr>
  </w:style>
  <w:style w:type="paragraph" w:styleId="BalloonText">
    <w:name w:val="Balloon Text"/>
    <w:basedOn w:val="Normal"/>
    <w:link w:val="BalloonTextChar"/>
    <w:uiPriority w:val="99"/>
    <w:semiHidden/>
    <w:unhideWhenUsed/>
    <w:rsid w:val="00F47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86"/>
    <w:rPr>
      <w:rFonts w:ascii="Segoe UI" w:eastAsia="Calibri" w:hAnsi="Segoe UI" w:cs="Segoe UI"/>
      <w:sz w:val="18"/>
      <w:szCs w:val="18"/>
    </w:rPr>
  </w:style>
  <w:style w:type="paragraph" w:styleId="TOC3">
    <w:name w:val="toc 3"/>
    <w:basedOn w:val="Normal"/>
    <w:next w:val="Normal"/>
    <w:autoRedefine/>
    <w:uiPriority w:val="39"/>
    <w:unhideWhenUsed/>
    <w:rsid w:val="002E2444"/>
    <w:pPr>
      <w:tabs>
        <w:tab w:val="left" w:pos="960"/>
        <w:tab w:val="right" w:leader="dot" w:pos="9350"/>
      </w:tabs>
      <w:spacing w:after="100"/>
      <w:ind w:left="480"/>
    </w:pPr>
    <w:rPr>
      <w:sz w:val="22"/>
    </w:rPr>
  </w:style>
  <w:style w:type="paragraph" w:styleId="FootnoteText">
    <w:name w:val="footnote text"/>
    <w:basedOn w:val="Normal"/>
    <w:link w:val="FootnoteTextChar"/>
    <w:uiPriority w:val="99"/>
    <w:unhideWhenUsed/>
    <w:rsid w:val="006C2739"/>
    <w:pPr>
      <w:spacing w:after="0"/>
    </w:pPr>
    <w:rPr>
      <w:sz w:val="20"/>
      <w:szCs w:val="20"/>
    </w:rPr>
  </w:style>
  <w:style w:type="character" w:customStyle="1" w:styleId="FootnoteTextChar">
    <w:name w:val="Footnote Text Char"/>
    <w:basedOn w:val="DefaultParagraphFont"/>
    <w:link w:val="FootnoteText"/>
    <w:uiPriority w:val="99"/>
    <w:rsid w:val="006C2739"/>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6C2739"/>
    <w:rPr>
      <w:vertAlign w:val="superscript"/>
    </w:rPr>
  </w:style>
  <w:style w:type="character" w:styleId="CommentReference">
    <w:name w:val="annotation reference"/>
    <w:aliases w:val="Comment Text Style"/>
    <w:basedOn w:val="DefaultParagraphFont"/>
    <w:uiPriority w:val="99"/>
    <w:unhideWhenUsed/>
    <w:rsid w:val="008A19F7"/>
    <w:rPr>
      <w:sz w:val="16"/>
      <w:szCs w:val="16"/>
    </w:rPr>
  </w:style>
  <w:style w:type="paragraph" w:styleId="CommentText">
    <w:name w:val="annotation text"/>
    <w:basedOn w:val="Normal"/>
    <w:link w:val="CommentTextChar"/>
    <w:uiPriority w:val="99"/>
    <w:unhideWhenUsed/>
    <w:rsid w:val="008A19F7"/>
    <w:rPr>
      <w:sz w:val="20"/>
      <w:szCs w:val="20"/>
    </w:rPr>
  </w:style>
  <w:style w:type="character" w:customStyle="1" w:styleId="CommentTextChar">
    <w:name w:val="Comment Text Char"/>
    <w:basedOn w:val="DefaultParagraphFont"/>
    <w:link w:val="CommentText"/>
    <w:uiPriority w:val="99"/>
    <w:rsid w:val="008A19F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9F7"/>
    <w:rPr>
      <w:b/>
      <w:bCs/>
    </w:rPr>
  </w:style>
  <w:style w:type="character" w:customStyle="1" w:styleId="CommentSubjectChar">
    <w:name w:val="Comment Subject Char"/>
    <w:basedOn w:val="CommentTextChar"/>
    <w:link w:val="CommentSubject"/>
    <w:uiPriority w:val="99"/>
    <w:semiHidden/>
    <w:rsid w:val="008A19F7"/>
    <w:rPr>
      <w:rFonts w:ascii="Times New Roman" w:eastAsia="Calibri" w:hAnsi="Times New Roman" w:cs="Times New Roman"/>
      <w:b/>
      <w:bCs/>
      <w:sz w:val="20"/>
      <w:szCs w:val="20"/>
    </w:rPr>
  </w:style>
  <w:style w:type="paragraph" w:styleId="Revision">
    <w:name w:val="Revision"/>
    <w:hidden/>
    <w:uiPriority w:val="99"/>
    <w:semiHidden/>
    <w:rsid w:val="008A19F7"/>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F01E15"/>
    <w:rPr>
      <w:color w:val="605E5C"/>
      <w:shd w:val="clear" w:color="auto" w:fill="E1DFDD"/>
    </w:rPr>
  </w:style>
  <w:style w:type="paragraph" w:styleId="BodyText">
    <w:name w:val="Body Text"/>
    <w:basedOn w:val="Normal"/>
    <w:link w:val="BodyTextChar"/>
    <w:uiPriority w:val="99"/>
    <w:semiHidden/>
    <w:unhideWhenUsed/>
    <w:rsid w:val="008201F8"/>
    <w:pPr>
      <w:spacing w:after="120"/>
    </w:pPr>
  </w:style>
  <w:style w:type="character" w:customStyle="1" w:styleId="BodyTextChar">
    <w:name w:val="Body Text Char"/>
    <w:basedOn w:val="DefaultParagraphFont"/>
    <w:link w:val="BodyText"/>
    <w:uiPriority w:val="99"/>
    <w:semiHidden/>
    <w:rsid w:val="008201F8"/>
    <w:rPr>
      <w:rFonts w:ascii="Times New Roman" w:eastAsia="Calibri" w:hAnsi="Times New Roman" w:cs="Times New Roman"/>
      <w:sz w:val="24"/>
      <w:szCs w:val="24"/>
    </w:rPr>
  </w:style>
  <w:style w:type="paragraph" w:styleId="BodyTextFirstIndent">
    <w:name w:val="Body Text First Indent"/>
    <w:basedOn w:val="BodyText"/>
    <w:link w:val="BodyTextFirstIndentChar"/>
    <w:uiPriority w:val="99"/>
    <w:unhideWhenUsed/>
    <w:rsid w:val="008201F8"/>
    <w:pPr>
      <w:spacing w:after="200"/>
      <w:ind w:firstLine="360"/>
    </w:pPr>
  </w:style>
  <w:style w:type="character" w:customStyle="1" w:styleId="BodyTextFirstIndentChar">
    <w:name w:val="Body Text First Indent Char"/>
    <w:basedOn w:val="BodyTextChar"/>
    <w:link w:val="BodyTextFirstIndent"/>
    <w:uiPriority w:val="99"/>
    <w:rsid w:val="008201F8"/>
    <w:rPr>
      <w:rFonts w:ascii="Times New Roman" w:eastAsia="Calibri" w:hAnsi="Times New Roman" w:cs="Times New Roman"/>
      <w:sz w:val="24"/>
      <w:szCs w:val="24"/>
    </w:rPr>
  </w:style>
  <w:style w:type="paragraph" w:styleId="NormalWeb">
    <w:name w:val="Normal (Web)"/>
    <w:basedOn w:val="Normal"/>
    <w:uiPriority w:val="99"/>
    <w:semiHidden/>
    <w:unhideWhenUsed/>
    <w:rsid w:val="00E81B93"/>
  </w:style>
  <w:style w:type="paragraph" w:styleId="TableofFigures">
    <w:name w:val="table of figures"/>
    <w:basedOn w:val="Normal"/>
    <w:next w:val="Normal"/>
    <w:uiPriority w:val="99"/>
    <w:unhideWhenUsed/>
    <w:rsid w:val="0035101C"/>
    <w:pPr>
      <w:spacing w:after="0"/>
    </w:pPr>
    <w:rPr>
      <w:sz w:val="22"/>
    </w:rPr>
  </w:style>
  <w:style w:type="paragraph" w:customStyle="1" w:styleId="Style2">
    <w:name w:val="Style2"/>
    <w:basedOn w:val="Heading2"/>
    <w:next w:val="Normal"/>
    <w:link w:val="Style2Char"/>
    <w:qFormat/>
    <w:rsid w:val="00EB4456"/>
    <w:pPr>
      <w:keepNext/>
      <w:keepLines/>
      <w:numPr>
        <w:numId w:val="0"/>
      </w:numPr>
      <w:spacing w:before="120" w:after="120" w:line="480" w:lineRule="auto"/>
      <w:contextualSpacing w:val="0"/>
    </w:pPr>
    <w:rPr>
      <w:rFonts w:asciiTheme="majorHAnsi" w:eastAsiaTheme="majorEastAsia" w:hAnsiTheme="majorHAnsi" w:cstheme="majorBidi"/>
      <w:color w:val="365F91" w:themeColor="accent1" w:themeShade="BF"/>
      <w:sz w:val="26"/>
      <w:szCs w:val="26"/>
    </w:rPr>
  </w:style>
  <w:style w:type="character" w:customStyle="1" w:styleId="Style2Char">
    <w:name w:val="Style2 Char"/>
    <w:basedOn w:val="Heading2Char"/>
    <w:link w:val="Style2"/>
    <w:rsid w:val="00EB4456"/>
    <w:rPr>
      <w:rFonts w:asciiTheme="majorHAnsi" w:eastAsiaTheme="majorEastAsia" w:hAnsiTheme="majorHAnsi" w:cstheme="majorBidi"/>
      <w:color w:val="365F91" w:themeColor="accent1" w:themeShade="BF"/>
      <w:sz w:val="26"/>
      <w:szCs w:val="26"/>
      <w:u w:val="single"/>
    </w:rPr>
  </w:style>
  <w:style w:type="paragraph" w:styleId="TOC4">
    <w:name w:val="toc 4"/>
    <w:basedOn w:val="Normal"/>
    <w:next w:val="Normal"/>
    <w:autoRedefine/>
    <w:uiPriority w:val="39"/>
    <w:unhideWhenUsed/>
    <w:rsid w:val="00E32557"/>
    <w:pPr>
      <w:tabs>
        <w:tab w:val="left" w:pos="1200"/>
        <w:tab w:val="right" w:leader="dot" w:pos="9350"/>
      </w:tabs>
      <w:spacing w:after="100"/>
      <w:ind w:left="720"/>
    </w:pPr>
    <w:rPr>
      <w:sz w:val="22"/>
    </w:rPr>
  </w:style>
  <w:style w:type="paragraph" w:customStyle="1" w:styleId="Default">
    <w:name w:val="Default"/>
    <w:rsid w:val="00617F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207928"/>
    <w:rPr>
      <w:color w:val="0000FF"/>
      <w:u w:val="single"/>
    </w:rPr>
  </w:style>
  <w:style w:type="character" w:styleId="FollowedHyperlink">
    <w:name w:val="FollowedHyperlink"/>
    <w:basedOn w:val="DefaultParagraphFont"/>
    <w:uiPriority w:val="99"/>
    <w:semiHidden/>
    <w:unhideWhenUsed/>
    <w:rsid w:val="007700A4"/>
    <w:rPr>
      <w:color w:val="800080" w:themeColor="followedHyperlink"/>
      <w:u w:val="single"/>
    </w:rPr>
  </w:style>
  <w:style w:type="paragraph" w:styleId="TOC5">
    <w:name w:val="toc 5"/>
    <w:basedOn w:val="Normal"/>
    <w:next w:val="Normal"/>
    <w:autoRedefine/>
    <w:uiPriority w:val="39"/>
    <w:semiHidden/>
    <w:unhideWhenUsed/>
    <w:rsid w:val="0035101C"/>
    <w:pPr>
      <w:spacing w:after="100"/>
      <w:ind w:left="960"/>
    </w:pPr>
    <w:rPr>
      <w:sz w:val="22"/>
    </w:rPr>
  </w:style>
  <w:style w:type="paragraph" w:styleId="TOC6">
    <w:name w:val="toc 6"/>
    <w:basedOn w:val="Normal"/>
    <w:next w:val="Normal"/>
    <w:autoRedefine/>
    <w:uiPriority w:val="39"/>
    <w:semiHidden/>
    <w:unhideWhenUsed/>
    <w:rsid w:val="0035101C"/>
    <w:pPr>
      <w:spacing w:after="100"/>
      <w:ind w:left="1200"/>
    </w:pPr>
    <w:rPr>
      <w:sz w:val="22"/>
    </w:rPr>
  </w:style>
  <w:style w:type="paragraph" w:styleId="TOC7">
    <w:name w:val="toc 7"/>
    <w:basedOn w:val="Normal"/>
    <w:next w:val="Normal"/>
    <w:autoRedefine/>
    <w:uiPriority w:val="39"/>
    <w:semiHidden/>
    <w:unhideWhenUsed/>
    <w:rsid w:val="0035101C"/>
    <w:pPr>
      <w:spacing w:after="100"/>
      <w:ind w:left="1440"/>
    </w:pPr>
    <w:rPr>
      <w:sz w:val="22"/>
    </w:rPr>
  </w:style>
  <w:style w:type="paragraph" w:styleId="TOC8">
    <w:name w:val="toc 8"/>
    <w:basedOn w:val="Normal"/>
    <w:next w:val="Normal"/>
    <w:autoRedefine/>
    <w:uiPriority w:val="39"/>
    <w:semiHidden/>
    <w:unhideWhenUsed/>
    <w:rsid w:val="0035101C"/>
    <w:pPr>
      <w:spacing w:after="100"/>
      <w:ind w:left="1680"/>
    </w:pPr>
    <w:rPr>
      <w:sz w:val="22"/>
    </w:rPr>
  </w:style>
  <w:style w:type="paragraph" w:styleId="TOC9">
    <w:name w:val="toc 9"/>
    <w:basedOn w:val="Normal"/>
    <w:next w:val="Normal"/>
    <w:autoRedefine/>
    <w:uiPriority w:val="39"/>
    <w:semiHidden/>
    <w:unhideWhenUsed/>
    <w:rsid w:val="0035101C"/>
    <w:pPr>
      <w:spacing w:after="100"/>
      <w:ind w:left="1920"/>
    </w:pPr>
    <w:rPr>
      <w:sz w:val="22"/>
    </w:rPr>
  </w:style>
  <w:style w:type="paragraph" w:customStyle="1" w:styleId="paragraph">
    <w:name w:val="paragraph"/>
    <w:basedOn w:val="Normal"/>
    <w:rsid w:val="00395075"/>
    <w:pPr>
      <w:spacing w:before="100" w:beforeAutospacing="1" w:after="100" w:afterAutospacing="1"/>
    </w:pPr>
    <w:rPr>
      <w:rFonts w:eastAsia="Times New Roman"/>
    </w:rPr>
  </w:style>
  <w:style w:type="character" w:customStyle="1" w:styleId="normaltextrun">
    <w:name w:val="normaltextrun"/>
    <w:basedOn w:val="DefaultParagraphFont"/>
    <w:rsid w:val="00395075"/>
  </w:style>
  <w:style w:type="character" w:customStyle="1" w:styleId="eop">
    <w:name w:val="eop"/>
    <w:basedOn w:val="DefaultParagraphFont"/>
    <w:rsid w:val="00395075"/>
  </w:style>
  <w:style w:type="paragraph" w:customStyle="1" w:styleId="Style3">
    <w:name w:val="Style3"/>
    <w:basedOn w:val="Normal"/>
    <w:next w:val="Normal"/>
    <w:link w:val="Style3Char"/>
    <w:qFormat/>
    <w:rsid w:val="00592BA3"/>
    <w:pPr>
      <w:spacing w:before="120" w:after="120" w:line="480" w:lineRule="auto"/>
      <w:jc w:val="center"/>
    </w:pPr>
    <w:rPr>
      <w:rFonts w:eastAsia="MS Mincho"/>
      <w:b/>
      <w:color w:val="000000" w:themeColor="text1"/>
      <w:u w:val="single"/>
      <w:lang w:eastAsia="ja-JP"/>
    </w:rPr>
  </w:style>
  <w:style w:type="character" w:customStyle="1" w:styleId="Style3Char">
    <w:name w:val="Style3 Char"/>
    <w:basedOn w:val="DefaultParagraphFont"/>
    <w:link w:val="Style3"/>
    <w:rsid w:val="00592BA3"/>
    <w:rPr>
      <w:rFonts w:ascii="Times New Roman" w:eastAsia="MS Mincho" w:hAnsi="Times New Roman" w:cs="Times New Roman"/>
      <w:b/>
      <w:color w:val="000000" w:themeColor="text1"/>
      <w:sz w:val="24"/>
      <w:szCs w:val="24"/>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2022/may/naics4_325400.htm" TargetMode="External" /><Relationship Id="rId12" Type="http://schemas.openxmlformats.org/officeDocument/2006/relationships/header" Target="header2.xml" /><Relationship Id="rId13" Type="http://schemas.openxmlformats.org/officeDocument/2006/relationships/hyperlink" Target="https://www.fda.gov/about-fda/reports/economic-impact-analyses-fda-regulations" TargetMode="Externa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media/77193/download" TargetMode="External" /><Relationship Id="rId10" Type="http://schemas.openxmlformats.org/officeDocument/2006/relationships/hyperlink" Target="https://www.fda.gov/media/75194/download" TargetMode="External" /><Relationship Id="rId11" Type="http://schemas.openxmlformats.org/officeDocument/2006/relationships/hyperlink" Target="https://www.palisade.com/risk/monte_carlo_simulation.asp" TargetMode="External" /><Relationship Id="rId12" Type="http://schemas.openxmlformats.org/officeDocument/2006/relationships/hyperlink" Target="https://www.sba.gov/sites/sbagov/files/2023-03/Table%20of%20Size%20Standards_Effective%20March%2017%2C%202023%20%281%29%20%281%29_0.pdf" TargetMode="External" /><Relationship Id="rId2" Type="http://schemas.openxmlformats.org/officeDocument/2006/relationships/hyperlink" Target="https://www.fda.gov/media/73593/download" TargetMode="External" /><Relationship Id="rId3" Type="http://schemas.openxmlformats.org/officeDocument/2006/relationships/hyperlink" Target="https://uscode.house.gov/view.xhtml?path=/prelim@title21/chapter9/subchapter5&amp;edition=prelim" TargetMode="External" /><Relationship Id="rId4" Type="http://schemas.openxmlformats.org/officeDocument/2006/relationships/hyperlink" Target="https://aspe.hhs.gov/system/files/pdf/257746/VOT.pdf" TargetMode="External" /><Relationship Id="rId5" Type="http://schemas.openxmlformats.org/officeDocument/2006/relationships/hyperlink" Target="https://www.accessdata.fda.gov/scripts/cder/ob/index.cfm" TargetMode="External" /><Relationship Id="rId6" Type="http://schemas.openxmlformats.org/officeDocument/2006/relationships/hyperlink" Target="https://www.fda.gov/media/70973/download" TargetMode="External" /><Relationship Id="rId7" Type="http://schemas.openxmlformats.org/officeDocument/2006/relationships/hyperlink" Target="http://www.firebreaks.info/wp-content/uploads/2019/09/BPR-Study-Report-2019-v5.1.pdf" TargetMode="External" /><Relationship Id="rId8" Type="http://schemas.openxmlformats.org/officeDocument/2006/relationships/hyperlink" Target="https://aspe.hhs.gov/system/files/pdf/242926/HHS_RIAGuidance.pdf" TargetMode="External" /><Relationship Id="rId9" Type="http://schemas.openxmlformats.org/officeDocument/2006/relationships/hyperlink" Target="https://www.fda.gov/media/85013/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6b9445-0f84-4316-a782-c907d2cfd53f">
      <UserInfo>
        <DisplayName>Conant, Paul</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C31654B967D48B9AA5ED989945FDB" ma:contentTypeVersion="12" ma:contentTypeDescription="Create a new document." ma:contentTypeScope="" ma:versionID="05edbdb284c780bfb5ef454fbbf8e4b8">
  <xsd:schema xmlns:xsd="http://www.w3.org/2001/XMLSchema" xmlns:xs="http://www.w3.org/2001/XMLSchema" xmlns:p="http://schemas.microsoft.com/office/2006/metadata/properties" xmlns:ns1="http://schemas.microsoft.com/sharepoint/v3" xmlns:ns2="83ca0b93-1608-4994-845e-abb0114eba2b" xmlns:ns3="c66b9445-0f84-4316-a782-c907d2cfd53f" targetNamespace="http://schemas.microsoft.com/office/2006/metadata/properties" ma:root="true" ma:fieldsID="de366803bd4257e9064e225e91c580e7" ns1:_="" ns2:_="" ns3:_="">
    <xsd:import namespace="http://schemas.microsoft.com/sharepoint/v3"/>
    <xsd:import namespace="83ca0b93-1608-4994-845e-abb0114eba2b"/>
    <xsd:import namespace="c66b9445-0f84-4316-a782-c907d2cfd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a0b93-1608-4994-845e-abb0114eb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b9445-0f84-4316-a782-c907d2cfd5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39001-5844-4490-AADC-1240610AA247}">
  <ds:schemaRefs>
    <ds:schemaRef ds:uri="http://schemas.openxmlformats.org/officeDocument/2006/bibliography"/>
  </ds:schemaRefs>
</ds:datastoreItem>
</file>

<file path=customXml/itemProps2.xml><?xml version="1.0" encoding="utf-8"?>
<ds:datastoreItem xmlns:ds="http://schemas.openxmlformats.org/officeDocument/2006/customXml" ds:itemID="{DB2135DB-9538-4252-908A-EFE64421711B}">
  <ds:schemaRefs>
    <ds:schemaRef ds:uri="http://schemas.microsoft.com/office/2006/metadata/properties"/>
    <ds:schemaRef ds:uri="http://schemas.microsoft.com/office/infopath/2007/PartnerControls"/>
    <ds:schemaRef ds:uri="http://schemas.microsoft.com/sharepoint/v3"/>
    <ds:schemaRef ds:uri="c66b9445-0f84-4316-a782-c907d2cfd53f"/>
  </ds:schemaRefs>
</ds:datastoreItem>
</file>

<file path=customXml/itemProps3.xml><?xml version="1.0" encoding="utf-8"?>
<ds:datastoreItem xmlns:ds="http://schemas.openxmlformats.org/officeDocument/2006/customXml" ds:itemID="{00462EAC-7280-4682-9B0C-A5F69B9E9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a0b93-1608-4994-845e-abb0114eba2b"/>
    <ds:schemaRef ds:uri="c66b9445-0f84-4316-a782-c907d2cfd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8A162-097E-4025-A900-9E2900E77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16129</Words>
  <Characters>91937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Galloway, Emily</dc:creator>
  <cp:lastModifiedBy>Bean, Domini</cp:lastModifiedBy>
  <cp:revision>2</cp:revision>
  <cp:lastPrinted>2022-05-23T09:48:00Z</cp:lastPrinted>
  <dcterms:created xsi:type="dcterms:W3CDTF">2024-07-02T23:53:00Z</dcterms:created>
  <dcterms:modified xsi:type="dcterms:W3CDTF">2024-07-02T23:53:00Z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0x010100D1AC31654B967D48B9AA5ED989945FDB</vt:lpwstr>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ExtendedDescription">
    <vt:lpwstr/>
  </property>
</Properties>
</file>